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912A85" w14:paraId="33804FB6" w14:textId="77777777" w:rsidTr="00EB4E9C">
        <w:tc>
          <w:tcPr>
            <w:tcW w:w="6522" w:type="dxa"/>
          </w:tcPr>
          <w:p w14:paraId="11EB7F1F" w14:textId="77777777" w:rsidR="00DC3802" w:rsidRPr="00912A85" w:rsidRDefault="00CA7BA1" w:rsidP="00AC2883">
            <w:r w:rsidRPr="00912A85">
              <w:rPr>
                <w:noProof/>
              </w:rPr>
              <w:drawing>
                <wp:inline distT="0" distB="0" distL="0" distR="0" wp14:anchorId="2A364BC0" wp14:editId="0004BCBA">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12787DD7" w14:textId="77777777" w:rsidR="00DC3802" w:rsidRPr="00912A85" w:rsidRDefault="00DC3802" w:rsidP="00AC2883">
            <w:pPr>
              <w:pStyle w:val="Lettrine"/>
            </w:pPr>
            <w:r w:rsidRPr="00912A85">
              <w:t>E</w:t>
            </w:r>
          </w:p>
        </w:tc>
      </w:tr>
      <w:tr w:rsidR="00DC3802" w:rsidRPr="00912A85" w14:paraId="7631ED54" w14:textId="77777777" w:rsidTr="00645CA8">
        <w:trPr>
          <w:trHeight w:val="219"/>
        </w:trPr>
        <w:tc>
          <w:tcPr>
            <w:tcW w:w="6522" w:type="dxa"/>
          </w:tcPr>
          <w:p w14:paraId="5C7ED235" w14:textId="77777777" w:rsidR="00DC3802" w:rsidRPr="00912A85" w:rsidRDefault="00DC3802" w:rsidP="00AC2883">
            <w:pPr>
              <w:pStyle w:val="upove"/>
            </w:pPr>
            <w:r w:rsidRPr="00912A85">
              <w:t>International Union for the Protection of New Varieties of Plants</w:t>
            </w:r>
          </w:p>
        </w:tc>
        <w:tc>
          <w:tcPr>
            <w:tcW w:w="3117" w:type="dxa"/>
          </w:tcPr>
          <w:p w14:paraId="085313F9" w14:textId="77777777" w:rsidR="00DC3802" w:rsidRPr="00912A85" w:rsidRDefault="00DC3802" w:rsidP="00DA4973"/>
        </w:tc>
      </w:tr>
    </w:tbl>
    <w:p w14:paraId="746AA05B" w14:textId="77777777" w:rsidR="00DC3802" w:rsidRPr="00912A85" w:rsidRDefault="00DC3802" w:rsidP="00DC3802"/>
    <w:p w14:paraId="3996B22E" w14:textId="77777777" w:rsidR="00DA4973" w:rsidRPr="00912A85"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912A85" w14:paraId="172E9C97" w14:textId="77777777" w:rsidTr="00EB4E9C">
        <w:tc>
          <w:tcPr>
            <w:tcW w:w="6512" w:type="dxa"/>
          </w:tcPr>
          <w:p w14:paraId="653E5092" w14:textId="77777777" w:rsidR="00EB4E9C" w:rsidRPr="001A6970" w:rsidRDefault="00A3365A" w:rsidP="00AC2883">
            <w:pPr>
              <w:pStyle w:val="Sessiontc"/>
              <w:spacing w:line="240" w:lineRule="auto"/>
            </w:pPr>
            <w:r w:rsidRPr="001A6970">
              <w:t>Council</w:t>
            </w:r>
          </w:p>
          <w:p w14:paraId="22A5E448" w14:textId="77777777" w:rsidR="0083359E" w:rsidRPr="001A6970" w:rsidRDefault="00A3365A" w:rsidP="0051361E">
            <w:pPr>
              <w:pStyle w:val="Sessiontcplacedate"/>
            </w:pPr>
            <w:r w:rsidRPr="001A6970">
              <w:t>Fifty-</w:t>
            </w:r>
            <w:r w:rsidR="00987CB1" w:rsidRPr="001A6970">
              <w:t>Ninth</w:t>
            </w:r>
            <w:r w:rsidR="0020304B" w:rsidRPr="001A6970">
              <w:t xml:space="preserve"> </w:t>
            </w:r>
            <w:r w:rsidRPr="001A6970">
              <w:t xml:space="preserve">Ordinary </w:t>
            </w:r>
            <w:r w:rsidR="00EB4E9C" w:rsidRPr="001A6970">
              <w:t>Session</w:t>
            </w:r>
          </w:p>
          <w:p w14:paraId="51335F91" w14:textId="77777777" w:rsidR="00EB4E9C" w:rsidRPr="001A6970" w:rsidRDefault="00EB4E9C" w:rsidP="00E364BF">
            <w:pPr>
              <w:pStyle w:val="Sessiontcplacedate"/>
              <w:rPr>
                <w:sz w:val="22"/>
              </w:rPr>
            </w:pPr>
            <w:r w:rsidRPr="001A6970">
              <w:t xml:space="preserve">Geneva, </w:t>
            </w:r>
            <w:r w:rsidR="0020304B" w:rsidRPr="001A6970">
              <w:t xml:space="preserve">October </w:t>
            </w:r>
            <w:r w:rsidR="00E948F9" w:rsidRPr="001A6970">
              <w:t>2</w:t>
            </w:r>
            <w:r w:rsidR="00987CB1" w:rsidRPr="001A6970">
              <w:t>4</w:t>
            </w:r>
            <w:r w:rsidR="00E364BF" w:rsidRPr="001A6970">
              <w:t>, 202</w:t>
            </w:r>
            <w:r w:rsidR="00987CB1" w:rsidRPr="001A6970">
              <w:t>5</w:t>
            </w:r>
          </w:p>
        </w:tc>
        <w:tc>
          <w:tcPr>
            <w:tcW w:w="3127" w:type="dxa"/>
          </w:tcPr>
          <w:p w14:paraId="3AE62D78" w14:textId="06991A55" w:rsidR="00EB4E9C" w:rsidRPr="001A6970" w:rsidRDefault="0034120B" w:rsidP="003C7FBE">
            <w:pPr>
              <w:pStyle w:val="Doccode"/>
            </w:pPr>
            <w:r>
              <w:t>C/59/4 Rev.</w:t>
            </w:r>
          </w:p>
          <w:p w14:paraId="2B6B2EBC" w14:textId="77777777" w:rsidR="00EB4E9C" w:rsidRPr="001A6970" w:rsidRDefault="00EB4E9C" w:rsidP="003C7FBE">
            <w:pPr>
              <w:pStyle w:val="Docoriginal"/>
            </w:pPr>
            <w:r w:rsidRPr="001A6970">
              <w:t>Original:</w:t>
            </w:r>
            <w:r w:rsidRPr="001A6970">
              <w:rPr>
                <w:b w:val="0"/>
                <w:spacing w:val="0"/>
              </w:rPr>
              <w:t xml:space="preserve">  English</w:t>
            </w:r>
          </w:p>
          <w:p w14:paraId="49ECA97A" w14:textId="44A5F302" w:rsidR="00EB4E9C" w:rsidRPr="00912A85" w:rsidRDefault="00EB4E9C" w:rsidP="00E364BF">
            <w:pPr>
              <w:pStyle w:val="Docoriginal"/>
            </w:pPr>
            <w:r w:rsidRPr="001A6970">
              <w:t>Date:</w:t>
            </w:r>
            <w:r w:rsidRPr="001A6970">
              <w:rPr>
                <w:b w:val="0"/>
                <w:spacing w:val="0"/>
              </w:rPr>
              <w:t xml:space="preserve">  </w:t>
            </w:r>
            <w:r w:rsidR="0034120B">
              <w:rPr>
                <w:b w:val="0"/>
                <w:spacing w:val="0"/>
              </w:rPr>
              <w:t>October 24</w:t>
            </w:r>
            <w:r w:rsidRPr="001A6970">
              <w:rPr>
                <w:b w:val="0"/>
                <w:spacing w:val="0"/>
              </w:rPr>
              <w:t>, 20</w:t>
            </w:r>
            <w:r w:rsidR="0020304B" w:rsidRPr="001A6970">
              <w:rPr>
                <w:b w:val="0"/>
                <w:spacing w:val="0"/>
              </w:rPr>
              <w:t>2</w:t>
            </w:r>
            <w:r w:rsidR="00987CB1" w:rsidRPr="001A6970">
              <w:rPr>
                <w:b w:val="0"/>
                <w:spacing w:val="0"/>
              </w:rPr>
              <w:t>5</w:t>
            </w:r>
          </w:p>
        </w:tc>
      </w:tr>
    </w:tbl>
    <w:p w14:paraId="3DDD6FE8" w14:textId="2D6874D6" w:rsidR="00B65EDC" w:rsidRPr="00912A85" w:rsidRDefault="00B65EDC" w:rsidP="00B65EDC">
      <w:pPr>
        <w:pStyle w:val="Titleofdoc0"/>
      </w:pPr>
      <w:r w:rsidRPr="00912A85">
        <w:t xml:space="preserve">PROGRAM AND BUDGET FOR THE </w:t>
      </w:r>
      <w:r w:rsidR="00521C0D">
        <w:t>2026</w:t>
      </w:r>
      <w:r w:rsidR="00521C0D">
        <w:noBreakHyphen/>
        <w:t>2027</w:t>
      </w:r>
      <w:r w:rsidRPr="00912A85">
        <w:t xml:space="preserve"> BIENNIUM</w:t>
      </w:r>
    </w:p>
    <w:p w14:paraId="731AE50E" w14:textId="1B56F8CE" w:rsidR="00B65EDC" w:rsidRPr="00912A85" w:rsidRDefault="0034120B" w:rsidP="00B65EDC">
      <w:pPr>
        <w:pStyle w:val="preparedby1"/>
        <w:jc w:val="left"/>
      </w:pPr>
      <w:r>
        <w:t>adopted by the Council</w:t>
      </w:r>
    </w:p>
    <w:p w14:paraId="7E3D0677" w14:textId="77777777" w:rsidR="00575E00" w:rsidRDefault="00575E00" w:rsidP="00575E00"/>
    <w:p w14:paraId="47429379" w14:textId="77777777" w:rsidR="00B4286A" w:rsidRPr="00912A85" w:rsidRDefault="00B4286A" w:rsidP="00575E00"/>
    <w:p w14:paraId="7B868539" w14:textId="77777777" w:rsidR="0034120B" w:rsidRDefault="0034120B" w:rsidP="00B65EDC">
      <w:r>
        <w:t>1.</w:t>
      </w:r>
      <w:r>
        <w:tab/>
        <w:t xml:space="preserve">At its fifty-ninth ordinary session, held in Geneva on October 24, 2025, the Council adopted the proposals contained in the Draft Program and Budget for the 2026-2027 Biennium, as presented in the Annex to document C/59/4, including the amount of contributions from members of the Union, the proposed maximum ceiling of expenditure in the regular budget, and the total number of posts for the Office of the Union. </w:t>
      </w:r>
    </w:p>
    <w:p w14:paraId="79D02836" w14:textId="77777777" w:rsidR="0034120B" w:rsidRDefault="0034120B" w:rsidP="00B65EDC"/>
    <w:p w14:paraId="3D0477DF" w14:textId="5D3BA68B" w:rsidR="00B65EDC" w:rsidRDefault="0034120B" w:rsidP="00B65EDC">
      <w:r>
        <w:t>2.</w:t>
      </w:r>
      <w:r>
        <w:tab/>
        <w:t>The Annex to this document contains the Program and Budget for the 2026-2027 Biennium, as adopted by the Council.</w:t>
      </w:r>
    </w:p>
    <w:p w14:paraId="0F77FCDA" w14:textId="77777777" w:rsidR="0034120B" w:rsidRDefault="0034120B" w:rsidP="00B65EDC"/>
    <w:p w14:paraId="78A13369" w14:textId="77777777" w:rsidR="0034120B" w:rsidRPr="00912A85" w:rsidRDefault="0034120B" w:rsidP="00B65EDC"/>
    <w:p w14:paraId="62835911" w14:textId="77777777" w:rsidR="00575E00" w:rsidRPr="00912A85" w:rsidRDefault="00575E00" w:rsidP="00B65EDC"/>
    <w:p w14:paraId="6F7788EA" w14:textId="7224F494" w:rsidR="00B65EDC" w:rsidRPr="00912A85" w:rsidRDefault="00B65EDC" w:rsidP="00B65EDC">
      <w:pPr>
        <w:jc w:val="right"/>
      </w:pPr>
      <w:r w:rsidRPr="00912A85">
        <w:t>[</w:t>
      </w:r>
      <w:r w:rsidR="00575E00" w:rsidRPr="00912A85">
        <w:t>Annex follows</w:t>
      </w:r>
      <w:r w:rsidRPr="00912A85">
        <w:t>]</w:t>
      </w:r>
    </w:p>
    <w:p w14:paraId="57CC7038" w14:textId="77777777" w:rsidR="00B65EDC" w:rsidRPr="00912A85" w:rsidRDefault="00B65EDC" w:rsidP="00B65EDC">
      <w:pPr>
        <w:jc w:val="left"/>
        <w:sectPr w:rsidR="00B65EDC" w:rsidRPr="00912A85" w:rsidSect="00B65EDC">
          <w:headerReference w:type="default" r:id="rId12"/>
          <w:footerReference w:type="even" r:id="rId13"/>
          <w:footerReference w:type="default" r:id="rId14"/>
          <w:pgSz w:w="11907" w:h="16840" w:code="9"/>
          <w:pgMar w:top="510" w:right="1134" w:bottom="851" w:left="1134" w:header="510" w:footer="680" w:gutter="0"/>
          <w:cols w:space="720"/>
          <w:titlePg/>
          <w:docGrid w:linePitch="272"/>
        </w:sectPr>
      </w:pPr>
    </w:p>
    <w:p w14:paraId="580BEB9A" w14:textId="4609DB02" w:rsidR="005D2CBA" w:rsidRPr="00912A85" w:rsidRDefault="005D2CBA" w:rsidP="005D2CBA">
      <w:pPr>
        <w:pStyle w:val="Titleofdoc0"/>
        <w:spacing w:before="0" w:after="0"/>
        <w:jc w:val="center"/>
        <w:rPr>
          <w:caps w:val="0"/>
          <w:color w:val="194C33" w:themeColor="accent1" w:themeShade="80"/>
          <w:sz w:val="32"/>
          <w:szCs w:val="32"/>
        </w:rPr>
      </w:pPr>
      <w:bookmarkStart w:id="0" w:name="_Toc63091083"/>
      <w:bookmarkStart w:id="1" w:name="_Toc63091280"/>
      <w:bookmarkStart w:id="2" w:name="_Toc63091810"/>
      <w:bookmarkStart w:id="3" w:name="_Toc63149887"/>
      <w:bookmarkStart w:id="4" w:name="_Toc63091084"/>
      <w:bookmarkStart w:id="5" w:name="_Toc63091281"/>
      <w:bookmarkStart w:id="6" w:name="_Toc63091811"/>
      <w:bookmarkStart w:id="7" w:name="_Toc63149888"/>
      <w:bookmarkStart w:id="8" w:name="_Toc63091085"/>
      <w:bookmarkStart w:id="9" w:name="_Toc63091282"/>
      <w:bookmarkStart w:id="10" w:name="_Toc63091812"/>
      <w:bookmarkStart w:id="11" w:name="_Toc63149889"/>
      <w:bookmarkEnd w:id="0"/>
      <w:bookmarkEnd w:id="1"/>
      <w:bookmarkEnd w:id="2"/>
      <w:bookmarkEnd w:id="3"/>
      <w:bookmarkEnd w:id="4"/>
      <w:bookmarkEnd w:id="5"/>
      <w:bookmarkEnd w:id="6"/>
      <w:bookmarkEnd w:id="7"/>
      <w:bookmarkEnd w:id="8"/>
      <w:bookmarkEnd w:id="9"/>
      <w:bookmarkEnd w:id="10"/>
      <w:bookmarkEnd w:id="11"/>
      <w:r w:rsidRPr="00912A85">
        <w:rPr>
          <w:caps w:val="0"/>
          <w:color w:val="194C33" w:themeColor="accent1" w:themeShade="80"/>
          <w:sz w:val="32"/>
          <w:szCs w:val="32"/>
        </w:rPr>
        <w:lastRenderedPageBreak/>
        <w:t>Program and Budget 202</w:t>
      </w:r>
      <w:r w:rsidR="00766E51">
        <w:rPr>
          <w:caps w:val="0"/>
          <w:color w:val="194C33" w:themeColor="accent1" w:themeShade="80"/>
          <w:sz w:val="32"/>
          <w:szCs w:val="32"/>
        </w:rPr>
        <w:t>6</w:t>
      </w:r>
      <w:r w:rsidRPr="00912A85">
        <w:rPr>
          <w:caps w:val="0"/>
          <w:color w:val="194C33" w:themeColor="accent1" w:themeShade="80"/>
          <w:sz w:val="32"/>
          <w:szCs w:val="32"/>
        </w:rPr>
        <w:noBreakHyphen/>
        <w:t>202</w:t>
      </w:r>
      <w:r w:rsidR="00766E51">
        <w:rPr>
          <w:caps w:val="0"/>
          <w:color w:val="194C33" w:themeColor="accent1" w:themeShade="80"/>
          <w:sz w:val="32"/>
          <w:szCs w:val="32"/>
        </w:rPr>
        <w:t>7</w:t>
      </w:r>
    </w:p>
    <w:p w14:paraId="7B8BD863" w14:textId="77777777" w:rsidR="005D2CBA" w:rsidRPr="00912A85" w:rsidRDefault="005D2CBA" w:rsidP="00B65EDC"/>
    <w:p w14:paraId="7D46F8A5" w14:textId="77777777" w:rsidR="005D2CBA" w:rsidRPr="00912A85" w:rsidRDefault="005D2CBA" w:rsidP="00B65EDC"/>
    <w:sdt>
      <w:sdtPr>
        <w:rPr>
          <w:b/>
          <w:bCs/>
        </w:rPr>
        <w:id w:val="-1719118402"/>
        <w:docPartObj>
          <w:docPartGallery w:val="Table of Contents"/>
          <w:docPartUnique/>
        </w:docPartObj>
      </w:sdtPr>
      <w:sdtEndPr>
        <w:rPr>
          <w:b w:val="0"/>
          <w:bCs w:val="0"/>
        </w:rPr>
      </w:sdtEndPr>
      <w:sdtContent>
        <w:p w14:paraId="3E992AF5" w14:textId="3EF94E8B" w:rsidR="00B65EDC" w:rsidRPr="00912A85" w:rsidRDefault="00B65EDC" w:rsidP="00B65EDC">
          <w:pPr>
            <w:rPr>
              <w:b/>
              <w:bCs/>
            </w:rPr>
          </w:pPr>
          <w:r w:rsidRPr="00912A85">
            <w:rPr>
              <w:b/>
              <w:color w:val="26724C" w:themeColor="accent1" w:themeShade="BF"/>
            </w:rPr>
            <w:t>Contents</w:t>
          </w:r>
        </w:p>
        <w:p w14:paraId="4E51B377" w14:textId="0327CFC0" w:rsidR="00E12ED3" w:rsidRDefault="00B65ED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912A85">
            <w:fldChar w:fldCharType="begin"/>
          </w:r>
          <w:r w:rsidRPr="00912A85">
            <w:instrText xml:space="preserve"> TOC \o "1-3" \u \t "Heading 9,4" </w:instrText>
          </w:r>
          <w:r w:rsidRPr="00912A85">
            <w:fldChar w:fldCharType="separate"/>
          </w:r>
          <w:r w:rsidR="00E12ED3">
            <w:rPr>
              <w:noProof/>
            </w:rPr>
            <w:t>I.</w:t>
          </w:r>
          <w:r w:rsidR="00E12ED3">
            <w:rPr>
              <w:rFonts w:asciiTheme="minorHAnsi" w:eastAsiaTheme="minorEastAsia" w:hAnsiTheme="minorHAnsi" w:cstheme="minorBidi"/>
              <w:bCs w:val="0"/>
              <w:caps w:val="0"/>
              <w:noProof/>
              <w:kern w:val="2"/>
              <w:sz w:val="24"/>
              <w:szCs w:val="24"/>
              <w:lang w:val="en-GB" w:eastAsia="en-GB"/>
              <w14:ligatures w14:val="standardContextual"/>
            </w:rPr>
            <w:tab/>
          </w:r>
          <w:r w:rsidR="00E12ED3">
            <w:rPr>
              <w:noProof/>
            </w:rPr>
            <w:t>Overall context</w:t>
          </w:r>
          <w:r w:rsidR="00E12ED3">
            <w:rPr>
              <w:noProof/>
            </w:rPr>
            <w:tab/>
          </w:r>
          <w:r w:rsidR="00E12ED3">
            <w:rPr>
              <w:noProof/>
            </w:rPr>
            <w:fldChar w:fldCharType="begin"/>
          </w:r>
          <w:r w:rsidR="00E12ED3">
            <w:rPr>
              <w:noProof/>
            </w:rPr>
            <w:instrText xml:space="preserve"> PAGEREF _Toc208999636 \h </w:instrText>
          </w:r>
          <w:r w:rsidR="00E12ED3">
            <w:rPr>
              <w:noProof/>
            </w:rPr>
          </w:r>
          <w:r w:rsidR="00E12ED3">
            <w:rPr>
              <w:noProof/>
            </w:rPr>
            <w:fldChar w:fldCharType="separate"/>
          </w:r>
          <w:r w:rsidR="00E12ED3">
            <w:rPr>
              <w:noProof/>
            </w:rPr>
            <w:t>2</w:t>
          </w:r>
          <w:r w:rsidR="00E12ED3">
            <w:rPr>
              <w:noProof/>
            </w:rPr>
            <w:fldChar w:fldCharType="end"/>
          </w:r>
        </w:p>
        <w:p w14:paraId="2F5EB792" w14:textId="70845AFE"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Overview of Program and Budget</w:t>
          </w:r>
          <w:r>
            <w:rPr>
              <w:noProof/>
            </w:rPr>
            <w:tab/>
          </w:r>
          <w:r>
            <w:rPr>
              <w:noProof/>
            </w:rPr>
            <w:fldChar w:fldCharType="begin"/>
          </w:r>
          <w:r>
            <w:rPr>
              <w:noProof/>
            </w:rPr>
            <w:instrText xml:space="preserve"> PAGEREF _Toc208999637 \h </w:instrText>
          </w:r>
          <w:r>
            <w:rPr>
              <w:noProof/>
            </w:rPr>
          </w:r>
          <w:r>
            <w:rPr>
              <w:noProof/>
            </w:rPr>
            <w:fldChar w:fldCharType="separate"/>
          </w:r>
          <w:r>
            <w:rPr>
              <w:noProof/>
            </w:rPr>
            <w:t>4</w:t>
          </w:r>
          <w:r>
            <w:rPr>
              <w:noProof/>
            </w:rPr>
            <w:fldChar w:fldCharType="end"/>
          </w:r>
        </w:p>
        <w:p w14:paraId="5FB51F9F" w14:textId="426076FC"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Financial overview</w:t>
          </w:r>
          <w:r>
            <w:rPr>
              <w:noProof/>
            </w:rPr>
            <w:tab/>
          </w:r>
          <w:r>
            <w:rPr>
              <w:noProof/>
            </w:rPr>
            <w:fldChar w:fldCharType="begin"/>
          </w:r>
          <w:r>
            <w:rPr>
              <w:noProof/>
            </w:rPr>
            <w:instrText xml:space="preserve"> PAGEREF _Toc208999638 \h </w:instrText>
          </w:r>
          <w:r>
            <w:rPr>
              <w:noProof/>
            </w:rPr>
          </w:r>
          <w:r>
            <w:rPr>
              <w:noProof/>
            </w:rPr>
            <w:fldChar w:fldCharType="separate"/>
          </w:r>
          <w:r>
            <w:rPr>
              <w:noProof/>
            </w:rPr>
            <w:t>4</w:t>
          </w:r>
          <w:r>
            <w:rPr>
              <w:noProof/>
            </w:rPr>
            <w:fldChar w:fldCharType="end"/>
          </w:r>
        </w:p>
        <w:p w14:paraId="428B10D2" w14:textId="5FA72B20"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Income</w:t>
          </w:r>
          <w:r>
            <w:rPr>
              <w:noProof/>
            </w:rPr>
            <w:tab/>
          </w:r>
          <w:r>
            <w:rPr>
              <w:noProof/>
            </w:rPr>
            <w:fldChar w:fldCharType="begin"/>
          </w:r>
          <w:r>
            <w:rPr>
              <w:noProof/>
            </w:rPr>
            <w:instrText xml:space="preserve"> PAGEREF _Toc208999639 \h </w:instrText>
          </w:r>
          <w:r>
            <w:rPr>
              <w:noProof/>
            </w:rPr>
          </w:r>
          <w:r>
            <w:rPr>
              <w:noProof/>
            </w:rPr>
            <w:fldChar w:fldCharType="separate"/>
          </w:r>
          <w:r>
            <w:rPr>
              <w:noProof/>
            </w:rPr>
            <w:t>4</w:t>
          </w:r>
          <w:r>
            <w:rPr>
              <w:noProof/>
            </w:rPr>
            <w:fldChar w:fldCharType="end"/>
          </w:r>
        </w:p>
        <w:p w14:paraId="6C111E01" w14:textId="2B7ADE95"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Overall Resource Plan</w:t>
          </w:r>
          <w:r>
            <w:rPr>
              <w:noProof/>
            </w:rPr>
            <w:tab/>
          </w:r>
          <w:r>
            <w:rPr>
              <w:noProof/>
            </w:rPr>
            <w:fldChar w:fldCharType="begin"/>
          </w:r>
          <w:r>
            <w:rPr>
              <w:noProof/>
            </w:rPr>
            <w:instrText xml:space="preserve"> PAGEREF _Toc208999640 \h </w:instrText>
          </w:r>
          <w:r>
            <w:rPr>
              <w:noProof/>
            </w:rPr>
          </w:r>
          <w:r>
            <w:rPr>
              <w:noProof/>
            </w:rPr>
            <w:fldChar w:fldCharType="separate"/>
          </w:r>
          <w:r>
            <w:rPr>
              <w:noProof/>
            </w:rPr>
            <w:t>6</w:t>
          </w:r>
          <w:r>
            <w:rPr>
              <w:noProof/>
            </w:rPr>
            <w:fldChar w:fldCharType="end"/>
          </w:r>
        </w:p>
        <w:p w14:paraId="67B904C5" w14:textId="27EF2655"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Expenditure</w:t>
          </w:r>
          <w:r>
            <w:rPr>
              <w:noProof/>
            </w:rPr>
            <w:tab/>
          </w:r>
          <w:r>
            <w:rPr>
              <w:noProof/>
            </w:rPr>
            <w:fldChar w:fldCharType="begin"/>
          </w:r>
          <w:r>
            <w:rPr>
              <w:noProof/>
            </w:rPr>
            <w:instrText xml:space="preserve"> PAGEREF _Toc208999641 \h </w:instrText>
          </w:r>
          <w:r>
            <w:rPr>
              <w:noProof/>
            </w:rPr>
          </w:r>
          <w:r>
            <w:rPr>
              <w:noProof/>
            </w:rPr>
            <w:fldChar w:fldCharType="separate"/>
          </w:r>
          <w:r>
            <w:rPr>
              <w:noProof/>
            </w:rPr>
            <w:t>6</w:t>
          </w:r>
          <w:r>
            <w:rPr>
              <w:noProof/>
            </w:rPr>
            <w:fldChar w:fldCharType="end"/>
          </w:r>
        </w:p>
        <w:p w14:paraId="3FF8F5DF" w14:textId="00D5F7B0"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Personnel costs</w:t>
          </w:r>
          <w:r>
            <w:rPr>
              <w:noProof/>
            </w:rPr>
            <w:tab/>
          </w:r>
          <w:r>
            <w:rPr>
              <w:noProof/>
            </w:rPr>
            <w:fldChar w:fldCharType="begin"/>
          </w:r>
          <w:r>
            <w:rPr>
              <w:noProof/>
            </w:rPr>
            <w:instrText xml:space="preserve"> PAGEREF _Toc208999642 \h </w:instrText>
          </w:r>
          <w:r>
            <w:rPr>
              <w:noProof/>
            </w:rPr>
          </w:r>
          <w:r>
            <w:rPr>
              <w:noProof/>
            </w:rPr>
            <w:fldChar w:fldCharType="separate"/>
          </w:r>
          <w:r>
            <w:rPr>
              <w:noProof/>
            </w:rPr>
            <w:t>8</w:t>
          </w:r>
          <w:r>
            <w:rPr>
              <w:noProof/>
            </w:rPr>
            <w:fldChar w:fldCharType="end"/>
          </w:r>
        </w:p>
        <w:p w14:paraId="4CFD52F6" w14:textId="2CC57254"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III.</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Objectives and expected results</w:t>
          </w:r>
          <w:r>
            <w:rPr>
              <w:noProof/>
            </w:rPr>
            <w:tab/>
          </w:r>
          <w:r>
            <w:rPr>
              <w:noProof/>
            </w:rPr>
            <w:fldChar w:fldCharType="begin"/>
          </w:r>
          <w:r>
            <w:rPr>
              <w:noProof/>
            </w:rPr>
            <w:instrText xml:space="preserve"> PAGEREF _Toc208999643 \h </w:instrText>
          </w:r>
          <w:r>
            <w:rPr>
              <w:noProof/>
            </w:rPr>
          </w:r>
          <w:r>
            <w:rPr>
              <w:noProof/>
            </w:rPr>
            <w:fldChar w:fldCharType="separate"/>
          </w:r>
          <w:r>
            <w:rPr>
              <w:noProof/>
            </w:rPr>
            <w:t>10</w:t>
          </w:r>
          <w:r>
            <w:rPr>
              <w:noProof/>
            </w:rPr>
            <w:fldChar w:fldCharType="end"/>
          </w:r>
        </w:p>
        <w:p w14:paraId="2D64973D" w14:textId="347A930C"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Introduction</w:t>
          </w:r>
          <w:r>
            <w:rPr>
              <w:noProof/>
            </w:rPr>
            <w:tab/>
          </w:r>
          <w:r>
            <w:rPr>
              <w:noProof/>
            </w:rPr>
            <w:fldChar w:fldCharType="begin"/>
          </w:r>
          <w:r>
            <w:rPr>
              <w:noProof/>
            </w:rPr>
            <w:instrText xml:space="preserve"> PAGEREF _Toc208999644 \h </w:instrText>
          </w:r>
          <w:r>
            <w:rPr>
              <w:noProof/>
            </w:rPr>
          </w:r>
          <w:r>
            <w:rPr>
              <w:noProof/>
            </w:rPr>
            <w:fldChar w:fldCharType="separate"/>
          </w:r>
          <w:r>
            <w:rPr>
              <w:noProof/>
            </w:rPr>
            <w:t>10</w:t>
          </w:r>
          <w:r>
            <w:rPr>
              <w:noProof/>
            </w:rPr>
            <w:fldChar w:fldCharType="end"/>
          </w:r>
        </w:p>
        <w:p w14:paraId="070AB9E8" w14:textId="78838527"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Pillar 1:  Bring together stakeholders to help shape the UPOV system</w:t>
          </w:r>
          <w:r>
            <w:rPr>
              <w:noProof/>
            </w:rPr>
            <w:tab/>
          </w:r>
          <w:r>
            <w:rPr>
              <w:noProof/>
            </w:rPr>
            <w:fldChar w:fldCharType="begin"/>
          </w:r>
          <w:r>
            <w:rPr>
              <w:noProof/>
            </w:rPr>
            <w:instrText xml:space="preserve"> PAGEREF _Toc208999645 \h </w:instrText>
          </w:r>
          <w:r>
            <w:rPr>
              <w:noProof/>
            </w:rPr>
          </w:r>
          <w:r>
            <w:rPr>
              <w:noProof/>
            </w:rPr>
            <w:fldChar w:fldCharType="separate"/>
          </w:r>
          <w:r>
            <w:rPr>
              <w:noProof/>
            </w:rPr>
            <w:t>11</w:t>
          </w:r>
          <w:r>
            <w:rPr>
              <w:noProof/>
            </w:rPr>
            <w:fldChar w:fldCharType="end"/>
          </w:r>
        </w:p>
        <w:p w14:paraId="418ABC58" w14:textId="3091D205"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_Toc208999646 \h </w:instrText>
          </w:r>
          <w:r>
            <w:rPr>
              <w:noProof/>
            </w:rPr>
          </w:r>
          <w:r>
            <w:rPr>
              <w:noProof/>
            </w:rPr>
            <w:fldChar w:fldCharType="separate"/>
          </w:r>
          <w:r>
            <w:rPr>
              <w:noProof/>
            </w:rPr>
            <w:t>11</w:t>
          </w:r>
          <w:r>
            <w:rPr>
              <w:noProof/>
            </w:rPr>
            <w:fldChar w:fldCharType="end"/>
          </w:r>
        </w:p>
        <w:p w14:paraId="02684541" w14:textId="6C741447"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_Toc208999647 \h </w:instrText>
          </w:r>
          <w:r>
            <w:rPr>
              <w:noProof/>
            </w:rPr>
          </w:r>
          <w:r>
            <w:rPr>
              <w:noProof/>
            </w:rPr>
            <w:fldChar w:fldCharType="separate"/>
          </w:r>
          <w:r>
            <w:rPr>
              <w:noProof/>
            </w:rPr>
            <w:t>12</w:t>
          </w:r>
          <w:r>
            <w:rPr>
              <w:noProof/>
            </w:rPr>
            <w:fldChar w:fldCharType="end"/>
          </w:r>
        </w:p>
        <w:p w14:paraId="75357473" w14:textId="39C6601D"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Pillar 2:  Provide guidance and assistance and facilitate cooperation for implementing the UPOV system</w:t>
          </w:r>
          <w:r>
            <w:rPr>
              <w:noProof/>
            </w:rPr>
            <w:tab/>
          </w:r>
          <w:r>
            <w:rPr>
              <w:noProof/>
            </w:rPr>
            <w:fldChar w:fldCharType="begin"/>
          </w:r>
          <w:r>
            <w:rPr>
              <w:noProof/>
            </w:rPr>
            <w:instrText xml:space="preserve"> PAGEREF _Toc208999648 \h </w:instrText>
          </w:r>
          <w:r>
            <w:rPr>
              <w:noProof/>
            </w:rPr>
          </w:r>
          <w:r>
            <w:rPr>
              <w:noProof/>
            </w:rPr>
            <w:fldChar w:fldCharType="separate"/>
          </w:r>
          <w:r>
            <w:rPr>
              <w:noProof/>
            </w:rPr>
            <w:t>12</w:t>
          </w:r>
          <w:r>
            <w:rPr>
              <w:noProof/>
            </w:rPr>
            <w:fldChar w:fldCharType="end"/>
          </w:r>
        </w:p>
        <w:p w14:paraId="1EC15592" w14:textId="6D3CF781"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_Toc208999649 \h </w:instrText>
          </w:r>
          <w:r>
            <w:rPr>
              <w:noProof/>
            </w:rPr>
          </w:r>
          <w:r>
            <w:rPr>
              <w:noProof/>
            </w:rPr>
            <w:fldChar w:fldCharType="separate"/>
          </w:r>
          <w:r>
            <w:rPr>
              <w:noProof/>
            </w:rPr>
            <w:t>12</w:t>
          </w:r>
          <w:r>
            <w:rPr>
              <w:noProof/>
            </w:rPr>
            <w:fldChar w:fldCharType="end"/>
          </w:r>
        </w:p>
        <w:p w14:paraId="79FC7AE8" w14:textId="510A2057"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_Toc208999650 \h </w:instrText>
          </w:r>
          <w:r>
            <w:rPr>
              <w:noProof/>
            </w:rPr>
          </w:r>
          <w:r>
            <w:rPr>
              <w:noProof/>
            </w:rPr>
            <w:fldChar w:fldCharType="separate"/>
          </w:r>
          <w:r>
            <w:rPr>
              <w:noProof/>
            </w:rPr>
            <w:t>16</w:t>
          </w:r>
          <w:r>
            <w:rPr>
              <w:noProof/>
            </w:rPr>
            <w:fldChar w:fldCharType="end"/>
          </w:r>
        </w:p>
        <w:p w14:paraId="66041150" w14:textId="47CD06F0"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Pillar 3:  Provide high quality services for UPOV members and users of the UPOV system</w:t>
          </w:r>
          <w:r>
            <w:rPr>
              <w:noProof/>
            </w:rPr>
            <w:tab/>
          </w:r>
          <w:r>
            <w:rPr>
              <w:noProof/>
            </w:rPr>
            <w:fldChar w:fldCharType="begin"/>
          </w:r>
          <w:r>
            <w:rPr>
              <w:noProof/>
            </w:rPr>
            <w:instrText xml:space="preserve"> PAGEREF _Toc208999651 \h </w:instrText>
          </w:r>
          <w:r>
            <w:rPr>
              <w:noProof/>
            </w:rPr>
          </w:r>
          <w:r>
            <w:rPr>
              <w:noProof/>
            </w:rPr>
            <w:fldChar w:fldCharType="separate"/>
          </w:r>
          <w:r>
            <w:rPr>
              <w:noProof/>
            </w:rPr>
            <w:t>17</w:t>
          </w:r>
          <w:r>
            <w:rPr>
              <w:noProof/>
            </w:rPr>
            <w:fldChar w:fldCharType="end"/>
          </w:r>
        </w:p>
        <w:p w14:paraId="45190DCB" w14:textId="70D5F11F"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_Toc208999652 \h </w:instrText>
          </w:r>
          <w:r>
            <w:rPr>
              <w:noProof/>
            </w:rPr>
          </w:r>
          <w:r>
            <w:rPr>
              <w:noProof/>
            </w:rPr>
            <w:fldChar w:fldCharType="separate"/>
          </w:r>
          <w:r>
            <w:rPr>
              <w:noProof/>
            </w:rPr>
            <w:t>17</w:t>
          </w:r>
          <w:r>
            <w:rPr>
              <w:noProof/>
            </w:rPr>
            <w:fldChar w:fldCharType="end"/>
          </w:r>
        </w:p>
        <w:p w14:paraId="6D32F584" w14:textId="645525F2"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_Toc208999653 \h </w:instrText>
          </w:r>
          <w:r>
            <w:rPr>
              <w:noProof/>
            </w:rPr>
          </w:r>
          <w:r>
            <w:rPr>
              <w:noProof/>
            </w:rPr>
            <w:fldChar w:fldCharType="separate"/>
          </w:r>
          <w:r>
            <w:rPr>
              <w:noProof/>
            </w:rPr>
            <w:t>19</w:t>
          </w:r>
          <w:r>
            <w:rPr>
              <w:noProof/>
            </w:rPr>
            <w:fldChar w:fldCharType="end"/>
          </w:r>
        </w:p>
        <w:p w14:paraId="5701C1D0" w14:textId="0620E0C7" w:rsidR="00E12ED3" w:rsidRDefault="00E12ED3">
          <w:pPr>
            <w:pStyle w:val="TOC2"/>
            <w:rPr>
              <w:rFonts w:asciiTheme="minorHAnsi" w:eastAsiaTheme="minorEastAsia" w:hAnsiTheme="minorHAnsi" w:cstheme="minorBidi"/>
              <w:iCs w:val="0"/>
              <w:noProof/>
              <w:kern w:val="2"/>
              <w:sz w:val="24"/>
              <w:szCs w:val="24"/>
              <w:lang w:val="en-GB" w:eastAsia="en-GB"/>
              <w14:ligatures w14:val="standardContextual"/>
            </w:rPr>
          </w:pPr>
          <w:r>
            <w:rPr>
              <w:noProof/>
            </w:rPr>
            <w:t>Foundation:  Empower our people to work effectively, collaboratively and innovatively by providing them with the right resources, training and environment</w:t>
          </w:r>
          <w:r>
            <w:rPr>
              <w:noProof/>
            </w:rPr>
            <w:tab/>
          </w:r>
          <w:r>
            <w:rPr>
              <w:noProof/>
            </w:rPr>
            <w:fldChar w:fldCharType="begin"/>
          </w:r>
          <w:r>
            <w:rPr>
              <w:noProof/>
            </w:rPr>
            <w:instrText xml:space="preserve"> PAGEREF _Toc208999654 \h </w:instrText>
          </w:r>
          <w:r>
            <w:rPr>
              <w:noProof/>
            </w:rPr>
          </w:r>
          <w:r>
            <w:rPr>
              <w:noProof/>
            </w:rPr>
            <w:fldChar w:fldCharType="separate"/>
          </w:r>
          <w:r>
            <w:rPr>
              <w:noProof/>
            </w:rPr>
            <w:t>19</w:t>
          </w:r>
          <w:r>
            <w:rPr>
              <w:noProof/>
            </w:rPr>
            <w:fldChar w:fldCharType="end"/>
          </w:r>
        </w:p>
        <w:p w14:paraId="797521F3" w14:textId="7FACDB2C"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Implementing strategy to achieve expected results</w:t>
          </w:r>
          <w:r>
            <w:rPr>
              <w:noProof/>
            </w:rPr>
            <w:tab/>
          </w:r>
          <w:r>
            <w:rPr>
              <w:noProof/>
            </w:rPr>
            <w:fldChar w:fldCharType="begin"/>
          </w:r>
          <w:r>
            <w:rPr>
              <w:noProof/>
            </w:rPr>
            <w:instrText xml:space="preserve"> PAGEREF _Toc208999655 \h </w:instrText>
          </w:r>
          <w:r>
            <w:rPr>
              <w:noProof/>
            </w:rPr>
          </w:r>
          <w:r>
            <w:rPr>
              <w:noProof/>
            </w:rPr>
            <w:fldChar w:fldCharType="separate"/>
          </w:r>
          <w:r>
            <w:rPr>
              <w:noProof/>
            </w:rPr>
            <w:t>19</w:t>
          </w:r>
          <w:r>
            <w:rPr>
              <w:noProof/>
            </w:rPr>
            <w:fldChar w:fldCharType="end"/>
          </w:r>
        </w:p>
        <w:p w14:paraId="1DA45BDE" w14:textId="1BF54514" w:rsidR="00E12ED3" w:rsidRDefault="00E12ED3">
          <w:pPr>
            <w:pStyle w:val="TOC3"/>
            <w:rPr>
              <w:rFonts w:asciiTheme="minorHAnsi" w:eastAsiaTheme="minorEastAsia" w:hAnsiTheme="minorHAnsi" w:cstheme="minorBidi"/>
              <w:i w:val="0"/>
              <w:noProof/>
              <w:kern w:val="2"/>
              <w:sz w:val="24"/>
              <w:szCs w:val="24"/>
              <w:lang w:val="en-GB" w:eastAsia="en-GB"/>
              <w14:ligatures w14:val="standardContextual"/>
            </w:rPr>
          </w:pPr>
          <w:r>
            <w:rPr>
              <w:noProof/>
            </w:rPr>
            <w:t>Expected Results and Performance Indicators</w:t>
          </w:r>
          <w:r>
            <w:rPr>
              <w:noProof/>
            </w:rPr>
            <w:tab/>
          </w:r>
          <w:r>
            <w:rPr>
              <w:noProof/>
            </w:rPr>
            <w:fldChar w:fldCharType="begin"/>
          </w:r>
          <w:r>
            <w:rPr>
              <w:noProof/>
            </w:rPr>
            <w:instrText xml:space="preserve"> PAGEREF _Toc208999656 \h </w:instrText>
          </w:r>
          <w:r>
            <w:rPr>
              <w:noProof/>
            </w:rPr>
          </w:r>
          <w:r>
            <w:rPr>
              <w:noProof/>
            </w:rPr>
            <w:fldChar w:fldCharType="separate"/>
          </w:r>
          <w:r>
            <w:rPr>
              <w:noProof/>
            </w:rPr>
            <w:t>21</w:t>
          </w:r>
          <w:r>
            <w:rPr>
              <w:noProof/>
            </w:rPr>
            <w:fldChar w:fldCharType="end"/>
          </w:r>
        </w:p>
        <w:p w14:paraId="45651F67" w14:textId="4AF791B7"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IV.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Financial indicators 2020-2029</w:t>
          </w:r>
          <w:r>
            <w:rPr>
              <w:noProof/>
            </w:rPr>
            <w:tab/>
          </w:r>
          <w:r>
            <w:rPr>
              <w:noProof/>
            </w:rPr>
            <w:fldChar w:fldCharType="begin"/>
          </w:r>
          <w:r>
            <w:rPr>
              <w:noProof/>
            </w:rPr>
            <w:instrText xml:space="preserve"> PAGEREF _Toc208999657 \h </w:instrText>
          </w:r>
          <w:r>
            <w:rPr>
              <w:noProof/>
            </w:rPr>
          </w:r>
          <w:r>
            <w:rPr>
              <w:noProof/>
            </w:rPr>
            <w:fldChar w:fldCharType="separate"/>
          </w:r>
          <w:r>
            <w:rPr>
              <w:noProof/>
            </w:rPr>
            <w:t>22</w:t>
          </w:r>
          <w:r>
            <w:rPr>
              <w:noProof/>
            </w:rPr>
            <w:fldChar w:fldCharType="end"/>
          </w:r>
        </w:p>
        <w:p w14:paraId="53727E65" w14:textId="4552B98A" w:rsidR="00E12ED3" w:rsidRDefault="00E12ED3">
          <w:pPr>
            <w:pStyle w:val="TOC1"/>
            <w:rPr>
              <w:rFonts w:asciiTheme="minorHAnsi" w:eastAsiaTheme="minorEastAsia" w:hAnsiTheme="minorHAnsi" w:cstheme="minorBidi"/>
              <w:bCs w:val="0"/>
              <w:caps w:val="0"/>
              <w:noProof/>
              <w:kern w:val="2"/>
              <w:sz w:val="24"/>
              <w:szCs w:val="24"/>
              <w:lang w:val="en-GB" w:eastAsia="en-GB"/>
              <w14:ligatures w14:val="standardContextual"/>
            </w:rPr>
          </w:pPr>
          <w:r>
            <w:rPr>
              <w:noProof/>
            </w:rPr>
            <w:t>V.</w:t>
          </w:r>
          <w:r>
            <w:rPr>
              <w:rFonts w:asciiTheme="minorHAnsi" w:eastAsiaTheme="minorEastAsia" w:hAnsiTheme="minorHAnsi" w:cstheme="minorBidi"/>
              <w:bCs w:val="0"/>
              <w:caps w:val="0"/>
              <w:noProof/>
              <w:kern w:val="2"/>
              <w:sz w:val="24"/>
              <w:szCs w:val="24"/>
              <w:lang w:val="en-GB" w:eastAsia="en-GB"/>
              <w14:ligatures w14:val="standardContextual"/>
            </w:rPr>
            <w:tab/>
          </w:r>
          <w:r>
            <w:rPr>
              <w:noProof/>
            </w:rPr>
            <w:t>Appendices</w:t>
          </w:r>
          <w:r>
            <w:rPr>
              <w:noProof/>
            </w:rPr>
            <w:tab/>
          </w:r>
          <w:r>
            <w:rPr>
              <w:noProof/>
            </w:rPr>
            <w:fldChar w:fldCharType="begin"/>
          </w:r>
          <w:r>
            <w:rPr>
              <w:noProof/>
            </w:rPr>
            <w:instrText xml:space="preserve"> PAGEREF _Toc208999658 \h </w:instrText>
          </w:r>
          <w:r>
            <w:rPr>
              <w:noProof/>
            </w:rPr>
          </w:r>
          <w:r>
            <w:rPr>
              <w:noProof/>
            </w:rPr>
            <w:fldChar w:fldCharType="separate"/>
          </w:r>
          <w:r>
            <w:rPr>
              <w:noProof/>
            </w:rPr>
            <w:t>23</w:t>
          </w:r>
          <w:r>
            <w:rPr>
              <w:noProof/>
            </w:rPr>
            <w:fldChar w:fldCharType="end"/>
          </w:r>
        </w:p>
        <w:p w14:paraId="6A67C992" w14:textId="7582AA31" w:rsidR="00E12ED3" w:rsidRDefault="00E12ED3">
          <w:pPr>
            <w:pStyle w:val="TOC4"/>
            <w:rPr>
              <w:rFonts w:eastAsiaTheme="minorEastAsia" w:cstheme="minorBidi"/>
              <w:noProof/>
              <w:kern w:val="2"/>
              <w:sz w:val="24"/>
              <w:szCs w:val="24"/>
              <w:lang w:val="en-GB" w:eastAsia="en-GB"/>
              <w14:ligatures w14:val="standardContextual"/>
            </w:rPr>
          </w:pPr>
          <w:r>
            <w:rPr>
              <w:noProof/>
            </w:rPr>
            <w:t>Appendix I</w:t>
          </w:r>
          <w:r>
            <w:rPr>
              <w:rFonts w:eastAsiaTheme="minorEastAsia" w:cstheme="minorBidi"/>
              <w:noProof/>
              <w:kern w:val="2"/>
              <w:sz w:val="24"/>
              <w:szCs w:val="24"/>
              <w:lang w:val="en-GB" w:eastAsia="en-GB"/>
              <w14:ligatures w14:val="standardContextual"/>
            </w:rPr>
            <w:tab/>
          </w:r>
          <w:r>
            <w:rPr>
              <w:noProof/>
            </w:rPr>
            <w:t>Status in relation to the International Union for the Protection of New Varieties of Plants (UPOV) as of September 16, 2025</w:t>
          </w:r>
          <w:r>
            <w:rPr>
              <w:noProof/>
            </w:rPr>
            <w:tab/>
          </w:r>
          <w:r>
            <w:rPr>
              <w:noProof/>
            </w:rPr>
            <w:fldChar w:fldCharType="begin"/>
          </w:r>
          <w:r>
            <w:rPr>
              <w:noProof/>
            </w:rPr>
            <w:instrText xml:space="preserve"> PAGEREF _Toc208999659 \h </w:instrText>
          </w:r>
          <w:r>
            <w:rPr>
              <w:noProof/>
            </w:rPr>
          </w:r>
          <w:r>
            <w:rPr>
              <w:noProof/>
            </w:rPr>
            <w:fldChar w:fldCharType="separate"/>
          </w:r>
          <w:r>
            <w:rPr>
              <w:noProof/>
            </w:rPr>
            <w:t>23</w:t>
          </w:r>
          <w:r>
            <w:rPr>
              <w:noProof/>
            </w:rPr>
            <w:fldChar w:fldCharType="end"/>
          </w:r>
        </w:p>
        <w:p w14:paraId="2AACE0EC" w14:textId="03927878" w:rsidR="00E12ED3" w:rsidRDefault="00E12ED3">
          <w:pPr>
            <w:pStyle w:val="TOC4"/>
            <w:rPr>
              <w:rFonts w:eastAsiaTheme="minorEastAsia" w:cstheme="minorBidi"/>
              <w:noProof/>
              <w:kern w:val="2"/>
              <w:sz w:val="24"/>
              <w:szCs w:val="24"/>
              <w:lang w:val="en-GB" w:eastAsia="en-GB"/>
              <w14:ligatures w14:val="standardContextual"/>
            </w:rPr>
          </w:pPr>
          <w:r>
            <w:rPr>
              <w:noProof/>
            </w:rPr>
            <w:t>Appendix II</w:t>
          </w:r>
          <w:r>
            <w:rPr>
              <w:rFonts w:eastAsiaTheme="minorEastAsia" w:cstheme="minorBidi"/>
              <w:noProof/>
              <w:kern w:val="2"/>
              <w:sz w:val="24"/>
              <w:szCs w:val="24"/>
              <w:lang w:val="en-GB" w:eastAsia="en-GB"/>
              <w14:ligatures w14:val="standardContextual"/>
            </w:rPr>
            <w:tab/>
          </w:r>
          <w:r>
            <w:rPr>
              <w:noProof/>
            </w:rPr>
            <w:t>Contributions of members</w:t>
          </w:r>
          <w:r>
            <w:rPr>
              <w:noProof/>
            </w:rPr>
            <w:tab/>
          </w:r>
          <w:r>
            <w:rPr>
              <w:noProof/>
            </w:rPr>
            <w:fldChar w:fldCharType="begin"/>
          </w:r>
          <w:r>
            <w:rPr>
              <w:noProof/>
            </w:rPr>
            <w:instrText xml:space="preserve"> PAGEREF _Toc208999660 \h </w:instrText>
          </w:r>
          <w:r>
            <w:rPr>
              <w:noProof/>
            </w:rPr>
          </w:r>
          <w:r>
            <w:rPr>
              <w:noProof/>
            </w:rPr>
            <w:fldChar w:fldCharType="separate"/>
          </w:r>
          <w:r>
            <w:rPr>
              <w:noProof/>
            </w:rPr>
            <w:t>24</w:t>
          </w:r>
          <w:r>
            <w:rPr>
              <w:noProof/>
            </w:rPr>
            <w:fldChar w:fldCharType="end"/>
          </w:r>
        </w:p>
        <w:p w14:paraId="453D9361" w14:textId="79350CD3" w:rsidR="00E12ED3" w:rsidRDefault="00E12ED3">
          <w:pPr>
            <w:pStyle w:val="TOC4"/>
            <w:rPr>
              <w:rFonts w:eastAsiaTheme="minorEastAsia" w:cstheme="minorBidi"/>
              <w:noProof/>
              <w:kern w:val="2"/>
              <w:sz w:val="24"/>
              <w:szCs w:val="24"/>
              <w:lang w:val="en-GB" w:eastAsia="en-GB"/>
              <w14:ligatures w14:val="standardContextual"/>
            </w:rPr>
          </w:pPr>
          <w:r>
            <w:rPr>
              <w:noProof/>
            </w:rPr>
            <w:t>Appendix III</w:t>
          </w:r>
          <w:r>
            <w:rPr>
              <w:rFonts w:eastAsiaTheme="minorEastAsia" w:cstheme="minorBidi"/>
              <w:noProof/>
              <w:kern w:val="2"/>
              <w:sz w:val="24"/>
              <w:szCs w:val="24"/>
              <w:lang w:val="en-GB" w:eastAsia="en-GB"/>
              <w14:ligatures w14:val="standardContextual"/>
            </w:rPr>
            <w:tab/>
          </w:r>
          <w:r>
            <w:rPr>
              <w:noProof/>
            </w:rPr>
            <w:t>Definition of sources of income and cost categories</w:t>
          </w:r>
          <w:r>
            <w:rPr>
              <w:noProof/>
            </w:rPr>
            <w:tab/>
          </w:r>
          <w:r>
            <w:rPr>
              <w:noProof/>
            </w:rPr>
            <w:fldChar w:fldCharType="begin"/>
          </w:r>
          <w:r>
            <w:rPr>
              <w:noProof/>
            </w:rPr>
            <w:instrText xml:space="preserve"> PAGEREF _Toc208999661 \h </w:instrText>
          </w:r>
          <w:r>
            <w:rPr>
              <w:noProof/>
            </w:rPr>
          </w:r>
          <w:r>
            <w:rPr>
              <w:noProof/>
            </w:rPr>
            <w:fldChar w:fldCharType="separate"/>
          </w:r>
          <w:r>
            <w:rPr>
              <w:noProof/>
            </w:rPr>
            <w:t>26</w:t>
          </w:r>
          <w:r>
            <w:rPr>
              <w:noProof/>
            </w:rPr>
            <w:fldChar w:fldCharType="end"/>
          </w:r>
        </w:p>
        <w:p w14:paraId="574746AB" w14:textId="664BBB50" w:rsidR="00B65EDC" w:rsidRPr="00912A85" w:rsidRDefault="00B65EDC" w:rsidP="00B65EDC">
          <w:r w:rsidRPr="00912A85">
            <w:rPr>
              <w:rFonts w:cstheme="minorHAnsi"/>
            </w:rPr>
            <w:fldChar w:fldCharType="end"/>
          </w:r>
        </w:p>
      </w:sdtContent>
    </w:sdt>
    <w:p w14:paraId="646EE436" w14:textId="77777777" w:rsidR="00B65EDC" w:rsidRPr="00912A85" w:rsidRDefault="00B65EDC" w:rsidP="00FC7FED">
      <w:pPr>
        <w:pStyle w:val="Heading1"/>
        <w:numPr>
          <w:ilvl w:val="0"/>
          <w:numId w:val="6"/>
        </w:numPr>
      </w:pPr>
      <w:bookmarkStart w:id="12" w:name="_Toc63091087"/>
      <w:bookmarkStart w:id="13" w:name="_Toc63091284"/>
      <w:bookmarkStart w:id="14" w:name="_Toc63091814"/>
      <w:bookmarkStart w:id="15" w:name="_Toc63177676"/>
      <w:bookmarkStart w:id="16" w:name="_Toc63177802"/>
      <w:bookmarkStart w:id="17" w:name="_Toc63178431"/>
      <w:bookmarkStart w:id="18" w:name="_Toc63182523"/>
      <w:bookmarkStart w:id="19" w:name="_Toc63091088"/>
      <w:bookmarkStart w:id="20" w:name="_Toc63091285"/>
      <w:bookmarkStart w:id="21" w:name="_Toc63091815"/>
      <w:bookmarkStart w:id="22" w:name="_Toc63177677"/>
      <w:bookmarkStart w:id="23" w:name="_Toc63177803"/>
      <w:bookmarkStart w:id="24" w:name="_Toc63178432"/>
      <w:bookmarkStart w:id="25" w:name="_Toc63182524"/>
      <w:bookmarkStart w:id="26" w:name="_Toc63177678"/>
      <w:bookmarkStart w:id="27" w:name="_Toc63177804"/>
      <w:bookmarkStart w:id="28" w:name="_Toc63178433"/>
      <w:bookmarkStart w:id="29" w:name="_Toc63182525"/>
      <w:bookmarkStart w:id="30" w:name="_Toc63177679"/>
      <w:bookmarkStart w:id="31" w:name="_Toc63177805"/>
      <w:bookmarkStart w:id="32" w:name="_Toc63178434"/>
      <w:bookmarkStart w:id="33" w:name="_Toc63182526"/>
      <w:bookmarkStart w:id="34" w:name="_Toc63177680"/>
      <w:bookmarkStart w:id="35" w:name="_Toc63177806"/>
      <w:bookmarkStart w:id="36" w:name="_Toc63178435"/>
      <w:bookmarkStart w:id="37" w:name="_Toc63182527"/>
      <w:bookmarkStart w:id="38" w:name="_Toc63177681"/>
      <w:bookmarkStart w:id="39" w:name="_Toc63177807"/>
      <w:bookmarkStart w:id="40" w:name="_Toc63178436"/>
      <w:bookmarkStart w:id="41" w:name="_Toc63182528"/>
      <w:bookmarkStart w:id="42" w:name="_Toc63177682"/>
      <w:bookmarkStart w:id="43" w:name="_Toc63177808"/>
      <w:bookmarkStart w:id="44" w:name="_Toc63178437"/>
      <w:bookmarkStart w:id="45" w:name="_Toc63182529"/>
      <w:bookmarkStart w:id="46" w:name="_Toc63177683"/>
      <w:bookmarkStart w:id="47" w:name="_Toc63177809"/>
      <w:bookmarkStart w:id="48" w:name="_Toc63178438"/>
      <w:bookmarkStart w:id="49" w:name="_Toc63182530"/>
      <w:bookmarkStart w:id="50" w:name="_Toc63177684"/>
      <w:bookmarkStart w:id="51" w:name="_Toc63177810"/>
      <w:bookmarkStart w:id="52" w:name="_Toc63178439"/>
      <w:bookmarkStart w:id="53" w:name="_Toc63182531"/>
      <w:bookmarkStart w:id="54" w:name="_Toc63177685"/>
      <w:bookmarkStart w:id="55" w:name="_Toc63177811"/>
      <w:bookmarkStart w:id="56" w:name="_Toc63178440"/>
      <w:bookmarkStart w:id="57" w:name="_Toc63182532"/>
      <w:bookmarkStart w:id="58" w:name="_Toc63177686"/>
      <w:bookmarkStart w:id="59" w:name="_Toc63177812"/>
      <w:bookmarkStart w:id="60" w:name="_Toc63178441"/>
      <w:bookmarkStart w:id="61" w:name="_Toc63182533"/>
      <w:bookmarkStart w:id="62" w:name="_Toc63177687"/>
      <w:bookmarkStart w:id="63" w:name="_Toc63177813"/>
      <w:bookmarkStart w:id="64" w:name="_Toc63178442"/>
      <w:bookmarkStart w:id="65" w:name="_Toc63182534"/>
      <w:bookmarkStart w:id="66" w:name="_Toc63177688"/>
      <w:bookmarkStart w:id="67" w:name="_Toc63177814"/>
      <w:bookmarkStart w:id="68" w:name="_Toc63178443"/>
      <w:bookmarkStart w:id="69" w:name="_Toc63182535"/>
      <w:bookmarkStart w:id="70" w:name="_Toc63177689"/>
      <w:bookmarkStart w:id="71" w:name="_Toc63177815"/>
      <w:bookmarkStart w:id="72" w:name="_Toc63178444"/>
      <w:bookmarkStart w:id="73" w:name="_Toc63182536"/>
      <w:bookmarkStart w:id="74" w:name="_Toc63177690"/>
      <w:bookmarkStart w:id="75" w:name="_Toc63177816"/>
      <w:bookmarkStart w:id="76" w:name="_Toc63178445"/>
      <w:bookmarkStart w:id="77" w:name="_Toc63182537"/>
      <w:bookmarkStart w:id="78" w:name="_Toc63177691"/>
      <w:bookmarkStart w:id="79" w:name="_Toc63177817"/>
      <w:bookmarkStart w:id="80" w:name="_Toc63178446"/>
      <w:bookmarkStart w:id="81" w:name="_Toc63182538"/>
      <w:bookmarkStart w:id="82" w:name="_Toc63177692"/>
      <w:bookmarkStart w:id="83" w:name="_Toc63177818"/>
      <w:bookmarkStart w:id="84" w:name="_Toc63178447"/>
      <w:bookmarkStart w:id="85" w:name="_Toc63182539"/>
      <w:bookmarkStart w:id="86" w:name="_Toc63177693"/>
      <w:bookmarkStart w:id="87" w:name="_Toc63177819"/>
      <w:bookmarkStart w:id="88" w:name="_Toc63178448"/>
      <w:bookmarkStart w:id="89" w:name="_Toc63182540"/>
      <w:bookmarkStart w:id="90" w:name="_Toc63177694"/>
      <w:bookmarkStart w:id="91" w:name="_Toc63177820"/>
      <w:bookmarkStart w:id="92" w:name="_Toc63178449"/>
      <w:bookmarkStart w:id="93" w:name="_Toc63182541"/>
      <w:bookmarkStart w:id="94" w:name="_Toc63177695"/>
      <w:bookmarkStart w:id="95" w:name="_Toc63177821"/>
      <w:bookmarkStart w:id="96" w:name="_Toc63178450"/>
      <w:bookmarkStart w:id="97" w:name="_Toc63182542"/>
      <w:bookmarkStart w:id="98" w:name="_Toc63177696"/>
      <w:bookmarkStart w:id="99" w:name="_Toc63177822"/>
      <w:bookmarkStart w:id="100" w:name="_Toc63178451"/>
      <w:bookmarkStart w:id="101" w:name="_Toc63182543"/>
      <w:bookmarkStart w:id="102" w:name="_Toc63177697"/>
      <w:bookmarkStart w:id="103" w:name="_Toc63177823"/>
      <w:bookmarkStart w:id="104" w:name="_Toc63178452"/>
      <w:bookmarkStart w:id="105" w:name="_Toc63182544"/>
      <w:bookmarkStart w:id="106" w:name="_Toc63177698"/>
      <w:bookmarkStart w:id="107" w:name="_Toc63177824"/>
      <w:bookmarkStart w:id="108" w:name="_Toc63178453"/>
      <w:bookmarkStart w:id="109" w:name="_Toc63182545"/>
      <w:bookmarkStart w:id="110" w:name="_Toc63177699"/>
      <w:bookmarkStart w:id="111" w:name="_Toc63177825"/>
      <w:bookmarkStart w:id="112" w:name="_Toc63178454"/>
      <w:bookmarkStart w:id="113" w:name="_Toc63182546"/>
      <w:bookmarkStart w:id="114" w:name="_Toc63177700"/>
      <w:bookmarkStart w:id="115" w:name="_Toc63177826"/>
      <w:bookmarkStart w:id="116" w:name="_Toc63178455"/>
      <w:bookmarkStart w:id="117" w:name="_Toc63182547"/>
      <w:bookmarkStart w:id="118" w:name="_Toc63177701"/>
      <w:bookmarkStart w:id="119" w:name="_Toc63177827"/>
      <w:bookmarkStart w:id="120" w:name="_Toc63178456"/>
      <w:bookmarkStart w:id="121" w:name="_Toc63182548"/>
      <w:bookmarkStart w:id="122" w:name="_Toc63177702"/>
      <w:bookmarkStart w:id="123" w:name="_Toc63177828"/>
      <w:bookmarkStart w:id="124" w:name="_Toc63178457"/>
      <w:bookmarkStart w:id="125" w:name="_Toc63182549"/>
      <w:bookmarkStart w:id="126" w:name="_Toc63177703"/>
      <w:bookmarkStart w:id="127" w:name="_Toc63177829"/>
      <w:bookmarkStart w:id="128" w:name="_Toc63178458"/>
      <w:bookmarkStart w:id="129" w:name="_Toc63182550"/>
      <w:bookmarkStart w:id="130" w:name="_Toc63177704"/>
      <w:bookmarkStart w:id="131" w:name="_Toc63177830"/>
      <w:bookmarkStart w:id="132" w:name="_Toc63178459"/>
      <w:bookmarkStart w:id="133" w:name="_Toc63182551"/>
      <w:bookmarkStart w:id="134" w:name="_Toc63177705"/>
      <w:bookmarkStart w:id="135" w:name="_Toc63177831"/>
      <w:bookmarkStart w:id="136" w:name="_Toc63178460"/>
      <w:bookmarkStart w:id="137" w:name="_Toc63182552"/>
      <w:bookmarkStart w:id="138" w:name="_Toc63177706"/>
      <w:bookmarkStart w:id="139" w:name="_Toc63177832"/>
      <w:bookmarkStart w:id="140" w:name="_Toc63178461"/>
      <w:bookmarkStart w:id="141" w:name="_Toc63182553"/>
      <w:bookmarkStart w:id="142" w:name="_Toc63177707"/>
      <w:bookmarkStart w:id="143" w:name="_Toc63177833"/>
      <w:bookmarkStart w:id="144" w:name="_Toc63178462"/>
      <w:bookmarkStart w:id="145" w:name="_Toc63182554"/>
      <w:bookmarkStart w:id="146" w:name="_Toc63177708"/>
      <w:bookmarkStart w:id="147" w:name="_Toc63177834"/>
      <w:bookmarkStart w:id="148" w:name="_Toc63178463"/>
      <w:bookmarkStart w:id="149" w:name="_Toc63182555"/>
      <w:bookmarkStart w:id="150" w:name="_Toc63177709"/>
      <w:bookmarkStart w:id="151" w:name="_Toc63177835"/>
      <w:bookmarkStart w:id="152" w:name="_Toc63178464"/>
      <w:bookmarkStart w:id="153" w:name="_Toc63182556"/>
      <w:bookmarkStart w:id="154" w:name="_Toc63177710"/>
      <w:bookmarkStart w:id="155" w:name="_Toc63177836"/>
      <w:bookmarkStart w:id="156" w:name="_Toc63178465"/>
      <w:bookmarkStart w:id="157" w:name="_Toc63182557"/>
      <w:bookmarkStart w:id="158" w:name="_Toc63177711"/>
      <w:bookmarkStart w:id="159" w:name="_Toc63177837"/>
      <w:bookmarkStart w:id="160" w:name="_Toc63178466"/>
      <w:bookmarkStart w:id="161" w:name="_Toc63182558"/>
      <w:bookmarkStart w:id="162" w:name="_Toc63177712"/>
      <w:bookmarkStart w:id="163" w:name="_Toc63177838"/>
      <w:bookmarkStart w:id="164" w:name="_Toc63178467"/>
      <w:bookmarkStart w:id="165" w:name="_Toc63182559"/>
      <w:bookmarkStart w:id="166" w:name="_Toc63177713"/>
      <w:bookmarkStart w:id="167" w:name="_Toc63177839"/>
      <w:bookmarkStart w:id="168" w:name="_Toc63178468"/>
      <w:bookmarkStart w:id="169" w:name="_Toc63182560"/>
      <w:bookmarkStart w:id="170" w:name="_Toc63177714"/>
      <w:bookmarkStart w:id="171" w:name="_Toc63177840"/>
      <w:bookmarkStart w:id="172" w:name="_Toc63178469"/>
      <w:bookmarkStart w:id="173" w:name="_Toc63182561"/>
      <w:bookmarkStart w:id="174" w:name="_Toc63177715"/>
      <w:bookmarkStart w:id="175" w:name="_Toc63177841"/>
      <w:bookmarkStart w:id="176" w:name="_Toc63178470"/>
      <w:bookmarkStart w:id="177" w:name="_Toc63182562"/>
      <w:bookmarkStart w:id="178" w:name="_Toc63177716"/>
      <w:bookmarkStart w:id="179" w:name="_Toc63177842"/>
      <w:bookmarkStart w:id="180" w:name="_Toc63178471"/>
      <w:bookmarkStart w:id="181" w:name="_Toc63182563"/>
      <w:bookmarkStart w:id="182" w:name="_Toc63177717"/>
      <w:bookmarkStart w:id="183" w:name="_Toc63177843"/>
      <w:bookmarkStart w:id="184" w:name="_Toc63178472"/>
      <w:bookmarkStart w:id="185" w:name="_Toc63182564"/>
      <w:bookmarkStart w:id="186" w:name="_Toc63177718"/>
      <w:bookmarkStart w:id="187" w:name="_Toc63177844"/>
      <w:bookmarkStart w:id="188" w:name="_Toc63178473"/>
      <w:bookmarkStart w:id="189" w:name="_Toc63182565"/>
      <w:bookmarkStart w:id="190" w:name="_Toc63177719"/>
      <w:bookmarkStart w:id="191" w:name="_Toc63177845"/>
      <w:bookmarkStart w:id="192" w:name="_Toc63178474"/>
      <w:bookmarkStart w:id="193" w:name="_Toc63182566"/>
      <w:bookmarkStart w:id="194" w:name="_Toc63177720"/>
      <w:bookmarkStart w:id="195" w:name="_Toc63177846"/>
      <w:bookmarkStart w:id="196" w:name="_Toc63178475"/>
      <w:bookmarkStart w:id="197" w:name="_Toc63182567"/>
      <w:bookmarkStart w:id="198" w:name="_Toc63177721"/>
      <w:bookmarkStart w:id="199" w:name="_Toc63177847"/>
      <w:bookmarkStart w:id="200" w:name="_Toc63178476"/>
      <w:bookmarkStart w:id="201" w:name="_Toc63182568"/>
      <w:bookmarkStart w:id="202" w:name="_Toc63177722"/>
      <w:bookmarkStart w:id="203" w:name="_Toc63177848"/>
      <w:bookmarkStart w:id="204" w:name="_Toc63178477"/>
      <w:bookmarkStart w:id="205" w:name="_Toc63182569"/>
      <w:bookmarkStart w:id="206" w:name="_Toc63177723"/>
      <w:bookmarkStart w:id="207" w:name="_Toc63177849"/>
      <w:bookmarkStart w:id="208" w:name="_Toc63178478"/>
      <w:bookmarkStart w:id="209" w:name="_Toc63182570"/>
      <w:bookmarkStart w:id="210" w:name="_Toc63177724"/>
      <w:bookmarkStart w:id="211" w:name="_Toc63177850"/>
      <w:bookmarkStart w:id="212" w:name="_Toc63178479"/>
      <w:bookmarkStart w:id="213" w:name="_Toc63182571"/>
      <w:bookmarkStart w:id="214" w:name="_Toc63177725"/>
      <w:bookmarkStart w:id="215" w:name="_Toc63177851"/>
      <w:bookmarkStart w:id="216" w:name="_Toc63178480"/>
      <w:bookmarkStart w:id="217" w:name="_Toc63182572"/>
      <w:bookmarkStart w:id="218" w:name="_Toc63177726"/>
      <w:bookmarkStart w:id="219" w:name="_Toc63177852"/>
      <w:bookmarkStart w:id="220" w:name="_Toc63178481"/>
      <w:bookmarkStart w:id="221" w:name="_Toc63182573"/>
      <w:bookmarkStart w:id="222" w:name="_Toc63177727"/>
      <w:bookmarkStart w:id="223" w:name="_Toc63177853"/>
      <w:bookmarkStart w:id="224" w:name="_Toc63178482"/>
      <w:bookmarkStart w:id="225" w:name="_Toc63182574"/>
      <w:bookmarkStart w:id="226" w:name="_Toc63177728"/>
      <w:bookmarkStart w:id="227" w:name="_Toc63177854"/>
      <w:bookmarkStart w:id="228" w:name="_Toc63178483"/>
      <w:bookmarkStart w:id="229" w:name="_Toc63182575"/>
      <w:bookmarkStart w:id="230" w:name="_Toc63177729"/>
      <w:bookmarkStart w:id="231" w:name="_Toc63177855"/>
      <w:bookmarkStart w:id="232" w:name="_Toc63178484"/>
      <w:bookmarkStart w:id="233" w:name="_Toc63182576"/>
      <w:bookmarkStart w:id="234" w:name="_Toc63177730"/>
      <w:bookmarkStart w:id="235" w:name="_Toc63177856"/>
      <w:bookmarkStart w:id="236" w:name="_Toc63178485"/>
      <w:bookmarkStart w:id="237" w:name="_Toc63182577"/>
      <w:bookmarkStart w:id="238" w:name="_Toc63177731"/>
      <w:bookmarkStart w:id="239" w:name="_Toc63177857"/>
      <w:bookmarkStart w:id="240" w:name="_Toc63178486"/>
      <w:bookmarkStart w:id="241" w:name="_Toc63182578"/>
      <w:bookmarkStart w:id="242" w:name="_Toc63177732"/>
      <w:bookmarkStart w:id="243" w:name="_Toc63177858"/>
      <w:bookmarkStart w:id="244" w:name="_Toc63178487"/>
      <w:bookmarkStart w:id="245" w:name="_Toc63182579"/>
      <w:bookmarkStart w:id="246" w:name="_Toc63177733"/>
      <w:bookmarkStart w:id="247" w:name="_Toc63177859"/>
      <w:bookmarkStart w:id="248" w:name="_Toc63178488"/>
      <w:bookmarkStart w:id="249" w:name="_Toc63182580"/>
      <w:bookmarkStart w:id="250" w:name="_Toc63177734"/>
      <w:bookmarkStart w:id="251" w:name="_Toc63177860"/>
      <w:bookmarkStart w:id="252" w:name="_Toc63178489"/>
      <w:bookmarkStart w:id="253" w:name="_Toc63182581"/>
      <w:bookmarkStart w:id="254" w:name="_Toc63177735"/>
      <w:bookmarkStart w:id="255" w:name="_Toc63177861"/>
      <w:bookmarkStart w:id="256" w:name="_Toc63178490"/>
      <w:bookmarkStart w:id="257" w:name="_Toc63182582"/>
      <w:bookmarkStart w:id="258" w:name="_Toc63177736"/>
      <w:bookmarkStart w:id="259" w:name="_Toc63177862"/>
      <w:bookmarkStart w:id="260" w:name="_Toc63178491"/>
      <w:bookmarkStart w:id="261" w:name="_Toc63182583"/>
      <w:bookmarkStart w:id="262" w:name="_Toc63177737"/>
      <w:bookmarkStart w:id="263" w:name="_Toc63177863"/>
      <w:bookmarkStart w:id="264" w:name="_Toc63178492"/>
      <w:bookmarkStart w:id="265" w:name="_Toc63182584"/>
      <w:bookmarkStart w:id="266" w:name="_Toc63177738"/>
      <w:bookmarkStart w:id="267" w:name="_Toc63177864"/>
      <w:bookmarkStart w:id="268" w:name="_Toc63178493"/>
      <w:bookmarkStart w:id="269" w:name="_Toc63182585"/>
      <w:bookmarkStart w:id="270" w:name="_Toc63177739"/>
      <w:bookmarkStart w:id="271" w:name="_Toc63177865"/>
      <w:bookmarkStart w:id="272" w:name="_Toc63178494"/>
      <w:bookmarkStart w:id="273" w:name="_Toc63182586"/>
      <w:bookmarkStart w:id="274" w:name="_Toc63177740"/>
      <w:bookmarkStart w:id="275" w:name="_Toc63177866"/>
      <w:bookmarkStart w:id="276" w:name="_Toc63178495"/>
      <w:bookmarkStart w:id="277" w:name="_Toc63182587"/>
      <w:bookmarkStart w:id="278" w:name="_Toc63177741"/>
      <w:bookmarkStart w:id="279" w:name="_Toc63177867"/>
      <w:bookmarkStart w:id="280" w:name="_Toc63178496"/>
      <w:bookmarkStart w:id="281" w:name="_Toc63182588"/>
      <w:bookmarkStart w:id="282" w:name="_Toc63177742"/>
      <w:bookmarkStart w:id="283" w:name="_Toc63177868"/>
      <w:bookmarkStart w:id="284" w:name="_Toc63178497"/>
      <w:bookmarkStart w:id="285" w:name="_Toc63182589"/>
      <w:bookmarkStart w:id="286" w:name="_Toc63177743"/>
      <w:bookmarkStart w:id="287" w:name="_Toc63177869"/>
      <w:bookmarkStart w:id="288" w:name="_Toc63178498"/>
      <w:bookmarkStart w:id="289" w:name="_Toc63182590"/>
      <w:bookmarkStart w:id="290" w:name="_Toc63177744"/>
      <w:bookmarkStart w:id="291" w:name="_Toc63177870"/>
      <w:bookmarkStart w:id="292" w:name="_Toc63178499"/>
      <w:bookmarkStart w:id="293" w:name="_Toc63182591"/>
      <w:bookmarkStart w:id="294" w:name="_Toc63177745"/>
      <w:bookmarkStart w:id="295" w:name="_Toc63177871"/>
      <w:bookmarkStart w:id="296" w:name="_Toc63178500"/>
      <w:bookmarkStart w:id="297" w:name="_Toc63182592"/>
      <w:bookmarkStart w:id="298" w:name="_Toc63177746"/>
      <w:bookmarkStart w:id="299" w:name="_Toc63177872"/>
      <w:bookmarkStart w:id="300" w:name="_Toc63178501"/>
      <w:bookmarkStart w:id="301" w:name="_Toc63182593"/>
      <w:bookmarkStart w:id="302" w:name="_Toc63177747"/>
      <w:bookmarkStart w:id="303" w:name="_Toc63177873"/>
      <w:bookmarkStart w:id="304" w:name="_Toc63178502"/>
      <w:bookmarkStart w:id="305" w:name="_Toc63182594"/>
      <w:bookmarkStart w:id="306" w:name="_Toc63177748"/>
      <w:bookmarkStart w:id="307" w:name="_Toc63177874"/>
      <w:bookmarkStart w:id="308" w:name="_Toc63178503"/>
      <w:bookmarkStart w:id="309" w:name="_Toc63182595"/>
      <w:bookmarkStart w:id="310" w:name="_Toc63177749"/>
      <w:bookmarkStart w:id="311" w:name="_Toc63177875"/>
      <w:bookmarkStart w:id="312" w:name="_Toc63178504"/>
      <w:bookmarkStart w:id="313" w:name="_Toc63182596"/>
      <w:bookmarkStart w:id="314" w:name="_Toc63177750"/>
      <w:bookmarkStart w:id="315" w:name="_Toc63177876"/>
      <w:bookmarkStart w:id="316" w:name="_Toc63178505"/>
      <w:bookmarkStart w:id="317" w:name="_Toc63182597"/>
      <w:bookmarkStart w:id="318" w:name="_Toc63177751"/>
      <w:bookmarkStart w:id="319" w:name="_Toc63177877"/>
      <w:bookmarkStart w:id="320" w:name="_Toc63178506"/>
      <w:bookmarkStart w:id="321" w:name="_Toc63182598"/>
      <w:bookmarkStart w:id="322" w:name="_Toc63177752"/>
      <w:bookmarkStart w:id="323" w:name="_Toc63177878"/>
      <w:bookmarkStart w:id="324" w:name="_Toc63178507"/>
      <w:bookmarkStart w:id="325" w:name="_Toc63182599"/>
      <w:bookmarkStart w:id="326" w:name="_Toc63177753"/>
      <w:bookmarkStart w:id="327" w:name="_Toc63177879"/>
      <w:bookmarkStart w:id="328" w:name="_Toc63178508"/>
      <w:bookmarkStart w:id="329" w:name="_Toc63182600"/>
      <w:bookmarkStart w:id="330" w:name="_Toc63177754"/>
      <w:bookmarkStart w:id="331" w:name="_Toc63177880"/>
      <w:bookmarkStart w:id="332" w:name="_Toc63178509"/>
      <w:bookmarkStart w:id="333" w:name="_Toc63182601"/>
      <w:bookmarkStart w:id="334" w:name="_Toc63177755"/>
      <w:bookmarkStart w:id="335" w:name="_Toc63177881"/>
      <w:bookmarkStart w:id="336" w:name="_Toc63178510"/>
      <w:bookmarkStart w:id="337" w:name="_Toc63182602"/>
      <w:bookmarkStart w:id="338" w:name="_Toc63177756"/>
      <w:bookmarkStart w:id="339" w:name="_Toc63177882"/>
      <w:bookmarkStart w:id="340" w:name="_Toc63178511"/>
      <w:bookmarkStart w:id="341" w:name="_Toc63182603"/>
      <w:bookmarkStart w:id="342" w:name="_Toc63177757"/>
      <w:bookmarkStart w:id="343" w:name="_Toc63177883"/>
      <w:bookmarkStart w:id="344" w:name="_Toc63178512"/>
      <w:bookmarkStart w:id="345" w:name="_Toc63182604"/>
      <w:bookmarkStart w:id="346" w:name="_Toc63177758"/>
      <w:bookmarkStart w:id="347" w:name="_Toc63177884"/>
      <w:bookmarkStart w:id="348" w:name="_Toc63178513"/>
      <w:bookmarkStart w:id="349" w:name="_Toc63182605"/>
      <w:bookmarkStart w:id="350" w:name="_Toc63177759"/>
      <w:bookmarkStart w:id="351" w:name="_Toc63177885"/>
      <w:bookmarkStart w:id="352" w:name="_Toc63178514"/>
      <w:bookmarkStart w:id="353" w:name="_Toc63182606"/>
      <w:bookmarkStart w:id="354" w:name="_Toc63177760"/>
      <w:bookmarkStart w:id="355" w:name="_Toc63177886"/>
      <w:bookmarkStart w:id="356" w:name="_Toc63178515"/>
      <w:bookmarkStart w:id="357" w:name="_Toc63182607"/>
      <w:bookmarkStart w:id="358" w:name="_Toc63177761"/>
      <w:bookmarkStart w:id="359" w:name="_Toc63177887"/>
      <w:bookmarkStart w:id="360" w:name="_Toc63178516"/>
      <w:bookmarkStart w:id="361" w:name="_Toc63182608"/>
      <w:bookmarkStart w:id="362" w:name="_Toc63177762"/>
      <w:bookmarkStart w:id="363" w:name="_Toc63177888"/>
      <w:bookmarkStart w:id="364" w:name="_Toc63178517"/>
      <w:bookmarkStart w:id="365" w:name="_Toc63182609"/>
      <w:bookmarkStart w:id="366" w:name="_Toc63177763"/>
      <w:bookmarkStart w:id="367" w:name="_Toc63177889"/>
      <w:bookmarkStart w:id="368" w:name="_Toc63178518"/>
      <w:bookmarkStart w:id="369" w:name="_Toc63182610"/>
      <w:bookmarkStart w:id="370" w:name="_Toc63177764"/>
      <w:bookmarkStart w:id="371" w:name="_Toc63177890"/>
      <w:bookmarkStart w:id="372" w:name="_Toc63178519"/>
      <w:bookmarkStart w:id="373" w:name="_Toc63182611"/>
      <w:bookmarkStart w:id="374" w:name="_Toc63177765"/>
      <w:bookmarkStart w:id="375" w:name="_Toc63177891"/>
      <w:bookmarkStart w:id="376" w:name="_Toc63178520"/>
      <w:bookmarkStart w:id="377" w:name="_Toc63182612"/>
      <w:bookmarkStart w:id="378" w:name="_Toc63177766"/>
      <w:bookmarkStart w:id="379" w:name="_Toc63177892"/>
      <w:bookmarkStart w:id="380" w:name="_Toc63178521"/>
      <w:bookmarkStart w:id="381" w:name="_Toc63182613"/>
      <w:bookmarkStart w:id="382" w:name="_Toc63177767"/>
      <w:bookmarkStart w:id="383" w:name="_Toc63177893"/>
      <w:bookmarkStart w:id="384" w:name="_Toc63178522"/>
      <w:bookmarkStart w:id="385" w:name="_Toc63182614"/>
      <w:bookmarkStart w:id="386" w:name="_Toc63177768"/>
      <w:bookmarkStart w:id="387" w:name="_Toc63177894"/>
      <w:bookmarkStart w:id="388" w:name="_Toc63178523"/>
      <w:bookmarkStart w:id="389" w:name="_Toc63182615"/>
      <w:bookmarkStart w:id="390" w:name="_Toc63177769"/>
      <w:bookmarkStart w:id="391" w:name="_Toc63177895"/>
      <w:bookmarkStart w:id="392" w:name="_Toc63178524"/>
      <w:bookmarkStart w:id="393" w:name="_Toc63182616"/>
      <w:bookmarkStart w:id="394" w:name="_Toc63177770"/>
      <w:bookmarkStart w:id="395" w:name="_Toc63177896"/>
      <w:bookmarkStart w:id="396" w:name="_Toc63178525"/>
      <w:bookmarkStart w:id="397" w:name="_Toc63182617"/>
      <w:bookmarkStart w:id="398" w:name="_Toc63177771"/>
      <w:bookmarkStart w:id="399" w:name="_Toc63177897"/>
      <w:bookmarkStart w:id="400" w:name="_Toc63178526"/>
      <w:bookmarkStart w:id="401" w:name="_Toc63182618"/>
      <w:bookmarkStart w:id="402" w:name="_Toc63177772"/>
      <w:bookmarkStart w:id="403" w:name="_Toc63177898"/>
      <w:bookmarkStart w:id="404" w:name="_Toc63178527"/>
      <w:bookmarkStart w:id="405" w:name="_Toc63182619"/>
      <w:bookmarkStart w:id="406" w:name="_Toc63177773"/>
      <w:bookmarkStart w:id="407" w:name="_Toc63177899"/>
      <w:bookmarkStart w:id="408" w:name="_Toc63178528"/>
      <w:bookmarkStart w:id="409" w:name="_Toc63182620"/>
      <w:bookmarkStart w:id="410" w:name="_Toc63177774"/>
      <w:bookmarkStart w:id="411" w:name="_Toc63177900"/>
      <w:bookmarkStart w:id="412" w:name="_Toc63178529"/>
      <w:bookmarkStart w:id="413" w:name="_Toc63182621"/>
      <w:bookmarkStart w:id="414" w:name="_Toc63177775"/>
      <w:bookmarkStart w:id="415" w:name="_Toc63177901"/>
      <w:bookmarkStart w:id="416" w:name="_Toc63178530"/>
      <w:bookmarkStart w:id="417" w:name="_Toc63182622"/>
      <w:bookmarkStart w:id="418" w:name="_Toc63177776"/>
      <w:bookmarkStart w:id="419" w:name="_Toc63177902"/>
      <w:bookmarkStart w:id="420" w:name="_Toc63178531"/>
      <w:bookmarkStart w:id="421" w:name="_Toc63182623"/>
      <w:bookmarkStart w:id="422" w:name="_Toc63177777"/>
      <w:bookmarkStart w:id="423" w:name="_Toc63177903"/>
      <w:bookmarkStart w:id="424" w:name="_Toc63178532"/>
      <w:bookmarkStart w:id="425" w:name="_Toc63182624"/>
      <w:bookmarkStart w:id="426" w:name="_Toc63177778"/>
      <w:bookmarkStart w:id="427" w:name="_Toc63177904"/>
      <w:bookmarkStart w:id="428" w:name="_Toc63178533"/>
      <w:bookmarkStart w:id="429" w:name="_Toc63182625"/>
      <w:bookmarkStart w:id="430" w:name="_Toc2089996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912A85">
        <w:lastRenderedPageBreak/>
        <w:t>Overall context</w:t>
      </w:r>
      <w:bookmarkEnd w:id="430"/>
    </w:p>
    <w:p w14:paraId="0D35E082" w14:textId="77777777" w:rsidR="00B65EDC" w:rsidRPr="00912A85" w:rsidRDefault="00B65EDC" w:rsidP="00B65EDC"/>
    <w:p w14:paraId="66F29C7D" w14:textId="77777777" w:rsidR="00B65EDC" w:rsidRPr="00912A85" w:rsidRDefault="00B65EDC" w:rsidP="00B65EDC">
      <w:pPr>
        <w:rPr>
          <w:bCs/>
          <w:color w:val="000000" w:themeColor="text1"/>
        </w:rPr>
      </w:pPr>
      <w:r w:rsidRPr="00DE55B0">
        <w:rPr>
          <w:bCs/>
          <w:color w:val="000000" w:themeColor="text1"/>
        </w:rPr>
        <w:fldChar w:fldCharType="begin"/>
      </w:r>
      <w:r w:rsidRPr="00DE55B0">
        <w:rPr>
          <w:bCs/>
          <w:color w:val="000000" w:themeColor="text1"/>
        </w:rPr>
        <w:instrText xml:space="preserve"> AUTONUM  </w:instrText>
      </w:r>
      <w:r w:rsidRPr="00DE55B0">
        <w:rPr>
          <w:bCs/>
          <w:color w:val="000000" w:themeColor="text1"/>
        </w:rPr>
        <w:fldChar w:fldCharType="end"/>
      </w:r>
      <w:r w:rsidRPr="00DE55B0">
        <w:rPr>
          <w:bCs/>
          <w:color w:val="000000" w:themeColor="text1"/>
        </w:rPr>
        <w:tab/>
      </w:r>
      <w:bookmarkStart w:id="431" w:name="_Hlk191662773"/>
      <w:r w:rsidRPr="00DE55B0">
        <w:rPr>
          <w:bCs/>
          <w:color w:val="000000" w:themeColor="text1"/>
        </w:rPr>
        <w:t>UPOV’s mission is to provide and promote an effective system of plant variety protection (PVP), with</w:t>
      </w:r>
      <w:r w:rsidRPr="00912A85">
        <w:rPr>
          <w:bCs/>
          <w:color w:val="000000" w:themeColor="text1"/>
        </w:rPr>
        <w:t xml:space="preserve"> the aim of encouraging the development of new varieties of plants, for the benefit of society.  </w:t>
      </w:r>
    </w:p>
    <w:p w14:paraId="046A4945" w14:textId="77777777" w:rsidR="00B65EDC" w:rsidRPr="00912A85" w:rsidRDefault="00B65EDC" w:rsidP="00B65EDC"/>
    <w:p w14:paraId="7C899815" w14:textId="6945A81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During the </w:t>
      </w:r>
      <w:r w:rsidR="00521C0D">
        <w:t>2026</w:t>
      </w:r>
      <w:r w:rsidR="00521C0D">
        <w:noBreakHyphen/>
        <w:t>2027</w:t>
      </w:r>
      <w:r w:rsidRPr="00912A85">
        <w:t xml:space="preserve"> biennium, UPOV will focus on priority areas, in accordance with UPOV’s Strategic Business Plan.  This is reflected by the proposed expenditure for those priority areas and </w:t>
      </w:r>
      <w:r w:rsidR="007F06A2">
        <w:t xml:space="preserve">the </w:t>
      </w:r>
      <w:r w:rsidRPr="00912A85">
        <w:t xml:space="preserve">containment of personnel costs. </w:t>
      </w:r>
      <w:r w:rsidR="007F06A2">
        <w:t xml:space="preserve"> </w:t>
      </w:r>
      <w:r w:rsidRPr="00912A85">
        <w:t>Communication and digitalization work will play a key role to achieve the expected results.  Until additional funding can be secured, there will be a careful assessment of new initiatives and an increased use of virtual/hybrid meeting tools and online participation in events organized by third parties, resulting in a reduction in travel time and travel costs.</w:t>
      </w:r>
    </w:p>
    <w:p w14:paraId="459C4A6D" w14:textId="77777777" w:rsidR="00B65EDC" w:rsidRPr="00912A85" w:rsidRDefault="00B65EDC" w:rsidP="00B65EDC"/>
    <w:p w14:paraId="17E0078D" w14:textId="4B6A198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w:t>
      </w:r>
      <w:bookmarkStart w:id="432" w:name="_Hlk208497736"/>
      <w:r w:rsidR="00FC6BF7">
        <w:t xml:space="preserve">UPOV </w:t>
      </w:r>
      <w:r w:rsidRPr="00912A85">
        <w:t xml:space="preserve">Resources Strategy </w:t>
      </w:r>
      <w:r w:rsidR="00FC6BF7">
        <w:t>(document C/59/16)</w:t>
      </w:r>
      <w:bookmarkEnd w:id="432"/>
      <w:r w:rsidR="00FC6BF7">
        <w:t xml:space="preserve"> </w:t>
      </w:r>
      <w:r w:rsidRPr="00912A85">
        <w:t>will be presented to the UPOV Council in October 2025 with proposals to address financial challenges and opportunities to ensure sustainable development of UPOV.</w:t>
      </w:r>
    </w:p>
    <w:p w14:paraId="088E586F" w14:textId="77777777" w:rsidR="00B65EDC" w:rsidRPr="00912A85" w:rsidRDefault="00B65EDC" w:rsidP="00B65EDC">
      <w:pPr>
        <w:rPr>
          <w:bCs/>
          <w:color w:val="000000" w:themeColor="text1"/>
        </w:rPr>
      </w:pPr>
    </w:p>
    <w:p w14:paraId="57E3543E" w14:textId="77777777" w:rsidR="00B65EDC" w:rsidRPr="00912A85" w:rsidRDefault="00B65EDC" w:rsidP="00B65EDC">
      <w:pPr>
        <w:rPr>
          <w:bCs/>
          <w:color w:val="000000" w:themeColor="text1"/>
        </w:rPr>
      </w:pPr>
    </w:p>
    <w:p w14:paraId="4723B806" w14:textId="77777777" w:rsidR="00B65EDC" w:rsidRPr="00912A85" w:rsidRDefault="00B65EDC" w:rsidP="00B65EDC">
      <w:pPr>
        <w:rPr>
          <w:bCs/>
          <w:color w:val="000000" w:themeColor="text1"/>
          <w:u w:val="single"/>
        </w:rPr>
      </w:pPr>
      <w:r w:rsidRPr="00912A85">
        <w:rPr>
          <w:bCs/>
          <w:color w:val="000000" w:themeColor="text1"/>
          <w:u w:val="single"/>
        </w:rPr>
        <w:t>Expansion of UPOV membership</w:t>
      </w:r>
    </w:p>
    <w:p w14:paraId="40578E6E" w14:textId="77777777" w:rsidR="00B65EDC" w:rsidRPr="00912A85" w:rsidRDefault="00B65EDC" w:rsidP="00B65EDC">
      <w:pPr>
        <w:rPr>
          <w:bCs/>
          <w:color w:val="000000" w:themeColor="text1"/>
        </w:rPr>
      </w:pPr>
    </w:p>
    <w:p w14:paraId="79FFDA0A" w14:textId="4B762C01"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Expansion of UPOV membership continues to be a priority for the organization.</w:t>
      </w:r>
      <w:r w:rsidR="007F06A2">
        <w:rPr>
          <w:bCs/>
          <w:color w:val="000000" w:themeColor="text1"/>
        </w:rPr>
        <w:t xml:space="preserve"> </w:t>
      </w:r>
      <w:r w:rsidRPr="00912A85">
        <w:rPr>
          <w:bCs/>
          <w:color w:val="000000" w:themeColor="text1"/>
        </w:rPr>
        <w:t xml:space="preserve"> In the </w:t>
      </w:r>
      <w:r w:rsidR="00521C0D">
        <w:rPr>
          <w:bCs/>
          <w:color w:val="000000" w:themeColor="text1"/>
        </w:rPr>
        <w:t>2026</w:t>
      </w:r>
      <w:r w:rsidR="00521C0D">
        <w:rPr>
          <w:bCs/>
          <w:color w:val="000000" w:themeColor="text1"/>
        </w:rPr>
        <w:noBreakHyphen/>
        <w:t>2027</w:t>
      </w:r>
      <w:r w:rsidRPr="00912A85">
        <w:rPr>
          <w:bCs/>
          <w:color w:val="000000" w:themeColor="text1"/>
        </w:rPr>
        <w:t xml:space="preserve"> biennium, UPOV will continue to engage with international and regional organizations to integrate this priority in development conversations (e.g. the role of PVP for sustainable development goals, addressing climate change and contributing to better life and better planet).  </w:t>
      </w:r>
    </w:p>
    <w:p w14:paraId="675CA7CB" w14:textId="77777777" w:rsidR="00B65EDC" w:rsidRPr="00912A85" w:rsidRDefault="00B65EDC" w:rsidP="00B65EDC">
      <w:pPr>
        <w:rPr>
          <w:bCs/>
          <w:color w:val="000000" w:themeColor="text1"/>
        </w:rPr>
      </w:pPr>
    </w:p>
    <w:p w14:paraId="689E01D1" w14:textId="3AD6CCBD"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Increasing interest in plant variety protection among countries in Africa and South-East Asia, many of which have joined or are working towards UPOV membership, highlights the impact of these engagement initiatives. </w:t>
      </w:r>
      <w:r w:rsidR="007F06A2">
        <w:rPr>
          <w:bCs/>
          <w:color w:val="000000" w:themeColor="text1"/>
        </w:rPr>
        <w:t xml:space="preserve"> </w:t>
      </w:r>
      <w:r w:rsidRPr="00912A85">
        <w:rPr>
          <w:bCs/>
          <w:color w:val="000000" w:themeColor="text1"/>
        </w:rPr>
        <w:t>By fostering access to climate-resilient varieties, the UPOV PVP framework supports both productivity and sustainability across the agricultural and horticultural value chain.</w:t>
      </w:r>
    </w:p>
    <w:p w14:paraId="10B89E6C" w14:textId="77777777" w:rsidR="00B65EDC" w:rsidRPr="00912A85" w:rsidRDefault="00B65EDC" w:rsidP="00B65EDC">
      <w:pPr>
        <w:rPr>
          <w:bCs/>
          <w:color w:val="000000" w:themeColor="text1"/>
        </w:rPr>
      </w:pPr>
    </w:p>
    <w:p w14:paraId="15A25381" w14:textId="2E6E208E"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Enhanced cooperation with regional platforms like the African Regional Intellectual Property Organization (ARIPO) is also important. </w:t>
      </w:r>
      <w:r w:rsidR="007F06A2">
        <w:rPr>
          <w:bCs/>
          <w:color w:val="000000" w:themeColor="text1"/>
        </w:rPr>
        <w:t xml:space="preserve"> </w:t>
      </w:r>
      <w:r w:rsidRPr="00912A85">
        <w:rPr>
          <w:bCs/>
          <w:color w:val="000000" w:themeColor="text1"/>
        </w:rPr>
        <w:t>Alongside ARIPO’s growing engagement, the entry into force of the ARIPO’s Arusha Protocol on PVP in November 2024, demonstrates how momentum is building across Africa in the drive to strengthen plant variety protection and support agricultural innovation.</w:t>
      </w:r>
    </w:p>
    <w:p w14:paraId="0F6A2D2B" w14:textId="77777777" w:rsidR="00B65EDC" w:rsidRPr="00912A85" w:rsidRDefault="00B65EDC" w:rsidP="00B65EDC">
      <w:pPr>
        <w:rPr>
          <w:bCs/>
          <w:color w:val="000000" w:themeColor="text1"/>
        </w:rPr>
      </w:pPr>
    </w:p>
    <w:p w14:paraId="77539206" w14:textId="77777777" w:rsidR="00B65EDC" w:rsidRPr="00912A85" w:rsidRDefault="00B65EDC" w:rsidP="00B65EDC">
      <w:pPr>
        <w:rPr>
          <w:bCs/>
          <w:color w:val="000000" w:themeColor="text1"/>
        </w:rPr>
      </w:pPr>
    </w:p>
    <w:p w14:paraId="5C15F45A" w14:textId="77777777" w:rsidR="00B65EDC" w:rsidRPr="00912A85" w:rsidRDefault="00B65EDC" w:rsidP="00B65EDC">
      <w:pPr>
        <w:rPr>
          <w:bCs/>
          <w:color w:val="000000" w:themeColor="text1"/>
          <w:u w:val="single"/>
        </w:rPr>
      </w:pPr>
      <w:r w:rsidRPr="00912A85">
        <w:rPr>
          <w:bCs/>
          <w:color w:val="000000" w:themeColor="text1"/>
          <w:u w:val="single"/>
        </w:rPr>
        <w:t>Food security and climate impact</w:t>
      </w:r>
    </w:p>
    <w:p w14:paraId="514C0A6B" w14:textId="77777777" w:rsidR="00B65EDC" w:rsidRPr="00912A85" w:rsidRDefault="00B65EDC" w:rsidP="00B65EDC">
      <w:pPr>
        <w:rPr>
          <w:bCs/>
          <w:color w:val="000000" w:themeColor="text1"/>
        </w:rPr>
      </w:pPr>
    </w:p>
    <w:p w14:paraId="6D389006" w14:textId="050AC81E"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The Secretary-General of UPOV in his address to the UPOV Council in October 2024, reported that 2023 was the warmest year on record.  At the same time, more than 860 million people are experiencing severe food insecurity. </w:t>
      </w:r>
      <w:r w:rsidR="007F06A2">
        <w:rPr>
          <w:bCs/>
          <w:color w:val="000000" w:themeColor="text1"/>
        </w:rPr>
        <w:t xml:space="preserve"> </w:t>
      </w:r>
      <w:r w:rsidRPr="00912A85">
        <w:rPr>
          <w:bCs/>
          <w:color w:val="000000" w:themeColor="text1"/>
        </w:rPr>
        <w:t xml:space="preserve">In Africa, nearly 60 per cent of the population is either moderately or severely food insecure. </w:t>
      </w:r>
    </w:p>
    <w:p w14:paraId="2DFA1843" w14:textId="77777777" w:rsidR="00B65EDC" w:rsidRPr="00912A85" w:rsidRDefault="00B65EDC" w:rsidP="00B65EDC">
      <w:pPr>
        <w:rPr>
          <w:bCs/>
          <w:color w:val="000000" w:themeColor="text1"/>
        </w:rPr>
      </w:pPr>
    </w:p>
    <w:p w14:paraId="6E819356" w14:textId="61CF75A9"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As food demand rises with population growth and climate change impacts intensify, innovation becomes essential to ensuring food security, enhancing productivity</w:t>
      </w:r>
      <w:r w:rsidR="007F06A2">
        <w:rPr>
          <w:bCs/>
          <w:color w:val="000000" w:themeColor="text1"/>
        </w:rPr>
        <w:t>,</w:t>
      </w:r>
      <w:r w:rsidRPr="00912A85">
        <w:rPr>
          <w:bCs/>
          <w:color w:val="000000" w:themeColor="text1"/>
        </w:rPr>
        <w:t xml:space="preserve"> and building resilience. </w:t>
      </w:r>
      <w:r w:rsidR="007F06A2">
        <w:rPr>
          <w:bCs/>
          <w:color w:val="000000" w:themeColor="text1"/>
        </w:rPr>
        <w:t xml:space="preserve"> </w:t>
      </w:r>
      <w:r w:rsidRPr="00912A85">
        <w:rPr>
          <w:bCs/>
          <w:color w:val="000000" w:themeColor="text1"/>
        </w:rPr>
        <w:t xml:space="preserve">These developments highlight the growing importance of innovation in the agriculture and horticultural sectors. </w:t>
      </w:r>
    </w:p>
    <w:p w14:paraId="7BFE31A4" w14:textId="77777777" w:rsidR="00B65EDC" w:rsidRPr="00912A85" w:rsidRDefault="00B65EDC" w:rsidP="00B65EDC">
      <w:pPr>
        <w:rPr>
          <w:bCs/>
          <w:color w:val="000000" w:themeColor="text1"/>
        </w:rPr>
      </w:pPr>
    </w:p>
    <w:p w14:paraId="61C353E4" w14:textId="286B7EEA"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This is particularly vital in the agricultural and horticultural sectors, where a substantial portion of the population in many countries is engaged in farming and trade. </w:t>
      </w:r>
      <w:r w:rsidR="007F06A2">
        <w:rPr>
          <w:bCs/>
          <w:color w:val="000000" w:themeColor="text1"/>
        </w:rPr>
        <w:t xml:space="preserve"> </w:t>
      </w:r>
      <w:r w:rsidRPr="00912A85">
        <w:rPr>
          <w:bCs/>
          <w:color w:val="000000" w:themeColor="text1"/>
        </w:rPr>
        <w:t xml:space="preserve">The UPOV PVP framework plays a pivotal role by incentivizing innovation in these sectors and facilitating the development and commercialization of new plant varieties. </w:t>
      </w:r>
      <w:r w:rsidR="007F06A2">
        <w:rPr>
          <w:bCs/>
          <w:color w:val="000000" w:themeColor="text1"/>
        </w:rPr>
        <w:t xml:space="preserve"> </w:t>
      </w:r>
      <w:r w:rsidRPr="00912A85">
        <w:rPr>
          <w:bCs/>
          <w:color w:val="000000" w:themeColor="text1"/>
        </w:rPr>
        <w:t>By protecting breeders’ rights, breeders are able to recoup investment in breeding</w:t>
      </w:r>
      <w:r w:rsidR="007F06A2">
        <w:rPr>
          <w:bCs/>
          <w:color w:val="000000" w:themeColor="text1"/>
        </w:rPr>
        <w:t>,</w:t>
      </w:r>
      <w:r w:rsidRPr="00912A85">
        <w:rPr>
          <w:bCs/>
          <w:color w:val="000000" w:themeColor="text1"/>
        </w:rPr>
        <w:t xml:space="preserve"> driving the introduction of high-yielding, pest-resistant, and climate-adapted crops. </w:t>
      </w:r>
      <w:r w:rsidR="007F06A2">
        <w:rPr>
          <w:bCs/>
          <w:color w:val="000000" w:themeColor="text1"/>
        </w:rPr>
        <w:t xml:space="preserve"> </w:t>
      </w:r>
      <w:r w:rsidRPr="00912A85">
        <w:rPr>
          <w:bCs/>
          <w:color w:val="000000" w:themeColor="text1"/>
        </w:rPr>
        <w:t>Evidence from countries like Viet</w:t>
      </w:r>
      <w:r w:rsidR="00E12ED3">
        <w:rPr>
          <w:bCs/>
          <w:color w:val="000000" w:themeColor="text1"/>
        </w:rPr>
        <w:t> </w:t>
      </w:r>
      <w:r w:rsidRPr="00912A85">
        <w:rPr>
          <w:bCs/>
          <w:color w:val="000000" w:themeColor="text1"/>
        </w:rPr>
        <w:t xml:space="preserve">Nam demonstrate that PVP and UPOV membership have led to a surge in private sector investment in plant variety development, accelerating agricultural innovation and economic growth. </w:t>
      </w:r>
      <w:r w:rsidR="007F06A2">
        <w:rPr>
          <w:bCs/>
          <w:color w:val="000000" w:themeColor="text1"/>
        </w:rPr>
        <w:t xml:space="preserve"> </w:t>
      </w:r>
      <w:r w:rsidRPr="00912A85">
        <w:rPr>
          <w:bCs/>
          <w:color w:val="000000" w:themeColor="text1"/>
        </w:rPr>
        <w:t xml:space="preserve">Protecting breeders' rights not only drives innovation but also fosters the wider dissemination of new varieties, boosting productivity and sustainability.  </w:t>
      </w:r>
    </w:p>
    <w:p w14:paraId="1D7640A6" w14:textId="77777777" w:rsidR="00B65EDC" w:rsidRPr="00912A85" w:rsidRDefault="00B65EDC" w:rsidP="00B65EDC">
      <w:pPr>
        <w:rPr>
          <w:bCs/>
          <w:color w:val="000000" w:themeColor="text1"/>
        </w:rPr>
      </w:pPr>
    </w:p>
    <w:p w14:paraId="5C9AEC95" w14:textId="4CA12E4C"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The role that the UPOV system plays to ensure that all farmers and growers have access to high-quality plant varieties that meet their needs and are resilient to climate change will remain a priority. </w:t>
      </w:r>
      <w:r w:rsidR="007F06A2">
        <w:rPr>
          <w:bCs/>
          <w:color w:val="000000" w:themeColor="text1"/>
        </w:rPr>
        <w:t xml:space="preserve"> </w:t>
      </w:r>
      <w:r w:rsidRPr="00912A85">
        <w:rPr>
          <w:bCs/>
          <w:color w:val="000000" w:themeColor="text1"/>
        </w:rPr>
        <w:t xml:space="preserve">Success stories shared by users of the UPOV system will be instrumental in demonstrating its benefits. </w:t>
      </w:r>
      <w:r w:rsidR="007F06A2">
        <w:rPr>
          <w:bCs/>
          <w:color w:val="000000" w:themeColor="text1"/>
        </w:rPr>
        <w:t xml:space="preserve"> </w:t>
      </w:r>
      <w:r w:rsidRPr="00912A85">
        <w:rPr>
          <w:bCs/>
          <w:color w:val="000000" w:themeColor="text1"/>
        </w:rPr>
        <w:t>A seminar will be organized in 2026 to highlight these matters.</w:t>
      </w:r>
    </w:p>
    <w:p w14:paraId="3E72E686" w14:textId="77777777" w:rsidR="00B65EDC" w:rsidRPr="00912A85" w:rsidRDefault="00B65EDC" w:rsidP="00B65EDC">
      <w:pPr>
        <w:rPr>
          <w:bCs/>
          <w:color w:val="000000" w:themeColor="text1"/>
        </w:rPr>
      </w:pPr>
    </w:p>
    <w:p w14:paraId="590266B7" w14:textId="77777777" w:rsidR="00B65EDC" w:rsidRPr="00912A85" w:rsidRDefault="00B65EDC" w:rsidP="00B65EDC">
      <w:pPr>
        <w:rPr>
          <w:bCs/>
          <w:color w:val="000000" w:themeColor="text1"/>
        </w:rPr>
      </w:pPr>
    </w:p>
    <w:p w14:paraId="4C2B519F" w14:textId="77777777" w:rsidR="00B65EDC" w:rsidRPr="00912A85" w:rsidRDefault="00B65EDC" w:rsidP="00B65EDC">
      <w:pPr>
        <w:keepNext/>
        <w:rPr>
          <w:iCs/>
          <w:u w:val="single"/>
        </w:rPr>
      </w:pPr>
      <w:r w:rsidRPr="00912A85">
        <w:rPr>
          <w:iCs/>
          <w:u w:val="single"/>
        </w:rPr>
        <w:t xml:space="preserve">Digitalization and new technologies </w:t>
      </w:r>
    </w:p>
    <w:p w14:paraId="34E7241E" w14:textId="77777777" w:rsidR="00B65EDC" w:rsidRPr="00912A85" w:rsidRDefault="00B65EDC" w:rsidP="00B65EDC">
      <w:pPr>
        <w:keepNext/>
        <w:rPr>
          <w:u w:val="single"/>
        </w:rPr>
      </w:pPr>
    </w:p>
    <w:p w14:paraId="22616732" w14:textId="505C2EC4" w:rsidR="00B65EDC" w:rsidRPr="00912A85" w:rsidRDefault="00B65EDC" w:rsidP="00B65EDC">
      <w:pPr>
        <w:rPr>
          <w:bCs/>
          <w:color w:val="000000" w:themeColor="text1"/>
        </w:rPr>
      </w:pPr>
      <w:r w:rsidRPr="00912A85">
        <w:fldChar w:fldCharType="begin"/>
      </w:r>
      <w:r w:rsidRPr="00912A85">
        <w:instrText xml:space="preserve"> AUTONUM  </w:instrText>
      </w:r>
      <w:r w:rsidRPr="00912A85">
        <w:fldChar w:fldCharType="end"/>
      </w:r>
      <w:r w:rsidRPr="00912A85">
        <w:tab/>
      </w:r>
      <w:r w:rsidRPr="00912A85">
        <w:rPr>
          <w:bCs/>
          <w:color w:val="000000" w:themeColor="text1"/>
        </w:rPr>
        <w:t xml:space="preserve">In recent years, the development and adoption of new technologies, such as artificial intelligence, have progressed at an unprecedented rate, and the area of plant variety protection is no exception.  Advances in biological sciences and DNA-based information provide opportunities for enhanced cooperation among UPOV members and efficiency gains in variety examination, potentially reducing time and other resources required to grant breeders’ rights. </w:t>
      </w:r>
      <w:r w:rsidR="007F06A2">
        <w:rPr>
          <w:bCs/>
          <w:color w:val="000000" w:themeColor="text1"/>
        </w:rPr>
        <w:t xml:space="preserve"> </w:t>
      </w:r>
      <w:r w:rsidRPr="00912A85">
        <w:rPr>
          <w:bCs/>
          <w:color w:val="000000" w:themeColor="text1"/>
        </w:rPr>
        <w:t xml:space="preserve">Digital tools such as </w:t>
      </w:r>
      <w:r w:rsidRPr="00912A85">
        <w:t>UPOV e</w:t>
      </w:r>
      <w:r w:rsidRPr="00912A85">
        <w:noBreakHyphen/>
        <w:t xml:space="preserve">PVP have been developed in cooperation with UPOV members and breeders. </w:t>
      </w:r>
      <w:r w:rsidR="007F06A2">
        <w:t xml:space="preserve"> </w:t>
      </w:r>
      <w:r w:rsidRPr="00912A85">
        <w:t>UPOV e</w:t>
      </w:r>
      <w:r w:rsidRPr="00912A85">
        <w:noBreakHyphen/>
        <w:t xml:space="preserve">PVP presents an opportunity to provide services to UPOV members and stakeholders in a way which will improve the efficiency of the global UPOV system and achieve a </w:t>
      </w:r>
      <w:r w:rsidRPr="00912A85">
        <w:br/>
        <w:t xml:space="preserve">“leveling-up” in capacity within UPOV. </w:t>
      </w:r>
    </w:p>
    <w:p w14:paraId="0DC0A9E8" w14:textId="77777777" w:rsidR="00B65EDC" w:rsidRPr="00912A85" w:rsidRDefault="00B65EDC" w:rsidP="00B65EDC">
      <w:pPr>
        <w:rPr>
          <w:bCs/>
          <w:color w:val="000000" w:themeColor="text1"/>
        </w:rPr>
      </w:pPr>
    </w:p>
    <w:p w14:paraId="3342DA5C" w14:textId="585CA986"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 xml:space="preserve">The UPOV “Seminar on the Interaction Between Plant Variety Protection and the use of Plant Breeding Technologies” (2023) gathered examples on the use of technologies such as “genome-sequencing”, “marker-assisted selection”, “induced mutation”, “gene-editing” and “double-haploids” in support of plant breeding.  Several experts reported that recent developments are making the use of these technologies “cheaper and easier”. </w:t>
      </w:r>
      <w:r w:rsidR="007F06A2">
        <w:rPr>
          <w:bCs/>
          <w:color w:val="000000" w:themeColor="text1"/>
        </w:rPr>
        <w:t xml:space="preserve"> </w:t>
      </w:r>
      <w:r w:rsidRPr="00912A85">
        <w:rPr>
          <w:bCs/>
          <w:color w:val="000000" w:themeColor="text1"/>
        </w:rPr>
        <w:t xml:space="preserve">The 2023 Seminar preceded the adoption of the revised explanatory notes on essentially derived varieties. </w:t>
      </w:r>
      <w:r w:rsidR="007F06A2">
        <w:rPr>
          <w:bCs/>
          <w:color w:val="000000" w:themeColor="text1"/>
        </w:rPr>
        <w:t xml:space="preserve"> </w:t>
      </w:r>
      <w:r w:rsidRPr="00912A85">
        <w:rPr>
          <w:bCs/>
          <w:color w:val="000000" w:themeColor="text1"/>
        </w:rPr>
        <w:t>New plant breeding technologies accelerate variety development.  Certain technologies enable precise modification of genes and the development of varieties with one or few changes to morphological, physiological, agronomic</w:t>
      </w:r>
      <w:r w:rsidR="007F06A2">
        <w:rPr>
          <w:bCs/>
          <w:color w:val="000000" w:themeColor="text1"/>
        </w:rPr>
        <w:t>al</w:t>
      </w:r>
      <w:r w:rsidRPr="00912A85">
        <w:rPr>
          <w:bCs/>
          <w:color w:val="000000" w:themeColor="text1"/>
        </w:rPr>
        <w:t>, industrial and/or biochemical characteristics.  This could lead to shorter variety life cycle</w:t>
      </w:r>
      <w:r w:rsidR="007F06A2">
        <w:rPr>
          <w:bCs/>
          <w:color w:val="000000" w:themeColor="text1"/>
        </w:rPr>
        <w:t>s</w:t>
      </w:r>
      <w:r w:rsidRPr="00912A85">
        <w:rPr>
          <w:bCs/>
          <w:color w:val="000000" w:themeColor="text1"/>
        </w:rPr>
        <w:t xml:space="preserve"> and more frequent replacing of varieties previously commercialized.  </w:t>
      </w:r>
    </w:p>
    <w:p w14:paraId="26BFD44A" w14:textId="77777777" w:rsidR="00B65EDC" w:rsidRPr="00912A85" w:rsidRDefault="00B65EDC" w:rsidP="00B65EDC">
      <w:pPr>
        <w:jc w:val="left"/>
      </w:pPr>
    </w:p>
    <w:p w14:paraId="283FDEB2" w14:textId="2E826F08"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During the </w:t>
      </w:r>
      <w:r w:rsidR="00521C0D">
        <w:t>2026</w:t>
      </w:r>
      <w:r w:rsidR="00521C0D">
        <w:noBreakHyphen/>
        <w:t>2027</w:t>
      </w:r>
      <w:r w:rsidRPr="00912A85">
        <w:t xml:space="preserve"> biennium, UPOV will continue exploring the use of DNA-based information and phenotyping tools, such as image analysis, automation of collection of data/processes to assist in variety </w:t>
      </w:r>
      <w:proofErr w:type="gramStart"/>
      <w:r w:rsidRPr="00912A85">
        <w:t>examination</w:t>
      </w:r>
      <w:proofErr w:type="gramEnd"/>
      <w:r w:rsidRPr="00912A85">
        <w:t xml:space="preserve">.  The Technical Working Parties are tasked with advancing discussions on these matters. </w:t>
      </w:r>
    </w:p>
    <w:p w14:paraId="354F14E7" w14:textId="77777777" w:rsidR="00B65EDC" w:rsidRPr="00912A85" w:rsidRDefault="00B65EDC" w:rsidP="00B65EDC"/>
    <w:p w14:paraId="35E1AB46"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To obtain the full benefit of the UPOV system, it is essential to explore how appropriate legal </w:t>
      </w:r>
      <w:proofErr w:type="gramStart"/>
      <w:r w:rsidRPr="00912A85">
        <w:t>measures</w:t>
      </w:r>
      <w:proofErr w:type="gramEnd"/>
      <w:r w:rsidRPr="00912A85">
        <w:t xml:space="preserve"> and technological advancements can support effective enforcement.  It is expected that the Technical Working Party on Testing Methods and Techniques (TWM) will become an important platform for sharing experiences on the role of molecular techniques for variety identification and enforcement.</w:t>
      </w:r>
    </w:p>
    <w:p w14:paraId="2D746F9A" w14:textId="77777777" w:rsidR="00B65EDC" w:rsidRPr="00912A85" w:rsidRDefault="00B65EDC" w:rsidP="00B65EDC">
      <w:pPr>
        <w:rPr>
          <w:bCs/>
          <w:color w:val="000000" w:themeColor="text1"/>
        </w:rPr>
      </w:pPr>
    </w:p>
    <w:p w14:paraId="66EA323F" w14:textId="77777777" w:rsidR="00B65EDC" w:rsidRPr="00912A85" w:rsidRDefault="00B65EDC" w:rsidP="00B65EDC">
      <w:pPr>
        <w:rPr>
          <w:bCs/>
          <w:color w:val="000000" w:themeColor="text1"/>
        </w:rPr>
      </w:pPr>
    </w:p>
    <w:p w14:paraId="419689C8" w14:textId="77777777" w:rsidR="00B65EDC" w:rsidRPr="00912A85" w:rsidDel="003B0A44" w:rsidRDefault="00B65EDC" w:rsidP="00B65EDC">
      <w:pPr>
        <w:rPr>
          <w:bCs/>
          <w:color w:val="000000" w:themeColor="text1"/>
          <w:u w:val="single"/>
        </w:rPr>
      </w:pPr>
      <w:r w:rsidRPr="00912A85">
        <w:rPr>
          <w:bCs/>
          <w:color w:val="000000" w:themeColor="text1"/>
          <w:u w:val="single"/>
        </w:rPr>
        <w:t>Continuous improvement of standards, guidance and training</w:t>
      </w:r>
    </w:p>
    <w:p w14:paraId="473090E7" w14:textId="77777777" w:rsidR="00B65EDC" w:rsidRPr="00912A85" w:rsidRDefault="00B65EDC" w:rsidP="00B65EDC">
      <w:pPr>
        <w:rPr>
          <w:bCs/>
          <w:color w:val="000000" w:themeColor="text1"/>
        </w:rPr>
      </w:pPr>
    </w:p>
    <w:p w14:paraId="2D33C031" w14:textId="20FFF890" w:rsidR="00B65EDC" w:rsidRPr="00912A85" w:rsidRDefault="00B65EDC" w:rsidP="00B65EDC">
      <w:pPr>
        <w:rPr>
          <w:bCs/>
          <w:color w:val="000000" w:themeColor="text1"/>
        </w:rPr>
      </w:pPr>
      <w:r w:rsidRPr="00912A85">
        <w:rPr>
          <w:bCs/>
          <w:color w:val="000000" w:themeColor="text1"/>
        </w:rPr>
        <w:fldChar w:fldCharType="begin"/>
      </w:r>
      <w:r w:rsidRPr="00912A85">
        <w:rPr>
          <w:bCs/>
          <w:color w:val="000000" w:themeColor="text1"/>
        </w:rPr>
        <w:instrText xml:space="preserve"> AUTONUM  </w:instrText>
      </w:r>
      <w:r w:rsidRPr="00912A85">
        <w:rPr>
          <w:bCs/>
          <w:color w:val="000000" w:themeColor="text1"/>
        </w:rPr>
        <w:fldChar w:fldCharType="end"/>
      </w:r>
      <w:r w:rsidRPr="00912A85">
        <w:rPr>
          <w:bCs/>
          <w:color w:val="000000" w:themeColor="text1"/>
        </w:rPr>
        <w:tab/>
        <w:t>UPOV plays a key role in setting international standards for plant variety protection in the legal, technical, digital and training areas.</w:t>
      </w:r>
      <w:r w:rsidRPr="00912A85">
        <w:t xml:space="preserve"> </w:t>
      </w:r>
      <w:r w:rsidR="007F06A2">
        <w:t xml:space="preserve"> </w:t>
      </w:r>
      <w:r w:rsidRPr="00912A85">
        <w:rPr>
          <w:bCs/>
          <w:color w:val="000000" w:themeColor="text1"/>
        </w:rPr>
        <w:t>The role of UPOV as the PVP international standard setting organization provides clarity, transparency, stability and favors sustainable and long-term collaborations.</w:t>
      </w:r>
      <w:r w:rsidRPr="00912A85">
        <w:t xml:space="preserve"> </w:t>
      </w:r>
      <w:r w:rsidR="007F06A2">
        <w:t xml:space="preserve"> </w:t>
      </w:r>
      <w:r w:rsidRPr="00912A85">
        <w:rPr>
          <w:bCs/>
          <w:color w:val="000000" w:themeColor="text1"/>
        </w:rPr>
        <w:t xml:space="preserve">Continuous engagement with UPOV members and stakeholders in the value chain is essential to ensure that UPOV continues to play that role. </w:t>
      </w:r>
    </w:p>
    <w:p w14:paraId="3560DC36" w14:textId="77777777" w:rsidR="00B65EDC" w:rsidRPr="00912A85" w:rsidRDefault="00B65EDC" w:rsidP="00B65EDC">
      <w:pPr>
        <w:rPr>
          <w:bCs/>
          <w:color w:val="000000" w:themeColor="text1"/>
        </w:rPr>
      </w:pPr>
    </w:p>
    <w:p w14:paraId="5FECD73C" w14:textId="22B91E7B" w:rsidR="00B65EDC" w:rsidRPr="00912A85" w:rsidRDefault="00B65EDC" w:rsidP="00B65EDC">
      <w:pPr>
        <w:rPr>
          <w:iCs/>
        </w:rPr>
      </w:pPr>
      <w:r w:rsidRPr="00912A85">
        <w:fldChar w:fldCharType="begin"/>
      </w:r>
      <w:r w:rsidRPr="00912A85">
        <w:instrText xml:space="preserve"> AUTONUM  </w:instrText>
      </w:r>
      <w:r w:rsidRPr="00912A85">
        <w:fldChar w:fldCharType="end"/>
      </w:r>
      <w:r w:rsidRPr="00912A85">
        <w:tab/>
        <w:t xml:space="preserve">The work to provide guidance on key provisions in the 1991 Act of the UPOV Convention will continue in the </w:t>
      </w:r>
      <w:r w:rsidR="00521C0D">
        <w:t>2026</w:t>
      </w:r>
      <w:r w:rsidR="00521C0D">
        <w:noBreakHyphen/>
        <w:t>2027</w:t>
      </w:r>
      <w:r w:rsidRPr="00912A85">
        <w:t xml:space="preserve"> biennium. </w:t>
      </w:r>
      <w:r w:rsidR="007F06A2">
        <w:t xml:space="preserve"> </w:t>
      </w:r>
      <w:r w:rsidRPr="00912A85">
        <w:t xml:space="preserve">A study commissioned by UPOV on </w:t>
      </w:r>
      <w:r w:rsidRPr="00912A85">
        <w:rPr>
          <w:iCs/>
        </w:rPr>
        <w:t>the “Scope of the Breeder’s Right” and the relationship with the “Exhaustion of the Breeder’s Right” is foreseen to be finalized in 2025 which will provide input for further work in providing guidance.</w:t>
      </w:r>
    </w:p>
    <w:p w14:paraId="1C0A0DEA" w14:textId="77777777" w:rsidR="00B65EDC" w:rsidRPr="00912A85" w:rsidRDefault="00B65EDC" w:rsidP="00B65EDC">
      <w:pPr>
        <w:rPr>
          <w:iCs/>
        </w:rPr>
      </w:pPr>
    </w:p>
    <w:p w14:paraId="48C479D0" w14:textId="56F63373" w:rsidR="00B65EDC" w:rsidRPr="00912A85" w:rsidRDefault="00B65EDC" w:rsidP="00B65EDC">
      <w:pPr>
        <w:rPr>
          <w:iCs/>
        </w:rPr>
      </w:pPr>
      <w:r w:rsidRPr="00912A85">
        <w:rPr>
          <w:iCs/>
        </w:rPr>
        <w:fldChar w:fldCharType="begin"/>
      </w:r>
      <w:r w:rsidRPr="00912A85">
        <w:rPr>
          <w:iCs/>
        </w:rPr>
        <w:instrText xml:space="preserve"> AUTONUM  </w:instrText>
      </w:r>
      <w:r w:rsidRPr="00912A85">
        <w:rPr>
          <w:iCs/>
        </w:rPr>
        <w:fldChar w:fldCharType="end"/>
      </w:r>
      <w:r w:rsidRPr="00912A85">
        <w:rPr>
          <w:iCs/>
        </w:rPr>
        <w:tab/>
        <w:t xml:space="preserve">The UPOV PVP Certificate program launched in 2024 will continue to play a key role as the platform to engage on PVP training matters. </w:t>
      </w:r>
      <w:r w:rsidR="007F06A2">
        <w:rPr>
          <w:iCs/>
        </w:rPr>
        <w:t xml:space="preserve"> </w:t>
      </w:r>
      <w:r w:rsidRPr="00912A85">
        <w:rPr>
          <w:iCs/>
        </w:rPr>
        <w:t xml:space="preserve">The </w:t>
      </w:r>
      <w:r w:rsidRPr="00912A85">
        <w:rPr>
          <w:bCs/>
          <w:color w:val="000000" w:themeColor="text1"/>
        </w:rPr>
        <w:t>enrollment of private sector learners and learners from organizations that are not covered by the priorities of the UPOV Council will be enabled subject to a fee payment.</w:t>
      </w:r>
      <w:r w:rsidRPr="00912A85">
        <w:t xml:space="preserve"> </w:t>
      </w:r>
      <w:r w:rsidR="007F06A2">
        <w:t xml:space="preserve"> </w:t>
      </w:r>
      <w:r w:rsidRPr="00912A85">
        <w:t xml:space="preserve">This accreditation program will continue to attract new training and academic </w:t>
      </w:r>
      <w:proofErr w:type="gramStart"/>
      <w:r w:rsidRPr="00912A85">
        <w:t>programs</w:t>
      </w:r>
      <w:proofErr w:type="gramEnd"/>
      <w:r w:rsidRPr="00912A85">
        <w:t xml:space="preserve"> becoming the repository of standards and guidance developed by UPOV and its members.</w:t>
      </w:r>
    </w:p>
    <w:p w14:paraId="3481F60F" w14:textId="77777777" w:rsidR="00B65EDC" w:rsidRPr="00912A85" w:rsidRDefault="00B65EDC" w:rsidP="00B65EDC">
      <w:pPr>
        <w:rPr>
          <w:bCs/>
          <w:color w:val="000000" w:themeColor="text1"/>
        </w:rPr>
      </w:pPr>
    </w:p>
    <w:p w14:paraId="78C95A96" w14:textId="77777777" w:rsidR="00B65EDC" w:rsidRPr="00912A85" w:rsidRDefault="00B65EDC" w:rsidP="00FC7FED">
      <w:pPr>
        <w:pStyle w:val="Heading1"/>
      </w:pPr>
      <w:bookmarkStart w:id="433" w:name="_Toc208999637"/>
      <w:bookmarkEnd w:id="431"/>
      <w:r w:rsidRPr="00912A85">
        <w:lastRenderedPageBreak/>
        <w:t>Overview of Program and Budget</w:t>
      </w:r>
      <w:bookmarkEnd w:id="433"/>
      <w:r w:rsidRPr="00912A85">
        <w:t xml:space="preserve"> </w:t>
      </w:r>
    </w:p>
    <w:p w14:paraId="5FA53516" w14:textId="77777777" w:rsidR="00B65EDC" w:rsidRPr="00912A85" w:rsidRDefault="00B65EDC" w:rsidP="00B65EDC"/>
    <w:p w14:paraId="5FF26BED" w14:textId="77777777" w:rsidR="00B65EDC" w:rsidRPr="00912A85" w:rsidRDefault="00B65EDC" w:rsidP="004448C7">
      <w:pPr>
        <w:pStyle w:val="Heading2"/>
      </w:pPr>
      <w:bookmarkStart w:id="434" w:name="_Toc208999638"/>
      <w:r w:rsidRPr="00912A85">
        <w:t>Financial overview</w:t>
      </w:r>
      <w:bookmarkEnd w:id="434"/>
    </w:p>
    <w:p w14:paraId="72234241" w14:textId="77777777" w:rsidR="00B65EDC" w:rsidRPr="00912A85" w:rsidRDefault="00B65EDC" w:rsidP="00B65EDC"/>
    <w:p w14:paraId="4DB1ABAD" w14:textId="66348FD2" w:rsidR="00B65EDC" w:rsidRPr="00912A85" w:rsidRDefault="00B65EDC" w:rsidP="00B65EDC">
      <w:pPr>
        <w:rPr>
          <w:spacing w:val="-2"/>
          <w:szCs w:val="24"/>
        </w:rPr>
      </w:pPr>
      <w:r w:rsidRPr="00912A85">
        <w:fldChar w:fldCharType="begin"/>
      </w:r>
      <w:r w:rsidRPr="00912A85">
        <w:instrText xml:space="preserve"> AUTONUM  </w:instrText>
      </w:r>
      <w:r w:rsidRPr="00912A85">
        <w:fldChar w:fldCharType="end"/>
      </w:r>
      <w:r w:rsidRPr="00912A85">
        <w:tab/>
        <w:t>The proposed budget</w:t>
      </w:r>
      <w:r w:rsidRPr="00912A85">
        <w:rPr>
          <w:rStyle w:val="FootnoteReference"/>
        </w:rPr>
        <w:footnoteReference w:id="2"/>
      </w:r>
      <w:r w:rsidRPr="00912A85">
        <w:t xml:space="preserve"> for the </w:t>
      </w:r>
      <w:r w:rsidR="00521C0D">
        <w:rPr>
          <w:snapToGrid w:val="0"/>
        </w:rPr>
        <w:t>2026</w:t>
      </w:r>
      <w:r w:rsidR="00521C0D">
        <w:rPr>
          <w:snapToGrid w:val="0"/>
        </w:rPr>
        <w:noBreakHyphen/>
        <w:t>2027</w:t>
      </w:r>
      <w:r w:rsidRPr="00912A85">
        <w:t xml:space="preserve"> biennium anticipates an income of </w:t>
      </w:r>
      <w:bookmarkStart w:id="435" w:name="_Hlk190108468"/>
      <w:r w:rsidRPr="00912A85">
        <w:t>7,615,864 </w:t>
      </w:r>
      <w:bookmarkEnd w:id="435"/>
      <w:r w:rsidRPr="00912A85">
        <w:t xml:space="preserve">Swiss francs compared to the estimated income in the 2024­2025 budget of 7,901,307 Swiss francs.  </w:t>
      </w:r>
      <w:r w:rsidRPr="00912A85">
        <w:rPr>
          <w:spacing w:val="-2"/>
          <w:szCs w:val="24"/>
        </w:rPr>
        <w:t xml:space="preserve">Expenditure is estimated at the same level as the expected income </w:t>
      </w:r>
      <w:r w:rsidRPr="00912A85">
        <w:t>(see Table 1)</w:t>
      </w:r>
      <w:r w:rsidRPr="00912A85">
        <w:rPr>
          <w:spacing w:val="-2"/>
          <w:szCs w:val="24"/>
        </w:rPr>
        <w:t>.</w:t>
      </w:r>
    </w:p>
    <w:p w14:paraId="3413F3A0" w14:textId="77777777" w:rsidR="00B65EDC" w:rsidRPr="00912A85" w:rsidRDefault="00B65EDC" w:rsidP="00B65EDC"/>
    <w:p w14:paraId="7C760A8D" w14:textId="77777777" w:rsidR="00B65EDC" w:rsidRPr="00912A85" w:rsidRDefault="00B65EDC" w:rsidP="00B65EDC">
      <w:pPr>
        <w:jc w:val="center"/>
      </w:pPr>
    </w:p>
    <w:p w14:paraId="577FC3B9" w14:textId="50732384" w:rsidR="00B65EDC" w:rsidRPr="00912A85" w:rsidRDefault="00B65EDC" w:rsidP="00B65EDC">
      <w:pPr>
        <w:jc w:val="center"/>
        <w:rPr>
          <w:b/>
          <w:color w:val="26724C" w:themeColor="accent1" w:themeShade="BF"/>
        </w:rPr>
      </w:pPr>
      <w:r w:rsidRPr="00912A85">
        <w:rPr>
          <w:b/>
          <w:color w:val="26724C" w:themeColor="accent1" w:themeShade="BF"/>
        </w:rPr>
        <w:t>Table 1:  Income and Expenditure 2022</w:t>
      </w:r>
      <w:r w:rsidRPr="00912A85">
        <w:rPr>
          <w:b/>
          <w:color w:val="26724C" w:themeColor="accent1" w:themeShade="BF"/>
        </w:rPr>
        <w:noBreakHyphen/>
        <w:t>2023, 2024</w:t>
      </w:r>
      <w:r w:rsidRPr="00912A85">
        <w:rPr>
          <w:b/>
          <w:color w:val="26724C" w:themeColor="accent1" w:themeShade="BF"/>
        </w:rPr>
        <w:noBreakHyphen/>
        <w:t xml:space="preserve">2025 and </w:t>
      </w:r>
      <w:r w:rsidR="00521C0D">
        <w:rPr>
          <w:b/>
          <w:color w:val="26724C" w:themeColor="accent1" w:themeShade="BF"/>
        </w:rPr>
        <w:t>2026</w:t>
      </w:r>
      <w:r w:rsidR="00521C0D">
        <w:rPr>
          <w:b/>
          <w:color w:val="26724C" w:themeColor="accent1" w:themeShade="BF"/>
        </w:rPr>
        <w:noBreakHyphen/>
        <w:t>2027</w:t>
      </w:r>
    </w:p>
    <w:p w14:paraId="5B847DD3" w14:textId="77777777" w:rsidR="00B65EDC" w:rsidRPr="00912A85" w:rsidRDefault="00B65EDC" w:rsidP="00B65EDC">
      <w:pPr>
        <w:jc w:val="center"/>
        <w:rPr>
          <w:i/>
          <w:sz w:val="18"/>
        </w:rPr>
      </w:pPr>
      <w:r w:rsidRPr="00912A85">
        <w:rPr>
          <w:i/>
          <w:sz w:val="18"/>
        </w:rPr>
        <w:t>(in thousands of Swiss francs)</w:t>
      </w:r>
    </w:p>
    <w:p w14:paraId="04DBFDE5" w14:textId="77777777" w:rsidR="00B65EDC" w:rsidRPr="00912A85" w:rsidRDefault="00B65EDC" w:rsidP="00B65EDC">
      <w:pPr>
        <w:rPr>
          <w:spacing w:val="-2"/>
          <w:szCs w:val="24"/>
        </w:rPr>
      </w:pPr>
    </w:p>
    <w:tbl>
      <w:tblPr>
        <w:tblW w:w="9560" w:type="dxa"/>
        <w:tblLook w:val="04A0" w:firstRow="1" w:lastRow="0" w:firstColumn="1" w:lastColumn="0" w:noHBand="0" w:noVBand="1"/>
      </w:tblPr>
      <w:tblGrid>
        <w:gridCol w:w="3800"/>
        <w:gridCol w:w="1180"/>
        <w:gridCol w:w="1180"/>
        <w:gridCol w:w="870"/>
        <w:gridCol w:w="870"/>
        <w:gridCol w:w="1660"/>
      </w:tblGrid>
      <w:tr w:rsidR="00B65EDC" w:rsidRPr="00912A85" w14:paraId="00F751FC" w14:textId="77777777">
        <w:trPr>
          <w:trHeight w:val="255"/>
        </w:trPr>
        <w:tc>
          <w:tcPr>
            <w:tcW w:w="3800" w:type="dxa"/>
            <w:tcBorders>
              <w:top w:val="nil"/>
              <w:left w:val="nil"/>
              <w:bottom w:val="nil"/>
              <w:right w:val="nil"/>
            </w:tcBorders>
            <w:shd w:val="clear" w:color="000000" w:fill="C7CFD8"/>
            <w:hideMark/>
          </w:tcPr>
          <w:p w14:paraId="06A7DF6F" w14:textId="77777777" w:rsidR="00B65EDC" w:rsidRPr="00912A85" w:rsidRDefault="00B65EDC">
            <w:pPr>
              <w:ind w:firstLineChars="100" w:firstLine="201"/>
              <w:jc w:val="left"/>
              <w:rPr>
                <w:rFonts w:cs="Arial"/>
                <w:b/>
                <w:bCs/>
                <w:i/>
                <w:iCs/>
              </w:rPr>
            </w:pPr>
            <w:r w:rsidRPr="00912A85">
              <w:rPr>
                <w:rFonts w:cs="Arial"/>
                <w:b/>
                <w:bCs/>
                <w:i/>
                <w:iCs/>
              </w:rPr>
              <w:t> </w:t>
            </w:r>
          </w:p>
        </w:tc>
        <w:tc>
          <w:tcPr>
            <w:tcW w:w="1180" w:type="dxa"/>
            <w:tcBorders>
              <w:top w:val="nil"/>
              <w:left w:val="nil"/>
              <w:bottom w:val="nil"/>
              <w:right w:val="nil"/>
            </w:tcBorders>
            <w:shd w:val="clear" w:color="000000" w:fill="C7CFD8"/>
            <w:vAlign w:val="center"/>
            <w:hideMark/>
          </w:tcPr>
          <w:p w14:paraId="7133635D"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 xml:space="preserve">2023 </w:t>
            </w:r>
          </w:p>
        </w:tc>
        <w:tc>
          <w:tcPr>
            <w:tcW w:w="1180" w:type="dxa"/>
            <w:tcBorders>
              <w:top w:val="nil"/>
              <w:left w:val="nil"/>
              <w:bottom w:val="nil"/>
              <w:right w:val="nil"/>
            </w:tcBorders>
            <w:shd w:val="clear" w:color="000000" w:fill="C7CFD8"/>
            <w:vAlign w:val="center"/>
            <w:hideMark/>
          </w:tcPr>
          <w:p w14:paraId="5B77CFE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 xml:space="preserve">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1E6FF17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Variation</w:t>
            </w:r>
          </w:p>
        </w:tc>
        <w:tc>
          <w:tcPr>
            <w:tcW w:w="1660" w:type="dxa"/>
            <w:tcBorders>
              <w:top w:val="nil"/>
              <w:left w:val="nil"/>
              <w:bottom w:val="nil"/>
              <w:right w:val="nil"/>
            </w:tcBorders>
            <w:shd w:val="clear" w:color="000000" w:fill="C7CFD8"/>
            <w:vAlign w:val="center"/>
            <w:hideMark/>
          </w:tcPr>
          <w:p w14:paraId="47902C11" w14:textId="17206A4C"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p>
        </w:tc>
      </w:tr>
      <w:tr w:rsidR="00B65EDC" w:rsidRPr="00912A85" w14:paraId="7F791BC2" w14:textId="77777777">
        <w:trPr>
          <w:trHeight w:val="260"/>
        </w:trPr>
        <w:tc>
          <w:tcPr>
            <w:tcW w:w="3800" w:type="dxa"/>
            <w:tcBorders>
              <w:top w:val="nil"/>
              <w:left w:val="nil"/>
              <w:bottom w:val="nil"/>
              <w:right w:val="nil"/>
            </w:tcBorders>
            <w:shd w:val="clear" w:color="000000" w:fill="C7CFD8"/>
            <w:hideMark/>
          </w:tcPr>
          <w:p w14:paraId="2B10E0CD" w14:textId="77777777" w:rsidR="00B65EDC" w:rsidRPr="00912A85" w:rsidRDefault="00B65EDC">
            <w:pPr>
              <w:ind w:firstLineChars="100" w:firstLine="201"/>
              <w:jc w:val="left"/>
              <w:rPr>
                <w:rFonts w:cs="Arial"/>
                <w:b/>
                <w:bCs/>
                <w:i/>
                <w:iCs/>
              </w:rPr>
            </w:pPr>
            <w:r w:rsidRPr="00912A85">
              <w:rPr>
                <w:rFonts w:cs="Arial"/>
                <w:b/>
                <w:bCs/>
                <w:i/>
                <w:iCs/>
              </w:rPr>
              <w:t> </w:t>
            </w:r>
          </w:p>
        </w:tc>
        <w:tc>
          <w:tcPr>
            <w:tcW w:w="1180" w:type="dxa"/>
            <w:tcBorders>
              <w:top w:val="nil"/>
              <w:left w:val="nil"/>
              <w:bottom w:val="nil"/>
              <w:right w:val="nil"/>
            </w:tcBorders>
            <w:shd w:val="clear" w:color="000000" w:fill="C7CFD8"/>
            <w:vAlign w:val="center"/>
            <w:hideMark/>
          </w:tcPr>
          <w:p w14:paraId="418CF16A"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Actual </w:t>
            </w:r>
          </w:p>
        </w:tc>
        <w:tc>
          <w:tcPr>
            <w:tcW w:w="1180" w:type="dxa"/>
            <w:tcBorders>
              <w:top w:val="nil"/>
              <w:left w:val="nil"/>
              <w:bottom w:val="nil"/>
              <w:right w:val="nil"/>
            </w:tcBorders>
            <w:shd w:val="clear" w:color="000000" w:fill="C7CFD8"/>
            <w:vAlign w:val="center"/>
            <w:hideMark/>
          </w:tcPr>
          <w:p w14:paraId="571645C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Budget </w:t>
            </w:r>
          </w:p>
        </w:tc>
        <w:tc>
          <w:tcPr>
            <w:tcW w:w="1740" w:type="dxa"/>
            <w:gridSpan w:val="2"/>
            <w:vMerge/>
            <w:tcBorders>
              <w:top w:val="nil"/>
              <w:left w:val="nil"/>
              <w:bottom w:val="nil"/>
              <w:right w:val="nil"/>
            </w:tcBorders>
            <w:vAlign w:val="center"/>
            <w:hideMark/>
          </w:tcPr>
          <w:p w14:paraId="0C80231D" w14:textId="77777777" w:rsidR="00B65EDC" w:rsidRPr="00912A85" w:rsidRDefault="00B65EDC">
            <w:pPr>
              <w:jc w:val="left"/>
              <w:rPr>
                <w:rFonts w:ascii="Arial Narrow" w:hAnsi="Arial Narrow" w:cs="Arial"/>
                <w:b/>
                <w:bCs/>
                <w:sz w:val="18"/>
                <w:szCs w:val="18"/>
              </w:rPr>
            </w:pPr>
          </w:p>
        </w:tc>
        <w:tc>
          <w:tcPr>
            <w:tcW w:w="1660" w:type="dxa"/>
            <w:tcBorders>
              <w:top w:val="nil"/>
              <w:left w:val="nil"/>
              <w:bottom w:val="nil"/>
              <w:right w:val="nil"/>
            </w:tcBorders>
            <w:shd w:val="clear" w:color="000000" w:fill="C7CFD8"/>
            <w:vAlign w:val="center"/>
            <w:hideMark/>
          </w:tcPr>
          <w:p w14:paraId="2ACFC303"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Proposed </w:t>
            </w:r>
          </w:p>
        </w:tc>
      </w:tr>
      <w:tr w:rsidR="00B65EDC" w:rsidRPr="00912A85" w14:paraId="18B03438" w14:textId="77777777">
        <w:trPr>
          <w:trHeight w:val="260"/>
        </w:trPr>
        <w:tc>
          <w:tcPr>
            <w:tcW w:w="3800" w:type="dxa"/>
            <w:tcBorders>
              <w:top w:val="nil"/>
              <w:left w:val="nil"/>
              <w:bottom w:val="nil"/>
              <w:right w:val="nil"/>
            </w:tcBorders>
            <w:shd w:val="clear" w:color="000000" w:fill="C7CFD8"/>
            <w:vAlign w:val="bottom"/>
            <w:hideMark/>
          </w:tcPr>
          <w:p w14:paraId="642AE13A" w14:textId="77777777" w:rsidR="00B65EDC" w:rsidRPr="00912A85" w:rsidRDefault="00B65EDC">
            <w:pPr>
              <w:ind w:firstLineChars="100" w:firstLine="201"/>
              <w:jc w:val="left"/>
              <w:rPr>
                <w:rFonts w:cs="Arial"/>
                <w:b/>
                <w:bCs/>
                <w:i/>
                <w:iCs/>
              </w:rPr>
            </w:pPr>
            <w:r w:rsidRPr="00912A85">
              <w:rPr>
                <w:rFonts w:cs="Arial"/>
                <w:b/>
                <w:bCs/>
                <w:i/>
                <w:iCs/>
              </w:rPr>
              <w:t> </w:t>
            </w:r>
          </w:p>
        </w:tc>
        <w:tc>
          <w:tcPr>
            <w:tcW w:w="1180" w:type="dxa"/>
            <w:tcBorders>
              <w:top w:val="nil"/>
              <w:left w:val="nil"/>
              <w:bottom w:val="nil"/>
              <w:right w:val="nil"/>
            </w:tcBorders>
            <w:shd w:val="clear" w:color="000000" w:fill="C7CFD8"/>
            <w:vAlign w:val="center"/>
            <w:hideMark/>
          </w:tcPr>
          <w:p w14:paraId="5C0F62B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 </w:t>
            </w:r>
          </w:p>
        </w:tc>
        <w:tc>
          <w:tcPr>
            <w:tcW w:w="1180" w:type="dxa"/>
            <w:tcBorders>
              <w:top w:val="nil"/>
              <w:left w:val="nil"/>
              <w:bottom w:val="nil"/>
              <w:right w:val="nil"/>
            </w:tcBorders>
            <w:shd w:val="clear" w:color="000000" w:fill="C7CFD8"/>
            <w:noWrap/>
            <w:vAlign w:val="center"/>
            <w:hideMark/>
          </w:tcPr>
          <w:p w14:paraId="554B990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 </w:t>
            </w:r>
          </w:p>
        </w:tc>
        <w:tc>
          <w:tcPr>
            <w:tcW w:w="870" w:type="dxa"/>
            <w:tcBorders>
              <w:top w:val="nil"/>
              <w:left w:val="nil"/>
              <w:bottom w:val="nil"/>
              <w:right w:val="nil"/>
            </w:tcBorders>
            <w:shd w:val="clear" w:color="000000" w:fill="C7CFD8"/>
            <w:vAlign w:val="center"/>
            <w:hideMark/>
          </w:tcPr>
          <w:p w14:paraId="503A1CA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C </w:t>
            </w:r>
          </w:p>
        </w:tc>
        <w:tc>
          <w:tcPr>
            <w:tcW w:w="870" w:type="dxa"/>
            <w:tcBorders>
              <w:top w:val="nil"/>
              <w:left w:val="nil"/>
              <w:bottom w:val="nil"/>
              <w:right w:val="nil"/>
            </w:tcBorders>
            <w:shd w:val="clear" w:color="000000" w:fill="C7CFD8"/>
            <w:vAlign w:val="center"/>
            <w:hideMark/>
          </w:tcPr>
          <w:p w14:paraId="606AD3BD"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C/B</w:t>
            </w:r>
          </w:p>
        </w:tc>
        <w:tc>
          <w:tcPr>
            <w:tcW w:w="1660" w:type="dxa"/>
            <w:tcBorders>
              <w:top w:val="nil"/>
              <w:left w:val="nil"/>
              <w:bottom w:val="nil"/>
              <w:right w:val="nil"/>
            </w:tcBorders>
            <w:shd w:val="clear" w:color="000000" w:fill="C7CFD8"/>
            <w:noWrap/>
            <w:vAlign w:val="center"/>
            <w:hideMark/>
          </w:tcPr>
          <w:p w14:paraId="7D49F10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D=B+C </w:t>
            </w:r>
          </w:p>
        </w:tc>
      </w:tr>
      <w:tr w:rsidR="00B65EDC" w:rsidRPr="00912A85" w14:paraId="0C1E407C" w14:textId="77777777" w:rsidTr="00A538F6">
        <w:trPr>
          <w:trHeight w:val="330"/>
        </w:trPr>
        <w:tc>
          <w:tcPr>
            <w:tcW w:w="3800" w:type="dxa"/>
            <w:tcBorders>
              <w:top w:val="nil"/>
              <w:left w:val="nil"/>
              <w:bottom w:val="nil"/>
              <w:right w:val="nil"/>
            </w:tcBorders>
            <w:vAlign w:val="center"/>
            <w:hideMark/>
          </w:tcPr>
          <w:p w14:paraId="3AD0154C" w14:textId="77777777" w:rsidR="00B65EDC" w:rsidRPr="00912A85" w:rsidRDefault="00B65EDC">
            <w:pPr>
              <w:jc w:val="left"/>
              <w:rPr>
                <w:rFonts w:ascii="Arial Narrow" w:hAnsi="Arial Narrow" w:cs="Arial"/>
                <w:b/>
                <w:bCs/>
              </w:rPr>
            </w:pPr>
            <w:r w:rsidRPr="00912A85">
              <w:rPr>
                <w:rFonts w:ascii="Arial Narrow" w:hAnsi="Arial Narrow" w:cs="Arial"/>
                <w:b/>
                <w:bCs/>
              </w:rPr>
              <w:t>1. Income</w:t>
            </w:r>
          </w:p>
        </w:tc>
        <w:tc>
          <w:tcPr>
            <w:tcW w:w="1180" w:type="dxa"/>
            <w:tcBorders>
              <w:top w:val="nil"/>
              <w:left w:val="nil"/>
              <w:bottom w:val="nil"/>
              <w:right w:val="nil"/>
            </w:tcBorders>
            <w:vAlign w:val="center"/>
          </w:tcPr>
          <w:p w14:paraId="5BCDCCFD" w14:textId="77777777" w:rsidR="00B65EDC" w:rsidRPr="00912A85" w:rsidRDefault="00B65EDC">
            <w:pPr>
              <w:jc w:val="right"/>
              <w:rPr>
                <w:rFonts w:ascii="Arial Narrow" w:hAnsi="Arial Narrow" w:cs="Arial"/>
                <w:b/>
                <w:bCs/>
              </w:rPr>
            </w:pPr>
            <w:r w:rsidRPr="00912A85">
              <w:rPr>
                <w:rFonts w:ascii="Arial Narrow" w:hAnsi="Arial Narrow" w:cs="Arial"/>
                <w:b/>
                <w:bCs/>
              </w:rPr>
              <w:t>7,572</w:t>
            </w:r>
          </w:p>
        </w:tc>
        <w:tc>
          <w:tcPr>
            <w:tcW w:w="1180" w:type="dxa"/>
            <w:tcBorders>
              <w:top w:val="nil"/>
              <w:left w:val="nil"/>
              <w:bottom w:val="nil"/>
              <w:right w:val="nil"/>
            </w:tcBorders>
            <w:vAlign w:val="center"/>
          </w:tcPr>
          <w:p w14:paraId="013DF196" w14:textId="77777777" w:rsidR="00B65EDC" w:rsidRPr="00912A85" w:rsidRDefault="00B65EDC">
            <w:pPr>
              <w:jc w:val="right"/>
              <w:rPr>
                <w:rFonts w:ascii="Arial Narrow" w:hAnsi="Arial Narrow" w:cs="Arial"/>
                <w:b/>
                <w:bCs/>
              </w:rPr>
            </w:pPr>
            <w:r w:rsidRPr="00912A85">
              <w:rPr>
                <w:rFonts w:ascii="Arial Narrow" w:hAnsi="Arial Narrow" w:cs="Arial"/>
                <w:b/>
                <w:bCs/>
              </w:rPr>
              <w:t>7,901</w:t>
            </w:r>
          </w:p>
        </w:tc>
        <w:tc>
          <w:tcPr>
            <w:tcW w:w="870" w:type="dxa"/>
            <w:tcBorders>
              <w:top w:val="nil"/>
              <w:left w:val="nil"/>
              <w:bottom w:val="nil"/>
              <w:right w:val="nil"/>
            </w:tcBorders>
            <w:vAlign w:val="center"/>
          </w:tcPr>
          <w:p w14:paraId="4069BBA5" w14:textId="77777777" w:rsidR="00B65EDC" w:rsidRPr="00912A85" w:rsidRDefault="00B65EDC">
            <w:pPr>
              <w:jc w:val="right"/>
              <w:rPr>
                <w:rFonts w:ascii="Arial Narrow" w:hAnsi="Arial Narrow" w:cs="Arial"/>
                <w:b/>
                <w:bCs/>
              </w:rPr>
            </w:pPr>
            <w:r w:rsidRPr="00912A85">
              <w:rPr>
                <w:rFonts w:ascii="Arial Narrow" w:hAnsi="Arial Narrow" w:cs="Arial"/>
                <w:b/>
                <w:bCs/>
                <w:color w:val="000000"/>
              </w:rPr>
              <w:t>(285)</w:t>
            </w:r>
          </w:p>
        </w:tc>
        <w:tc>
          <w:tcPr>
            <w:tcW w:w="870" w:type="dxa"/>
            <w:tcBorders>
              <w:top w:val="nil"/>
              <w:left w:val="nil"/>
              <w:bottom w:val="nil"/>
              <w:right w:val="nil"/>
            </w:tcBorders>
            <w:vAlign w:val="center"/>
          </w:tcPr>
          <w:p w14:paraId="33506C9B" w14:textId="77777777" w:rsidR="00B65EDC" w:rsidRPr="00912A85" w:rsidRDefault="00B65EDC">
            <w:pPr>
              <w:jc w:val="right"/>
              <w:rPr>
                <w:rFonts w:ascii="Arial Narrow" w:hAnsi="Arial Narrow" w:cs="Arial"/>
                <w:b/>
                <w:bCs/>
              </w:rPr>
            </w:pPr>
            <w:r w:rsidRPr="00912A85">
              <w:rPr>
                <w:rFonts w:ascii="Arial Narrow" w:hAnsi="Arial Narrow" w:cs="Arial"/>
                <w:b/>
                <w:bCs/>
              </w:rPr>
              <w:t>-3.6%</w:t>
            </w:r>
          </w:p>
        </w:tc>
        <w:tc>
          <w:tcPr>
            <w:tcW w:w="1660" w:type="dxa"/>
            <w:tcBorders>
              <w:top w:val="nil"/>
              <w:left w:val="nil"/>
              <w:bottom w:val="nil"/>
              <w:right w:val="nil"/>
            </w:tcBorders>
            <w:vAlign w:val="center"/>
          </w:tcPr>
          <w:p w14:paraId="2F633613"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7,616 </w:t>
            </w:r>
          </w:p>
        </w:tc>
      </w:tr>
      <w:tr w:rsidR="00B65EDC" w:rsidRPr="00912A85" w14:paraId="600DDAAD" w14:textId="77777777" w:rsidTr="00A538F6">
        <w:trPr>
          <w:trHeight w:val="330"/>
        </w:trPr>
        <w:tc>
          <w:tcPr>
            <w:tcW w:w="3800" w:type="dxa"/>
            <w:tcBorders>
              <w:top w:val="nil"/>
              <w:left w:val="nil"/>
              <w:bottom w:val="single" w:sz="4" w:space="0" w:color="AAB8C4"/>
              <w:right w:val="nil"/>
            </w:tcBorders>
            <w:noWrap/>
            <w:vAlign w:val="center"/>
            <w:hideMark/>
          </w:tcPr>
          <w:p w14:paraId="7F9C96C1" w14:textId="77777777" w:rsidR="00B65EDC" w:rsidRPr="00912A85" w:rsidRDefault="00B65EDC">
            <w:pPr>
              <w:jc w:val="left"/>
              <w:rPr>
                <w:rFonts w:ascii="Arial Narrow" w:hAnsi="Arial Narrow" w:cs="Arial"/>
                <w:b/>
                <w:bCs/>
              </w:rPr>
            </w:pPr>
            <w:r w:rsidRPr="00912A85">
              <w:rPr>
                <w:rFonts w:ascii="Arial Narrow" w:hAnsi="Arial Narrow" w:cs="Arial"/>
                <w:b/>
                <w:bCs/>
              </w:rPr>
              <w:t>2. Expenditure</w:t>
            </w:r>
          </w:p>
        </w:tc>
        <w:tc>
          <w:tcPr>
            <w:tcW w:w="1180" w:type="dxa"/>
            <w:tcBorders>
              <w:top w:val="nil"/>
              <w:left w:val="nil"/>
              <w:bottom w:val="single" w:sz="4" w:space="0" w:color="BFBFBF"/>
              <w:right w:val="nil"/>
            </w:tcBorders>
            <w:vAlign w:val="center"/>
          </w:tcPr>
          <w:p w14:paraId="355075C8" w14:textId="77777777" w:rsidR="00B65EDC" w:rsidRPr="00912A85" w:rsidRDefault="00B65EDC">
            <w:pPr>
              <w:jc w:val="right"/>
              <w:rPr>
                <w:rFonts w:ascii="Arial Narrow" w:hAnsi="Arial Narrow" w:cs="Arial"/>
                <w:b/>
                <w:bCs/>
              </w:rPr>
            </w:pPr>
            <w:r w:rsidRPr="00912A85">
              <w:rPr>
                <w:rFonts w:ascii="Arial Narrow" w:hAnsi="Arial Narrow" w:cs="Arial"/>
                <w:b/>
                <w:bCs/>
              </w:rPr>
              <w:t>7,382</w:t>
            </w:r>
          </w:p>
        </w:tc>
        <w:tc>
          <w:tcPr>
            <w:tcW w:w="1180" w:type="dxa"/>
            <w:tcBorders>
              <w:top w:val="nil"/>
              <w:left w:val="nil"/>
              <w:bottom w:val="single" w:sz="4" w:space="0" w:color="AAB8C4"/>
              <w:right w:val="nil"/>
            </w:tcBorders>
            <w:vAlign w:val="center"/>
          </w:tcPr>
          <w:p w14:paraId="6AC3434F" w14:textId="77777777" w:rsidR="00B65EDC" w:rsidRPr="00912A85" w:rsidRDefault="00B65EDC">
            <w:pPr>
              <w:jc w:val="right"/>
              <w:rPr>
                <w:rFonts w:ascii="Arial Narrow" w:hAnsi="Arial Narrow" w:cs="Arial"/>
                <w:b/>
                <w:bCs/>
              </w:rPr>
            </w:pPr>
            <w:r w:rsidRPr="00912A85">
              <w:rPr>
                <w:rFonts w:ascii="Arial Narrow" w:hAnsi="Arial Narrow" w:cs="Arial"/>
                <w:b/>
                <w:bCs/>
              </w:rPr>
              <w:t>7,901</w:t>
            </w:r>
          </w:p>
        </w:tc>
        <w:tc>
          <w:tcPr>
            <w:tcW w:w="870" w:type="dxa"/>
            <w:tcBorders>
              <w:top w:val="nil"/>
              <w:left w:val="nil"/>
              <w:bottom w:val="single" w:sz="4" w:space="0" w:color="AAB8C4"/>
              <w:right w:val="nil"/>
            </w:tcBorders>
            <w:vAlign w:val="center"/>
          </w:tcPr>
          <w:p w14:paraId="5FFA1CBE" w14:textId="77777777" w:rsidR="00B65EDC" w:rsidRPr="00912A85" w:rsidRDefault="00B65EDC">
            <w:pPr>
              <w:jc w:val="right"/>
              <w:rPr>
                <w:rFonts w:ascii="Arial Narrow" w:hAnsi="Arial Narrow" w:cs="Arial"/>
                <w:b/>
                <w:bCs/>
              </w:rPr>
            </w:pPr>
            <w:r w:rsidRPr="00912A85">
              <w:rPr>
                <w:rFonts w:ascii="Arial Narrow" w:hAnsi="Arial Narrow" w:cs="Arial"/>
                <w:b/>
                <w:bCs/>
                <w:color w:val="000000"/>
              </w:rPr>
              <w:t>(285)</w:t>
            </w:r>
          </w:p>
        </w:tc>
        <w:tc>
          <w:tcPr>
            <w:tcW w:w="870" w:type="dxa"/>
            <w:tcBorders>
              <w:top w:val="nil"/>
              <w:left w:val="nil"/>
              <w:bottom w:val="single" w:sz="4" w:space="0" w:color="BFBFBF"/>
              <w:right w:val="nil"/>
            </w:tcBorders>
            <w:vAlign w:val="center"/>
          </w:tcPr>
          <w:p w14:paraId="192D8635" w14:textId="77777777" w:rsidR="00B65EDC" w:rsidRPr="00912A85" w:rsidRDefault="00B65EDC">
            <w:pPr>
              <w:jc w:val="right"/>
              <w:rPr>
                <w:rFonts w:ascii="Arial Narrow" w:hAnsi="Arial Narrow" w:cs="Arial"/>
                <w:b/>
                <w:bCs/>
              </w:rPr>
            </w:pPr>
            <w:r w:rsidRPr="00912A85">
              <w:rPr>
                <w:rFonts w:ascii="Arial Narrow" w:hAnsi="Arial Narrow" w:cs="Arial"/>
                <w:b/>
                <w:bCs/>
              </w:rPr>
              <w:t>-3.6%</w:t>
            </w:r>
          </w:p>
        </w:tc>
        <w:tc>
          <w:tcPr>
            <w:tcW w:w="1660" w:type="dxa"/>
            <w:tcBorders>
              <w:top w:val="nil"/>
              <w:left w:val="nil"/>
              <w:bottom w:val="single" w:sz="4" w:space="0" w:color="AAB8C4"/>
              <w:right w:val="nil"/>
            </w:tcBorders>
            <w:vAlign w:val="center"/>
          </w:tcPr>
          <w:p w14:paraId="0282694A"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7,616 </w:t>
            </w:r>
          </w:p>
        </w:tc>
      </w:tr>
      <w:tr w:rsidR="00B65EDC" w:rsidRPr="00912A85" w14:paraId="57B0E166" w14:textId="77777777" w:rsidTr="00A538F6">
        <w:trPr>
          <w:trHeight w:val="330"/>
        </w:trPr>
        <w:tc>
          <w:tcPr>
            <w:tcW w:w="3800" w:type="dxa"/>
            <w:tcBorders>
              <w:top w:val="nil"/>
              <w:left w:val="nil"/>
              <w:bottom w:val="nil"/>
              <w:right w:val="nil"/>
            </w:tcBorders>
            <w:vAlign w:val="bottom"/>
            <w:hideMark/>
          </w:tcPr>
          <w:p w14:paraId="0E8B11CB" w14:textId="77777777" w:rsidR="00B65EDC" w:rsidRPr="00912A85" w:rsidRDefault="00B65EDC">
            <w:pPr>
              <w:ind w:firstLineChars="100" w:firstLine="200"/>
              <w:jc w:val="left"/>
              <w:rPr>
                <w:rFonts w:ascii="Arial Narrow" w:hAnsi="Arial Narrow" w:cs="Arial"/>
                <w:i/>
                <w:iCs/>
              </w:rPr>
            </w:pPr>
            <w:r w:rsidRPr="00912A85">
              <w:rPr>
                <w:rFonts w:ascii="Arial Narrow" w:hAnsi="Arial Narrow" w:cs="Arial"/>
                <w:i/>
                <w:iCs/>
              </w:rPr>
              <w:t xml:space="preserve">Difference </w:t>
            </w:r>
          </w:p>
        </w:tc>
        <w:tc>
          <w:tcPr>
            <w:tcW w:w="1180" w:type="dxa"/>
            <w:tcBorders>
              <w:top w:val="nil"/>
              <w:left w:val="nil"/>
              <w:bottom w:val="nil"/>
              <w:right w:val="nil"/>
            </w:tcBorders>
            <w:vAlign w:val="bottom"/>
          </w:tcPr>
          <w:p w14:paraId="0836554B" w14:textId="77777777" w:rsidR="00B65EDC" w:rsidRPr="00912A85" w:rsidRDefault="00B65EDC">
            <w:pPr>
              <w:jc w:val="right"/>
              <w:rPr>
                <w:rFonts w:ascii="Arial Narrow" w:hAnsi="Arial Narrow" w:cs="Arial"/>
                <w:i/>
                <w:iCs/>
              </w:rPr>
            </w:pPr>
            <w:r w:rsidRPr="00912A85">
              <w:rPr>
                <w:rFonts w:ascii="Arial Narrow" w:hAnsi="Arial Narrow" w:cs="Arial"/>
                <w:i/>
                <w:iCs/>
              </w:rPr>
              <w:t>190</w:t>
            </w:r>
          </w:p>
        </w:tc>
        <w:tc>
          <w:tcPr>
            <w:tcW w:w="1180" w:type="dxa"/>
            <w:tcBorders>
              <w:top w:val="nil"/>
              <w:left w:val="nil"/>
              <w:bottom w:val="nil"/>
              <w:right w:val="nil"/>
            </w:tcBorders>
            <w:vAlign w:val="bottom"/>
          </w:tcPr>
          <w:p w14:paraId="2772C8BB"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c>
          <w:tcPr>
            <w:tcW w:w="870" w:type="dxa"/>
            <w:tcBorders>
              <w:top w:val="nil"/>
              <w:left w:val="nil"/>
              <w:bottom w:val="nil"/>
              <w:right w:val="nil"/>
            </w:tcBorders>
            <w:vAlign w:val="bottom"/>
          </w:tcPr>
          <w:p w14:paraId="798B8765"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c>
          <w:tcPr>
            <w:tcW w:w="870" w:type="dxa"/>
            <w:tcBorders>
              <w:top w:val="nil"/>
              <w:left w:val="nil"/>
              <w:bottom w:val="nil"/>
              <w:right w:val="nil"/>
            </w:tcBorders>
            <w:vAlign w:val="bottom"/>
          </w:tcPr>
          <w:p w14:paraId="78D6293F"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c>
          <w:tcPr>
            <w:tcW w:w="1660" w:type="dxa"/>
            <w:tcBorders>
              <w:top w:val="nil"/>
              <w:left w:val="nil"/>
              <w:bottom w:val="nil"/>
              <w:right w:val="nil"/>
            </w:tcBorders>
            <w:vAlign w:val="bottom"/>
          </w:tcPr>
          <w:p w14:paraId="4AF943F5" w14:textId="77777777" w:rsidR="00B65EDC" w:rsidRPr="00912A85" w:rsidRDefault="00B65EDC">
            <w:pPr>
              <w:jc w:val="right"/>
              <w:rPr>
                <w:rFonts w:ascii="Arial Narrow" w:hAnsi="Arial Narrow" w:cs="Arial"/>
                <w:i/>
                <w:iCs/>
              </w:rPr>
            </w:pPr>
            <w:r w:rsidRPr="00912A85">
              <w:rPr>
                <w:rFonts w:ascii="Arial Narrow" w:hAnsi="Arial Narrow" w:cs="Arial"/>
                <w:i/>
                <w:iCs/>
              </w:rPr>
              <w:t>-</w:t>
            </w:r>
          </w:p>
        </w:tc>
      </w:tr>
      <w:tr w:rsidR="00B65EDC" w:rsidRPr="00912A85" w14:paraId="76536324" w14:textId="77777777" w:rsidTr="00A538F6">
        <w:trPr>
          <w:trHeight w:val="260"/>
        </w:trPr>
        <w:tc>
          <w:tcPr>
            <w:tcW w:w="3800" w:type="dxa"/>
            <w:tcBorders>
              <w:top w:val="nil"/>
              <w:left w:val="nil"/>
              <w:bottom w:val="nil"/>
              <w:right w:val="nil"/>
            </w:tcBorders>
            <w:vAlign w:val="bottom"/>
            <w:hideMark/>
          </w:tcPr>
          <w:p w14:paraId="37C3E643" w14:textId="77777777" w:rsidR="00B65EDC" w:rsidRPr="00912A85" w:rsidRDefault="00B65EDC">
            <w:pPr>
              <w:jc w:val="left"/>
              <w:rPr>
                <w:rFonts w:ascii="Arial Narrow" w:hAnsi="Arial Narrow" w:cs="Arial"/>
                <w:i/>
                <w:iCs/>
                <w:color w:val="000000"/>
              </w:rPr>
            </w:pPr>
          </w:p>
        </w:tc>
        <w:tc>
          <w:tcPr>
            <w:tcW w:w="1180" w:type="dxa"/>
            <w:tcBorders>
              <w:top w:val="nil"/>
              <w:left w:val="nil"/>
              <w:bottom w:val="nil"/>
              <w:right w:val="nil"/>
            </w:tcBorders>
            <w:vAlign w:val="bottom"/>
          </w:tcPr>
          <w:p w14:paraId="71657ADE" w14:textId="77777777" w:rsidR="00B65EDC" w:rsidRPr="00912A85" w:rsidRDefault="00B65EDC">
            <w:pPr>
              <w:jc w:val="right"/>
              <w:rPr>
                <w:rFonts w:ascii="Times New Roman" w:hAnsi="Times New Roman"/>
              </w:rPr>
            </w:pPr>
          </w:p>
        </w:tc>
        <w:tc>
          <w:tcPr>
            <w:tcW w:w="1180" w:type="dxa"/>
            <w:tcBorders>
              <w:top w:val="nil"/>
              <w:left w:val="nil"/>
              <w:bottom w:val="nil"/>
              <w:right w:val="nil"/>
            </w:tcBorders>
            <w:vAlign w:val="bottom"/>
          </w:tcPr>
          <w:p w14:paraId="5D279161" w14:textId="77777777" w:rsidR="00B65EDC" w:rsidRPr="00912A85" w:rsidRDefault="00B65EDC">
            <w:pPr>
              <w:jc w:val="right"/>
              <w:rPr>
                <w:rFonts w:ascii="Times New Roman" w:hAnsi="Times New Roman"/>
              </w:rPr>
            </w:pPr>
          </w:p>
        </w:tc>
        <w:tc>
          <w:tcPr>
            <w:tcW w:w="870" w:type="dxa"/>
            <w:tcBorders>
              <w:top w:val="nil"/>
              <w:left w:val="nil"/>
              <w:bottom w:val="nil"/>
              <w:right w:val="nil"/>
            </w:tcBorders>
            <w:vAlign w:val="bottom"/>
          </w:tcPr>
          <w:p w14:paraId="52012475" w14:textId="77777777" w:rsidR="00B65EDC" w:rsidRPr="00912A85" w:rsidRDefault="00B65EDC">
            <w:pPr>
              <w:jc w:val="right"/>
              <w:rPr>
                <w:rFonts w:ascii="Times New Roman" w:hAnsi="Times New Roman"/>
              </w:rPr>
            </w:pPr>
          </w:p>
        </w:tc>
        <w:tc>
          <w:tcPr>
            <w:tcW w:w="870" w:type="dxa"/>
            <w:tcBorders>
              <w:top w:val="nil"/>
              <w:left w:val="nil"/>
              <w:bottom w:val="nil"/>
              <w:right w:val="nil"/>
            </w:tcBorders>
            <w:vAlign w:val="bottom"/>
          </w:tcPr>
          <w:p w14:paraId="10E07DC4" w14:textId="77777777" w:rsidR="00B65EDC" w:rsidRPr="00912A85" w:rsidRDefault="00B65EDC">
            <w:pPr>
              <w:jc w:val="right"/>
              <w:rPr>
                <w:rFonts w:ascii="Times New Roman" w:hAnsi="Times New Roman"/>
              </w:rPr>
            </w:pPr>
          </w:p>
        </w:tc>
        <w:tc>
          <w:tcPr>
            <w:tcW w:w="1660" w:type="dxa"/>
            <w:tcBorders>
              <w:top w:val="nil"/>
              <w:left w:val="nil"/>
              <w:bottom w:val="nil"/>
              <w:right w:val="nil"/>
            </w:tcBorders>
            <w:vAlign w:val="bottom"/>
          </w:tcPr>
          <w:p w14:paraId="0F4572D7" w14:textId="77777777" w:rsidR="00B65EDC" w:rsidRPr="00912A85" w:rsidRDefault="00B65EDC">
            <w:pPr>
              <w:jc w:val="right"/>
              <w:rPr>
                <w:rFonts w:ascii="Times New Roman" w:hAnsi="Times New Roman"/>
              </w:rPr>
            </w:pPr>
          </w:p>
        </w:tc>
      </w:tr>
      <w:tr w:rsidR="00B65EDC" w:rsidRPr="00912A85" w14:paraId="5217DB30" w14:textId="77777777" w:rsidTr="00A538F6">
        <w:trPr>
          <w:trHeight w:val="330"/>
        </w:trPr>
        <w:tc>
          <w:tcPr>
            <w:tcW w:w="3800" w:type="dxa"/>
            <w:tcBorders>
              <w:top w:val="single" w:sz="4" w:space="0" w:color="AAB8C4"/>
              <w:left w:val="nil"/>
              <w:bottom w:val="single" w:sz="8" w:space="0" w:color="AAB8C4"/>
              <w:right w:val="nil"/>
            </w:tcBorders>
            <w:vAlign w:val="bottom"/>
            <w:hideMark/>
          </w:tcPr>
          <w:p w14:paraId="780F4F64" w14:textId="77777777" w:rsidR="00B65EDC" w:rsidRPr="00912A85" w:rsidRDefault="00B65EDC">
            <w:pPr>
              <w:jc w:val="left"/>
              <w:rPr>
                <w:rFonts w:ascii="Arial Narrow" w:hAnsi="Arial Narrow" w:cs="Arial"/>
                <w:b/>
                <w:bCs/>
              </w:rPr>
            </w:pPr>
            <w:r w:rsidRPr="00912A85">
              <w:rPr>
                <w:rFonts w:ascii="Arial Narrow" w:hAnsi="Arial Narrow" w:cs="Arial"/>
                <w:b/>
                <w:bCs/>
              </w:rPr>
              <w:t>3. Working Capital Fund</w:t>
            </w:r>
          </w:p>
        </w:tc>
        <w:tc>
          <w:tcPr>
            <w:tcW w:w="1180" w:type="dxa"/>
            <w:tcBorders>
              <w:top w:val="single" w:sz="4" w:space="0" w:color="AAB8C4"/>
              <w:left w:val="nil"/>
              <w:bottom w:val="single" w:sz="8" w:space="0" w:color="AAB8C4"/>
              <w:right w:val="nil"/>
            </w:tcBorders>
            <w:vAlign w:val="bottom"/>
          </w:tcPr>
          <w:p w14:paraId="7E659E25" w14:textId="77777777" w:rsidR="00B65EDC" w:rsidRPr="00912A85" w:rsidRDefault="00B65EDC">
            <w:pPr>
              <w:jc w:val="right"/>
              <w:rPr>
                <w:rFonts w:ascii="Arial Narrow" w:hAnsi="Arial Narrow" w:cs="Arial"/>
                <w:b/>
                <w:bCs/>
              </w:rPr>
            </w:pPr>
            <w:r w:rsidRPr="00912A85">
              <w:rPr>
                <w:rFonts w:ascii="Arial Narrow" w:hAnsi="Arial Narrow" w:cs="Arial"/>
                <w:b/>
                <w:bCs/>
              </w:rPr>
              <w:t>578</w:t>
            </w:r>
          </w:p>
        </w:tc>
        <w:tc>
          <w:tcPr>
            <w:tcW w:w="1180" w:type="dxa"/>
            <w:tcBorders>
              <w:top w:val="single" w:sz="4" w:space="0" w:color="AAB8C4"/>
              <w:left w:val="nil"/>
              <w:bottom w:val="single" w:sz="8" w:space="0" w:color="AAB8C4"/>
              <w:right w:val="nil"/>
            </w:tcBorders>
            <w:vAlign w:val="bottom"/>
          </w:tcPr>
          <w:p w14:paraId="1B70E429" w14:textId="77777777" w:rsidR="00B65EDC" w:rsidRPr="00912A85" w:rsidRDefault="00B65EDC">
            <w:pPr>
              <w:jc w:val="right"/>
              <w:rPr>
                <w:rFonts w:ascii="Arial Narrow" w:hAnsi="Arial Narrow" w:cs="Arial"/>
                <w:b/>
                <w:bCs/>
              </w:rPr>
            </w:pPr>
            <w:r w:rsidRPr="00912A85">
              <w:rPr>
                <w:rFonts w:ascii="Arial Narrow" w:hAnsi="Arial Narrow" w:cs="Arial"/>
                <w:b/>
                <w:bCs/>
              </w:rPr>
              <w:t>583</w:t>
            </w:r>
          </w:p>
        </w:tc>
        <w:tc>
          <w:tcPr>
            <w:tcW w:w="870" w:type="dxa"/>
            <w:tcBorders>
              <w:top w:val="single" w:sz="4" w:space="0" w:color="AAB8C4"/>
              <w:left w:val="nil"/>
              <w:bottom w:val="single" w:sz="8" w:space="0" w:color="AAB8C4"/>
              <w:right w:val="nil"/>
            </w:tcBorders>
            <w:vAlign w:val="bottom"/>
          </w:tcPr>
          <w:p w14:paraId="54EDAFF7"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c>
          <w:tcPr>
            <w:tcW w:w="870" w:type="dxa"/>
            <w:tcBorders>
              <w:top w:val="single" w:sz="4" w:space="0" w:color="BFBFBF"/>
              <w:left w:val="nil"/>
              <w:bottom w:val="single" w:sz="8" w:space="0" w:color="BFBFBF"/>
              <w:right w:val="nil"/>
            </w:tcBorders>
            <w:vAlign w:val="bottom"/>
          </w:tcPr>
          <w:p w14:paraId="3D8483FA" w14:textId="77777777" w:rsidR="00B65EDC" w:rsidRPr="00912A85" w:rsidRDefault="00B65EDC">
            <w:pPr>
              <w:jc w:val="right"/>
              <w:rPr>
                <w:rFonts w:ascii="Arial Narrow" w:hAnsi="Arial Narrow" w:cs="Arial"/>
                <w:b/>
                <w:bCs/>
              </w:rPr>
            </w:pPr>
            <w:r w:rsidRPr="00912A85">
              <w:rPr>
                <w:rFonts w:ascii="Arial Narrow" w:hAnsi="Arial Narrow" w:cs="Arial"/>
                <w:b/>
                <w:bCs/>
              </w:rPr>
              <w:t>0.0%</w:t>
            </w:r>
          </w:p>
        </w:tc>
        <w:tc>
          <w:tcPr>
            <w:tcW w:w="1660" w:type="dxa"/>
            <w:tcBorders>
              <w:top w:val="single" w:sz="4" w:space="0" w:color="AAB8C4"/>
              <w:left w:val="nil"/>
              <w:bottom w:val="single" w:sz="8" w:space="0" w:color="AAB8C4"/>
              <w:right w:val="nil"/>
            </w:tcBorders>
            <w:vAlign w:val="bottom"/>
          </w:tcPr>
          <w:p w14:paraId="1FC7E138" w14:textId="77777777" w:rsidR="00B65EDC" w:rsidRPr="00912A85" w:rsidRDefault="00B65EDC">
            <w:pPr>
              <w:jc w:val="right"/>
              <w:rPr>
                <w:rFonts w:ascii="Arial Narrow" w:hAnsi="Arial Narrow" w:cs="Arial"/>
                <w:b/>
                <w:bCs/>
              </w:rPr>
            </w:pPr>
            <w:r w:rsidRPr="00912A85">
              <w:rPr>
                <w:rFonts w:ascii="Arial Narrow" w:hAnsi="Arial Narrow" w:cs="Arial"/>
                <w:b/>
                <w:bCs/>
              </w:rPr>
              <w:t>583</w:t>
            </w:r>
          </w:p>
        </w:tc>
      </w:tr>
    </w:tbl>
    <w:p w14:paraId="7840A2F7" w14:textId="77777777" w:rsidR="00B65EDC" w:rsidRPr="00912A85" w:rsidRDefault="00B65EDC" w:rsidP="00B65EDC">
      <w:pPr>
        <w:rPr>
          <w:spacing w:val="-2"/>
          <w:szCs w:val="24"/>
        </w:rPr>
      </w:pPr>
    </w:p>
    <w:p w14:paraId="62B8D876" w14:textId="77777777" w:rsidR="00B65EDC" w:rsidRPr="00912A85" w:rsidRDefault="00B65EDC" w:rsidP="00B65EDC">
      <w:pPr>
        <w:rPr>
          <w:spacing w:val="-2"/>
          <w:szCs w:val="24"/>
        </w:rPr>
      </w:pPr>
    </w:p>
    <w:p w14:paraId="68551516" w14:textId="373F8101" w:rsidR="00B65EDC" w:rsidRPr="00912A85" w:rsidRDefault="00B65EDC" w:rsidP="00B65EDC">
      <w:pPr>
        <w:rPr>
          <w:spacing w:val="-2"/>
          <w:szCs w:val="24"/>
        </w:rPr>
      </w:pPr>
      <w:r w:rsidRPr="00912A85">
        <w:fldChar w:fldCharType="begin"/>
      </w:r>
      <w:r w:rsidRPr="00912A85">
        <w:instrText xml:space="preserve"> AUTONUM  </w:instrText>
      </w:r>
      <w:r w:rsidRPr="00912A85">
        <w:fldChar w:fldCharType="end"/>
      </w:r>
      <w:r w:rsidRPr="00912A85">
        <w:tab/>
      </w:r>
      <w:r w:rsidRPr="00912A85">
        <w:rPr>
          <w:spacing w:val="-2"/>
          <w:szCs w:val="24"/>
        </w:rPr>
        <w:t>With regard to the reserve fund, it is recalled that document UPOV/INF/4/6 “Financial Regulations and Rules of UPOV”, Regulation 4.6, states that “[…] If after the closure of the financial period, the amount of the reserve fund exceeds 15 percent of the total income for the financial period, the Council shall decide on the use of the income in excess of the expenditure for the financial period”</w:t>
      </w:r>
      <w:r w:rsidR="007F06A2">
        <w:rPr>
          <w:spacing w:val="-2"/>
          <w:szCs w:val="24"/>
        </w:rPr>
        <w:t>.</w:t>
      </w:r>
      <w:r w:rsidRPr="00912A85">
        <w:rPr>
          <w:spacing w:val="-2"/>
          <w:szCs w:val="24"/>
        </w:rPr>
        <w:t xml:space="preserve">  The necessary arrangements </w:t>
      </w:r>
      <w:r w:rsidR="007F06A2">
        <w:rPr>
          <w:spacing w:val="-2"/>
          <w:szCs w:val="24"/>
        </w:rPr>
        <w:t xml:space="preserve">will </w:t>
      </w:r>
      <w:r w:rsidRPr="00912A85">
        <w:rPr>
          <w:spacing w:val="-2"/>
          <w:szCs w:val="24"/>
        </w:rPr>
        <w:t xml:space="preserve">be made for consideration by the Consultative Committee and the Council if that situation is applicable at the closure of the </w:t>
      </w:r>
      <w:r w:rsidR="00521C0D">
        <w:rPr>
          <w:snapToGrid w:val="0"/>
          <w:spacing w:val="-2"/>
          <w:szCs w:val="24"/>
        </w:rPr>
        <w:t>2026</w:t>
      </w:r>
      <w:r w:rsidR="00521C0D">
        <w:rPr>
          <w:snapToGrid w:val="0"/>
          <w:spacing w:val="-2"/>
          <w:szCs w:val="24"/>
        </w:rPr>
        <w:noBreakHyphen/>
        <w:t>2027</w:t>
      </w:r>
      <w:r w:rsidRPr="00912A85">
        <w:rPr>
          <w:spacing w:val="-2"/>
          <w:szCs w:val="24"/>
        </w:rPr>
        <w:t xml:space="preserve"> biennium. </w:t>
      </w:r>
    </w:p>
    <w:p w14:paraId="2316CE40" w14:textId="77777777" w:rsidR="00B65EDC" w:rsidRPr="00912A85" w:rsidRDefault="00B65EDC" w:rsidP="00B65EDC">
      <w:pPr>
        <w:rPr>
          <w:spacing w:val="-2"/>
          <w:szCs w:val="24"/>
        </w:rPr>
      </w:pPr>
    </w:p>
    <w:p w14:paraId="3CF33E3F" w14:textId="77777777" w:rsidR="00B65EDC" w:rsidRPr="00912A85" w:rsidRDefault="00B65EDC" w:rsidP="00B65EDC">
      <w:pPr>
        <w:rPr>
          <w:spacing w:val="-2"/>
          <w:szCs w:val="24"/>
        </w:rPr>
      </w:pPr>
    </w:p>
    <w:p w14:paraId="5AA7DE49" w14:textId="77777777" w:rsidR="00B65EDC" w:rsidRPr="00912A85" w:rsidRDefault="00B65EDC" w:rsidP="00B65EDC">
      <w:pPr>
        <w:pStyle w:val="Heading3"/>
      </w:pPr>
      <w:bookmarkStart w:id="436" w:name="_Toc208999639"/>
      <w:r w:rsidRPr="00912A85">
        <w:t>Income</w:t>
      </w:r>
      <w:bookmarkEnd w:id="436"/>
    </w:p>
    <w:p w14:paraId="750789D5" w14:textId="77777777" w:rsidR="00B65EDC" w:rsidRPr="00912A85" w:rsidRDefault="00B65EDC" w:rsidP="00B65EDC">
      <w:pPr>
        <w:rPr>
          <w:spacing w:val="-2"/>
          <w:szCs w:val="24"/>
        </w:rPr>
      </w:pPr>
    </w:p>
    <w:bookmarkStart w:id="437" w:name="_Hlk190005715"/>
    <w:p w14:paraId="3D3F9F20" w14:textId="09EA9B83"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Total income under the regular budget in the </w:t>
      </w:r>
      <w:r w:rsidR="00521C0D">
        <w:rPr>
          <w:snapToGrid w:val="0"/>
        </w:rPr>
        <w:t>2026</w:t>
      </w:r>
      <w:r w:rsidR="00521C0D">
        <w:rPr>
          <w:snapToGrid w:val="0"/>
        </w:rPr>
        <w:noBreakHyphen/>
        <w:t>2027</w:t>
      </w:r>
      <w:r w:rsidRPr="00912A85">
        <w:t xml:space="preserve"> biennium is estimated at 7,615,864 </w:t>
      </w:r>
      <w:r w:rsidRPr="00912A85">
        <w:rPr>
          <w:spacing w:val="-2"/>
          <w:szCs w:val="24"/>
        </w:rPr>
        <w:t>Swiss francs, i.e. 285,443 Swiss francs,</w:t>
      </w:r>
      <w:r w:rsidRPr="00912A85">
        <w:t xml:space="preserve"> or 3.6</w:t>
      </w:r>
      <w:r w:rsidRPr="00912A85">
        <w:rPr>
          <w:spacing w:val="-2"/>
          <w:szCs w:val="24"/>
        </w:rPr>
        <w:t> per cent,</w:t>
      </w:r>
      <w:r w:rsidRPr="00912A85">
        <w:t xml:space="preserve"> lower than the estimated income for the </w:t>
      </w:r>
      <w:r w:rsidRPr="00912A85">
        <w:rPr>
          <w:snapToGrid w:val="0"/>
        </w:rPr>
        <w:t>2024</w:t>
      </w:r>
      <w:r w:rsidRPr="00912A85">
        <w:rPr>
          <w:snapToGrid w:val="0"/>
        </w:rPr>
        <w:noBreakHyphen/>
        <w:t>2025</w:t>
      </w:r>
      <w:r w:rsidRPr="00912A85">
        <w:t xml:space="preserve"> biennium (7,901,307 </w:t>
      </w:r>
      <w:r w:rsidRPr="00912A85">
        <w:rPr>
          <w:spacing w:val="-2"/>
          <w:szCs w:val="24"/>
        </w:rPr>
        <w:t xml:space="preserve">Swiss francs) </w:t>
      </w:r>
      <w:bookmarkEnd w:id="437"/>
      <w:r w:rsidRPr="00912A85">
        <w:rPr>
          <w:spacing w:val="-2"/>
          <w:szCs w:val="24"/>
        </w:rPr>
        <w:t>(see Table 2)</w:t>
      </w:r>
      <w:r w:rsidRPr="00912A85">
        <w:t xml:space="preserve">.  The income estimation for </w:t>
      </w:r>
      <w:r w:rsidR="00521C0D">
        <w:rPr>
          <w:snapToGrid w:val="0"/>
        </w:rPr>
        <w:t>2026</w:t>
      </w:r>
      <w:r w:rsidR="00521C0D">
        <w:rPr>
          <w:snapToGrid w:val="0"/>
        </w:rPr>
        <w:noBreakHyphen/>
        <w:t>2027</w:t>
      </w:r>
      <w:r w:rsidRPr="00912A85">
        <w:t xml:space="preserve"> is based on 66.45 contribution units in 2026 and 66.65</w:t>
      </w:r>
      <w:r w:rsidRPr="00912A85">
        <w:rPr>
          <w:spacing w:val="-2"/>
          <w:szCs w:val="24"/>
        </w:rPr>
        <w:t xml:space="preserve"> </w:t>
      </w:r>
      <w:r w:rsidRPr="00912A85">
        <w:t>contribution units in 2027 with no change to the value of the contribution unit, which in this proposal is assumed at 53,641 </w:t>
      </w:r>
      <w:r w:rsidRPr="00912A85">
        <w:rPr>
          <w:spacing w:val="-2"/>
          <w:szCs w:val="24"/>
        </w:rPr>
        <w:t>Swiss francs</w:t>
      </w:r>
      <w:r w:rsidRPr="00912A85">
        <w:t xml:space="preserve"> in the </w:t>
      </w:r>
      <w:r w:rsidR="00521C0D">
        <w:rPr>
          <w:snapToGrid w:val="0"/>
        </w:rPr>
        <w:t>2026</w:t>
      </w:r>
      <w:r w:rsidR="00521C0D">
        <w:rPr>
          <w:snapToGrid w:val="0"/>
        </w:rPr>
        <w:noBreakHyphen/>
        <w:t>2027</w:t>
      </w:r>
      <w:r w:rsidRPr="00912A85">
        <w:t xml:space="preserve"> biennium, same as 2024-2025.</w:t>
      </w:r>
    </w:p>
    <w:p w14:paraId="4CC85415" w14:textId="77777777" w:rsidR="00B65EDC" w:rsidRPr="00912A85" w:rsidRDefault="00B65EDC" w:rsidP="00B65EDC"/>
    <w:p w14:paraId="3C4E9214" w14:textId="3A4131FB"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Members’ contributions constitute UPOV’s primary source of income, i.e. 93.7 per cent. </w:t>
      </w:r>
      <w:r w:rsidR="007F06A2">
        <w:t xml:space="preserve"> </w:t>
      </w:r>
      <w:r w:rsidRPr="00912A85">
        <w:t>The value of the contribution unit has remained unchanged at 53,641 </w:t>
      </w:r>
      <w:r w:rsidRPr="00912A85">
        <w:rPr>
          <w:spacing w:val="-2"/>
          <w:szCs w:val="24"/>
        </w:rPr>
        <w:t>Swiss francs</w:t>
      </w:r>
      <w:r w:rsidRPr="00912A85">
        <w:t xml:space="preserve"> since 1995. </w:t>
      </w:r>
      <w:r w:rsidR="007F06A2">
        <w:t xml:space="preserve"> </w:t>
      </w:r>
      <w:r w:rsidRPr="00912A85">
        <w:t xml:space="preserve">The income projections for </w:t>
      </w:r>
      <w:r w:rsidR="00521C0D">
        <w:t>2026</w:t>
      </w:r>
      <w:r w:rsidR="00521C0D">
        <w:noBreakHyphen/>
        <w:t>2027</w:t>
      </w:r>
      <w:r w:rsidRPr="00912A85">
        <w:t xml:space="preserve"> foresee an overall decrease in income while the demand for UPOV’s services continues to grow. To off-set the decline in income and ensure that UPOV is able to meet UPOV’s needs in the priority areas agreed by the Council, the Secretary-General together with the UPOV Office will undertake consultations to assess the value of the contribution unit and include a proposal for consideration by the Consultative Committee and the Council in October 2025</w:t>
      </w:r>
      <w:r w:rsidR="004C500F">
        <w:t xml:space="preserve"> (see </w:t>
      </w:r>
      <w:r w:rsidR="005D291B">
        <w:t>UPOV</w:t>
      </w:r>
      <w:r w:rsidR="005D291B" w:rsidRPr="00712998">
        <w:t xml:space="preserve"> Resources Strategy (</w:t>
      </w:r>
      <w:r w:rsidR="005D291B">
        <w:t xml:space="preserve">document </w:t>
      </w:r>
      <w:r w:rsidR="005D291B" w:rsidRPr="00712998">
        <w:t>C/59/16)</w:t>
      </w:r>
      <w:r w:rsidR="005D291B">
        <w:t>)</w:t>
      </w:r>
      <w:r w:rsidRPr="00912A85">
        <w:t>.</w:t>
      </w:r>
    </w:p>
    <w:p w14:paraId="2D46EB0C" w14:textId="77777777" w:rsidR="00B65EDC" w:rsidRPr="00912A85" w:rsidRDefault="00B65EDC" w:rsidP="00B65EDC"/>
    <w:p w14:paraId="14B406C6" w14:textId="34C1E03B" w:rsidR="00B65EDC" w:rsidRPr="00912A85" w:rsidRDefault="00B65EDC" w:rsidP="00B65EDC">
      <w:r w:rsidRPr="00912A85">
        <w:fldChar w:fldCharType="begin"/>
      </w:r>
      <w:r w:rsidRPr="00912A85">
        <w:instrText xml:space="preserve"> AUTONUM  </w:instrText>
      </w:r>
      <w:r w:rsidRPr="00912A85">
        <w:fldChar w:fldCharType="end"/>
      </w:r>
      <w:r w:rsidRPr="00912A85">
        <w:tab/>
        <w:t>Income from contributions is estimated on one new member of the Union per year, each contributing 0.2 contribution unit to the budget (and 1,667 </w:t>
      </w:r>
      <w:r w:rsidRPr="00912A85">
        <w:rPr>
          <w:spacing w:val="-2"/>
          <w:szCs w:val="24"/>
        </w:rPr>
        <w:t>Swiss francs</w:t>
      </w:r>
      <w:r w:rsidRPr="00912A85">
        <w:t xml:space="preserve"> to the Working Capital Fund).  On February 27, 2025, Nigeria deposited its instrument of accession to the UPOV Convention. </w:t>
      </w:r>
      <w:r w:rsidR="007F06A2">
        <w:t xml:space="preserve"> </w:t>
      </w:r>
      <w:r w:rsidRPr="00912A85">
        <w:t xml:space="preserve">Nigeria will become the eightieth member of UPOV on March 27, 2025. </w:t>
      </w:r>
      <w:r w:rsidR="007F06A2">
        <w:t xml:space="preserve"> </w:t>
      </w:r>
      <w:r w:rsidRPr="00912A85">
        <w:t>The annual contribution of Nigeria to the expenses of the Union will be one fifth of a unit (0.2).  At its twenty-third extraordinary session, held in Geneva on April 7, 2006, the Council decided that “members of the Union should not adjust downwards their number of units of contribution without considering the implications for UPOV and considering how such a reduction would be compensated by other members of the Union.  In particular, members of the Union should not reduce their number of units of contribution during a budget period approved by the Council, except under exceptional and unavoidable circumstances” (see Annex III of document C(</w:t>
      </w:r>
      <w:proofErr w:type="spellStart"/>
      <w:r w:rsidRPr="00912A85">
        <w:t>Extr</w:t>
      </w:r>
      <w:proofErr w:type="spellEnd"/>
      <w:r w:rsidRPr="00912A85">
        <w:t xml:space="preserve">.)/23/5). </w:t>
      </w:r>
    </w:p>
    <w:p w14:paraId="5974A47B" w14:textId="1C442F5D" w:rsidR="00B65EDC" w:rsidRPr="00912A85" w:rsidRDefault="00B65EDC" w:rsidP="00B65EDC">
      <w:r w:rsidRPr="00912A85">
        <w:lastRenderedPageBreak/>
        <w:fldChar w:fldCharType="begin"/>
      </w:r>
      <w:r w:rsidRPr="00912A85">
        <w:instrText xml:space="preserve"> AUTONUM  </w:instrText>
      </w:r>
      <w:r w:rsidRPr="00912A85">
        <w:fldChar w:fldCharType="end"/>
      </w:r>
      <w:r w:rsidRPr="00912A85">
        <w:tab/>
        <w:t xml:space="preserve">On October 25, 2024, UPOV was notified that the number of contribution units applicable to Sweden will be reduced from 1.5 to 1 contribution unit, with effect from January 2026.  No other reduction in the number of units of contribution by members of the Union is anticipated in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 xml:space="preserve">biennium. </w:t>
      </w:r>
    </w:p>
    <w:p w14:paraId="6AD6F89E" w14:textId="77777777" w:rsidR="00B65EDC" w:rsidRPr="00912A85" w:rsidRDefault="00B65EDC" w:rsidP="00B65EDC"/>
    <w:p w14:paraId="540CC1DA" w14:textId="043462DC"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In addition to contributions from members of the Union, income is anticipated from the UPOV IT Tools and Services Fees (326,520 Swiss francs) and Miscellaneous Income is estimated at 149,749 Swiss francs, including: (</w:t>
      </w:r>
      <w:proofErr w:type="spellStart"/>
      <w:r w:rsidRPr="00912A85">
        <w:t>i</w:t>
      </w:r>
      <w:proofErr w:type="spellEnd"/>
      <w:r w:rsidRPr="00912A85">
        <w:t>) administrative support costs from Funds-in-Trust (109,749 Swiss francs); and (ii) fees from the distance learning program (40,000 Swiss francs).  Income sources other than contributions constitute 6.3</w:t>
      </w:r>
      <w:r w:rsidRPr="00912A85">
        <w:rPr>
          <w:spacing w:val="-2"/>
          <w:szCs w:val="24"/>
        </w:rPr>
        <w:t> per cent</w:t>
      </w:r>
      <w:r w:rsidRPr="00912A85">
        <w:t xml:space="preserve"> of the estimated total income in </w:t>
      </w:r>
      <w:r w:rsidR="00521C0D">
        <w:rPr>
          <w:snapToGrid w:val="0"/>
        </w:rPr>
        <w:t>2026</w:t>
      </w:r>
      <w:r w:rsidR="00521C0D">
        <w:rPr>
          <w:snapToGrid w:val="0"/>
        </w:rPr>
        <w:noBreakHyphen/>
        <w:t>2027</w:t>
      </w:r>
      <w:r w:rsidRPr="00912A85">
        <w:t xml:space="preserve">. </w:t>
      </w:r>
    </w:p>
    <w:p w14:paraId="0875BD29" w14:textId="77777777" w:rsidR="00B65EDC" w:rsidRPr="00912A85" w:rsidRDefault="00B65EDC" w:rsidP="00B65EDC">
      <w:pPr>
        <w:rPr>
          <w:spacing w:val="-2"/>
          <w:szCs w:val="24"/>
        </w:rPr>
      </w:pPr>
    </w:p>
    <w:p w14:paraId="27E69621" w14:textId="77777777" w:rsidR="00B65EDC" w:rsidRPr="00912A85" w:rsidRDefault="00B65EDC" w:rsidP="00B65EDC">
      <w:pPr>
        <w:rPr>
          <w:spacing w:val="-2"/>
          <w:szCs w:val="24"/>
        </w:rPr>
      </w:pPr>
    </w:p>
    <w:p w14:paraId="541A275C" w14:textId="57290767" w:rsidR="00B65EDC" w:rsidRPr="00912A85" w:rsidRDefault="00B65EDC" w:rsidP="00B65EDC">
      <w:pPr>
        <w:keepNext/>
        <w:jc w:val="center"/>
        <w:rPr>
          <w:rFonts w:cs="Arial"/>
          <w:i/>
          <w:iCs/>
          <w:sz w:val="18"/>
          <w:szCs w:val="18"/>
        </w:rPr>
      </w:pPr>
      <w:r w:rsidRPr="00912A85">
        <w:rPr>
          <w:rFonts w:cs="Arial"/>
          <w:b/>
          <w:bCs/>
          <w:color w:val="26724C" w:themeColor="accent1" w:themeShade="BF"/>
        </w:rPr>
        <w:t xml:space="preserve">Table 2:  </w:t>
      </w:r>
      <w:bookmarkStart w:id="438" w:name="_Hlk189579333"/>
      <w:r w:rsidRPr="00912A85">
        <w:rPr>
          <w:rFonts w:cs="Arial"/>
          <w:b/>
          <w:bCs/>
          <w:color w:val="26724C" w:themeColor="accent1" w:themeShade="BF"/>
        </w:rPr>
        <w:t>Income 2024</w:t>
      </w:r>
      <w:r w:rsidRPr="00912A85">
        <w:rPr>
          <w:rFonts w:cs="Arial"/>
          <w:b/>
          <w:bCs/>
          <w:color w:val="26724C" w:themeColor="accent1" w:themeShade="BF"/>
        </w:rPr>
        <w:noBreakHyphen/>
        <w:t xml:space="preserve">2025 and </w:t>
      </w:r>
      <w:r w:rsidR="00521C0D">
        <w:rPr>
          <w:rFonts w:cs="Arial"/>
          <w:b/>
          <w:bCs/>
          <w:color w:val="26724C" w:themeColor="accent1" w:themeShade="BF"/>
        </w:rPr>
        <w:t>2026</w:t>
      </w:r>
      <w:r w:rsidR="00521C0D">
        <w:rPr>
          <w:rFonts w:cs="Arial"/>
          <w:b/>
          <w:bCs/>
          <w:color w:val="26724C" w:themeColor="accent1" w:themeShade="BF"/>
        </w:rPr>
        <w:noBreakHyphen/>
        <w:t>2027</w:t>
      </w:r>
      <w:bookmarkEnd w:id="438"/>
      <w:r w:rsidRPr="00912A85" w:rsidDel="00DB24D8">
        <w:rPr>
          <w:rFonts w:cs="Arial"/>
          <w:b/>
          <w:bCs/>
          <w:color w:val="26724C" w:themeColor="accent1" w:themeShade="BF"/>
        </w:rPr>
        <w:t xml:space="preserve"> </w:t>
      </w:r>
      <w:r w:rsidRPr="00912A85">
        <w:rPr>
          <w:rFonts w:cs="Arial"/>
          <w:b/>
          <w:bCs/>
        </w:rPr>
        <w:br/>
      </w:r>
      <w:r w:rsidRPr="00912A85">
        <w:rPr>
          <w:rFonts w:cs="Arial"/>
          <w:i/>
          <w:iCs/>
          <w:sz w:val="18"/>
          <w:szCs w:val="18"/>
        </w:rPr>
        <w:t>(in thousands of Swiss francs)</w:t>
      </w:r>
    </w:p>
    <w:p w14:paraId="0A64D72E" w14:textId="77777777" w:rsidR="00B65EDC" w:rsidRPr="00912A85" w:rsidRDefault="00B65EDC" w:rsidP="00B65EDC">
      <w:pPr>
        <w:keepNext/>
        <w:rPr>
          <w:rFonts w:cs="Arial"/>
          <w:i/>
          <w:iCs/>
        </w:rPr>
      </w:pPr>
    </w:p>
    <w:tbl>
      <w:tblPr>
        <w:tblW w:w="9587" w:type="dxa"/>
        <w:tblLook w:val="04A0" w:firstRow="1" w:lastRow="0" w:firstColumn="1" w:lastColumn="0" w:noHBand="0" w:noVBand="1"/>
      </w:tblPr>
      <w:tblGrid>
        <w:gridCol w:w="3402"/>
        <w:gridCol w:w="1276"/>
        <w:gridCol w:w="1418"/>
        <w:gridCol w:w="1134"/>
        <w:gridCol w:w="1114"/>
        <w:gridCol w:w="1243"/>
      </w:tblGrid>
      <w:tr w:rsidR="00B65EDC" w:rsidRPr="00912A85" w14:paraId="5ABBAEFC" w14:textId="77777777">
        <w:trPr>
          <w:trHeight w:val="317"/>
        </w:trPr>
        <w:tc>
          <w:tcPr>
            <w:tcW w:w="3402" w:type="dxa"/>
            <w:tcBorders>
              <w:top w:val="nil"/>
              <w:left w:val="nil"/>
              <w:bottom w:val="nil"/>
              <w:right w:val="nil"/>
            </w:tcBorders>
            <w:shd w:val="clear" w:color="000000" w:fill="C7CFD8"/>
            <w:hideMark/>
          </w:tcPr>
          <w:p w14:paraId="599FC29F" w14:textId="77777777" w:rsidR="00B65EDC" w:rsidRPr="00912A85" w:rsidRDefault="00B65EDC">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60FA2F77"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2023</w:t>
            </w:r>
          </w:p>
        </w:tc>
        <w:tc>
          <w:tcPr>
            <w:tcW w:w="1418" w:type="dxa"/>
            <w:tcBorders>
              <w:top w:val="nil"/>
              <w:left w:val="nil"/>
              <w:bottom w:val="nil"/>
              <w:right w:val="nil"/>
            </w:tcBorders>
            <w:shd w:val="clear" w:color="000000" w:fill="C7CFD8"/>
            <w:vAlign w:val="center"/>
            <w:hideMark/>
          </w:tcPr>
          <w:p w14:paraId="78FBE30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 xml:space="preserve">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7241C54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Variation</w:t>
            </w:r>
          </w:p>
        </w:tc>
        <w:tc>
          <w:tcPr>
            <w:tcW w:w="1243" w:type="dxa"/>
            <w:tcBorders>
              <w:top w:val="nil"/>
              <w:left w:val="nil"/>
              <w:bottom w:val="nil"/>
              <w:right w:val="nil"/>
            </w:tcBorders>
            <w:shd w:val="clear" w:color="000000" w:fill="C7CFD8"/>
            <w:vAlign w:val="center"/>
            <w:hideMark/>
          </w:tcPr>
          <w:p w14:paraId="603B370C" w14:textId="19723B34"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p>
        </w:tc>
      </w:tr>
      <w:tr w:rsidR="00B65EDC" w:rsidRPr="00912A85" w14:paraId="58D4A2EC" w14:textId="77777777">
        <w:trPr>
          <w:trHeight w:val="272"/>
        </w:trPr>
        <w:tc>
          <w:tcPr>
            <w:tcW w:w="3402" w:type="dxa"/>
            <w:tcBorders>
              <w:top w:val="nil"/>
              <w:left w:val="nil"/>
              <w:bottom w:val="nil"/>
              <w:right w:val="nil"/>
            </w:tcBorders>
            <w:shd w:val="clear" w:color="000000" w:fill="C7CFD8"/>
            <w:hideMark/>
          </w:tcPr>
          <w:p w14:paraId="6D34DB67" w14:textId="77777777" w:rsidR="00B65EDC" w:rsidRPr="00912A85" w:rsidRDefault="00B65EDC">
            <w:pPr>
              <w:ind w:firstLineChars="100" w:firstLine="181"/>
              <w:jc w:val="left"/>
              <w:rPr>
                <w:rFonts w:ascii="Arial Narrow" w:hAnsi="Arial Narrow" w:cs="Arial"/>
                <w:b/>
                <w:bCs/>
                <w:sz w:val="18"/>
                <w:szCs w:val="18"/>
              </w:rPr>
            </w:pPr>
            <w:r w:rsidRPr="00912A85">
              <w:rPr>
                <w:rFonts w:ascii="Arial Narrow" w:hAnsi="Arial Narrow" w:cs="Arial"/>
                <w:b/>
                <w:bCs/>
                <w:sz w:val="18"/>
                <w:szCs w:val="18"/>
              </w:rPr>
              <w:t>Source</w:t>
            </w:r>
          </w:p>
        </w:tc>
        <w:tc>
          <w:tcPr>
            <w:tcW w:w="1276" w:type="dxa"/>
            <w:tcBorders>
              <w:top w:val="nil"/>
              <w:left w:val="nil"/>
              <w:bottom w:val="nil"/>
              <w:right w:val="nil"/>
            </w:tcBorders>
            <w:shd w:val="clear" w:color="000000" w:fill="C7CFD8"/>
            <w:vAlign w:val="center"/>
            <w:hideMark/>
          </w:tcPr>
          <w:p w14:paraId="1FD1E0CD"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Actual</w:t>
            </w:r>
            <w:r w:rsidRPr="00912A85">
              <w:rPr>
                <w:rFonts w:cs="Arial"/>
                <w:b/>
                <w:bCs/>
                <w:i/>
                <w:iCs/>
                <w:color w:val="000000"/>
                <w:sz w:val="18"/>
                <w:szCs w:val="18"/>
                <w:vertAlign w:val="superscript"/>
              </w:rPr>
              <w:t>1</w:t>
            </w:r>
          </w:p>
        </w:tc>
        <w:tc>
          <w:tcPr>
            <w:tcW w:w="1418" w:type="dxa"/>
            <w:tcBorders>
              <w:top w:val="nil"/>
              <w:left w:val="nil"/>
              <w:bottom w:val="nil"/>
              <w:right w:val="nil"/>
            </w:tcBorders>
            <w:shd w:val="clear" w:color="000000" w:fill="C7CFD8"/>
            <w:vAlign w:val="center"/>
            <w:hideMark/>
          </w:tcPr>
          <w:p w14:paraId="51A9DEF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Approved</w:t>
            </w:r>
          </w:p>
        </w:tc>
        <w:tc>
          <w:tcPr>
            <w:tcW w:w="2248" w:type="dxa"/>
            <w:gridSpan w:val="2"/>
            <w:vMerge/>
            <w:tcBorders>
              <w:top w:val="nil"/>
              <w:left w:val="nil"/>
              <w:bottom w:val="nil"/>
              <w:right w:val="nil"/>
            </w:tcBorders>
            <w:vAlign w:val="center"/>
            <w:hideMark/>
          </w:tcPr>
          <w:p w14:paraId="7CDC1A19" w14:textId="77777777" w:rsidR="00B65EDC" w:rsidRPr="00912A85" w:rsidRDefault="00B65EDC">
            <w:pPr>
              <w:jc w:val="left"/>
              <w:rPr>
                <w:rFonts w:ascii="Arial Narrow" w:hAnsi="Arial Narrow" w:cs="Arial"/>
                <w:b/>
                <w:bCs/>
                <w:sz w:val="18"/>
                <w:szCs w:val="18"/>
              </w:rPr>
            </w:pPr>
          </w:p>
        </w:tc>
        <w:tc>
          <w:tcPr>
            <w:tcW w:w="1243" w:type="dxa"/>
            <w:tcBorders>
              <w:top w:val="nil"/>
              <w:left w:val="nil"/>
              <w:bottom w:val="nil"/>
              <w:right w:val="nil"/>
            </w:tcBorders>
            <w:shd w:val="clear" w:color="000000" w:fill="C7CFD8"/>
            <w:vAlign w:val="center"/>
            <w:hideMark/>
          </w:tcPr>
          <w:p w14:paraId="22E225E6"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Proposed </w:t>
            </w:r>
          </w:p>
        </w:tc>
      </w:tr>
      <w:tr w:rsidR="00B65EDC" w:rsidRPr="00912A85" w14:paraId="0BCA6E5C" w14:textId="77777777">
        <w:trPr>
          <w:trHeight w:val="287"/>
        </w:trPr>
        <w:tc>
          <w:tcPr>
            <w:tcW w:w="3402" w:type="dxa"/>
            <w:tcBorders>
              <w:top w:val="nil"/>
              <w:left w:val="nil"/>
              <w:bottom w:val="nil"/>
              <w:right w:val="nil"/>
            </w:tcBorders>
            <w:shd w:val="clear" w:color="000000" w:fill="C7CFD8"/>
            <w:vAlign w:val="bottom"/>
            <w:hideMark/>
          </w:tcPr>
          <w:p w14:paraId="707B24AD" w14:textId="77777777" w:rsidR="00B65EDC" w:rsidRPr="00912A85" w:rsidRDefault="00B65EDC">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3F3B0519"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A</w:t>
            </w:r>
          </w:p>
        </w:tc>
        <w:tc>
          <w:tcPr>
            <w:tcW w:w="1418" w:type="dxa"/>
            <w:tcBorders>
              <w:top w:val="nil"/>
              <w:left w:val="nil"/>
              <w:bottom w:val="nil"/>
              <w:right w:val="nil"/>
            </w:tcBorders>
            <w:shd w:val="clear" w:color="000000" w:fill="C7CFD8"/>
            <w:noWrap/>
            <w:vAlign w:val="center"/>
            <w:hideMark/>
          </w:tcPr>
          <w:p w14:paraId="563F5A7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B</w:t>
            </w:r>
          </w:p>
        </w:tc>
        <w:tc>
          <w:tcPr>
            <w:tcW w:w="1134" w:type="dxa"/>
            <w:tcBorders>
              <w:top w:val="nil"/>
              <w:left w:val="nil"/>
              <w:bottom w:val="nil"/>
              <w:right w:val="nil"/>
            </w:tcBorders>
            <w:shd w:val="clear" w:color="000000" w:fill="C7CFD8"/>
            <w:vAlign w:val="center"/>
            <w:hideMark/>
          </w:tcPr>
          <w:p w14:paraId="577F2F0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w:t>
            </w:r>
          </w:p>
        </w:tc>
        <w:tc>
          <w:tcPr>
            <w:tcW w:w="1114" w:type="dxa"/>
            <w:tcBorders>
              <w:top w:val="nil"/>
              <w:left w:val="nil"/>
              <w:bottom w:val="nil"/>
              <w:right w:val="nil"/>
            </w:tcBorders>
            <w:shd w:val="clear" w:color="000000" w:fill="C7CFD8"/>
            <w:vAlign w:val="center"/>
            <w:hideMark/>
          </w:tcPr>
          <w:p w14:paraId="453CBDB2"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C/B (%)</w:t>
            </w:r>
          </w:p>
        </w:tc>
        <w:tc>
          <w:tcPr>
            <w:tcW w:w="1243" w:type="dxa"/>
            <w:tcBorders>
              <w:top w:val="nil"/>
              <w:left w:val="nil"/>
              <w:bottom w:val="nil"/>
              <w:right w:val="nil"/>
            </w:tcBorders>
            <w:shd w:val="clear" w:color="000000" w:fill="C7CFD8"/>
            <w:noWrap/>
            <w:vAlign w:val="center"/>
            <w:hideMark/>
          </w:tcPr>
          <w:p w14:paraId="46462371"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D=B+C </w:t>
            </w:r>
          </w:p>
        </w:tc>
      </w:tr>
      <w:tr w:rsidR="00B65EDC" w:rsidRPr="00912A85" w14:paraId="2F53AE58" w14:textId="77777777" w:rsidTr="00A538F6">
        <w:trPr>
          <w:trHeight w:val="362"/>
        </w:trPr>
        <w:tc>
          <w:tcPr>
            <w:tcW w:w="3402" w:type="dxa"/>
            <w:tcBorders>
              <w:top w:val="nil"/>
              <w:left w:val="nil"/>
              <w:bottom w:val="nil"/>
              <w:right w:val="nil"/>
            </w:tcBorders>
            <w:vAlign w:val="bottom"/>
            <w:hideMark/>
          </w:tcPr>
          <w:p w14:paraId="6FF87DC2"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Contributions</w:t>
            </w:r>
          </w:p>
        </w:tc>
        <w:tc>
          <w:tcPr>
            <w:tcW w:w="1276" w:type="dxa"/>
            <w:tcBorders>
              <w:top w:val="nil"/>
              <w:left w:val="nil"/>
              <w:bottom w:val="nil"/>
              <w:right w:val="nil"/>
            </w:tcBorders>
            <w:vAlign w:val="bottom"/>
          </w:tcPr>
          <w:p w14:paraId="2AFD807A"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7,140</w:t>
            </w:r>
          </w:p>
        </w:tc>
        <w:tc>
          <w:tcPr>
            <w:tcW w:w="1418" w:type="dxa"/>
            <w:tcBorders>
              <w:top w:val="nil"/>
              <w:left w:val="nil"/>
              <w:bottom w:val="nil"/>
              <w:right w:val="nil"/>
            </w:tcBorders>
            <w:vAlign w:val="bottom"/>
          </w:tcPr>
          <w:p w14:paraId="5A368BAE"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7,193</w:t>
            </w:r>
          </w:p>
        </w:tc>
        <w:tc>
          <w:tcPr>
            <w:tcW w:w="1134" w:type="dxa"/>
            <w:tcBorders>
              <w:top w:val="nil"/>
              <w:left w:val="nil"/>
              <w:bottom w:val="nil"/>
              <w:right w:val="nil"/>
            </w:tcBorders>
            <w:vAlign w:val="bottom"/>
          </w:tcPr>
          <w:p w14:paraId="7999775C"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(54)</w:t>
            </w:r>
          </w:p>
        </w:tc>
        <w:tc>
          <w:tcPr>
            <w:tcW w:w="1114" w:type="dxa"/>
            <w:tcBorders>
              <w:top w:val="nil"/>
              <w:left w:val="nil"/>
              <w:bottom w:val="nil"/>
              <w:right w:val="nil"/>
            </w:tcBorders>
            <w:vAlign w:val="bottom"/>
          </w:tcPr>
          <w:p w14:paraId="0F850CDF"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-0.7%</w:t>
            </w:r>
          </w:p>
        </w:tc>
        <w:tc>
          <w:tcPr>
            <w:tcW w:w="1243" w:type="dxa"/>
            <w:tcBorders>
              <w:top w:val="nil"/>
              <w:left w:val="nil"/>
              <w:bottom w:val="nil"/>
              <w:right w:val="nil"/>
            </w:tcBorders>
            <w:vAlign w:val="bottom"/>
          </w:tcPr>
          <w:p w14:paraId="7E4B71A4"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7,140</w:t>
            </w:r>
          </w:p>
        </w:tc>
      </w:tr>
      <w:tr w:rsidR="00B65EDC" w:rsidRPr="00912A85" w14:paraId="087F58E6" w14:textId="77777777" w:rsidTr="00A538F6">
        <w:trPr>
          <w:trHeight w:val="347"/>
        </w:trPr>
        <w:tc>
          <w:tcPr>
            <w:tcW w:w="3402" w:type="dxa"/>
            <w:tcBorders>
              <w:top w:val="nil"/>
              <w:left w:val="nil"/>
              <w:bottom w:val="nil"/>
              <w:right w:val="nil"/>
            </w:tcBorders>
            <w:vAlign w:val="bottom"/>
            <w:hideMark/>
          </w:tcPr>
          <w:p w14:paraId="385432EC"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UPOV IT Tools and Services Fees</w:t>
            </w:r>
          </w:p>
        </w:tc>
        <w:tc>
          <w:tcPr>
            <w:tcW w:w="1276" w:type="dxa"/>
            <w:tcBorders>
              <w:top w:val="nil"/>
              <w:left w:val="nil"/>
              <w:bottom w:val="nil"/>
              <w:right w:val="nil"/>
            </w:tcBorders>
            <w:vAlign w:val="bottom"/>
          </w:tcPr>
          <w:p w14:paraId="1132501E"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307</w:t>
            </w:r>
          </w:p>
        </w:tc>
        <w:tc>
          <w:tcPr>
            <w:tcW w:w="1418" w:type="dxa"/>
            <w:tcBorders>
              <w:top w:val="nil"/>
              <w:left w:val="nil"/>
              <w:bottom w:val="nil"/>
              <w:right w:val="nil"/>
            </w:tcBorders>
            <w:vAlign w:val="bottom"/>
          </w:tcPr>
          <w:p w14:paraId="52385435"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508</w:t>
            </w:r>
          </w:p>
        </w:tc>
        <w:tc>
          <w:tcPr>
            <w:tcW w:w="1134" w:type="dxa"/>
            <w:tcBorders>
              <w:top w:val="nil"/>
              <w:left w:val="nil"/>
              <w:bottom w:val="nil"/>
              <w:right w:val="nil"/>
            </w:tcBorders>
            <w:vAlign w:val="bottom"/>
          </w:tcPr>
          <w:p w14:paraId="56034FC4"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(182)</w:t>
            </w:r>
          </w:p>
        </w:tc>
        <w:tc>
          <w:tcPr>
            <w:tcW w:w="1114" w:type="dxa"/>
            <w:tcBorders>
              <w:top w:val="nil"/>
              <w:left w:val="nil"/>
              <w:bottom w:val="nil"/>
              <w:right w:val="nil"/>
            </w:tcBorders>
            <w:vAlign w:val="bottom"/>
          </w:tcPr>
          <w:p w14:paraId="5817FC3A"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-35.8%</w:t>
            </w:r>
          </w:p>
        </w:tc>
        <w:tc>
          <w:tcPr>
            <w:tcW w:w="1243" w:type="dxa"/>
            <w:tcBorders>
              <w:top w:val="nil"/>
              <w:left w:val="nil"/>
              <w:bottom w:val="nil"/>
              <w:right w:val="nil"/>
            </w:tcBorders>
            <w:vAlign w:val="bottom"/>
          </w:tcPr>
          <w:p w14:paraId="2B3417BC"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327</w:t>
            </w:r>
          </w:p>
        </w:tc>
      </w:tr>
      <w:tr w:rsidR="00B65EDC" w:rsidRPr="00912A85" w14:paraId="4720A4BC" w14:textId="77777777" w:rsidTr="00A538F6">
        <w:trPr>
          <w:trHeight w:val="347"/>
        </w:trPr>
        <w:tc>
          <w:tcPr>
            <w:tcW w:w="3402" w:type="dxa"/>
            <w:tcBorders>
              <w:top w:val="nil"/>
              <w:left w:val="nil"/>
              <w:bottom w:val="nil"/>
              <w:right w:val="nil"/>
            </w:tcBorders>
            <w:vAlign w:val="bottom"/>
            <w:hideMark/>
          </w:tcPr>
          <w:p w14:paraId="18821B9E"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Miscellaneous Income</w:t>
            </w:r>
          </w:p>
        </w:tc>
        <w:tc>
          <w:tcPr>
            <w:tcW w:w="1276" w:type="dxa"/>
            <w:tcBorders>
              <w:top w:val="nil"/>
              <w:left w:val="nil"/>
              <w:bottom w:val="nil"/>
              <w:right w:val="nil"/>
            </w:tcBorders>
            <w:vAlign w:val="bottom"/>
          </w:tcPr>
          <w:p w14:paraId="526A2861"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126</w:t>
            </w:r>
          </w:p>
        </w:tc>
        <w:tc>
          <w:tcPr>
            <w:tcW w:w="1418" w:type="dxa"/>
            <w:tcBorders>
              <w:top w:val="nil"/>
              <w:left w:val="nil"/>
              <w:bottom w:val="nil"/>
              <w:right w:val="nil"/>
            </w:tcBorders>
            <w:vAlign w:val="bottom"/>
          </w:tcPr>
          <w:p w14:paraId="4D9C02FB"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200</w:t>
            </w:r>
          </w:p>
        </w:tc>
        <w:tc>
          <w:tcPr>
            <w:tcW w:w="1134" w:type="dxa"/>
            <w:tcBorders>
              <w:top w:val="nil"/>
              <w:left w:val="nil"/>
              <w:bottom w:val="nil"/>
              <w:right w:val="nil"/>
            </w:tcBorders>
            <w:vAlign w:val="bottom"/>
          </w:tcPr>
          <w:p w14:paraId="752B26AE"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(50)</w:t>
            </w:r>
          </w:p>
        </w:tc>
        <w:tc>
          <w:tcPr>
            <w:tcW w:w="1114" w:type="dxa"/>
            <w:tcBorders>
              <w:top w:val="nil"/>
              <w:left w:val="nil"/>
              <w:bottom w:val="nil"/>
              <w:right w:val="nil"/>
            </w:tcBorders>
            <w:vAlign w:val="bottom"/>
          </w:tcPr>
          <w:p w14:paraId="1377D6B4"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-25.0%</w:t>
            </w:r>
          </w:p>
        </w:tc>
        <w:tc>
          <w:tcPr>
            <w:tcW w:w="1243" w:type="dxa"/>
            <w:tcBorders>
              <w:top w:val="nil"/>
              <w:left w:val="nil"/>
              <w:bottom w:val="nil"/>
              <w:right w:val="nil"/>
            </w:tcBorders>
            <w:vAlign w:val="bottom"/>
          </w:tcPr>
          <w:p w14:paraId="777463AC" w14:textId="77777777" w:rsidR="00B65EDC" w:rsidRPr="00912A85" w:rsidRDefault="00B65EDC">
            <w:pPr>
              <w:jc w:val="right"/>
              <w:rPr>
                <w:rFonts w:ascii="Arial Narrow" w:hAnsi="Arial Narrow" w:cs="Arial"/>
                <w:b/>
                <w:bCs/>
              </w:rPr>
            </w:pPr>
            <w:r w:rsidRPr="00912A85">
              <w:rPr>
                <w:rFonts w:ascii="Arial Narrow" w:hAnsi="Arial Narrow" w:cs="Arial"/>
                <w:b/>
                <w:bCs/>
              </w:rPr>
              <w:t>150</w:t>
            </w:r>
          </w:p>
        </w:tc>
      </w:tr>
      <w:tr w:rsidR="00B65EDC" w:rsidRPr="00912A85" w14:paraId="24EE9DC3" w14:textId="77777777" w:rsidTr="00A538F6">
        <w:trPr>
          <w:trHeight w:val="347"/>
        </w:trPr>
        <w:tc>
          <w:tcPr>
            <w:tcW w:w="3402" w:type="dxa"/>
            <w:tcBorders>
              <w:top w:val="nil"/>
              <w:left w:val="nil"/>
              <w:bottom w:val="nil"/>
              <w:right w:val="nil"/>
            </w:tcBorders>
            <w:vAlign w:val="bottom"/>
            <w:hideMark/>
          </w:tcPr>
          <w:p w14:paraId="4A5CA5D3"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Administrative Support Costs – FITS</w:t>
            </w:r>
          </w:p>
        </w:tc>
        <w:tc>
          <w:tcPr>
            <w:tcW w:w="1276" w:type="dxa"/>
            <w:tcBorders>
              <w:top w:val="nil"/>
              <w:left w:val="nil"/>
              <w:bottom w:val="nil"/>
              <w:right w:val="nil"/>
            </w:tcBorders>
            <w:vAlign w:val="bottom"/>
          </w:tcPr>
          <w:p w14:paraId="5F526E36"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119</w:t>
            </w:r>
          </w:p>
        </w:tc>
        <w:tc>
          <w:tcPr>
            <w:tcW w:w="1418" w:type="dxa"/>
            <w:tcBorders>
              <w:top w:val="nil"/>
              <w:left w:val="nil"/>
              <w:bottom w:val="nil"/>
              <w:right w:val="nil"/>
            </w:tcBorders>
            <w:vAlign w:val="bottom"/>
          </w:tcPr>
          <w:p w14:paraId="785AF04B"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120</w:t>
            </w:r>
          </w:p>
        </w:tc>
        <w:tc>
          <w:tcPr>
            <w:tcW w:w="1134" w:type="dxa"/>
            <w:tcBorders>
              <w:top w:val="nil"/>
              <w:left w:val="nil"/>
              <w:bottom w:val="nil"/>
              <w:right w:val="nil"/>
            </w:tcBorders>
            <w:vAlign w:val="bottom"/>
          </w:tcPr>
          <w:p w14:paraId="53C175EA"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(10)</w:t>
            </w:r>
          </w:p>
        </w:tc>
        <w:tc>
          <w:tcPr>
            <w:tcW w:w="1114" w:type="dxa"/>
            <w:tcBorders>
              <w:top w:val="nil"/>
              <w:left w:val="nil"/>
              <w:bottom w:val="nil"/>
              <w:right w:val="nil"/>
            </w:tcBorders>
            <w:vAlign w:val="bottom"/>
          </w:tcPr>
          <w:p w14:paraId="3FD577D6"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-8,3%</w:t>
            </w:r>
          </w:p>
        </w:tc>
        <w:tc>
          <w:tcPr>
            <w:tcW w:w="1243" w:type="dxa"/>
            <w:tcBorders>
              <w:top w:val="nil"/>
              <w:left w:val="nil"/>
              <w:bottom w:val="nil"/>
              <w:right w:val="nil"/>
            </w:tcBorders>
            <w:vAlign w:val="bottom"/>
          </w:tcPr>
          <w:p w14:paraId="7B6320CF" w14:textId="77777777" w:rsidR="00B65EDC" w:rsidRPr="00912A85" w:rsidRDefault="00B65EDC">
            <w:pPr>
              <w:jc w:val="right"/>
              <w:rPr>
                <w:rFonts w:ascii="Arial Narrow" w:hAnsi="Arial Narrow" w:cs="Arial"/>
                <w:b/>
                <w:bCs/>
                <w:color w:val="000000"/>
              </w:rPr>
            </w:pPr>
            <w:bookmarkStart w:id="439" w:name="_Hlk190003129"/>
            <w:r w:rsidRPr="00912A85">
              <w:rPr>
                <w:rFonts w:ascii="Arial Narrow" w:hAnsi="Arial Narrow" w:cs="Arial"/>
                <w:b/>
                <w:bCs/>
              </w:rPr>
              <w:t>110</w:t>
            </w:r>
            <w:bookmarkEnd w:id="439"/>
          </w:p>
        </w:tc>
      </w:tr>
      <w:tr w:rsidR="00B65EDC" w:rsidRPr="00912A85" w14:paraId="00B3CCDD" w14:textId="77777777" w:rsidTr="00A538F6">
        <w:trPr>
          <w:trHeight w:val="347"/>
        </w:trPr>
        <w:tc>
          <w:tcPr>
            <w:tcW w:w="3402" w:type="dxa"/>
            <w:tcBorders>
              <w:top w:val="nil"/>
              <w:left w:val="nil"/>
              <w:bottom w:val="nil"/>
              <w:right w:val="nil"/>
            </w:tcBorders>
            <w:vAlign w:val="bottom"/>
            <w:hideMark/>
          </w:tcPr>
          <w:p w14:paraId="7126FF5A"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Distance Learning Program</w:t>
            </w:r>
          </w:p>
        </w:tc>
        <w:tc>
          <w:tcPr>
            <w:tcW w:w="1276" w:type="dxa"/>
            <w:tcBorders>
              <w:top w:val="nil"/>
              <w:left w:val="nil"/>
              <w:bottom w:val="nil"/>
              <w:right w:val="nil"/>
            </w:tcBorders>
            <w:vAlign w:val="bottom"/>
          </w:tcPr>
          <w:p w14:paraId="001F24C6"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50</w:t>
            </w:r>
          </w:p>
        </w:tc>
        <w:tc>
          <w:tcPr>
            <w:tcW w:w="1418" w:type="dxa"/>
            <w:tcBorders>
              <w:top w:val="nil"/>
              <w:left w:val="nil"/>
              <w:bottom w:val="nil"/>
              <w:right w:val="nil"/>
            </w:tcBorders>
            <w:vAlign w:val="bottom"/>
          </w:tcPr>
          <w:p w14:paraId="45D263D2"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80</w:t>
            </w:r>
          </w:p>
        </w:tc>
        <w:tc>
          <w:tcPr>
            <w:tcW w:w="1134" w:type="dxa"/>
            <w:tcBorders>
              <w:top w:val="nil"/>
              <w:left w:val="nil"/>
              <w:bottom w:val="nil"/>
              <w:right w:val="nil"/>
            </w:tcBorders>
            <w:vAlign w:val="bottom"/>
          </w:tcPr>
          <w:p w14:paraId="334C495B"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(40)</w:t>
            </w:r>
          </w:p>
        </w:tc>
        <w:tc>
          <w:tcPr>
            <w:tcW w:w="1114" w:type="dxa"/>
            <w:tcBorders>
              <w:top w:val="nil"/>
              <w:left w:val="nil"/>
              <w:bottom w:val="nil"/>
              <w:right w:val="nil"/>
            </w:tcBorders>
            <w:vAlign w:val="bottom"/>
          </w:tcPr>
          <w:p w14:paraId="10A6F6A9"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-50.0%</w:t>
            </w:r>
          </w:p>
        </w:tc>
        <w:tc>
          <w:tcPr>
            <w:tcW w:w="1243" w:type="dxa"/>
            <w:tcBorders>
              <w:top w:val="nil"/>
              <w:left w:val="nil"/>
              <w:bottom w:val="nil"/>
              <w:right w:val="nil"/>
            </w:tcBorders>
            <w:vAlign w:val="bottom"/>
          </w:tcPr>
          <w:p w14:paraId="7051799F"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40</w:t>
            </w:r>
          </w:p>
        </w:tc>
      </w:tr>
      <w:tr w:rsidR="00B65EDC" w:rsidRPr="00912A85" w14:paraId="638F0E10" w14:textId="77777777" w:rsidTr="00A538F6">
        <w:trPr>
          <w:trHeight w:val="347"/>
        </w:trPr>
        <w:tc>
          <w:tcPr>
            <w:tcW w:w="3402" w:type="dxa"/>
            <w:tcBorders>
              <w:top w:val="nil"/>
              <w:left w:val="nil"/>
              <w:bottom w:val="nil"/>
              <w:right w:val="nil"/>
            </w:tcBorders>
            <w:vAlign w:val="bottom"/>
            <w:hideMark/>
          </w:tcPr>
          <w:p w14:paraId="0CC6F6C1"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 xml:space="preserve">Other </w:t>
            </w:r>
          </w:p>
        </w:tc>
        <w:tc>
          <w:tcPr>
            <w:tcW w:w="1276" w:type="dxa"/>
            <w:tcBorders>
              <w:top w:val="nil"/>
              <w:left w:val="nil"/>
              <w:bottom w:val="nil"/>
              <w:right w:val="nil"/>
            </w:tcBorders>
            <w:vAlign w:val="bottom"/>
          </w:tcPr>
          <w:p w14:paraId="47F513FE"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(44)</w:t>
            </w:r>
          </w:p>
        </w:tc>
        <w:tc>
          <w:tcPr>
            <w:tcW w:w="1418" w:type="dxa"/>
            <w:tcBorders>
              <w:top w:val="nil"/>
              <w:left w:val="nil"/>
              <w:bottom w:val="nil"/>
              <w:right w:val="nil"/>
            </w:tcBorders>
            <w:vAlign w:val="bottom"/>
          </w:tcPr>
          <w:p w14:paraId="200CE05D"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134" w:type="dxa"/>
            <w:tcBorders>
              <w:top w:val="nil"/>
              <w:left w:val="nil"/>
              <w:bottom w:val="nil"/>
              <w:right w:val="nil"/>
            </w:tcBorders>
            <w:vAlign w:val="bottom"/>
          </w:tcPr>
          <w:p w14:paraId="29080CEE"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114" w:type="dxa"/>
            <w:tcBorders>
              <w:top w:val="nil"/>
              <w:left w:val="nil"/>
              <w:bottom w:val="nil"/>
              <w:right w:val="nil"/>
            </w:tcBorders>
            <w:vAlign w:val="bottom"/>
          </w:tcPr>
          <w:p w14:paraId="34E4C254"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243" w:type="dxa"/>
            <w:tcBorders>
              <w:top w:val="nil"/>
              <w:left w:val="nil"/>
              <w:bottom w:val="nil"/>
              <w:right w:val="nil"/>
            </w:tcBorders>
            <w:vAlign w:val="bottom"/>
          </w:tcPr>
          <w:p w14:paraId="46FFEF60"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w:t>
            </w:r>
          </w:p>
        </w:tc>
      </w:tr>
      <w:tr w:rsidR="00B65EDC" w:rsidRPr="00912A85" w14:paraId="597D928F" w14:textId="77777777" w:rsidTr="00A538F6">
        <w:trPr>
          <w:trHeight w:val="181"/>
        </w:trPr>
        <w:tc>
          <w:tcPr>
            <w:tcW w:w="3402" w:type="dxa"/>
            <w:tcBorders>
              <w:top w:val="nil"/>
              <w:left w:val="nil"/>
              <w:bottom w:val="nil"/>
              <w:right w:val="nil"/>
            </w:tcBorders>
            <w:vAlign w:val="bottom"/>
            <w:hideMark/>
          </w:tcPr>
          <w:p w14:paraId="021B7400" w14:textId="77777777" w:rsidR="00B65EDC" w:rsidRPr="00912A85" w:rsidRDefault="00B65EDC">
            <w:pPr>
              <w:jc w:val="right"/>
              <w:rPr>
                <w:rFonts w:ascii="Arial Narrow" w:hAnsi="Arial Narrow" w:cs="Arial"/>
                <w:b/>
                <w:bCs/>
                <w:color w:val="000000"/>
              </w:rPr>
            </w:pPr>
          </w:p>
        </w:tc>
        <w:tc>
          <w:tcPr>
            <w:tcW w:w="1276" w:type="dxa"/>
            <w:tcBorders>
              <w:top w:val="nil"/>
              <w:left w:val="nil"/>
              <w:bottom w:val="nil"/>
              <w:right w:val="nil"/>
            </w:tcBorders>
            <w:vAlign w:val="bottom"/>
          </w:tcPr>
          <w:p w14:paraId="723DE4F6" w14:textId="77777777" w:rsidR="00B65EDC" w:rsidRPr="00912A85" w:rsidRDefault="00B65EDC">
            <w:pPr>
              <w:ind w:firstLineChars="200" w:firstLine="400"/>
              <w:jc w:val="left"/>
              <w:rPr>
                <w:rFonts w:ascii="Times New Roman" w:hAnsi="Times New Roman"/>
              </w:rPr>
            </w:pPr>
          </w:p>
        </w:tc>
        <w:tc>
          <w:tcPr>
            <w:tcW w:w="1418" w:type="dxa"/>
            <w:tcBorders>
              <w:top w:val="nil"/>
              <w:left w:val="nil"/>
              <w:bottom w:val="nil"/>
              <w:right w:val="nil"/>
            </w:tcBorders>
            <w:vAlign w:val="bottom"/>
          </w:tcPr>
          <w:p w14:paraId="4B859DB7" w14:textId="77777777" w:rsidR="00B65EDC" w:rsidRPr="00912A85" w:rsidRDefault="00B65EDC">
            <w:pPr>
              <w:jc w:val="right"/>
              <w:rPr>
                <w:rFonts w:ascii="Times New Roman" w:hAnsi="Times New Roman"/>
              </w:rPr>
            </w:pPr>
          </w:p>
        </w:tc>
        <w:tc>
          <w:tcPr>
            <w:tcW w:w="1134" w:type="dxa"/>
            <w:tcBorders>
              <w:top w:val="nil"/>
              <w:left w:val="nil"/>
              <w:bottom w:val="nil"/>
              <w:right w:val="nil"/>
            </w:tcBorders>
            <w:vAlign w:val="bottom"/>
          </w:tcPr>
          <w:p w14:paraId="6000590F" w14:textId="77777777" w:rsidR="00B65EDC" w:rsidRPr="00912A85" w:rsidRDefault="00B65EDC">
            <w:pPr>
              <w:jc w:val="right"/>
              <w:rPr>
                <w:rFonts w:ascii="Times New Roman" w:hAnsi="Times New Roman"/>
              </w:rPr>
            </w:pPr>
          </w:p>
        </w:tc>
        <w:tc>
          <w:tcPr>
            <w:tcW w:w="1114" w:type="dxa"/>
            <w:tcBorders>
              <w:top w:val="nil"/>
              <w:left w:val="nil"/>
              <w:bottom w:val="nil"/>
              <w:right w:val="nil"/>
            </w:tcBorders>
            <w:vAlign w:val="bottom"/>
          </w:tcPr>
          <w:p w14:paraId="08657DA7" w14:textId="77777777" w:rsidR="00B65EDC" w:rsidRPr="00912A85" w:rsidRDefault="00B65EDC">
            <w:pPr>
              <w:jc w:val="right"/>
              <w:rPr>
                <w:rFonts w:ascii="Times New Roman" w:hAnsi="Times New Roman"/>
              </w:rPr>
            </w:pPr>
          </w:p>
        </w:tc>
        <w:tc>
          <w:tcPr>
            <w:tcW w:w="1243" w:type="dxa"/>
            <w:tcBorders>
              <w:top w:val="nil"/>
              <w:left w:val="nil"/>
              <w:bottom w:val="nil"/>
              <w:right w:val="nil"/>
            </w:tcBorders>
            <w:vAlign w:val="bottom"/>
          </w:tcPr>
          <w:p w14:paraId="3892240B" w14:textId="77777777" w:rsidR="00B65EDC" w:rsidRPr="00912A85" w:rsidRDefault="00B65EDC">
            <w:pPr>
              <w:jc w:val="right"/>
              <w:rPr>
                <w:rFonts w:ascii="Times New Roman" w:hAnsi="Times New Roman"/>
              </w:rPr>
            </w:pPr>
          </w:p>
        </w:tc>
      </w:tr>
      <w:tr w:rsidR="00B65EDC" w:rsidRPr="00912A85" w14:paraId="2A1E2C8C" w14:textId="77777777" w:rsidTr="00A538F6">
        <w:trPr>
          <w:trHeight w:val="423"/>
        </w:trPr>
        <w:tc>
          <w:tcPr>
            <w:tcW w:w="3402" w:type="dxa"/>
            <w:tcBorders>
              <w:top w:val="single" w:sz="4" w:space="0" w:color="AAB8C4"/>
              <w:left w:val="nil"/>
              <w:bottom w:val="single" w:sz="8" w:space="0" w:color="AAB8C4"/>
              <w:right w:val="nil"/>
            </w:tcBorders>
            <w:vAlign w:val="center"/>
            <w:hideMark/>
          </w:tcPr>
          <w:p w14:paraId="416C6C9D" w14:textId="77777777" w:rsidR="00B65EDC" w:rsidRPr="00912A85" w:rsidRDefault="00B65EDC">
            <w:pPr>
              <w:rPr>
                <w:rFonts w:ascii="Arial Narrow" w:hAnsi="Arial Narrow" w:cs="Arial"/>
                <w:b/>
                <w:bCs/>
                <w:color w:val="000000"/>
              </w:rPr>
            </w:pPr>
            <w:r w:rsidRPr="00912A85">
              <w:rPr>
                <w:rFonts w:ascii="Arial Narrow" w:hAnsi="Arial Narrow" w:cs="Arial"/>
                <w:b/>
                <w:bCs/>
                <w:color w:val="000000"/>
              </w:rPr>
              <w:t>Total</w:t>
            </w:r>
          </w:p>
        </w:tc>
        <w:tc>
          <w:tcPr>
            <w:tcW w:w="1276" w:type="dxa"/>
            <w:tcBorders>
              <w:top w:val="single" w:sz="4" w:space="0" w:color="AAB8C4"/>
              <w:left w:val="nil"/>
              <w:bottom w:val="single" w:sz="8" w:space="0" w:color="AAB8C4"/>
              <w:right w:val="nil"/>
            </w:tcBorders>
            <w:vAlign w:val="center"/>
          </w:tcPr>
          <w:p w14:paraId="778F95C1"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7,572</w:t>
            </w:r>
          </w:p>
        </w:tc>
        <w:tc>
          <w:tcPr>
            <w:tcW w:w="1418" w:type="dxa"/>
            <w:tcBorders>
              <w:top w:val="single" w:sz="4" w:space="0" w:color="AAB8C4"/>
              <w:left w:val="nil"/>
              <w:bottom w:val="single" w:sz="8" w:space="0" w:color="AAB8C4"/>
              <w:right w:val="nil"/>
            </w:tcBorders>
            <w:vAlign w:val="center"/>
          </w:tcPr>
          <w:p w14:paraId="5A70FB55"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7,901</w:t>
            </w:r>
          </w:p>
        </w:tc>
        <w:tc>
          <w:tcPr>
            <w:tcW w:w="1134" w:type="dxa"/>
            <w:tcBorders>
              <w:top w:val="single" w:sz="4" w:space="0" w:color="AAB8C4"/>
              <w:left w:val="nil"/>
              <w:bottom w:val="single" w:sz="8" w:space="0" w:color="AAB8C4"/>
              <w:right w:val="nil"/>
            </w:tcBorders>
            <w:vAlign w:val="center"/>
          </w:tcPr>
          <w:p w14:paraId="3B66CD36"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(285)</w:t>
            </w:r>
          </w:p>
        </w:tc>
        <w:tc>
          <w:tcPr>
            <w:tcW w:w="1114" w:type="dxa"/>
            <w:tcBorders>
              <w:top w:val="single" w:sz="4" w:space="0" w:color="AAB8C4"/>
              <w:left w:val="nil"/>
              <w:bottom w:val="single" w:sz="8" w:space="0" w:color="AAB8C4"/>
              <w:right w:val="nil"/>
            </w:tcBorders>
            <w:vAlign w:val="center"/>
          </w:tcPr>
          <w:p w14:paraId="71DB6895"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-3.6%</w:t>
            </w:r>
          </w:p>
        </w:tc>
        <w:tc>
          <w:tcPr>
            <w:tcW w:w="1243" w:type="dxa"/>
            <w:tcBorders>
              <w:top w:val="single" w:sz="4" w:space="0" w:color="AAB8C4"/>
              <w:left w:val="nil"/>
              <w:bottom w:val="single" w:sz="8" w:space="0" w:color="AAB8C4"/>
              <w:right w:val="nil"/>
            </w:tcBorders>
            <w:vAlign w:val="center"/>
          </w:tcPr>
          <w:p w14:paraId="0947FF6A" w14:textId="77777777" w:rsidR="00B65EDC" w:rsidRPr="00912A85" w:rsidRDefault="00B65EDC">
            <w:pPr>
              <w:jc w:val="right"/>
              <w:rPr>
                <w:rFonts w:ascii="Arial Narrow" w:hAnsi="Arial Narrow" w:cs="Arial"/>
                <w:b/>
                <w:bCs/>
                <w:color w:val="000000"/>
              </w:rPr>
            </w:pPr>
            <w:r w:rsidRPr="00912A85">
              <w:rPr>
                <w:rFonts w:ascii="Arial Narrow" w:hAnsi="Arial Narrow" w:cs="Arial"/>
                <w:b/>
                <w:bCs/>
              </w:rPr>
              <w:t xml:space="preserve">7,616 </w:t>
            </w:r>
          </w:p>
        </w:tc>
      </w:tr>
    </w:tbl>
    <w:p w14:paraId="629FC2AF" w14:textId="77777777" w:rsidR="00B65EDC" w:rsidRPr="00912A85" w:rsidRDefault="00B65EDC" w:rsidP="00B65EDC">
      <w:pPr>
        <w:keepNext/>
        <w:spacing w:before="120"/>
        <w:rPr>
          <w:rFonts w:cs="Arial"/>
          <w:i/>
          <w:iCs/>
          <w:sz w:val="16"/>
          <w:szCs w:val="16"/>
        </w:rPr>
      </w:pPr>
      <w:r w:rsidRPr="00912A85">
        <w:rPr>
          <w:rFonts w:cs="Arial"/>
          <w:i/>
          <w:iCs/>
          <w:sz w:val="16"/>
          <w:szCs w:val="16"/>
          <w:vertAlign w:val="superscript"/>
        </w:rPr>
        <w:t xml:space="preserve">1 </w:t>
      </w:r>
      <w:r w:rsidRPr="00912A85">
        <w:rPr>
          <w:rFonts w:cs="Arial"/>
          <w:i/>
          <w:iCs/>
          <w:sz w:val="16"/>
          <w:szCs w:val="16"/>
        </w:rPr>
        <w:t>In the biennium 2022</w:t>
      </w:r>
      <w:r w:rsidRPr="00912A85">
        <w:rPr>
          <w:rFonts w:cs="Arial"/>
          <w:i/>
          <w:iCs/>
          <w:sz w:val="16"/>
          <w:szCs w:val="16"/>
        </w:rPr>
        <w:noBreakHyphen/>
        <w:t>2023, miscellaneous income (other) mainly reflects unrealized forex gains/(losses) due to the revaluation process of the cash and other assets and liabilities accounts (currencies other than Swiss francs).</w:t>
      </w:r>
    </w:p>
    <w:p w14:paraId="25FCACE3" w14:textId="77777777" w:rsidR="00B65EDC" w:rsidRPr="00912A85" w:rsidRDefault="00B65EDC" w:rsidP="00B65EDC"/>
    <w:p w14:paraId="698136DC" w14:textId="77777777" w:rsidR="00B65EDC" w:rsidRPr="00912A85" w:rsidRDefault="00B65EDC" w:rsidP="00B65EDC"/>
    <w:p w14:paraId="1D22912E"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budgeted income for UPOV IT Tools and Services Fees is as follows:</w:t>
      </w:r>
    </w:p>
    <w:p w14:paraId="522863D5" w14:textId="77777777" w:rsidR="00B65EDC" w:rsidRPr="00912A85" w:rsidRDefault="00B65EDC" w:rsidP="00B65EDC"/>
    <w:tbl>
      <w:tblPr>
        <w:tblW w:w="9639" w:type="dxa"/>
        <w:tblLayout w:type="fixed"/>
        <w:tblLook w:val="04A0" w:firstRow="1" w:lastRow="0" w:firstColumn="1" w:lastColumn="0" w:noHBand="0" w:noVBand="1"/>
      </w:tblPr>
      <w:tblGrid>
        <w:gridCol w:w="2694"/>
        <w:gridCol w:w="1417"/>
        <w:gridCol w:w="921"/>
        <w:gridCol w:w="921"/>
        <w:gridCol w:w="922"/>
        <w:gridCol w:w="921"/>
        <w:gridCol w:w="921"/>
        <w:gridCol w:w="922"/>
      </w:tblGrid>
      <w:tr w:rsidR="00B65EDC" w:rsidRPr="00912A85" w14:paraId="3E00FB1C" w14:textId="77777777">
        <w:trPr>
          <w:trHeight w:val="735"/>
        </w:trPr>
        <w:tc>
          <w:tcPr>
            <w:tcW w:w="2694" w:type="dxa"/>
            <w:vMerge w:val="restart"/>
            <w:tcBorders>
              <w:top w:val="nil"/>
              <w:left w:val="nil"/>
              <w:bottom w:val="nil"/>
              <w:right w:val="nil"/>
            </w:tcBorders>
            <w:shd w:val="clear" w:color="000000" w:fill="C7CFD8"/>
            <w:vAlign w:val="bottom"/>
          </w:tcPr>
          <w:p w14:paraId="728ABF36" w14:textId="77777777" w:rsidR="00B65EDC" w:rsidRPr="00912A85" w:rsidRDefault="00B65EDC">
            <w:pPr>
              <w:rPr>
                <w:sz w:val="18"/>
                <w:szCs w:val="18"/>
                <w:lang w:eastAsia="en-GB"/>
              </w:rPr>
            </w:pPr>
          </w:p>
        </w:tc>
        <w:tc>
          <w:tcPr>
            <w:tcW w:w="1417" w:type="dxa"/>
            <w:vMerge w:val="restart"/>
            <w:tcBorders>
              <w:top w:val="nil"/>
              <w:left w:val="nil"/>
              <w:bottom w:val="nil"/>
              <w:right w:val="nil"/>
            </w:tcBorders>
            <w:shd w:val="clear" w:color="000000" w:fill="C7CFD8"/>
            <w:vAlign w:val="center"/>
            <w:hideMark/>
          </w:tcPr>
          <w:p w14:paraId="4FD67CD8"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Submission / Subscription fee</w:t>
            </w:r>
          </w:p>
        </w:tc>
        <w:tc>
          <w:tcPr>
            <w:tcW w:w="2764" w:type="dxa"/>
            <w:gridSpan w:val="3"/>
            <w:tcBorders>
              <w:top w:val="nil"/>
              <w:left w:val="nil"/>
              <w:bottom w:val="single" w:sz="4" w:space="0" w:color="BFBFBF"/>
              <w:right w:val="nil"/>
            </w:tcBorders>
            <w:shd w:val="clear" w:color="000000" w:fill="C7CFD8"/>
            <w:vAlign w:val="center"/>
            <w:hideMark/>
          </w:tcPr>
          <w:p w14:paraId="7280389E"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 xml:space="preserve">Submissions / </w:t>
            </w:r>
            <w:r w:rsidRPr="00912A85">
              <w:rPr>
                <w:rFonts w:ascii="Arial Narrow" w:hAnsi="Arial Narrow" w:cs="Arial"/>
                <w:b/>
                <w:bCs/>
                <w:sz w:val="18"/>
                <w:szCs w:val="18"/>
                <w:lang w:eastAsia="en-GB"/>
              </w:rPr>
              <w:br/>
              <w:t>Subscribers projections</w:t>
            </w:r>
          </w:p>
        </w:tc>
        <w:tc>
          <w:tcPr>
            <w:tcW w:w="2764" w:type="dxa"/>
            <w:gridSpan w:val="3"/>
            <w:tcBorders>
              <w:top w:val="nil"/>
              <w:left w:val="nil"/>
              <w:bottom w:val="single" w:sz="4" w:space="0" w:color="BFBFBF"/>
              <w:right w:val="nil"/>
            </w:tcBorders>
            <w:shd w:val="clear" w:color="000000" w:fill="C7CFD8"/>
            <w:vAlign w:val="center"/>
            <w:hideMark/>
          </w:tcPr>
          <w:p w14:paraId="3C08F08C"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 xml:space="preserve">Submissions / </w:t>
            </w:r>
            <w:r w:rsidRPr="00912A85">
              <w:rPr>
                <w:rFonts w:ascii="Arial Narrow" w:hAnsi="Arial Narrow" w:cs="Arial"/>
                <w:b/>
                <w:bCs/>
                <w:sz w:val="18"/>
                <w:szCs w:val="18"/>
                <w:lang w:eastAsia="en-GB"/>
              </w:rPr>
              <w:br/>
              <w:t>Subscribers Income</w:t>
            </w:r>
          </w:p>
        </w:tc>
      </w:tr>
      <w:tr w:rsidR="00B65EDC" w:rsidRPr="00912A85" w14:paraId="19A05661" w14:textId="77777777">
        <w:trPr>
          <w:trHeight w:val="495"/>
        </w:trPr>
        <w:tc>
          <w:tcPr>
            <w:tcW w:w="2694" w:type="dxa"/>
            <w:vMerge/>
            <w:tcBorders>
              <w:top w:val="nil"/>
              <w:left w:val="nil"/>
              <w:bottom w:val="nil"/>
              <w:right w:val="nil"/>
            </w:tcBorders>
            <w:vAlign w:val="center"/>
            <w:hideMark/>
          </w:tcPr>
          <w:p w14:paraId="46AE2941" w14:textId="77777777" w:rsidR="00B65EDC" w:rsidRPr="00912A85" w:rsidRDefault="00B65EDC">
            <w:pPr>
              <w:jc w:val="left"/>
              <w:rPr>
                <w:rFonts w:ascii="Arial Narrow" w:hAnsi="Arial Narrow" w:cs="Arial"/>
                <w:b/>
                <w:bCs/>
                <w:color w:val="00B050"/>
                <w:sz w:val="18"/>
                <w:szCs w:val="18"/>
                <w:lang w:eastAsia="en-GB"/>
              </w:rPr>
            </w:pPr>
          </w:p>
        </w:tc>
        <w:tc>
          <w:tcPr>
            <w:tcW w:w="1417" w:type="dxa"/>
            <w:vMerge/>
            <w:tcBorders>
              <w:top w:val="nil"/>
              <w:left w:val="nil"/>
              <w:bottom w:val="nil"/>
              <w:right w:val="nil"/>
            </w:tcBorders>
            <w:vAlign w:val="center"/>
            <w:hideMark/>
          </w:tcPr>
          <w:p w14:paraId="2271726A" w14:textId="77777777" w:rsidR="00B65EDC" w:rsidRPr="00912A85" w:rsidRDefault="00B65EDC">
            <w:pPr>
              <w:jc w:val="left"/>
              <w:rPr>
                <w:rFonts w:ascii="Arial Narrow" w:hAnsi="Arial Narrow" w:cs="Arial"/>
                <w:b/>
                <w:bCs/>
                <w:sz w:val="18"/>
                <w:szCs w:val="18"/>
                <w:lang w:eastAsia="en-GB"/>
              </w:rPr>
            </w:pPr>
          </w:p>
        </w:tc>
        <w:tc>
          <w:tcPr>
            <w:tcW w:w="921" w:type="dxa"/>
            <w:tcBorders>
              <w:top w:val="nil"/>
              <w:left w:val="nil"/>
              <w:bottom w:val="nil"/>
              <w:right w:val="nil"/>
            </w:tcBorders>
            <w:shd w:val="clear" w:color="000000" w:fill="C7CFD8"/>
            <w:vAlign w:val="center"/>
            <w:hideMark/>
          </w:tcPr>
          <w:p w14:paraId="753F1124"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2026</w:t>
            </w:r>
          </w:p>
        </w:tc>
        <w:tc>
          <w:tcPr>
            <w:tcW w:w="921" w:type="dxa"/>
            <w:tcBorders>
              <w:top w:val="nil"/>
              <w:left w:val="nil"/>
              <w:bottom w:val="nil"/>
              <w:right w:val="nil"/>
            </w:tcBorders>
            <w:shd w:val="clear" w:color="000000" w:fill="C7CFD8"/>
            <w:vAlign w:val="center"/>
            <w:hideMark/>
          </w:tcPr>
          <w:p w14:paraId="0F817A9B"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2027</w:t>
            </w:r>
          </w:p>
        </w:tc>
        <w:tc>
          <w:tcPr>
            <w:tcW w:w="922" w:type="dxa"/>
            <w:tcBorders>
              <w:top w:val="nil"/>
              <w:left w:val="nil"/>
              <w:bottom w:val="nil"/>
              <w:right w:val="nil"/>
            </w:tcBorders>
            <w:shd w:val="clear" w:color="000000" w:fill="C7CFD8"/>
            <w:vAlign w:val="center"/>
            <w:hideMark/>
          </w:tcPr>
          <w:p w14:paraId="75494EC4"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Total</w:t>
            </w:r>
          </w:p>
        </w:tc>
        <w:tc>
          <w:tcPr>
            <w:tcW w:w="921" w:type="dxa"/>
            <w:tcBorders>
              <w:top w:val="nil"/>
              <w:left w:val="single" w:sz="4" w:space="0" w:color="BFBFBF"/>
              <w:bottom w:val="nil"/>
              <w:right w:val="nil"/>
            </w:tcBorders>
            <w:shd w:val="clear" w:color="000000" w:fill="C7CFD8"/>
            <w:vAlign w:val="center"/>
            <w:hideMark/>
          </w:tcPr>
          <w:p w14:paraId="185FB9D4"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2026</w:t>
            </w:r>
          </w:p>
        </w:tc>
        <w:tc>
          <w:tcPr>
            <w:tcW w:w="921" w:type="dxa"/>
            <w:tcBorders>
              <w:top w:val="nil"/>
              <w:left w:val="nil"/>
              <w:bottom w:val="nil"/>
              <w:right w:val="nil"/>
            </w:tcBorders>
            <w:shd w:val="clear" w:color="000000" w:fill="C7CFD8"/>
            <w:vAlign w:val="center"/>
            <w:hideMark/>
          </w:tcPr>
          <w:p w14:paraId="2B68C0F9"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2027</w:t>
            </w:r>
          </w:p>
        </w:tc>
        <w:tc>
          <w:tcPr>
            <w:tcW w:w="922" w:type="dxa"/>
            <w:tcBorders>
              <w:top w:val="nil"/>
              <w:left w:val="nil"/>
              <w:bottom w:val="nil"/>
              <w:right w:val="nil"/>
            </w:tcBorders>
            <w:shd w:val="clear" w:color="000000" w:fill="C7CFD8"/>
            <w:vAlign w:val="center"/>
            <w:hideMark/>
          </w:tcPr>
          <w:p w14:paraId="6CBFEAD1" w14:textId="77777777" w:rsidR="00B65EDC" w:rsidRPr="00912A85" w:rsidRDefault="00B65EDC">
            <w:pPr>
              <w:jc w:val="center"/>
              <w:rPr>
                <w:rFonts w:ascii="Arial Narrow" w:hAnsi="Arial Narrow" w:cs="Arial"/>
                <w:b/>
                <w:bCs/>
                <w:sz w:val="18"/>
                <w:szCs w:val="18"/>
                <w:lang w:eastAsia="en-GB"/>
              </w:rPr>
            </w:pPr>
            <w:r w:rsidRPr="00912A85">
              <w:rPr>
                <w:rFonts w:ascii="Arial Narrow" w:hAnsi="Arial Narrow" w:cs="Arial"/>
                <w:b/>
                <w:bCs/>
                <w:sz w:val="18"/>
                <w:szCs w:val="18"/>
                <w:lang w:eastAsia="en-GB"/>
              </w:rPr>
              <w:t>Total</w:t>
            </w:r>
          </w:p>
        </w:tc>
      </w:tr>
      <w:tr w:rsidR="00B65EDC" w:rsidRPr="00912A85" w14:paraId="3EA4DCDA" w14:textId="77777777" w:rsidTr="00A538F6">
        <w:trPr>
          <w:trHeight w:val="255"/>
        </w:trPr>
        <w:tc>
          <w:tcPr>
            <w:tcW w:w="2694" w:type="dxa"/>
            <w:tcBorders>
              <w:top w:val="nil"/>
              <w:left w:val="nil"/>
              <w:bottom w:val="nil"/>
              <w:right w:val="nil"/>
            </w:tcBorders>
            <w:vAlign w:val="center"/>
            <w:hideMark/>
          </w:tcPr>
          <w:p w14:paraId="371E83DB" w14:textId="77777777" w:rsidR="00B65EDC" w:rsidRPr="00912A85" w:rsidRDefault="00B65EDC">
            <w:pPr>
              <w:jc w:val="left"/>
              <w:rPr>
                <w:rFonts w:ascii="Arial Narrow" w:hAnsi="Arial Narrow" w:cs="Arial"/>
                <w:sz w:val="18"/>
                <w:szCs w:val="18"/>
                <w:lang w:eastAsia="en-GB"/>
              </w:rPr>
            </w:pPr>
            <w:r w:rsidRPr="00912A85">
              <w:rPr>
                <w:rFonts w:ascii="Arial Narrow" w:hAnsi="Arial Narrow" w:cs="Arial"/>
                <w:sz w:val="18"/>
                <w:szCs w:val="18"/>
                <w:lang w:eastAsia="en-GB"/>
              </w:rPr>
              <w:t>UPOV PRISMA</w:t>
            </w:r>
          </w:p>
        </w:tc>
        <w:tc>
          <w:tcPr>
            <w:tcW w:w="1417" w:type="dxa"/>
            <w:tcBorders>
              <w:top w:val="nil"/>
              <w:left w:val="nil"/>
              <w:bottom w:val="nil"/>
              <w:right w:val="nil"/>
            </w:tcBorders>
            <w:noWrap/>
            <w:vAlign w:val="center"/>
            <w:hideMark/>
          </w:tcPr>
          <w:p w14:paraId="28B54060"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90</w:t>
            </w:r>
          </w:p>
        </w:tc>
        <w:tc>
          <w:tcPr>
            <w:tcW w:w="921" w:type="dxa"/>
            <w:tcBorders>
              <w:top w:val="nil"/>
              <w:left w:val="nil"/>
              <w:bottom w:val="nil"/>
              <w:right w:val="nil"/>
            </w:tcBorders>
            <w:noWrap/>
            <w:vAlign w:val="center"/>
            <w:hideMark/>
          </w:tcPr>
          <w:p w14:paraId="4C737838"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1,648</w:t>
            </w:r>
          </w:p>
        </w:tc>
        <w:tc>
          <w:tcPr>
            <w:tcW w:w="921" w:type="dxa"/>
            <w:tcBorders>
              <w:top w:val="nil"/>
              <w:left w:val="nil"/>
              <w:bottom w:val="nil"/>
              <w:right w:val="nil"/>
            </w:tcBorders>
            <w:noWrap/>
            <w:vAlign w:val="center"/>
            <w:hideMark/>
          </w:tcPr>
          <w:p w14:paraId="04D7D1EA"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1,730</w:t>
            </w:r>
          </w:p>
        </w:tc>
        <w:tc>
          <w:tcPr>
            <w:tcW w:w="922" w:type="dxa"/>
            <w:tcBorders>
              <w:top w:val="nil"/>
              <w:left w:val="nil"/>
              <w:bottom w:val="nil"/>
              <w:right w:val="nil"/>
            </w:tcBorders>
            <w:noWrap/>
            <w:vAlign w:val="center"/>
            <w:hideMark/>
          </w:tcPr>
          <w:p w14:paraId="669CC21E"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3,378</w:t>
            </w:r>
          </w:p>
        </w:tc>
        <w:tc>
          <w:tcPr>
            <w:tcW w:w="921" w:type="dxa"/>
            <w:tcBorders>
              <w:top w:val="nil"/>
              <w:left w:val="single" w:sz="4" w:space="0" w:color="BFBFBF"/>
              <w:bottom w:val="nil"/>
              <w:right w:val="nil"/>
            </w:tcBorders>
            <w:noWrap/>
            <w:vAlign w:val="center"/>
            <w:hideMark/>
          </w:tcPr>
          <w:p w14:paraId="26CFD703"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148,320</w:t>
            </w:r>
          </w:p>
        </w:tc>
        <w:tc>
          <w:tcPr>
            <w:tcW w:w="921" w:type="dxa"/>
            <w:tcBorders>
              <w:top w:val="nil"/>
              <w:left w:val="nil"/>
              <w:bottom w:val="nil"/>
              <w:right w:val="nil"/>
            </w:tcBorders>
            <w:noWrap/>
            <w:vAlign w:val="center"/>
            <w:hideMark/>
          </w:tcPr>
          <w:p w14:paraId="0E7846F7"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155,700</w:t>
            </w:r>
          </w:p>
        </w:tc>
        <w:tc>
          <w:tcPr>
            <w:tcW w:w="922" w:type="dxa"/>
            <w:tcBorders>
              <w:top w:val="nil"/>
              <w:left w:val="nil"/>
              <w:bottom w:val="nil"/>
              <w:right w:val="nil"/>
            </w:tcBorders>
            <w:noWrap/>
            <w:vAlign w:val="center"/>
            <w:hideMark/>
          </w:tcPr>
          <w:p w14:paraId="37472009"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304,020</w:t>
            </w:r>
          </w:p>
        </w:tc>
      </w:tr>
      <w:tr w:rsidR="00B65EDC" w:rsidRPr="00912A85" w14:paraId="7AC3DF26" w14:textId="77777777" w:rsidTr="00A538F6">
        <w:trPr>
          <w:trHeight w:val="255"/>
        </w:trPr>
        <w:tc>
          <w:tcPr>
            <w:tcW w:w="2694" w:type="dxa"/>
            <w:tcBorders>
              <w:top w:val="nil"/>
              <w:left w:val="nil"/>
              <w:bottom w:val="nil"/>
              <w:right w:val="nil"/>
            </w:tcBorders>
            <w:vAlign w:val="center"/>
            <w:hideMark/>
          </w:tcPr>
          <w:p w14:paraId="55B95A08" w14:textId="77777777" w:rsidR="00B65EDC" w:rsidRPr="00912A85" w:rsidRDefault="00B65EDC">
            <w:pPr>
              <w:jc w:val="left"/>
              <w:rPr>
                <w:rFonts w:ascii="Arial Narrow" w:hAnsi="Arial Narrow" w:cs="Arial"/>
                <w:sz w:val="18"/>
                <w:szCs w:val="18"/>
                <w:lang w:eastAsia="en-GB"/>
              </w:rPr>
            </w:pPr>
            <w:r w:rsidRPr="00912A85">
              <w:rPr>
                <w:rFonts w:ascii="Arial Narrow" w:hAnsi="Arial Narrow" w:cs="Arial"/>
                <w:sz w:val="18"/>
                <w:szCs w:val="18"/>
                <w:lang w:eastAsia="en-GB"/>
              </w:rPr>
              <w:t>PLUTO</w:t>
            </w:r>
          </w:p>
        </w:tc>
        <w:tc>
          <w:tcPr>
            <w:tcW w:w="1417" w:type="dxa"/>
            <w:tcBorders>
              <w:top w:val="nil"/>
              <w:left w:val="nil"/>
              <w:bottom w:val="nil"/>
              <w:right w:val="nil"/>
            </w:tcBorders>
            <w:noWrap/>
            <w:vAlign w:val="center"/>
            <w:hideMark/>
          </w:tcPr>
          <w:p w14:paraId="42BFBFA5"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750</w:t>
            </w:r>
          </w:p>
        </w:tc>
        <w:tc>
          <w:tcPr>
            <w:tcW w:w="921" w:type="dxa"/>
            <w:tcBorders>
              <w:top w:val="nil"/>
              <w:left w:val="nil"/>
              <w:bottom w:val="nil"/>
              <w:right w:val="nil"/>
            </w:tcBorders>
            <w:noWrap/>
            <w:vAlign w:val="center"/>
            <w:hideMark/>
          </w:tcPr>
          <w:p w14:paraId="5127F582"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15</w:t>
            </w:r>
          </w:p>
        </w:tc>
        <w:tc>
          <w:tcPr>
            <w:tcW w:w="921" w:type="dxa"/>
            <w:tcBorders>
              <w:top w:val="nil"/>
              <w:left w:val="nil"/>
              <w:bottom w:val="nil"/>
              <w:right w:val="nil"/>
            </w:tcBorders>
            <w:noWrap/>
            <w:vAlign w:val="center"/>
            <w:hideMark/>
          </w:tcPr>
          <w:p w14:paraId="05024A88"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15</w:t>
            </w:r>
          </w:p>
        </w:tc>
        <w:tc>
          <w:tcPr>
            <w:tcW w:w="922" w:type="dxa"/>
            <w:tcBorders>
              <w:top w:val="nil"/>
              <w:left w:val="nil"/>
              <w:bottom w:val="nil"/>
              <w:right w:val="nil"/>
            </w:tcBorders>
            <w:noWrap/>
            <w:vAlign w:val="center"/>
            <w:hideMark/>
          </w:tcPr>
          <w:p w14:paraId="43F1EFC4"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30</w:t>
            </w:r>
          </w:p>
        </w:tc>
        <w:tc>
          <w:tcPr>
            <w:tcW w:w="921" w:type="dxa"/>
            <w:tcBorders>
              <w:top w:val="nil"/>
              <w:left w:val="single" w:sz="4" w:space="0" w:color="BFBFBF"/>
              <w:bottom w:val="single" w:sz="4" w:space="0" w:color="BFBFBF"/>
              <w:right w:val="nil"/>
            </w:tcBorders>
            <w:noWrap/>
            <w:vAlign w:val="center"/>
            <w:hideMark/>
          </w:tcPr>
          <w:p w14:paraId="3387FA0F"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11,250</w:t>
            </w:r>
          </w:p>
        </w:tc>
        <w:tc>
          <w:tcPr>
            <w:tcW w:w="921" w:type="dxa"/>
            <w:tcBorders>
              <w:top w:val="nil"/>
              <w:left w:val="nil"/>
              <w:bottom w:val="nil"/>
              <w:right w:val="nil"/>
            </w:tcBorders>
            <w:noWrap/>
            <w:vAlign w:val="center"/>
            <w:hideMark/>
          </w:tcPr>
          <w:p w14:paraId="0290F2B6"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11,250</w:t>
            </w:r>
          </w:p>
        </w:tc>
        <w:tc>
          <w:tcPr>
            <w:tcW w:w="922" w:type="dxa"/>
            <w:tcBorders>
              <w:top w:val="nil"/>
              <w:left w:val="nil"/>
              <w:bottom w:val="nil"/>
              <w:right w:val="nil"/>
            </w:tcBorders>
            <w:noWrap/>
            <w:vAlign w:val="center"/>
            <w:hideMark/>
          </w:tcPr>
          <w:p w14:paraId="0DBBDAC1" w14:textId="77777777" w:rsidR="00B65EDC" w:rsidRPr="00912A85" w:rsidRDefault="00B65EDC">
            <w:pPr>
              <w:jc w:val="right"/>
              <w:rPr>
                <w:rFonts w:ascii="Arial Narrow" w:hAnsi="Arial Narrow" w:cs="Arial"/>
                <w:sz w:val="18"/>
                <w:szCs w:val="18"/>
                <w:lang w:eastAsia="en-GB"/>
              </w:rPr>
            </w:pPr>
            <w:r w:rsidRPr="00912A85">
              <w:rPr>
                <w:rFonts w:ascii="Arial Narrow" w:hAnsi="Arial Narrow" w:cs="Arial"/>
                <w:sz w:val="18"/>
                <w:szCs w:val="18"/>
                <w:lang w:eastAsia="en-GB"/>
              </w:rPr>
              <w:t>22,500</w:t>
            </w:r>
          </w:p>
        </w:tc>
      </w:tr>
      <w:tr w:rsidR="00B65EDC" w:rsidRPr="00912A85" w14:paraId="5DD8D33C" w14:textId="77777777" w:rsidTr="00A538F6">
        <w:trPr>
          <w:trHeight w:val="270"/>
        </w:trPr>
        <w:tc>
          <w:tcPr>
            <w:tcW w:w="2694" w:type="dxa"/>
            <w:tcBorders>
              <w:top w:val="single" w:sz="4" w:space="0" w:color="BFBFBF"/>
              <w:left w:val="nil"/>
              <w:bottom w:val="single" w:sz="8" w:space="0" w:color="BFBFBF"/>
              <w:right w:val="nil"/>
            </w:tcBorders>
            <w:vAlign w:val="center"/>
            <w:hideMark/>
          </w:tcPr>
          <w:p w14:paraId="4754BF1F" w14:textId="77777777" w:rsidR="00B65EDC" w:rsidRPr="00912A85" w:rsidRDefault="00B65EDC">
            <w:pPr>
              <w:jc w:val="left"/>
              <w:rPr>
                <w:rFonts w:ascii="Arial Narrow" w:hAnsi="Arial Narrow" w:cs="Arial"/>
                <w:b/>
                <w:bCs/>
                <w:sz w:val="18"/>
                <w:szCs w:val="18"/>
                <w:lang w:eastAsia="en-GB"/>
              </w:rPr>
            </w:pPr>
            <w:r w:rsidRPr="00912A85">
              <w:rPr>
                <w:rFonts w:ascii="Arial Narrow" w:hAnsi="Arial Narrow" w:cs="Arial"/>
                <w:b/>
                <w:bCs/>
                <w:sz w:val="18"/>
                <w:szCs w:val="18"/>
                <w:lang w:eastAsia="en-GB"/>
              </w:rPr>
              <w:t>Total UPOV PRISMA and PLUTO</w:t>
            </w:r>
          </w:p>
        </w:tc>
        <w:tc>
          <w:tcPr>
            <w:tcW w:w="1417" w:type="dxa"/>
            <w:tcBorders>
              <w:top w:val="single" w:sz="4" w:space="0" w:color="BFBFBF"/>
              <w:left w:val="nil"/>
              <w:bottom w:val="single" w:sz="8" w:space="0" w:color="BFBFBF"/>
              <w:right w:val="nil"/>
            </w:tcBorders>
            <w:vAlign w:val="center"/>
            <w:hideMark/>
          </w:tcPr>
          <w:p w14:paraId="1934EE18" w14:textId="77777777" w:rsidR="00B65EDC" w:rsidRPr="00912A85" w:rsidRDefault="00B65EDC">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1E9EBC6D" w14:textId="77777777" w:rsidR="00B65EDC" w:rsidRPr="00912A85" w:rsidRDefault="00B65EDC">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4AAF73CB" w14:textId="77777777" w:rsidR="00B65EDC" w:rsidRPr="00912A85" w:rsidRDefault="00B65EDC">
            <w:pPr>
              <w:jc w:val="right"/>
              <w:rPr>
                <w:rFonts w:ascii="Arial Narrow" w:hAnsi="Arial Narrow" w:cs="Arial"/>
                <w:b/>
                <w:bCs/>
                <w:sz w:val="18"/>
                <w:szCs w:val="18"/>
                <w:lang w:eastAsia="en-GB"/>
              </w:rPr>
            </w:pPr>
          </w:p>
        </w:tc>
        <w:tc>
          <w:tcPr>
            <w:tcW w:w="922" w:type="dxa"/>
            <w:tcBorders>
              <w:top w:val="single" w:sz="4" w:space="0" w:color="BFBFBF"/>
              <w:left w:val="nil"/>
              <w:bottom w:val="single" w:sz="8" w:space="0" w:color="BFBFBF"/>
              <w:right w:val="nil"/>
            </w:tcBorders>
            <w:noWrap/>
            <w:vAlign w:val="center"/>
            <w:hideMark/>
          </w:tcPr>
          <w:p w14:paraId="47FA168D" w14:textId="77777777" w:rsidR="00B65EDC" w:rsidRPr="00912A85" w:rsidRDefault="00B65EDC">
            <w:pPr>
              <w:jc w:val="right"/>
              <w:rPr>
                <w:rFonts w:ascii="Arial Narrow" w:hAnsi="Arial Narrow" w:cs="Arial"/>
                <w:b/>
                <w:bCs/>
                <w:sz w:val="18"/>
                <w:szCs w:val="18"/>
                <w:lang w:eastAsia="en-GB"/>
              </w:rPr>
            </w:pPr>
          </w:p>
        </w:tc>
        <w:tc>
          <w:tcPr>
            <w:tcW w:w="921" w:type="dxa"/>
            <w:tcBorders>
              <w:top w:val="nil"/>
              <w:left w:val="nil"/>
              <w:bottom w:val="single" w:sz="8" w:space="0" w:color="BFBFBF"/>
              <w:right w:val="nil"/>
            </w:tcBorders>
            <w:noWrap/>
            <w:vAlign w:val="center"/>
            <w:hideMark/>
          </w:tcPr>
          <w:p w14:paraId="603FF6F6" w14:textId="77777777" w:rsidR="00B65EDC" w:rsidRPr="00912A85" w:rsidRDefault="00B65EDC">
            <w:pPr>
              <w:jc w:val="right"/>
              <w:rPr>
                <w:rFonts w:ascii="Arial Narrow" w:hAnsi="Arial Narrow" w:cs="Arial"/>
                <w:b/>
                <w:bCs/>
                <w:sz w:val="18"/>
                <w:szCs w:val="18"/>
                <w:lang w:eastAsia="en-GB"/>
              </w:rPr>
            </w:pPr>
            <w:r w:rsidRPr="00912A85">
              <w:rPr>
                <w:rFonts w:ascii="Arial Narrow" w:hAnsi="Arial Narrow" w:cs="Arial"/>
                <w:b/>
                <w:bCs/>
                <w:sz w:val="18"/>
                <w:szCs w:val="18"/>
                <w:lang w:eastAsia="en-GB"/>
              </w:rPr>
              <w:t>159,570</w:t>
            </w:r>
          </w:p>
        </w:tc>
        <w:tc>
          <w:tcPr>
            <w:tcW w:w="921" w:type="dxa"/>
            <w:tcBorders>
              <w:top w:val="single" w:sz="4" w:space="0" w:color="BFBFBF"/>
              <w:left w:val="nil"/>
              <w:bottom w:val="single" w:sz="8" w:space="0" w:color="BFBFBF"/>
              <w:right w:val="nil"/>
            </w:tcBorders>
            <w:noWrap/>
            <w:vAlign w:val="center"/>
            <w:hideMark/>
          </w:tcPr>
          <w:p w14:paraId="10F2301C" w14:textId="77777777" w:rsidR="00B65EDC" w:rsidRPr="00912A85" w:rsidRDefault="00B65EDC">
            <w:pPr>
              <w:jc w:val="right"/>
              <w:rPr>
                <w:rFonts w:ascii="Arial Narrow" w:hAnsi="Arial Narrow" w:cs="Arial"/>
                <w:b/>
                <w:bCs/>
                <w:sz w:val="18"/>
                <w:szCs w:val="18"/>
                <w:lang w:eastAsia="en-GB"/>
              </w:rPr>
            </w:pPr>
            <w:r w:rsidRPr="00912A85">
              <w:rPr>
                <w:rFonts w:ascii="Arial Narrow" w:hAnsi="Arial Narrow" w:cs="Arial"/>
                <w:b/>
                <w:bCs/>
                <w:sz w:val="18"/>
                <w:szCs w:val="18"/>
                <w:lang w:eastAsia="en-GB"/>
              </w:rPr>
              <w:t>166,950</w:t>
            </w:r>
          </w:p>
        </w:tc>
        <w:tc>
          <w:tcPr>
            <w:tcW w:w="922" w:type="dxa"/>
            <w:tcBorders>
              <w:top w:val="single" w:sz="4" w:space="0" w:color="BFBFBF"/>
              <w:left w:val="nil"/>
              <w:bottom w:val="single" w:sz="8" w:space="0" w:color="BFBFBF"/>
              <w:right w:val="nil"/>
            </w:tcBorders>
            <w:noWrap/>
            <w:vAlign w:val="center"/>
            <w:hideMark/>
          </w:tcPr>
          <w:p w14:paraId="362C5580" w14:textId="77777777" w:rsidR="00B65EDC" w:rsidRPr="00912A85" w:rsidRDefault="00B65EDC">
            <w:pPr>
              <w:jc w:val="right"/>
              <w:rPr>
                <w:rFonts w:ascii="Arial Narrow" w:hAnsi="Arial Narrow" w:cs="Arial"/>
                <w:b/>
                <w:bCs/>
                <w:sz w:val="18"/>
                <w:szCs w:val="18"/>
                <w:lang w:eastAsia="en-GB"/>
              </w:rPr>
            </w:pPr>
            <w:bookmarkStart w:id="440" w:name="_Hlk190003051"/>
            <w:r w:rsidRPr="00912A85">
              <w:rPr>
                <w:rFonts w:ascii="Arial Narrow" w:hAnsi="Arial Narrow" w:cs="Arial"/>
                <w:b/>
                <w:bCs/>
                <w:sz w:val="18"/>
                <w:szCs w:val="18"/>
                <w:lang w:eastAsia="en-GB"/>
              </w:rPr>
              <w:t>326,520</w:t>
            </w:r>
            <w:bookmarkEnd w:id="440"/>
          </w:p>
        </w:tc>
      </w:tr>
    </w:tbl>
    <w:p w14:paraId="622C866D" w14:textId="77777777" w:rsidR="00B65EDC" w:rsidRPr="00912A85" w:rsidRDefault="00B65EDC" w:rsidP="00B65EDC"/>
    <w:p w14:paraId="612DF76F" w14:textId="77777777" w:rsidR="00B65EDC" w:rsidRPr="00912A85" w:rsidRDefault="00B65EDC" w:rsidP="00B65EDC"/>
    <w:p w14:paraId="3B7A567C"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figures for UPOV PRISMA are based on the projections in document </w:t>
      </w:r>
      <w:bookmarkStart w:id="441" w:name="_Hlk190003767"/>
      <w:r w:rsidRPr="00912A85">
        <w:t xml:space="preserve">CC/102/4 </w:t>
      </w:r>
      <w:bookmarkEnd w:id="441"/>
      <w:r w:rsidRPr="00912A85">
        <w:t>“UPOV e</w:t>
      </w:r>
      <w:r w:rsidRPr="00912A85">
        <w:noBreakHyphen/>
        <w:t>PVP development and financing”, and recent developments and estimations on the future use of UPOV PRISMA.</w:t>
      </w:r>
    </w:p>
    <w:p w14:paraId="5F54A1DF" w14:textId="77777777" w:rsidR="00B65EDC" w:rsidRPr="00912A85" w:rsidRDefault="00B65EDC" w:rsidP="00B65EDC"/>
    <w:p w14:paraId="4CD2C526" w14:textId="53182E75"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projections in the 2024-2025 budget anticipated an increase of 20 per cent of the paying submissions using UPOV PRISMA. </w:t>
      </w:r>
      <w:r w:rsidR="007F06A2">
        <w:t xml:space="preserve"> </w:t>
      </w:r>
      <w:r w:rsidRPr="00912A85">
        <w:t xml:space="preserve">The analysis in document CC/102/4 reflects that in 2024 there was an average of 5 per cent increase of paying submissions rather than 20 per cent.  The projection for </w:t>
      </w:r>
      <w:r w:rsidR="00521C0D">
        <w:t>2026</w:t>
      </w:r>
      <w:r w:rsidR="00521C0D">
        <w:noBreakHyphen/>
        <w:t>2027</w:t>
      </w:r>
      <w:r w:rsidRPr="00912A85">
        <w:t xml:space="preserve"> is therefore a more realistic increase of 5 per cent of paying submissions based on the extension of the genera and species in participating UPOV members and data showing that applicants are using UPOV PRISMA in more UPOV members.  </w:t>
      </w:r>
    </w:p>
    <w:p w14:paraId="4CE2142D" w14:textId="77777777" w:rsidR="00B65EDC" w:rsidRPr="00912A85" w:rsidRDefault="00B65EDC" w:rsidP="00B65EDC"/>
    <w:p w14:paraId="182CE63B" w14:textId="601ACB3A"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As from 2022, 12 PLUTO Premium paying users have automatically renewed their subscriptions to PLUTO annually. </w:t>
      </w:r>
      <w:r w:rsidR="007F06A2">
        <w:t xml:space="preserve"> </w:t>
      </w:r>
      <w:r w:rsidRPr="00912A85">
        <w:t xml:space="preserve">Based on this trend, it is projected for </w:t>
      </w:r>
      <w:r w:rsidR="00521C0D">
        <w:t>2026</w:t>
      </w:r>
      <w:r w:rsidR="00521C0D">
        <w:noBreakHyphen/>
        <w:t>2027</w:t>
      </w:r>
      <w:r w:rsidRPr="00912A85">
        <w:t xml:space="preserve"> that there will be 15 PLUTO income generating subscriptions each year. </w:t>
      </w:r>
    </w:p>
    <w:p w14:paraId="0D891DC8" w14:textId="77777777" w:rsidR="00B65EDC" w:rsidRPr="00912A85" w:rsidRDefault="00B65EDC" w:rsidP="00B65EDC">
      <w:pPr>
        <w:tabs>
          <w:tab w:val="left" w:pos="760"/>
        </w:tabs>
      </w:pPr>
    </w:p>
    <w:p w14:paraId="60484BE9" w14:textId="77777777" w:rsidR="00B65EDC" w:rsidRPr="00912A85" w:rsidRDefault="00B65EDC" w:rsidP="00B65EDC">
      <w:pPr>
        <w:pStyle w:val="Heading3"/>
      </w:pPr>
      <w:bookmarkStart w:id="442" w:name="_Toc208999640"/>
      <w:r w:rsidRPr="00912A85">
        <w:lastRenderedPageBreak/>
        <w:t>Overall Resource Plan</w:t>
      </w:r>
      <w:bookmarkEnd w:id="442"/>
    </w:p>
    <w:p w14:paraId="509503B5" w14:textId="77777777" w:rsidR="00B65EDC" w:rsidRPr="00912A85" w:rsidRDefault="00B65EDC" w:rsidP="00B65EDC">
      <w:pPr>
        <w:pStyle w:val="annexiparanumbered"/>
        <w:keepNext/>
        <w:numPr>
          <w:ilvl w:val="0"/>
          <w:numId w:val="0"/>
        </w:numPr>
        <w:rPr>
          <w:sz w:val="18"/>
          <w:szCs w:val="16"/>
        </w:rPr>
      </w:pPr>
    </w:p>
    <w:p w14:paraId="7FBC1D54" w14:textId="59D6D9BE"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total resources for the program of activities to be conducted by UPOV in the </w:t>
      </w:r>
      <w:r w:rsidR="00521C0D">
        <w:rPr>
          <w:snapToGrid w:val="0"/>
        </w:rPr>
        <w:t>2026</w:t>
      </w:r>
      <w:r w:rsidR="00521C0D">
        <w:rPr>
          <w:snapToGrid w:val="0"/>
        </w:rPr>
        <w:noBreakHyphen/>
        <w:t>2027</w:t>
      </w:r>
      <w:r w:rsidRPr="00912A85">
        <w:t xml:space="preserve"> biennium amounts to 8,460,091 </w:t>
      </w:r>
      <w:r w:rsidRPr="00912A85">
        <w:rPr>
          <w:szCs w:val="24"/>
        </w:rPr>
        <w:t>Swiss francs (see Table 3)</w:t>
      </w:r>
      <w:r w:rsidRPr="00912A85">
        <w:t xml:space="preserve">.  This amount includes 7,615,864 </w:t>
      </w:r>
      <w:r w:rsidRPr="00912A85">
        <w:rPr>
          <w:szCs w:val="24"/>
        </w:rPr>
        <w:t>Swiss francs</w:t>
      </w:r>
      <w:r w:rsidRPr="00912A85">
        <w:t xml:space="preserve"> within the regular budget (see Table 1), and an estimated 844,227</w:t>
      </w:r>
      <w:r w:rsidRPr="00912A85">
        <w:rPr>
          <w:szCs w:val="24"/>
        </w:rPr>
        <w:t xml:space="preserve"> Swiss francs</w:t>
      </w:r>
      <w:r w:rsidRPr="00912A85">
        <w:t>, financed under Funds-in-Trust arrangements.</w:t>
      </w:r>
    </w:p>
    <w:p w14:paraId="6EBE12E7" w14:textId="77777777" w:rsidR="00B65EDC" w:rsidRPr="00912A85" w:rsidRDefault="00B65EDC" w:rsidP="00B65EDC">
      <w:pPr>
        <w:tabs>
          <w:tab w:val="left" w:pos="567"/>
        </w:tabs>
      </w:pPr>
    </w:p>
    <w:p w14:paraId="0CE81DA2" w14:textId="2AEE9333" w:rsidR="00B65EDC" w:rsidRPr="00912A85" w:rsidRDefault="00B65EDC" w:rsidP="00B65EDC">
      <w:pPr>
        <w:keepLines/>
        <w:tabs>
          <w:tab w:val="left" w:pos="567"/>
        </w:tabs>
      </w:pPr>
      <w:r w:rsidRPr="00912A85">
        <w:fldChar w:fldCharType="begin"/>
      </w:r>
      <w:r w:rsidRPr="00912A85">
        <w:instrText xml:space="preserve"> AUTONUM  </w:instrText>
      </w:r>
      <w:r w:rsidRPr="00912A85">
        <w:fldChar w:fldCharType="end"/>
      </w:r>
      <w:r w:rsidRPr="00912A85">
        <w:tab/>
        <w:t xml:space="preserve">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biennium, income and regular budget expenditure are expected to be balanced.</w:t>
      </w:r>
    </w:p>
    <w:p w14:paraId="3FC5911D" w14:textId="77777777" w:rsidR="00B65EDC" w:rsidRPr="00912A85" w:rsidRDefault="00B65EDC" w:rsidP="00B65EDC">
      <w:pPr>
        <w:tabs>
          <w:tab w:val="left" w:pos="567"/>
        </w:tabs>
      </w:pPr>
    </w:p>
    <w:p w14:paraId="195CE765" w14:textId="7E787714" w:rsidR="00B65EDC" w:rsidRPr="00912A85" w:rsidRDefault="00B65EDC" w:rsidP="00B65EDC">
      <w:pPr>
        <w:tabs>
          <w:tab w:val="left" w:pos="567"/>
        </w:tabs>
        <w:rPr>
          <w:spacing w:val="-2"/>
          <w:szCs w:val="24"/>
        </w:rPr>
      </w:pPr>
      <w:r w:rsidRPr="00912A85">
        <w:fldChar w:fldCharType="begin"/>
      </w:r>
      <w:r w:rsidRPr="00912A85">
        <w:instrText xml:space="preserve"> AUTONUM  </w:instrText>
      </w:r>
      <w:r w:rsidRPr="00912A85">
        <w:fldChar w:fldCharType="end"/>
      </w:r>
      <w:r w:rsidRPr="00912A85">
        <w:tab/>
        <w:t xml:space="preserve">Funds-in-Trust (FIT) are voluntary financial funds provided to UPOV, usually by a member of the Union for a specific program of activities mutually agreed between the Office of the Union and the member of the Union concerned.  Without prejudging sovereign decisions from the fund providers, it is expected that the </w:t>
      </w:r>
      <w:r w:rsidRPr="00912A85">
        <w:rPr>
          <w:spacing w:val="-2"/>
          <w:szCs w:val="24"/>
        </w:rPr>
        <w:t xml:space="preserve">overall amounts of such funds 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rPr>
          <w:spacing w:val="-2"/>
          <w:szCs w:val="24"/>
        </w:rPr>
        <w:t xml:space="preserve">biennium will be at a level of </w:t>
      </w:r>
      <w:r w:rsidRPr="00912A85">
        <w:rPr>
          <w:szCs w:val="24"/>
        </w:rPr>
        <w:t xml:space="preserve">844,227 </w:t>
      </w:r>
      <w:r w:rsidRPr="00912A85">
        <w:rPr>
          <w:spacing w:val="-2"/>
          <w:szCs w:val="24"/>
        </w:rPr>
        <w:t xml:space="preserve">Swiss francs. </w:t>
      </w:r>
      <w:r w:rsidRPr="00912A85">
        <w:t xml:space="preserve"> It should be noted that financial support (e.g. Funds-in-Trust) and non</w:t>
      </w:r>
      <w:r w:rsidRPr="00912A85">
        <w:noBreakHyphen/>
        <w:t>financial support (support in kind), particularly for technical assistance and training activities, are not included in the UPOV’s Program and Budget.</w:t>
      </w:r>
    </w:p>
    <w:p w14:paraId="1C25C9B6" w14:textId="77777777" w:rsidR="00B65EDC" w:rsidRPr="00912A85" w:rsidRDefault="00B65EDC" w:rsidP="00B65EDC">
      <w:pPr>
        <w:rPr>
          <w:spacing w:val="-2"/>
          <w:szCs w:val="24"/>
        </w:rPr>
      </w:pPr>
    </w:p>
    <w:p w14:paraId="70B8118C" w14:textId="55F0D710"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new FIT Program with Japan is expected to start in 2025. </w:t>
      </w:r>
      <w:r w:rsidR="007F06A2">
        <w:t xml:space="preserve"> </w:t>
      </w:r>
      <w:r w:rsidRPr="00912A85">
        <w:t xml:space="preserve">The Program will support the collection and analysis of data on the PVP impact in UPOV members and the dissemination of information in accordance with UPOV’s communication strategy. </w:t>
      </w:r>
      <w:r w:rsidR="00521C0D">
        <w:t xml:space="preserve"> </w:t>
      </w:r>
      <w:r w:rsidRPr="00912A85">
        <w:t xml:space="preserve">The new FIT Program will also include a </w:t>
      </w:r>
      <w:r w:rsidR="007F06A2">
        <w:t>Junior Professional Officer (</w:t>
      </w:r>
      <w:r w:rsidRPr="00912A85">
        <w:t>JPO</w:t>
      </w:r>
      <w:r w:rsidR="007F06A2">
        <w:t>)</w:t>
      </w:r>
      <w:r w:rsidRPr="00912A85">
        <w:t xml:space="preserve"> financed by Japan. </w:t>
      </w:r>
      <w:r w:rsidR="00521C0D">
        <w:t xml:space="preserve"> </w:t>
      </w:r>
      <w:r w:rsidRPr="00912A85">
        <w:t xml:space="preserve">It is expected that the new FIT Program with Japan will continue during the </w:t>
      </w:r>
      <w:r w:rsidR="00521C0D">
        <w:t>2026</w:t>
      </w:r>
      <w:r w:rsidR="00521C0D">
        <w:noBreakHyphen/>
        <w:t>2027</w:t>
      </w:r>
      <w:r w:rsidRPr="00912A85">
        <w:t xml:space="preserve"> biennium.</w:t>
      </w:r>
    </w:p>
    <w:p w14:paraId="60861E2B" w14:textId="77777777" w:rsidR="00B65EDC" w:rsidRPr="00912A85" w:rsidRDefault="00B65EDC" w:rsidP="00B65EDC"/>
    <w:p w14:paraId="144050A2" w14:textId="77777777" w:rsidR="00B65EDC" w:rsidRPr="00912A85" w:rsidRDefault="00B65EDC" w:rsidP="00B65EDC">
      <w:pPr>
        <w:rPr>
          <w:szCs w:val="24"/>
        </w:rPr>
      </w:pPr>
    </w:p>
    <w:p w14:paraId="026217BE" w14:textId="305A37B1" w:rsidR="00B65EDC" w:rsidRPr="00912A85" w:rsidRDefault="00B65EDC" w:rsidP="00B65EDC">
      <w:pPr>
        <w:jc w:val="center"/>
        <w:rPr>
          <w:color w:val="26724C" w:themeColor="accent1" w:themeShade="BF"/>
          <w:spacing w:val="-2"/>
          <w:szCs w:val="24"/>
        </w:rPr>
      </w:pPr>
      <w:r w:rsidRPr="00912A85">
        <w:rPr>
          <w:rFonts w:cs="Arial"/>
          <w:b/>
          <w:bCs/>
          <w:color w:val="26724C" w:themeColor="accent1" w:themeShade="BF"/>
        </w:rPr>
        <w:t>Table 3:  Resource Plan 2024</w:t>
      </w:r>
      <w:r w:rsidRPr="00912A85">
        <w:rPr>
          <w:rFonts w:cs="Arial"/>
          <w:b/>
          <w:bCs/>
          <w:color w:val="26724C" w:themeColor="accent1" w:themeShade="BF"/>
        </w:rPr>
        <w:noBreakHyphen/>
        <w:t xml:space="preserve">2025 and </w:t>
      </w:r>
      <w:r w:rsidR="00521C0D">
        <w:rPr>
          <w:rFonts w:cs="Arial"/>
          <w:b/>
          <w:bCs/>
          <w:color w:val="26724C" w:themeColor="accent1" w:themeShade="BF"/>
        </w:rPr>
        <w:t>2026</w:t>
      </w:r>
      <w:r w:rsidR="00521C0D">
        <w:rPr>
          <w:rFonts w:cs="Arial"/>
          <w:b/>
          <w:bCs/>
          <w:color w:val="26724C" w:themeColor="accent1" w:themeShade="BF"/>
        </w:rPr>
        <w:noBreakHyphen/>
        <w:t>2027</w:t>
      </w:r>
    </w:p>
    <w:p w14:paraId="0835930B" w14:textId="77777777" w:rsidR="00B65EDC" w:rsidRPr="00912A85" w:rsidRDefault="00B65EDC" w:rsidP="00B65EDC">
      <w:pPr>
        <w:jc w:val="center"/>
        <w:rPr>
          <w:rFonts w:cs="Arial"/>
          <w:i/>
          <w:iCs/>
          <w:sz w:val="18"/>
        </w:rPr>
      </w:pPr>
      <w:r w:rsidRPr="00912A85">
        <w:rPr>
          <w:rFonts w:cs="Arial"/>
          <w:i/>
          <w:iCs/>
          <w:sz w:val="18"/>
        </w:rPr>
        <w:t>(in thousands of Swiss francs)</w:t>
      </w:r>
    </w:p>
    <w:p w14:paraId="0A56B743" w14:textId="77777777" w:rsidR="00B65EDC" w:rsidRPr="00912A85" w:rsidRDefault="00B65EDC" w:rsidP="00B65EDC">
      <w:pPr>
        <w:jc w:val="center"/>
        <w:rPr>
          <w:spacing w:val="-2"/>
          <w:szCs w:val="24"/>
        </w:rPr>
      </w:pPr>
    </w:p>
    <w:tbl>
      <w:tblPr>
        <w:tblW w:w="9729" w:type="dxa"/>
        <w:tblLook w:val="04A0" w:firstRow="1" w:lastRow="0" w:firstColumn="1" w:lastColumn="0" w:noHBand="0" w:noVBand="1"/>
      </w:tblPr>
      <w:tblGrid>
        <w:gridCol w:w="482"/>
        <w:gridCol w:w="3837"/>
        <w:gridCol w:w="1727"/>
        <w:gridCol w:w="1778"/>
        <w:gridCol w:w="1905"/>
      </w:tblGrid>
      <w:tr w:rsidR="00B65EDC" w:rsidRPr="00912A85" w14:paraId="06FAB401" w14:textId="77777777">
        <w:trPr>
          <w:trHeight w:val="431"/>
        </w:trPr>
        <w:tc>
          <w:tcPr>
            <w:tcW w:w="4319" w:type="dxa"/>
            <w:gridSpan w:val="2"/>
            <w:vMerge w:val="restart"/>
            <w:tcBorders>
              <w:top w:val="nil"/>
              <w:left w:val="nil"/>
              <w:bottom w:val="nil"/>
              <w:right w:val="nil"/>
            </w:tcBorders>
            <w:shd w:val="clear" w:color="000000" w:fill="C7CFD8"/>
            <w:vAlign w:val="center"/>
            <w:hideMark/>
          </w:tcPr>
          <w:p w14:paraId="3BC13A88" w14:textId="77777777" w:rsidR="00B65EDC" w:rsidRPr="00912A85" w:rsidRDefault="00B65EDC">
            <w:pPr>
              <w:jc w:val="left"/>
              <w:rPr>
                <w:rFonts w:ascii="Arial Narrow" w:hAnsi="Arial Narrow" w:cs="Arial"/>
                <w:b/>
                <w:bCs/>
                <w:sz w:val="18"/>
                <w:szCs w:val="18"/>
              </w:rPr>
            </w:pPr>
            <w:r w:rsidRPr="00912A85">
              <w:rPr>
                <w:rFonts w:ascii="Arial Narrow" w:hAnsi="Arial Narrow" w:cs="Arial"/>
                <w:b/>
                <w:bCs/>
                <w:sz w:val="18"/>
                <w:szCs w:val="18"/>
              </w:rPr>
              <w:t>Budget and resource availability</w:t>
            </w:r>
          </w:p>
        </w:tc>
        <w:tc>
          <w:tcPr>
            <w:tcW w:w="1727" w:type="dxa"/>
            <w:tcBorders>
              <w:top w:val="nil"/>
              <w:left w:val="nil"/>
              <w:bottom w:val="nil"/>
              <w:right w:val="nil"/>
            </w:tcBorders>
            <w:shd w:val="clear" w:color="000000" w:fill="C7CFD8"/>
            <w:vAlign w:val="center"/>
            <w:hideMark/>
          </w:tcPr>
          <w:p w14:paraId="7EEF3CA3"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Regular Budget </w:t>
            </w:r>
          </w:p>
        </w:tc>
        <w:tc>
          <w:tcPr>
            <w:tcW w:w="1778" w:type="dxa"/>
            <w:tcBorders>
              <w:top w:val="nil"/>
              <w:left w:val="nil"/>
              <w:bottom w:val="nil"/>
              <w:right w:val="nil"/>
            </w:tcBorders>
            <w:shd w:val="clear" w:color="000000" w:fill="C7CFD8"/>
            <w:vAlign w:val="center"/>
            <w:hideMark/>
          </w:tcPr>
          <w:p w14:paraId="3AF62C3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Funds-in-Trust * </w:t>
            </w:r>
          </w:p>
        </w:tc>
        <w:tc>
          <w:tcPr>
            <w:tcW w:w="1905" w:type="dxa"/>
            <w:tcBorders>
              <w:top w:val="nil"/>
              <w:left w:val="nil"/>
              <w:bottom w:val="nil"/>
              <w:right w:val="nil"/>
            </w:tcBorders>
            <w:shd w:val="clear" w:color="000000" w:fill="C7CFD8"/>
            <w:vAlign w:val="center"/>
            <w:hideMark/>
          </w:tcPr>
          <w:p w14:paraId="110BA662"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Total resources </w:t>
            </w:r>
          </w:p>
        </w:tc>
      </w:tr>
      <w:tr w:rsidR="00B65EDC" w:rsidRPr="00912A85" w14:paraId="64A8C5DF" w14:textId="77777777">
        <w:trPr>
          <w:trHeight w:val="70"/>
        </w:trPr>
        <w:tc>
          <w:tcPr>
            <w:tcW w:w="4319" w:type="dxa"/>
            <w:gridSpan w:val="2"/>
            <w:vMerge/>
            <w:tcBorders>
              <w:top w:val="nil"/>
              <w:left w:val="nil"/>
              <w:bottom w:val="nil"/>
              <w:right w:val="nil"/>
            </w:tcBorders>
            <w:vAlign w:val="center"/>
            <w:hideMark/>
          </w:tcPr>
          <w:p w14:paraId="5AD838E4" w14:textId="77777777" w:rsidR="00B65EDC" w:rsidRPr="00912A85" w:rsidRDefault="00B65EDC">
            <w:pPr>
              <w:jc w:val="left"/>
              <w:rPr>
                <w:rFonts w:ascii="Arial Narrow" w:hAnsi="Arial Narrow" w:cs="Arial"/>
                <w:b/>
                <w:bCs/>
                <w:sz w:val="18"/>
                <w:szCs w:val="18"/>
              </w:rPr>
            </w:pPr>
          </w:p>
        </w:tc>
        <w:tc>
          <w:tcPr>
            <w:tcW w:w="1727" w:type="dxa"/>
            <w:tcBorders>
              <w:top w:val="nil"/>
              <w:left w:val="nil"/>
              <w:bottom w:val="nil"/>
              <w:right w:val="nil"/>
            </w:tcBorders>
            <w:shd w:val="clear" w:color="000000" w:fill="C7CFD8"/>
            <w:noWrap/>
            <w:vAlign w:val="center"/>
            <w:hideMark/>
          </w:tcPr>
          <w:p w14:paraId="340B7B50" w14:textId="77777777" w:rsidR="00B65EDC" w:rsidRPr="00912A85" w:rsidRDefault="00B65EDC">
            <w:pPr>
              <w:jc w:val="center"/>
              <w:rPr>
                <w:rFonts w:ascii="Arial Narrow" w:hAnsi="Arial Narrow" w:cs="Arial"/>
                <w:b/>
                <w:bCs/>
                <w:i/>
                <w:iCs/>
                <w:sz w:val="18"/>
                <w:szCs w:val="18"/>
              </w:rPr>
            </w:pPr>
            <w:r w:rsidRPr="00912A85">
              <w:rPr>
                <w:rFonts w:ascii="Arial Narrow" w:hAnsi="Arial Narrow" w:cs="Arial"/>
                <w:b/>
                <w:bCs/>
                <w:i/>
                <w:iCs/>
                <w:sz w:val="18"/>
                <w:szCs w:val="18"/>
              </w:rPr>
              <w:t xml:space="preserve">A </w:t>
            </w:r>
          </w:p>
        </w:tc>
        <w:tc>
          <w:tcPr>
            <w:tcW w:w="1778" w:type="dxa"/>
            <w:tcBorders>
              <w:top w:val="nil"/>
              <w:left w:val="nil"/>
              <w:bottom w:val="nil"/>
              <w:right w:val="nil"/>
            </w:tcBorders>
            <w:shd w:val="clear" w:color="000000" w:fill="C7CFD8"/>
            <w:vAlign w:val="center"/>
            <w:hideMark/>
          </w:tcPr>
          <w:p w14:paraId="378688E6" w14:textId="77777777" w:rsidR="00B65EDC" w:rsidRPr="00912A85" w:rsidRDefault="00B65EDC">
            <w:pPr>
              <w:jc w:val="center"/>
              <w:rPr>
                <w:rFonts w:ascii="Arial Narrow" w:hAnsi="Arial Narrow" w:cs="Arial"/>
                <w:b/>
                <w:bCs/>
                <w:i/>
                <w:iCs/>
                <w:sz w:val="18"/>
                <w:szCs w:val="18"/>
              </w:rPr>
            </w:pPr>
            <w:r w:rsidRPr="00912A85">
              <w:rPr>
                <w:rFonts w:ascii="Arial Narrow" w:hAnsi="Arial Narrow" w:cs="Arial"/>
                <w:b/>
                <w:bCs/>
                <w:i/>
                <w:iCs/>
                <w:sz w:val="18"/>
                <w:szCs w:val="18"/>
              </w:rPr>
              <w:t>B</w:t>
            </w:r>
          </w:p>
        </w:tc>
        <w:tc>
          <w:tcPr>
            <w:tcW w:w="1905" w:type="dxa"/>
            <w:tcBorders>
              <w:top w:val="nil"/>
              <w:left w:val="nil"/>
              <w:bottom w:val="nil"/>
              <w:right w:val="nil"/>
            </w:tcBorders>
            <w:shd w:val="clear" w:color="000000" w:fill="C7CFD8"/>
            <w:vAlign w:val="center"/>
            <w:hideMark/>
          </w:tcPr>
          <w:p w14:paraId="3F3EBB6B" w14:textId="77777777" w:rsidR="00B65EDC" w:rsidRPr="00912A85" w:rsidRDefault="00B65EDC">
            <w:pPr>
              <w:jc w:val="center"/>
              <w:rPr>
                <w:rFonts w:ascii="Arial Narrow" w:hAnsi="Arial Narrow" w:cs="Arial"/>
                <w:b/>
                <w:bCs/>
                <w:i/>
                <w:iCs/>
                <w:sz w:val="18"/>
                <w:szCs w:val="18"/>
              </w:rPr>
            </w:pPr>
            <w:r w:rsidRPr="00912A85">
              <w:rPr>
                <w:rFonts w:ascii="Arial Narrow" w:hAnsi="Arial Narrow" w:cs="Arial"/>
                <w:b/>
                <w:bCs/>
                <w:i/>
                <w:iCs/>
                <w:sz w:val="18"/>
                <w:szCs w:val="18"/>
              </w:rPr>
              <w:t>C = A+B</w:t>
            </w:r>
          </w:p>
        </w:tc>
      </w:tr>
      <w:tr w:rsidR="00B65EDC" w:rsidRPr="00912A85" w14:paraId="18443706" w14:textId="77777777" w:rsidTr="00A538F6">
        <w:trPr>
          <w:trHeight w:val="263"/>
        </w:trPr>
        <w:tc>
          <w:tcPr>
            <w:tcW w:w="4319" w:type="dxa"/>
            <w:gridSpan w:val="2"/>
            <w:tcBorders>
              <w:top w:val="nil"/>
              <w:left w:val="nil"/>
              <w:bottom w:val="nil"/>
              <w:right w:val="nil"/>
            </w:tcBorders>
            <w:hideMark/>
          </w:tcPr>
          <w:p w14:paraId="39BBD939" w14:textId="77777777" w:rsidR="00B65EDC" w:rsidRPr="00912A85" w:rsidRDefault="00B65EDC">
            <w:pPr>
              <w:jc w:val="center"/>
              <w:rPr>
                <w:rFonts w:ascii="Arial Narrow" w:hAnsi="Arial Narrow" w:cs="Arial"/>
                <w:b/>
                <w:bCs/>
                <w:i/>
                <w:iCs/>
                <w:sz w:val="18"/>
                <w:szCs w:val="18"/>
              </w:rPr>
            </w:pPr>
          </w:p>
        </w:tc>
        <w:tc>
          <w:tcPr>
            <w:tcW w:w="1727" w:type="dxa"/>
            <w:tcBorders>
              <w:top w:val="nil"/>
              <w:left w:val="nil"/>
              <w:bottom w:val="nil"/>
              <w:right w:val="nil"/>
            </w:tcBorders>
            <w:hideMark/>
          </w:tcPr>
          <w:p w14:paraId="7689380B" w14:textId="77777777" w:rsidR="00B65EDC" w:rsidRPr="00912A85" w:rsidRDefault="00B65EDC">
            <w:pPr>
              <w:rPr>
                <w:rFonts w:ascii="Times New Roman" w:hAnsi="Times New Roman"/>
              </w:rPr>
            </w:pPr>
          </w:p>
        </w:tc>
        <w:tc>
          <w:tcPr>
            <w:tcW w:w="1778" w:type="dxa"/>
            <w:tcBorders>
              <w:top w:val="nil"/>
              <w:left w:val="nil"/>
              <w:bottom w:val="nil"/>
              <w:right w:val="nil"/>
            </w:tcBorders>
            <w:hideMark/>
          </w:tcPr>
          <w:p w14:paraId="0938041F" w14:textId="77777777" w:rsidR="00B65EDC" w:rsidRPr="00912A85" w:rsidRDefault="00B65EDC">
            <w:pPr>
              <w:rPr>
                <w:rFonts w:ascii="Times New Roman" w:hAnsi="Times New Roman"/>
              </w:rPr>
            </w:pPr>
          </w:p>
        </w:tc>
        <w:tc>
          <w:tcPr>
            <w:tcW w:w="1905" w:type="dxa"/>
            <w:tcBorders>
              <w:top w:val="nil"/>
              <w:left w:val="nil"/>
              <w:bottom w:val="nil"/>
              <w:right w:val="nil"/>
            </w:tcBorders>
            <w:hideMark/>
          </w:tcPr>
          <w:p w14:paraId="4502D222" w14:textId="77777777" w:rsidR="00B65EDC" w:rsidRPr="00912A85" w:rsidRDefault="00B65EDC">
            <w:pPr>
              <w:jc w:val="left"/>
              <w:rPr>
                <w:rFonts w:ascii="Times New Roman" w:hAnsi="Times New Roman"/>
              </w:rPr>
            </w:pPr>
          </w:p>
        </w:tc>
      </w:tr>
      <w:tr w:rsidR="00B65EDC" w:rsidRPr="00912A85" w14:paraId="4779A1D3" w14:textId="77777777" w:rsidTr="00A538F6">
        <w:trPr>
          <w:trHeight w:val="318"/>
        </w:trPr>
        <w:tc>
          <w:tcPr>
            <w:tcW w:w="4319" w:type="dxa"/>
            <w:gridSpan w:val="2"/>
            <w:tcBorders>
              <w:top w:val="nil"/>
              <w:left w:val="nil"/>
              <w:bottom w:val="nil"/>
              <w:right w:val="nil"/>
            </w:tcBorders>
            <w:hideMark/>
          </w:tcPr>
          <w:p w14:paraId="0BFF9E66" w14:textId="77777777" w:rsidR="00B65EDC" w:rsidRPr="00912A85" w:rsidRDefault="00B65EDC">
            <w:pPr>
              <w:rPr>
                <w:rFonts w:ascii="Arial Narrow" w:hAnsi="Arial Narrow" w:cs="Arial"/>
                <w:b/>
                <w:bCs/>
                <w:color w:val="000000"/>
              </w:rPr>
            </w:pPr>
            <w:r w:rsidRPr="00912A85">
              <w:rPr>
                <w:rFonts w:ascii="Arial Narrow" w:hAnsi="Arial Narrow" w:cs="Arial"/>
                <w:b/>
                <w:bCs/>
                <w:color w:val="000000"/>
              </w:rPr>
              <w:t>Resource availability 2024</w:t>
            </w:r>
            <w:r w:rsidRPr="00912A85">
              <w:rPr>
                <w:rFonts w:ascii="Arial Narrow" w:hAnsi="Arial Narrow" w:cs="Arial"/>
                <w:b/>
                <w:bCs/>
                <w:color w:val="000000"/>
              </w:rPr>
              <w:noBreakHyphen/>
              <w:t>2025</w:t>
            </w:r>
          </w:p>
        </w:tc>
        <w:tc>
          <w:tcPr>
            <w:tcW w:w="1727" w:type="dxa"/>
            <w:tcBorders>
              <w:top w:val="nil"/>
              <w:left w:val="nil"/>
              <w:bottom w:val="nil"/>
              <w:right w:val="nil"/>
            </w:tcBorders>
            <w:noWrap/>
            <w:vAlign w:val="bottom"/>
            <w:hideMark/>
          </w:tcPr>
          <w:p w14:paraId="686C71E3" w14:textId="77777777" w:rsidR="00B65EDC" w:rsidRPr="00912A85" w:rsidRDefault="00B65EDC">
            <w:pPr>
              <w:jc w:val="right"/>
              <w:rPr>
                <w:rFonts w:ascii="Arial Narrow" w:hAnsi="Arial Narrow" w:cs="Arial"/>
                <w:b/>
                <w:bCs/>
                <w:color w:val="000000"/>
              </w:rPr>
            </w:pPr>
          </w:p>
        </w:tc>
        <w:tc>
          <w:tcPr>
            <w:tcW w:w="1778" w:type="dxa"/>
            <w:tcBorders>
              <w:top w:val="nil"/>
              <w:left w:val="nil"/>
              <w:bottom w:val="nil"/>
              <w:right w:val="nil"/>
            </w:tcBorders>
            <w:hideMark/>
          </w:tcPr>
          <w:p w14:paraId="235A1292" w14:textId="77777777" w:rsidR="00B65EDC" w:rsidRPr="00912A85" w:rsidRDefault="00B65EDC">
            <w:pPr>
              <w:jc w:val="right"/>
              <w:rPr>
                <w:rFonts w:ascii="Times New Roman" w:hAnsi="Times New Roman"/>
              </w:rPr>
            </w:pPr>
          </w:p>
        </w:tc>
        <w:tc>
          <w:tcPr>
            <w:tcW w:w="1905" w:type="dxa"/>
            <w:tcBorders>
              <w:top w:val="nil"/>
              <w:left w:val="nil"/>
              <w:bottom w:val="nil"/>
              <w:right w:val="nil"/>
            </w:tcBorders>
            <w:hideMark/>
          </w:tcPr>
          <w:p w14:paraId="51871D3E" w14:textId="77777777" w:rsidR="00B65EDC" w:rsidRPr="00912A85" w:rsidRDefault="00B65EDC">
            <w:pPr>
              <w:jc w:val="right"/>
              <w:rPr>
                <w:rFonts w:ascii="Times New Roman" w:hAnsi="Times New Roman"/>
              </w:rPr>
            </w:pPr>
          </w:p>
        </w:tc>
      </w:tr>
      <w:tr w:rsidR="00B65EDC" w:rsidRPr="00912A85" w14:paraId="2665EE8B" w14:textId="77777777" w:rsidTr="00A538F6">
        <w:trPr>
          <w:trHeight w:val="349"/>
        </w:trPr>
        <w:tc>
          <w:tcPr>
            <w:tcW w:w="482" w:type="dxa"/>
            <w:tcBorders>
              <w:top w:val="nil"/>
              <w:left w:val="nil"/>
              <w:bottom w:val="nil"/>
              <w:right w:val="nil"/>
            </w:tcBorders>
            <w:vAlign w:val="center"/>
            <w:hideMark/>
          </w:tcPr>
          <w:p w14:paraId="2041EE60"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1</w:t>
            </w:r>
          </w:p>
        </w:tc>
        <w:tc>
          <w:tcPr>
            <w:tcW w:w="3837" w:type="dxa"/>
            <w:tcBorders>
              <w:top w:val="nil"/>
              <w:left w:val="nil"/>
              <w:bottom w:val="nil"/>
              <w:right w:val="nil"/>
            </w:tcBorders>
            <w:vAlign w:val="center"/>
            <w:hideMark/>
          </w:tcPr>
          <w:p w14:paraId="1C62A0BC" w14:textId="77777777" w:rsidR="00B65EDC" w:rsidRPr="00912A85" w:rsidRDefault="00B65EDC">
            <w:pPr>
              <w:rPr>
                <w:rFonts w:ascii="Arial Narrow" w:hAnsi="Arial Narrow" w:cs="Arial"/>
                <w:color w:val="000000"/>
              </w:rPr>
            </w:pPr>
            <w:r w:rsidRPr="00912A85">
              <w:rPr>
                <w:rFonts w:ascii="Arial Narrow" w:hAnsi="Arial Narrow" w:cs="Arial"/>
                <w:color w:val="000000"/>
              </w:rPr>
              <w:t>Income</w:t>
            </w:r>
          </w:p>
        </w:tc>
        <w:tc>
          <w:tcPr>
            <w:tcW w:w="1727" w:type="dxa"/>
            <w:tcBorders>
              <w:top w:val="nil"/>
              <w:left w:val="nil"/>
              <w:bottom w:val="nil"/>
              <w:right w:val="nil"/>
            </w:tcBorders>
            <w:vAlign w:val="center"/>
          </w:tcPr>
          <w:p w14:paraId="0EBD0732"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778" w:type="dxa"/>
            <w:tcBorders>
              <w:top w:val="nil"/>
              <w:left w:val="nil"/>
              <w:bottom w:val="nil"/>
              <w:right w:val="nil"/>
            </w:tcBorders>
            <w:vAlign w:val="center"/>
          </w:tcPr>
          <w:p w14:paraId="04C9B3CD"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965</w:t>
            </w:r>
          </w:p>
        </w:tc>
        <w:tc>
          <w:tcPr>
            <w:tcW w:w="1905" w:type="dxa"/>
            <w:tcBorders>
              <w:top w:val="nil"/>
              <w:left w:val="nil"/>
              <w:bottom w:val="nil"/>
              <w:right w:val="nil"/>
            </w:tcBorders>
            <w:vAlign w:val="center"/>
          </w:tcPr>
          <w:p w14:paraId="49038083"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8,867</w:t>
            </w:r>
          </w:p>
        </w:tc>
      </w:tr>
      <w:tr w:rsidR="00B65EDC" w:rsidRPr="00912A85" w14:paraId="5E49BB4B" w14:textId="77777777" w:rsidTr="00A538F6">
        <w:trPr>
          <w:trHeight w:val="349"/>
        </w:trPr>
        <w:tc>
          <w:tcPr>
            <w:tcW w:w="482" w:type="dxa"/>
            <w:tcBorders>
              <w:top w:val="nil"/>
              <w:left w:val="nil"/>
              <w:bottom w:val="nil"/>
              <w:right w:val="nil"/>
            </w:tcBorders>
            <w:vAlign w:val="center"/>
            <w:hideMark/>
          </w:tcPr>
          <w:p w14:paraId="2F7D12E1"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2</w:t>
            </w:r>
          </w:p>
        </w:tc>
        <w:tc>
          <w:tcPr>
            <w:tcW w:w="3837" w:type="dxa"/>
            <w:tcBorders>
              <w:top w:val="nil"/>
              <w:left w:val="nil"/>
              <w:bottom w:val="nil"/>
              <w:right w:val="nil"/>
            </w:tcBorders>
            <w:vAlign w:val="center"/>
            <w:hideMark/>
          </w:tcPr>
          <w:p w14:paraId="6C4A070B" w14:textId="77777777" w:rsidR="00B65EDC" w:rsidRPr="00912A85" w:rsidRDefault="00B65EDC">
            <w:pPr>
              <w:rPr>
                <w:rFonts w:ascii="Arial Narrow" w:hAnsi="Arial Narrow" w:cs="Arial"/>
                <w:color w:val="000000"/>
              </w:rPr>
            </w:pPr>
            <w:r w:rsidRPr="00912A85">
              <w:rPr>
                <w:rFonts w:ascii="Arial Narrow" w:hAnsi="Arial Narrow" w:cs="Arial"/>
                <w:color w:val="000000"/>
              </w:rPr>
              <w:t>+/(-)Transfer from/to reserves</w:t>
            </w:r>
          </w:p>
        </w:tc>
        <w:tc>
          <w:tcPr>
            <w:tcW w:w="1727" w:type="dxa"/>
            <w:tcBorders>
              <w:top w:val="nil"/>
              <w:left w:val="nil"/>
              <w:bottom w:val="nil"/>
              <w:right w:val="nil"/>
            </w:tcBorders>
            <w:vAlign w:val="center"/>
          </w:tcPr>
          <w:p w14:paraId="6EFD31DF"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w:t>
            </w:r>
          </w:p>
        </w:tc>
        <w:tc>
          <w:tcPr>
            <w:tcW w:w="1778" w:type="dxa"/>
            <w:tcBorders>
              <w:top w:val="nil"/>
              <w:left w:val="nil"/>
              <w:bottom w:val="nil"/>
              <w:right w:val="nil"/>
            </w:tcBorders>
            <w:vAlign w:val="center"/>
          </w:tcPr>
          <w:p w14:paraId="026F220A"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w:t>
            </w:r>
          </w:p>
        </w:tc>
        <w:tc>
          <w:tcPr>
            <w:tcW w:w="1905" w:type="dxa"/>
            <w:tcBorders>
              <w:top w:val="nil"/>
              <w:left w:val="nil"/>
              <w:bottom w:val="nil"/>
              <w:right w:val="nil"/>
            </w:tcBorders>
            <w:vAlign w:val="center"/>
          </w:tcPr>
          <w:p w14:paraId="7C798E01"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w:t>
            </w:r>
          </w:p>
        </w:tc>
      </w:tr>
      <w:tr w:rsidR="00B65EDC" w:rsidRPr="00912A85" w14:paraId="3C3EBEB5" w14:textId="77777777" w:rsidTr="00A538F6">
        <w:trPr>
          <w:trHeight w:val="349"/>
        </w:trPr>
        <w:tc>
          <w:tcPr>
            <w:tcW w:w="482" w:type="dxa"/>
            <w:tcBorders>
              <w:top w:val="single" w:sz="4" w:space="0" w:color="AAB8C4"/>
              <w:left w:val="nil"/>
              <w:bottom w:val="single" w:sz="8" w:space="0" w:color="AAB8C4"/>
              <w:right w:val="nil"/>
            </w:tcBorders>
            <w:vAlign w:val="center"/>
            <w:hideMark/>
          </w:tcPr>
          <w:p w14:paraId="4DA311A0"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3</w:t>
            </w:r>
          </w:p>
        </w:tc>
        <w:tc>
          <w:tcPr>
            <w:tcW w:w="3837" w:type="dxa"/>
            <w:tcBorders>
              <w:top w:val="single" w:sz="4" w:space="0" w:color="AAB8C4"/>
              <w:left w:val="nil"/>
              <w:bottom w:val="single" w:sz="8" w:space="0" w:color="AAB8C4"/>
              <w:right w:val="nil"/>
            </w:tcBorders>
            <w:vAlign w:val="center"/>
            <w:hideMark/>
          </w:tcPr>
          <w:p w14:paraId="03E7F7C0" w14:textId="77777777" w:rsidR="00B65EDC" w:rsidRPr="00912A85" w:rsidRDefault="00B65EDC">
            <w:pPr>
              <w:rPr>
                <w:rFonts w:ascii="Arial Narrow" w:hAnsi="Arial Narrow" w:cs="Arial"/>
                <w:color w:val="000000"/>
              </w:rPr>
            </w:pPr>
            <w:r w:rsidRPr="00912A85">
              <w:rPr>
                <w:rFonts w:ascii="Arial Narrow" w:hAnsi="Arial Narrow" w:cs="Arial"/>
                <w:color w:val="000000"/>
              </w:rPr>
              <w:t>Total, resources</w:t>
            </w:r>
          </w:p>
        </w:tc>
        <w:tc>
          <w:tcPr>
            <w:tcW w:w="1727" w:type="dxa"/>
            <w:tcBorders>
              <w:top w:val="single" w:sz="4" w:space="0" w:color="AAB8C4"/>
              <w:left w:val="nil"/>
              <w:bottom w:val="single" w:sz="8" w:space="0" w:color="AAB8C4"/>
              <w:right w:val="nil"/>
            </w:tcBorders>
            <w:vAlign w:val="center"/>
          </w:tcPr>
          <w:p w14:paraId="7518454E"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778" w:type="dxa"/>
            <w:tcBorders>
              <w:top w:val="single" w:sz="4" w:space="0" w:color="AAB8C4"/>
              <w:left w:val="nil"/>
              <w:bottom w:val="single" w:sz="8" w:space="0" w:color="AAB8C4"/>
              <w:right w:val="nil"/>
            </w:tcBorders>
            <w:vAlign w:val="center"/>
          </w:tcPr>
          <w:p w14:paraId="3F27C942"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965</w:t>
            </w:r>
          </w:p>
        </w:tc>
        <w:tc>
          <w:tcPr>
            <w:tcW w:w="1905" w:type="dxa"/>
            <w:tcBorders>
              <w:top w:val="single" w:sz="4" w:space="0" w:color="AAB8C4"/>
              <w:left w:val="nil"/>
              <w:bottom w:val="single" w:sz="8" w:space="0" w:color="AAB8C4"/>
              <w:right w:val="nil"/>
            </w:tcBorders>
            <w:vAlign w:val="center"/>
          </w:tcPr>
          <w:p w14:paraId="7460AFA2"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8,867</w:t>
            </w:r>
          </w:p>
        </w:tc>
      </w:tr>
      <w:tr w:rsidR="00B65EDC" w:rsidRPr="00912A85" w14:paraId="249E410D" w14:textId="77777777" w:rsidTr="00A538F6">
        <w:trPr>
          <w:trHeight w:val="263"/>
        </w:trPr>
        <w:tc>
          <w:tcPr>
            <w:tcW w:w="482" w:type="dxa"/>
            <w:tcBorders>
              <w:top w:val="nil"/>
              <w:left w:val="nil"/>
              <w:bottom w:val="nil"/>
              <w:right w:val="nil"/>
            </w:tcBorders>
            <w:vAlign w:val="center"/>
            <w:hideMark/>
          </w:tcPr>
          <w:p w14:paraId="4E26EC1C" w14:textId="77777777" w:rsidR="00B65EDC" w:rsidRPr="00912A85" w:rsidRDefault="00B65EDC">
            <w:pPr>
              <w:jc w:val="right"/>
              <w:rPr>
                <w:rFonts w:ascii="Arial Narrow" w:hAnsi="Arial Narrow" w:cs="Arial"/>
                <w:color w:val="000000"/>
              </w:rPr>
            </w:pPr>
          </w:p>
        </w:tc>
        <w:tc>
          <w:tcPr>
            <w:tcW w:w="3837" w:type="dxa"/>
            <w:tcBorders>
              <w:top w:val="nil"/>
              <w:left w:val="nil"/>
              <w:bottom w:val="nil"/>
              <w:right w:val="nil"/>
            </w:tcBorders>
            <w:vAlign w:val="center"/>
            <w:hideMark/>
          </w:tcPr>
          <w:p w14:paraId="463CDD84" w14:textId="77777777" w:rsidR="00B65EDC" w:rsidRPr="00912A85" w:rsidRDefault="00B65EDC">
            <w:pPr>
              <w:jc w:val="right"/>
              <w:rPr>
                <w:rFonts w:ascii="Times New Roman" w:hAnsi="Times New Roman"/>
              </w:rPr>
            </w:pPr>
          </w:p>
        </w:tc>
        <w:tc>
          <w:tcPr>
            <w:tcW w:w="1727" w:type="dxa"/>
            <w:tcBorders>
              <w:top w:val="nil"/>
              <w:left w:val="nil"/>
              <w:bottom w:val="nil"/>
              <w:right w:val="nil"/>
            </w:tcBorders>
            <w:vAlign w:val="center"/>
          </w:tcPr>
          <w:p w14:paraId="280AE7A6" w14:textId="77777777" w:rsidR="00B65EDC" w:rsidRPr="00912A85" w:rsidRDefault="00B65EDC">
            <w:pPr>
              <w:jc w:val="right"/>
              <w:rPr>
                <w:rFonts w:ascii="Times New Roman" w:hAnsi="Times New Roman"/>
              </w:rPr>
            </w:pPr>
          </w:p>
        </w:tc>
        <w:tc>
          <w:tcPr>
            <w:tcW w:w="1778" w:type="dxa"/>
            <w:tcBorders>
              <w:top w:val="nil"/>
              <w:left w:val="nil"/>
              <w:bottom w:val="nil"/>
              <w:right w:val="nil"/>
            </w:tcBorders>
            <w:vAlign w:val="center"/>
          </w:tcPr>
          <w:p w14:paraId="456584DA" w14:textId="77777777" w:rsidR="00B65EDC" w:rsidRPr="00912A85" w:rsidRDefault="00B65EDC">
            <w:pPr>
              <w:jc w:val="right"/>
              <w:rPr>
                <w:rFonts w:ascii="Times New Roman" w:hAnsi="Times New Roman"/>
              </w:rPr>
            </w:pPr>
          </w:p>
        </w:tc>
        <w:tc>
          <w:tcPr>
            <w:tcW w:w="1905" w:type="dxa"/>
            <w:tcBorders>
              <w:top w:val="nil"/>
              <w:left w:val="nil"/>
              <w:bottom w:val="nil"/>
              <w:right w:val="nil"/>
            </w:tcBorders>
            <w:vAlign w:val="center"/>
          </w:tcPr>
          <w:p w14:paraId="62A665DA" w14:textId="77777777" w:rsidR="00B65EDC" w:rsidRPr="00912A85" w:rsidRDefault="00B65EDC">
            <w:pPr>
              <w:jc w:val="right"/>
              <w:rPr>
                <w:rFonts w:ascii="Times New Roman" w:hAnsi="Times New Roman"/>
              </w:rPr>
            </w:pPr>
          </w:p>
        </w:tc>
      </w:tr>
      <w:tr w:rsidR="00B65EDC" w:rsidRPr="00912A85" w14:paraId="09590297" w14:textId="77777777" w:rsidTr="00A538F6">
        <w:trPr>
          <w:trHeight w:val="349"/>
        </w:trPr>
        <w:tc>
          <w:tcPr>
            <w:tcW w:w="4319" w:type="dxa"/>
            <w:gridSpan w:val="2"/>
            <w:tcBorders>
              <w:top w:val="nil"/>
              <w:left w:val="nil"/>
              <w:bottom w:val="nil"/>
              <w:right w:val="nil"/>
            </w:tcBorders>
            <w:vAlign w:val="center"/>
            <w:hideMark/>
          </w:tcPr>
          <w:p w14:paraId="663255EE" w14:textId="6B32C432" w:rsidR="00B65EDC" w:rsidRPr="00912A85" w:rsidRDefault="00B65EDC">
            <w:pPr>
              <w:rPr>
                <w:rFonts w:ascii="Arial Narrow" w:hAnsi="Arial Narrow" w:cs="Arial"/>
                <w:b/>
                <w:bCs/>
                <w:color w:val="000000"/>
              </w:rPr>
            </w:pPr>
            <w:r w:rsidRPr="00912A85">
              <w:rPr>
                <w:rFonts w:ascii="Arial Narrow" w:hAnsi="Arial Narrow" w:cs="Arial"/>
                <w:b/>
                <w:bCs/>
                <w:color w:val="000000"/>
              </w:rPr>
              <w:t xml:space="preserve">Resource availability </w:t>
            </w:r>
            <w:r w:rsidR="00521C0D">
              <w:rPr>
                <w:rFonts w:ascii="Arial Narrow" w:hAnsi="Arial Narrow" w:cs="Arial"/>
                <w:b/>
                <w:bCs/>
                <w:color w:val="000000"/>
              </w:rPr>
              <w:t>2026</w:t>
            </w:r>
            <w:r w:rsidR="00521C0D">
              <w:rPr>
                <w:rFonts w:ascii="Arial Narrow" w:hAnsi="Arial Narrow" w:cs="Arial"/>
                <w:b/>
                <w:bCs/>
                <w:color w:val="000000"/>
              </w:rPr>
              <w:noBreakHyphen/>
              <w:t>2027</w:t>
            </w:r>
          </w:p>
        </w:tc>
        <w:tc>
          <w:tcPr>
            <w:tcW w:w="1727" w:type="dxa"/>
            <w:tcBorders>
              <w:top w:val="nil"/>
              <w:left w:val="nil"/>
              <w:bottom w:val="nil"/>
              <w:right w:val="nil"/>
            </w:tcBorders>
            <w:vAlign w:val="center"/>
          </w:tcPr>
          <w:p w14:paraId="34176CDE" w14:textId="77777777" w:rsidR="00B65EDC" w:rsidRPr="00912A85" w:rsidRDefault="00B65EDC">
            <w:pPr>
              <w:jc w:val="right"/>
              <w:rPr>
                <w:rFonts w:ascii="Arial Narrow" w:hAnsi="Arial Narrow" w:cs="Arial"/>
                <w:b/>
                <w:bCs/>
                <w:color w:val="000000"/>
              </w:rPr>
            </w:pPr>
          </w:p>
        </w:tc>
        <w:tc>
          <w:tcPr>
            <w:tcW w:w="1778" w:type="dxa"/>
            <w:tcBorders>
              <w:top w:val="nil"/>
              <w:left w:val="nil"/>
              <w:bottom w:val="nil"/>
              <w:right w:val="nil"/>
            </w:tcBorders>
            <w:vAlign w:val="center"/>
          </w:tcPr>
          <w:p w14:paraId="01B85F96" w14:textId="77777777" w:rsidR="00B65EDC" w:rsidRPr="00912A85" w:rsidRDefault="00B65EDC">
            <w:pPr>
              <w:jc w:val="right"/>
              <w:rPr>
                <w:rFonts w:ascii="Times New Roman" w:hAnsi="Times New Roman"/>
              </w:rPr>
            </w:pPr>
          </w:p>
        </w:tc>
        <w:tc>
          <w:tcPr>
            <w:tcW w:w="1905" w:type="dxa"/>
            <w:tcBorders>
              <w:top w:val="nil"/>
              <w:left w:val="nil"/>
              <w:bottom w:val="nil"/>
              <w:right w:val="nil"/>
            </w:tcBorders>
            <w:vAlign w:val="center"/>
          </w:tcPr>
          <w:p w14:paraId="1937B64A" w14:textId="77777777" w:rsidR="00B65EDC" w:rsidRPr="00912A85" w:rsidRDefault="00B65EDC">
            <w:pPr>
              <w:jc w:val="right"/>
              <w:rPr>
                <w:rFonts w:ascii="Times New Roman" w:hAnsi="Times New Roman"/>
              </w:rPr>
            </w:pPr>
          </w:p>
        </w:tc>
      </w:tr>
      <w:tr w:rsidR="00B65EDC" w:rsidRPr="00912A85" w14:paraId="73196B90" w14:textId="77777777" w:rsidTr="00A538F6">
        <w:trPr>
          <w:trHeight w:val="349"/>
        </w:trPr>
        <w:tc>
          <w:tcPr>
            <w:tcW w:w="482" w:type="dxa"/>
            <w:tcBorders>
              <w:top w:val="nil"/>
              <w:left w:val="nil"/>
              <w:bottom w:val="nil"/>
              <w:right w:val="nil"/>
            </w:tcBorders>
            <w:vAlign w:val="center"/>
            <w:hideMark/>
          </w:tcPr>
          <w:p w14:paraId="36C50CD5"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4</w:t>
            </w:r>
          </w:p>
        </w:tc>
        <w:tc>
          <w:tcPr>
            <w:tcW w:w="3837" w:type="dxa"/>
            <w:tcBorders>
              <w:top w:val="nil"/>
              <w:left w:val="nil"/>
              <w:bottom w:val="nil"/>
              <w:right w:val="nil"/>
            </w:tcBorders>
            <w:vAlign w:val="center"/>
            <w:hideMark/>
          </w:tcPr>
          <w:p w14:paraId="408A2723" w14:textId="77777777" w:rsidR="00B65EDC" w:rsidRPr="00912A85" w:rsidRDefault="00B65EDC">
            <w:pPr>
              <w:rPr>
                <w:rFonts w:ascii="Arial Narrow" w:hAnsi="Arial Narrow" w:cs="Arial"/>
                <w:color w:val="000000"/>
              </w:rPr>
            </w:pPr>
            <w:r w:rsidRPr="00912A85">
              <w:rPr>
                <w:rFonts w:ascii="Arial Narrow" w:hAnsi="Arial Narrow" w:cs="Arial"/>
                <w:color w:val="000000"/>
              </w:rPr>
              <w:t>Income</w:t>
            </w:r>
          </w:p>
        </w:tc>
        <w:tc>
          <w:tcPr>
            <w:tcW w:w="1727" w:type="dxa"/>
            <w:tcBorders>
              <w:top w:val="nil"/>
              <w:left w:val="nil"/>
              <w:bottom w:val="nil"/>
              <w:right w:val="nil"/>
            </w:tcBorders>
            <w:vAlign w:val="center"/>
          </w:tcPr>
          <w:p w14:paraId="0F0C48CD" w14:textId="77777777" w:rsidR="00B65EDC" w:rsidRPr="00912A85" w:rsidRDefault="00B65EDC">
            <w:pPr>
              <w:jc w:val="right"/>
              <w:rPr>
                <w:rFonts w:ascii="Arial Narrow" w:hAnsi="Arial Narrow" w:cs="Arial"/>
                <w:color w:val="000000"/>
              </w:rPr>
            </w:pPr>
            <w:bookmarkStart w:id="443" w:name="_Hlk190005485"/>
            <w:r w:rsidRPr="00912A85">
              <w:rPr>
                <w:rFonts w:ascii="Arial Narrow" w:hAnsi="Arial Narrow" w:cs="Arial"/>
              </w:rPr>
              <w:t>7,616</w:t>
            </w:r>
            <w:bookmarkEnd w:id="443"/>
          </w:p>
        </w:tc>
        <w:tc>
          <w:tcPr>
            <w:tcW w:w="1778" w:type="dxa"/>
            <w:tcBorders>
              <w:top w:val="nil"/>
              <w:left w:val="nil"/>
              <w:bottom w:val="nil"/>
              <w:right w:val="nil"/>
            </w:tcBorders>
            <w:vAlign w:val="center"/>
          </w:tcPr>
          <w:p w14:paraId="6551A734" w14:textId="77777777" w:rsidR="00B65EDC" w:rsidRPr="00912A85" w:rsidRDefault="00B65EDC">
            <w:pPr>
              <w:jc w:val="right"/>
              <w:rPr>
                <w:rFonts w:ascii="Arial Narrow" w:hAnsi="Arial Narrow" w:cs="Arial"/>
                <w:color w:val="000000"/>
              </w:rPr>
            </w:pPr>
            <w:bookmarkStart w:id="444" w:name="_Hlk190005036"/>
            <w:r w:rsidRPr="00912A85">
              <w:rPr>
                <w:rFonts w:ascii="Arial Narrow" w:hAnsi="Arial Narrow" w:cs="Arial"/>
              </w:rPr>
              <w:t>844</w:t>
            </w:r>
            <w:bookmarkEnd w:id="444"/>
          </w:p>
        </w:tc>
        <w:tc>
          <w:tcPr>
            <w:tcW w:w="1905" w:type="dxa"/>
            <w:tcBorders>
              <w:top w:val="nil"/>
              <w:left w:val="nil"/>
              <w:bottom w:val="nil"/>
              <w:right w:val="nil"/>
            </w:tcBorders>
            <w:vAlign w:val="center"/>
          </w:tcPr>
          <w:p w14:paraId="088861B7" w14:textId="77777777" w:rsidR="00B65EDC" w:rsidRPr="00912A85" w:rsidRDefault="00B65EDC">
            <w:pPr>
              <w:jc w:val="right"/>
              <w:rPr>
                <w:rFonts w:ascii="Arial Narrow" w:hAnsi="Arial Narrow" w:cs="Arial"/>
                <w:color w:val="000000"/>
              </w:rPr>
            </w:pPr>
            <w:bookmarkStart w:id="445" w:name="_Hlk190004987"/>
            <w:r w:rsidRPr="00912A85">
              <w:rPr>
                <w:rFonts w:ascii="Arial Narrow" w:hAnsi="Arial Narrow" w:cs="Arial"/>
              </w:rPr>
              <w:t>8,460</w:t>
            </w:r>
            <w:bookmarkEnd w:id="445"/>
          </w:p>
        </w:tc>
      </w:tr>
      <w:tr w:rsidR="00B65EDC" w:rsidRPr="00912A85" w14:paraId="538C61A9" w14:textId="77777777" w:rsidTr="00A538F6">
        <w:trPr>
          <w:trHeight w:val="349"/>
        </w:trPr>
        <w:tc>
          <w:tcPr>
            <w:tcW w:w="482" w:type="dxa"/>
            <w:tcBorders>
              <w:top w:val="nil"/>
              <w:left w:val="nil"/>
              <w:bottom w:val="nil"/>
              <w:right w:val="nil"/>
            </w:tcBorders>
            <w:vAlign w:val="center"/>
            <w:hideMark/>
          </w:tcPr>
          <w:p w14:paraId="31407B75"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5</w:t>
            </w:r>
          </w:p>
        </w:tc>
        <w:tc>
          <w:tcPr>
            <w:tcW w:w="3837" w:type="dxa"/>
            <w:tcBorders>
              <w:top w:val="nil"/>
              <w:left w:val="nil"/>
              <w:bottom w:val="nil"/>
              <w:right w:val="nil"/>
            </w:tcBorders>
            <w:vAlign w:val="center"/>
            <w:hideMark/>
          </w:tcPr>
          <w:p w14:paraId="11CD12FF" w14:textId="77777777" w:rsidR="00B65EDC" w:rsidRPr="00912A85" w:rsidRDefault="00B65EDC">
            <w:pPr>
              <w:rPr>
                <w:rFonts w:ascii="Arial Narrow" w:hAnsi="Arial Narrow" w:cs="Arial"/>
                <w:color w:val="000000"/>
              </w:rPr>
            </w:pPr>
            <w:r w:rsidRPr="00912A85">
              <w:rPr>
                <w:rFonts w:ascii="Arial Narrow" w:hAnsi="Arial Narrow" w:cs="Arial"/>
                <w:color w:val="000000"/>
              </w:rPr>
              <w:t>+/(-)Transfer from/to reserves</w:t>
            </w:r>
          </w:p>
        </w:tc>
        <w:tc>
          <w:tcPr>
            <w:tcW w:w="1727" w:type="dxa"/>
            <w:tcBorders>
              <w:top w:val="nil"/>
              <w:left w:val="nil"/>
              <w:bottom w:val="nil"/>
              <w:right w:val="nil"/>
            </w:tcBorders>
            <w:vAlign w:val="center"/>
          </w:tcPr>
          <w:p w14:paraId="035E6BCD" w14:textId="77777777" w:rsidR="00B65EDC" w:rsidRPr="00912A85" w:rsidRDefault="00B65EDC">
            <w:pPr>
              <w:jc w:val="right"/>
              <w:rPr>
                <w:rFonts w:ascii="Arial Narrow" w:hAnsi="Arial Narrow" w:cs="Arial"/>
                <w:color w:val="000000"/>
              </w:rPr>
            </w:pPr>
            <w:r w:rsidRPr="00912A85">
              <w:rPr>
                <w:rFonts w:ascii="Arial Narrow" w:hAnsi="Arial Narrow" w:cs="Arial"/>
              </w:rPr>
              <w:t>-</w:t>
            </w:r>
          </w:p>
        </w:tc>
        <w:tc>
          <w:tcPr>
            <w:tcW w:w="1778" w:type="dxa"/>
            <w:tcBorders>
              <w:top w:val="nil"/>
              <w:left w:val="nil"/>
              <w:bottom w:val="nil"/>
              <w:right w:val="nil"/>
            </w:tcBorders>
            <w:vAlign w:val="center"/>
          </w:tcPr>
          <w:p w14:paraId="585A3C90" w14:textId="77777777" w:rsidR="00B65EDC" w:rsidRPr="00912A85" w:rsidRDefault="00B65EDC">
            <w:pPr>
              <w:jc w:val="right"/>
              <w:rPr>
                <w:rFonts w:ascii="Arial Narrow" w:hAnsi="Arial Narrow" w:cs="Arial"/>
                <w:color w:val="000000"/>
              </w:rPr>
            </w:pPr>
            <w:r w:rsidRPr="00912A85">
              <w:rPr>
                <w:rFonts w:ascii="Arial Narrow" w:hAnsi="Arial Narrow" w:cs="Arial"/>
              </w:rPr>
              <w:t>-</w:t>
            </w:r>
          </w:p>
        </w:tc>
        <w:tc>
          <w:tcPr>
            <w:tcW w:w="1905" w:type="dxa"/>
            <w:tcBorders>
              <w:top w:val="nil"/>
              <w:left w:val="nil"/>
              <w:bottom w:val="nil"/>
              <w:right w:val="nil"/>
            </w:tcBorders>
            <w:vAlign w:val="center"/>
          </w:tcPr>
          <w:p w14:paraId="18D236C8" w14:textId="77777777" w:rsidR="00B65EDC" w:rsidRPr="00912A85" w:rsidRDefault="00B65EDC">
            <w:pPr>
              <w:jc w:val="right"/>
              <w:rPr>
                <w:rFonts w:ascii="Arial Narrow" w:hAnsi="Arial Narrow" w:cs="Arial"/>
                <w:color w:val="000000"/>
              </w:rPr>
            </w:pPr>
            <w:r w:rsidRPr="00912A85">
              <w:rPr>
                <w:rFonts w:ascii="Arial Narrow" w:hAnsi="Arial Narrow" w:cs="Arial"/>
              </w:rPr>
              <w:t>-</w:t>
            </w:r>
          </w:p>
        </w:tc>
      </w:tr>
      <w:tr w:rsidR="00B65EDC" w:rsidRPr="00912A85" w14:paraId="63DF9610" w14:textId="77777777" w:rsidTr="00A538F6">
        <w:trPr>
          <w:trHeight w:val="379"/>
        </w:trPr>
        <w:tc>
          <w:tcPr>
            <w:tcW w:w="482" w:type="dxa"/>
            <w:tcBorders>
              <w:top w:val="single" w:sz="4" w:space="0" w:color="AAB8C4"/>
              <w:left w:val="nil"/>
              <w:bottom w:val="single" w:sz="8" w:space="0" w:color="AAB8C4"/>
              <w:right w:val="nil"/>
            </w:tcBorders>
            <w:vAlign w:val="center"/>
            <w:hideMark/>
          </w:tcPr>
          <w:p w14:paraId="4B8B636A"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6</w:t>
            </w:r>
          </w:p>
        </w:tc>
        <w:tc>
          <w:tcPr>
            <w:tcW w:w="3837" w:type="dxa"/>
            <w:tcBorders>
              <w:top w:val="single" w:sz="4" w:space="0" w:color="AAB8C4"/>
              <w:left w:val="nil"/>
              <w:bottom w:val="single" w:sz="8" w:space="0" w:color="AAB8C4"/>
              <w:right w:val="nil"/>
            </w:tcBorders>
            <w:vAlign w:val="center"/>
            <w:hideMark/>
          </w:tcPr>
          <w:p w14:paraId="3D71BD3D" w14:textId="77777777" w:rsidR="00B65EDC" w:rsidRPr="00912A85" w:rsidRDefault="00B65EDC">
            <w:pPr>
              <w:rPr>
                <w:rFonts w:ascii="Arial Narrow" w:hAnsi="Arial Narrow" w:cs="Arial"/>
                <w:b/>
                <w:bCs/>
                <w:color w:val="000000"/>
              </w:rPr>
            </w:pPr>
            <w:r w:rsidRPr="00912A85">
              <w:rPr>
                <w:rFonts w:ascii="Arial Narrow" w:hAnsi="Arial Narrow" w:cs="Arial"/>
                <w:b/>
                <w:bCs/>
                <w:color w:val="000000"/>
              </w:rPr>
              <w:t>Total, resources</w:t>
            </w:r>
          </w:p>
        </w:tc>
        <w:tc>
          <w:tcPr>
            <w:tcW w:w="1727" w:type="dxa"/>
            <w:tcBorders>
              <w:top w:val="single" w:sz="4" w:space="0" w:color="AAB8C4"/>
              <w:left w:val="nil"/>
              <w:bottom w:val="single" w:sz="8" w:space="0" w:color="AAB8C4"/>
              <w:right w:val="nil"/>
            </w:tcBorders>
            <w:vAlign w:val="center"/>
          </w:tcPr>
          <w:p w14:paraId="4F759DEF"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 xml:space="preserve">7,616 </w:t>
            </w:r>
          </w:p>
        </w:tc>
        <w:tc>
          <w:tcPr>
            <w:tcW w:w="1778" w:type="dxa"/>
            <w:tcBorders>
              <w:top w:val="single" w:sz="4" w:space="0" w:color="AAB8C4"/>
              <w:left w:val="nil"/>
              <w:bottom w:val="single" w:sz="8" w:space="0" w:color="AAB8C4"/>
              <w:right w:val="nil"/>
            </w:tcBorders>
            <w:vAlign w:val="center"/>
          </w:tcPr>
          <w:p w14:paraId="6E38AC51"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 xml:space="preserve">844 </w:t>
            </w:r>
          </w:p>
        </w:tc>
        <w:tc>
          <w:tcPr>
            <w:tcW w:w="1905" w:type="dxa"/>
            <w:tcBorders>
              <w:top w:val="single" w:sz="4" w:space="0" w:color="AAB8C4"/>
              <w:left w:val="nil"/>
              <w:bottom w:val="single" w:sz="8" w:space="0" w:color="AAB8C4"/>
              <w:right w:val="nil"/>
            </w:tcBorders>
            <w:vAlign w:val="center"/>
          </w:tcPr>
          <w:p w14:paraId="0F379F1B" w14:textId="77777777" w:rsidR="00B65EDC" w:rsidRPr="00912A85" w:rsidRDefault="00B65EDC">
            <w:pPr>
              <w:jc w:val="right"/>
              <w:rPr>
                <w:rFonts w:ascii="Arial Narrow" w:hAnsi="Arial Narrow" w:cs="Arial"/>
                <w:b/>
                <w:bCs/>
                <w:color w:val="000000"/>
              </w:rPr>
            </w:pPr>
            <w:r w:rsidRPr="00912A85">
              <w:rPr>
                <w:rFonts w:ascii="Arial Narrow" w:hAnsi="Arial Narrow" w:cs="Arial"/>
                <w:b/>
                <w:bCs/>
                <w:color w:val="000000"/>
              </w:rPr>
              <w:t xml:space="preserve">8,460 </w:t>
            </w:r>
          </w:p>
        </w:tc>
      </w:tr>
      <w:tr w:rsidR="00B65EDC" w:rsidRPr="00912A85" w14:paraId="4FD53A27" w14:textId="77777777" w:rsidTr="00A538F6">
        <w:trPr>
          <w:trHeight w:val="334"/>
        </w:trPr>
        <w:tc>
          <w:tcPr>
            <w:tcW w:w="482" w:type="dxa"/>
            <w:tcBorders>
              <w:top w:val="nil"/>
              <w:left w:val="nil"/>
              <w:bottom w:val="nil"/>
              <w:right w:val="nil"/>
            </w:tcBorders>
            <w:hideMark/>
          </w:tcPr>
          <w:p w14:paraId="138CDA0D" w14:textId="77777777" w:rsidR="00B65EDC" w:rsidRPr="00912A85" w:rsidRDefault="00B65EDC">
            <w:pPr>
              <w:jc w:val="right"/>
              <w:rPr>
                <w:rFonts w:ascii="Arial Narrow" w:hAnsi="Arial Narrow" w:cs="Arial"/>
                <w:b/>
                <w:bCs/>
                <w:color w:val="000000"/>
              </w:rPr>
            </w:pPr>
          </w:p>
        </w:tc>
        <w:tc>
          <w:tcPr>
            <w:tcW w:w="3837" w:type="dxa"/>
            <w:tcBorders>
              <w:top w:val="nil"/>
              <w:left w:val="nil"/>
              <w:bottom w:val="nil"/>
              <w:right w:val="nil"/>
            </w:tcBorders>
            <w:vAlign w:val="center"/>
            <w:hideMark/>
          </w:tcPr>
          <w:p w14:paraId="1D95F054" w14:textId="77777777" w:rsidR="00B65EDC" w:rsidRPr="00912A85" w:rsidRDefault="00B65EDC">
            <w:pPr>
              <w:rPr>
                <w:rFonts w:ascii="Arial Narrow" w:hAnsi="Arial Narrow" w:cs="Arial"/>
                <w:i/>
                <w:iCs/>
                <w:color w:val="000000"/>
              </w:rPr>
            </w:pPr>
            <w:r w:rsidRPr="00912A85">
              <w:rPr>
                <w:rFonts w:ascii="Arial Narrow" w:hAnsi="Arial Narrow" w:cs="Arial"/>
                <w:i/>
                <w:iCs/>
                <w:color w:val="000000"/>
              </w:rPr>
              <w:t>Variation</w:t>
            </w:r>
          </w:p>
        </w:tc>
        <w:tc>
          <w:tcPr>
            <w:tcW w:w="1727" w:type="dxa"/>
            <w:tcBorders>
              <w:top w:val="nil"/>
              <w:left w:val="nil"/>
              <w:bottom w:val="nil"/>
              <w:right w:val="nil"/>
            </w:tcBorders>
            <w:vAlign w:val="center"/>
          </w:tcPr>
          <w:p w14:paraId="1C31848F"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-3.6%</w:t>
            </w:r>
          </w:p>
        </w:tc>
        <w:tc>
          <w:tcPr>
            <w:tcW w:w="1778" w:type="dxa"/>
            <w:tcBorders>
              <w:top w:val="nil"/>
              <w:left w:val="nil"/>
              <w:bottom w:val="nil"/>
              <w:right w:val="nil"/>
            </w:tcBorders>
            <w:vAlign w:val="center"/>
          </w:tcPr>
          <w:p w14:paraId="32B724B6" w14:textId="77777777" w:rsidR="00B65EDC" w:rsidRPr="00912A85" w:rsidRDefault="00B65EDC">
            <w:pPr>
              <w:jc w:val="right"/>
              <w:rPr>
                <w:rFonts w:ascii="Arial Narrow" w:hAnsi="Arial Narrow" w:cs="Arial"/>
                <w:i/>
                <w:iCs/>
                <w:color w:val="000000"/>
              </w:rPr>
            </w:pPr>
          </w:p>
        </w:tc>
        <w:tc>
          <w:tcPr>
            <w:tcW w:w="1905" w:type="dxa"/>
            <w:tcBorders>
              <w:top w:val="nil"/>
              <w:left w:val="nil"/>
              <w:bottom w:val="nil"/>
              <w:right w:val="nil"/>
            </w:tcBorders>
            <w:vAlign w:val="center"/>
          </w:tcPr>
          <w:p w14:paraId="37082DE3"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-4.6%</w:t>
            </w:r>
          </w:p>
        </w:tc>
      </w:tr>
    </w:tbl>
    <w:p w14:paraId="4224B818" w14:textId="77777777" w:rsidR="00B65EDC" w:rsidRPr="00912A85" w:rsidRDefault="00B65EDC" w:rsidP="00B65EDC">
      <w:pPr>
        <w:tabs>
          <w:tab w:val="left" w:pos="284"/>
        </w:tabs>
        <w:spacing w:before="120"/>
        <w:rPr>
          <w:i/>
          <w:iCs/>
          <w:sz w:val="16"/>
        </w:rPr>
      </w:pPr>
      <w:r w:rsidRPr="00912A85">
        <w:rPr>
          <w:i/>
          <w:iCs/>
          <w:sz w:val="16"/>
        </w:rPr>
        <w:t>* Excluding administrative support costs of 13% under the Funds-in-Trust (FITs).</w:t>
      </w:r>
    </w:p>
    <w:p w14:paraId="15B746F7" w14:textId="77777777" w:rsidR="00B65EDC" w:rsidRPr="00912A85" w:rsidRDefault="00B65EDC" w:rsidP="00B65EDC"/>
    <w:p w14:paraId="332A27D4" w14:textId="77777777" w:rsidR="00B65EDC" w:rsidRPr="00912A85" w:rsidRDefault="00B65EDC" w:rsidP="00B65EDC"/>
    <w:p w14:paraId="7346CF66" w14:textId="77777777" w:rsidR="00B65EDC" w:rsidRPr="00912A85" w:rsidRDefault="00B65EDC" w:rsidP="00B65EDC">
      <w:pPr>
        <w:pStyle w:val="Heading3"/>
      </w:pPr>
      <w:bookmarkStart w:id="446" w:name="_Toc208999641"/>
      <w:r w:rsidRPr="00912A85">
        <w:t>Expenditure</w:t>
      </w:r>
      <w:bookmarkEnd w:id="446"/>
    </w:p>
    <w:p w14:paraId="7E8F5EA8" w14:textId="77777777" w:rsidR="00B65EDC" w:rsidRPr="00912A85" w:rsidRDefault="00B65EDC" w:rsidP="00B65EDC"/>
    <w:p w14:paraId="5D2F54BB" w14:textId="5C15E5CF"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 xml:space="preserve">The proposed budget for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 xml:space="preserve">amounts to 7,615,864 </w:t>
      </w:r>
      <w:r w:rsidRPr="00912A85">
        <w:rPr>
          <w:spacing w:val="-2"/>
          <w:szCs w:val="24"/>
        </w:rPr>
        <w:t>Swiss francs</w:t>
      </w:r>
      <w:r w:rsidRPr="00912A85">
        <w:t>, representing a decrease of 285,443 Swiss francs, or 3.6</w:t>
      </w:r>
      <w:r w:rsidRPr="00912A85">
        <w:rPr>
          <w:spacing w:val="-2"/>
          <w:szCs w:val="24"/>
        </w:rPr>
        <w:t xml:space="preserve"> per cent</w:t>
      </w:r>
      <w:r w:rsidRPr="00912A85">
        <w:t xml:space="preserve"> compared to the </w:t>
      </w:r>
      <w:r w:rsidRPr="00912A85">
        <w:rPr>
          <w:snapToGrid w:val="0"/>
          <w:spacing w:val="-2"/>
          <w:szCs w:val="24"/>
        </w:rPr>
        <w:t>2024­2025</w:t>
      </w:r>
      <w:r w:rsidRPr="00912A85">
        <w:t xml:space="preserve"> budget (see Table 4).</w:t>
      </w:r>
    </w:p>
    <w:p w14:paraId="7BD273F4" w14:textId="77777777" w:rsidR="00B65EDC" w:rsidRPr="00912A85" w:rsidRDefault="00B65EDC" w:rsidP="00B65EDC">
      <w:pPr>
        <w:tabs>
          <w:tab w:val="left" w:pos="567"/>
        </w:tabs>
      </w:pPr>
    </w:p>
    <w:bookmarkStart w:id="447" w:name="_Hlk190012188"/>
    <w:bookmarkStart w:id="448" w:name="_Hlk190102689"/>
    <w:p w14:paraId="53B758AB" w14:textId="1892CE39"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 xml:space="preserve">The proposed expenditure focuses on priority areas while containing personnel costs </w:t>
      </w:r>
      <w:bookmarkEnd w:id="447"/>
      <w:r w:rsidR="005912E2">
        <w:t>and operating expenses</w:t>
      </w:r>
      <w:r w:rsidR="005912E2" w:rsidRPr="00912A85">
        <w:t xml:space="preserve">. </w:t>
      </w:r>
      <w:r w:rsidR="005912E2">
        <w:t xml:space="preserve"> Routine use of machine translation technologies for translation of documents has enabled the reduction of translation costs by 68</w:t>
      </w:r>
      <w:r w:rsidR="002B4437">
        <w:t xml:space="preserve"> per cent</w:t>
      </w:r>
      <w:r w:rsidR="005912E2">
        <w:t xml:space="preserve">. </w:t>
      </w:r>
      <w:r w:rsidR="002B4437">
        <w:t xml:space="preserve"> </w:t>
      </w:r>
      <w:r w:rsidRPr="00912A85">
        <w:t xml:space="preserve">Until additional resources can be secured there will be an increased use of virtual/hybrid meeting tools and online participation in events organized by third parties, resulting in a reduction in travel time and travel costs (31 per cent decrease in </w:t>
      </w:r>
      <w:r w:rsidR="00521C0D">
        <w:t>2026</w:t>
      </w:r>
      <w:r w:rsidR="00521C0D">
        <w:noBreakHyphen/>
        <w:t>2027</w:t>
      </w:r>
      <w:r w:rsidRPr="00912A85">
        <w:t xml:space="preserve"> compared with 2024</w:t>
      </w:r>
      <w:r w:rsidR="00DA7794">
        <w:noBreakHyphen/>
      </w:r>
      <w:r w:rsidRPr="00912A85">
        <w:t xml:space="preserve">2025). </w:t>
      </w:r>
    </w:p>
    <w:bookmarkEnd w:id="448"/>
    <w:p w14:paraId="3BD169DE" w14:textId="77777777" w:rsidR="00B65EDC" w:rsidRPr="00912A85" w:rsidRDefault="00B65EDC" w:rsidP="00B65EDC">
      <w:pPr>
        <w:pStyle w:val="ListParagraph"/>
        <w:tabs>
          <w:tab w:val="left" w:pos="851"/>
        </w:tabs>
        <w:ind w:left="0"/>
        <w:contextualSpacing w:val="0"/>
      </w:pPr>
    </w:p>
    <w:p w14:paraId="199DF61C" w14:textId="2D5FFA22" w:rsidR="004B5DA7" w:rsidRDefault="00B65EDC" w:rsidP="003A26C8">
      <w:r w:rsidRPr="00090431">
        <w:fldChar w:fldCharType="begin"/>
      </w:r>
      <w:r w:rsidRPr="00090431">
        <w:instrText xml:space="preserve"> AUTONUM  </w:instrText>
      </w:r>
      <w:r w:rsidRPr="00090431">
        <w:fldChar w:fldCharType="end"/>
      </w:r>
      <w:r w:rsidRPr="00090431">
        <w:tab/>
      </w:r>
      <w:r w:rsidR="005912E2" w:rsidRPr="00090431">
        <w:t>The</w:t>
      </w:r>
      <w:r w:rsidR="005912E2" w:rsidRPr="00912A85">
        <w:t xml:space="preserve"> </w:t>
      </w:r>
      <w:r w:rsidR="005912E2">
        <w:t xml:space="preserve">2025 </w:t>
      </w:r>
      <w:r w:rsidR="005912E2" w:rsidRPr="00912A85">
        <w:t xml:space="preserve">review of the </w:t>
      </w:r>
      <w:r w:rsidR="005912E2">
        <w:t>WIPO</w:t>
      </w:r>
      <w:r w:rsidR="00090431">
        <w:t>/UPOV</w:t>
      </w:r>
      <w:r w:rsidR="005912E2">
        <w:t xml:space="preserve"> </w:t>
      </w:r>
      <w:r w:rsidR="005912E2" w:rsidRPr="00912A85">
        <w:t xml:space="preserve">Service Level </w:t>
      </w:r>
      <w:r w:rsidR="00F34B17">
        <w:t>Arrangement</w:t>
      </w:r>
      <w:r w:rsidR="005912E2" w:rsidRPr="00912A85">
        <w:t xml:space="preserve"> (SLA) </w:t>
      </w:r>
      <w:r w:rsidR="005912E2">
        <w:t xml:space="preserve">has resulted in an increase of 368,054 </w:t>
      </w:r>
      <w:r w:rsidR="005912E2" w:rsidRPr="00712998">
        <w:t xml:space="preserve">Swiss francs </w:t>
      </w:r>
      <w:r w:rsidR="005912E2">
        <w:t>for</w:t>
      </w:r>
      <w:r w:rsidR="005912E2" w:rsidRPr="00712998">
        <w:t xml:space="preserve"> the biennium</w:t>
      </w:r>
      <w:r w:rsidR="005912E2">
        <w:t xml:space="preserve"> 2026-2027 in the cost of services provided by WIPO to UPOV</w:t>
      </w:r>
      <w:r w:rsidR="005912E2" w:rsidRPr="00712998">
        <w:t xml:space="preserve">. </w:t>
      </w:r>
      <w:r w:rsidR="005912E2">
        <w:t xml:space="preserve">In view </w:t>
      </w:r>
      <w:r w:rsidR="005912E2">
        <w:lastRenderedPageBreak/>
        <w:t>of the impact on the UPOV budget that this significant increase would represent, the biennium 2026-2027 will constitute a transition period whereby WIPO will invoice 25</w:t>
      </w:r>
      <w:r w:rsidR="00090431">
        <w:t xml:space="preserve"> per cent</w:t>
      </w:r>
      <w:r w:rsidR="005912E2">
        <w:t xml:space="preserve"> of the increase, i.e. 92,014 Swiss francs. </w:t>
      </w:r>
      <w:r w:rsidR="005912E2" w:rsidRPr="00712998">
        <w:t xml:space="preserve">This </w:t>
      </w:r>
      <w:r w:rsidR="005912E2">
        <w:t>amount</w:t>
      </w:r>
      <w:r w:rsidR="005912E2" w:rsidRPr="00712998">
        <w:t xml:space="preserve"> is not reflected in the </w:t>
      </w:r>
      <w:r w:rsidR="005912E2">
        <w:t xml:space="preserve">figures presented in the </w:t>
      </w:r>
      <w:r w:rsidR="005912E2" w:rsidRPr="00712998">
        <w:t>Program and Budget for 2026-2027</w:t>
      </w:r>
      <w:r w:rsidR="005912E2">
        <w:t xml:space="preserve"> </w:t>
      </w:r>
      <w:r w:rsidR="006814F8">
        <w:t>(document</w:t>
      </w:r>
      <w:r w:rsidR="00DA7794">
        <w:t> </w:t>
      </w:r>
      <w:r w:rsidR="0034120B">
        <w:t>C/59/4 Rev.</w:t>
      </w:r>
      <w:r w:rsidR="006814F8">
        <w:t xml:space="preserve">) </w:t>
      </w:r>
      <w:r w:rsidR="005912E2">
        <w:t>and will be absorbed from cost savings to be identified during implementation</w:t>
      </w:r>
      <w:r w:rsidR="005912E2" w:rsidRPr="00712998">
        <w:t xml:space="preserve">. </w:t>
      </w:r>
    </w:p>
    <w:p w14:paraId="14C63727" w14:textId="77777777" w:rsidR="004B5DA7" w:rsidRDefault="004B5DA7" w:rsidP="003A26C8"/>
    <w:p w14:paraId="35D91716" w14:textId="6F6A3DCE" w:rsidR="003A26C8" w:rsidRPr="00912A85" w:rsidRDefault="00090431" w:rsidP="003A26C8">
      <w:r>
        <w:fldChar w:fldCharType="begin"/>
      </w:r>
      <w:r>
        <w:instrText xml:space="preserve"> AUTONUM  </w:instrText>
      </w:r>
      <w:r>
        <w:fldChar w:fldCharType="end"/>
      </w:r>
      <w:r>
        <w:tab/>
      </w:r>
      <w:r w:rsidR="00F34B17" w:rsidRPr="00F34B17">
        <w:t xml:space="preserve">The services rendered by WIPO and the amount to be paid by UPOV under the SLA, shall be reviewed in the context of the preparation of each UPOV biennial Program and Budget. The </w:t>
      </w:r>
      <w:proofErr w:type="gramStart"/>
      <w:r w:rsidR="00F34B17" w:rsidRPr="00F34B17">
        <w:t>invoicing</w:t>
      </w:r>
      <w:proofErr w:type="gramEnd"/>
      <w:r w:rsidR="00F34B17" w:rsidRPr="00F34B17">
        <w:t xml:space="preserve"> from WIPO to UPOV will be adjusted accordingly on a biennial basis. </w:t>
      </w:r>
      <w:r w:rsidR="00E3132D">
        <w:t>T</w:t>
      </w:r>
      <w:r w:rsidR="005912E2">
        <w:t xml:space="preserve">he UPOV </w:t>
      </w:r>
      <w:r w:rsidR="005912E2" w:rsidRPr="00712998">
        <w:t xml:space="preserve">Resources Strategy (C/59/16) is essential to ensure that UPOV can cover </w:t>
      </w:r>
      <w:r w:rsidR="005912E2">
        <w:t xml:space="preserve">the full cost </w:t>
      </w:r>
      <w:r w:rsidR="004B5DA7">
        <w:t xml:space="preserve">of services rendered by WIPO in subsequent biennia. </w:t>
      </w:r>
    </w:p>
    <w:p w14:paraId="3536A772" w14:textId="77777777" w:rsidR="00F34B17" w:rsidRPr="00912A85" w:rsidRDefault="00F34B17" w:rsidP="00B65EDC"/>
    <w:p w14:paraId="33DCCF95" w14:textId="1368EEED" w:rsidR="00B65EDC" w:rsidRPr="00912A85" w:rsidRDefault="00B65EDC" w:rsidP="00B65EDC">
      <w:pPr>
        <w:keepNext/>
        <w:jc w:val="center"/>
        <w:rPr>
          <w:rFonts w:cs="Arial"/>
          <w:b/>
          <w:bCs/>
          <w:color w:val="26724C" w:themeColor="accent1" w:themeShade="BF"/>
        </w:rPr>
      </w:pPr>
      <w:r w:rsidRPr="00912A85">
        <w:rPr>
          <w:rFonts w:cs="Arial"/>
          <w:b/>
          <w:bCs/>
          <w:color w:val="26724C" w:themeColor="accent1" w:themeShade="BF"/>
        </w:rPr>
        <w:t xml:space="preserve">Table 4:  Proposed Budget </w:t>
      </w:r>
      <w:r w:rsidR="00521C0D">
        <w:rPr>
          <w:rFonts w:cs="Arial"/>
          <w:b/>
          <w:bCs/>
          <w:color w:val="26724C" w:themeColor="accent1" w:themeShade="BF"/>
        </w:rPr>
        <w:t>2026</w:t>
      </w:r>
      <w:r w:rsidR="00521C0D">
        <w:rPr>
          <w:rFonts w:cs="Arial"/>
          <w:b/>
          <w:bCs/>
          <w:color w:val="26724C" w:themeColor="accent1" w:themeShade="BF"/>
        </w:rPr>
        <w:noBreakHyphen/>
        <w:t>2027</w:t>
      </w:r>
      <w:r w:rsidRPr="00912A85">
        <w:rPr>
          <w:rFonts w:cs="Arial"/>
          <w:b/>
          <w:bCs/>
          <w:color w:val="26724C" w:themeColor="accent1" w:themeShade="BF"/>
        </w:rPr>
        <w:t>:  Budget by Cost Category</w:t>
      </w:r>
    </w:p>
    <w:p w14:paraId="3914568E" w14:textId="77777777" w:rsidR="00B65EDC" w:rsidRPr="00912A85" w:rsidRDefault="00B65EDC" w:rsidP="00B65EDC">
      <w:pPr>
        <w:keepNext/>
        <w:jc w:val="center"/>
        <w:rPr>
          <w:rFonts w:cs="Arial"/>
          <w:i/>
          <w:iCs/>
          <w:sz w:val="18"/>
          <w:szCs w:val="18"/>
        </w:rPr>
      </w:pPr>
      <w:r w:rsidRPr="00912A85">
        <w:rPr>
          <w:rFonts w:cs="Arial"/>
          <w:i/>
          <w:iCs/>
          <w:sz w:val="18"/>
          <w:szCs w:val="18"/>
        </w:rPr>
        <w:t>(in thousands of Swiss francs)</w:t>
      </w:r>
    </w:p>
    <w:p w14:paraId="5C494DBE" w14:textId="77777777" w:rsidR="00B65EDC" w:rsidRPr="00912A85" w:rsidRDefault="00B65EDC" w:rsidP="00B65EDC">
      <w:pPr>
        <w:keepNext/>
        <w:rPr>
          <w:rFonts w:cs="Arial"/>
          <w:i/>
          <w:iCs/>
        </w:rPr>
      </w:pPr>
    </w:p>
    <w:tbl>
      <w:tblPr>
        <w:tblW w:w="9081" w:type="dxa"/>
        <w:jc w:val="center"/>
        <w:tblLook w:val="04A0" w:firstRow="1" w:lastRow="0" w:firstColumn="1" w:lastColumn="0" w:noHBand="0" w:noVBand="1"/>
      </w:tblPr>
      <w:tblGrid>
        <w:gridCol w:w="419"/>
        <w:gridCol w:w="3123"/>
        <w:gridCol w:w="1142"/>
        <w:gridCol w:w="1123"/>
        <w:gridCol w:w="933"/>
        <w:gridCol w:w="1123"/>
        <w:gridCol w:w="1218"/>
      </w:tblGrid>
      <w:tr w:rsidR="00B65EDC" w:rsidRPr="00912A85" w14:paraId="7DF868BE" w14:textId="77777777" w:rsidTr="00E12ED3">
        <w:trPr>
          <w:trHeight w:val="340"/>
          <w:jc w:val="center"/>
        </w:trPr>
        <w:tc>
          <w:tcPr>
            <w:tcW w:w="419" w:type="dxa"/>
            <w:vMerge w:val="restart"/>
            <w:tcBorders>
              <w:top w:val="nil"/>
              <w:left w:val="nil"/>
              <w:bottom w:val="single" w:sz="4" w:space="0" w:color="BFBFBF"/>
              <w:right w:val="nil"/>
            </w:tcBorders>
            <w:shd w:val="clear" w:color="000000" w:fill="C7CFD8"/>
            <w:vAlign w:val="bottom"/>
            <w:hideMark/>
          </w:tcPr>
          <w:p w14:paraId="033848CB" w14:textId="77777777" w:rsidR="00B65EDC" w:rsidRPr="00912A85" w:rsidRDefault="00B65EDC">
            <w:pPr>
              <w:jc w:val="center"/>
              <w:rPr>
                <w:rFonts w:cs="Arial"/>
                <w:b/>
                <w:bCs/>
              </w:rPr>
            </w:pPr>
          </w:p>
        </w:tc>
        <w:tc>
          <w:tcPr>
            <w:tcW w:w="3123" w:type="dxa"/>
            <w:vMerge w:val="restart"/>
            <w:tcBorders>
              <w:top w:val="nil"/>
              <w:left w:val="nil"/>
              <w:bottom w:val="single" w:sz="4" w:space="0" w:color="BFBFBF"/>
              <w:right w:val="nil"/>
            </w:tcBorders>
            <w:shd w:val="clear" w:color="000000" w:fill="C7CFD8"/>
            <w:vAlign w:val="bottom"/>
            <w:hideMark/>
          </w:tcPr>
          <w:p w14:paraId="214D5443" w14:textId="77777777" w:rsidR="00B65EDC" w:rsidRPr="00912A85" w:rsidRDefault="00B65EDC">
            <w:pPr>
              <w:jc w:val="center"/>
              <w:rPr>
                <w:rFonts w:cs="Arial"/>
                <w:b/>
                <w:bCs/>
              </w:rPr>
            </w:pPr>
            <w:r w:rsidRPr="00912A85">
              <w:rPr>
                <w:rFonts w:cs="Arial"/>
                <w:b/>
                <w:bCs/>
              </w:rPr>
              <w:t xml:space="preserve"> </w:t>
            </w:r>
          </w:p>
        </w:tc>
        <w:tc>
          <w:tcPr>
            <w:tcW w:w="1142" w:type="dxa"/>
            <w:vMerge w:val="restart"/>
            <w:tcBorders>
              <w:top w:val="single" w:sz="4" w:space="0" w:color="BFBFBF"/>
              <w:left w:val="nil"/>
              <w:bottom w:val="nil"/>
              <w:right w:val="nil"/>
            </w:tcBorders>
            <w:shd w:val="clear" w:color="000000" w:fill="C7CFD8"/>
            <w:vAlign w:val="center"/>
            <w:hideMark/>
          </w:tcPr>
          <w:p w14:paraId="2EA650E1"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2022-2023 Actual </w:t>
            </w:r>
          </w:p>
        </w:tc>
        <w:tc>
          <w:tcPr>
            <w:tcW w:w="1123" w:type="dxa"/>
            <w:vMerge w:val="restart"/>
            <w:tcBorders>
              <w:top w:val="single" w:sz="4" w:space="0" w:color="BFBFBF"/>
              <w:left w:val="nil"/>
              <w:bottom w:val="nil"/>
              <w:right w:val="nil"/>
            </w:tcBorders>
            <w:shd w:val="clear" w:color="000000" w:fill="C7CFD8"/>
            <w:vAlign w:val="center"/>
            <w:hideMark/>
          </w:tcPr>
          <w:p w14:paraId="3D799D9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2024-2025 Budget </w:t>
            </w:r>
          </w:p>
        </w:tc>
        <w:tc>
          <w:tcPr>
            <w:tcW w:w="2056" w:type="dxa"/>
            <w:gridSpan w:val="2"/>
            <w:tcBorders>
              <w:top w:val="single" w:sz="4" w:space="0" w:color="BFBFBF"/>
              <w:left w:val="nil"/>
              <w:bottom w:val="nil"/>
              <w:right w:val="nil"/>
            </w:tcBorders>
            <w:shd w:val="clear" w:color="000000" w:fill="C7CFD8"/>
            <w:vAlign w:val="center"/>
            <w:hideMark/>
          </w:tcPr>
          <w:p w14:paraId="7DA0234A" w14:textId="5E32C6D4"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Variation </w:t>
            </w:r>
          </w:p>
        </w:tc>
        <w:tc>
          <w:tcPr>
            <w:tcW w:w="1218" w:type="dxa"/>
            <w:vMerge w:val="restart"/>
            <w:tcBorders>
              <w:top w:val="single" w:sz="4" w:space="0" w:color="BFBFBF"/>
              <w:left w:val="nil"/>
              <w:bottom w:val="nil"/>
              <w:right w:val="nil"/>
            </w:tcBorders>
            <w:shd w:val="clear" w:color="000000" w:fill="C7CFD8"/>
            <w:vAlign w:val="center"/>
            <w:hideMark/>
          </w:tcPr>
          <w:p w14:paraId="0376C1E0" w14:textId="6957442D"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r w:rsidR="00B65EDC" w:rsidRPr="00912A85">
              <w:rPr>
                <w:rFonts w:ascii="Arial Narrow" w:hAnsi="Arial Narrow" w:cs="Arial"/>
                <w:b/>
                <w:bCs/>
                <w:sz w:val="18"/>
                <w:szCs w:val="18"/>
              </w:rPr>
              <w:t xml:space="preserve"> Proposed</w:t>
            </w:r>
          </w:p>
        </w:tc>
      </w:tr>
      <w:tr w:rsidR="00B65EDC" w:rsidRPr="00912A85" w14:paraId="50AA827C" w14:textId="77777777">
        <w:trPr>
          <w:trHeight w:val="337"/>
          <w:jc w:val="center"/>
        </w:trPr>
        <w:tc>
          <w:tcPr>
            <w:tcW w:w="419" w:type="dxa"/>
            <w:vMerge/>
            <w:tcBorders>
              <w:top w:val="nil"/>
              <w:left w:val="nil"/>
              <w:bottom w:val="single" w:sz="4" w:space="0" w:color="BFBFBF"/>
              <w:right w:val="nil"/>
            </w:tcBorders>
            <w:vAlign w:val="center"/>
            <w:hideMark/>
          </w:tcPr>
          <w:p w14:paraId="3DD72DF8" w14:textId="77777777" w:rsidR="00B65EDC" w:rsidRPr="00912A85" w:rsidRDefault="00B65EDC">
            <w:pPr>
              <w:jc w:val="left"/>
              <w:rPr>
                <w:rFonts w:cs="Arial"/>
                <w:b/>
                <w:bCs/>
              </w:rPr>
            </w:pPr>
          </w:p>
        </w:tc>
        <w:tc>
          <w:tcPr>
            <w:tcW w:w="3123" w:type="dxa"/>
            <w:vMerge/>
            <w:tcBorders>
              <w:top w:val="nil"/>
              <w:left w:val="nil"/>
              <w:bottom w:val="single" w:sz="4" w:space="0" w:color="BFBFBF"/>
              <w:right w:val="nil"/>
            </w:tcBorders>
            <w:vAlign w:val="center"/>
            <w:hideMark/>
          </w:tcPr>
          <w:p w14:paraId="030B6122" w14:textId="77777777" w:rsidR="00B65EDC" w:rsidRPr="00912A85" w:rsidRDefault="00B65EDC">
            <w:pPr>
              <w:jc w:val="left"/>
              <w:rPr>
                <w:rFonts w:cs="Arial"/>
                <w:b/>
                <w:bCs/>
              </w:rPr>
            </w:pPr>
          </w:p>
        </w:tc>
        <w:tc>
          <w:tcPr>
            <w:tcW w:w="1142" w:type="dxa"/>
            <w:vMerge/>
            <w:tcBorders>
              <w:top w:val="single" w:sz="4" w:space="0" w:color="BFBFBF"/>
              <w:left w:val="nil"/>
              <w:bottom w:val="nil"/>
              <w:right w:val="nil"/>
            </w:tcBorders>
            <w:vAlign w:val="center"/>
            <w:hideMark/>
          </w:tcPr>
          <w:p w14:paraId="669A0740" w14:textId="77777777" w:rsidR="00B65EDC" w:rsidRPr="00912A85" w:rsidRDefault="00B65EDC">
            <w:pPr>
              <w:jc w:val="left"/>
              <w:rPr>
                <w:rFonts w:ascii="Arial Narrow" w:hAnsi="Arial Narrow" w:cs="Arial"/>
                <w:b/>
                <w:bCs/>
                <w:sz w:val="18"/>
                <w:szCs w:val="18"/>
              </w:rPr>
            </w:pPr>
          </w:p>
        </w:tc>
        <w:tc>
          <w:tcPr>
            <w:tcW w:w="1123" w:type="dxa"/>
            <w:vMerge/>
            <w:tcBorders>
              <w:top w:val="single" w:sz="4" w:space="0" w:color="BFBFBF"/>
              <w:left w:val="nil"/>
              <w:bottom w:val="nil"/>
              <w:right w:val="nil"/>
            </w:tcBorders>
            <w:vAlign w:val="center"/>
            <w:hideMark/>
          </w:tcPr>
          <w:p w14:paraId="3E152168" w14:textId="77777777" w:rsidR="00B65EDC" w:rsidRPr="00912A85" w:rsidRDefault="00B65EDC">
            <w:pPr>
              <w:jc w:val="left"/>
              <w:rPr>
                <w:rFonts w:ascii="Arial Narrow" w:hAnsi="Arial Narrow" w:cs="Arial"/>
                <w:b/>
                <w:bCs/>
                <w:sz w:val="18"/>
                <w:szCs w:val="18"/>
              </w:rPr>
            </w:pPr>
          </w:p>
        </w:tc>
        <w:tc>
          <w:tcPr>
            <w:tcW w:w="933" w:type="dxa"/>
            <w:tcBorders>
              <w:top w:val="single" w:sz="4" w:space="0" w:color="748B9E"/>
              <w:left w:val="nil"/>
              <w:bottom w:val="nil"/>
              <w:right w:val="nil"/>
            </w:tcBorders>
            <w:shd w:val="clear" w:color="000000" w:fill="C7CFD8"/>
            <w:vAlign w:val="center"/>
            <w:hideMark/>
          </w:tcPr>
          <w:p w14:paraId="4BAF66A0" w14:textId="5D0288BB"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Amount </w:t>
            </w:r>
          </w:p>
        </w:tc>
        <w:tc>
          <w:tcPr>
            <w:tcW w:w="1123" w:type="dxa"/>
            <w:tcBorders>
              <w:top w:val="single" w:sz="4" w:space="0" w:color="748B9E"/>
              <w:left w:val="nil"/>
              <w:bottom w:val="nil"/>
              <w:right w:val="nil"/>
            </w:tcBorders>
            <w:shd w:val="clear" w:color="000000" w:fill="C7CFD8"/>
            <w:vAlign w:val="center"/>
            <w:hideMark/>
          </w:tcPr>
          <w:p w14:paraId="2300EBC8" w14:textId="45446658"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w:t>
            </w:r>
          </w:p>
        </w:tc>
        <w:tc>
          <w:tcPr>
            <w:tcW w:w="1218" w:type="dxa"/>
            <w:vMerge/>
            <w:tcBorders>
              <w:top w:val="single" w:sz="4" w:space="0" w:color="BFBFBF"/>
              <w:left w:val="nil"/>
              <w:bottom w:val="nil"/>
              <w:right w:val="nil"/>
            </w:tcBorders>
            <w:vAlign w:val="center"/>
            <w:hideMark/>
          </w:tcPr>
          <w:p w14:paraId="75622175" w14:textId="77777777" w:rsidR="00B65EDC" w:rsidRPr="00912A85" w:rsidRDefault="00B65EDC">
            <w:pPr>
              <w:jc w:val="left"/>
              <w:rPr>
                <w:rFonts w:ascii="Arial Narrow" w:hAnsi="Arial Narrow" w:cs="Arial"/>
                <w:b/>
                <w:bCs/>
                <w:sz w:val="18"/>
                <w:szCs w:val="18"/>
              </w:rPr>
            </w:pPr>
          </w:p>
        </w:tc>
      </w:tr>
      <w:tr w:rsidR="00B65EDC" w:rsidRPr="00912A85" w14:paraId="5971B9B1" w14:textId="77777777">
        <w:trPr>
          <w:trHeight w:val="258"/>
          <w:jc w:val="center"/>
        </w:trPr>
        <w:tc>
          <w:tcPr>
            <w:tcW w:w="419" w:type="dxa"/>
            <w:vMerge/>
            <w:tcBorders>
              <w:top w:val="nil"/>
              <w:left w:val="nil"/>
              <w:bottom w:val="single" w:sz="4" w:space="0" w:color="BFBFBF"/>
              <w:right w:val="nil"/>
            </w:tcBorders>
            <w:vAlign w:val="center"/>
            <w:hideMark/>
          </w:tcPr>
          <w:p w14:paraId="385CA7FD" w14:textId="77777777" w:rsidR="00B65EDC" w:rsidRPr="00912A85" w:rsidRDefault="00B65EDC">
            <w:pPr>
              <w:jc w:val="left"/>
              <w:rPr>
                <w:rFonts w:cs="Arial"/>
                <w:b/>
                <w:bCs/>
              </w:rPr>
            </w:pPr>
          </w:p>
        </w:tc>
        <w:tc>
          <w:tcPr>
            <w:tcW w:w="3123" w:type="dxa"/>
            <w:vMerge/>
            <w:tcBorders>
              <w:top w:val="nil"/>
              <w:left w:val="nil"/>
              <w:bottom w:val="single" w:sz="4" w:space="0" w:color="BFBFBF"/>
              <w:right w:val="nil"/>
            </w:tcBorders>
            <w:vAlign w:val="center"/>
            <w:hideMark/>
          </w:tcPr>
          <w:p w14:paraId="55A55FB0" w14:textId="77777777" w:rsidR="00B65EDC" w:rsidRPr="00912A85" w:rsidRDefault="00B65EDC">
            <w:pPr>
              <w:jc w:val="left"/>
              <w:rPr>
                <w:rFonts w:cs="Arial"/>
                <w:b/>
                <w:bCs/>
              </w:rPr>
            </w:pPr>
          </w:p>
        </w:tc>
        <w:tc>
          <w:tcPr>
            <w:tcW w:w="1142" w:type="dxa"/>
            <w:tcBorders>
              <w:top w:val="nil"/>
              <w:left w:val="nil"/>
              <w:bottom w:val="nil"/>
              <w:right w:val="nil"/>
            </w:tcBorders>
            <w:shd w:val="clear" w:color="000000" w:fill="C7CFD8"/>
            <w:vAlign w:val="center"/>
            <w:hideMark/>
          </w:tcPr>
          <w:p w14:paraId="4454C76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A </w:t>
            </w:r>
          </w:p>
        </w:tc>
        <w:tc>
          <w:tcPr>
            <w:tcW w:w="1123" w:type="dxa"/>
            <w:tcBorders>
              <w:top w:val="nil"/>
              <w:left w:val="nil"/>
              <w:bottom w:val="nil"/>
              <w:right w:val="nil"/>
            </w:tcBorders>
            <w:shd w:val="clear" w:color="000000" w:fill="C7CFD8"/>
            <w:noWrap/>
            <w:vAlign w:val="center"/>
            <w:hideMark/>
          </w:tcPr>
          <w:p w14:paraId="03731D9B"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B </w:t>
            </w:r>
          </w:p>
        </w:tc>
        <w:tc>
          <w:tcPr>
            <w:tcW w:w="933" w:type="dxa"/>
            <w:tcBorders>
              <w:top w:val="nil"/>
              <w:left w:val="nil"/>
              <w:bottom w:val="nil"/>
              <w:right w:val="nil"/>
            </w:tcBorders>
            <w:shd w:val="clear" w:color="000000" w:fill="C7CFD8"/>
            <w:vAlign w:val="center"/>
            <w:hideMark/>
          </w:tcPr>
          <w:p w14:paraId="72436C97"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 C </w:t>
            </w:r>
          </w:p>
        </w:tc>
        <w:tc>
          <w:tcPr>
            <w:tcW w:w="1123" w:type="dxa"/>
            <w:tcBorders>
              <w:top w:val="nil"/>
              <w:left w:val="nil"/>
              <w:bottom w:val="nil"/>
              <w:right w:val="nil"/>
            </w:tcBorders>
            <w:shd w:val="clear" w:color="000000" w:fill="C7CFD8"/>
            <w:vAlign w:val="center"/>
            <w:hideMark/>
          </w:tcPr>
          <w:p w14:paraId="1FA9E048"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C/B</w:t>
            </w:r>
          </w:p>
        </w:tc>
        <w:tc>
          <w:tcPr>
            <w:tcW w:w="1218" w:type="dxa"/>
            <w:tcBorders>
              <w:top w:val="nil"/>
              <w:left w:val="nil"/>
              <w:bottom w:val="nil"/>
              <w:right w:val="nil"/>
            </w:tcBorders>
            <w:shd w:val="clear" w:color="000000" w:fill="C7CFD8"/>
            <w:noWrap/>
            <w:vAlign w:val="center"/>
            <w:hideMark/>
          </w:tcPr>
          <w:p w14:paraId="530DF4B6"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D=B+C</w:t>
            </w:r>
          </w:p>
        </w:tc>
      </w:tr>
      <w:tr w:rsidR="00B65EDC" w:rsidRPr="00912A85" w14:paraId="57DA510A" w14:textId="77777777" w:rsidTr="00A538F6">
        <w:trPr>
          <w:trHeight w:val="337"/>
          <w:jc w:val="center"/>
        </w:trPr>
        <w:tc>
          <w:tcPr>
            <w:tcW w:w="3542" w:type="dxa"/>
            <w:gridSpan w:val="2"/>
            <w:tcBorders>
              <w:top w:val="nil"/>
              <w:left w:val="nil"/>
              <w:bottom w:val="nil"/>
              <w:right w:val="nil"/>
            </w:tcBorders>
            <w:noWrap/>
            <w:vAlign w:val="center"/>
            <w:hideMark/>
          </w:tcPr>
          <w:p w14:paraId="7AED9164" w14:textId="77777777" w:rsidR="00B65EDC" w:rsidRPr="00912A85" w:rsidRDefault="00B65EDC">
            <w:pPr>
              <w:jc w:val="left"/>
              <w:rPr>
                <w:rFonts w:ascii="Arial Narrow" w:hAnsi="Arial Narrow" w:cs="Arial"/>
                <w:b/>
                <w:bCs/>
                <w:sz w:val="22"/>
                <w:szCs w:val="22"/>
              </w:rPr>
            </w:pPr>
            <w:r w:rsidRPr="00912A85">
              <w:rPr>
                <w:rFonts w:ascii="Arial Narrow" w:hAnsi="Arial Narrow" w:cs="Arial"/>
                <w:b/>
                <w:bCs/>
                <w:sz w:val="22"/>
                <w:szCs w:val="22"/>
              </w:rPr>
              <w:t>A.  Personnel Resources</w:t>
            </w:r>
          </w:p>
        </w:tc>
        <w:tc>
          <w:tcPr>
            <w:tcW w:w="1142" w:type="dxa"/>
            <w:tcBorders>
              <w:top w:val="nil"/>
              <w:left w:val="nil"/>
              <w:bottom w:val="nil"/>
              <w:right w:val="nil"/>
            </w:tcBorders>
            <w:vAlign w:val="center"/>
            <w:hideMark/>
          </w:tcPr>
          <w:p w14:paraId="06EF9E38" w14:textId="77777777" w:rsidR="00B65EDC" w:rsidRPr="00912A85" w:rsidRDefault="00B65EDC">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31958B9C" w14:textId="77777777" w:rsidR="00B65EDC" w:rsidRPr="00912A85" w:rsidRDefault="00B65EDC">
            <w:pPr>
              <w:jc w:val="left"/>
              <w:rPr>
                <w:rFonts w:ascii="Times New Roman" w:hAnsi="Times New Roman"/>
              </w:rPr>
            </w:pPr>
          </w:p>
        </w:tc>
        <w:tc>
          <w:tcPr>
            <w:tcW w:w="933" w:type="dxa"/>
            <w:tcBorders>
              <w:top w:val="nil"/>
              <w:left w:val="nil"/>
              <w:bottom w:val="nil"/>
              <w:right w:val="nil"/>
            </w:tcBorders>
            <w:vAlign w:val="center"/>
            <w:hideMark/>
          </w:tcPr>
          <w:p w14:paraId="51199B2A" w14:textId="77777777" w:rsidR="00B65EDC" w:rsidRPr="00912A85" w:rsidRDefault="00B65EDC">
            <w:pPr>
              <w:jc w:val="left"/>
              <w:rPr>
                <w:rFonts w:ascii="Times New Roman" w:hAnsi="Times New Roman"/>
              </w:rPr>
            </w:pPr>
          </w:p>
        </w:tc>
        <w:tc>
          <w:tcPr>
            <w:tcW w:w="1123" w:type="dxa"/>
            <w:tcBorders>
              <w:top w:val="nil"/>
              <w:left w:val="nil"/>
              <w:bottom w:val="nil"/>
              <w:right w:val="nil"/>
            </w:tcBorders>
            <w:vAlign w:val="center"/>
            <w:hideMark/>
          </w:tcPr>
          <w:p w14:paraId="5E627CA3" w14:textId="77777777" w:rsidR="00B65EDC" w:rsidRPr="00912A85" w:rsidRDefault="00B65EDC">
            <w:pPr>
              <w:jc w:val="left"/>
              <w:rPr>
                <w:rFonts w:ascii="Times New Roman" w:hAnsi="Times New Roman"/>
              </w:rPr>
            </w:pPr>
          </w:p>
        </w:tc>
        <w:tc>
          <w:tcPr>
            <w:tcW w:w="1218" w:type="dxa"/>
            <w:tcBorders>
              <w:top w:val="nil"/>
              <w:left w:val="nil"/>
              <w:bottom w:val="nil"/>
              <w:right w:val="nil"/>
            </w:tcBorders>
            <w:vAlign w:val="center"/>
            <w:hideMark/>
          </w:tcPr>
          <w:p w14:paraId="03546604" w14:textId="77777777" w:rsidR="00B65EDC" w:rsidRPr="00912A85" w:rsidRDefault="00B65EDC">
            <w:pPr>
              <w:jc w:val="left"/>
              <w:rPr>
                <w:rFonts w:ascii="Times New Roman" w:hAnsi="Times New Roman"/>
              </w:rPr>
            </w:pPr>
          </w:p>
        </w:tc>
      </w:tr>
      <w:tr w:rsidR="00B65EDC" w:rsidRPr="00912A85" w14:paraId="63D0B635" w14:textId="77777777" w:rsidTr="00E12ED3">
        <w:trPr>
          <w:trHeight w:val="340"/>
          <w:jc w:val="center"/>
        </w:trPr>
        <w:tc>
          <w:tcPr>
            <w:tcW w:w="419" w:type="dxa"/>
            <w:tcBorders>
              <w:top w:val="nil"/>
              <w:left w:val="nil"/>
              <w:bottom w:val="nil"/>
              <w:right w:val="nil"/>
            </w:tcBorders>
            <w:noWrap/>
            <w:vAlign w:val="bottom"/>
            <w:hideMark/>
          </w:tcPr>
          <w:p w14:paraId="6D63BF34" w14:textId="77777777" w:rsidR="00B65EDC" w:rsidRPr="00912A85" w:rsidRDefault="00B65EDC">
            <w:pPr>
              <w:jc w:val="left"/>
              <w:rPr>
                <w:rFonts w:ascii="Times New Roman" w:hAnsi="Times New Roman"/>
              </w:rPr>
            </w:pPr>
          </w:p>
        </w:tc>
        <w:tc>
          <w:tcPr>
            <w:tcW w:w="3123" w:type="dxa"/>
            <w:tcBorders>
              <w:top w:val="nil"/>
              <w:left w:val="nil"/>
              <w:bottom w:val="nil"/>
              <w:right w:val="nil"/>
            </w:tcBorders>
            <w:vAlign w:val="bottom"/>
            <w:hideMark/>
          </w:tcPr>
          <w:p w14:paraId="26AB252E"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Posts</w:t>
            </w:r>
          </w:p>
        </w:tc>
        <w:tc>
          <w:tcPr>
            <w:tcW w:w="1142" w:type="dxa"/>
            <w:tcBorders>
              <w:top w:val="nil"/>
              <w:left w:val="nil"/>
              <w:bottom w:val="nil"/>
              <w:right w:val="nil"/>
            </w:tcBorders>
            <w:vAlign w:val="bottom"/>
            <w:hideMark/>
          </w:tcPr>
          <w:p w14:paraId="0EBE0FC9" w14:textId="77777777" w:rsidR="00B65EDC" w:rsidRPr="00912A85" w:rsidRDefault="00B65EDC">
            <w:pPr>
              <w:jc w:val="right"/>
              <w:rPr>
                <w:rFonts w:ascii="Arial Narrow" w:hAnsi="Arial Narrow" w:cs="Arial"/>
              </w:rPr>
            </w:pPr>
            <w:r w:rsidRPr="00912A85">
              <w:rPr>
                <w:rFonts w:ascii="Arial Narrow" w:hAnsi="Arial Narrow" w:cs="Arial"/>
              </w:rPr>
              <w:t xml:space="preserve">4,302 </w:t>
            </w:r>
          </w:p>
        </w:tc>
        <w:tc>
          <w:tcPr>
            <w:tcW w:w="1123" w:type="dxa"/>
            <w:tcBorders>
              <w:top w:val="nil"/>
              <w:left w:val="nil"/>
              <w:bottom w:val="nil"/>
              <w:right w:val="nil"/>
            </w:tcBorders>
            <w:vAlign w:val="bottom"/>
            <w:hideMark/>
          </w:tcPr>
          <w:p w14:paraId="2C703CBB" w14:textId="77777777" w:rsidR="00B65EDC" w:rsidRPr="00912A85" w:rsidRDefault="00B65EDC">
            <w:pPr>
              <w:jc w:val="right"/>
              <w:rPr>
                <w:rFonts w:ascii="Arial Narrow" w:hAnsi="Arial Narrow" w:cs="Arial"/>
              </w:rPr>
            </w:pPr>
            <w:r w:rsidRPr="00912A85">
              <w:rPr>
                <w:rFonts w:ascii="Arial Narrow" w:hAnsi="Arial Narrow" w:cs="Arial"/>
              </w:rPr>
              <w:t xml:space="preserve">5,186 </w:t>
            </w:r>
          </w:p>
        </w:tc>
        <w:tc>
          <w:tcPr>
            <w:tcW w:w="933" w:type="dxa"/>
            <w:tcBorders>
              <w:top w:val="nil"/>
              <w:left w:val="nil"/>
              <w:bottom w:val="nil"/>
              <w:right w:val="nil"/>
            </w:tcBorders>
            <w:vAlign w:val="bottom"/>
            <w:hideMark/>
          </w:tcPr>
          <w:p w14:paraId="68D699F0" w14:textId="77777777" w:rsidR="00B65EDC" w:rsidRPr="00912A85" w:rsidRDefault="00B65EDC">
            <w:pPr>
              <w:jc w:val="right"/>
              <w:rPr>
                <w:rFonts w:ascii="Arial Narrow" w:hAnsi="Arial Narrow" w:cs="Arial"/>
              </w:rPr>
            </w:pPr>
            <w:r w:rsidRPr="00912A85">
              <w:rPr>
                <w:rFonts w:ascii="Arial Narrow" w:hAnsi="Arial Narrow" w:cs="Arial"/>
              </w:rPr>
              <w:t>(225)</w:t>
            </w:r>
          </w:p>
        </w:tc>
        <w:tc>
          <w:tcPr>
            <w:tcW w:w="1123" w:type="dxa"/>
            <w:tcBorders>
              <w:top w:val="nil"/>
              <w:left w:val="nil"/>
              <w:bottom w:val="nil"/>
              <w:right w:val="nil"/>
            </w:tcBorders>
            <w:vAlign w:val="bottom"/>
            <w:hideMark/>
          </w:tcPr>
          <w:p w14:paraId="0BDC7B62" w14:textId="77777777" w:rsidR="00B65EDC" w:rsidRPr="00912A85" w:rsidRDefault="00B65EDC">
            <w:pPr>
              <w:jc w:val="right"/>
              <w:rPr>
                <w:rFonts w:ascii="Arial Narrow" w:hAnsi="Arial Narrow" w:cs="Arial"/>
              </w:rPr>
            </w:pPr>
            <w:r w:rsidRPr="00912A85">
              <w:rPr>
                <w:rFonts w:ascii="Arial Narrow" w:hAnsi="Arial Narrow" w:cs="Arial"/>
              </w:rPr>
              <w:t>-4%</w:t>
            </w:r>
          </w:p>
        </w:tc>
        <w:tc>
          <w:tcPr>
            <w:tcW w:w="1218" w:type="dxa"/>
            <w:tcBorders>
              <w:top w:val="nil"/>
              <w:left w:val="nil"/>
              <w:bottom w:val="nil"/>
              <w:right w:val="nil"/>
            </w:tcBorders>
            <w:vAlign w:val="bottom"/>
            <w:hideMark/>
          </w:tcPr>
          <w:p w14:paraId="2476275C" w14:textId="77777777" w:rsidR="00B65EDC" w:rsidRPr="00912A85" w:rsidRDefault="00B65EDC">
            <w:pPr>
              <w:jc w:val="right"/>
              <w:rPr>
                <w:rFonts w:ascii="Arial Narrow" w:hAnsi="Arial Narrow" w:cs="Arial"/>
              </w:rPr>
            </w:pPr>
            <w:r w:rsidRPr="00912A85">
              <w:rPr>
                <w:rFonts w:ascii="Arial Narrow" w:hAnsi="Arial Narrow" w:cs="Arial"/>
              </w:rPr>
              <w:t>4,961</w:t>
            </w:r>
          </w:p>
        </w:tc>
      </w:tr>
      <w:tr w:rsidR="00B65EDC" w:rsidRPr="00912A85" w14:paraId="323E9C26" w14:textId="77777777" w:rsidTr="00E12ED3">
        <w:trPr>
          <w:trHeight w:val="340"/>
          <w:jc w:val="center"/>
        </w:trPr>
        <w:tc>
          <w:tcPr>
            <w:tcW w:w="419" w:type="dxa"/>
            <w:tcBorders>
              <w:top w:val="nil"/>
              <w:left w:val="nil"/>
              <w:bottom w:val="nil"/>
              <w:right w:val="nil"/>
            </w:tcBorders>
            <w:noWrap/>
            <w:vAlign w:val="bottom"/>
            <w:hideMark/>
          </w:tcPr>
          <w:p w14:paraId="58EAFB86"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49C02F93"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Temporary Staff</w:t>
            </w:r>
          </w:p>
        </w:tc>
        <w:tc>
          <w:tcPr>
            <w:tcW w:w="1142" w:type="dxa"/>
            <w:tcBorders>
              <w:top w:val="nil"/>
              <w:left w:val="nil"/>
              <w:bottom w:val="nil"/>
              <w:right w:val="nil"/>
            </w:tcBorders>
            <w:vAlign w:val="bottom"/>
            <w:hideMark/>
          </w:tcPr>
          <w:p w14:paraId="6CEE09D1" w14:textId="77777777" w:rsidR="00B65EDC" w:rsidRPr="00912A85" w:rsidRDefault="00B65EDC">
            <w:pPr>
              <w:jc w:val="right"/>
              <w:rPr>
                <w:rFonts w:ascii="Arial Narrow" w:hAnsi="Arial Narrow" w:cs="Arial"/>
              </w:rPr>
            </w:pPr>
            <w:r w:rsidRPr="00912A85">
              <w:rPr>
                <w:rFonts w:ascii="Arial Narrow" w:hAnsi="Arial Narrow" w:cs="Arial"/>
              </w:rPr>
              <w:t xml:space="preserve">324 </w:t>
            </w:r>
          </w:p>
        </w:tc>
        <w:tc>
          <w:tcPr>
            <w:tcW w:w="1123" w:type="dxa"/>
            <w:tcBorders>
              <w:top w:val="nil"/>
              <w:left w:val="nil"/>
              <w:bottom w:val="nil"/>
              <w:right w:val="nil"/>
            </w:tcBorders>
            <w:vAlign w:val="bottom"/>
            <w:hideMark/>
          </w:tcPr>
          <w:p w14:paraId="02FB9AF4" w14:textId="77777777" w:rsidR="00B65EDC" w:rsidRPr="00912A85" w:rsidRDefault="00B65EDC">
            <w:pPr>
              <w:jc w:val="right"/>
              <w:rPr>
                <w:rFonts w:ascii="Arial Narrow" w:hAnsi="Arial Narrow" w:cs="Arial"/>
              </w:rPr>
            </w:pPr>
            <w:r w:rsidRPr="00912A85">
              <w:rPr>
                <w:rFonts w:ascii="Arial Narrow" w:hAnsi="Arial Narrow" w:cs="Arial"/>
              </w:rPr>
              <w:t xml:space="preserve">569 </w:t>
            </w:r>
          </w:p>
        </w:tc>
        <w:tc>
          <w:tcPr>
            <w:tcW w:w="933" w:type="dxa"/>
            <w:tcBorders>
              <w:top w:val="nil"/>
              <w:left w:val="nil"/>
              <w:bottom w:val="nil"/>
              <w:right w:val="nil"/>
            </w:tcBorders>
            <w:vAlign w:val="bottom"/>
            <w:hideMark/>
          </w:tcPr>
          <w:p w14:paraId="09743838" w14:textId="77777777" w:rsidR="00B65EDC" w:rsidRPr="00912A85" w:rsidRDefault="00B65EDC">
            <w:pPr>
              <w:jc w:val="right"/>
              <w:rPr>
                <w:rFonts w:ascii="Arial Narrow" w:hAnsi="Arial Narrow" w:cs="Arial"/>
              </w:rPr>
            </w:pPr>
            <w:r w:rsidRPr="00912A85">
              <w:rPr>
                <w:rFonts w:ascii="Arial Narrow" w:hAnsi="Arial Narrow" w:cs="Arial"/>
              </w:rPr>
              <w:t>211</w:t>
            </w:r>
          </w:p>
        </w:tc>
        <w:tc>
          <w:tcPr>
            <w:tcW w:w="1123" w:type="dxa"/>
            <w:tcBorders>
              <w:top w:val="nil"/>
              <w:left w:val="nil"/>
              <w:bottom w:val="nil"/>
              <w:right w:val="nil"/>
            </w:tcBorders>
            <w:vAlign w:val="bottom"/>
            <w:hideMark/>
          </w:tcPr>
          <w:p w14:paraId="4A9D6AF3" w14:textId="77777777" w:rsidR="00B65EDC" w:rsidRPr="00912A85" w:rsidRDefault="00B65EDC">
            <w:pPr>
              <w:jc w:val="right"/>
              <w:rPr>
                <w:rFonts w:ascii="Arial Narrow" w:hAnsi="Arial Narrow" w:cs="Arial"/>
              </w:rPr>
            </w:pPr>
            <w:r w:rsidRPr="00912A85">
              <w:rPr>
                <w:rFonts w:ascii="Arial Narrow" w:hAnsi="Arial Narrow" w:cs="Arial"/>
              </w:rPr>
              <w:t>37%</w:t>
            </w:r>
          </w:p>
        </w:tc>
        <w:tc>
          <w:tcPr>
            <w:tcW w:w="1218" w:type="dxa"/>
            <w:tcBorders>
              <w:top w:val="nil"/>
              <w:left w:val="nil"/>
              <w:bottom w:val="nil"/>
              <w:right w:val="nil"/>
            </w:tcBorders>
            <w:vAlign w:val="bottom"/>
            <w:hideMark/>
          </w:tcPr>
          <w:p w14:paraId="141CDC5D" w14:textId="77777777" w:rsidR="00B65EDC" w:rsidRPr="00912A85" w:rsidRDefault="00B65EDC">
            <w:pPr>
              <w:jc w:val="right"/>
              <w:rPr>
                <w:rFonts w:ascii="Arial Narrow" w:hAnsi="Arial Narrow" w:cs="Arial"/>
              </w:rPr>
            </w:pPr>
            <w:r w:rsidRPr="00912A85">
              <w:rPr>
                <w:rFonts w:ascii="Arial Narrow" w:hAnsi="Arial Narrow" w:cs="Arial"/>
              </w:rPr>
              <w:t>780</w:t>
            </w:r>
          </w:p>
        </w:tc>
      </w:tr>
      <w:tr w:rsidR="00B65EDC" w:rsidRPr="00912A85" w14:paraId="19F8CACA" w14:textId="77777777" w:rsidTr="00E12ED3">
        <w:trPr>
          <w:trHeight w:val="340"/>
          <w:jc w:val="center"/>
        </w:trPr>
        <w:tc>
          <w:tcPr>
            <w:tcW w:w="419" w:type="dxa"/>
            <w:tcBorders>
              <w:top w:val="nil"/>
              <w:left w:val="nil"/>
              <w:bottom w:val="nil"/>
              <w:right w:val="nil"/>
            </w:tcBorders>
            <w:noWrap/>
            <w:vAlign w:val="bottom"/>
            <w:hideMark/>
          </w:tcPr>
          <w:p w14:paraId="26F938C5"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4203A4AC"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Other Staff costs</w:t>
            </w:r>
          </w:p>
        </w:tc>
        <w:tc>
          <w:tcPr>
            <w:tcW w:w="1142" w:type="dxa"/>
            <w:tcBorders>
              <w:top w:val="nil"/>
              <w:left w:val="nil"/>
              <w:bottom w:val="nil"/>
              <w:right w:val="nil"/>
            </w:tcBorders>
            <w:vAlign w:val="bottom"/>
            <w:hideMark/>
          </w:tcPr>
          <w:p w14:paraId="20D142C9"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16FBECDE" w14:textId="77777777" w:rsidR="00B65EDC" w:rsidRPr="00912A85" w:rsidRDefault="00B65EDC">
            <w:pPr>
              <w:jc w:val="right"/>
              <w:rPr>
                <w:rFonts w:ascii="Arial Narrow" w:hAnsi="Arial Narrow" w:cs="Arial"/>
              </w:rPr>
            </w:pPr>
            <w:r w:rsidRPr="00912A85">
              <w:rPr>
                <w:rFonts w:ascii="Arial Narrow" w:hAnsi="Arial Narrow" w:cs="Arial"/>
              </w:rPr>
              <w:t>-</w:t>
            </w:r>
          </w:p>
        </w:tc>
        <w:tc>
          <w:tcPr>
            <w:tcW w:w="933" w:type="dxa"/>
            <w:tcBorders>
              <w:top w:val="nil"/>
              <w:left w:val="nil"/>
              <w:bottom w:val="nil"/>
              <w:right w:val="nil"/>
            </w:tcBorders>
            <w:vAlign w:val="bottom"/>
            <w:hideMark/>
          </w:tcPr>
          <w:p w14:paraId="59BABDF0"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single" w:sz="4" w:space="0" w:color="BFBFBF"/>
              <w:right w:val="nil"/>
            </w:tcBorders>
            <w:vAlign w:val="bottom"/>
            <w:hideMark/>
          </w:tcPr>
          <w:p w14:paraId="6C15905A"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124FC9AE"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61E14555" w14:textId="77777777" w:rsidTr="00A538F6">
        <w:trPr>
          <w:trHeight w:val="352"/>
          <w:jc w:val="center"/>
        </w:trPr>
        <w:tc>
          <w:tcPr>
            <w:tcW w:w="419" w:type="dxa"/>
            <w:tcBorders>
              <w:top w:val="single" w:sz="4" w:space="0" w:color="AAB8C4"/>
              <w:left w:val="nil"/>
              <w:bottom w:val="single" w:sz="8" w:space="0" w:color="AAB8C4"/>
              <w:right w:val="nil"/>
            </w:tcBorders>
            <w:noWrap/>
            <w:vAlign w:val="bottom"/>
            <w:hideMark/>
          </w:tcPr>
          <w:p w14:paraId="78887228" w14:textId="77777777" w:rsidR="00B65EDC" w:rsidRPr="00912A85" w:rsidRDefault="00B65EDC">
            <w:pPr>
              <w:jc w:val="left"/>
              <w:rPr>
                <w:rFonts w:cs="Arial"/>
                <w:b/>
                <w:bCs/>
              </w:rPr>
            </w:pPr>
            <w:r w:rsidRPr="00912A85">
              <w:rPr>
                <w:rFonts w:cs="Arial"/>
                <w:b/>
                <w:bCs/>
              </w:rPr>
              <w:t> </w:t>
            </w:r>
          </w:p>
        </w:tc>
        <w:tc>
          <w:tcPr>
            <w:tcW w:w="3123" w:type="dxa"/>
            <w:tcBorders>
              <w:top w:val="single" w:sz="4" w:space="0" w:color="AAB8C4"/>
              <w:left w:val="nil"/>
              <w:bottom w:val="single" w:sz="8" w:space="0" w:color="AAB8C4"/>
              <w:right w:val="nil"/>
            </w:tcBorders>
            <w:vAlign w:val="bottom"/>
            <w:hideMark/>
          </w:tcPr>
          <w:p w14:paraId="25907360"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Total, A</w:t>
            </w:r>
          </w:p>
        </w:tc>
        <w:tc>
          <w:tcPr>
            <w:tcW w:w="1142" w:type="dxa"/>
            <w:tcBorders>
              <w:top w:val="single" w:sz="4" w:space="0" w:color="AAB8C4"/>
              <w:left w:val="nil"/>
              <w:bottom w:val="single" w:sz="8" w:space="0" w:color="AAB8C4"/>
              <w:right w:val="nil"/>
            </w:tcBorders>
            <w:vAlign w:val="bottom"/>
            <w:hideMark/>
          </w:tcPr>
          <w:p w14:paraId="31A6F3AE"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4,626 </w:t>
            </w:r>
          </w:p>
        </w:tc>
        <w:tc>
          <w:tcPr>
            <w:tcW w:w="1123" w:type="dxa"/>
            <w:tcBorders>
              <w:top w:val="single" w:sz="4" w:space="0" w:color="AAB8C4"/>
              <w:left w:val="nil"/>
              <w:bottom w:val="single" w:sz="8" w:space="0" w:color="AAB8C4"/>
              <w:right w:val="nil"/>
            </w:tcBorders>
            <w:vAlign w:val="bottom"/>
            <w:hideMark/>
          </w:tcPr>
          <w:p w14:paraId="6CDF30D3"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5,755 </w:t>
            </w:r>
          </w:p>
        </w:tc>
        <w:tc>
          <w:tcPr>
            <w:tcW w:w="933" w:type="dxa"/>
            <w:tcBorders>
              <w:top w:val="single" w:sz="4" w:space="0" w:color="BFBFBF"/>
              <w:left w:val="nil"/>
              <w:bottom w:val="single" w:sz="8" w:space="0" w:color="BFBFBF"/>
              <w:right w:val="nil"/>
            </w:tcBorders>
            <w:vAlign w:val="bottom"/>
            <w:hideMark/>
          </w:tcPr>
          <w:p w14:paraId="49610DF5" w14:textId="77777777" w:rsidR="00B65EDC" w:rsidRPr="00912A85" w:rsidRDefault="00B65EDC">
            <w:pPr>
              <w:jc w:val="right"/>
              <w:rPr>
                <w:rFonts w:ascii="Arial Narrow" w:hAnsi="Arial Narrow" w:cs="Arial"/>
                <w:b/>
                <w:bCs/>
              </w:rPr>
            </w:pPr>
            <w:r w:rsidRPr="00912A85">
              <w:rPr>
                <w:rFonts w:ascii="Arial Narrow" w:hAnsi="Arial Narrow" w:cs="Arial"/>
                <w:b/>
                <w:bCs/>
              </w:rPr>
              <w:t>(15)</w:t>
            </w:r>
          </w:p>
        </w:tc>
        <w:tc>
          <w:tcPr>
            <w:tcW w:w="1123" w:type="dxa"/>
            <w:tcBorders>
              <w:top w:val="nil"/>
              <w:left w:val="nil"/>
              <w:bottom w:val="single" w:sz="8" w:space="0" w:color="BFBFBF"/>
              <w:right w:val="nil"/>
            </w:tcBorders>
            <w:vAlign w:val="bottom"/>
            <w:hideMark/>
          </w:tcPr>
          <w:p w14:paraId="2B613ADC"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c>
          <w:tcPr>
            <w:tcW w:w="1218" w:type="dxa"/>
            <w:tcBorders>
              <w:top w:val="single" w:sz="4" w:space="0" w:color="AAB8C4"/>
              <w:left w:val="nil"/>
              <w:bottom w:val="single" w:sz="8" w:space="0" w:color="AAB8C4"/>
              <w:right w:val="nil"/>
            </w:tcBorders>
            <w:vAlign w:val="bottom"/>
            <w:hideMark/>
          </w:tcPr>
          <w:p w14:paraId="4C1BCF01" w14:textId="77777777" w:rsidR="00B65EDC" w:rsidRPr="00912A85" w:rsidRDefault="00B65EDC">
            <w:pPr>
              <w:jc w:val="right"/>
              <w:rPr>
                <w:rFonts w:ascii="Arial Narrow" w:hAnsi="Arial Narrow" w:cs="Arial"/>
                <w:b/>
                <w:bCs/>
              </w:rPr>
            </w:pPr>
            <w:r w:rsidRPr="00912A85">
              <w:rPr>
                <w:rFonts w:ascii="Arial Narrow" w:hAnsi="Arial Narrow" w:cs="Arial"/>
                <w:b/>
                <w:bCs/>
              </w:rPr>
              <w:t>5,740</w:t>
            </w:r>
          </w:p>
        </w:tc>
      </w:tr>
      <w:tr w:rsidR="00B65EDC" w:rsidRPr="00912A85" w14:paraId="24116368" w14:textId="77777777" w:rsidTr="00A538F6">
        <w:trPr>
          <w:trHeight w:val="258"/>
          <w:jc w:val="center"/>
        </w:trPr>
        <w:tc>
          <w:tcPr>
            <w:tcW w:w="419" w:type="dxa"/>
            <w:tcBorders>
              <w:top w:val="nil"/>
              <w:left w:val="nil"/>
              <w:bottom w:val="nil"/>
              <w:right w:val="nil"/>
            </w:tcBorders>
            <w:noWrap/>
            <w:vAlign w:val="bottom"/>
            <w:hideMark/>
          </w:tcPr>
          <w:p w14:paraId="1A2DC445"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noWrap/>
            <w:vAlign w:val="bottom"/>
            <w:hideMark/>
          </w:tcPr>
          <w:p w14:paraId="68CF3E3E" w14:textId="77777777" w:rsidR="00B65EDC" w:rsidRPr="00912A85" w:rsidRDefault="00B65EDC">
            <w:pPr>
              <w:jc w:val="left"/>
              <w:rPr>
                <w:rFonts w:ascii="Times New Roman" w:hAnsi="Times New Roman"/>
              </w:rPr>
            </w:pPr>
          </w:p>
        </w:tc>
        <w:tc>
          <w:tcPr>
            <w:tcW w:w="1142" w:type="dxa"/>
            <w:tcBorders>
              <w:top w:val="nil"/>
              <w:left w:val="nil"/>
              <w:bottom w:val="nil"/>
              <w:right w:val="nil"/>
            </w:tcBorders>
            <w:noWrap/>
            <w:vAlign w:val="bottom"/>
            <w:hideMark/>
          </w:tcPr>
          <w:p w14:paraId="7193ACAF" w14:textId="77777777" w:rsidR="00B65EDC" w:rsidRPr="00912A85" w:rsidRDefault="00B65EDC">
            <w:pPr>
              <w:jc w:val="left"/>
              <w:rPr>
                <w:rFonts w:ascii="Times New Roman" w:hAnsi="Times New Roman"/>
              </w:rPr>
            </w:pPr>
          </w:p>
        </w:tc>
        <w:tc>
          <w:tcPr>
            <w:tcW w:w="1123" w:type="dxa"/>
            <w:tcBorders>
              <w:top w:val="nil"/>
              <w:left w:val="nil"/>
              <w:bottom w:val="nil"/>
              <w:right w:val="nil"/>
            </w:tcBorders>
            <w:noWrap/>
            <w:vAlign w:val="bottom"/>
            <w:hideMark/>
          </w:tcPr>
          <w:p w14:paraId="49549F73" w14:textId="77777777" w:rsidR="00B65EDC" w:rsidRPr="00912A85" w:rsidRDefault="00B65EDC">
            <w:pPr>
              <w:jc w:val="left"/>
              <w:rPr>
                <w:rFonts w:ascii="Times New Roman" w:hAnsi="Times New Roman"/>
              </w:rPr>
            </w:pPr>
          </w:p>
        </w:tc>
        <w:tc>
          <w:tcPr>
            <w:tcW w:w="933" w:type="dxa"/>
            <w:tcBorders>
              <w:top w:val="nil"/>
              <w:left w:val="nil"/>
              <w:bottom w:val="nil"/>
              <w:right w:val="nil"/>
            </w:tcBorders>
            <w:noWrap/>
            <w:vAlign w:val="bottom"/>
            <w:hideMark/>
          </w:tcPr>
          <w:p w14:paraId="4E75CB94" w14:textId="77777777" w:rsidR="00B65EDC" w:rsidRPr="00912A85" w:rsidRDefault="00B65EDC">
            <w:pPr>
              <w:jc w:val="left"/>
              <w:rPr>
                <w:rFonts w:ascii="Times New Roman" w:hAnsi="Times New Roman"/>
              </w:rPr>
            </w:pPr>
          </w:p>
        </w:tc>
        <w:tc>
          <w:tcPr>
            <w:tcW w:w="1123" w:type="dxa"/>
            <w:tcBorders>
              <w:top w:val="nil"/>
              <w:left w:val="nil"/>
              <w:bottom w:val="nil"/>
              <w:right w:val="nil"/>
            </w:tcBorders>
            <w:noWrap/>
            <w:vAlign w:val="bottom"/>
            <w:hideMark/>
          </w:tcPr>
          <w:p w14:paraId="180FCD93" w14:textId="77777777" w:rsidR="00B65EDC" w:rsidRPr="00912A85" w:rsidRDefault="00B65EDC">
            <w:pPr>
              <w:jc w:val="left"/>
              <w:rPr>
                <w:rFonts w:ascii="Times New Roman" w:hAnsi="Times New Roman"/>
              </w:rPr>
            </w:pPr>
          </w:p>
        </w:tc>
        <w:tc>
          <w:tcPr>
            <w:tcW w:w="1218" w:type="dxa"/>
            <w:tcBorders>
              <w:top w:val="nil"/>
              <w:left w:val="nil"/>
              <w:bottom w:val="nil"/>
              <w:right w:val="nil"/>
            </w:tcBorders>
            <w:noWrap/>
            <w:vAlign w:val="bottom"/>
            <w:hideMark/>
          </w:tcPr>
          <w:p w14:paraId="314E4DF4" w14:textId="77777777" w:rsidR="00B65EDC" w:rsidRPr="00912A85" w:rsidRDefault="00B65EDC">
            <w:pPr>
              <w:jc w:val="left"/>
              <w:rPr>
                <w:rFonts w:ascii="Times New Roman" w:hAnsi="Times New Roman"/>
              </w:rPr>
            </w:pPr>
          </w:p>
        </w:tc>
      </w:tr>
      <w:tr w:rsidR="00B65EDC" w:rsidRPr="00912A85" w14:paraId="52809E92" w14:textId="77777777" w:rsidTr="00E12ED3">
        <w:trPr>
          <w:trHeight w:val="340"/>
          <w:jc w:val="center"/>
        </w:trPr>
        <w:tc>
          <w:tcPr>
            <w:tcW w:w="3542" w:type="dxa"/>
            <w:gridSpan w:val="2"/>
            <w:tcBorders>
              <w:top w:val="nil"/>
              <w:left w:val="nil"/>
              <w:bottom w:val="nil"/>
              <w:right w:val="nil"/>
            </w:tcBorders>
            <w:noWrap/>
            <w:vAlign w:val="center"/>
            <w:hideMark/>
          </w:tcPr>
          <w:p w14:paraId="4A1F577C" w14:textId="77777777" w:rsidR="00B65EDC" w:rsidRPr="00912A85" w:rsidRDefault="00B65EDC">
            <w:pPr>
              <w:jc w:val="left"/>
              <w:rPr>
                <w:rFonts w:ascii="Arial Narrow" w:hAnsi="Arial Narrow" w:cs="Arial"/>
                <w:b/>
                <w:bCs/>
                <w:sz w:val="22"/>
                <w:szCs w:val="22"/>
              </w:rPr>
            </w:pPr>
            <w:r w:rsidRPr="00912A85">
              <w:rPr>
                <w:rFonts w:ascii="Arial Narrow" w:hAnsi="Arial Narrow" w:cs="Arial"/>
                <w:b/>
                <w:bCs/>
                <w:sz w:val="22"/>
                <w:szCs w:val="22"/>
              </w:rPr>
              <w:t>B.  Non-Personnel Resources</w:t>
            </w:r>
          </w:p>
        </w:tc>
        <w:tc>
          <w:tcPr>
            <w:tcW w:w="1142" w:type="dxa"/>
            <w:tcBorders>
              <w:top w:val="nil"/>
              <w:left w:val="nil"/>
              <w:bottom w:val="nil"/>
              <w:right w:val="nil"/>
            </w:tcBorders>
            <w:vAlign w:val="center"/>
            <w:hideMark/>
          </w:tcPr>
          <w:p w14:paraId="2F6C0D8F" w14:textId="77777777" w:rsidR="00B65EDC" w:rsidRPr="00912A85" w:rsidRDefault="00B65EDC">
            <w:pPr>
              <w:jc w:val="left"/>
              <w:rPr>
                <w:rFonts w:ascii="Arial Narrow" w:hAnsi="Arial Narrow" w:cs="Arial"/>
                <w:b/>
                <w:bCs/>
                <w:sz w:val="22"/>
                <w:szCs w:val="22"/>
              </w:rPr>
            </w:pPr>
          </w:p>
        </w:tc>
        <w:tc>
          <w:tcPr>
            <w:tcW w:w="1123" w:type="dxa"/>
            <w:tcBorders>
              <w:top w:val="nil"/>
              <w:left w:val="nil"/>
              <w:bottom w:val="nil"/>
              <w:right w:val="nil"/>
            </w:tcBorders>
            <w:vAlign w:val="center"/>
            <w:hideMark/>
          </w:tcPr>
          <w:p w14:paraId="5F50F4CC" w14:textId="77777777" w:rsidR="00B65EDC" w:rsidRPr="00912A85" w:rsidRDefault="00B65EDC">
            <w:pPr>
              <w:jc w:val="left"/>
              <w:rPr>
                <w:rFonts w:ascii="Times New Roman" w:hAnsi="Times New Roman"/>
              </w:rPr>
            </w:pPr>
          </w:p>
        </w:tc>
        <w:tc>
          <w:tcPr>
            <w:tcW w:w="933" w:type="dxa"/>
            <w:tcBorders>
              <w:top w:val="nil"/>
              <w:left w:val="nil"/>
              <w:bottom w:val="nil"/>
              <w:right w:val="nil"/>
            </w:tcBorders>
            <w:vAlign w:val="center"/>
            <w:hideMark/>
          </w:tcPr>
          <w:p w14:paraId="3FCC2BBF" w14:textId="77777777" w:rsidR="00B65EDC" w:rsidRPr="00912A85" w:rsidRDefault="00B65EDC">
            <w:pPr>
              <w:jc w:val="left"/>
              <w:rPr>
                <w:rFonts w:ascii="Times New Roman" w:hAnsi="Times New Roman"/>
              </w:rPr>
            </w:pPr>
          </w:p>
        </w:tc>
        <w:tc>
          <w:tcPr>
            <w:tcW w:w="1123" w:type="dxa"/>
            <w:tcBorders>
              <w:top w:val="nil"/>
              <w:left w:val="nil"/>
              <w:bottom w:val="nil"/>
              <w:right w:val="nil"/>
            </w:tcBorders>
            <w:vAlign w:val="center"/>
            <w:hideMark/>
          </w:tcPr>
          <w:p w14:paraId="16B71EF9" w14:textId="77777777" w:rsidR="00B65EDC" w:rsidRPr="00912A85" w:rsidRDefault="00B65EDC">
            <w:pPr>
              <w:jc w:val="left"/>
              <w:rPr>
                <w:rFonts w:ascii="Times New Roman" w:hAnsi="Times New Roman"/>
              </w:rPr>
            </w:pPr>
          </w:p>
        </w:tc>
        <w:tc>
          <w:tcPr>
            <w:tcW w:w="1218" w:type="dxa"/>
            <w:tcBorders>
              <w:top w:val="nil"/>
              <w:left w:val="nil"/>
              <w:bottom w:val="nil"/>
              <w:right w:val="nil"/>
            </w:tcBorders>
            <w:vAlign w:val="center"/>
            <w:hideMark/>
          </w:tcPr>
          <w:p w14:paraId="0A2BEF1B" w14:textId="77777777" w:rsidR="00B65EDC" w:rsidRPr="00912A85" w:rsidRDefault="00B65EDC">
            <w:pPr>
              <w:jc w:val="left"/>
              <w:rPr>
                <w:rFonts w:ascii="Times New Roman" w:hAnsi="Times New Roman"/>
              </w:rPr>
            </w:pPr>
          </w:p>
        </w:tc>
      </w:tr>
      <w:tr w:rsidR="00B65EDC" w:rsidRPr="00912A85" w14:paraId="0047F249" w14:textId="77777777" w:rsidTr="00A538F6">
        <w:trPr>
          <w:trHeight w:val="352"/>
          <w:jc w:val="center"/>
        </w:trPr>
        <w:tc>
          <w:tcPr>
            <w:tcW w:w="419" w:type="dxa"/>
            <w:tcBorders>
              <w:top w:val="nil"/>
              <w:left w:val="nil"/>
              <w:bottom w:val="nil"/>
              <w:right w:val="nil"/>
            </w:tcBorders>
            <w:noWrap/>
            <w:vAlign w:val="bottom"/>
            <w:hideMark/>
          </w:tcPr>
          <w:p w14:paraId="2B5036FC" w14:textId="77777777" w:rsidR="00B65EDC" w:rsidRPr="00912A85" w:rsidRDefault="00B65EDC">
            <w:pPr>
              <w:jc w:val="left"/>
              <w:rPr>
                <w:rFonts w:ascii="Times New Roman" w:hAnsi="Times New Roman"/>
              </w:rPr>
            </w:pPr>
          </w:p>
        </w:tc>
        <w:tc>
          <w:tcPr>
            <w:tcW w:w="3123" w:type="dxa"/>
            <w:tcBorders>
              <w:top w:val="nil"/>
              <w:left w:val="nil"/>
              <w:bottom w:val="nil"/>
              <w:right w:val="nil"/>
            </w:tcBorders>
            <w:vAlign w:val="bottom"/>
            <w:hideMark/>
          </w:tcPr>
          <w:p w14:paraId="3F5A2342" w14:textId="77777777" w:rsidR="00B65EDC" w:rsidRPr="00912A85" w:rsidRDefault="00B65EDC">
            <w:pPr>
              <w:jc w:val="left"/>
              <w:rPr>
                <w:rFonts w:ascii="Arial Narrow" w:hAnsi="Arial Narrow" w:cs="Arial"/>
                <w:b/>
                <w:bCs/>
              </w:rPr>
            </w:pPr>
            <w:r w:rsidRPr="00912A85">
              <w:rPr>
                <w:rFonts w:ascii="Arial Narrow" w:hAnsi="Arial Narrow" w:cs="Arial"/>
                <w:b/>
                <w:bCs/>
              </w:rPr>
              <w:t>Internships and Fellowships</w:t>
            </w:r>
          </w:p>
        </w:tc>
        <w:tc>
          <w:tcPr>
            <w:tcW w:w="1142" w:type="dxa"/>
            <w:tcBorders>
              <w:top w:val="nil"/>
              <w:left w:val="nil"/>
              <w:bottom w:val="nil"/>
              <w:right w:val="nil"/>
            </w:tcBorders>
            <w:vAlign w:val="bottom"/>
            <w:hideMark/>
          </w:tcPr>
          <w:p w14:paraId="00078049"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bottom"/>
            <w:hideMark/>
          </w:tcPr>
          <w:p w14:paraId="3AD113D0" w14:textId="77777777" w:rsidR="00B65EDC" w:rsidRPr="00912A85" w:rsidRDefault="00B65EDC">
            <w:pPr>
              <w:jc w:val="left"/>
              <w:rPr>
                <w:rFonts w:ascii="Times New Roman" w:hAnsi="Times New Roman"/>
              </w:rPr>
            </w:pPr>
          </w:p>
        </w:tc>
        <w:tc>
          <w:tcPr>
            <w:tcW w:w="933" w:type="dxa"/>
            <w:tcBorders>
              <w:top w:val="nil"/>
              <w:left w:val="nil"/>
              <w:bottom w:val="nil"/>
              <w:right w:val="nil"/>
            </w:tcBorders>
            <w:vAlign w:val="bottom"/>
            <w:hideMark/>
          </w:tcPr>
          <w:p w14:paraId="01F1DB40" w14:textId="77777777" w:rsidR="00B65EDC" w:rsidRPr="00912A85" w:rsidRDefault="00B65EDC">
            <w:pPr>
              <w:jc w:val="left"/>
              <w:rPr>
                <w:rFonts w:ascii="Times New Roman" w:hAnsi="Times New Roman"/>
              </w:rPr>
            </w:pPr>
          </w:p>
        </w:tc>
        <w:tc>
          <w:tcPr>
            <w:tcW w:w="1123" w:type="dxa"/>
            <w:tcBorders>
              <w:top w:val="nil"/>
              <w:left w:val="nil"/>
              <w:bottom w:val="nil"/>
              <w:right w:val="nil"/>
            </w:tcBorders>
            <w:vAlign w:val="bottom"/>
            <w:hideMark/>
          </w:tcPr>
          <w:p w14:paraId="3674C858" w14:textId="77777777" w:rsidR="00B65EDC" w:rsidRPr="00912A85" w:rsidRDefault="00B65EDC">
            <w:pPr>
              <w:jc w:val="left"/>
              <w:rPr>
                <w:rFonts w:ascii="Times New Roman" w:hAnsi="Times New Roman"/>
              </w:rPr>
            </w:pPr>
          </w:p>
        </w:tc>
        <w:tc>
          <w:tcPr>
            <w:tcW w:w="1218" w:type="dxa"/>
            <w:tcBorders>
              <w:top w:val="nil"/>
              <w:left w:val="nil"/>
              <w:bottom w:val="nil"/>
              <w:right w:val="nil"/>
            </w:tcBorders>
            <w:vAlign w:val="bottom"/>
            <w:hideMark/>
          </w:tcPr>
          <w:p w14:paraId="3936A440" w14:textId="77777777" w:rsidR="00B65EDC" w:rsidRPr="00912A85" w:rsidRDefault="00B65EDC">
            <w:pPr>
              <w:jc w:val="left"/>
              <w:rPr>
                <w:rFonts w:ascii="Times New Roman" w:hAnsi="Times New Roman"/>
              </w:rPr>
            </w:pPr>
          </w:p>
        </w:tc>
      </w:tr>
      <w:tr w:rsidR="00B65EDC" w:rsidRPr="00912A85" w14:paraId="573D3EBF" w14:textId="77777777" w:rsidTr="00A538F6">
        <w:trPr>
          <w:trHeight w:val="352"/>
          <w:jc w:val="center"/>
        </w:trPr>
        <w:tc>
          <w:tcPr>
            <w:tcW w:w="419" w:type="dxa"/>
            <w:tcBorders>
              <w:top w:val="nil"/>
              <w:left w:val="nil"/>
              <w:bottom w:val="nil"/>
              <w:right w:val="nil"/>
            </w:tcBorders>
            <w:noWrap/>
            <w:vAlign w:val="bottom"/>
            <w:hideMark/>
          </w:tcPr>
          <w:p w14:paraId="6326957C" w14:textId="77777777" w:rsidR="00B65EDC" w:rsidRPr="00912A85" w:rsidRDefault="00B65EDC">
            <w:pPr>
              <w:jc w:val="left"/>
              <w:rPr>
                <w:rFonts w:ascii="Times New Roman" w:hAnsi="Times New Roman"/>
              </w:rPr>
            </w:pPr>
          </w:p>
        </w:tc>
        <w:tc>
          <w:tcPr>
            <w:tcW w:w="3123" w:type="dxa"/>
            <w:tcBorders>
              <w:top w:val="nil"/>
              <w:left w:val="nil"/>
              <w:bottom w:val="nil"/>
              <w:right w:val="nil"/>
            </w:tcBorders>
            <w:vAlign w:val="bottom"/>
            <w:hideMark/>
          </w:tcPr>
          <w:p w14:paraId="5A41B460" w14:textId="77777777" w:rsidR="00B65EDC" w:rsidRPr="00912A85" w:rsidRDefault="00B65EDC">
            <w:pPr>
              <w:ind w:firstLineChars="200" w:firstLine="400"/>
              <w:jc w:val="left"/>
              <w:rPr>
                <w:rFonts w:ascii="Arial Narrow" w:hAnsi="Arial Narrow" w:cs="Arial"/>
                <w:i/>
                <w:iCs/>
              </w:rPr>
            </w:pPr>
            <w:r w:rsidRPr="00912A85">
              <w:rPr>
                <w:rFonts w:ascii="Arial Narrow" w:hAnsi="Arial Narrow" w:cs="Arial"/>
                <w:i/>
                <w:iCs/>
              </w:rPr>
              <w:t>Internships</w:t>
            </w:r>
          </w:p>
        </w:tc>
        <w:tc>
          <w:tcPr>
            <w:tcW w:w="1142" w:type="dxa"/>
            <w:tcBorders>
              <w:top w:val="nil"/>
              <w:left w:val="nil"/>
              <w:bottom w:val="nil"/>
              <w:right w:val="nil"/>
            </w:tcBorders>
            <w:vAlign w:val="bottom"/>
            <w:hideMark/>
          </w:tcPr>
          <w:p w14:paraId="25B1B88B"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2E017507" w14:textId="77777777" w:rsidR="00B65EDC" w:rsidRPr="00912A85" w:rsidRDefault="00B65EDC">
            <w:pPr>
              <w:jc w:val="right"/>
              <w:rPr>
                <w:rFonts w:ascii="Arial Narrow" w:hAnsi="Arial Narrow" w:cs="Arial"/>
              </w:rPr>
            </w:pPr>
            <w:r w:rsidRPr="00912A85">
              <w:rPr>
                <w:rFonts w:ascii="Arial Narrow" w:hAnsi="Arial Narrow" w:cs="Arial"/>
              </w:rPr>
              <w:t xml:space="preserve">15 </w:t>
            </w:r>
          </w:p>
        </w:tc>
        <w:tc>
          <w:tcPr>
            <w:tcW w:w="933" w:type="dxa"/>
            <w:tcBorders>
              <w:top w:val="nil"/>
              <w:left w:val="nil"/>
              <w:bottom w:val="nil"/>
              <w:right w:val="nil"/>
            </w:tcBorders>
            <w:vAlign w:val="bottom"/>
            <w:hideMark/>
          </w:tcPr>
          <w:p w14:paraId="08F360CB" w14:textId="77777777" w:rsidR="00B65EDC" w:rsidRPr="00912A85" w:rsidRDefault="00B65EDC">
            <w:pPr>
              <w:jc w:val="right"/>
              <w:rPr>
                <w:rFonts w:ascii="Arial Narrow" w:hAnsi="Arial Narrow" w:cs="Arial"/>
              </w:rPr>
            </w:pPr>
            <w:r w:rsidRPr="00912A85">
              <w:rPr>
                <w:rFonts w:ascii="Arial Narrow" w:hAnsi="Arial Narrow" w:cs="Arial"/>
              </w:rPr>
              <w:t>(15)</w:t>
            </w:r>
          </w:p>
        </w:tc>
        <w:tc>
          <w:tcPr>
            <w:tcW w:w="1123" w:type="dxa"/>
            <w:tcBorders>
              <w:top w:val="nil"/>
              <w:left w:val="nil"/>
              <w:bottom w:val="nil"/>
              <w:right w:val="nil"/>
            </w:tcBorders>
            <w:vAlign w:val="bottom"/>
            <w:hideMark/>
          </w:tcPr>
          <w:p w14:paraId="7BD4F7A7" w14:textId="77777777" w:rsidR="00B65EDC" w:rsidRPr="00912A85" w:rsidRDefault="00B65EDC">
            <w:pPr>
              <w:jc w:val="right"/>
              <w:rPr>
                <w:rFonts w:ascii="Arial Narrow" w:hAnsi="Arial Narrow" w:cs="Arial"/>
              </w:rPr>
            </w:pPr>
            <w:r w:rsidRPr="00912A85">
              <w:rPr>
                <w:rFonts w:ascii="Arial Narrow" w:hAnsi="Arial Narrow" w:cs="Arial"/>
              </w:rPr>
              <w:t>-100%</w:t>
            </w:r>
          </w:p>
        </w:tc>
        <w:tc>
          <w:tcPr>
            <w:tcW w:w="1218" w:type="dxa"/>
            <w:tcBorders>
              <w:top w:val="nil"/>
              <w:left w:val="nil"/>
              <w:bottom w:val="nil"/>
              <w:right w:val="nil"/>
            </w:tcBorders>
            <w:vAlign w:val="bottom"/>
            <w:hideMark/>
          </w:tcPr>
          <w:p w14:paraId="342DAC71"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3F35DC65" w14:textId="77777777" w:rsidTr="00A538F6">
        <w:trPr>
          <w:trHeight w:val="352"/>
          <w:jc w:val="center"/>
        </w:trPr>
        <w:tc>
          <w:tcPr>
            <w:tcW w:w="419" w:type="dxa"/>
            <w:tcBorders>
              <w:top w:val="nil"/>
              <w:left w:val="nil"/>
              <w:bottom w:val="nil"/>
              <w:right w:val="nil"/>
            </w:tcBorders>
            <w:noWrap/>
            <w:vAlign w:val="bottom"/>
            <w:hideMark/>
          </w:tcPr>
          <w:p w14:paraId="639CFB1A"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185A0CDC" w14:textId="77777777" w:rsidR="00B65EDC" w:rsidRPr="00912A85" w:rsidRDefault="00B65EDC">
            <w:pPr>
              <w:ind w:firstLineChars="200" w:firstLine="400"/>
              <w:jc w:val="left"/>
              <w:rPr>
                <w:rFonts w:ascii="Arial Narrow" w:hAnsi="Arial Narrow" w:cs="Arial"/>
                <w:i/>
                <w:iCs/>
              </w:rPr>
            </w:pPr>
            <w:r w:rsidRPr="00912A85">
              <w:rPr>
                <w:rFonts w:ascii="Arial Narrow" w:hAnsi="Arial Narrow" w:cs="Arial"/>
                <w:i/>
                <w:iCs/>
              </w:rPr>
              <w:t>Fellowships</w:t>
            </w:r>
          </w:p>
        </w:tc>
        <w:tc>
          <w:tcPr>
            <w:tcW w:w="1142" w:type="dxa"/>
            <w:tcBorders>
              <w:top w:val="nil"/>
              <w:left w:val="nil"/>
              <w:bottom w:val="nil"/>
              <w:right w:val="nil"/>
            </w:tcBorders>
            <w:vAlign w:val="bottom"/>
            <w:hideMark/>
          </w:tcPr>
          <w:p w14:paraId="51AC036D"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4F0C4C95" w14:textId="77777777" w:rsidR="00B65EDC" w:rsidRPr="00912A85" w:rsidRDefault="00B65EDC">
            <w:pPr>
              <w:jc w:val="right"/>
              <w:rPr>
                <w:rFonts w:ascii="Arial Narrow" w:hAnsi="Arial Narrow" w:cs="Arial"/>
              </w:rPr>
            </w:pPr>
            <w:r w:rsidRPr="00912A85">
              <w:rPr>
                <w:rFonts w:ascii="Arial Narrow" w:hAnsi="Arial Narrow" w:cs="Arial"/>
              </w:rPr>
              <w:t xml:space="preserve">15 </w:t>
            </w:r>
          </w:p>
        </w:tc>
        <w:tc>
          <w:tcPr>
            <w:tcW w:w="933" w:type="dxa"/>
            <w:tcBorders>
              <w:top w:val="nil"/>
              <w:left w:val="nil"/>
              <w:bottom w:val="nil"/>
              <w:right w:val="nil"/>
            </w:tcBorders>
            <w:vAlign w:val="bottom"/>
            <w:hideMark/>
          </w:tcPr>
          <w:p w14:paraId="25E2BDC2" w14:textId="77777777" w:rsidR="00B65EDC" w:rsidRPr="00912A85" w:rsidRDefault="00B65EDC">
            <w:pPr>
              <w:jc w:val="right"/>
              <w:rPr>
                <w:rFonts w:ascii="Arial Narrow" w:hAnsi="Arial Narrow" w:cs="Arial"/>
              </w:rPr>
            </w:pPr>
            <w:r w:rsidRPr="00912A85">
              <w:rPr>
                <w:rFonts w:ascii="Arial Narrow" w:hAnsi="Arial Narrow" w:cs="Arial"/>
              </w:rPr>
              <w:t>(15)</w:t>
            </w:r>
          </w:p>
        </w:tc>
        <w:tc>
          <w:tcPr>
            <w:tcW w:w="1123" w:type="dxa"/>
            <w:tcBorders>
              <w:top w:val="nil"/>
              <w:left w:val="nil"/>
              <w:bottom w:val="nil"/>
              <w:right w:val="nil"/>
            </w:tcBorders>
            <w:vAlign w:val="bottom"/>
            <w:hideMark/>
          </w:tcPr>
          <w:p w14:paraId="069675D9" w14:textId="77777777" w:rsidR="00B65EDC" w:rsidRPr="00912A85" w:rsidRDefault="00B65EDC">
            <w:pPr>
              <w:jc w:val="right"/>
              <w:rPr>
                <w:rFonts w:ascii="Arial Narrow" w:hAnsi="Arial Narrow" w:cs="Arial"/>
              </w:rPr>
            </w:pPr>
            <w:r w:rsidRPr="00912A85">
              <w:rPr>
                <w:rFonts w:ascii="Arial Narrow" w:hAnsi="Arial Narrow" w:cs="Arial"/>
              </w:rPr>
              <w:t>-100%</w:t>
            </w:r>
          </w:p>
        </w:tc>
        <w:tc>
          <w:tcPr>
            <w:tcW w:w="1218" w:type="dxa"/>
            <w:tcBorders>
              <w:top w:val="nil"/>
              <w:left w:val="nil"/>
              <w:bottom w:val="nil"/>
              <w:right w:val="nil"/>
            </w:tcBorders>
            <w:vAlign w:val="bottom"/>
            <w:hideMark/>
          </w:tcPr>
          <w:p w14:paraId="5533CC6A"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3EFC657B" w14:textId="77777777" w:rsidTr="00A538F6">
        <w:trPr>
          <w:trHeight w:val="352"/>
          <w:jc w:val="center"/>
        </w:trPr>
        <w:tc>
          <w:tcPr>
            <w:tcW w:w="419" w:type="dxa"/>
            <w:tcBorders>
              <w:top w:val="nil"/>
              <w:left w:val="nil"/>
              <w:bottom w:val="single" w:sz="4" w:space="0" w:color="A6A6A6"/>
              <w:right w:val="nil"/>
            </w:tcBorders>
            <w:noWrap/>
            <w:vAlign w:val="bottom"/>
            <w:hideMark/>
          </w:tcPr>
          <w:p w14:paraId="1054D906"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6A6A6"/>
              <w:right w:val="nil"/>
            </w:tcBorders>
            <w:vAlign w:val="bottom"/>
            <w:hideMark/>
          </w:tcPr>
          <w:p w14:paraId="221675DA"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6A6A6"/>
              <w:right w:val="nil"/>
            </w:tcBorders>
            <w:vAlign w:val="bottom"/>
            <w:hideMark/>
          </w:tcPr>
          <w:p w14:paraId="52B3E849" w14:textId="77777777" w:rsidR="00B65EDC" w:rsidRPr="00912A85" w:rsidRDefault="00B65EDC">
            <w:pPr>
              <w:jc w:val="right"/>
              <w:rPr>
                <w:rFonts w:ascii="Arial Narrow" w:hAnsi="Arial Narrow" w:cs="Arial"/>
                <w:b/>
                <w:bCs/>
              </w:rPr>
            </w:pPr>
            <w:r w:rsidRPr="00912A85">
              <w:rPr>
                <w:rFonts w:ascii="Arial Narrow" w:hAnsi="Arial Narrow" w:cs="Arial"/>
              </w:rPr>
              <w:t>-</w:t>
            </w:r>
          </w:p>
        </w:tc>
        <w:tc>
          <w:tcPr>
            <w:tcW w:w="1123" w:type="dxa"/>
            <w:tcBorders>
              <w:top w:val="nil"/>
              <w:left w:val="nil"/>
              <w:bottom w:val="single" w:sz="4" w:space="0" w:color="A6A6A6"/>
              <w:right w:val="nil"/>
            </w:tcBorders>
            <w:vAlign w:val="bottom"/>
            <w:hideMark/>
          </w:tcPr>
          <w:p w14:paraId="5AE32C48"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30 </w:t>
            </w:r>
          </w:p>
        </w:tc>
        <w:tc>
          <w:tcPr>
            <w:tcW w:w="933" w:type="dxa"/>
            <w:tcBorders>
              <w:top w:val="nil"/>
              <w:left w:val="nil"/>
              <w:bottom w:val="single" w:sz="4" w:space="0" w:color="A6A6A6"/>
              <w:right w:val="nil"/>
            </w:tcBorders>
            <w:vAlign w:val="bottom"/>
            <w:hideMark/>
          </w:tcPr>
          <w:p w14:paraId="5826B859" w14:textId="77777777" w:rsidR="00B65EDC" w:rsidRPr="00912A85" w:rsidRDefault="00B65EDC">
            <w:pPr>
              <w:jc w:val="right"/>
              <w:rPr>
                <w:rFonts w:ascii="Arial Narrow" w:hAnsi="Arial Narrow" w:cs="Arial"/>
                <w:b/>
                <w:bCs/>
              </w:rPr>
            </w:pPr>
            <w:r w:rsidRPr="00912A85">
              <w:rPr>
                <w:rFonts w:ascii="Arial Narrow" w:hAnsi="Arial Narrow" w:cs="Arial"/>
                <w:b/>
                <w:bCs/>
              </w:rPr>
              <w:t>(30)</w:t>
            </w:r>
          </w:p>
        </w:tc>
        <w:tc>
          <w:tcPr>
            <w:tcW w:w="1123" w:type="dxa"/>
            <w:tcBorders>
              <w:top w:val="nil"/>
              <w:left w:val="nil"/>
              <w:bottom w:val="single" w:sz="4" w:space="0" w:color="A6A6A6"/>
              <w:right w:val="nil"/>
            </w:tcBorders>
            <w:vAlign w:val="bottom"/>
            <w:hideMark/>
          </w:tcPr>
          <w:p w14:paraId="607B0147" w14:textId="77777777" w:rsidR="00B65EDC" w:rsidRPr="00912A85" w:rsidRDefault="00B65EDC">
            <w:pPr>
              <w:jc w:val="right"/>
              <w:rPr>
                <w:rFonts w:ascii="Arial Narrow" w:hAnsi="Arial Narrow" w:cs="Arial"/>
                <w:b/>
                <w:bCs/>
              </w:rPr>
            </w:pPr>
            <w:r w:rsidRPr="00912A85">
              <w:rPr>
                <w:rFonts w:ascii="Arial Narrow" w:hAnsi="Arial Narrow" w:cs="Arial"/>
                <w:b/>
                <w:bCs/>
              </w:rPr>
              <w:t>-100%</w:t>
            </w:r>
          </w:p>
        </w:tc>
        <w:tc>
          <w:tcPr>
            <w:tcW w:w="1218" w:type="dxa"/>
            <w:tcBorders>
              <w:top w:val="nil"/>
              <w:left w:val="nil"/>
              <w:bottom w:val="single" w:sz="4" w:space="0" w:color="A6A6A6"/>
              <w:right w:val="nil"/>
            </w:tcBorders>
            <w:vAlign w:val="bottom"/>
            <w:hideMark/>
          </w:tcPr>
          <w:p w14:paraId="69ECDD8D"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r>
      <w:tr w:rsidR="00B65EDC" w:rsidRPr="00912A85" w14:paraId="37EDAF3A" w14:textId="77777777" w:rsidTr="00E12ED3">
        <w:trPr>
          <w:trHeight w:val="397"/>
          <w:jc w:val="center"/>
        </w:trPr>
        <w:tc>
          <w:tcPr>
            <w:tcW w:w="419" w:type="dxa"/>
            <w:tcBorders>
              <w:top w:val="nil"/>
              <w:left w:val="nil"/>
              <w:bottom w:val="nil"/>
              <w:right w:val="nil"/>
            </w:tcBorders>
            <w:noWrap/>
            <w:vAlign w:val="bottom"/>
            <w:hideMark/>
          </w:tcPr>
          <w:p w14:paraId="73CDF1CD"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3EC248AC" w14:textId="77777777" w:rsidR="00B65EDC" w:rsidRPr="00912A85" w:rsidRDefault="00B65EDC">
            <w:pPr>
              <w:jc w:val="left"/>
              <w:rPr>
                <w:rFonts w:ascii="Arial Narrow" w:hAnsi="Arial Narrow" w:cs="Arial"/>
                <w:b/>
                <w:bCs/>
              </w:rPr>
            </w:pPr>
            <w:r w:rsidRPr="00912A85">
              <w:rPr>
                <w:rFonts w:ascii="Arial Narrow" w:hAnsi="Arial Narrow" w:cs="Arial"/>
                <w:b/>
                <w:bCs/>
              </w:rPr>
              <w:t>Travel, Training and Grants</w:t>
            </w:r>
          </w:p>
        </w:tc>
        <w:tc>
          <w:tcPr>
            <w:tcW w:w="1142" w:type="dxa"/>
            <w:tcBorders>
              <w:top w:val="nil"/>
              <w:left w:val="nil"/>
              <w:bottom w:val="nil"/>
              <w:right w:val="nil"/>
            </w:tcBorders>
            <w:vAlign w:val="center"/>
            <w:hideMark/>
          </w:tcPr>
          <w:p w14:paraId="3E6ACA6C"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21E46635"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5231B1FB"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5785C2E6"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4192CDCB" w14:textId="77777777" w:rsidR="00B65EDC" w:rsidRPr="00912A85" w:rsidRDefault="00B65EDC">
            <w:pPr>
              <w:jc w:val="right"/>
              <w:rPr>
                <w:rFonts w:ascii="Times New Roman" w:hAnsi="Times New Roman"/>
              </w:rPr>
            </w:pPr>
          </w:p>
        </w:tc>
      </w:tr>
      <w:tr w:rsidR="00B65EDC" w:rsidRPr="00912A85" w14:paraId="1D202C35" w14:textId="77777777" w:rsidTr="00A538F6">
        <w:trPr>
          <w:trHeight w:val="352"/>
          <w:jc w:val="center"/>
        </w:trPr>
        <w:tc>
          <w:tcPr>
            <w:tcW w:w="419" w:type="dxa"/>
            <w:tcBorders>
              <w:top w:val="nil"/>
              <w:left w:val="nil"/>
              <w:bottom w:val="nil"/>
              <w:right w:val="nil"/>
            </w:tcBorders>
            <w:noWrap/>
            <w:vAlign w:val="bottom"/>
            <w:hideMark/>
          </w:tcPr>
          <w:p w14:paraId="34680CAD" w14:textId="77777777" w:rsidR="00B65EDC" w:rsidRPr="00912A85" w:rsidRDefault="00B65EDC">
            <w:pPr>
              <w:jc w:val="right"/>
              <w:rPr>
                <w:rFonts w:ascii="Times New Roman" w:hAnsi="Times New Roman"/>
              </w:rPr>
            </w:pPr>
          </w:p>
        </w:tc>
        <w:tc>
          <w:tcPr>
            <w:tcW w:w="3123" w:type="dxa"/>
            <w:tcBorders>
              <w:top w:val="nil"/>
              <w:left w:val="nil"/>
              <w:bottom w:val="nil"/>
              <w:right w:val="nil"/>
            </w:tcBorders>
            <w:vAlign w:val="bottom"/>
            <w:hideMark/>
          </w:tcPr>
          <w:p w14:paraId="16BB2310"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Staff missions</w:t>
            </w:r>
          </w:p>
        </w:tc>
        <w:tc>
          <w:tcPr>
            <w:tcW w:w="1142" w:type="dxa"/>
            <w:tcBorders>
              <w:top w:val="nil"/>
              <w:left w:val="nil"/>
              <w:bottom w:val="nil"/>
              <w:right w:val="nil"/>
            </w:tcBorders>
            <w:vAlign w:val="bottom"/>
            <w:hideMark/>
          </w:tcPr>
          <w:p w14:paraId="243CEAF7" w14:textId="77777777" w:rsidR="00B65EDC" w:rsidRPr="00912A85" w:rsidRDefault="00B65EDC">
            <w:pPr>
              <w:jc w:val="right"/>
              <w:rPr>
                <w:rFonts w:ascii="Arial Narrow" w:hAnsi="Arial Narrow" w:cs="Arial"/>
              </w:rPr>
            </w:pPr>
            <w:r w:rsidRPr="00912A85">
              <w:rPr>
                <w:rFonts w:ascii="Arial Narrow" w:hAnsi="Arial Narrow" w:cs="Arial"/>
              </w:rPr>
              <w:t xml:space="preserve">99 </w:t>
            </w:r>
          </w:p>
        </w:tc>
        <w:tc>
          <w:tcPr>
            <w:tcW w:w="1123" w:type="dxa"/>
            <w:tcBorders>
              <w:top w:val="nil"/>
              <w:left w:val="nil"/>
              <w:bottom w:val="nil"/>
              <w:right w:val="nil"/>
            </w:tcBorders>
            <w:vAlign w:val="bottom"/>
            <w:hideMark/>
          </w:tcPr>
          <w:p w14:paraId="500ECA84" w14:textId="77777777" w:rsidR="00B65EDC" w:rsidRPr="00912A85" w:rsidRDefault="00B65EDC">
            <w:pPr>
              <w:jc w:val="right"/>
              <w:rPr>
                <w:rFonts w:ascii="Arial Narrow" w:hAnsi="Arial Narrow" w:cs="Arial"/>
              </w:rPr>
            </w:pPr>
            <w:r w:rsidRPr="00912A85">
              <w:rPr>
                <w:rFonts w:ascii="Arial Narrow" w:hAnsi="Arial Narrow" w:cs="Arial"/>
              </w:rPr>
              <w:t xml:space="preserve">145 </w:t>
            </w:r>
          </w:p>
        </w:tc>
        <w:tc>
          <w:tcPr>
            <w:tcW w:w="933" w:type="dxa"/>
            <w:tcBorders>
              <w:top w:val="nil"/>
              <w:left w:val="nil"/>
              <w:bottom w:val="nil"/>
              <w:right w:val="nil"/>
            </w:tcBorders>
            <w:vAlign w:val="bottom"/>
            <w:hideMark/>
          </w:tcPr>
          <w:p w14:paraId="627BFA0D" w14:textId="77777777" w:rsidR="00B65EDC" w:rsidRPr="00912A85" w:rsidRDefault="00B65EDC">
            <w:pPr>
              <w:jc w:val="right"/>
              <w:rPr>
                <w:rFonts w:ascii="Arial Narrow" w:hAnsi="Arial Narrow" w:cs="Arial"/>
              </w:rPr>
            </w:pPr>
            <w:r w:rsidRPr="00912A85">
              <w:rPr>
                <w:rFonts w:ascii="Arial Narrow" w:hAnsi="Arial Narrow" w:cs="Arial"/>
              </w:rPr>
              <w:t>(45)</w:t>
            </w:r>
          </w:p>
        </w:tc>
        <w:tc>
          <w:tcPr>
            <w:tcW w:w="1123" w:type="dxa"/>
            <w:tcBorders>
              <w:top w:val="nil"/>
              <w:left w:val="nil"/>
              <w:bottom w:val="nil"/>
              <w:right w:val="nil"/>
            </w:tcBorders>
            <w:vAlign w:val="bottom"/>
            <w:hideMark/>
          </w:tcPr>
          <w:p w14:paraId="4934A53B" w14:textId="77777777" w:rsidR="00B65EDC" w:rsidRPr="00912A85" w:rsidRDefault="00B65EDC">
            <w:pPr>
              <w:jc w:val="right"/>
              <w:rPr>
                <w:rFonts w:ascii="Arial Narrow" w:hAnsi="Arial Narrow" w:cs="Arial"/>
              </w:rPr>
            </w:pPr>
            <w:r w:rsidRPr="00912A85">
              <w:rPr>
                <w:rFonts w:ascii="Arial Narrow" w:hAnsi="Arial Narrow" w:cs="Arial"/>
              </w:rPr>
              <w:t>-31%</w:t>
            </w:r>
          </w:p>
        </w:tc>
        <w:tc>
          <w:tcPr>
            <w:tcW w:w="1218" w:type="dxa"/>
            <w:tcBorders>
              <w:top w:val="nil"/>
              <w:left w:val="nil"/>
              <w:bottom w:val="nil"/>
              <w:right w:val="nil"/>
            </w:tcBorders>
            <w:vAlign w:val="bottom"/>
            <w:hideMark/>
          </w:tcPr>
          <w:p w14:paraId="03B3A07A" w14:textId="77777777" w:rsidR="00B65EDC" w:rsidRPr="00912A85" w:rsidRDefault="00B65EDC">
            <w:pPr>
              <w:jc w:val="right"/>
              <w:rPr>
                <w:rFonts w:ascii="Arial Narrow" w:hAnsi="Arial Narrow" w:cs="Arial"/>
              </w:rPr>
            </w:pPr>
            <w:r w:rsidRPr="00912A85">
              <w:rPr>
                <w:rFonts w:ascii="Arial Narrow" w:hAnsi="Arial Narrow" w:cs="Arial"/>
              </w:rPr>
              <w:t>100</w:t>
            </w:r>
          </w:p>
        </w:tc>
      </w:tr>
      <w:tr w:rsidR="00B65EDC" w:rsidRPr="00912A85" w14:paraId="6F42A098" w14:textId="77777777" w:rsidTr="00A538F6">
        <w:trPr>
          <w:trHeight w:val="352"/>
          <w:jc w:val="center"/>
        </w:trPr>
        <w:tc>
          <w:tcPr>
            <w:tcW w:w="419" w:type="dxa"/>
            <w:tcBorders>
              <w:top w:val="nil"/>
              <w:left w:val="nil"/>
              <w:bottom w:val="nil"/>
              <w:right w:val="nil"/>
            </w:tcBorders>
            <w:noWrap/>
            <w:vAlign w:val="bottom"/>
            <w:hideMark/>
          </w:tcPr>
          <w:p w14:paraId="764CB675"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78009219"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Third Party Travel</w:t>
            </w:r>
          </w:p>
        </w:tc>
        <w:tc>
          <w:tcPr>
            <w:tcW w:w="1142" w:type="dxa"/>
            <w:tcBorders>
              <w:top w:val="nil"/>
              <w:left w:val="nil"/>
              <w:bottom w:val="nil"/>
              <w:right w:val="nil"/>
            </w:tcBorders>
            <w:vAlign w:val="bottom"/>
            <w:hideMark/>
          </w:tcPr>
          <w:p w14:paraId="48F1C2FD"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7DD25220" w14:textId="77777777" w:rsidR="00B65EDC" w:rsidRPr="00912A85" w:rsidRDefault="00B65EDC">
            <w:pPr>
              <w:jc w:val="right"/>
              <w:rPr>
                <w:rFonts w:ascii="Arial Narrow" w:hAnsi="Arial Narrow" w:cs="Arial"/>
              </w:rPr>
            </w:pPr>
            <w:r w:rsidRPr="00912A85">
              <w:rPr>
                <w:rFonts w:ascii="Arial Narrow" w:hAnsi="Arial Narrow" w:cs="Arial"/>
              </w:rPr>
              <w:t xml:space="preserve">5 </w:t>
            </w:r>
          </w:p>
        </w:tc>
        <w:tc>
          <w:tcPr>
            <w:tcW w:w="933" w:type="dxa"/>
            <w:tcBorders>
              <w:top w:val="nil"/>
              <w:left w:val="nil"/>
              <w:bottom w:val="nil"/>
              <w:right w:val="nil"/>
            </w:tcBorders>
            <w:vAlign w:val="bottom"/>
            <w:hideMark/>
          </w:tcPr>
          <w:p w14:paraId="08A59D40" w14:textId="77777777" w:rsidR="00B65EDC" w:rsidRPr="00912A85" w:rsidRDefault="00B65EDC">
            <w:pPr>
              <w:jc w:val="right"/>
              <w:rPr>
                <w:rFonts w:ascii="Arial Narrow" w:hAnsi="Arial Narrow" w:cs="Arial"/>
              </w:rPr>
            </w:pPr>
            <w:r w:rsidRPr="00912A85">
              <w:rPr>
                <w:rFonts w:ascii="Arial Narrow" w:hAnsi="Arial Narrow" w:cs="Arial"/>
              </w:rPr>
              <w:t>(5)</w:t>
            </w:r>
          </w:p>
        </w:tc>
        <w:tc>
          <w:tcPr>
            <w:tcW w:w="1123" w:type="dxa"/>
            <w:tcBorders>
              <w:top w:val="nil"/>
              <w:left w:val="nil"/>
              <w:bottom w:val="nil"/>
              <w:right w:val="nil"/>
            </w:tcBorders>
            <w:vAlign w:val="bottom"/>
            <w:hideMark/>
          </w:tcPr>
          <w:p w14:paraId="548E4B08" w14:textId="77777777" w:rsidR="00B65EDC" w:rsidRPr="00912A85" w:rsidRDefault="00B65EDC">
            <w:pPr>
              <w:jc w:val="right"/>
              <w:rPr>
                <w:rFonts w:ascii="Arial Narrow" w:hAnsi="Arial Narrow" w:cs="Arial"/>
              </w:rPr>
            </w:pPr>
            <w:r w:rsidRPr="00912A85">
              <w:rPr>
                <w:rFonts w:ascii="Arial Narrow" w:hAnsi="Arial Narrow" w:cs="Arial"/>
              </w:rPr>
              <w:t>-100%</w:t>
            </w:r>
          </w:p>
        </w:tc>
        <w:tc>
          <w:tcPr>
            <w:tcW w:w="1218" w:type="dxa"/>
            <w:tcBorders>
              <w:top w:val="nil"/>
              <w:left w:val="nil"/>
              <w:bottom w:val="nil"/>
              <w:right w:val="nil"/>
            </w:tcBorders>
            <w:vAlign w:val="bottom"/>
            <w:hideMark/>
          </w:tcPr>
          <w:p w14:paraId="71E1673E"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45600296" w14:textId="77777777" w:rsidTr="00A538F6">
        <w:trPr>
          <w:trHeight w:val="352"/>
          <w:jc w:val="center"/>
        </w:trPr>
        <w:tc>
          <w:tcPr>
            <w:tcW w:w="419" w:type="dxa"/>
            <w:tcBorders>
              <w:top w:val="nil"/>
              <w:left w:val="nil"/>
              <w:bottom w:val="single" w:sz="4" w:space="0" w:color="A6A6A6"/>
              <w:right w:val="nil"/>
            </w:tcBorders>
            <w:noWrap/>
            <w:vAlign w:val="bottom"/>
            <w:hideMark/>
          </w:tcPr>
          <w:p w14:paraId="6A17D6C9"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6A6A6"/>
              <w:right w:val="nil"/>
            </w:tcBorders>
            <w:vAlign w:val="bottom"/>
            <w:hideMark/>
          </w:tcPr>
          <w:p w14:paraId="2F97C8B1"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6A6A6"/>
              <w:right w:val="nil"/>
            </w:tcBorders>
            <w:vAlign w:val="bottom"/>
            <w:hideMark/>
          </w:tcPr>
          <w:p w14:paraId="6CFB08D0"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99 </w:t>
            </w:r>
          </w:p>
        </w:tc>
        <w:tc>
          <w:tcPr>
            <w:tcW w:w="1123" w:type="dxa"/>
            <w:tcBorders>
              <w:top w:val="nil"/>
              <w:left w:val="nil"/>
              <w:bottom w:val="single" w:sz="4" w:space="0" w:color="A6A6A6"/>
              <w:right w:val="nil"/>
            </w:tcBorders>
            <w:vAlign w:val="bottom"/>
            <w:hideMark/>
          </w:tcPr>
          <w:p w14:paraId="758DFD95"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150 </w:t>
            </w:r>
          </w:p>
        </w:tc>
        <w:tc>
          <w:tcPr>
            <w:tcW w:w="933" w:type="dxa"/>
            <w:tcBorders>
              <w:top w:val="nil"/>
              <w:left w:val="nil"/>
              <w:bottom w:val="single" w:sz="4" w:space="0" w:color="A6A6A6"/>
              <w:right w:val="nil"/>
            </w:tcBorders>
            <w:vAlign w:val="bottom"/>
            <w:hideMark/>
          </w:tcPr>
          <w:p w14:paraId="63463E3B" w14:textId="77777777" w:rsidR="00B65EDC" w:rsidRPr="00912A85" w:rsidRDefault="00B65EDC">
            <w:pPr>
              <w:jc w:val="right"/>
              <w:rPr>
                <w:rFonts w:ascii="Arial Narrow" w:hAnsi="Arial Narrow" w:cs="Arial"/>
                <w:b/>
                <w:bCs/>
              </w:rPr>
            </w:pPr>
            <w:r w:rsidRPr="00912A85">
              <w:rPr>
                <w:rFonts w:ascii="Arial Narrow" w:hAnsi="Arial Narrow" w:cs="Arial"/>
                <w:b/>
                <w:bCs/>
              </w:rPr>
              <w:t>(50)</w:t>
            </w:r>
          </w:p>
        </w:tc>
        <w:tc>
          <w:tcPr>
            <w:tcW w:w="1123" w:type="dxa"/>
            <w:tcBorders>
              <w:top w:val="nil"/>
              <w:left w:val="nil"/>
              <w:bottom w:val="single" w:sz="4" w:space="0" w:color="A6A6A6"/>
              <w:right w:val="nil"/>
            </w:tcBorders>
            <w:vAlign w:val="bottom"/>
            <w:hideMark/>
          </w:tcPr>
          <w:p w14:paraId="18CE3614" w14:textId="77777777" w:rsidR="00B65EDC" w:rsidRPr="00912A85" w:rsidRDefault="00B65EDC">
            <w:pPr>
              <w:jc w:val="right"/>
              <w:rPr>
                <w:rFonts w:ascii="Arial Narrow" w:hAnsi="Arial Narrow" w:cs="Arial"/>
                <w:b/>
                <w:bCs/>
              </w:rPr>
            </w:pPr>
            <w:r w:rsidRPr="00912A85">
              <w:rPr>
                <w:rFonts w:ascii="Arial Narrow" w:hAnsi="Arial Narrow" w:cs="Arial"/>
                <w:b/>
                <w:bCs/>
              </w:rPr>
              <w:t>-33%</w:t>
            </w:r>
          </w:p>
        </w:tc>
        <w:tc>
          <w:tcPr>
            <w:tcW w:w="1218" w:type="dxa"/>
            <w:tcBorders>
              <w:top w:val="nil"/>
              <w:left w:val="nil"/>
              <w:bottom w:val="single" w:sz="4" w:space="0" w:color="A6A6A6"/>
              <w:right w:val="nil"/>
            </w:tcBorders>
            <w:vAlign w:val="bottom"/>
            <w:hideMark/>
          </w:tcPr>
          <w:p w14:paraId="39FD4C2C" w14:textId="77777777" w:rsidR="00B65EDC" w:rsidRPr="00912A85" w:rsidRDefault="00B65EDC">
            <w:pPr>
              <w:jc w:val="right"/>
              <w:rPr>
                <w:rFonts w:ascii="Arial Narrow" w:hAnsi="Arial Narrow" w:cs="Arial"/>
                <w:b/>
                <w:bCs/>
              </w:rPr>
            </w:pPr>
            <w:r w:rsidRPr="00912A85">
              <w:rPr>
                <w:rFonts w:ascii="Arial Narrow" w:hAnsi="Arial Narrow" w:cs="Arial"/>
                <w:b/>
                <w:bCs/>
              </w:rPr>
              <w:t>100</w:t>
            </w:r>
          </w:p>
        </w:tc>
      </w:tr>
      <w:tr w:rsidR="00B65EDC" w:rsidRPr="00912A85" w14:paraId="3009D873" w14:textId="77777777" w:rsidTr="00E12ED3">
        <w:trPr>
          <w:trHeight w:val="397"/>
          <w:jc w:val="center"/>
        </w:trPr>
        <w:tc>
          <w:tcPr>
            <w:tcW w:w="419" w:type="dxa"/>
            <w:tcBorders>
              <w:top w:val="nil"/>
              <w:left w:val="nil"/>
              <w:bottom w:val="nil"/>
              <w:right w:val="nil"/>
            </w:tcBorders>
            <w:noWrap/>
            <w:vAlign w:val="bottom"/>
            <w:hideMark/>
          </w:tcPr>
          <w:p w14:paraId="0F4FFCBA"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0A9F22F2" w14:textId="77777777" w:rsidR="00B65EDC" w:rsidRPr="00912A85" w:rsidRDefault="00B65EDC">
            <w:pPr>
              <w:jc w:val="left"/>
              <w:rPr>
                <w:rFonts w:ascii="Arial Narrow" w:hAnsi="Arial Narrow" w:cs="Arial"/>
                <w:b/>
                <w:bCs/>
              </w:rPr>
            </w:pPr>
            <w:r w:rsidRPr="00912A85">
              <w:rPr>
                <w:rFonts w:ascii="Arial Narrow" w:hAnsi="Arial Narrow" w:cs="Arial"/>
                <w:b/>
                <w:bCs/>
              </w:rPr>
              <w:t>Contractual Services</w:t>
            </w:r>
          </w:p>
        </w:tc>
        <w:tc>
          <w:tcPr>
            <w:tcW w:w="1142" w:type="dxa"/>
            <w:tcBorders>
              <w:top w:val="nil"/>
              <w:left w:val="nil"/>
              <w:bottom w:val="nil"/>
              <w:right w:val="nil"/>
            </w:tcBorders>
            <w:vAlign w:val="center"/>
            <w:hideMark/>
          </w:tcPr>
          <w:p w14:paraId="160C5A4F"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72F14B9B"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2DEE8161"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31E63AAF"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68661A3F" w14:textId="77777777" w:rsidR="00B65EDC" w:rsidRPr="00912A85" w:rsidRDefault="00B65EDC">
            <w:pPr>
              <w:jc w:val="right"/>
              <w:rPr>
                <w:rFonts w:ascii="Times New Roman" w:hAnsi="Times New Roman"/>
              </w:rPr>
            </w:pPr>
          </w:p>
        </w:tc>
      </w:tr>
      <w:tr w:rsidR="00B65EDC" w:rsidRPr="00912A85" w14:paraId="37A1D6E0" w14:textId="77777777" w:rsidTr="00A538F6">
        <w:trPr>
          <w:trHeight w:val="352"/>
          <w:jc w:val="center"/>
        </w:trPr>
        <w:tc>
          <w:tcPr>
            <w:tcW w:w="419" w:type="dxa"/>
            <w:tcBorders>
              <w:top w:val="nil"/>
              <w:left w:val="nil"/>
              <w:bottom w:val="nil"/>
              <w:right w:val="nil"/>
            </w:tcBorders>
            <w:noWrap/>
            <w:vAlign w:val="bottom"/>
            <w:hideMark/>
          </w:tcPr>
          <w:p w14:paraId="04C18D65" w14:textId="77777777" w:rsidR="00B65EDC" w:rsidRPr="00912A85" w:rsidRDefault="00B65EDC">
            <w:pPr>
              <w:jc w:val="right"/>
              <w:rPr>
                <w:rFonts w:ascii="Times New Roman" w:hAnsi="Times New Roman"/>
              </w:rPr>
            </w:pPr>
          </w:p>
        </w:tc>
        <w:tc>
          <w:tcPr>
            <w:tcW w:w="3123" w:type="dxa"/>
            <w:tcBorders>
              <w:top w:val="nil"/>
              <w:left w:val="nil"/>
              <w:bottom w:val="nil"/>
              <w:right w:val="nil"/>
            </w:tcBorders>
            <w:vAlign w:val="bottom"/>
            <w:hideMark/>
          </w:tcPr>
          <w:p w14:paraId="105A1876"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Conferences</w:t>
            </w:r>
          </w:p>
        </w:tc>
        <w:tc>
          <w:tcPr>
            <w:tcW w:w="1142" w:type="dxa"/>
            <w:tcBorders>
              <w:top w:val="nil"/>
              <w:left w:val="nil"/>
              <w:bottom w:val="nil"/>
              <w:right w:val="nil"/>
            </w:tcBorders>
            <w:vAlign w:val="bottom"/>
            <w:hideMark/>
          </w:tcPr>
          <w:p w14:paraId="6B692641" w14:textId="77777777" w:rsidR="00B65EDC" w:rsidRPr="00912A85" w:rsidRDefault="00B65EDC">
            <w:pPr>
              <w:jc w:val="right"/>
              <w:rPr>
                <w:rFonts w:ascii="Arial Narrow" w:hAnsi="Arial Narrow" w:cs="Arial"/>
              </w:rPr>
            </w:pPr>
            <w:r w:rsidRPr="00912A85">
              <w:rPr>
                <w:rFonts w:ascii="Arial Narrow" w:hAnsi="Arial Narrow" w:cs="Arial"/>
              </w:rPr>
              <w:t xml:space="preserve">264 </w:t>
            </w:r>
          </w:p>
        </w:tc>
        <w:tc>
          <w:tcPr>
            <w:tcW w:w="1123" w:type="dxa"/>
            <w:tcBorders>
              <w:top w:val="nil"/>
              <w:left w:val="nil"/>
              <w:bottom w:val="nil"/>
              <w:right w:val="nil"/>
            </w:tcBorders>
            <w:vAlign w:val="bottom"/>
            <w:hideMark/>
          </w:tcPr>
          <w:p w14:paraId="3BED7F14" w14:textId="77777777" w:rsidR="00B65EDC" w:rsidRPr="00912A85" w:rsidRDefault="00B65EDC">
            <w:pPr>
              <w:jc w:val="right"/>
              <w:rPr>
                <w:rFonts w:ascii="Arial Narrow" w:hAnsi="Arial Narrow" w:cs="Arial"/>
              </w:rPr>
            </w:pPr>
            <w:r w:rsidRPr="00912A85">
              <w:rPr>
                <w:rFonts w:ascii="Arial Narrow" w:hAnsi="Arial Narrow" w:cs="Arial"/>
              </w:rPr>
              <w:t xml:space="preserve">200 </w:t>
            </w:r>
          </w:p>
        </w:tc>
        <w:tc>
          <w:tcPr>
            <w:tcW w:w="933" w:type="dxa"/>
            <w:tcBorders>
              <w:top w:val="nil"/>
              <w:left w:val="nil"/>
              <w:bottom w:val="nil"/>
              <w:right w:val="nil"/>
            </w:tcBorders>
            <w:vAlign w:val="bottom"/>
            <w:hideMark/>
          </w:tcPr>
          <w:p w14:paraId="2130F8A9"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6EC02F6D"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5DE8661A" w14:textId="77777777" w:rsidR="00B65EDC" w:rsidRPr="00912A85" w:rsidRDefault="00B65EDC">
            <w:pPr>
              <w:jc w:val="right"/>
              <w:rPr>
                <w:rFonts w:ascii="Arial Narrow" w:hAnsi="Arial Narrow" w:cs="Arial"/>
              </w:rPr>
            </w:pPr>
            <w:r w:rsidRPr="00912A85">
              <w:rPr>
                <w:rFonts w:ascii="Arial Narrow" w:hAnsi="Arial Narrow" w:cs="Arial"/>
              </w:rPr>
              <w:t>200</w:t>
            </w:r>
          </w:p>
        </w:tc>
      </w:tr>
      <w:tr w:rsidR="00B65EDC" w:rsidRPr="00912A85" w14:paraId="53D93D67" w14:textId="77777777" w:rsidTr="00A538F6">
        <w:trPr>
          <w:trHeight w:val="352"/>
          <w:jc w:val="center"/>
        </w:trPr>
        <w:tc>
          <w:tcPr>
            <w:tcW w:w="419" w:type="dxa"/>
            <w:tcBorders>
              <w:top w:val="nil"/>
              <w:left w:val="nil"/>
              <w:bottom w:val="nil"/>
              <w:right w:val="nil"/>
            </w:tcBorders>
            <w:noWrap/>
            <w:vAlign w:val="bottom"/>
            <w:hideMark/>
          </w:tcPr>
          <w:p w14:paraId="56BD2AA3"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32199232"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Publishing</w:t>
            </w:r>
          </w:p>
        </w:tc>
        <w:tc>
          <w:tcPr>
            <w:tcW w:w="1142" w:type="dxa"/>
            <w:tcBorders>
              <w:top w:val="nil"/>
              <w:left w:val="nil"/>
              <w:bottom w:val="nil"/>
              <w:right w:val="nil"/>
            </w:tcBorders>
            <w:vAlign w:val="bottom"/>
            <w:hideMark/>
          </w:tcPr>
          <w:p w14:paraId="1A0A5FFC"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1B10F588" w14:textId="77777777" w:rsidR="00B65EDC" w:rsidRPr="00912A85" w:rsidRDefault="00B65EDC">
            <w:pPr>
              <w:jc w:val="right"/>
              <w:rPr>
                <w:rFonts w:ascii="Arial Narrow" w:hAnsi="Arial Narrow" w:cs="Arial"/>
              </w:rPr>
            </w:pPr>
            <w:r w:rsidRPr="00912A85">
              <w:rPr>
                <w:rFonts w:ascii="Arial Narrow" w:hAnsi="Arial Narrow" w:cs="Arial"/>
              </w:rPr>
              <w:t>-</w:t>
            </w:r>
          </w:p>
        </w:tc>
        <w:tc>
          <w:tcPr>
            <w:tcW w:w="933" w:type="dxa"/>
            <w:tcBorders>
              <w:top w:val="nil"/>
              <w:left w:val="nil"/>
              <w:bottom w:val="nil"/>
              <w:right w:val="nil"/>
            </w:tcBorders>
            <w:vAlign w:val="bottom"/>
            <w:hideMark/>
          </w:tcPr>
          <w:p w14:paraId="74A8119C"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6EB87824"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35E601A1" w14:textId="77777777" w:rsidR="00B65EDC" w:rsidRPr="00912A85" w:rsidRDefault="00B65EDC">
            <w:pPr>
              <w:jc w:val="right"/>
              <w:rPr>
                <w:rFonts w:ascii="Arial Narrow" w:hAnsi="Arial Narrow" w:cs="Arial"/>
              </w:rPr>
            </w:pPr>
            <w:r w:rsidRPr="00912A85">
              <w:rPr>
                <w:rFonts w:ascii="Arial Narrow" w:hAnsi="Arial Narrow" w:cs="Arial"/>
              </w:rPr>
              <w:t>-</w:t>
            </w:r>
          </w:p>
        </w:tc>
      </w:tr>
      <w:tr w:rsidR="00B65EDC" w:rsidRPr="00912A85" w14:paraId="2611DA14" w14:textId="77777777" w:rsidTr="00A538F6">
        <w:trPr>
          <w:trHeight w:val="352"/>
          <w:jc w:val="center"/>
        </w:trPr>
        <w:tc>
          <w:tcPr>
            <w:tcW w:w="419" w:type="dxa"/>
            <w:tcBorders>
              <w:top w:val="nil"/>
              <w:left w:val="nil"/>
              <w:bottom w:val="nil"/>
              <w:right w:val="nil"/>
            </w:tcBorders>
            <w:noWrap/>
            <w:vAlign w:val="bottom"/>
            <w:hideMark/>
          </w:tcPr>
          <w:p w14:paraId="50156FEF"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617403A8"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Individual Contractual Services</w:t>
            </w:r>
          </w:p>
        </w:tc>
        <w:tc>
          <w:tcPr>
            <w:tcW w:w="1142" w:type="dxa"/>
            <w:tcBorders>
              <w:top w:val="nil"/>
              <w:left w:val="nil"/>
              <w:bottom w:val="nil"/>
              <w:right w:val="nil"/>
            </w:tcBorders>
            <w:vAlign w:val="bottom"/>
            <w:hideMark/>
          </w:tcPr>
          <w:p w14:paraId="3ABD2A16" w14:textId="77777777" w:rsidR="00B65EDC" w:rsidRPr="00912A85" w:rsidRDefault="00B65EDC">
            <w:pPr>
              <w:jc w:val="right"/>
              <w:rPr>
                <w:rFonts w:ascii="Arial Narrow" w:hAnsi="Arial Narrow" w:cs="Arial"/>
              </w:rPr>
            </w:pPr>
            <w:r w:rsidRPr="00912A85">
              <w:rPr>
                <w:rFonts w:ascii="Arial Narrow" w:hAnsi="Arial Narrow" w:cs="Arial"/>
              </w:rPr>
              <w:t xml:space="preserve">114 </w:t>
            </w:r>
          </w:p>
        </w:tc>
        <w:tc>
          <w:tcPr>
            <w:tcW w:w="1123" w:type="dxa"/>
            <w:tcBorders>
              <w:top w:val="nil"/>
              <w:left w:val="nil"/>
              <w:bottom w:val="nil"/>
              <w:right w:val="nil"/>
            </w:tcBorders>
            <w:vAlign w:val="bottom"/>
            <w:hideMark/>
          </w:tcPr>
          <w:p w14:paraId="0604509B" w14:textId="77777777" w:rsidR="00B65EDC" w:rsidRPr="00912A85" w:rsidRDefault="00B65EDC">
            <w:pPr>
              <w:jc w:val="right"/>
              <w:rPr>
                <w:rFonts w:ascii="Arial Narrow" w:hAnsi="Arial Narrow" w:cs="Arial"/>
              </w:rPr>
            </w:pPr>
            <w:r w:rsidRPr="00912A85">
              <w:rPr>
                <w:rFonts w:ascii="Arial Narrow" w:hAnsi="Arial Narrow" w:cs="Arial"/>
              </w:rPr>
              <w:t xml:space="preserve">100 </w:t>
            </w:r>
          </w:p>
        </w:tc>
        <w:tc>
          <w:tcPr>
            <w:tcW w:w="933" w:type="dxa"/>
            <w:tcBorders>
              <w:top w:val="nil"/>
              <w:left w:val="nil"/>
              <w:bottom w:val="nil"/>
              <w:right w:val="nil"/>
            </w:tcBorders>
            <w:vAlign w:val="bottom"/>
            <w:hideMark/>
          </w:tcPr>
          <w:p w14:paraId="6E951024" w14:textId="77777777" w:rsidR="00B65EDC" w:rsidRPr="00912A85" w:rsidRDefault="00B65EDC">
            <w:pPr>
              <w:jc w:val="right"/>
              <w:rPr>
                <w:rFonts w:ascii="Arial Narrow" w:hAnsi="Arial Narrow" w:cs="Arial"/>
              </w:rPr>
            </w:pPr>
            <w:r w:rsidRPr="00912A85">
              <w:rPr>
                <w:rFonts w:ascii="Arial Narrow" w:hAnsi="Arial Narrow" w:cs="Arial"/>
              </w:rPr>
              <w:t>(75)</w:t>
            </w:r>
          </w:p>
        </w:tc>
        <w:tc>
          <w:tcPr>
            <w:tcW w:w="1123" w:type="dxa"/>
            <w:tcBorders>
              <w:top w:val="nil"/>
              <w:left w:val="nil"/>
              <w:bottom w:val="nil"/>
              <w:right w:val="nil"/>
            </w:tcBorders>
            <w:vAlign w:val="bottom"/>
            <w:hideMark/>
          </w:tcPr>
          <w:p w14:paraId="67991A01" w14:textId="77777777" w:rsidR="00B65EDC" w:rsidRPr="00912A85" w:rsidRDefault="00B65EDC">
            <w:pPr>
              <w:jc w:val="right"/>
              <w:rPr>
                <w:rFonts w:ascii="Arial Narrow" w:hAnsi="Arial Narrow" w:cs="Arial"/>
              </w:rPr>
            </w:pPr>
            <w:r w:rsidRPr="00912A85">
              <w:rPr>
                <w:rFonts w:ascii="Arial Narrow" w:hAnsi="Arial Narrow" w:cs="Arial"/>
              </w:rPr>
              <w:t>-75%</w:t>
            </w:r>
          </w:p>
        </w:tc>
        <w:tc>
          <w:tcPr>
            <w:tcW w:w="1218" w:type="dxa"/>
            <w:tcBorders>
              <w:top w:val="nil"/>
              <w:left w:val="nil"/>
              <w:bottom w:val="nil"/>
              <w:right w:val="nil"/>
            </w:tcBorders>
            <w:vAlign w:val="bottom"/>
            <w:hideMark/>
          </w:tcPr>
          <w:p w14:paraId="77878BF9" w14:textId="77777777" w:rsidR="00B65EDC" w:rsidRPr="00912A85" w:rsidRDefault="00B65EDC">
            <w:pPr>
              <w:jc w:val="right"/>
              <w:rPr>
                <w:rFonts w:ascii="Arial Narrow" w:hAnsi="Arial Narrow" w:cs="Arial"/>
              </w:rPr>
            </w:pPr>
            <w:r w:rsidRPr="00912A85">
              <w:rPr>
                <w:rFonts w:ascii="Arial Narrow" w:hAnsi="Arial Narrow" w:cs="Arial"/>
              </w:rPr>
              <w:t>25</w:t>
            </w:r>
          </w:p>
        </w:tc>
      </w:tr>
      <w:tr w:rsidR="00B65EDC" w:rsidRPr="00912A85" w14:paraId="6666ECD2" w14:textId="77777777" w:rsidTr="00A538F6">
        <w:trPr>
          <w:trHeight w:val="352"/>
          <w:jc w:val="center"/>
        </w:trPr>
        <w:tc>
          <w:tcPr>
            <w:tcW w:w="419" w:type="dxa"/>
            <w:tcBorders>
              <w:top w:val="nil"/>
              <w:left w:val="nil"/>
              <w:bottom w:val="nil"/>
              <w:right w:val="nil"/>
            </w:tcBorders>
            <w:noWrap/>
            <w:vAlign w:val="bottom"/>
            <w:hideMark/>
          </w:tcPr>
          <w:p w14:paraId="15E7E63E"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7C789C1B"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Other Contractual Services</w:t>
            </w:r>
          </w:p>
        </w:tc>
        <w:tc>
          <w:tcPr>
            <w:tcW w:w="1142" w:type="dxa"/>
            <w:tcBorders>
              <w:top w:val="nil"/>
              <w:left w:val="nil"/>
              <w:bottom w:val="nil"/>
              <w:right w:val="nil"/>
            </w:tcBorders>
            <w:vAlign w:val="bottom"/>
            <w:hideMark/>
          </w:tcPr>
          <w:p w14:paraId="3A09B1DE" w14:textId="77777777" w:rsidR="00B65EDC" w:rsidRPr="00912A85" w:rsidRDefault="00B65EDC">
            <w:pPr>
              <w:jc w:val="right"/>
              <w:rPr>
                <w:rFonts w:ascii="Arial Narrow" w:hAnsi="Arial Narrow" w:cs="Arial"/>
              </w:rPr>
            </w:pPr>
            <w:r w:rsidRPr="00912A85">
              <w:rPr>
                <w:rFonts w:ascii="Arial Narrow" w:hAnsi="Arial Narrow" w:cs="Arial"/>
              </w:rPr>
              <w:t xml:space="preserve">1,009 </w:t>
            </w:r>
          </w:p>
        </w:tc>
        <w:tc>
          <w:tcPr>
            <w:tcW w:w="1123" w:type="dxa"/>
            <w:tcBorders>
              <w:top w:val="nil"/>
              <w:left w:val="nil"/>
              <w:bottom w:val="nil"/>
              <w:right w:val="nil"/>
            </w:tcBorders>
            <w:vAlign w:val="bottom"/>
            <w:hideMark/>
          </w:tcPr>
          <w:p w14:paraId="20F96772" w14:textId="77777777" w:rsidR="00B65EDC" w:rsidRPr="00912A85" w:rsidRDefault="00B65EDC">
            <w:pPr>
              <w:jc w:val="right"/>
              <w:rPr>
                <w:rFonts w:ascii="Arial Narrow" w:hAnsi="Arial Narrow" w:cs="Arial"/>
              </w:rPr>
            </w:pPr>
            <w:r w:rsidRPr="00912A85">
              <w:rPr>
                <w:rFonts w:ascii="Arial Narrow" w:hAnsi="Arial Narrow" w:cs="Arial"/>
              </w:rPr>
              <w:t xml:space="preserve">415 </w:t>
            </w:r>
          </w:p>
        </w:tc>
        <w:tc>
          <w:tcPr>
            <w:tcW w:w="933" w:type="dxa"/>
            <w:tcBorders>
              <w:top w:val="nil"/>
              <w:left w:val="nil"/>
              <w:bottom w:val="nil"/>
              <w:right w:val="nil"/>
            </w:tcBorders>
            <w:vAlign w:val="bottom"/>
            <w:hideMark/>
          </w:tcPr>
          <w:p w14:paraId="1B023311" w14:textId="77777777" w:rsidR="00B65EDC" w:rsidRPr="00912A85" w:rsidRDefault="00B65EDC">
            <w:pPr>
              <w:jc w:val="right"/>
              <w:rPr>
                <w:rFonts w:ascii="Arial Narrow" w:hAnsi="Arial Narrow" w:cs="Arial"/>
              </w:rPr>
            </w:pPr>
            <w:r w:rsidRPr="00912A85">
              <w:rPr>
                <w:rFonts w:ascii="Arial Narrow" w:hAnsi="Arial Narrow" w:cs="Arial"/>
              </w:rPr>
              <w:t>(102)</w:t>
            </w:r>
          </w:p>
        </w:tc>
        <w:tc>
          <w:tcPr>
            <w:tcW w:w="1123" w:type="dxa"/>
            <w:tcBorders>
              <w:top w:val="nil"/>
              <w:left w:val="nil"/>
              <w:bottom w:val="nil"/>
              <w:right w:val="nil"/>
            </w:tcBorders>
            <w:vAlign w:val="bottom"/>
            <w:hideMark/>
          </w:tcPr>
          <w:p w14:paraId="3E6DE4EC" w14:textId="77777777" w:rsidR="00B65EDC" w:rsidRPr="00912A85" w:rsidRDefault="00B65EDC">
            <w:pPr>
              <w:jc w:val="right"/>
              <w:rPr>
                <w:rFonts w:ascii="Arial Narrow" w:hAnsi="Arial Narrow" w:cs="Arial"/>
              </w:rPr>
            </w:pPr>
            <w:r w:rsidRPr="00912A85">
              <w:rPr>
                <w:rFonts w:ascii="Arial Narrow" w:hAnsi="Arial Narrow" w:cs="Arial"/>
              </w:rPr>
              <w:t>-25%</w:t>
            </w:r>
          </w:p>
        </w:tc>
        <w:tc>
          <w:tcPr>
            <w:tcW w:w="1218" w:type="dxa"/>
            <w:tcBorders>
              <w:top w:val="nil"/>
              <w:left w:val="nil"/>
              <w:bottom w:val="nil"/>
              <w:right w:val="nil"/>
            </w:tcBorders>
            <w:vAlign w:val="bottom"/>
            <w:hideMark/>
          </w:tcPr>
          <w:p w14:paraId="18F41218" w14:textId="77777777" w:rsidR="00B65EDC" w:rsidRPr="00912A85" w:rsidRDefault="00B65EDC">
            <w:pPr>
              <w:jc w:val="right"/>
              <w:rPr>
                <w:rFonts w:ascii="Arial Narrow" w:hAnsi="Arial Narrow" w:cs="Arial"/>
              </w:rPr>
            </w:pPr>
            <w:r w:rsidRPr="00912A85">
              <w:rPr>
                <w:rFonts w:ascii="Arial Narrow" w:hAnsi="Arial Narrow" w:cs="Arial"/>
              </w:rPr>
              <w:t>313</w:t>
            </w:r>
          </w:p>
        </w:tc>
      </w:tr>
      <w:tr w:rsidR="00B65EDC" w:rsidRPr="00912A85" w14:paraId="4DFD7AE8" w14:textId="77777777" w:rsidTr="00A538F6">
        <w:trPr>
          <w:trHeight w:val="352"/>
          <w:jc w:val="center"/>
        </w:trPr>
        <w:tc>
          <w:tcPr>
            <w:tcW w:w="419" w:type="dxa"/>
            <w:tcBorders>
              <w:top w:val="nil"/>
              <w:left w:val="nil"/>
              <w:bottom w:val="single" w:sz="4" w:space="0" w:color="AAB8C4"/>
              <w:right w:val="nil"/>
            </w:tcBorders>
            <w:noWrap/>
            <w:vAlign w:val="bottom"/>
            <w:hideMark/>
          </w:tcPr>
          <w:p w14:paraId="159826C8"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AB8C4"/>
              <w:right w:val="nil"/>
            </w:tcBorders>
            <w:vAlign w:val="bottom"/>
            <w:hideMark/>
          </w:tcPr>
          <w:p w14:paraId="09148F1E"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6A6A6"/>
              <w:right w:val="nil"/>
            </w:tcBorders>
            <w:vAlign w:val="bottom"/>
            <w:hideMark/>
          </w:tcPr>
          <w:p w14:paraId="74C317CF"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1,388 </w:t>
            </w:r>
          </w:p>
        </w:tc>
        <w:tc>
          <w:tcPr>
            <w:tcW w:w="1123" w:type="dxa"/>
            <w:tcBorders>
              <w:top w:val="nil"/>
              <w:left w:val="nil"/>
              <w:bottom w:val="single" w:sz="4" w:space="0" w:color="A6A6A6"/>
              <w:right w:val="nil"/>
            </w:tcBorders>
            <w:vAlign w:val="bottom"/>
            <w:hideMark/>
          </w:tcPr>
          <w:p w14:paraId="7B755CF4"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715 </w:t>
            </w:r>
          </w:p>
        </w:tc>
        <w:tc>
          <w:tcPr>
            <w:tcW w:w="933" w:type="dxa"/>
            <w:tcBorders>
              <w:top w:val="nil"/>
              <w:left w:val="nil"/>
              <w:bottom w:val="single" w:sz="4" w:space="0" w:color="A6A6A6"/>
              <w:right w:val="nil"/>
            </w:tcBorders>
            <w:vAlign w:val="bottom"/>
            <w:hideMark/>
          </w:tcPr>
          <w:p w14:paraId="607BE71D" w14:textId="77777777" w:rsidR="00B65EDC" w:rsidRPr="00912A85" w:rsidRDefault="00B65EDC">
            <w:pPr>
              <w:jc w:val="right"/>
              <w:rPr>
                <w:rFonts w:ascii="Arial Narrow" w:hAnsi="Arial Narrow" w:cs="Arial"/>
                <w:b/>
                <w:bCs/>
              </w:rPr>
            </w:pPr>
            <w:r w:rsidRPr="00912A85">
              <w:rPr>
                <w:rFonts w:ascii="Arial Narrow" w:hAnsi="Arial Narrow" w:cs="Arial"/>
                <w:b/>
                <w:bCs/>
              </w:rPr>
              <w:t>(177)</w:t>
            </w:r>
          </w:p>
        </w:tc>
        <w:tc>
          <w:tcPr>
            <w:tcW w:w="1123" w:type="dxa"/>
            <w:tcBorders>
              <w:top w:val="nil"/>
              <w:left w:val="nil"/>
              <w:bottom w:val="single" w:sz="4" w:space="0" w:color="A6A6A6"/>
              <w:right w:val="nil"/>
            </w:tcBorders>
            <w:vAlign w:val="bottom"/>
            <w:hideMark/>
          </w:tcPr>
          <w:p w14:paraId="0C5E21B9" w14:textId="77777777" w:rsidR="00B65EDC" w:rsidRPr="00912A85" w:rsidRDefault="00B65EDC">
            <w:pPr>
              <w:jc w:val="right"/>
              <w:rPr>
                <w:rFonts w:ascii="Arial Narrow" w:hAnsi="Arial Narrow" w:cs="Arial"/>
                <w:b/>
                <w:bCs/>
              </w:rPr>
            </w:pPr>
            <w:r w:rsidRPr="00912A85">
              <w:rPr>
                <w:rFonts w:ascii="Arial Narrow" w:hAnsi="Arial Narrow" w:cs="Arial"/>
                <w:b/>
                <w:bCs/>
              </w:rPr>
              <w:t>-25%</w:t>
            </w:r>
          </w:p>
        </w:tc>
        <w:tc>
          <w:tcPr>
            <w:tcW w:w="1218" w:type="dxa"/>
            <w:tcBorders>
              <w:top w:val="nil"/>
              <w:left w:val="nil"/>
              <w:bottom w:val="single" w:sz="4" w:space="0" w:color="A6A6A6"/>
              <w:right w:val="nil"/>
            </w:tcBorders>
            <w:vAlign w:val="bottom"/>
            <w:hideMark/>
          </w:tcPr>
          <w:p w14:paraId="1240760D" w14:textId="77777777" w:rsidR="00B65EDC" w:rsidRPr="00912A85" w:rsidRDefault="00B65EDC">
            <w:pPr>
              <w:jc w:val="right"/>
              <w:rPr>
                <w:rFonts w:ascii="Arial Narrow" w:hAnsi="Arial Narrow" w:cs="Arial"/>
                <w:b/>
                <w:bCs/>
              </w:rPr>
            </w:pPr>
            <w:r w:rsidRPr="00912A85">
              <w:rPr>
                <w:rFonts w:ascii="Arial Narrow" w:hAnsi="Arial Narrow" w:cs="Arial"/>
                <w:b/>
                <w:bCs/>
              </w:rPr>
              <w:t>538</w:t>
            </w:r>
          </w:p>
        </w:tc>
      </w:tr>
      <w:tr w:rsidR="00B65EDC" w:rsidRPr="00912A85" w14:paraId="1451554C" w14:textId="77777777" w:rsidTr="00E12ED3">
        <w:trPr>
          <w:trHeight w:val="397"/>
          <w:jc w:val="center"/>
        </w:trPr>
        <w:tc>
          <w:tcPr>
            <w:tcW w:w="419" w:type="dxa"/>
            <w:tcBorders>
              <w:top w:val="nil"/>
              <w:left w:val="nil"/>
              <w:bottom w:val="nil"/>
              <w:right w:val="nil"/>
            </w:tcBorders>
            <w:noWrap/>
            <w:vAlign w:val="bottom"/>
            <w:hideMark/>
          </w:tcPr>
          <w:p w14:paraId="1060FA3D"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736CB579" w14:textId="77777777" w:rsidR="00B65EDC" w:rsidRPr="00912A85" w:rsidRDefault="00B65EDC">
            <w:pPr>
              <w:jc w:val="left"/>
              <w:rPr>
                <w:rFonts w:ascii="Arial Narrow" w:hAnsi="Arial Narrow" w:cs="Arial"/>
                <w:b/>
                <w:bCs/>
              </w:rPr>
            </w:pPr>
            <w:r w:rsidRPr="00912A85">
              <w:rPr>
                <w:rFonts w:ascii="Arial Narrow" w:hAnsi="Arial Narrow" w:cs="Arial"/>
                <w:b/>
                <w:bCs/>
              </w:rPr>
              <w:t>Operating Expenses</w:t>
            </w:r>
          </w:p>
        </w:tc>
        <w:tc>
          <w:tcPr>
            <w:tcW w:w="1142" w:type="dxa"/>
            <w:tcBorders>
              <w:top w:val="nil"/>
              <w:left w:val="nil"/>
              <w:bottom w:val="nil"/>
              <w:right w:val="nil"/>
            </w:tcBorders>
            <w:vAlign w:val="center"/>
            <w:hideMark/>
          </w:tcPr>
          <w:p w14:paraId="2C7ACF74"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7E756F93"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7A4663D1"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79704E38"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6475BFF0" w14:textId="77777777" w:rsidR="00B65EDC" w:rsidRPr="00912A85" w:rsidRDefault="00B65EDC">
            <w:pPr>
              <w:jc w:val="right"/>
              <w:rPr>
                <w:rFonts w:ascii="Times New Roman" w:hAnsi="Times New Roman"/>
              </w:rPr>
            </w:pPr>
          </w:p>
        </w:tc>
      </w:tr>
      <w:tr w:rsidR="00B65EDC" w:rsidRPr="00912A85" w14:paraId="698FF30F" w14:textId="77777777" w:rsidTr="00A538F6">
        <w:trPr>
          <w:trHeight w:val="352"/>
          <w:jc w:val="center"/>
        </w:trPr>
        <w:tc>
          <w:tcPr>
            <w:tcW w:w="419" w:type="dxa"/>
            <w:tcBorders>
              <w:top w:val="nil"/>
              <w:left w:val="nil"/>
              <w:bottom w:val="single" w:sz="4" w:space="0" w:color="AAB8C4"/>
              <w:right w:val="nil"/>
            </w:tcBorders>
            <w:noWrap/>
            <w:vAlign w:val="bottom"/>
            <w:hideMark/>
          </w:tcPr>
          <w:p w14:paraId="0F4208CC"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AB8C4"/>
              <w:right w:val="nil"/>
            </w:tcBorders>
            <w:vAlign w:val="bottom"/>
            <w:hideMark/>
          </w:tcPr>
          <w:p w14:paraId="735838D2"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AB8C4"/>
              <w:right w:val="nil"/>
            </w:tcBorders>
            <w:vAlign w:val="bottom"/>
            <w:hideMark/>
          </w:tcPr>
          <w:p w14:paraId="1A88D1C5"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1,267 </w:t>
            </w:r>
          </w:p>
        </w:tc>
        <w:tc>
          <w:tcPr>
            <w:tcW w:w="1123" w:type="dxa"/>
            <w:tcBorders>
              <w:top w:val="nil"/>
              <w:left w:val="nil"/>
              <w:bottom w:val="single" w:sz="4" w:space="0" w:color="AAB8C4"/>
              <w:right w:val="nil"/>
            </w:tcBorders>
            <w:vAlign w:val="bottom"/>
            <w:hideMark/>
          </w:tcPr>
          <w:p w14:paraId="0DE42140"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1,250 </w:t>
            </w:r>
          </w:p>
        </w:tc>
        <w:tc>
          <w:tcPr>
            <w:tcW w:w="933" w:type="dxa"/>
            <w:tcBorders>
              <w:top w:val="nil"/>
              <w:left w:val="nil"/>
              <w:bottom w:val="single" w:sz="4" w:space="0" w:color="BFBFBF"/>
              <w:right w:val="nil"/>
            </w:tcBorders>
            <w:vAlign w:val="bottom"/>
            <w:hideMark/>
          </w:tcPr>
          <w:p w14:paraId="03DC4DF3" w14:textId="77777777" w:rsidR="00B65EDC" w:rsidRPr="00912A85" w:rsidRDefault="00B65EDC">
            <w:pPr>
              <w:jc w:val="right"/>
              <w:rPr>
                <w:rFonts w:ascii="Arial Narrow" w:hAnsi="Arial Narrow" w:cs="Arial"/>
                <w:b/>
                <w:bCs/>
              </w:rPr>
            </w:pPr>
            <w:r w:rsidRPr="00912A85">
              <w:rPr>
                <w:rFonts w:ascii="Arial Narrow" w:hAnsi="Arial Narrow" w:cs="Arial"/>
                <w:b/>
                <w:bCs/>
              </w:rPr>
              <w:t>(14)</w:t>
            </w:r>
          </w:p>
        </w:tc>
        <w:tc>
          <w:tcPr>
            <w:tcW w:w="1123" w:type="dxa"/>
            <w:tcBorders>
              <w:top w:val="nil"/>
              <w:left w:val="nil"/>
              <w:bottom w:val="single" w:sz="4" w:space="0" w:color="BFBFBF"/>
              <w:right w:val="nil"/>
            </w:tcBorders>
            <w:vAlign w:val="bottom"/>
            <w:hideMark/>
          </w:tcPr>
          <w:p w14:paraId="35A71182" w14:textId="77777777" w:rsidR="00B65EDC" w:rsidRPr="00912A85" w:rsidRDefault="00B65EDC">
            <w:pPr>
              <w:jc w:val="right"/>
              <w:rPr>
                <w:rFonts w:ascii="Arial Narrow" w:hAnsi="Arial Narrow" w:cs="Arial"/>
                <w:b/>
                <w:bCs/>
              </w:rPr>
            </w:pPr>
            <w:r w:rsidRPr="00912A85">
              <w:rPr>
                <w:rFonts w:ascii="Arial Narrow" w:hAnsi="Arial Narrow" w:cs="Arial"/>
                <w:b/>
                <w:bCs/>
              </w:rPr>
              <w:t>-1%</w:t>
            </w:r>
          </w:p>
        </w:tc>
        <w:tc>
          <w:tcPr>
            <w:tcW w:w="1218" w:type="dxa"/>
            <w:tcBorders>
              <w:top w:val="nil"/>
              <w:left w:val="nil"/>
              <w:bottom w:val="single" w:sz="4" w:space="0" w:color="BFBFBF"/>
              <w:right w:val="nil"/>
            </w:tcBorders>
            <w:vAlign w:val="bottom"/>
            <w:hideMark/>
          </w:tcPr>
          <w:p w14:paraId="655784D6" w14:textId="77777777" w:rsidR="00B65EDC" w:rsidRPr="00912A85" w:rsidRDefault="00B65EDC">
            <w:pPr>
              <w:jc w:val="right"/>
              <w:rPr>
                <w:rFonts w:ascii="Arial Narrow" w:hAnsi="Arial Narrow" w:cs="Arial"/>
                <w:b/>
                <w:bCs/>
              </w:rPr>
            </w:pPr>
            <w:r w:rsidRPr="00912A85">
              <w:rPr>
                <w:rFonts w:ascii="Arial Narrow" w:hAnsi="Arial Narrow" w:cs="Arial"/>
                <w:b/>
                <w:bCs/>
              </w:rPr>
              <w:t>1,236</w:t>
            </w:r>
          </w:p>
        </w:tc>
      </w:tr>
      <w:tr w:rsidR="00B65EDC" w:rsidRPr="00912A85" w14:paraId="3A527C91" w14:textId="77777777" w:rsidTr="00E12ED3">
        <w:trPr>
          <w:trHeight w:val="397"/>
          <w:jc w:val="center"/>
        </w:trPr>
        <w:tc>
          <w:tcPr>
            <w:tcW w:w="419" w:type="dxa"/>
            <w:tcBorders>
              <w:top w:val="nil"/>
              <w:left w:val="nil"/>
              <w:bottom w:val="nil"/>
              <w:right w:val="nil"/>
            </w:tcBorders>
            <w:noWrap/>
            <w:vAlign w:val="bottom"/>
            <w:hideMark/>
          </w:tcPr>
          <w:p w14:paraId="526C872D" w14:textId="77777777" w:rsidR="00B65EDC" w:rsidRPr="00912A85" w:rsidRDefault="00B65EDC">
            <w:pPr>
              <w:jc w:val="right"/>
              <w:rPr>
                <w:rFonts w:ascii="Arial Narrow" w:hAnsi="Arial Narrow" w:cs="Arial"/>
                <w:b/>
                <w:bCs/>
              </w:rPr>
            </w:pPr>
          </w:p>
        </w:tc>
        <w:tc>
          <w:tcPr>
            <w:tcW w:w="3123" w:type="dxa"/>
            <w:tcBorders>
              <w:top w:val="nil"/>
              <w:left w:val="nil"/>
              <w:bottom w:val="nil"/>
              <w:right w:val="nil"/>
            </w:tcBorders>
            <w:vAlign w:val="bottom"/>
            <w:hideMark/>
          </w:tcPr>
          <w:p w14:paraId="288AA570" w14:textId="77777777" w:rsidR="00B65EDC" w:rsidRPr="00912A85" w:rsidRDefault="00B65EDC">
            <w:pPr>
              <w:jc w:val="left"/>
              <w:rPr>
                <w:rFonts w:ascii="Arial Narrow" w:hAnsi="Arial Narrow" w:cs="Arial"/>
                <w:b/>
                <w:bCs/>
              </w:rPr>
            </w:pPr>
            <w:r w:rsidRPr="00912A85">
              <w:rPr>
                <w:rFonts w:ascii="Arial Narrow" w:hAnsi="Arial Narrow" w:cs="Arial"/>
                <w:b/>
                <w:bCs/>
              </w:rPr>
              <w:t>Equipment and Supplies</w:t>
            </w:r>
          </w:p>
        </w:tc>
        <w:tc>
          <w:tcPr>
            <w:tcW w:w="1142" w:type="dxa"/>
            <w:tcBorders>
              <w:top w:val="nil"/>
              <w:left w:val="nil"/>
              <w:bottom w:val="nil"/>
              <w:right w:val="nil"/>
            </w:tcBorders>
            <w:vAlign w:val="center"/>
            <w:hideMark/>
          </w:tcPr>
          <w:p w14:paraId="69F9763A" w14:textId="77777777" w:rsidR="00B65EDC" w:rsidRPr="00912A85" w:rsidRDefault="00B65EDC">
            <w:pPr>
              <w:jc w:val="left"/>
              <w:rPr>
                <w:rFonts w:ascii="Arial Narrow" w:hAnsi="Arial Narrow" w:cs="Arial"/>
                <w:b/>
                <w:bCs/>
              </w:rPr>
            </w:pPr>
          </w:p>
        </w:tc>
        <w:tc>
          <w:tcPr>
            <w:tcW w:w="1123" w:type="dxa"/>
            <w:tcBorders>
              <w:top w:val="nil"/>
              <w:left w:val="nil"/>
              <w:bottom w:val="nil"/>
              <w:right w:val="nil"/>
            </w:tcBorders>
            <w:vAlign w:val="center"/>
            <w:hideMark/>
          </w:tcPr>
          <w:p w14:paraId="22398649" w14:textId="77777777" w:rsidR="00B65EDC" w:rsidRPr="00912A85" w:rsidRDefault="00B65EDC">
            <w:pPr>
              <w:jc w:val="right"/>
              <w:rPr>
                <w:rFonts w:ascii="Times New Roman" w:hAnsi="Times New Roman"/>
              </w:rPr>
            </w:pPr>
          </w:p>
        </w:tc>
        <w:tc>
          <w:tcPr>
            <w:tcW w:w="933" w:type="dxa"/>
            <w:tcBorders>
              <w:top w:val="nil"/>
              <w:left w:val="nil"/>
              <w:bottom w:val="nil"/>
              <w:right w:val="nil"/>
            </w:tcBorders>
            <w:vAlign w:val="center"/>
            <w:hideMark/>
          </w:tcPr>
          <w:p w14:paraId="13E151A0" w14:textId="77777777" w:rsidR="00B65EDC" w:rsidRPr="00912A85" w:rsidRDefault="00B65EDC">
            <w:pPr>
              <w:jc w:val="right"/>
              <w:rPr>
                <w:rFonts w:ascii="Times New Roman" w:hAnsi="Times New Roman"/>
              </w:rPr>
            </w:pPr>
          </w:p>
        </w:tc>
        <w:tc>
          <w:tcPr>
            <w:tcW w:w="1123" w:type="dxa"/>
            <w:tcBorders>
              <w:top w:val="nil"/>
              <w:left w:val="nil"/>
              <w:bottom w:val="nil"/>
              <w:right w:val="nil"/>
            </w:tcBorders>
            <w:vAlign w:val="center"/>
            <w:hideMark/>
          </w:tcPr>
          <w:p w14:paraId="460515F5" w14:textId="77777777" w:rsidR="00B65EDC" w:rsidRPr="00912A85" w:rsidRDefault="00B65EDC">
            <w:pPr>
              <w:jc w:val="right"/>
              <w:rPr>
                <w:rFonts w:ascii="Times New Roman" w:hAnsi="Times New Roman"/>
              </w:rPr>
            </w:pPr>
          </w:p>
        </w:tc>
        <w:tc>
          <w:tcPr>
            <w:tcW w:w="1218" w:type="dxa"/>
            <w:tcBorders>
              <w:top w:val="nil"/>
              <w:left w:val="nil"/>
              <w:bottom w:val="nil"/>
              <w:right w:val="nil"/>
            </w:tcBorders>
            <w:vAlign w:val="center"/>
            <w:hideMark/>
          </w:tcPr>
          <w:p w14:paraId="4C281FA3" w14:textId="77777777" w:rsidR="00B65EDC" w:rsidRPr="00912A85" w:rsidRDefault="00B65EDC">
            <w:pPr>
              <w:jc w:val="right"/>
              <w:rPr>
                <w:rFonts w:ascii="Times New Roman" w:hAnsi="Times New Roman"/>
              </w:rPr>
            </w:pPr>
          </w:p>
        </w:tc>
      </w:tr>
      <w:tr w:rsidR="00B65EDC" w:rsidRPr="00912A85" w14:paraId="4FFEB37D" w14:textId="77777777" w:rsidTr="00A538F6">
        <w:trPr>
          <w:trHeight w:val="352"/>
          <w:jc w:val="center"/>
        </w:trPr>
        <w:tc>
          <w:tcPr>
            <w:tcW w:w="419" w:type="dxa"/>
            <w:tcBorders>
              <w:top w:val="nil"/>
              <w:left w:val="nil"/>
              <w:bottom w:val="nil"/>
              <w:right w:val="nil"/>
            </w:tcBorders>
            <w:noWrap/>
            <w:vAlign w:val="bottom"/>
            <w:hideMark/>
          </w:tcPr>
          <w:p w14:paraId="0981A40A" w14:textId="77777777" w:rsidR="00B65EDC" w:rsidRPr="00912A85" w:rsidRDefault="00B65EDC">
            <w:pPr>
              <w:jc w:val="right"/>
              <w:rPr>
                <w:rFonts w:ascii="Times New Roman" w:hAnsi="Times New Roman"/>
              </w:rPr>
            </w:pPr>
          </w:p>
        </w:tc>
        <w:tc>
          <w:tcPr>
            <w:tcW w:w="3123" w:type="dxa"/>
            <w:tcBorders>
              <w:top w:val="nil"/>
              <w:left w:val="nil"/>
              <w:bottom w:val="nil"/>
              <w:right w:val="nil"/>
            </w:tcBorders>
            <w:vAlign w:val="bottom"/>
            <w:hideMark/>
          </w:tcPr>
          <w:p w14:paraId="4D7ED38C"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Furniture and Equipment</w:t>
            </w:r>
          </w:p>
        </w:tc>
        <w:tc>
          <w:tcPr>
            <w:tcW w:w="1142" w:type="dxa"/>
            <w:tcBorders>
              <w:top w:val="nil"/>
              <w:left w:val="nil"/>
              <w:bottom w:val="nil"/>
              <w:right w:val="nil"/>
            </w:tcBorders>
            <w:vAlign w:val="bottom"/>
            <w:hideMark/>
          </w:tcPr>
          <w:p w14:paraId="15867961"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62EB37B5" w14:textId="77777777" w:rsidR="00B65EDC" w:rsidRPr="00912A85" w:rsidRDefault="00B65EDC">
            <w:pPr>
              <w:jc w:val="right"/>
              <w:rPr>
                <w:rFonts w:ascii="Arial Narrow" w:hAnsi="Arial Narrow" w:cs="Arial"/>
              </w:rPr>
            </w:pPr>
            <w:r w:rsidRPr="00912A85">
              <w:rPr>
                <w:rFonts w:ascii="Arial Narrow" w:hAnsi="Arial Narrow" w:cs="Arial"/>
              </w:rPr>
              <w:t xml:space="preserve">1 </w:t>
            </w:r>
          </w:p>
        </w:tc>
        <w:tc>
          <w:tcPr>
            <w:tcW w:w="933" w:type="dxa"/>
            <w:tcBorders>
              <w:top w:val="nil"/>
              <w:left w:val="nil"/>
              <w:bottom w:val="nil"/>
              <w:right w:val="nil"/>
            </w:tcBorders>
            <w:vAlign w:val="bottom"/>
            <w:hideMark/>
          </w:tcPr>
          <w:p w14:paraId="74C500CE"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44BCC7CF"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194A3C79" w14:textId="77777777" w:rsidR="00B65EDC" w:rsidRPr="00912A85" w:rsidRDefault="00B65EDC">
            <w:pPr>
              <w:jc w:val="right"/>
              <w:rPr>
                <w:rFonts w:ascii="Arial Narrow" w:hAnsi="Arial Narrow" w:cs="Arial"/>
              </w:rPr>
            </w:pPr>
            <w:r w:rsidRPr="00912A85">
              <w:rPr>
                <w:rFonts w:ascii="Arial Narrow" w:hAnsi="Arial Narrow" w:cs="Arial"/>
              </w:rPr>
              <w:t>1</w:t>
            </w:r>
          </w:p>
        </w:tc>
      </w:tr>
      <w:tr w:rsidR="00B65EDC" w:rsidRPr="00912A85" w14:paraId="14823837" w14:textId="77777777" w:rsidTr="00A538F6">
        <w:trPr>
          <w:trHeight w:val="352"/>
          <w:jc w:val="center"/>
        </w:trPr>
        <w:tc>
          <w:tcPr>
            <w:tcW w:w="419" w:type="dxa"/>
            <w:tcBorders>
              <w:top w:val="nil"/>
              <w:left w:val="nil"/>
              <w:bottom w:val="nil"/>
              <w:right w:val="nil"/>
            </w:tcBorders>
            <w:noWrap/>
            <w:vAlign w:val="bottom"/>
            <w:hideMark/>
          </w:tcPr>
          <w:p w14:paraId="7938B1D3" w14:textId="77777777" w:rsidR="00B65EDC" w:rsidRPr="00912A85" w:rsidRDefault="00B65EDC">
            <w:pPr>
              <w:jc w:val="right"/>
              <w:rPr>
                <w:rFonts w:ascii="Arial Narrow" w:hAnsi="Arial Narrow" w:cs="Arial"/>
              </w:rPr>
            </w:pPr>
          </w:p>
        </w:tc>
        <w:tc>
          <w:tcPr>
            <w:tcW w:w="3123" w:type="dxa"/>
            <w:tcBorders>
              <w:top w:val="nil"/>
              <w:left w:val="nil"/>
              <w:bottom w:val="nil"/>
              <w:right w:val="nil"/>
            </w:tcBorders>
            <w:vAlign w:val="bottom"/>
            <w:hideMark/>
          </w:tcPr>
          <w:p w14:paraId="0F0AEFAE" w14:textId="77777777" w:rsidR="00B65EDC" w:rsidRPr="00912A85" w:rsidRDefault="00B65EDC">
            <w:pPr>
              <w:ind w:firstLineChars="200" w:firstLine="400"/>
              <w:jc w:val="left"/>
              <w:rPr>
                <w:rFonts w:ascii="Arial Narrow" w:hAnsi="Arial Narrow" w:cs="Arial"/>
                <w:i/>
                <w:iCs/>
                <w:color w:val="000000"/>
              </w:rPr>
            </w:pPr>
            <w:r w:rsidRPr="00912A85">
              <w:rPr>
                <w:rFonts w:ascii="Arial Narrow" w:hAnsi="Arial Narrow" w:cs="Arial"/>
                <w:i/>
                <w:iCs/>
                <w:color w:val="000000"/>
              </w:rPr>
              <w:t>Supplies and Materials</w:t>
            </w:r>
          </w:p>
        </w:tc>
        <w:tc>
          <w:tcPr>
            <w:tcW w:w="1142" w:type="dxa"/>
            <w:tcBorders>
              <w:top w:val="nil"/>
              <w:left w:val="nil"/>
              <w:bottom w:val="nil"/>
              <w:right w:val="nil"/>
            </w:tcBorders>
            <w:vAlign w:val="bottom"/>
            <w:hideMark/>
          </w:tcPr>
          <w:p w14:paraId="31999BC9" w14:textId="77777777" w:rsidR="00B65EDC" w:rsidRPr="00912A85" w:rsidRDefault="00B65EDC">
            <w:pPr>
              <w:jc w:val="right"/>
              <w:rPr>
                <w:rFonts w:ascii="Arial Narrow" w:hAnsi="Arial Narrow" w:cs="Arial"/>
              </w:rPr>
            </w:pPr>
            <w:r w:rsidRPr="00912A85">
              <w:rPr>
                <w:rFonts w:ascii="Arial Narrow" w:hAnsi="Arial Narrow" w:cs="Arial"/>
              </w:rPr>
              <w:t xml:space="preserve">3 </w:t>
            </w:r>
          </w:p>
        </w:tc>
        <w:tc>
          <w:tcPr>
            <w:tcW w:w="1123" w:type="dxa"/>
            <w:tcBorders>
              <w:top w:val="nil"/>
              <w:left w:val="nil"/>
              <w:bottom w:val="nil"/>
              <w:right w:val="nil"/>
            </w:tcBorders>
            <w:vAlign w:val="bottom"/>
            <w:hideMark/>
          </w:tcPr>
          <w:p w14:paraId="6CFA42FC" w14:textId="77777777" w:rsidR="00B65EDC" w:rsidRPr="00912A85" w:rsidRDefault="00B65EDC">
            <w:pPr>
              <w:jc w:val="right"/>
              <w:rPr>
                <w:rFonts w:ascii="Arial Narrow" w:hAnsi="Arial Narrow" w:cs="Arial"/>
              </w:rPr>
            </w:pPr>
            <w:r w:rsidRPr="00912A85">
              <w:rPr>
                <w:rFonts w:ascii="Arial Narrow" w:hAnsi="Arial Narrow" w:cs="Arial"/>
              </w:rPr>
              <w:t xml:space="preserve">1 </w:t>
            </w:r>
          </w:p>
        </w:tc>
        <w:tc>
          <w:tcPr>
            <w:tcW w:w="933" w:type="dxa"/>
            <w:tcBorders>
              <w:top w:val="nil"/>
              <w:left w:val="nil"/>
              <w:bottom w:val="nil"/>
              <w:right w:val="nil"/>
            </w:tcBorders>
            <w:vAlign w:val="bottom"/>
            <w:hideMark/>
          </w:tcPr>
          <w:p w14:paraId="57E8BD00"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123" w:type="dxa"/>
            <w:tcBorders>
              <w:top w:val="nil"/>
              <w:left w:val="nil"/>
              <w:bottom w:val="nil"/>
              <w:right w:val="nil"/>
            </w:tcBorders>
            <w:vAlign w:val="bottom"/>
            <w:hideMark/>
          </w:tcPr>
          <w:p w14:paraId="16A781CB" w14:textId="77777777" w:rsidR="00B65EDC" w:rsidRPr="00912A85" w:rsidRDefault="00B65EDC">
            <w:pPr>
              <w:jc w:val="right"/>
              <w:rPr>
                <w:rFonts w:ascii="Arial Narrow" w:hAnsi="Arial Narrow" w:cs="Arial"/>
              </w:rPr>
            </w:pPr>
            <w:r w:rsidRPr="00912A85">
              <w:rPr>
                <w:rFonts w:ascii="Arial Narrow" w:hAnsi="Arial Narrow" w:cs="Arial"/>
              </w:rPr>
              <w:t>-</w:t>
            </w:r>
          </w:p>
        </w:tc>
        <w:tc>
          <w:tcPr>
            <w:tcW w:w="1218" w:type="dxa"/>
            <w:tcBorders>
              <w:top w:val="nil"/>
              <w:left w:val="nil"/>
              <w:bottom w:val="nil"/>
              <w:right w:val="nil"/>
            </w:tcBorders>
            <w:vAlign w:val="bottom"/>
            <w:hideMark/>
          </w:tcPr>
          <w:p w14:paraId="332B0597" w14:textId="77777777" w:rsidR="00B65EDC" w:rsidRPr="00912A85" w:rsidRDefault="00B65EDC">
            <w:pPr>
              <w:jc w:val="right"/>
              <w:rPr>
                <w:rFonts w:ascii="Arial Narrow" w:hAnsi="Arial Narrow" w:cs="Arial"/>
              </w:rPr>
            </w:pPr>
            <w:r w:rsidRPr="00912A85">
              <w:rPr>
                <w:rFonts w:ascii="Arial Narrow" w:hAnsi="Arial Narrow" w:cs="Arial"/>
              </w:rPr>
              <w:t>1</w:t>
            </w:r>
          </w:p>
        </w:tc>
      </w:tr>
      <w:tr w:rsidR="00B65EDC" w:rsidRPr="00912A85" w14:paraId="64632BEF" w14:textId="77777777" w:rsidTr="00A538F6">
        <w:trPr>
          <w:trHeight w:val="352"/>
          <w:jc w:val="center"/>
        </w:trPr>
        <w:tc>
          <w:tcPr>
            <w:tcW w:w="419" w:type="dxa"/>
            <w:tcBorders>
              <w:top w:val="nil"/>
              <w:left w:val="nil"/>
              <w:bottom w:val="single" w:sz="4" w:space="0" w:color="AAB8C4"/>
              <w:right w:val="nil"/>
            </w:tcBorders>
            <w:noWrap/>
            <w:vAlign w:val="bottom"/>
            <w:hideMark/>
          </w:tcPr>
          <w:p w14:paraId="62B35EF5"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4" w:space="0" w:color="AAB8C4"/>
              <w:right w:val="nil"/>
            </w:tcBorders>
            <w:vAlign w:val="bottom"/>
            <w:hideMark/>
          </w:tcPr>
          <w:p w14:paraId="164EDA10" w14:textId="77777777" w:rsidR="00B65EDC" w:rsidRPr="00912A85" w:rsidRDefault="00B65EDC">
            <w:pPr>
              <w:jc w:val="left"/>
              <w:rPr>
                <w:rFonts w:ascii="Arial Narrow" w:hAnsi="Arial Narrow" w:cs="Arial"/>
                <w:b/>
                <w:bCs/>
              </w:rPr>
            </w:pPr>
            <w:r w:rsidRPr="00912A85">
              <w:rPr>
                <w:rFonts w:ascii="Arial Narrow" w:hAnsi="Arial Narrow" w:cs="Arial"/>
                <w:b/>
                <w:bCs/>
              </w:rPr>
              <w:t>Sub-total</w:t>
            </w:r>
          </w:p>
        </w:tc>
        <w:tc>
          <w:tcPr>
            <w:tcW w:w="1142" w:type="dxa"/>
            <w:tcBorders>
              <w:top w:val="nil"/>
              <w:left w:val="nil"/>
              <w:bottom w:val="single" w:sz="4" w:space="0" w:color="AAB8C4"/>
              <w:right w:val="nil"/>
            </w:tcBorders>
            <w:vAlign w:val="bottom"/>
            <w:hideMark/>
          </w:tcPr>
          <w:p w14:paraId="6A10515B"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3 </w:t>
            </w:r>
          </w:p>
        </w:tc>
        <w:tc>
          <w:tcPr>
            <w:tcW w:w="1123" w:type="dxa"/>
            <w:tcBorders>
              <w:top w:val="nil"/>
              <w:left w:val="nil"/>
              <w:bottom w:val="single" w:sz="4" w:space="0" w:color="AAB8C4"/>
              <w:right w:val="nil"/>
            </w:tcBorders>
            <w:vAlign w:val="bottom"/>
            <w:hideMark/>
          </w:tcPr>
          <w:p w14:paraId="0F0DFD15"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2 </w:t>
            </w:r>
          </w:p>
        </w:tc>
        <w:tc>
          <w:tcPr>
            <w:tcW w:w="933" w:type="dxa"/>
            <w:tcBorders>
              <w:top w:val="nil"/>
              <w:left w:val="nil"/>
              <w:bottom w:val="nil"/>
              <w:right w:val="nil"/>
            </w:tcBorders>
            <w:vAlign w:val="bottom"/>
            <w:hideMark/>
          </w:tcPr>
          <w:p w14:paraId="26B2CD1F" w14:textId="77777777" w:rsidR="00B65EDC" w:rsidRPr="00912A85" w:rsidRDefault="00B65EDC">
            <w:pPr>
              <w:jc w:val="right"/>
              <w:rPr>
                <w:rFonts w:ascii="Arial Narrow" w:hAnsi="Arial Narrow" w:cs="Arial"/>
                <w:b/>
                <w:bCs/>
              </w:rPr>
            </w:pPr>
            <w:r w:rsidRPr="00912A85">
              <w:rPr>
                <w:rFonts w:ascii="Arial Narrow" w:hAnsi="Arial Narrow" w:cs="Arial"/>
                <w:b/>
                <w:bCs/>
              </w:rPr>
              <w:t>-</w:t>
            </w:r>
          </w:p>
        </w:tc>
        <w:tc>
          <w:tcPr>
            <w:tcW w:w="1123" w:type="dxa"/>
            <w:tcBorders>
              <w:top w:val="nil"/>
              <w:left w:val="nil"/>
              <w:bottom w:val="nil"/>
              <w:right w:val="nil"/>
            </w:tcBorders>
            <w:vAlign w:val="bottom"/>
            <w:hideMark/>
          </w:tcPr>
          <w:p w14:paraId="3473E478" w14:textId="77777777" w:rsidR="00B65EDC" w:rsidRPr="00912A85" w:rsidRDefault="00B65EDC">
            <w:pPr>
              <w:jc w:val="right"/>
              <w:rPr>
                <w:rFonts w:ascii="Arial Narrow" w:hAnsi="Arial Narrow" w:cs="Arial"/>
                <w:b/>
                <w:bCs/>
              </w:rPr>
            </w:pPr>
            <w:r w:rsidRPr="00912A85">
              <w:rPr>
                <w:rFonts w:ascii="Arial Narrow" w:hAnsi="Arial Narrow" w:cs="Arial"/>
                <w:b/>
                <w:bCs/>
              </w:rPr>
              <w:t>0%</w:t>
            </w:r>
          </w:p>
        </w:tc>
        <w:tc>
          <w:tcPr>
            <w:tcW w:w="1218" w:type="dxa"/>
            <w:tcBorders>
              <w:top w:val="nil"/>
              <w:left w:val="nil"/>
              <w:bottom w:val="nil"/>
              <w:right w:val="nil"/>
            </w:tcBorders>
            <w:vAlign w:val="bottom"/>
            <w:hideMark/>
          </w:tcPr>
          <w:p w14:paraId="5D10B100" w14:textId="77777777" w:rsidR="00B65EDC" w:rsidRPr="00912A85" w:rsidRDefault="00B65EDC">
            <w:pPr>
              <w:jc w:val="right"/>
              <w:rPr>
                <w:rFonts w:ascii="Arial Narrow" w:hAnsi="Arial Narrow" w:cs="Arial"/>
                <w:b/>
                <w:bCs/>
              </w:rPr>
            </w:pPr>
            <w:r w:rsidRPr="00912A85">
              <w:rPr>
                <w:rFonts w:ascii="Arial Narrow" w:hAnsi="Arial Narrow" w:cs="Arial"/>
                <w:b/>
                <w:bCs/>
              </w:rPr>
              <w:t>2</w:t>
            </w:r>
          </w:p>
        </w:tc>
      </w:tr>
      <w:tr w:rsidR="00B65EDC" w:rsidRPr="00912A85" w14:paraId="3B97A3E4" w14:textId="77777777" w:rsidTr="00A538F6">
        <w:trPr>
          <w:trHeight w:val="352"/>
          <w:jc w:val="center"/>
        </w:trPr>
        <w:tc>
          <w:tcPr>
            <w:tcW w:w="419" w:type="dxa"/>
            <w:tcBorders>
              <w:top w:val="nil"/>
              <w:left w:val="nil"/>
              <w:bottom w:val="single" w:sz="8" w:space="0" w:color="AAB8C4"/>
              <w:right w:val="nil"/>
            </w:tcBorders>
            <w:noWrap/>
            <w:vAlign w:val="bottom"/>
            <w:hideMark/>
          </w:tcPr>
          <w:p w14:paraId="4B994EFC"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8" w:space="0" w:color="AAB8C4"/>
              <w:right w:val="nil"/>
            </w:tcBorders>
            <w:vAlign w:val="bottom"/>
            <w:hideMark/>
          </w:tcPr>
          <w:p w14:paraId="5377E73F" w14:textId="77777777" w:rsidR="00B65EDC" w:rsidRPr="00912A85" w:rsidRDefault="00B65EDC">
            <w:pPr>
              <w:jc w:val="left"/>
              <w:rPr>
                <w:rFonts w:ascii="Arial Narrow" w:hAnsi="Arial Narrow" w:cs="Arial"/>
                <w:b/>
                <w:bCs/>
                <w:color w:val="000000"/>
              </w:rPr>
            </w:pPr>
            <w:r w:rsidRPr="00912A85">
              <w:rPr>
                <w:rFonts w:ascii="Arial Narrow" w:hAnsi="Arial Narrow" w:cs="Arial"/>
                <w:b/>
                <w:bCs/>
                <w:color w:val="000000"/>
              </w:rPr>
              <w:t>Total, B</w:t>
            </w:r>
          </w:p>
        </w:tc>
        <w:tc>
          <w:tcPr>
            <w:tcW w:w="1142" w:type="dxa"/>
            <w:tcBorders>
              <w:top w:val="nil"/>
              <w:left w:val="nil"/>
              <w:bottom w:val="single" w:sz="8" w:space="0" w:color="AAB8C4"/>
              <w:right w:val="nil"/>
            </w:tcBorders>
            <w:vAlign w:val="bottom"/>
            <w:hideMark/>
          </w:tcPr>
          <w:p w14:paraId="39EF4397"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2,756 </w:t>
            </w:r>
          </w:p>
        </w:tc>
        <w:tc>
          <w:tcPr>
            <w:tcW w:w="1123" w:type="dxa"/>
            <w:tcBorders>
              <w:top w:val="nil"/>
              <w:left w:val="nil"/>
              <w:bottom w:val="single" w:sz="8" w:space="0" w:color="AAB8C4"/>
              <w:right w:val="nil"/>
            </w:tcBorders>
            <w:vAlign w:val="bottom"/>
            <w:hideMark/>
          </w:tcPr>
          <w:p w14:paraId="2B00BA52" w14:textId="77777777" w:rsidR="00B65EDC" w:rsidRPr="00912A85" w:rsidRDefault="00B65EDC">
            <w:pPr>
              <w:jc w:val="right"/>
              <w:rPr>
                <w:rFonts w:ascii="Arial Narrow" w:hAnsi="Arial Narrow" w:cs="Arial"/>
                <w:b/>
                <w:bCs/>
              </w:rPr>
            </w:pPr>
            <w:r w:rsidRPr="00912A85">
              <w:rPr>
                <w:rFonts w:ascii="Arial Narrow" w:hAnsi="Arial Narrow" w:cs="Arial"/>
                <w:b/>
                <w:bCs/>
              </w:rPr>
              <w:t xml:space="preserve">2,147 </w:t>
            </w:r>
          </w:p>
        </w:tc>
        <w:tc>
          <w:tcPr>
            <w:tcW w:w="933" w:type="dxa"/>
            <w:tcBorders>
              <w:top w:val="single" w:sz="4" w:space="0" w:color="BFBFBF"/>
              <w:left w:val="nil"/>
              <w:bottom w:val="single" w:sz="8" w:space="0" w:color="BFBFBF"/>
              <w:right w:val="nil"/>
            </w:tcBorders>
            <w:vAlign w:val="bottom"/>
            <w:hideMark/>
          </w:tcPr>
          <w:p w14:paraId="55F893AF" w14:textId="77777777" w:rsidR="00B65EDC" w:rsidRPr="00912A85" w:rsidRDefault="00B65EDC">
            <w:pPr>
              <w:jc w:val="right"/>
              <w:rPr>
                <w:rFonts w:ascii="Arial Narrow" w:hAnsi="Arial Narrow" w:cs="Arial"/>
                <w:b/>
                <w:bCs/>
              </w:rPr>
            </w:pPr>
            <w:r w:rsidRPr="00912A85">
              <w:rPr>
                <w:rFonts w:ascii="Arial Narrow" w:hAnsi="Arial Narrow" w:cs="Arial"/>
                <w:b/>
                <w:bCs/>
              </w:rPr>
              <w:t>(271)</w:t>
            </w:r>
          </w:p>
        </w:tc>
        <w:tc>
          <w:tcPr>
            <w:tcW w:w="1123" w:type="dxa"/>
            <w:tcBorders>
              <w:top w:val="single" w:sz="4" w:space="0" w:color="BFBFBF"/>
              <w:left w:val="nil"/>
              <w:bottom w:val="single" w:sz="8" w:space="0" w:color="BFBFBF"/>
              <w:right w:val="nil"/>
            </w:tcBorders>
            <w:vAlign w:val="bottom"/>
            <w:hideMark/>
          </w:tcPr>
          <w:p w14:paraId="3C468DBF" w14:textId="77777777" w:rsidR="00B65EDC" w:rsidRPr="00912A85" w:rsidRDefault="00B65EDC">
            <w:pPr>
              <w:jc w:val="right"/>
              <w:rPr>
                <w:rFonts w:ascii="Arial Narrow" w:hAnsi="Arial Narrow" w:cs="Arial"/>
                <w:b/>
                <w:bCs/>
              </w:rPr>
            </w:pPr>
            <w:r w:rsidRPr="00912A85">
              <w:rPr>
                <w:rFonts w:ascii="Arial Narrow" w:hAnsi="Arial Narrow" w:cs="Arial"/>
                <w:b/>
                <w:bCs/>
              </w:rPr>
              <w:t>-13%</w:t>
            </w:r>
          </w:p>
        </w:tc>
        <w:tc>
          <w:tcPr>
            <w:tcW w:w="1218" w:type="dxa"/>
            <w:tcBorders>
              <w:top w:val="single" w:sz="4" w:space="0" w:color="AAB8C4"/>
              <w:left w:val="nil"/>
              <w:bottom w:val="single" w:sz="8" w:space="0" w:color="AAB8C4"/>
              <w:right w:val="nil"/>
            </w:tcBorders>
            <w:vAlign w:val="bottom"/>
            <w:hideMark/>
          </w:tcPr>
          <w:p w14:paraId="79B8A4CF" w14:textId="77777777" w:rsidR="00B65EDC" w:rsidRPr="00912A85" w:rsidRDefault="00B65EDC">
            <w:pPr>
              <w:jc w:val="right"/>
              <w:rPr>
                <w:rFonts w:ascii="Arial Narrow" w:hAnsi="Arial Narrow" w:cs="Arial"/>
                <w:b/>
                <w:bCs/>
              </w:rPr>
            </w:pPr>
            <w:r w:rsidRPr="00912A85">
              <w:rPr>
                <w:rFonts w:ascii="Arial Narrow" w:hAnsi="Arial Narrow" w:cs="Arial"/>
                <w:b/>
                <w:bCs/>
              </w:rPr>
              <w:t>1,876</w:t>
            </w:r>
          </w:p>
        </w:tc>
      </w:tr>
      <w:tr w:rsidR="00B65EDC" w:rsidRPr="00912A85" w14:paraId="2BC3E8B7" w14:textId="77777777" w:rsidTr="00252926">
        <w:trPr>
          <w:trHeight w:val="352"/>
          <w:jc w:val="center"/>
        </w:trPr>
        <w:tc>
          <w:tcPr>
            <w:tcW w:w="419" w:type="dxa"/>
            <w:tcBorders>
              <w:top w:val="nil"/>
              <w:left w:val="nil"/>
              <w:bottom w:val="single" w:sz="8" w:space="0" w:color="AAB8C4"/>
              <w:right w:val="nil"/>
            </w:tcBorders>
            <w:noWrap/>
            <w:vAlign w:val="bottom"/>
            <w:hideMark/>
          </w:tcPr>
          <w:p w14:paraId="4377440F" w14:textId="77777777" w:rsidR="00B65EDC" w:rsidRPr="00912A85" w:rsidRDefault="00B65EDC">
            <w:pPr>
              <w:jc w:val="left"/>
              <w:rPr>
                <w:rFonts w:cs="Arial"/>
                <w:b/>
                <w:bCs/>
              </w:rPr>
            </w:pPr>
            <w:r w:rsidRPr="00912A85">
              <w:rPr>
                <w:rFonts w:cs="Arial"/>
                <w:b/>
                <w:bCs/>
              </w:rPr>
              <w:t> </w:t>
            </w:r>
          </w:p>
        </w:tc>
        <w:tc>
          <w:tcPr>
            <w:tcW w:w="3123" w:type="dxa"/>
            <w:tcBorders>
              <w:top w:val="nil"/>
              <w:left w:val="nil"/>
              <w:bottom w:val="single" w:sz="8" w:space="0" w:color="AAB8C4"/>
              <w:right w:val="nil"/>
            </w:tcBorders>
            <w:vAlign w:val="bottom"/>
            <w:hideMark/>
          </w:tcPr>
          <w:p w14:paraId="517AD24F" w14:textId="77777777" w:rsidR="00B65EDC" w:rsidRPr="00912A85" w:rsidRDefault="00B65EDC" w:rsidP="00252926">
            <w:pPr>
              <w:jc w:val="left"/>
              <w:rPr>
                <w:rFonts w:ascii="Arial Narrow" w:hAnsi="Arial Narrow" w:cs="Arial"/>
                <w:b/>
                <w:bCs/>
              </w:rPr>
            </w:pPr>
            <w:r w:rsidRPr="00912A85">
              <w:rPr>
                <w:rFonts w:ascii="Arial Narrow" w:hAnsi="Arial Narrow" w:cs="Arial"/>
                <w:b/>
                <w:bCs/>
              </w:rPr>
              <w:t>TOTAL, A + B</w:t>
            </w:r>
          </w:p>
        </w:tc>
        <w:tc>
          <w:tcPr>
            <w:tcW w:w="1142" w:type="dxa"/>
            <w:tcBorders>
              <w:top w:val="nil"/>
              <w:left w:val="nil"/>
              <w:bottom w:val="single" w:sz="8" w:space="0" w:color="AAB8C4"/>
              <w:right w:val="nil"/>
            </w:tcBorders>
            <w:vAlign w:val="bottom"/>
            <w:hideMark/>
          </w:tcPr>
          <w:p w14:paraId="6FE2F8E3"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 xml:space="preserve">7,382 </w:t>
            </w:r>
          </w:p>
        </w:tc>
        <w:tc>
          <w:tcPr>
            <w:tcW w:w="1123" w:type="dxa"/>
            <w:tcBorders>
              <w:top w:val="nil"/>
              <w:left w:val="nil"/>
              <w:bottom w:val="single" w:sz="8" w:space="0" w:color="AAB8C4"/>
              <w:right w:val="nil"/>
            </w:tcBorders>
            <w:vAlign w:val="bottom"/>
            <w:hideMark/>
          </w:tcPr>
          <w:p w14:paraId="717314A6"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 xml:space="preserve">7,901 </w:t>
            </w:r>
          </w:p>
        </w:tc>
        <w:tc>
          <w:tcPr>
            <w:tcW w:w="933" w:type="dxa"/>
            <w:tcBorders>
              <w:top w:val="single" w:sz="4" w:space="0" w:color="BFBFBF"/>
              <w:left w:val="nil"/>
              <w:bottom w:val="single" w:sz="8" w:space="0" w:color="BFBFBF"/>
              <w:right w:val="nil"/>
            </w:tcBorders>
            <w:vAlign w:val="bottom"/>
            <w:hideMark/>
          </w:tcPr>
          <w:p w14:paraId="66EC0BA1"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(285)</w:t>
            </w:r>
          </w:p>
        </w:tc>
        <w:tc>
          <w:tcPr>
            <w:tcW w:w="1123" w:type="dxa"/>
            <w:tcBorders>
              <w:top w:val="nil"/>
              <w:left w:val="nil"/>
              <w:bottom w:val="single" w:sz="8" w:space="0" w:color="BFBFBF"/>
              <w:right w:val="nil"/>
            </w:tcBorders>
            <w:vAlign w:val="bottom"/>
            <w:hideMark/>
          </w:tcPr>
          <w:p w14:paraId="08870BEA"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-4%</w:t>
            </w:r>
          </w:p>
        </w:tc>
        <w:tc>
          <w:tcPr>
            <w:tcW w:w="1218" w:type="dxa"/>
            <w:tcBorders>
              <w:top w:val="nil"/>
              <w:left w:val="nil"/>
              <w:bottom w:val="single" w:sz="8" w:space="0" w:color="AAB8C4"/>
              <w:right w:val="nil"/>
            </w:tcBorders>
            <w:vAlign w:val="bottom"/>
            <w:hideMark/>
          </w:tcPr>
          <w:p w14:paraId="3FE0BD1D" w14:textId="77777777" w:rsidR="00B65EDC" w:rsidRPr="00912A85" w:rsidRDefault="00B65EDC" w:rsidP="00252926">
            <w:pPr>
              <w:jc w:val="right"/>
              <w:rPr>
                <w:rFonts w:ascii="Arial Narrow" w:hAnsi="Arial Narrow" w:cs="Arial"/>
                <w:b/>
                <w:bCs/>
              </w:rPr>
            </w:pPr>
            <w:r w:rsidRPr="00912A85">
              <w:rPr>
                <w:rFonts w:ascii="Arial Narrow" w:hAnsi="Arial Narrow" w:cs="Arial"/>
                <w:b/>
                <w:bCs/>
              </w:rPr>
              <w:t>7,616</w:t>
            </w:r>
          </w:p>
        </w:tc>
      </w:tr>
    </w:tbl>
    <w:p w14:paraId="6053C7C1" w14:textId="77777777" w:rsidR="00B65EDC" w:rsidRPr="00912A85" w:rsidRDefault="00B65EDC" w:rsidP="00B65EDC">
      <w:pPr>
        <w:pStyle w:val="Heading3"/>
      </w:pPr>
      <w:bookmarkStart w:id="449" w:name="_Toc208999642"/>
      <w:r w:rsidRPr="00912A85">
        <w:lastRenderedPageBreak/>
        <w:t>Personnel costs</w:t>
      </w:r>
      <w:bookmarkEnd w:id="449"/>
    </w:p>
    <w:p w14:paraId="0923123B" w14:textId="77777777" w:rsidR="00B65EDC" w:rsidRPr="00912A85" w:rsidRDefault="00B65EDC" w:rsidP="00ED7F3E">
      <w:pPr>
        <w:keepNext/>
      </w:pPr>
    </w:p>
    <w:p w14:paraId="217F101E" w14:textId="36F49A51"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Personnel costs </w:t>
      </w:r>
      <w:proofErr w:type="gramStart"/>
      <w:r w:rsidRPr="00912A85">
        <w:t>focuses</w:t>
      </w:r>
      <w:proofErr w:type="gramEnd"/>
      <w:r w:rsidRPr="00912A85">
        <w:t xml:space="preserve"> on priority areas in accordance with UPOV’s Strategic Business Plan (SBP) 202</w:t>
      </w:r>
      <w:r w:rsidR="008D623E">
        <w:t>6</w:t>
      </w:r>
      <w:r w:rsidRPr="00912A85">
        <w:t>-202</w:t>
      </w:r>
      <w:r w:rsidR="008D623E">
        <w:t>9.</w:t>
      </w:r>
    </w:p>
    <w:p w14:paraId="229A0898" w14:textId="77777777" w:rsidR="00B65EDC" w:rsidRPr="00912A85" w:rsidRDefault="00B65EDC" w:rsidP="00B65EDC"/>
    <w:p w14:paraId="0A4883D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Containment of personnel costs is foreseen through in-built vacancy rates on both regular and temporary positions. Communication and digitalization work will play a key role to achieve the expected results. </w:t>
      </w:r>
    </w:p>
    <w:p w14:paraId="1AF59F2D" w14:textId="77777777" w:rsidR="00B65EDC" w:rsidRPr="00912A85" w:rsidRDefault="00B65EDC" w:rsidP="00B65EDC"/>
    <w:p w14:paraId="5BE8484E" w14:textId="51FC5ED2"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Two temporary positions have been budgeted in the </w:t>
      </w:r>
      <w:r w:rsidR="00521C0D">
        <w:t>2026</w:t>
      </w:r>
      <w:r w:rsidR="00521C0D">
        <w:noBreakHyphen/>
        <w:t>2027</w:t>
      </w:r>
      <w:r w:rsidRPr="00912A85">
        <w:t xml:space="preserve"> biennium to support those priority areas. While the IT position was already budgeted for 2024-2025, the selected candidate accepted another job offer.  The exercise illustrated the need to review the approach to attract and retain qualified IT experts.  The </w:t>
      </w:r>
      <w:r w:rsidR="00EB37D1">
        <w:t xml:space="preserve">role of the </w:t>
      </w:r>
      <w:r w:rsidRPr="00912A85">
        <w:t>IT</w:t>
      </w:r>
      <w:r w:rsidR="00EB37D1">
        <w:t> </w:t>
      </w:r>
      <w:r w:rsidRPr="00912A85">
        <w:t xml:space="preserve">expert </w:t>
      </w:r>
      <w:r w:rsidR="00EB37D1">
        <w:t xml:space="preserve">is to </w:t>
      </w:r>
      <w:r w:rsidRPr="00912A85">
        <w:t>implement key areas of UPOV’s work, in particular, the development and maintenance of UPOV tools and services (PLUTO, UPOV PRISMA, DUS Exchange Module, TG template).</w:t>
      </w:r>
    </w:p>
    <w:p w14:paraId="792AB2B2" w14:textId="77777777" w:rsidR="00B65EDC" w:rsidRPr="00912A85" w:rsidRDefault="00B65EDC" w:rsidP="00B65EDC"/>
    <w:p w14:paraId="7616591C" w14:textId="2B7DB2F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One General Service position will become vacant in 2025 due to retirement. </w:t>
      </w:r>
      <w:r w:rsidR="00EB37D1">
        <w:t xml:space="preserve"> </w:t>
      </w:r>
      <w:r w:rsidRPr="00912A85">
        <w:t xml:space="preserve">This position has been budgeted for </w:t>
      </w:r>
      <w:r w:rsidR="00521C0D">
        <w:t>2026</w:t>
      </w:r>
      <w:r w:rsidR="00521C0D">
        <w:noBreakHyphen/>
        <w:t>2027</w:t>
      </w:r>
      <w:r w:rsidRPr="00912A85">
        <w:t xml:space="preserve"> under the Professional category to address the growing demand for PVP assistance and guidance. </w:t>
      </w:r>
    </w:p>
    <w:p w14:paraId="52659084" w14:textId="77777777" w:rsidR="00B65EDC" w:rsidRPr="00912A85" w:rsidRDefault="00B65EDC" w:rsidP="00B65EDC"/>
    <w:p w14:paraId="1D65EFD9" w14:textId="77777777" w:rsidR="00B65EDC" w:rsidRPr="00912A85" w:rsidRDefault="00B65EDC" w:rsidP="00B65EDC">
      <w:pPr>
        <w:pStyle w:val="ListParagraph"/>
        <w:tabs>
          <w:tab w:val="left" w:pos="851"/>
        </w:tabs>
        <w:ind w:left="0"/>
        <w:contextualSpacing w:val="0"/>
        <w:rPr>
          <w:spacing w:val="-2"/>
        </w:rPr>
      </w:pPr>
    </w:p>
    <w:p w14:paraId="6AAF0DC7" w14:textId="39C6363B" w:rsidR="00B65EDC" w:rsidRPr="00912A85" w:rsidRDefault="00B65EDC" w:rsidP="00B65EDC">
      <w:pPr>
        <w:jc w:val="center"/>
        <w:rPr>
          <w:rFonts w:cs="Arial"/>
          <w:b/>
          <w:bCs/>
          <w:color w:val="26724C" w:themeColor="accent1" w:themeShade="BF"/>
        </w:rPr>
      </w:pPr>
      <w:r w:rsidRPr="00912A85">
        <w:rPr>
          <w:rFonts w:cs="Arial"/>
          <w:b/>
          <w:bCs/>
          <w:color w:val="26724C" w:themeColor="accent1" w:themeShade="BF"/>
        </w:rPr>
        <w:t xml:space="preserve">Table 5:  Budget </w:t>
      </w:r>
      <w:r w:rsidR="00521C0D">
        <w:rPr>
          <w:rFonts w:cs="Arial"/>
          <w:b/>
          <w:bCs/>
          <w:color w:val="26724C" w:themeColor="accent1" w:themeShade="BF"/>
        </w:rPr>
        <w:t>2026</w:t>
      </w:r>
      <w:r w:rsidR="00521C0D">
        <w:rPr>
          <w:rFonts w:cs="Arial"/>
          <w:b/>
          <w:bCs/>
          <w:color w:val="26724C" w:themeColor="accent1" w:themeShade="BF"/>
        </w:rPr>
        <w:noBreakHyphen/>
        <w:t>2027</w:t>
      </w:r>
      <w:r w:rsidRPr="00912A85">
        <w:rPr>
          <w:rFonts w:cs="Arial"/>
          <w:b/>
          <w:bCs/>
          <w:color w:val="26724C" w:themeColor="accent1" w:themeShade="BF"/>
        </w:rPr>
        <w:t>:  Posts by Category</w:t>
      </w:r>
    </w:p>
    <w:p w14:paraId="58B0831A" w14:textId="77777777" w:rsidR="00B65EDC" w:rsidRPr="00912A85" w:rsidRDefault="00B65EDC" w:rsidP="00B65EDC">
      <w:pPr>
        <w:rPr>
          <w:rFonts w:cs="Arial"/>
          <w:b/>
          <w:bCs/>
          <w:color w:val="26724C" w:themeColor="accent1" w:themeShade="BF"/>
        </w:rPr>
      </w:pPr>
    </w:p>
    <w:tbl>
      <w:tblPr>
        <w:tblW w:w="7980" w:type="dxa"/>
        <w:jc w:val="center"/>
        <w:tblLook w:val="04A0" w:firstRow="1" w:lastRow="0" w:firstColumn="1" w:lastColumn="0" w:noHBand="0" w:noVBand="1"/>
      </w:tblPr>
      <w:tblGrid>
        <w:gridCol w:w="2260"/>
        <w:gridCol w:w="1480"/>
        <w:gridCol w:w="1440"/>
        <w:gridCol w:w="1400"/>
        <w:gridCol w:w="1400"/>
      </w:tblGrid>
      <w:tr w:rsidR="00B65EDC" w:rsidRPr="00912A85" w14:paraId="1A51A639" w14:textId="77777777">
        <w:trPr>
          <w:trHeight w:val="460"/>
          <w:jc w:val="center"/>
        </w:trPr>
        <w:tc>
          <w:tcPr>
            <w:tcW w:w="2260" w:type="dxa"/>
            <w:tcBorders>
              <w:top w:val="nil"/>
              <w:left w:val="nil"/>
              <w:bottom w:val="nil"/>
              <w:right w:val="nil"/>
            </w:tcBorders>
            <w:shd w:val="clear" w:color="000000" w:fill="C7CFD8"/>
            <w:vAlign w:val="center"/>
            <w:hideMark/>
          </w:tcPr>
          <w:p w14:paraId="06A2674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Post Category </w:t>
            </w:r>
          </w:p>
        </w:tc>
        <w:tc>
          <w:tcPr>
            <w:tcW w:w="1480" w:type="dxa"/>
            <w:tcBorders>
              <w:top w:val="nil"/>
              <w:left w:val="nil"/>
              <w:bottom w:val="nil"/>
              <w:right w:val="nil"/>
            </w:tcBorders>
            <w:shd w:val="clear" w:color="000000" w:fill="C7CFD8"/>
            <w:vAlign w:val="center"/>
            <w:hideMark/>
          </w:tcPr>
          <w:p w14:paraId="1F6182D6"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2023</w:t>
            </w:r>
            <w:r w:rsidRPr="00912A85">
              <w:rPr>
                <w:rFonts w:ascii="Arial Narrow" w:hAnsi="Arial Narrow" w:cs="Arial"/>
                <w:b/>
                <w:bCs/>
                <w:sz w:val="18"/>
                <w:szCs w:val="18"/>
              </w:rPr>
              <w:br/>
              <w:t xml:space="preserve">Actual </w:t>
            </w:r>
          </w:p>
        </w:tc>
        <w:tc>
          <w:tcPr>
            <w:tcW w:w="1440" w:type="dxa"/>
            <w:tcBorders>
              <w:top w:val="nil"/>
              <w:left w:val="nil"/>
              <w:bottom w:val="nil"/>
              <w:right w:val="nil"/>
            </w:tcBorders>
            <w:shd w:val="clear" w:color="000000" w:fill="C7CFD8"/>
            <w:vAlign w:val="center"/>
            <w:hideMark/>
          </w:tcPr>
          <w:p w14:paraId="7AE5165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2025</w:t>
            </w:r>
            <w:r w:rsidRPr="00912A85">
              <w:rPr>
                <w:rFonts w:ascii="Arial Narrow" w:hAnsi="Arial Narrow" w:cs="Arial"/>
                <w:b/>
                <w:bCs/>
                <w:sz w:val="18"/>
                <w:szCs w:val="18"/>
              </w:rPr>
              <w:br/>
              <w:t xml:space="preserve">Budget  </w:t>
            </w:r>
          </w:p>
        </w:tc>
        <w:tc>
          <w:tcPr>
            <w:tcW w:w="1400" w:type="dxa"/>
            <w:tcBorders>
              <w:top w:val="nil"/>
              <w:left w:val="nil"/>
              <w:bottom w:val="nil"/>
              <w:right w:val="nil"/>
            </w:tcBorders>
            <w:shd w:val="clear" w:color="000000" w:fill="C7CFD8"/>
            <w:vAlign w:val="center"/>
            <w:hideMark/>
          </w:tcPr>
          <w:p w14:paraId="4198110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Variation </w:t>
            </w:r>
          </w:p>
        </w:tc>
        <w:tc>
          <w:tcPr>
            <w:tcW w:w="1400" w:type="dxa"/>
            <w:tcBorders>
              <w:top w:val="nil"/>
              <w:left w:val="nil"/>
              <w:bottom w:val="nil"/>
              <w:right w:val="nil"/>
            </w:tcBorders>
            <w:shd w:val="clear" w:color="000000" w:fill="C7CFD8"/>
            <w:vAlign w:val="center"/>
            <w:hideMark/>
          </w:tcPr>
          <w:p w14:paraId="01D31823" w14:textId="25F98AE6"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r w:rsidR="00B65EDC" w:rsidRPr="00912A85">
              <w:rPr>
                <w:rFonts w:ascii="Arial Narrow" w:hAnsi="Arial Narrow" w:cs="Arial"/>
                <w:b/>
                <w:bCs/>
                <w:sz w:val="18"/>
                <w:szCs w:val="18"/>
              </w:rPr>
              <w:t xml:space="preserve"> Proposed </w:t>
            </w:r>
          </w:p>
        </w:tc>
      </w:tr>
      <w:tr w:rsidR="00B65EDC" w:rsidRPr="00912A85" w14:paraId="071FF521" w14:textId="77777777">
        <w:trPr>
          <w:trHeight w:val="250"/>
          <w:jc w:val="center"/>
        </w:trPr>
        <w:tc>
          <w:tcPr>
            <w:tcW w:w="2260" w:type="dxa"/>
            <w:tcBorders>
              <w:top w:val="nil"/>
              <w:left w:val="nil"/>
              <w:bottom w:val="nil"/>
              <w:right w:val="nil"/>
            </w:tcBorders>
            <w:shd w:val="clear" w:color="000000" w:fill="C7CFD8"/>
            <w:vAlign w:val="center"/>
            <w:hideMark/>
          </w:tcPr>
          <w:p w14:paraId="4962925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w:t>
            </w:r>
          </w:p>
        </w:tc>
        <w:tc>
          <w:tcPr>
            <w:tcW w:w="1480" w:type="dxa"/>
            <w:tcBorders>
              <w:top w:val="nil"/>
              <w:left w:val="nil"/>
              <w:bottom w:val="nil"/>
              <w:right w:val="nil"/>
            </w:tcBorders>
            <w:shd w:val="clear" w:color="000000" w:fill="C7CFD8"/>
            <w:vAlign w:val="center"/>
            <w:hideMark/>
          </w:tcPr>
          <w:p w14:paraId="6594852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 </w:t>
            </w:r>
          </w:p>
        </w:tc>
        <w:tc>
          <w:tcPr>
            <w:tcW w:w="1440" w:type="dxa"/>
            <w:tcBorders>
              <w:top w:val="nil"/>
              <w:left w:val="nil"/>
              <w:bottom w:val="nil"/>
              <w:right w:val="nil"/>
            </w:tcBorders>
            <w:shd w:val="clear" w:color="000000" w:fill="C7CFD8"/>
            <w:vAlign w:val="center"/>
            <w:hideMark/>
          </w:tcPr>
          <w:p w14:paraId="0DC4B41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 </w:t>
            </w:r>
          </w:p>
        </w:tc>
        <w:tc>
          <w:tcPr>
            <w:tcW w:w="1400" w:type="dxa"/>
            <w:tcBorders>
              <w:top w:val="nil"/>
              <w:left w:val="nil"/>
              <w:bottom w:val="nil"/>
              <w:right w:val="nil"/>
            </w:tcBorders>
            <w:shd w:val="clear" w:color="000000" w:fill="C7CFD8"/>
            <w:vAlign w:val="center"/>
            <w:hideMark/>
          </w:tcPr>
          <w:p w14:paraId="4E3E5D9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C-B </w:t>
            </w:r>
          </w:p>
        </w:tc>
        <w:tc>
          <w:tcPr>
            <w:tcW w:w="1400" w:type="dxa"/>
            <w:tcBorders>
              <w:top w:val="nil"/>
              <w:left w:val="nil"/>
              <w:bottom w:val="nil"/>
              <w:right w:val="nil"/>
            </w:tcBorders>
            <w:shd w:val="clear" w:color="000000" w:fill="C7CFD8"/>
            <w:vAlign w:val="center"/>
            <w:hideMark/>
          </w:tcPr>
          <w:p w14:paraId="4998D493"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C </w:t>
            </w:r>
          </w:p>
        </w:tc>
      </w:tr>
      <w:tr w:rsidR="00B65EDC" w:rsidRPr="00912A85" w14:paraId="39E43C40" w14:textId="77777777" w:rsidTr="00A538F6">
        <w:trPr>
          <w:trHeight w:val="150"/>
          <w:jc w:val="center"/>
        </w:trPr>
        <w:tc>
          <w:tcPr>
            <w:tcW w:w="2260" w:type="dxa"/>
            <w:tcBorders>
              <w:top w:val="nil"/>
              <w:left w:val="nil"/>
              <w:bottom w:val="nil"/>
              <w:right w:val="nil"/>
            </w:tcBorders>
            <w:hideMark/>
          </w:tcPr>
          <w:p w14:paraId="700BB1C7" w14:textId="77777777" w:rsidR="00B65EDC" w:rsidRPr="00912A85" w:rsidRDefault="00B65EDC">
            <w:pPr>
              <w:jc w:val="center"/>
              <w:rPr>
                <w:rFonts w:ascii="Arial Narrow" w:hAnsi="Arial Narrow" w:cs="Arial"/>
                <w:b/>
                <w:bCs/>
                <w:sz w:val="18"/>
                <w:szCs w:val="18"/>
              </w:rPr>
            </w:pPr>
          </w:p>
        </w:tc>
        <w:tc>
          <w:tcPr>
            <w:tcW w:w="1480" w:type="dxa"/>
            <w:tcBorders>
              <w:top w:val="nil"/>
              <w:left w:val="nil"/>
              <w:bottom w:val="nil"/>
              <w:right w:val="nil"/>
            </w:tcBorders>
            <w:hideMark/>
          </w:tcPr>
          <w:p w14:paraId="0BB00161" w14:textId="77777777" w:rsidR="00B65EDC" w:rsidRPr="00912A85" w:rsidRDefault="00B65EDC">
            <w:pPr>
              <w:rPr>
                <w:rFonts w:ascii="Times New Roman" w:hAnsi="Times New Roman"/>
              </w:rPr>
            </w:pPr>
          </w:p>
        </w:tc>
        <w:tc>
          <w:tcPr>
            <w:tcW w:w="1440" w:type="dxa"/>
            <w:tcBorders>
              <w:top w:val="nil"/>
              <w:left w:val="nil"/>
              <w:bottom w:val="nil"/>
              <w:right w:val="nil"/>
            </w:tcBorders>
            <w:hideMark/>
          </w:tcPr>
          <w:p w14:paraId="7A3190DF" w14:textId="77777777" w:rsidR="00B65EDC" w:rsidRPr="00912A85" w:rsidRDefault="00B65EDC">
            <w:pPr>
              <w:jc w:val="center"/>
              <w:rPr>
                <w:rFonts w:ascii="Times New Roman" w:hAnsi="Times New Roman"/>
              </w:rPr>
            </w:pPr>
          </w:p>
        </w:tc>
        <w:tc>
          <w:tcPr>
            <w:tcW w:w="1400" w:type="dxa"/>
            <w:tcBorders>
              <w:top w:val="nil"/>
              <w:left w:val="nil"/>
              <w:bottom w:val="nil"/>
              <w:right w:val="nil"/>
            </w:tcBorders>
            <w:hideMark/>
          </w:tcPr>
          <w:p w14:paraId="5A8FA269" w14:textId="77777777" w:rsidR="00B65EDC" w:rsidRPr="00912A85" w:rsidRDefault="00B65EDC">
            <w:pPr>
              <w:jc w:val="center"/>
              <w:rPr>
                <w:rFonts w:ascii="Times New Roman" w:hAnsi="Times New Roman"/>
              </w:rPr>
            </w:pPr>
          </w:p>
        </w:tc>
        <w:tc>
          <w:tcPr>
            <w:tcW w:w="1400" w:type="dxa"/>
            <w:tcBorders>
              <w:top w:val="nil"/>
              <w:left w:val="nil"/>
              <w:bottom w:val="nil"/>
              <w:right w:val="nil"/>
            </w:tcBorders>
            <w:hideMark/>
          </w:tcPr>
          <w:p w14:paraId="53568975" w14:textId="77777777" w:rsidR="00B65EDC" w:rsidRPr="00912A85" w:rsidRDefault="00B65EDC">
            <w:pPr>
              <w:jc w:val="left"/>
              <w:rPr>
                <w:rFonts w:ascii="Times New Roman" w:hAnsi="Times New Roman"/>
              </w:rPr>
            </w:pPr>
          </w:p>
        </w:tc>
      </w:tr>
      <w:tr w:rsidR="00B65EDC" w:rsidRPr="00912A85" w14:paraId="55AE34D3" w14:textId="77777777" w:rsidTr="00A538F6">
        <w:trPr>
          <w:trHeight w:val="330"/>
          <w:jc w:val="center"/>
        </w:trPr>
        <w:tc>
          <w:tcPr>
            <w:tcW w:w="2260" w:type="dxa"/>
            <w:tcBorders>
              <w:top w:val="nil"/>
              <w:left w:val="nil"/>
              <w:bottom w:val="nil"/>
              <w:right w:val="nil"/>
            </w:tcBorders>
            <w:hideMark/>
          </w:tcPr>
          <w:p w14:paraId="03E82890" w14:textId="77777777" w:rsidR="00B65EDC" w:rsidRPr="00912A85" w:rsidRDefault="00B65EDC">
            <w:pPr>
              <w:rPr>
                <w:rFonts w:ascii="Arial Narrow" w:hAnsi="Arial Narrow" w:cs="Arial"/>
              </w:rPr>
            </w:pPr>
            <w:r w:rsidRPr="00912A85">
              <w:rPr>
                <w:rFonts w:ascii="Arial Narrow" w:hAnsi="Arial Narrow" w:cs="Arial"/>
              </w:rPr>
              <w:t>Directors*</w:t>
            </w:r>
          </w:p>
        </w:tc>
        <w:tc>
          <w:tcPr>
            <w:tcW w:w="1480" w:type="dxa"/>
            <w:tcBorders>
              <w:top w:val="nil"/>
              <w:left w:val="nil"/>
              <w:bottom w:val="nil"/>
              <w:right w:val="nil"/>
            </w:tcBorders>
          </w:tcPr>
          <w:p w14:paraId="7C68D076" w14:textId="77777777" w:rsidR="00B65EDC" w:rsidRPr="00912A85" w:rsidRDefault="00B65EDC">
            <w:pPr>
              <w:jc w:val="center"/>
              <w:rPr>
                <w:rFonts w:ascii="Arial Narrow" w:hAnsi="Arial Narrow" w:cs="Arial"/>
              </w:rPr>
            </w:pPr>
            <w:r w:rsidRPr="00912A85">
              <w:rPr>
                <w:rFonts w:ascii="Arial Narrow" w:hAnsi="Arial Narrow" w:cs="Arial"/>
              </w:rPr>
              <w:t>4</w:t>
            </w:r>
          </w:p>
        </w:tc>
        <w:tc>
          <w:tcPr>
            <w:tcW w:w="1440" w:type="dxa"/>
            <w:tcBorders>
              <w:top w:val="nil"/>
              <w:left w:val="nil"/>
              <w:bottom w:val="nil"/>
              <w:right w:val="nil"/>
            </w:tcBorders>
          </w:tcPr>
          <w:p w14:paraId="5C1228E4" w14:textId="77777777" w:rsidR="00B65EDC" w:rsidRPr="00912A85" w:rsidRDefault="00B65EDC">
            <w:pPr>
              <w:jc w:val="center"/>
              <w:rPr>
                <w:rFonts w:ascii="Arial Narrow" w:hAnsi="Arial Narrow" w:cs="Arial"/>
              </w:rPr>
            </w:pPr>
            <w:r w:rsidRPr="00912A85">
              <w:rPr>
                <w:rFonts w:ascii="Arial Narrow" w:hAnsi="Arial Narrow" w:cs="Arial"/>
              </w:rPr>
              <w:t>4</w:t>
            </w:r>
          </w:p>
        </w:tc>
        <w:tc>
          <w:tcPr>
            <w:tcW w:w="1400" w:type="dxa"/>
            <w:tcBorders>
              <w:top w:val="nil"/>
              <w:left w:val="nil"/>
              <w:bottom w:val="nil"/>
              <w:right w:val="nil"/>
            </w:tcBorders>
          </w:tcPr>
          <w:p w14:paraId="3FB78D91" w14:textId="77777777" w:rsidR="00B65EDC" w:rsidRPr="00912A85" w:rsidRDefault="00B65EDC">
            <w:pPr>
              <w:jc w:val="center"/>
              <w:rPr>
                <w:rFonts w:ascii="Arial Narrow" w:hAnsi="Arial Narrow" w:cs="Arial"/>
              </w:rPr>
            </w:pPr>
            <w:r w:rsidRPr="00912A85">
              <w:rPr>
                <w:rFonts w:ascii="Arial Narrow" w:hAnsi="Arial Narrow" w:cs="Arial"/>
              </w:rPr>
              <w:t>0</w:t>
            </w:r>
          </w:p>
        </w:tc>
        <w:tc>
          <w:tcPr>
            <w:tcW w:w="1400" w:type="dxa"/>
            <w:tcBorders>
              <w:top w:val="nil"/>
              <w:left w:val="nil"/>
              <w:bottom w:val="nil"/>
              <w:right w:val="nil"/>
            </w:tcBorders>
          </w:tcPr>
          <w:p w14:paraId="7FBECC3D" w14:textId="77777777" w:rsidR="00B65EDC" w:rsidRPr="00912A85" w:rsidRDefault="00B65EDC">
            <w:pPr>
              <w:jc w:val="center"/>
              <w:rPr>
                <w:rFonts w:ascii="Arial Narrow" w:hAnsi="Arial Narrow" w:cs="Arial"/>
              </w:rPr>
            </w:pPr>
            <w:r w:rsidRPr="00912A85">
              <w:rPr>
                <w:rFonts w:ascii="Arial Narrow" w:hAnsi="Arial Narrow" w:cs="Arial"/>
              </w:rPr>
              <w:t>4</w:t>
            </w:r>
          </w:p>
        </w:tc>
      </w:tr>
      <w:tr w:rsidR="00B65EDC" w:rsidRPr="00912A85" w14:paraId="68644C30" w14:textId="77777777" w:rsidTr="00A538F6">
        <w:trPr>
          <w:trHeight w:val="330"/>
          <w:jc w:val="center"/>
        </w:trPr>
        <w:tc>
          <w:tcPr>
            <w:tcW w:w="2260" w:type="dxa"/>
            <w:tcBorders>
              <w:top w:val="nil"/>
              <w:left w:val="nil"/>
              <w:bottom w:val="nil"/>
              <w:right w:val="nil"/>
            </w:tcBorders>
            <w:hideMark/>
          </w:tcPr>
          <w:p w14:paraId="172D5573" w14:textId="77777777" w:rsidR="00B65EDC" w:rsidRPr="00912A85" w:rsidRDefault="00B65EDC">
            <w:pPr>
              <w:rPr>
                <w:rFonts w:ascii="Arial Narrow" w:hAnsi="Arial Narrow" w:cs="Arial"/>
              </w:rPr>
            </w:pPr>
            <w:r w:rsidRPr="00912A85">
              <w:rPr>
                <w:rFonts w:ascii="Arial Narrow" w:hAnsi="Arial Narrow" w:cs="Arial"/>
              </w:rPr>
              <w:t>Professionals</w:t>
            </w:r>
          </w:p>
        </w:tc>
        <w:tc>
          <w:tcPr>
            <w:tcW w:w="1480" w:type="dxa"/>
            <w:tcBorders>
              <w:top w:val="nil"/>
              <w:left w:val="nil"/>
              <w:bottom w:val="nil"/>
              <w:right w:val="nil"/>
            </w:tcBorders>
          </w:tcPr>
          <w:p w14:paraId="4133EB9A" w14:textId="77777777" w:rsidR="00B65EDC" w:rsidRPr="00912A85" w:rsidRDefault="00B65EDC">
            <w:pPr>
              <w:jc w:val="center"/>
              <w:rPr>
                <w:rFonts w:ascii="Arial Narrow" w:hAnsi="Arial Narrow" w:cs="Arial"/>
              </w:rPr>
            </w:pPr>
            <w:r w:rsidRPr="00912A85">
              <w:rPr>
                <w:rFonts w:ascii="Arial Narrow" w:hAnsi="Arial Narrow" w:cs="Arial"/>
              </w:rPr>
              <w:t>2</w:t>
            </w:r>
          </w:p>
        </w:tc>
        <w:tc>
          <w:tcPr>
            <w:tcW w:w="1440" w:type="dxa"/>
            <w:tcBorders>
              <w:top w:val="nil"/>
              <w:left w:val="nil"/>
              <w:bottom w:val="nil"/>
              <w:right w:val="nil"/>
            </w:tcBorders>
          </w:tcPr>
          <w:p w14:paraId="7FE25014" w14:textId="77777777" w:rsidR="00B65EDC" w:rsidRPr="00912A85" w:rsidRDefault="00B65EDC">
            <w:pPr>
              <w:jc w:val="center"/>
              <w:rPr>
                <w:rFonts w:ascii="Arial Narrow" w:hAnsi="Arial Narrow" w:cs="Arial"/>
              </w:rPr>
            </w:pPr>
            <w:r w:rsidRPr="00912A85">
              <w:rPr>
                <w:rFonts w:ascii="Arial Narrow" w:hAnsi="Arial Narrow" w:cs="Arial"/>
              </w:rPr>
              <w:t>7</w:t>
            </w:r>
          </w:p>
        </w:tc>
        <w:tc>
          <w:tcPr>
            <w:tcW w:w="1400" w:type="dxa"/>
            <w:tcBorders>
              <w:top w:val="nil"/>
              <w:left w:val="nil"/>
              <w:bottom w:val="nil"/>
              <w:right w:val="nil"/>
            </w:tcBorders>
          </w:tcPr>
          <w:p w14:paraId="28270701"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tcPr>
          <w:p w14:paraId="7C446F07" w14:textId="77777777" w:rsidR="00B65EDC" w:rsidRPr="00912A85" w:rsidRDefault="00B65EDC">
            <w:pPr>
              <w:jc w:val="center"/>
              <w:rPr>
                <w:rFonts w:ascii="Arial Narrow" w:hAnsi="Arial Narrow" w:cs="Arial"/>
              </w:rPr>
            </w:pPr>
            <w:r w:rsidRPr="00912A85">
              <w:rPr>
                <w:rFonts w:ascii="Arial Narrow" w:hAnsi="Arial Narrow" w:cs="Arial"/>
              </w:rPr>
              <w:t>8</w:t>
            </w:r>
          </w:p>
        </w:tc>
      </w:tr>
      <w:tr w:rsidR="00B65EDC" w:rsidRPr="00912A85" w14:paraId="78E3CFCD" w14:textId="77777777" w:rsidTr="00A538F6">
        <w:trPr>
          <w:trHeight w:val="330"/>
          <w:jc w:val="center"/>
        </w:trPr>
        <w:tc>
          <w:tcPr>
            <w:tcW w:w="2260" w:type="dxa"/>
            <w:tcBorders>
              <w:top w:val="nil"/>
              <w:left w:val="nil"/>
              <w:bottom w:val="nil"/>
              <w:right w:val="nil"/>
            </w:tcBorders>
            <w:hideMark/>
          </w:tcPr>
          <w:p w14:paraId="6ACBB5F6" w14:textId="77777777" w:rsidR="00B65EDC" w:rsidRPr="00912A85" w:rsidRDefault="00B65EDC">
            <w:pPr>
              <w:rPr>
                <w:rFonts w:ascii="Arial Narrow" w:hAnsi="Arial Narrow" w:cs="Arial"/>
              </w:rPr>
            </w:pPr>
            <w:r w:rsidRPr="00912A85">
              <w:rPr>
                <w:rFonts w:ascii="Arial Narrow" w:hAnsi="Arial Narrow" w:cs="Arial"/>
              </w:rPr>
              <w:t>General Service</w:t>
            </w:r>
          </w:p>
        </w:tc>
        <w:tc>
          <w:tcPr>
            <w:tcW w:w="1480" w:type="dxa"/>
            <w:tcBorders>
              <w:top w:val="nil"/>
              <w:left w:val="nil"/>
              <w:bottom w:val="nil"/>
              <w:right w:val="nil"/>
            </w:tcBorders>
          </w:tcPr>
          <w:p w14:paraId="2410871E" w14:textId="77777777" w:rsidR="00B65EDC" w:rsidRPr="00912A85" w:rsidRDefault="00B65EDC">
            <w:pPr>
              <w:jc w:val="center"/>
              <w:rPr>
                <w:rFonts w:ascii="Arial Narrow" w:hAnsi="Arial Narrow" w:cs="Arial"/>
              </w:rPr>
            </w:pPr>
            <w:r w:rsidRPr="00912A85">
              <w:rPr>
                <w:rFonts w:ascii="Arial Narrow" w:hAnsi="Arial Narrow" w:cs="Arial"/>
              </w:rPr>
              <w:t>5</w:t>
            </w:r>
          </w:p>
        </w:tc>
        <w:tc>
          <w:tcPr>
            <w:tcW w:w="1440" w:type="dxa"/>
            <w:tcBorders>
              <w:top w:val="nil"/>
              <w:left w:val="nil"/>
              <w:bottom w:val="nil"/>
              <w:right w:val="nil"/>
            </w:tcBorders>
          </w:tcPr>
          <w:p w14:paraId="291C6157" w14:textId="77777777" w:rsidR="00B65EDC" w:rsidRPr="00912A85" w:rsidRDefault="00B65EDC">
            <w:pPr>
              <w:jc w:val="center"/>
              <w:rPr>
                <w:rFonts w:ascii="Arial Narrow" w:hAnsi="Arial Narrow" w:cs="Arial"/>
              </w:rPr>
            </w:pPr>
            <w:r w:rsidRPr="00912A85">
              <w:rPr>
                <w:rFonts w:ascii="Arial Narrow" w:hAnsi="Arial Narrow" w:cs="Arial"/>
              </w:rPr>
              <w:t>4</w:t>
            </w:r>
          </w:p>
        </w:tc>
        <w:tc>
          <w:tcPr>
            <w:tcW w:w="1400" w:type="dxa"/>
            <w:tcBorders>
              <w:top w:val="nil"/>
              <w:left w:val="nil"/>
              <w:bottom w:val="nil"/>
              <w:right w:val="nil"/>
            </w:tcBorders>
          </w:tcPr>
          <w:p w14:paraId="40CF1F78"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tcPr>
          <w:p w14:paraId="64F728C4" w14:textId="77777777" w:rsidR="00B65EDC" w:rsidRPr="00912A85" w:rsidRDefault="00B65EDC">
            <w:pPr>
              <w:jc w:val="center"/>
              <w:rPr>
                <w:rFonts w:ascii="Arial Narrow" w:hAnsi="Arial Narrow" w:cs="Arial"/>
              </w:rPr>
            </w:pPr>
            <w:r w:rsidRPr="00912A85">
              <w:rPr>
                <w:rFonts w:ascii="Arial Narrow" w:hAnsi="Arial Narrow" w:cs="Arial"/>
              </w:rPr>
              <w:t>3</w:t>
            </w:r>
          </w:p>
        </w:tc>
      </w:tr>
      <w:tr w:rsidR="00B65EDC" w:rsidRPr="00912A85" w14:paraId="54F15454" w14:textId="77777777" w:rsidTr="00A538F6">
        <w:trPr>
          <w:trHeight w:val="330"/>
          <w:jc w:val="center"/>
        </w:trPr>
        <w:tc>
          <w:tcPr>
            <w:tcW w:w="2260" w:type="dxa"/>
            <w:tcBorders>
              <w:top w:val="single" w:sz="4" w:space="0" w:color="AAB8C4"/>
              <w:left w:val="nil"/>
              <w:bottom w:val="single" w:sz="8" w:space="0" w:color="AAB8C4"/>
              <w:right w:val="nil"/>
            </w:tcBorders>
            <w:vAlign w:val="center"/>
            <w:hideMark/>
          </w:tcPr>
          <w:p w14:paraId="56A7DB31" w14:textId="77777777" w:rsidR="00B65EDC" w:rsidRPr="00912A85" w:rsidRDefault="00B65EDC">
            <w:pPr>
              <w:rPr>
                <w:rFonts w:ascii="Arial Narrow" w:hAnsi="Arial Narrow" w:cs="Arial"/>
                <w:b/>
                <w:bCs/>
              </w:rPr>
            </w:pPr>
            <w:r w:rsidRPr="00912A85">
              <w:rPr>
                <w:rFonts w:ascii="Arial Narrow" w:hAnsi="Arial Narrow" w:cs="Arial"/>
                <w:b/>
                <w:bCs/>
              </w:rPr>
              <w:t>Total</w:t>
            </w:r>
          </w:p>
        </w:tc>
        <w:tc>
          <w:tcPr>
            <w:tcW w:w="1480" w:type="dxa"/>
            <w:tcBorders>
              <w:top w:val="single" w:sz="4" w:space="0" w:color="AAB8C4"/>
              <w:left w:val="nil"/>
              <w:bottom w:val="single" w:sz="8" w:space="0" w:color="AAB8C4"/>
              <w:right w:val="nil"/>
            </w:tcBorders>
            <w:vAlign w:val="center"/>
          </w:tcPr>
          <w:p w14:paraId="0090BA0D" w14:textId="77777777" w:rsidR="00B65EDC" w:rsidRPr="00912A85" w:rsidRDefault="00B65EDC">
            <w:pPr>
              <w:jc w:val="center"/>
              <w:rPr>
                <w:rFonts w:ascii="Arial Narrow" w:hAnsi="Arial Narrow" w:cs="Arial"/>
                <w:b/>
                <w:bCs/>
              </w:rPr>
            </w:pPr>
            <w:r w:rsidRPr="00912A85">
              <w:rPr>
                <w:rFonts w:ascii="Arial Narrow" w:hAnsi="Arial Narrow" w:cs="Arial"/>
                <w:b/>
                <w:bCs/>
              </w:rPr>
              <w:t>11</w:t>
            </w:r>
          </w:p>
        </w:tc>
        <w:tc>
          <w:tcPr>
            <w:tcW w:w="1440" w:type="dxa"/>
            <w:tcBorders>
              <w:top w:val="single" w:sz="4" w:space="0" w:color="AAB8C4"/>
              <w:left w:val="nil"/>
              <w:bottom w:val="single" w:sz="8" w:space="0" w:color="AAB8C4"/>
              <w:right w:val="nil"/>
            </w:tcBorders>
            <w:vAlign w:val="center"/>
          </w:tcPr>
          <w:p w14:paraId="4B3E30A1" w14:textId="77777777" w:rsidR="00B65EDC" w:rsidRPr="00912A85" w:rsidRDefault="00B65EDC">
            <w:pPr>
              <w:jc w:val="center"/>
              <w:rPr>
                <w:rFonts w:ascii="Arial Narrow" w:hAnsi="Arial Narrow" w:cs="Arial"/>
                <w:b/>
                <w:bCs/>
              </w:rPr>
            </w:pPr>
            <w:r w:rsidRPr="00912A85">
              <w:rPr>
                <w:rFonts w:ascii="Arial Narrow" w:hAnsi="Arial Narrow" w:cs="Arial"/>
                <w:b/>
                <w:bCs/>
              </w:rPr>
              <w:t>15</w:t>
            </w:r>
          </w:p>
        </w:tc>
        <w:tc>
          <w:tcPr>
            <w:tcW w:w="1400" w:type="dxa"/>
            <w:tcBorders>
              <w:top w:val="single" w:sz="4" w:space="0" w:color="AAB8C4"/>
              <w:left w:val="nil"/>
              <w:bottom w:val="single" w:sz="8" w:space="0" w:color="AAB8C4"/>
              <w:right w:val="nil"/>
            </w:tcBorders>
            <w:vAlign w:val="center"/>
          </w:tcPr>
          <w:p w14:paraId="2BDC7B44" w14:textId="77777777" w:rsidR="00B65EDC" w:rsidRPr="00912A85" w:rsidRDefault="00B65EDC">
            <w:pPr>
              <w:jc w:val="center"/>
              <w:rPr>
                <w:rFonts w:ascii="Arial Narrow" w:hAnsi="Arial Narrow" w:cs="Arial"/>
              </w:rPr>
            </w:pPr>
            <w:r w:rsidRPr="00912A85">
              <w:rPr>
                <w:rFonts w:ascii="Arial Narrow" w:hAnsi="Arial Narrow" w:cs="Arial"/>
                <w:b/>
                <w:bCs/>
              </w:rPr>
              <w:t>0</w:t>
            </w:r>
          </w:p>
        </w:tc>
        <w:tc>
          <w:tcPr>
            <w:tcW w:w="1400" w:type="dxa"/>
            <w:tcBorders>
              <w:top w:val="single" w:sz="4" w:space="0" w:color="AAB8C4"/>
              <w:left w:val="nil"/>
              <w:bottom w:val="single" w:sz="8" w:space="0" w:color="AAB8C4"/>
              <w:right w:val="nil"/>
            </w:tcBorders>
            <w:vAlign w:val="center"/>
          </w:tcPr>
          <w:p w14:paraId="4471986D" w14:textId="77777777" w:rsidR="00B65EDC" w:rsidRPr="00912A85" w:rsidRDefault="00B65EDC">
            <w:pPr>
              <w:jc w:val="center"/>
              <w:rPr>
                <w:rFonts w:ascii="Arial Narrow" w:hAnsi="Arial Narrow" w:cs="Arial"/>
                <w:b/>
                <w:bCs/>
              </w:rPr>
            </w:pPr>
            <w:r w:rsidRPr="00912A85">
              <w:rPr>
                <w:rFonts w:ascii="Arial Narrow" w:hAnsi="Arial Narrow" w:cs="Arial"/>
                <w:b/>
                <w:bCs/>
              </w:rPr>
              <w:t>15</w:t>
            </w:r>
          </w:p>
        </w:tc>
      </w:tr>
    </w:tbl>
    <w:p w14:paraId="493D0656" w14:textId="77777777" w:rsidR="00B65EDC" w:rsidRPr="00912A85" w:rsidRDefault="00B65EDC" w:rsidP="00B65EDC">
      <w:pPr>
        <w:rPr>
          <w:spacing w:val="-2"/>
          <w:szCs w:val="24"/>
        </w:rPr>
      </w:pPr>
    </w:p>
    <w:p w14:paraId="4528F9B1" w14:textId="77777777" w:rsidR="00B65EDC" w:rsidRPr="00912A85" w:rsidRDefault="00B65EDC" w:rsidP="00B65EDC">
      <w:pPr>
        <w:ind w:left="851" w:right="850"/>
        <w:rPr>
          <w:spacing w:val="-2"/>
          <w:sz w:val="16"/>
          <w:szCs w:val="24"/>
        </w:rPr>
      </w:pPr>
      <w:r w:rsidRPr="00912A85">
        <w:rPr>
          <w:spacing w:val="-2"/>
          <w:sz w:val="16"/>
          <w:szCs w:val="24"/>
        </w:rPr>
        <w:t>* The post of the Secretary-General</w:t>
      </w:r>
      <w:r w:rsidRPr="00912A85">
        <w:rPr>
          <w:rStyle w:val="FootnoteReference"/>
          <w:spacing w:val="-2"/>
          <w:sz w:val="16"/>
          <w:szCs w:val="24"/>
        </w:rPr>
        <w:footnoteReference w:id="3"/>
      </w:r>
      <w:r w:rsidRPr="00912A85">
        <w:rPr>
          <w:spacing w:val="-2"/>
          <w:sz w:val="16"/>
          <w:szCs w:val="24"/>
        </w:rPr>
        <w:t xml:space="preserve"> is included within this count, but at no cost, because the current Director General of WIPO has declined any salary or allowance from his functions as Secretary-General of UPOV.</w:t>
      </w:r>
    </w:p>
    <w:p w14:paraId="4FFFDD15" w14:textId="77777777" w:rsidR="00B65EDC" w:rsidRPr="00912A85" w:rsidRDefault="00B65EDC" w:rsidP="00B65EDC">
      <w:pPr>
        <w:jc w:val="left"/>
      </w:pPr>
    </w:p>
    <w:p w14:paraId="25D14A0B" w14:textId="77777777" w:rsidR="00B65EDC" w:rsidRPr="00912A85" w:rsidRDefault="00B65EDC" w:rsidP="00B65EDC">
      <w:pPr>
        <w:jc w:val="left"/>
      </w:pPr>
    </w:p>
    <w:p w14:paraId="6912528C" w14:textId="6F72AC06"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table below provides an indication of the flexible workforce, i.e. temporary staff, agency workers, </w:t>
      </w:r>
      <w:r w:rsidRPr="00912A85">
        <w:rPr>
          <w:rFonts w:cs="Arial"/>
        </w:rPr>
        <w:t xml:space="preserve">JPOs, which may be utilized in the </w:t>
      </w:r>
      <w:r w:rsidR="00521C0D">
        <w:rPr>
          <w:rFonts w:cs="Arial"/>
        </w:rPr>
        <w:t>2026</w:t>
      </w:r>
      <w:r w:rsidR="00521C0D">
        <w:rPr>
          <w:rFonts w:cs="Arial"/>
        </w:rPr>
        <w:noBreakHyphen/>
        <w:t>2027</w:t>
      </w:r>
      <w:r w:rsidRPr="00912A85">
        <w:rPr>
          <w:rFonts w:cs="Arial"/>
        </w:rPr>
        <w:t xml:space="preserve"> biennium, </w:t>
      </w:r>
      <w:r w:rsidRPr="00912A85">
        <w:t>subject to the availability of resources from the regular budget, extra</w:t>
      </w:r>
      <w:r w:rsidR="008F3A5C">
        <w:t>-</w:t>
      </w:r>
      <w:r w:rsidRPr="00912A85">
        <w:t>budgetary funds and provision of personnel resources by members of the Union.</w:t>
      </w:r>
    </w:p>
    <w:p w14:paraId="7EF5BACB" w14:textId="77777777" w:rsidR="00B65EDC" w:rsidRPr="00912A85" w:rsidRDefault="00B65EDC" w:rsidP="00B65EDC"/>
    <w:p w14:paraId="340BFA34" w14:textId="4E16CB31"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“Program for the use of the Chinese language in UPOV” adopted by the UPOV Council on October 29, 2021, refers to the commitment of the Chinese Government for a Chinese-speaking professional to work for UPOV, in Geneva, via the JPO program. </w:t>
      </w:r>
      <w:r w:rsidR="00014EC4">
        <w:t xml:space="preserve"> </w:t>
      </w:r>
      <w:r w:rsidRPr="00912A85">
        <w:t xml:space="preserve">It is anticipated that a JPO financed by China will start working in the UPOV Office in 2025 and that the JPO program with China will continue during the </w:t>
      </w:r>
      <w:r w:rsidR="00521C0D">
        <w:t>2026</w:t>
      </w:r>
      <w:r w:rsidR="00521C0D">
        <w:noBreakHyphen/>
        <w:t>2027</w:t>
      </w:r>
      <w:r w:rsidRPr="00912A85">
        <w:t xml:space="preserve"> biennium.</w:t>
      </w:r>
    </w:p>
    <w:p w14:paraId="4A8A6B7D" w14:textId="77777777" w:rsidR="00B65EDC" w:rsidRPr="00912A85" w:rsidRDefault="00B65EDC" w:rsidP="00B65EDC"/>
    <w:p w14:paraId="3B4A8901" w14:textId="42443593"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new FIT Program with Japan is expected to start in 2025. </w:t>
      </w:r>
      <w:r w:rsidR="00014EC4">
        <w:t xml:space="preserve"> </w:t>
      </w:r>
      <w:r w:rsidRPr="00912A85">
        <w:t xml:space="preserve">The Program will include a JPO financed by Japan with the task of gathering and disseminating information on the benefits of PVP and UPOV membership in accordance with UPOV’s communication strategy.  It is expected that the new FIT Program with Japan will continue during the </w:t>
      </w:r>
      <w:r w:rsidR="00521C0D">
        <w:t>2026</w:t>
      </w:r>
      <w:r w:rsidR="00521C0D">
        <w:noBreakHyphen/>
        <w:t>2027</w:t>
      </w:r>
      <w:r w:rsidRPr="00912A85">
        <w:t xml:space="preserve"> biennium.</w:t>
      </w:r>
    </w:p>
    <w:p w14:paraId="3576C919" w14:textId="77777777" w:rsidR="00B65EDC" w:rsidRPr="00912A85" w:rsidRDefault="00B65EDC" w:rsidP="00B65EDC"/>
    <w:p w14:paraId="290DA6D7" w14:textId="277F7F1D" w:rsidR="00B65EDC" w:rsidRPr="00912A85" w:rsidRDefault="00B65EDC" w:rsidP="00B65EDC">
      <w:pPr>
        <w:keepNext/>
      </w:pPr>
      <w:r w:rsidRPr="00912A85">
        <w:fldChar w:fldCharType="begin"/>
      </w:r>
      <w:r w:rsidRPr="00912A85">
        <w:instrText xml:space="preserve"> AUTONUM  </w:instrText>
      </w:r>
      <w:r w:rsidRPr="00912A85">
        <w:fldChar w:fldCharType="end"/>
      </w:r>
      <w:r w:rsidRPr="00912A85">
        <w:tab/>
        <w:t xml:space="preserve">The tasks being performed in the past by </w:t>
      </w:r>
      <w:bookmarkStart w:id="450" w:name="_Hlk190014573"/>
      <w:r w:rsidRPr="00912A85">
        <w:t xml:space="preserve">one agency worker </w:t>
      </w:r>
      <w:bookmarkEnd w:id="450"/>
      <w:r w:rsidRPr="00912A85">
        <w:t xml:space="preserve">have now been transformed into the regular post of an Associate Services Support Officer.  To ensure the need to adapt to evolving needs with the increased demand for UPOV services and activities, one agency worker has been budgeted for the </w:t>
      </w:r>
      <w:r w:rsidR="00521C0D">
        <w:t>2026</w:t>
      </w:r>
      <w:r w:rsidR="00521C0D">
        <w:noBreakHyphen/>
        <w:t>2027</w:t>
      </w:r>
      <w:r w:rsidRPr="00912A85">
        <w:t xml:space="preserve"> biennium.</w:t>
      </w:r>
    </w:p>
    <w:p w14:paraId="0BC64905" w14:textId="77777777" w:rsidR="00B65EDC" w:rsidRPr="00912A85" w:rsidRDefault="00B65EDC" w:rsidP="00B65EDC"/>
    <w:p w14:paraId="50EC0029" w14:textId="77777777" w:rsidR="00B65EDC" w:rsidRPr="00912A85" w:rsidRDefault="00B65EDC" w:rsidP="00B65EDC"/>
    <w:tbl>
      <w:tblPr>
        <w:tblW w:w="6580" w:type="dxa"/>
        <w:jc w:val="center"/>
        <w:tblLook w:val="04A0" w:firstRow="1" w:lastRow="0" w:firstColumn="1" w:lastColumn="0" w:noHBand="0" w:noVBand="1"/>
      </w:tblPr>
      <w:tblGrid>
        <w:gridCol w:w="2260"/>
        <w:gridCol w:w="1480"/>
        <w:gridCol w:w="1440"/>
        <w:gridCol w:w="1400"/>
      </w:tblGrid>
      <w:tr w:rsidR="00B65EDC" w:rsidRPr="00912A85" w14:paraId="1213579E" w14:textId="77777777">
        <w:trPr>
          <w:trHeight w:val="520"/>
          <w:jc w:val="center"/>
        </w:trPr>
        <w:tc>
          <w:tcPr>
            <w:tcW w:w="2260" w:type="dxa"/>
            <w:vMerge w:val="restart"/>
            <w:tcBorders>
              <w:top w:val="nil"/>
              <w:left w:val="nil"/>
              <w:bottom w:val="nil"/>
              <w:right w:val="nil"/>
            </w:tcBorders>
            <w:shd w:val="clear" w:color="000000" w:fill="C7CFD8"/>
            <w:vAlign w:val="bottom"/>
            <w:hideMark/>
          </w:tcPr>
          <w:p w14:paraId="08CEF958" w14:textId="77777777" w:rsidR="00B65EDC" w:rsidRPr="00912A85" w:rsidRDefault="00B65EDC">
            <w:pPr>
              <w:jc w:val="left"/>
              <w:rPr>
                <w:rFonts w:ascii="Arial Narrow" w:hAnsi="Arial Narrow" w:cs="Arial"/>
              </w:rPr>
            </w:pPr>
            <w:r w:rsidRPr="00912A85">
              <w:rPr>
                <w:rFonts w:ascii="Arial Narrow" w:hAnsi="Arial Narrow" w:cs="Arial"/>
              </w:rPr>
              <w:lastRenderedPageBreak/>
              <w:t> </w:t>
            </w:r>
          </w:p>
        </w:tc>
        <w:tc>
          <w:tcPr>
            <w:tcW w:w="1480" w:type="dxa"/>
            <w:tcBorders>
              <w:top w:val="nil"/>
              <w:left w:val="nil"/>
              <w:right w:val="nil"/>
            </w:tcBorders>
            <w:shd w:val="clear" w:color="000000" w:fill="C7CFD8"/>
            <w:vAlign w:val="center"/>
            <w:hideMark/>
          </w:tcPr>
          <w:p w14:paraId="07404D49"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2022</w:t>
            </w:r>
            <w:r w:rsidRPr="00912A85">
              <w:rPr>
                <w:rFonts w:ascii="Arial Narrow" w:hAnsi="Arial Narrow" w:cs="Arial"/>
                <w:b/>
                <w:bCs/>
                <w:i/>
                <w:iCs/>
              </w:rPr>
              <w:noBreakHyphen/>
              <w:t>2023 Actual</w:t>
            </w:r>
          </w:p>
        </w:tc>
        <w:tc>
          <w:tcPr>
            <w:tcW w:w="1440" w:type="dxa"/>
            <w:tcBorders>
              <w:top w:val="nil"/>
              <w:left w:val="nil"/>
              <w:right w:val="nil"/>
            </w:tcBorders>
            <w:shd w:val="clear" w:color="000000" w:fill="C7CFD8"/>
            <w:vAlign w:val="center"/>
            <w:hideMark/>
          </w:tcPr>
          <w:p w14:paraId="48E1925B"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2024</w:t>
            </w:r>
            <w:r w:rsidRPr="00912A85">
              <w:rPr>
                <w:rFonts w:ascii="Arial Narrow" w:hAnsi="Arial Narrow" w:cs="Arial"/>
                <w:b/>
                <w:bCs/>
                <w:i/>
                <w:iCs/>
              </w:rPr>
              <w:noBreakHyphen/>
              <w:t>2025 Budget</w:t>
            </w:r>
          </w:p>
        </w:tc>
        <w:tc>
          <w:tcPr>
            <w:tcW w:w="1400" w:type="dxa"/>
            <w:tcBorders>
              <w:top w:val="nil"/>
              <w:left w:val="nil"/>
              <w:right w:val="nil"/>
            </w:tcBorders>
            <w:shd w:val="clear" w:color="000000" w:fill="C7CFD8"/>
            <w:vAlign w:val="center"/>
            <w:hideMark/>
          </w:tcPr>
          <w:p w14:paraId="10B886AD" w14:textId="62A135AD" w:rsidR="00B65EDC" w:rsidRPr="00912A85" w:rsidRDefault="00521C0D">
            <w:pPr>
              <w:jc w:val="center"/>
              <w:rPr>
                <w:rFonts w:ascii="Arial Narrow" w:hAnsi="Arial Narrow" w:cs="Arial"/>
                <w:b/>
                <w:bCs/>
                <w:i/>
                <w:iCs/>
              </w:rPr>
            </w:pPr>
            <w:r>
              <w:rPr>
                <w:rFonts w:ascii="Arial Narrow" w:hAnsi="Arial Narrow" w:cs="Arial"/>
                <w:b/>
                <w:bCs/>
                <w:i/>
                <w:iCs/>
              </w:rPr>
              <w:t>2026</w:t>
            </w:r>
            <w:r>
              <w:rPr>
                <w:rFonts w:ascii="Arial Narrow" w:hAnsi="Arial Narrow" w:cs="Arial"/>
                <w:b/>
                <w:bCs/>
                <w:i/>
                <w:iCs/>
              </w:rPr>
              <w:noBreakHyphen/>
              <w:t>2027</w:t>
            </w:r>
            <w:r w:rsidR="00B65EDC" w:rsidRPr="00912A85">
              <w:rPr>
                <w:rFonts w:ascii="Arial Narrow" w:hAnsi="Arial Narrow" w:cs="Arial"/>
                <w:b/>
                <w:bCs/>
                <w:i/>
                <w:iCs/>
              </w:rPr>
              <w:t xml:space="preserve"> Proposed</w:t>
            </w:r>
          </w:p>
        </w:tc>
      </w:tr>
      <w:tr w:rsidR="00B65EDC" w:rsidRPr="00912A85" w14:paraId="27B2D43F" w14:textId="77777777">
        <w:trPr>
          <w:trHeight w:val="260"/>
          <w:jc w:val="center"/>
        </w:trPr>
        <w:tc>
          <w:tcPr>
            <w:tcW w:w="2260" w:type="dxa"/>
            <w:vMerge/>
            <w:tcBorders>
              <w:top w:val="nil"/>
              <w:left w:val="nil"/>
              <w:bottom w:val="nil"/>
              <w:right w:val="nil"/>
            </w:tcBorders>
            <w:vAlign w:val="center"/>
            <w:hideMark/>
          </w:tcPr>
          <w:p w14:paraId="0B1507CB" w14:textId="77777777" w:rsidR="00B65EDC" w:rsidRPr="00912A85" w:rsidRDefault="00B65EDC">
            <w:pPr>
              <w:jc w:val="left"/>
              <w:rPr>
                <w:rFonts w:ascii="Arial Narrow" w:hAnsi="Arial Narrow" w:cs="Arial"/>
              </w:rPr>
            </w:pPr>
          </w:p>
        </w:tc>
        <w:tc>
          <w:tcPr>
            <w:tcW w:w="1480" w:type="dxa"/>
            <w:tcBorders>
              <w:top w:val="nil"/>
              <w:left w:val="nil"/>
              <w:right w:val="nil"/>
            </w:tcBorders>
            <w:shd w:val="clear" w:color="000000" w:fill="C7CFD8"/>
            <w:vAlign w:val="center"/>
            <w:hideMark/>
          </w:tcPr>
          <w:p w14:paraId="40D89D7C"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A</w:t>
            </w:r>
          </w:p>
        </w:tc>
        <w:tc>
          <w:tcPr>
            <w:tcW w:w="1440" w:type="dxa"/>
            <w:tcBorders>
              <w:top w:val="nil"/>
              <w:left w:val="nil"/>
              <w:right w:val="nil"/>
            </w:tcBorders>
            <w:shd w:val="clear" w:color="000000" w:fill="C7CFD8"/>
            <w:vAlign w:val="center"/>
            <w:hideMark/>
          </w:tcPr>
          <w:p w14:paraId="511E745D"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B</w:t>
            </w:r>
          </w:p>
        </w:tc>
        <w:tc>
          <w:tcPr>
            <w:tcW w:w="1400" w:type="dxa"/>
            <w:tcBorders>
              <w:top w:val="nil"/>
              <w:left w:val="nil"/>
              <w:right w:val="nil"/>
            </w:tcBorders>
            <w:shd w:val="clear" w:color="000000" w:fill="C7CFD8"/>
            <w:vAlign w:val="center"/>
            <w:hideMark/>
          </w:tcPr>
          <w:p w14:paraId="1862F738" w14:textId="77777777" w:rsidR="00B65EDC" w:rsidRPr="00912A85" w:rsidRDefault="00B65EDC">
            <w:pPr>
              <w:jc w:val="center"/>
              <w:rPr>
                <w:rFonts w:ascii="Arial Narrow" w:hAnsi="Arial Narrow" w:cs="Arial"/>
                <w:b/>
                <w:bCs/>
                <w:i/>
                <w:iCs/>
              </w:rPr>
            </w:pPr>
            <w:r w:rsidRPr="00912A85">
              <w:rPr>
                <w:rFonts w:ascii="Arial Narrow" w:hAnsi="Arial Narrow" w:cs="Arial"/>
                <w:b/>
                <w:bCs/>
                <w:i/>
                <w:iCs/>
              </w:rPr>
              <w:t>C</w:t>
            </w:r>
          </w:p>
        </w:tc>
      </w:tr>
      <w:tr w:rsidR="00B65EDC" w:rsidRPr="00912A85" w14:paraId="6D0E50A3" w14:textId="77777777" w:rsidTr="00A538F6">
        <w:trPr>
          <w:trHeight w:val="260"/>
          <w:jc w:val="center"/>
        </w:trPr>
        <w:tc>
          <w:tcPr>
            <w:tcW w:w="2260" w:type="dxa"/>
            <w:tcBorders>
              <w:top w:val="nil"/>
              <w:left w:val="nil"/>
              <w:bottom w:val="nil"/>
              <w:right w:val="nil"/>
            </w:tcBorders>
            <w:vAlign w:val="center"/>
            <w:hideMark/>
          </w:tcPr>
          <w:p w14:paraId="12853182" w14:textId="77777777" w:rsidR="00B65EDC" w:rsidRPr="00912A85" w:rsidRDefault="00B65EDC">
            <w:pPr>
              <w:jc w:val="left"/>
              <w:rPr>
                <w:rFonts w:ascii="Arial Narrow" w:hAnsi="Arial Narrow" w:cs="Arial"/>
              </w:rPr>
            </w:pPr>
            <w:r w:rsidRPr="00912A85">
              <w:rPr>
                <w:rFonts w:ascii="Arial Narrow" w:hAnsi="Arial Narrow" w:cs="Arial"/>
              </w:rPr>
              <w:t>Temporary Staff</w:t>
            </w:r>
          </w:p>
        </w:tc>
        <w:tc>
          <w:tcPr>
            <w:tcW w:w="1480" w:type="dxa"/>
            <w:tcBorders>
              <w:top w:val="nil"/>
              <w:left w:val="nil"/>
              <w:bottom w:val="nil"/>
              <w:right w:val="nil"/>
            </w:tcBorders>
            <w:vAlign w:val="center"/>
          </w:tcPr>
          <w:p w14:paraId="1AC8F9AF"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40" w:type="dxa"/>
            <w:tcBorders>
              <w:top w:val="nil"/>
              <w:left w:val="nil"/>
              <w:bottom w:val="nil"/>
              <w:right w:val="nil"/>
            </w:tcBorders>
            <w:vAlign w:val="center"/>
          </w:tcPr>
          <w:p w14:paraId="2B1F5D8E"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6D54E627" w14:textId="77777777" w:rsidR="00B65EDC" w:rsidRPr="00912A85" w:rsidRDefault="00B65EDC">
            <w:pPr>
              <w:jc w:val="center"/>
              <w:rPr>
                <w:rFonts w:ascii="Arial Narrow" w:hAnsi="Arial Narrow" w:cs="Arial"/>
              </w:rPr>
            </w:pPr>
            <w:r w:rsidRPr="00912A85">
              <w:rPr>
                <w:rFonts w:ascii="Arial Narrow" w:hAnsi="Arial Narrow" w:cs="Arial"/>
              </w:rPr>
              <w:t>2</w:t>
            </w:r>
          </w:p>
        </w:tc>
      </w:tr>
      <w:tr w:rsidR="00B65EDC" w:rsidRPr="00912A85" w14:paraId="2085DBA9" w14:textId="77777777" w:rsidTr="00A538F6">
        <w:trPr>
          <w:trHeight w:val="260"/>
          <w:jc w:val="center"/>
        </w:trPr>
        <w:tc>
          <w:tcPr>
            <w:tcW w:w="2260" w:type="dxa"/>
            <w:tcBorders>
              <w:top w:val="nil"/>
              <w:left w:val="nil"/>
              <w:bottom w:val="nil"/>
              <w:right w:val="nil"/>
            </w:tcBorders>
            <w:vAlign w:val="center"/>
            <w:hideMark/>
          </w:tcPr>
          <w:p w14:paraId="593881C3" w14:textId="77777777" w:rsidR="00B65EDC" w:rsidRPr="00912A85" w:rsidRDefault="00B65EDC">
            <w:pPr>
              <w:jc w:val="left"/>
              <w:rPr>
                <w:rFonts w:ascii="Arial Narrow" w:hAnsi="Arial Narrow" w:cs="Arial"/>
              </w:rPr>
            </w:pPr>
            <w:r w:rsidRPr="00912A85">
              <w:rPr>
                <w:rFonts w:ascii="Arial Narrow" w:hAnsi="Arial Narrow" w:cs="Arial"/>
              </w:rPr>
              <w:t>Agency Workers</w:t>
            </w:r>
          </w:p>
        </w:tc>
        <w:tc>
          <w:tcPr>
            <w:tcW w:w="1480" w:type="dxa"/>
            <w:tcBorders>
              <w:top w:val="nil"/>
              <w:left w:val="nil"/>
              <w:bottom w:val="nil"/>
              <w:right w:val="nil"/>
            </w:tcBorders>
            <w:vAlign w:val="center"/>
          </w:tcPr>
          <w:p w14:paraId="67D6FC1D" w14:textId="77777777" w:rsidR="00B65EDC" w:rsidRPr="00912A85" w:rsidRDefault="00B65EDC">
            <w:pPr>
              <w:jc w:val="center"/>
              <w:rPr>
                <w:rFonts w:ascii="Arial Narrow" w:hAnsi="Arial Narrow" w:cs="Arial"/>
              </w:rPr>
            </w:pPr>
            <w:r w:rsidRPr="00912A85">
              <w:rPr>
                <w:rFonts w:ascii="Arial Narrow" w:hAnsi="Arial Narrow" w:cs="Arial"/>
              </w:rPr>
              <w:t>3</w:t>
            </w:r>
          </w:p>
        </w:tc>
        <w:tc>
          <w:tcPr>
            <w:tcW w:w="1440" w:type="dxa"/>
            <w:tcBorders>
              <w:top w:val="nil"/>
              <w:left w:val="nil"/>
              <w:bottom w:val="nil"/>
              <w:right w:val="nil"/>
            </w:tcBorders>
            <w:vAlign w:val="center"/>
          </w:tcPr>
          <w:p w14:paraId="3D92E26A" w14:textId="77777777" w:rsidR="00B65EDC" w:rsidRPr="00912A85" w:rsidRDefault="00B65EDC">
            <w:pPr>
              <w:jc w:val="center"/>
              <w:rPr>
                <w:rFonts w:ascii="Arial Narrow" w:hAnsi="Arial Narrow" w:cs="Arial"/>
              </w:rPr>
            </w:pPr>
            <w:r w:rsidRPr="00912A85">
              <w:rPr>
                <w:rFonts w:ascii="Arial Narrow" w:hAnsi="Arial Narrow" w:cs="Arial"/>
              </w:rPr>
              <w:t>2</w:t>
            </w:r>
          </w:p>
        </w:tc>
        <w:tc>
          <w:tcPr>
            <w:tcW w:w="1400" w:type="dxa"/>
            <w:tcBorders>
              <w:top w:val="nil"/>
              <w:left w:val="nil"/>
              <w:bottom w:val="nil"/>
              <w:right w:val="nil"/>
            </w:tcBorders>
            <w:vAlign w:val="center"/>
          </w:tcPr>
          <w:p w14:paraId="4704DC57" w14:textId="77777777" w:rsidR="00B65EDC" w:rsidRPr="00912A85" w:rsidRDefault="00B65EDC">
            <w:pPr>
              <w:jc w:val="center"/>
              <w:rPr>
                <w:rFonts w:ascii="Arial Narrow" w:hAnsi="Arial Narrow" w:cs="Arial"/>
              </w:rPr>
            </w:pPr>
            <w:r w:rsidRPr="00912A85">
              <w:rPr>
                <w:rFonts w:ascii="Arial Narrow" w:hAnsi="Arial Narrow" w:cs="Arial"/>
              </w:rPr>
              <w:t>1</w:t>
            </w:r>
          </w:p>
        </w:tc>
      </w:tr>
      <w:tr w:rsidR="00B65EDC" w:rsidRPr="00912A85" w14:paraId="482D5371" w14:textId="77777777" w:rsidTr="00A538F6">
        <w:trPr>
          <w:trHeight w:val="260"/>
          <w:jc w:val="center"/>
        </w:trPr>
        <w:tc>
          <w:tcPr>
            <w:tcW w:w="2260" w:type="dxa"/>
            <w:tcBorders>
              <w:top w:val="nil"/>
              <w:left w:val="nil"/>
              <w:bottom w:val="nil"/>
              <w:right w:val="nil"/>
            </w:tcBorders>
            <w:vAlign w:val="center"/>
            <w:hideMark/>
          </w:tcPr>
          <w:p w14:paraId="4A48A501" w14:textId="77777777" w:rsidR="00B65EDC" w:rsidRPr="00912A85" w:rsidRDefault="00B65EDC">
            <w:pPr>
              <w:jc w:val="left"/>
              <w:rPr>
                <w:rFonts w:ascii="Arial Narrow" w:hAnsi="Arial Narrow" w:cs="Arial"/>
              </w:rPr>
            </w:pPr>
            <w:r w:rsidRPr="00912A85">
              <w:rPr>
                <w:rFonts w:ascii="Arial Narrow" w:hAnsi="Arial Narrow" w:cs="Arial"/>
              </w:rPr>
              <w:t>Fellows</w:t>
            </w:r>
          </w:p>
        </w:tc>
        <w:tc>
          <w:tcPr>
            <w:tcW w:w="1480" w:type="dxa"/>
            <w:tcBorders>
              <w:top w:val="nil"/>
              <w:left w:val="nil"/>
              <w:bottom w:val="nil"/>
              <w:right w:val="nil"/>
            </w:tcBorders>
            <w:vAlign w:val="center"/>
          </w:tcPr>
          <w:p w14:paraId="5FEF038F"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40" w:type="dxa"/>
            <w:tcBorders>
              <w:top w:val="nil"/>
              <w:left w:val="nil"/>
              <w:bottom w:val="nil"/>
              <w:right w:val="nil"/>
            </w:tcBorders>
            <w:vAlign w:val="center"/>
          </w:tcPr>
          <w:p w14:paraId="6F6869E0"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13B2A9EB" w14:textId="77777777" w:rsidR="00B65EDC" w:rsidRPr="00912A85" w:rsidRDefault="00B65EDC">
            <w:pPr>
              <w:jc w:val="center"/>
              <w:rPr>
                <w:rFonts w:ascii="Arial Narrow" w:hAnsi="Arial Narrow" w:cs="Arial"/>
              </w:rPr>
            </w:pPr>
            <w:r w:rsidRPr="00912A85">
              <w:rPr>
                <w:rFonts w:ascii="Arial Narrow" w:hAnsi="Arial Narrow" w:cs="Arial"/>
              </w:rPr>
              <w:t>0</w:t>
            </w:r>
          </w:p>
        </w:tc>
      </w:tr>
      <w:tr w:rsidR="00B65EDC" w:rsidRPr="00912A85" w14:paraId="679CC868" w14:textId="77777777" w:rsidTr="00A538F6">
        <w:trPr>
          <w:trHeight w:val="260"/>
          <w:jc w:val="center"/>
        </w:trPr>
        <w:tc>
          <w:tcPr>
            <w:tcW w:w="2260" w:type="dxa"/>
            <w:tcBorders>
              <w:top w:val="nil"/>
              <w:left w:val="nil"/>
              <w:bottom w:val="nil"/>
              <w:right w:val="nil"/>
            </w:tcBorders>
            <w:vAlign w:val="center"/>
            <w:hideMark/>
          </w:tcPr>
          <w:p w14:paraId="0DE7034D" w14:textId="77777777" w:rsidR="00B65EDC" w:rsidRPr="00912A85" w:rsidRDefault="00B65EDC">
            <w:pPr>
              <w:jc w:val="left"/>
              <w:rPr>
                <w:rFonts w:ascii="Arial Narrow" w:hAnsi="Arial Narrow" w:cs="Arial"/>
              </w:rPr>
            </w:pPr>
            <w:r w:rsidRPr="00912A85">
              <w:rPr>
                <w:rFonts w:ascii="Arial Narrow" w:hAnsi="Arial Narrow" w:cs="Arial"/>
              </w:rPr>
              <w:t>Junior Professional Officers</w:t>
            </w:r>
          </w:p>
        </w:tc>
        <w:tc>
          <w:tcPr>
            <w:tcW w:w="1480" w:type="dxa"/>
            <w:tcBorders>
              <w:top w:val="nil"/>
              <w:left w:val="nil"/>
              <w:bottom w:val="nil"/>
              <w:right w:val="nil"/>
            </w:tcBorders>
            <w:vAlign w:val="center"/>
          </w:tcPr>
          <w:p w14:paraId="72764E00" w14:textId="77777777" w:rsidR="00B65EDC" w:rsidRPr="00912A85" w:rsidRDefault="00B65EDC">
            <w:pPr>
              <w:jc w:val="center"/>
              <w:rPr>
                <w:rFonts w:ascii="Arial Narrow" w:hAnsi="Arial Narrow" w:cs="Arial"/>
              </w:rPr>
            </w:pPr>
            <w:r w:rsidRPr="00912A85">
              <w:rPr>
                <w:rFonts w:ascii="Arial Narrow" w:hAnsi="Arial Narrow" w:cs="Arial"/>
              </w:rPr>
              <w:t>0</w:t>
            </w:r>
          </w:p>
        </w:tc>
        <w:tc>
          <w:tcPr>
            <w:tcW w:w="1440" w:type="dxa"/>
            <w:tcBorders>
              <w:top w:val="nil"/>
              <w:left w:val="nil"/>
              <w:bottom w:val="nil"/>
              <w:right w:val="nil"/>
            </w:tcBorders>
            <w:vAlign w:val="center"/>
          </w:tcPr>
          <w:p w14:paraId="3F9B5C92"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463B2F92" w14:textId="77777777" w:rsidR="00B65EDC" w:rsidRPr="00912A85" w:rsidRDefault="00B65EDC">
            <w:pPr>
              <w:jc w:val="center"/>
              <w:rPr>
                <w:rFonts w:ascii="Arial Narrow" w:hAnsi="Arial Narrow" w:cs="Arial"/>
              </w:rPr>
            </w:pPr>
            <w:r w:rsidRPr="00912A85">
              <w:rPr>
                <w:rFonts w:ascii="Arial Narrow" w:hAnsi="Arial Narrow" w:cs="Arial"/>
              </w:rPr>
              <w:t>2</w:t>
            </w:r>
          </w:p>
        </w:tc>
      </w:tr>
      <w:tr w:rsidR="00B65EDC" w:rsidRPr="00912A85" w14:paraId="5B7CCD23" w14:textId="77777777" w:rsidTr="00A538F6">
        <w:trPr>
          <w:trHeight w:val="260"/>
          <w:jc w:val="center"/>
        </w:trPr>
        <w:tc>
          <w:tcPr>
            <w:tcW w:w="2260" w:type="dxa"/>
            <w:tcBorders>
              <w:top w:val="nil"/>
              <w:left w:val="nil"/>
              <w:bottom w:val="nil"/>
              <w:right w:val="nil"/>
            </w:tcBorders>
            <w:vAlign w:val="center"/>
            <w:hideMark/>
          </w:tcPr>
          <w:p w14:paraId="04C12BDB" w14:textId="77777777" w:rsidR="00B65EDC" w:rsidRPr="00912A85" w:rsidRDefault="00B65EDC">
            <w:pPr>
              <w:jc w:val="left"/>
              <w:rPr>
                <w:rFonts w:ascii="Arial Narrow" w:hAnsi="Arial Narrow" w:cs="Arial"/>
              </w:rPr>
            </w:pPr>
            <w:r w:rsidRPr="00912A85">
              <w:rPr>
                <w:rFonts w:ascii="Arial Narrow" w:hAnsi="Arial Narrow" w:cs="Arial"/>
              </w:rPr>
              <w:t>Interns</w:t>
            </w:r>
          </w:p>
        </w:tc>
        <w:tc>
          <w:tcPr>
            <w:tcW w:w="1480" w:type="dxa"/>
            <w:tcBorders>
              <w:top w:val="nil"/>
              <w:left w:val="nil"/>
              <w:bottom w:val="nil"/>
              <w:right w:val="nil"/>
            </w:tcBorders>
            <w:vAlign w:val="center"/>
          </w:tcPr>
          <w:p w14:paraId="01BC1D85"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40" w:type="dxa"/>
            <w:tcBorders>
              <w:top w:val="nil"/>
              <w:left w:val="nil"/>
              <w:bottom w:val="nil"/>
              <w:right w:val="nil"/>
            </w:tcBorders>
            <w:vAlign w:val="center"/>
          </w:tcPr>
          <w:p w14:paraId="28C52A32" w14:textId="77777777" w:rsidR="00B65EDC" w:rsidRPr="00912A85" w:rsidRDefault="00B65EDC">
            <w:pPr>
              <w:jc w:val="center"/>
              <w:rPr>
                <w:rFonts w:ascii="Arial Narrow" w:hAnsi="Arial Narrow" w:cs="Arial"/>
              </w:rPr>
            </w:pPr>
            <w:r w:rsidRPr="00912A85">
              <w:rPr>
                <w:rFonts w:ascii="Arial Narrow" w:hAnsi="Arial Narrow" w:cs="Arial"/>
              </w:rPr>
              <w:t>1</w:t>
            </w:r>
          </w:p>
        </w:tc>
        <w:tc>
          <w:tcPr>
            <w:tcW w:w="1400" w:type="dxa"/>
            <w:tcBorders>
              <w:top w:val="nil"/>
              <w:left w:val="nil"/>
              <w:bottom w:val="nil"/>
              <w:right w:val="nil"/>
            </w:tcBorders>
            <w:vAlign w:val="center"/>
          </w:tcPr>
          <w:p w14:paraId="2EF08075" w14:textId="77777777" w:rsidR="00B65EDC" w:rsidRPr="00912A85" w:rsidRDefault="00B65EDC">
            <w:pPr>
              <w:jc w:val="center"/>
              <w:rPr>
                <w:rFonts w:ascii="Arial Narrow" w:hAnsi="Arial Narrow" w:cs="Arial"/>
              </w:rPr>
            </w:pPr>
            <w:r w:rsidRPr="00912A85">
              <w:rPr>
                <w:rFonts w:ascii="Arial Narrow" w:hAnsi="Arial Narrow" w:cs="Arial"/>
              </w:rPr>
              <w:t>0</w:t>
            </w:r>
          </w:p>
        </w:tc>
      </w:tr>
    </w:tbl>
    <w:p w14:paraId="5DD6A03D" w14:textId="77777777" w:rsidR="00B65EDC" w:rsidRPr="00912A85" w:rsidRDefault="00B65EDC" w:rsidP="00B65EDC">
      <w:pPr>
        <w:rPr>
          <w:color w:val="000000" w:themeColor="text1"/>
        </w:rPr>
      </w:pPr>
    </w:p>
    <w:p w14:paraId="0DCE2CEA" w14:textId="77777777" w:rsidR="00B65EDC" w:rsidRPr="00912A85" w:rsidRDefault="00B65EDC" w:rsidP="00B65EDC">
      <w:pPr>
        <w:jc w:val="left"/>
        <w:rPr>
          <w:color w:val="26724C" w:themeColor="accent1" w:themeShade="BF"/>
          <w:sz w:val="28"/>
        </w:rPr>
      </w:pPr>
      <w:bookmarkStart w:id="451" w:name="_Toc61532295"/>
      <w:bookmarkStart w:id="452" w:name="_Toc61533690"/>
      <w:r w:rsidRPr="00912A85">
        <w:br w:type="page"/>
      </w:r>
    </w:p>
    <w:p w14:paraId="399DBDF0" w14:textId="77777777" w:rsidR="00B65EDC" w:rsidRPr="00912A85" w:rsidRDefault="00B65EDC" w:rsidP="00FC7FED">
      <w:pPr>
        <w:pStyle w:val="Heading1"/>
      </w:pPr>
      <w:bookmarkStart w:id="453" w:name="_Toc208999643"/>
      <w:bookmarkEnd w:id="451"/>
      <w:bookmarkEnd w:id="452"/>
      <w:r w:rsidRPr="00912A85">
        <w:lastRenderedPageBreak/>
        <w:t>Objectives and expected results</w:t>
      </w:r>
      <w:bookmarkEnd w:id="453"/>
    </w:p>
    <w:p w14:paraId="738C6B1D" w14:textId="77777777" w:rsidR="00B65EDC" w:rsidRPr="00912A85" w:rsidRDefault="00B65EDC" w:rsidP="00B65EDC">
      <w:pPr>
        <w:keepNext/>
      </w:pPr>
    </w:p>
    <w:p w14:paraId="6CF629F3" w14:textId="77777777" w:rsidR="00B65EDC" w:rsidRPr="004448C7" w:rsidRDefault="00B65EDC" w:rsidP="004448C7">
      <w:pPr>
        <w:pStyle w:val="Heading2"/>
      </w:pPr>
      <w:bookmarkStart w:id="454" w:name="_Toc61532296"/>
      <w:bookmarkStart w:id="455" w:name="_Toc61533691"/>
      <w:bookmarkStart w:id="456" w:name="_Toc208999644"/>
      <w:r w:rsidRPr="004448C7">
        <w:t>Introduction</w:t>
      </w:r>
      <w:bookmarkEnd w:id="454"/>
      <w:bookmarkEnd w:id="455"/>
      <w:bookmarkEnd w:id="456"/>
    </w:p>
    <w:p w14:paraId="3AB43734" w14:textId="77777777" w:rsidR="00B65EDC" w:rsidRPr="00912A85" w:rsidRDefault="00B65EDC" w:rsidP="00B65EDC"/>
    <w:p w14:paraId="2EB69D55" w14:textId="60205B74"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UPOV’s Strategic Business Plan (SBP) for the period </w:t>
      </w:r>
      <w:r w:rsidR="008D623E">
        <w:rPr>
          <w:color w:val="000000" w:themeColor="text1"/>
        </w:rPr>
        <w:t>2026-2029</w:t>
      </w:r>
      <w:r w:rsidRPr="00912A85">
        <w:rPr>
          <w:color w:val="000000" w:themeColor="text1"/>
        </w:rPr>
        <w:t xml:space="preserve"> provides the basis for the Program and Budget for the </w:t>
      </w:r>
      <w:r w:rsidR="00521C0D">
        <w:rPr>
          <w:color w:val="000000" w:themeColor="text1"/>
        </w:rPr>
        <w:t>2026</w:t>
      </w:r>
      <w:r w:rsidR="00521C0D">
        <w:rPr>
          <w:color w:val="000000" w:themeColor="text1"/>
        </w:rPr>
        <w:noBreakHyphen/>
        <w:t>2027</w:t>
      </w:r>
      <w:r w:rsidRPr="00912A85">
        <w:rPr>
          <w:color w:val="000000" w:themeColor="text1"/>
        </w:rPr>
        <w:t xml:space="preserve"> Biennium.</w:t>
      </w:r>
    </w:p>
    <w:p w14:paraId="2EBE9EBF" w14:textId="77777777" w:rsidR="00B65EDC" w:rsidRPr="00912A85" w:rsidRDefault="00B65EDC" w:rsidP="00B65EDC">
      <w:pPr>
        <w:rPr>
          <w:color w:val="000000" w:themeColor="text1"/>
        </w:rPr>
      </w:pPr>
    </w:p>
    <w:p w14:paraId="61DCC932" w14:textId="77777777"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The SBP Strategy House outlines UPOV’s Mission, Strategic Pillars and Foundation, providing a framework to respond to the need for an effective system of </w:t>
      </w:r>
      <w:r w:rsidRPr="00912A85">
        <w:rPr>
          <w:snapToGrid w:val="0"/>
          <w:color w:val="000000" w:themeColor="text1"/>
        </w:rPr>
        <w:t>plant variety protection that will encourage the development of new varieties of plants, for the benefit of society</w:t>
      </w:r>
      <w:r w:rsidRPr="00912A85">
        <w:rPr>
          <w:color w:val="000000" w:themeColor="text1"/>
        </w:rPr>
        <w:t>.</w:t>
      </w:r>
    </w:p>
    <w:p w14:paraId="6E1F6BC3" w14:textId="77777777" w:rsidR="00B65EDC" w:rsidRPr="00912A85" w:rsidRDefault="00B65EDC" w:rsidP="00B65EDC">
      <w:pPr>
        <w:rPr>
          <w:color w:val="000000" w:themeColor="text1"/>
        </w:rPr>
      </w:pPr>
    </w:p>
    <w:tbl>
      <w:tblPr>
        <w:tblStyle w:val="TableGrid"/>
        <w:tblW w:w="0" w:type="auto"/>
        <w:tblLook w:val="04A0" w:firstRow="1" w:lastRow="0" w:firstColumn="1" w:lastColumn="0" w:noHBand="0" w:noVBand="1"/>
      </w:tblPr>
      <w:tblGrid>
        <w:gridCol w:w="9639"/>
      </w:tblGrid>
      <w:tr w:rsidR="00B65EDC" w:rsidRPr="00912A85" w14:paraId="390CCC32" w14:textId="77777777">
        <w:tc>
          <w:tcPr>
            <w:tcW w:w="9639" w:type="dxa"/>
            <w:tcBorders>
              <w:top w:val="nil"/>
              <w:left w:val="nil"/>
              <w:bottom w:val="nil"/>
              <w:right w:val="nil"/>
            </w:tcBorders>
            <w:hideMark/>
          </w:tcPr>
          <w:p w14:paraId="4676078F" w14:textId="77777777" w:rsidR="00B65EDC" w:rsidRPr="00912A85" w:rsidRDefault="00B65EDC">
            <w:pPr>
              <w:jc w:val="center"/>
              <w:rPr>
                <w:color w:val="000000" w:themeColor="text1"/>
                <w:highlight w:val="yellow"/>
              </w:rPr>
            </w:pPr>
            <w:r w:rsidRPr="00912A85">
              <w:rPr>
                <w:noProof/>
                <w:color w:val="000000" w:themeColor="text1"/>
              </w:rPr>
              <w:drawing>
                <wp:inline distT="0" distB="0" distL="0" distR="0" wp14:anchorId="5B3C771F" wp14:editId="39B2B77B">
                  <wp:extent cx="4732020" cy="3108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2704" cy="3122549"/>
                          </a:xfrm>
                          <a:prstGeom prst="rect">
                            <a:avLst/>
                          </a:prstGeom>
                          <a:noFill/>
                          <a:ln>
                            <a:noFill/>
                          </a:ln>
                        </pic:spPr>
                      </pic:pic>
                    </a:graphicData>
                  </a:graphic>
                </wp:inline>
              </w:drawing>
            </w:r>
          </w:p>
        </w:tc>
      </w:tr>
    </w:tbl>
    <w:p w14:paraId="3B026C70" w14:textId="77777777" w:rsidR="00B65EDC" w:rsidRPr="00912A85" w:rsidRDefault="00B65EDC" w:rsidP="00B65EDC"/>
    <w:p w14:paraId="6706C918" w14:textId="77777777"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The three Strategic Pillars underpin UPOV’s Mission. They represent UPOV’s broad areas of strategic focus which, in turn, are cascaded into the following Expected Results:</w:t>
      </w:r>
    </w:p>
    <w:p w14:paraId="0A5D97B5" w14:textId="77777777" w:rsidR="00B65EDC" w:rsidRPr="00912A85" w:rsidRDefault="00B65EDC" w:rsidP="00B65EDC">
      <w:pPr>
        <w:rPr>
          <w:bCs/>
        </w:rPr>
      </w:pPr>
    </w:p>
    <w:tbl>
      <w:tblPr>
        <w:tblStyle w:val="TableGrid"/>
        <w:tblW w:w="0" w:type="auto"/>
        <w:tblLook w:val="04A0" w:firstRow="1" w:lastRow="0" w:firstColumn="1" w:lastColumn="0" w:noHBand="0" w:noVBand="1"/>
      </w:tblPr>
      <w:tblGrid>
        <w:gridCol w:w="9639"/>
      </w:tblGrid>
      <w:tr w:rsidR="00B65EDC" w:rsidRPr="00912A85" w14:paraId="452C723F" w14:textId="77777777">
        <w:trPr>
          <w:trHeight w:val="5401"/>
        </w:trPr>
        <w:tc>
          <w:tcPr>
            <w:tcW w:w="9639" w:type="dxa"/>
            <w:tcBorders>
              <w:top w:val="nil"/>
              <w:left w:val="nil"/>
              <w:bottom w:val="nil"/>
              <w:right w:val="nil"/>
            </w:tcBorders>
            <w:hideMark/>
          </w:tcPr>
          <w:p w14:paraId="4391A324" w14:textId="760B45A2" w:rsidR="00B65EDC" w:rsidRPr="00912A85" w:rsidRDefault="00D42F46">
            <w:pPr>
              <w:jc w:val="center"/>
              <w:rPr>
                <w:bCs/>
              </w:rPr>
            </w:pPr>
            <w:r w:rsidRPr="00D42F46">
              <w:rPr>
                <w:bCs/>
                <w:noProof/>
              </w:rPr>
              <w:drawing>
                <wp:inline distT="0" distB="0" distL="0" distR="0" wp14:anchorId="23486C16" wp14:editId="61EA2365">
                  <wp:extent cx="5528106" cy="3611880"/>
                  <wp:effectExtent l="0" t="0" r="0" b="7620"/>
                  <wp:docPr id="184453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2942" cy="3621573"/>
                          </a:xfrm>
                          <a:prstGeom prst="rect">
                            <a:avLst/>
                          </a:prstGeom>
                          <a:noFill/>
                          <a:ln>
                            <a:noFill/>
                          </a:ln>
                        </pic:spPr>
                      </pic:pic>
                    </a:graphicData>
                  </a:graphic>
                </wp:inline>
              </w:drawing>
            </w:r>
          </w:p>
        </w:tc>
      </w:tr>
    </w:tbl>
    <w:p w14:paraId="5527B061" w14:textId="77777777" w:rsidR="00B65EDC" w:rsidRPr="00912A85" w:rsidRDefault="00B65EDC" w:rsidP="00B65EDC">
      <w:pPr>
        <w:rPr>
          <w:bCs/>
        </w:rPr>
      </w:pPr>
    </w:p>
    <w:p w14:paraId="6EA65CBE" w14:textId="4E9F7886" w:rsidR="00B65EDC" w:rsidRDefault="00B65EDC" w:rsidP="00B65EDC">
      <w:pPr>
        <w:rPr>
          <w:bCs/>
        </w:rPr>
      </w:pPr>
      <w:r w:rsidRPr="0088452A">
        <w:rPr>
          <w:bCs/>
        </w:rPr>
        <w:fldChar w:fldCharType="begin"/>
      </w:r>
      <w:r w:rsidRPr="0088452A">
        <w:rPr>
          <w:bCs/>
        </w:rPr>
        <w:instrText xml:space="preserve"> AUTONUM  </w:instrText>
      </w:r>
      <w:r w:rsidRPr="0088452A">
        <w:rPr>
          <w:bCs/>
        </w:rPr>
        <w:fldChar w:fldCharType="end"/>
      </w:r>
      <w:r w:rsidRPr="0088452A">
        <w:rPr>
          <w:bCs/>
        </w:rPr>
        <w:tab/>
        <w:t>The following sections elaborate on each of the three Strategic Pillars and the Foundation, as well as their respective Expected Results.</w:t>
      </w:r>
      <w:r w:rsidR="0052247A" w:rsidRPr="0088452A">
        <w:rPr>
          <w:bCs/>
        </w:rPr>
        <w:t xml:space="preserve"> </w:t>
      </w:r>
      <w:r w:rsidR="0088452A">
        <w:rPr>
          <w:bCs/>
        </w:rPr>
        <w:t xml:space="preserve"> </w:t>
      </w:r>
      <w:r w:rsidR="0052247A" w:rsidRPr="00443835">
        <w:rPr>
          <w:bCs/>
        </w:rPr>
        <w:t xml:space="preserve">The strategic risks </w:t>
      </w:r>
      <w:r w:rsidR="00A90CE6" w:rsidRPr="00443835">
        <w:rPr>
          <w:bCs/>
        </w:rPr>
        <w:t xml:space="preserve">and responses </w:t>
      </w:r>
      <w:r w:rsidR="0052247A" w:rsidRPr="00443835">
        <w:rPr>
          <w:bCs/>
        </w:rPr>
        <w:t xml:space="preserve">associated with the SBP </w:t>
      </w:r>
      <w:proofErr w:type="gramStart"/>
      <w:r w:rsidR="0052247A" w:rsidRPr="00443835">
        <w:rPr>
          <w:bCs/>
        </w:rPr>
        <w:t>Pillars</w:t>
      </w:r>
      <w:proofErr w:type="gramEnd"/>
      <w:r w:rsidR="0052247A" w:rsidRPr="00443835">
        <w:rPr>
          <w:bCs/>
        </w:rPr>
        <w:t xml:space="preserve"> and the Foundation can be found in </w:t>
      </w:r>
      <w:proofErr w:type="gramStart"/>
      <w:r w:rsidR="0052247A" w:rsidRPr="00443835">
        <w:rPr>
          <w:bCs/>
        </w:rPr>
        <w:t>the SBP</w:t>
      </w:r>
      <w:proofErr w:type="gramEnd"/>
      <w:r w:rsidR="0052247A" w:rsidRPr="00443835">
        <w:rPr>
          <w:bCs/>
        </w:rPr>
        <w:t xml:space="preserve"> 2026-2029.</w:t>
      </w:r>
    </w:p>
    <w:p w14:paraId="7B9E0265" w14:textId="77777777" w:rsidR="0052247A" w:rsidRPr="00912A85" w:rsidRDefault="0052247A" w:rsidP="00B65EDC">
      <w:pPr>
        <w:rPr>
          <w:bCs/>
        </w:rPr>
      </w:pPr>
    </w:p>
    <w:p w14:paraId="7F40C740" w14:textId="77777777" w:rsidR="00B65EDC" w:rsidRPr="00912A85" w:rsidRDefault="00B65EDC" w:rsidP="00B65EDC"/>
    <w:p w14:paraId="7328E78B" w14:textId="77777777" w:rsidR="00B65EDC" w:rsidRPr="00912A85" w:rsidRDefault="00B65EDC" w:rsidP="00B65EDC"/>
    <w:p w14:paraId="0347C519" w14:textId="77777777" w:rsidR="00B65EDC" w:rsidRPr="00912A85" w:rsidRDefault="00B65EDC" w:rsidP="004448C7">
      <w:pPr>
        <w:pStyle w:val="Heading2"/>
      </w:pPr>
      <w:bookmarkStart w:id="457" w:name="_Toc117798882"/>
      <w:bookmarkStart w:id="458" w:name="_Toc107239587"/>
      <w:bookmarkStart w:id="459" w:name="_Toc107239337"/>
      <w:bookmarkStart w:id="460" w:name="_Toc208999645"/>
      <w:r w:rsidRPr="00912A85">
        <w:t>Pillar 1:  Bring together stakeholders to help shape the UPOV system</w:t>
      </w:r>
      <w:bookmarkEnd w:id="457"/>
      <w:bookmarkEnd w:id="458"/>
      <w:bookmarkEnd w:id="459"/>
      <w:bookmarkEnd w:id="460"/>
    </w:p>
    <w:p w14:paraId="7360FE76" w14:textId="77777777" w:rsidR="00B65EDC" w:rsidRPr="00912A85" w:rsidRDefault="00B65EDC" w:rsidP="00B65EDC">
      <w:pPr>
        <w:rPr>
          <w:b/>
          <w:bCs/>
          <w:sz w:val="22"/>
          <w:szCs w:val="22"/>
        </w:rPr>
      </w:pPr>
    </w:p>
    <w:p w14:paraId="6B0EDF6A" w14:textId="77777777" w:rsidR="00B65EDC" w:rsidRPr="00912A85" w:rsidRDefault="00B65EDC" w:rsidP="00B65EDC">
      <w:pPr>
        <w:pStyle w:val="Heading3"/>
        <w:rPr>
          <w:sz w:val="20"/>
        </w:rPr>
      </w:pPr>
      <w:bookmarkStart w:id="461" w:name="_Toc208999646"/>
      <w:r w:rsidRPr="00912A85">
        <w:t>Implementing strategy to achieve expected results</w:t>
      </w:r>
      <w:bookmarkEnd w:id="461"/>
    </w:p>
    <w:p w14:paraId="349DE1AA" w14:textId="77777777" w:rsidR="00B65EDC" w:rsidRPr="00912A85" w:rsidRDefault="00B65EDC" w:rsidP="00B65EDC">
      <w:pPr>
        <w:rPr>
          <w:b/>
          <w:bCs/>
          <w:sz w:val="22"/>
          <w:szCs w:val="22"/>
        </w:rPr>
      </w:pPr>
    </w:p>
    <w:p w14:paraId="27E70FD9" w14:textId="77777777"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This Strategic Pillar focuses on UPOV’s role as convener to bring together members of the Union to oversee and coordinate UPOV’s work and to engage with stakeholders to help shape the future of the UPOV system.</w:t>
      </w:r>
    </w:p>
    <w:p w14:paraId="6657D08C" w14:textId="77777777" w:rsidR="00B65EDC" w:rsidRPr="00912A85" w:rsidRDefault="00B65EDC" w:rsidP="00B65EDC">
      <w:pPr>
        <w:rPr>
          <w:bCs/>
        </w:rPr>
      </w:pPr>
    </w:p>
    <w:p w14:paraId="51E86718" w14:textId="2B2D2F52"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r>
      <w:bookmarkStart w:id="462" w:name="_Hlk190115212"/>
      <w:r w:rsidRPr="00912A85">
        <w:rPr>
          <w:bCs/>
        </w:rPr>
        <w:t xml:space="preserve">In October 2024, the Consultative Committee endorsed the development of horizon scanning and the integration of key strategies identified in document </w:t>
      </w:r>
      <w:r w:rsidRPr="00912A85">
        <w:t xml:space="preserve">CC/102/3 </w:t>
      </w:r>
      <w:r w:rsidRPr="00912A85">
        <w:rPr>
          <w:bCs/>
        </w:rPr>
        <w:t xml:space="preserve">in future versions of the SBP. </w:t>
      </w:r>
      <w:r w:rsidR="00014EC4">
        <w:rPr>
          <w:bCs/>
        </w:rPr>
        <w:t xml:space="preserve"> </w:t>
      </w:r>
      <w:r w:rsidRPr="00912A85">
        <w:rPr>
          <w:bCs/>
        </w:rPr>
        <w:t xml:space="preserve">Proposals for a UPOV </w:t>
      </w:r>
      <w:r w:rsidR="00FC6BF7" w:rsidRPr="00FC6BF7">
        <w:rPr>
          <w:bCs/>
        </w:rPr>
        <w:t>Resources Strategy (document C/59/16)</w:t>
      </w:r>
      <w:r w:rsidR="00FC6BF7">
        <w:rPr>
          <w:bCs/>
        </w:rPr>
        <w:t xml:space="preserve"> </w:t>
      </w:r>
      <w:r w:rsidRPr="00912A85">
        <w:rPr>
          <w:bCs/>
        </w:rPr>
        <w:t xml:space="preserve">to provide for a sustainable </w:t>
      </w:r>
      <w:proofErr w:type="gramStart"/>
      <w:r w:rsidRPr="00912A85">
        <w:rPr>
          <w:bCs/>
        </w:rPr>
        <w:t>UPOV</w:t>
      </w:r>
      <w:r w:rsidR="00014EC4">
        <w:rPr>
          <w:bCs/>
        </w:rPr>
        <w:t>,</w:t>
      </w:r>
      <w:r w:rsidRPr="00912A85">
        <w:rPr>
          <w:bCs/>
        </w:rPr>
        <w:t xml:space="preserve"> and</w:t>
      </w:r>
      <w:proofErr w:type="gramEnd"/>
      <w:r w:rsidRPr="00912A85">
        <w:rPr>
          <w:bCs/>
        </w:rPr>
        <w:t xml:space="preserve"> increasing UPOV’s outreach and impact will be presented for consideration by UPOV members in October 2025.</w:t>
      </w:r>
    </w:p>
    <w:bookmarkEnd w:id="462"/>
    <w:p w14:paraId="5BC7F48F" w14:textId="77777777" w:rsidR="00B65EDC" w:rsidRPr="00912A85" w:rsidRDefault="00B65EDC" w:rsidP="00B65EDC">
      <w:pPr>
        <w:rPr>
          <w:b/>
          <w:bCs/>
          <w:sz w:val="22"/>
          <w:szCs w:val="22"/>
        </w:rPr>
      </w:pPr>
    </w:p>
    <w:p w14:paraId="20FE00EC" w14:textId="77777777" w:rsidR="00B65EDC" w:rsidRPr="00912A85" w:rsidRDefault="00B65EDC" w:rsidP="00B65EDC">
      <w:pPr>
        <w:pStyle w:val="Heading4"/>
      </w:pPr>
      <w:r w:rsidRPr="00912A85">
        <w:t>1.1</w:t>
      </w:r>
      <w:r w:rsidRPr="00912A85">
        <w:tab/>
        <w:t xml:space="preserve">Governance by the UPOV Council and work of UPOV Committees and other bodies </w:t>
      </w:r>
    </w:p>
    <w:p w14:paraId="4B761196" w14:textId="77777777" w:rsidR="00B65EDC" w:rsidRPr="00912A85" w:rsidRDefault="00B65EDC" w:rsidP="00B65EDC">
      <w:pPr>
        <w:pStyle w:val="ListParagraph"/>
        <w:ind w:left="570"/>
      </w:pPr>
    </w:p>
    <w:p w14:paraId="0B8D75A5"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Council, comprising members of the Union and observers, will continue to govern UPOV’s direction, being guided by the Consultative Committee, the Administrative and Legal Committee and the Technical Committee.</w:t>
      </w:r>
    </w:p>
    <w:p w14:paraId="4CE6FFBA" w14:textId="77777777" w:rsidR="00B65EDC" w:rsidRPr="00912A85" w:rsidRDefault="00B65EDC" w:rsidP="00B65EDC"/>
    <w:p w14:paraId="54ED52AB" w14:textId="339245A7" w:rsidR="00B65EDC" w:rsidRPr="00912A85" w:rsidRDefault="00B65EDC" w:rsidP="00B65EDC">
      <w:r w:rsidRPr="00912A85">
        <w:fldChar w:fldCharType="begin"/>
      </w:r>
      <w:r w:rsidRPr="00912A85">
        <w:instrText xml:space="preserve"> AUTONUM  </w:instrText>
      </w:r>
      <w:r w:rsidRPr="00912A85">
        <w:fldChar w:fldCharType="end"/>
      </w:r>
      <w:r w:rsidRPr="00912A85">
        <w:tab/>
      </w:r>
      <w:r w:rsidR="00014EC4">
        <w:t>T</w:t>
      </w:r>
      <w:r w:rsidRPr="00912A85">
        <w:t xml:space="preserve">he use of virtual meeting tools increased the participation at </w:t>
      </w:r>
      <w:r w:rsidR="00014EC4" w:rsidRPr="00912A85">
        <w:t>sessions of UPOV bodies</w:t>
      </w:r>
      <w:r w:rsidRPr="00912A85">
        <w:t xml:space="preserve">. </w:t>
      </w:r>
      <w:r w:rsidR="00014EC4">
        <w:t xml:space="preserve"> </w:t>
      </w:r>
      <w:r w:rsidRPr="00912A85">
        <w:t xml:space="preserve">The number of UPOV members attending Technical Working Parties meetings from 2020 to 2024 increased 43 per cent in relation to the period from 2015 to 2019, before the introduction of virtual participation (2015 to 2019 average 30 members; 2020 to 2024 average 43 members). The total number of participants increased 86 per cent from 2020 to 2024 in comparison to the period from 2015 to 2019 (from 277 to 516 participants). </w:t>
      </w:r>
    </w:p>
    <w:p w14:paraId="2F894AA1" w14:textId="77777777" w:rsidR="00B65EDC" w:rsidRPr="00912A85" w:rsidRDefault="00B65EDC" w:rsidP="00B65EDC"/>
    <w:bookmarkStart w:id="463" w:name="_Hlk190100681"/>
    <w:p w14:paraId="4100DA87" w14:textId="4FC33BF9"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As UPOV evolves, and in the interest of achieving maximum effectiveness, the work of the Committees will be kept under review.  The Technical Committee agreed in 2023 to periodically review the work of the Technical Working Parties based on performance indicators and regular surveys of UPOV members and observer organizations.  During the </w:t>
      </w:r>
      <w:r w:rsidR="00521C0D">
        <w:t>2026</w:t>
      </w:r>
      <w:r w:rsidR="00521C0D">
        <w:noBreakHyphen/>
        <w:t>2027</w:t>
      </w:r>
      <w:r w:rsidRPr="00912A85">
        <w:t xml:space="preserve"> Biennium, this process will continue to assess opportunities for the work of the Technical Committee to become more effective, particularly with a view to increasing cooperation as a fundamental benefit of UPOV membership.  </w:t>
      </w:r>
    </w:p>
    <w:p w14:paraId="58CC574A" w14:textId="77777777" w:rsidR="00B65EDC" w:rsidRPr="00912A85" w:rsidRDefault="00B65EDC" w:rsidP="00B65EDC"/>
    <w:bookmarkEnd w:id="463"/>
    <w:p w14:paraId="323DA174" w14:textId="77777777" w:rsidR="00B65EDC" w:rsidRPr="00912A85" w:rsidRDefault="00B65EDC" w:rsidP="00B65EDC">
      <w:pPr>
        <w:pStyle w:val="Heading4"/>
      </w:pPr>
      <w:r w:rsidRPr="00912A85">
        <w:t>1.2</w:t>
      </w:r>
      <w:r w:rsidRPr="00912A85">
        <w:tab/>
        <w:t>Development of legislation on plant variety protection in accordance with the 1991 Act of the UPOV Convention</w:t>
      </w:r>
    </w:p>
    <w:p w14:paraId="0167A461" w14:textId="77777777" w:rsidR="00B65EDC" w:rsidRPr="00912A85" w:rsidRDefault="00B65EDC" w:rsidP="00B65EDC">
      <w:pPr>
        <w:rPr>
          <w:bCs/>
        </w:rPr>
      </w:pPr>
    </w:p>
    <w:p w14:paraId="0019CA6D" w14:textId="356896F0"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 xml:space="preserve">Any State or intergovernmental organization wishing to become a member of UPOV needs to obtain positive advice of the Council of UPOV on the conformity of its laws with the provisions of the UPOV Convention prior to depositing its instrument of accession.  A key part of UPOV’s work is to provide guidance for States/ intergovernmental organizations wishing to draft a law in accordance with the 1991 Act of the UPOV Convention.  </w:t>
      </w:r>
    </w:p>
    <w:p w14:paraId="78775904" w14:textId="77777777" w:rsidR="00B65EDC" w:rsidRPr="00912A85" w:rsidRDefault="00B65EDC" w:rsidP="00B65EDC">
      <w:pPr>
        <w:rPr>
          <w:bCs/>
        </w:rPr>
      </w:pPr>
    </w:p>
    <w:p w14:paraId="159ED43E" w14:textId="6AF0242C"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 xml:space="preserve">In the biennium </w:t>
      </w:r>
      <w:r w:rsidR="00521C0D">
        <w:rPr>
          <w:bCs/>
        </w:rPr>
        <w:t>2026</w:t>
      </w:r>
      <w:r w:rsidR="00521C0D">
        <w:rPr>
          <w:bCs/>
        </w:rPr>
        <w:noBreakHyphen/>
        <w:t>2027</w:t>
      </w:r>
      <w:r w:rsidRPr="00912A85">
        <w:rPr>
          <w:bCs/>
        </w:rPr>
        <w:t xml:space="preserve">, it is expected that the number of requests for legislative advice from States/ intergovernmental organizations will continue to be high, mainly </w:t>
      </w:r>
      <w:r w:rsidR="00014EC4">
        <w:rPr>
          <w:bCs/>
        </w:rPr>
        <w:t xml:space="preserve">from </w:t>
      </w:r>
      <w:r w:rsidRPr="00912A85">
        <w:rPr>
          <w:bCs/>
        </w:rPr>
        <w:t xml:space="preserve">countries </w:t>
      </w:r>
      <w:r w:rsidR="00014EC4">
        <w:rPr>
          <w:bCs/>
        </w:rPr>
        <w:t xml:space="preserve">in </w:t>
      </w:r>
      <w:r w:rsidRPr="00912A85">
        <w:rPr>
          <w:bCs/>
        </w:rPr>
        <w:t>Africa, Arab region, Caribbean</w:t>
      </w:r>
      <w:r w:rsidR="00014EC4">
        <w:rPr>
          <w:bCs/>
        </w:rPr>
        <w:t>,</w:t>
      </w:r>
      <w:r w:rsidRPr="00912A85">
        <w:rPr>
          <w:bCs/>
        </w:rPr>
        <w:t xml:space="preserve"> and South-East Asia. </w:t>
      </w:r>
      <w:r w:rsidR="00014EC4">
        <w:rPr>
          <w:bCs/>
        </w:rPr>
        <w:t xml:space="preserve"> </w:t>
      </w:r>
      <w:r w:rsidRPr="00912A85">
        <w:rPr>
          <w:bCs/>
        </w:rPr>
        <w:t>Experience shows that the legislative support provided by the Office of the Union is appreciated by candidate members</w:t>
      </w:r>
      <w:r w:rsidR="00014EC4">
        <w:rPr>
          <w:bCs/>
        </w:rPr>
        <w:t xml:space="preserve"> and has an overall positive impact</w:t>
      </w:r>
      <w:r w:rsidRPr="00912A85">
        <w:rPr>
          <w:bCs/>
        </w:rPr>
        <w:t xml:space="preserve">. </w:t>
      </w:r>
      <w:r w:rsidR="00014EC4">
        <w:rPr>
          <w:bCs/>
        </w:rPr>
        <w:t xml:space="preserve"> </w:t>
      </w:r>
      <w:r w:rsidRPr="00912A85">
        <w:rPr>
          <w:bCs/>
        </w:rPr>
        <w:t>However, experience also show</w:t>
      </w:r>
      <w:r w:rsidR="00014EC4">
        <w:rPr>
          <w:bCs/>
        </w:rPr>
        <w:t>s</w:t>
      </w:r>
      <w:r w:rsidRPr="00912A85">
        <w:rPr>
          <w:bCs/>
        </w:rPr>
        <w:t xml:space="preserve"> that even </w:t>
      </w:r>
      <w:r w:rsidR="00014EC4">
        <w:rPr>
          <w:bCs/>
        </w:rPr>
        <w:t xml:space="preserve">when </w:t>
      </w:r>
      <w:r w:rsidRPr="00912A85">
        <w:rPr>
          <w:bCs/>
        </w:rPr>
        <w:t>a candidate member has been provided guidance, it does not always lead to the necessary amendments of the law to introduce the essential provisions of the UPOV Convention</w:t>
      </w:r>
      <w:r w:rsidR="00014EC4">
        <w:rPr>
          <w:bCs/>
        </w:rPr>
        <w:t xml:space="preserve"> and the</w:t>
      </w:r>
      <w:r w:rsidRPr="00912A85">
        <w:rPr>
          <w:bCs/>
        </w:rPr>
        <w:t xml:space="preserve"> </w:t>
      </w:r>
      <w:r w:rsidR="00014EC4">
        <w:rPr>
          <w:bCs/>
        </w:rPr>
        <w:t xml:space="preserve">subsequent </w:t>
      </w:r>
      <w:r w:rsidRPr="00912A85">
        <w:rPr>
          <w:bCs/>
        </w:rPr>
        <w:t>deposit</w:t>
      </w:r>
      <w:r w:rsidR="00014EC4">
        <w:rPr>
          <w:bCs/>
        </w:rPr>
        <w:t>ing of</w:t>
      </w:r>
      <w:r w:rsidRPr="00912A85">
        <w:rPr>
          <w:bCs/>
        </w:rPr>
        <w:t xml:space="preserve"> the instrument of accession to become a UPOV member. </w:t>
      </w:r>
      <w:r w:rsidR="00014EC4">
        <w:rPr>
          <w:bCs/>
        </w:rPr>
        <w:t xml:space="preserve"> </w:t>
      </w:r>
      <w:r w:rsidRPr="00912A85">
        <w:rPr>
          <w:bCs/>
        </w:rPr>
        <w:t>Policy objectives and local circumstances need to be understood in order to support countries’ journeys towards UPOV membership.  Therefore, the legislative guidance provided by the UPOV Office and/or the positive advice provided by the UPOV Council in many cases need</w:t>
      </w:r>
      <w:r w:rsidR="00014EC4">
        <w:rPr>
          <w:bCs/>
        </w:rPr>
        <w:t>s</w:t>
      </w:r>
      <w:r w:rsidRPr="00912A85">
        <w:rPr>
          <w:bCs/>
        </w:rPr>
        <w:t xml:space="preserve"> to be coupled with outreach activities with </w:t>
      </w:r>
      <w:proofErr w:type="gramStart"/>
      <w:r w:rsidRPr="00912A85">
        <w:rPr>
          <w:bCs/>
        </w:rPr>
        <w:t>policy-makers</w:t>
      </w:r>
      <w:proofErr w:type="gramEnd"/>
      <w:r w:rsidRPr="00912A85">
        <w:rPr>
          <w:bCs/>
        </w:rPr>
        <w:t xml:space="preserve"> and stakeholders demonstrating the benefits of UPOV membership and </w:t>
      </w:r>
      <w:r w:rsidR="00014EC4">
        <w:rPr>
          <w:bCs/>
        </w:rPr>
        <w:t xml:space="preserve">the </w:t>
      </w:r>
      <w:r w:rsidRPr="00912A85">
        <w:rPr>
          <w:bCs/>
        </w:rPr>
        <w:t>contribut</w:t>
      </w:r>
      <w:r w:rsidR="00014EC4">
        <w:rPr>
          <w:bCs/>
        </w:rPr>
        <w:t>ion</w:t>
      </w:r>
      <w:r w:rsidRPr="00912A85">
        <w:rPr>
          <w:bCs/>
        </w:rPr>
        <w:t xml:space="preserve"> to the countries’ development goals. </w:t>
      </w:r>
      <w:r w:rsidR="00014EC4">
        <w:rPr>
          <w:bCs/>
        </w:rPr>
        <w:t xml:space="preserve"> </w:t>
      </w:r>
      <w:r w:rsidRPr="00912A85">
        <w:rPr>
          <w:bCs/>
        </w:rPr>
        <w:t xml:space="preserve">The “UPOV Executive Program on Plant Variety Protection for the Development of Agriculture”, held in </w:t>
      </w:r>
      <w:r w:rsidRPr="00912A85">
        <w:rPr>
          <w:bCs/>
        </w:rPr>
        <w:lastRenderedPageBreak/>
        <w:t xml:space="preserve">Geneva, from December 3 to 6, 2024, provided an important forum for </w:t>
      </w:r>
      <w:proofErr w:type="gramStart"/>
      <w:r w:rsidRPr="00912A85">
        <w:rPr>
          <w:bCs/>
        </w:rPr>
        <w:t>policy-makers</w:t>
      </w:r>
      <w:proofErr w:type="gramEnd"/>
      <w:r w:rsidRPr="00912A85">
        <w:rPr>
          <w:bCs/>
        </w:rPr>
        <w:t xml:space="preserve"> to engage in this area. </w:t>
      </w:r>
      <w:r w:rsidR="00014EC4">
        <w:rPr>
          <w:bCs/>
        </w:rPr>
        <w:t xml:space="preserve"> </w:t>
      </w:r>
      <w:r w:rsidRPr="00912A85">
        <w:rPr>
          <w:bCs/>
        </w:rPr>
        <w:t xml:space="preserve">In </w:t>
      </w:r>
      <w:r w:rsidR="00521C0D">
        <w:rPr>
          <w:bCs/>
        </w:rPr>
        <w:t>2026</w:t>
      </w:r>
      <w:r w:rsidR="00521C0D">
        <w:rPr>
          <w:bCs/>
        </w:rPr>
        <w:noBreakHyphen/>
        <w:t>2027</w:t>
      </w:r>
      <w:r w:rsidRPr="00912A85">
        <w:rPr>
          <w:bCs/>
        </w:rPr>
        <w:t xml:space="preserve">, the UPOV Office will continue to contribute to outreach activities, subject to available resources. </w:t>
      </w:r>
    </w:p>
    <w:p w14:paraId="09411D94" w14:textId="77777777" w:rsidR="00B65EDC" w:rsidRPr="00912A85" w:rsidRDefault="00B65EDC" w:rsidP="00B65EDC">
      <w:pPr>
        <w:rPr>
          <w:bCs/>
        </w:rPr>
      </w:pPr>
      <w:bookmarkStart w:id="464" w:name="_Hlk190098373"/>
    </w:p>
    <w:p w14:paraId="22185C15" w14:textId="5E25AAAA" w:rsidR="00B65EDC" w:rsidRPr="00912A85" w:rsidRDefault="00B65EDC" w:rsidP="00B65EDC">
      <w:pPr>
        <w:rPr>
          <w:bCs/>
        </w:rPr>
      </w:pPr>
      <w:r w:rsidRPr="00912A85">
        <w:rPr>
          <w:bCs/>
        </w:rPr>
        <w:fldChar w:fldCharType="begin"/>
      </w:r>
      <w:r w:rsidRPr="00912A85">
        <w:rPr>
          <w:bCs/>
        </w:rPr>
        <w:instrText xml:space="preserve"> AUTONUM  </w:instrText>
      </w:r>
      <w:r w:rsidRPr="00912A85">
        <w:rPr>
          <w:bCs/>
        </w:rPr>
        <w:fldChar w:fldCharType="end"/>
      </w:r>
      <w:r w:rsidRPr="00912A85">
        <w:rPr>
          <w:bCs/>
        </w:rPr>
        <w:tab/>
        <w:t xml:space="preserve">Applications for plant variety protection in UPOV members have grown by 80 per cent over the </w:t>
      </w:r>
      <w:r w:rsidR="00443835">
        <w:rPr>
          <w:bCs/>
        </w:rPr>
        <w:br/>
      </w:r>
      <w:r w:rsidRPr="00912A85">
        <w:rPr>
          <w:bCs/>
        </w:rPr>
        <w:t>past</w:t>
      </w:r>
      <w:r w:rsidR="00443835">
        <w:rPr>
          <w:bCs/>
        </w:rPr>
        <w:t xml:space="preserve"> </w:t>
      </w:r>
      <w:r w:rsidRPr="00912A85">
        <w:rPr>
          <w:bCs/>
        </w:rPr>
        <w:t xml:space="preserve">eight years. </w:t>
      </w:r>
      <w:r w:rsidR="00014EC4">
        <w:rPr>
          <w:bCs/>
        </w:rPr>
        <w:t xml:space="preserve"> </w:t>
      </w:r>
      <w:r w:rsidR="009A1137" w:rsidRPr="009A1137">
        <w:rPr>
          <w:rFonts w:eastAsia="Aptos" w:cs="Arial"/>
          <w:kern w:val="2"/>
          <w14:ligatures w14:val="standardContextual"/>
        </w:rPr>
        <w:t xml:space="preserve">In 2024, approximately 29,250 plant variety applications were filed </w:t>
      </w:r>
      <w:r w:rsidR="005D291B">
        <w:rPr>
          <w:rFonts w:eastAsia="Aptos" w:cs="Arial"/>
          <w:kern w:val="2"/>
          <w14:ligatures w14:val="standardContextual"/>
        </w:rPr>
        <w:t>in UPOV members</w:t>
      </w:r>
      <w:r w:rsidR="009A1137" w:rsidRPr="009A1137">
        <w:rPr>
          <w:rFonts w:eastAsia="Aptos" w:cs="Arial"/>
          <w:kern w:val="2"/>
          <w14:ligatures w14:val="standardContextual"/>
        </w:rPr>
        <w:t>, representing a 0.6</w:t>
      </w:r>
      <w:r w:rsidR="008D623E">
        <w:rPr>
          <w:rFonts w:eastAsia="Aptos" w:cs="Arial"/>
          <w:kern w:val="2"/>
          <w14:ligatures w14:val="standardContextual"/>
        </w:rPr>
        <w:t xml:space="preserve"> per cent</w:t>
      </w:r>
      <w:r w:rsidR="009A1137" w:rsidRPr="009A1137">
        <w:rPr>
          <w:rFonts w:eastAsia="Aptos" w:cs="Arial"/>
          <w:kern w:val="2"/>
          <w14:ligatures w14:val="standardContextual"/>
        </w:rPr>
        <w:t xml:space="preserve"> increase over 2023 and marking the ninth consecutive year of growth.</w:t>
      </w:r>
      <w:r w:rsidR="00DC17F8">
        <w:rPr>
          <w:rFonts w:eastAsia="Aptos" w:cs="Arial"/>
          <w:kern w:val="2"/>
          <w14:ligatures w14:val="standardContextual"/>
        </w:rPr>
        <w:t xml:space="preserve"> </w:t>
      </w:r>
      <w:r w:rsidR="009A1137" w:rsidRPr="009A1137">
        <w:rPr>
          <w:rFonts w:eastAsia="Aptos" w:cs="Arial"/>
          <w:kern w:val="2"/>
          <w14:ligatures w14:val="standardContextual"/>
        </w:rPr>
        <w:t xml:space="preserve"> However, this modest increase also reflects the slowest year-on-year growth rate since 2015, primarily due to a slowdown in filings in China.</w:t>
      </w:r>
      <w:r w:rsidR="00D454B1">
        <w:rPr>
          <w:rFonts w:eastAsia="Aptos" w:cs="Arial"/>
          <w:kern w:val="2"/>
          <w14:ligatures w14:val="standardContextual"/>
        </w:rPr>
        <w:t xml:space="preserve">  </w:t>
      </w:r>
      <w:r w:rsidRPr="00912A85">
        <w:rPr>
          <w:bCs/>
        </w:rPr>
        <w:t xml:space="preserve">There are now </w:t>
      </w:r>
      <w:r w:rsidR="0044405F">
        <w:rPr>
          <w:bCs/>
        </w:rPr>
        <w:t>over</w:t>
      </w:r>
      <w:r w:rsidRPr="00912A85">
        <w:rPr>
          <w:bCs/>
        </w:rPr>
        <w:t xml:space="preserve"> 200,000 titles in force.</w:t>
      </w:r>
      <w:r w:rsidR="00C91489">
        <w:rPr>
          <w:bCs/>
        </w:rPr>
        <w:t xml:space="preserve"> </w:t>
      </w:r>
      <w:r w:rsidRPr="00912A85">
        <w:rPr>
          <w:bCs/>
        </w:rPr>
        <w:t xml:space="preserve"> The proposed target for </w:t>
      </w:r>
      <w:r w:rsidR="00521C0D">
        <w:rPr>
          <w:bCs/>
        </w:rPr>
        <w:t>2026</w:t>
      </w:r>
      <w:r w:rsidR="00521C0D">
        <w:rPr>
          <w:bCs/>
        </w:rPr>
        <w:noBreakHyphen/>
        <w:t>2027</w:t>
      </w:r>
      <w:r w:rsidRPr="00912A85">
        <w:rPr>
          <w:bCs/>
        </w:rPr>
        <w:t xml:space="preserve"> is a yearly growth of </w:t>
      </w:r>
      <w:r w:rsidR="00067F90">
        <w:rPr>
          <w:bCs/>
        </w:rPr>
        <w:t>1</w:t>
      </w:r>
      <w:r w:rsidR="00067F90" w:rsidRPr="00912A85">
        <w:rPr>
          <w:bCs/>
        </w:rPr>
        <w:t xml:space="preserve"> </w:t>
      </w:r>
      <w:r w:rsidRPr="00912A85">
        <w:rPr>
          <w:bCs/>
        </w:rPr>
        <w:t xml:space="preserve">per cent in the total number of applications </w:t>
      </w:r>
      <w:r w:rsidR="00D560A7">
        <w:rPr>
          <w:bCs/>
        </w:rPr>
        <w:t xml:space="preserve">and titles granted </w:t>
      </w:r>
      <w:r w:rsidRPr="00912A85">
        <w:rPr>
          <w:bCs/>
        </w:rPr>
        <w:t xml:space="preserve">due to moderate increase in filings in the majority of UPOV members; and </w:t>
      </w:r>
      <w:r w:rsidR="00C06120">
        <w:rPr>
          <w:bCs/>
        </w:rPr>
        <w:t>2</w:t>
      </w:r>
      <w:r w:rsidRPr="00912A85">
        <w:rPr>
          <w:bCs/>
        </w:rPr>
        <w:t xml:space="preserve"> per cent growth in the titles granted, considering the large number of filings in recent years.</w:t>
      </w:r>
    </w:p>
    <w:bookmarkEnd w:id="464"/>
    <w:p w14:paraId="1B9156A4" w14:textId="77777777" w:rsidR="00B65EDC" w:rsidRPr="00912A85" w:rsidRDefault="00B65EDC" w:rsidP="00B65EDC">
      <w:pPr>
        <w:rPr>
          <w:bCs/>
        </w:rPr>
      </w:pPr>
    </w:p>
    <w:p w14:paraId="31B59038" w14:textId="77777777" w:rsidR="00B65EDC" w:rsidRPr="00912A85" w:rsidRDefault="00B65EDC" w:rsidP="00B65EDC">
      <w:pPr>
        <w:rPr>
          <w:bCs/>
        </w:rPr>
      </w:pPr>
    </w:p>
    <w:p w14:paraId="1D6A887E" w14:textId="77777777" w:rsidR="00B65EDC" w:rsidRPr="00912A85" w:rsidRDefault="00B65EDC" w:rsidP="00B65EDC">
      <w:pPr>
        <w:pStyle w:val="Heading3"/>
      </w:pPr>
      <w:bookmarkStart w:id="465" w:name="_Toc208999647"/>
      <w:r w:rsidRPr="00912A85">
        <w:t>Expected Results and Performance Indicators</w:t>
      </w:r>
      <w:bookmarkEnd w:id="465"/>
      <w:r w:rsidRPr="00912A85">
        <w:t xml:space="preserve"> </w:t>
      </w:r>
    </w:p>
    <w:p w14:paraId="1B02FC94" w14:textId="77777777" w:rsidR="00B65EDC" w:rsidRPr="00912A85" w:rsidRDefault="00B65EDC" w:rsidP="00B65EDC">
      <w:pPr>
        <w:rPr>
          <w:bCs/>
        </w:rPr>
      </w:pPr>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39CB7F38" w14:textId="77777777">
        <w:tc>
          <w:tcPr>
            <w:tcW w:w="426" w:type="dxa"/>
            <w:tcBorders>
              <w:bottom w:val="single" w:sz="4" w:space="0" w:color="D9D9D9" w:themeColor="background1" w:themeShade="D9"/>
            </w:tcBorders>
            <w:shd w:val="clear" w:color="auto" w:fill="E2E7EB" w:themeFill="accent3" w:themeFillTint="33"/>
          </w:tcPr>
          <w:p w14:paraId="5CA07316" w14:textId="77777777" w:rsidR="00B65EDC" w:rsidRPr="00912A85" w:rsidRDefault="00B65EDC">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26BEB1C" w14:textId="77777777" w:rsidR="00B65EDC" w:rsidRPr="00912A85" w:rsidRDefault="00B65EDC">
            <w:pPr>
              <w:jc w:val="left"/>
              <w:rPr>
                <w:b/>
                <w:bCs/>
                <w:sz w:val="16"/>
                <w:szCs w:val="16"/>
              </w:rPr>
            </w:pPr>
            <w:r w:rsidRPr="00912A85">
              <w:rPr>
                <w:b/>
                <w:bCs/>
                <w:sz w:val="16"/>
                <w:szCs w:val="16"/>
              </w:rPr>
              <w:t>Expected results</w:t>
            </w:r>
          </w:p>
        </w:tc>
        <w:tc>
          <w:tcPr>
            <w:tcW w:w="305" w:type="dxa"/>
            <w:tcBorders>
              <w:bottom w:val="single" w:sz="4" w:space="0" w:color="D9D9D9" w:themeColor="background1" w:themeShade="D9"/>
            </w:tcBorders>
            <w:shd w:val="clear" w:color="auto" w:fill="E2E7EB" w:themeFill="accent3" w:themeFillTint="33"/>
          </w:tcPr>
          <w:p w14:paraId="51275C06" w14:textId="77777777" w:rsidR="00B65EDC" w:rsidRPr="00912A85" w:rsidRDefault="00B65ED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E023DA0" w14:textId="77777777" w:rsidR="00B65EDC" w:rsidRPr="00912A85" w:rsidRDefault="00B65EDC">
            <w:pPr>
              <w:rPr>
                <w:b/>
                <w:bCs/>
                <w:sz w:val="16"/>
                <w:szCs w:val="16"/>
              </w:rPr>
            </w:pPr>
            <w:r w:rsidRPr="00912A85">
              <w:rPr>
                <w:b/>
                <w:bCs/>
                <w:sz w:val="16"/>
                <w:szCs w:val="16"/>
              </w:rPr>
              <w:t>Performance Indicators</w:t>
            </w:r>
          </w:p>
        </w:tc>
        <w:tc>
          <w:tcPr>
            <w:tcW w:w="1632" w:type="dxa"/>
            <w:tcBorders>
              <w:bottom w:val="single" w:sz="4" w:space="0" w:color="D9D9D9" w:themeColor="background1" w:themeShade="D9"/>
            </w:tcBorders>
            <w:shd w:val="clear" w:color="auto" w:fill="E2E7EB" w:themeFill="accent3" w:themeFillTint="33"/>
          </w:tcPr>
          <w:p w14:paraId="67030F18" w14:textId="77777777" w:rsidR="00B65EDC" w:rsidRPr="00912A85" w:rsidRDefault="00B65EDC">
            <w:pPr>
              <w:jc w:val="center"/>
              <w:rPr>
                <w:b/>
                <w:bCs/>
                <w:sz w:val="16"/>
                <w:szCs w:val="16"/>
              </w:rPr>
            </w:pPr>
            <w:r w:rsidRPr="00912A85">
              <w:rPr>
                <w:b/>
                <w:bCs/>
                <w:sz w:val="16"/>
                <w:szCs w:val="16"/>
              </w:rPr>
              <w:t>Baselines</w:t>
            </w:r>
          </w:p>
        </w:tc>
        <w:tc>
          <w:tcPr>
            <w:tcW w:w="1559" w:type="dxa"/>
            <w:tcBorders>
              <w:bottom w:val="single" w:sz="4" w:space="0" w:color="D9D9D9" w:themeColor="background1" w:themeShade="D9"/>
            </w:tcBorders>
            <w:shd w:val="clear" w:color="auto" w:fill="E2E7EB" w:themeFill="accent3" w:themeFillTint="33"/>
          </w:tcPr>
          <w:p w14:paraId="7B67022D" w14:textId="77777777" w:rsidR="00B65EDC" w:rsidRPr="00912A85" w:rsidRDefault="00B65EDC">
            <w:pPr>
              <w:jc w:val="center"/>
              <w:rPr>
                <w:b/>
                <w:bCs/>
                <w:sz w:val="16"/>
                <w:szCs w:val="16"/>
              </w:rPr>
            </w:pPr>
            <w:r w:rsidRPr="00912A85">
              <w:rPr>
                <w:b/>
                <w:bCs/>
                <w:sz w:val="16"/>
                <w:szCs w:val="16"/>
              </w:rPr>
              <w:t>Targets (2026/27)</w:t>
            </w:r>
          </w:p>
        </w:tc>
      </w:tr>
      <w:tr w:rsidR="00B65EDC" w:rsidRPr="00912A85" w14:paraId="59140254" w14:textId="77777777">
        <w:tc>
          <w:tcPr>
            <w:tcW w:w="426" w:type="dxa"/>
            <w:tcBorders>
              <w:top w:val="single" w:sz="4" w:space="0" w:color="D9D9D9" w:themeColor="background1" w:themeShade="D9"/>
            </w:tcBorders>
          </w:tcPr>
          <w:p w14:paraId="4EDC5F62" w14:textId="77777777" w:rsidR="00B65EDC" w:rsidRPr="00912A85" w:rsidRDefault="00B65EDC">
            <w:pPr>
              <w:jc w:val="left"/>
              <w:rPr>
                <w:rFonts w:cs="Arial"/>
                <w:sz w:val="16"/>
                <w:szCs w:val="16"/>
              </w:rPr>
            </w:pPr>
            <w:r w:rsidRPr="00912A85">
              <w:rPr>
                <w:rFonts w:cs="Arial"/>
                <w:sz w:val="16"/>
                <w:szCs w:val="16"/>
              </w:rPr>
              <w:t>1.1</w:t>
            </w:r>
          </w:p>
        </w:tc>
        <w:tc>
          <w:tcPr>
            <w:tcW w:w="3255" w:type="dxa"/>
            <w:tcBorders>
              <w:top w:val="single" w:sz="4" w:space="0" w:color="D9D9D9" w:themeColor="background1" w:themeShade="D9"/>
            </w:tcBorders>
          </w:tcPr>
          <w:p w14:paraId="77441CD9" w14:textId="77777777" w:rsidR="00B65EDC" w:rsidRPr="00912A85" w:rsidRDefault="00B65EDC">
            <w:pPr>
              <w:jc w:val="left"/>
              <w:rPr>
                <w:rFonts w:cs="Arial"/>
                <w:sz w:val="16"/>
                <w:szCs w:val="16"/>
              </w:rPr>
            </w:pPr>
            <w:r w:rsidRPr="00912A85">
              <w:rPr>
                <w:rFonts w:cs="Arial"/>
                <w:sz w:val="16"/>
                <w:szCs w:val="16"/>
              </w:rPr>
              <w:t>Governance by the UPOV Council and work of UPOV Committees and other bodies</w:t>
            </w:r>
          </w:p>
        </w:tc>
        <w:tc>
          <w:tcPr>
            <w:tcW w:w="305" w:type="dxa"/>
            <w:tcBorders>
              <w:top w:val="single" w:sz="4" w:space="0" w:color="D9D9D9" w:themeColor="background1" w:themeShade="D9"/>
            </w:tcBorders>
          </w:tcPr>
          <w:p w14:paraId="0B13A067" w14:textId="77777777" w:rsidR="00B65EDC" w:rsidRPr="00912A85" w:rsidRDefault="00B65EDC">
            <w:pPr>
              <w:jc w:val="center"/>
              <w:rPr>
                <w:rFonts w:cs="Arial"/>
                <w:sz w:val="16"/>
                <w:szCs w:val="16"/>
              </w:rPr>
            </w:pPr>
            <w:r w:rsidRPr="00912A85">
              <w:rPr>
                <w:rFonts w:cs="Arial"/>
                <w:sz w:val="16"/>
                <w:szCs w:val="16"/>
              </w:rPr>
              <w:t>1</w:t>
            </w:r>
          </w:p>
        </w:tc>
        <w:tc>
          <w:tcPr>
            <w:tcW w:w="2457" w:type="dxa"/>
            <w:tcBorders>
              <w:top w:val="single" w:sz="4" w:space="0" w:color="D9D9D9" w:themeColor="background1" w:themeShade="D9"/>
            </w:tcBorders>
          </w:tcPr>
          <w:p w14:paraId="0AFD54BB" w14:textId="77777777" w:rsidR="00B65EDC" w:rsidRPr="00912A85" w:rsidRDefault="00B65EDC">
            <w:pPr>
              <w:jc w:val="left"/>
              <w:rPr>
                <w:rFonts w:cs="Arial"/>
                <w:sz w:val="16"/>
                <w:szCs w:val="16"/>
              </w:rPr>
            </w:pPr>
          </w:p>
        </w:tc>
        <w:tc>
          <w:tcPr>
            <w:tcW w:w="1632" w:type="dxa"/>
            <w:tcBorders>
              <w:top w:val="single" w:sz="4" w:space="0" w:color="D9D9D9" w:themeColor="background1" w:themeShade="D9"/>
            </w:tcBorders>
            <w:vAlign w:val="bottom"/>
          </w:tcPr>
          <w:p w14:paraId="33A83E16" w14:textId="77777777" w:rsidR="00B65EDC" w:rsidRPr="00912A85" w:rsidRDefault="00B65EDC">
            <w:pPr>
              <w:jc w:val="left"/>
              <w:rPr>
                <w:rFonts w:cs="Arial"/>
                <w:sz w:val="16"/>
                <w:szCs w:val="16"/>
              </w:rPr>
            </w:pPr>
          </w:p>
        </w:tc>
        <w:tc>
          <w:tcPr>
            <w:tcW w:w="1559" w:type="dxa"/>
            <w:tcBorders>
              <w:top w:val="single" w:sz="4" w:space="0" w:color="D9D9D9" w:themeColor="background1" w:themeShade="D9"/>
            </w:tcBorders>
            <w:vAlign w:val="bottom"/>
          </w:tcPr>
          <w:p w14:paraId="586295A7" w14:textId="77777777" w:rsidR="00B65EDC" w:rsidRPr="00912A85" w:rsidRDefault="00B65EDC">
            <w:pPr>
              <w:jc w:val="center"/>
              <w:rPr>
                <w:rFonts w:cs="Arial"/>
                <w:sz w:val="16"/>
                <w:szCs w:val="16"/>
              </w:rPr>
            </w:pPr>
          </w:p>
        </w:tc>
      </w:tr>
      <w:tr w:rsidR="00B65EDC" w:rsidRPr="00912A85" w14:paraId="2504296E" w14:textId="77777777">
        <w:tc>
          <w:tcPr>
            <w:tcW w:w="426" w:type="dxa"/>
            <w:tcBorders>
              <w:top w:val="single" w:sz="4" w:space="0" w:color="D9D9D9" w:themeColor="background1" w:themeShade="D9"/>
            </w:tcBorders>
          </w:tcPr>
          <w:p w14:paraId="6FAA4879" w14:textId="77777777" w:rsidR="00B65EDC" w:rsidRPr="00912A85" w:rsidRDefault="00B65EDC">
            <w:pPr>
              <w:jc w:val="left"/>
              <w:rPr>
                <w:rFonts w:cs="Arial"/>
                <w:sz w:val="16"/>
                <w:szCs w:val="16"/>
              </w:rPr>
            </w:pPr>
          </w:p>
        </w:tc>
        <w:tc>
          <w:tcPr>
            <w:tcW w:w="3255" w:type="dxa"/>
            <w:tcBorders>
              <w:top w:val="single" w:sz="4" w:space="0" w:color="D9D9D9" w:themeColor="background1" w:themeShade="D9"/>
            </w:tcBorders>
          </w:tcPr>
          <w:p w14:paraId="72AB42BD" w14:textId="77777777" w:rsidR="00B65EDC" w:rsidRPr="00912A85" w:rsidRDefault="00B65EDC">
            <w:pPr>
              <w:jc w:val="left"/>
              <w:rPr>
                <w:rFonts w:cs="Arial"/>
                <w:sz w:val="16"/>
                <w:szCs w:val="16"/>
              </w:rPr>
            </w:pPr>
          </w:p>
        </w:tc>
        <w:tc>
          <w:tcPr>
            <w:tcW w:w="305" w:type="dxa"/>
            <w:tcBorders>
              <w:top w:val="single" w:sz="4" w:space="0" w:color="D9D9D9" w:themeColor="background1" w:themeShade="D9"/>
            </w:tcBorders>
          </w:tcPr>
          <w:p w14:paraId="2F2C455F" w14:textId="77777777" w:rsidR="00B65EDC" w:rsidRPr="00912A85" w:rsidRDefault="00B65EDC">
            <w:pPr>
              <w:jc w:val="center"/>
              <w:rPr>
                <w:rFonts w:cs="Arial"/>
                <w:sz w:val="16"/>
                <w:szCs w:val="16"/>
              </w:rPr>
            </w:pPr>
          </w:p>
        </w:tc>
        <w:tc>
          <w:tcPr>
            <w:tcW w:w="2457" w:type="dxa"/>
            <w:tcBorders>
              <w:top w:val="single" w:sz="4" w:space="0" w:color="D9D9D9" w:themeColor="background1" w:themeShade="D9"/>
            </w:tcBorders>
          </w:tcPr>
          <w:p w14:paraId="506E18F7" w14:textId="77777777" w:rsidR="00B65EDC" w:rsidRPr="00912A85" w:rsidRDefault="00B65EDC">
            <w:pPr>
              <w:jc w:val="left"/>
              <w:rPr>
                <w:rFonts w:cs="Arial"/>
                <w:sz w:val="16"/>
                <w:szCs w:val="16"/>
              </w:rPr>
            </w:pPr>
          </w:p>
        </w:tc>
        <w:tc>
          <w:tcPr>
            <w:tcW w:w="1632" w:type="dxa"/>
            <w:tcBorders>
              <w:top w:val="single" w:sz="4" w:space="0" w:color="D9D9D9" w:themeColor="background1" w:themeShade="D9"/>
            </w:tcBorders>
            <w:vAlign w:val="bottom"/>
          </w:tcPr>
          <w:p w14:paraId="2AC09233" w14:textId="77777777" w:rsidR="00B65EDC" w:rsidRPr="00912A85" w:rsidRDefault="00B65EDC">
            <w:pPr>
              <w:jc w:val="left"/>
              <w:rPr>
                <w:rFonts w:cs="Arial"/>
                <w:sz w:val="16"/>
                <w:szCs w:val="16"/>
              </w:rPr>
            </w:pPr>
          </w:p>
        </w:tc>
        <w:tc>
          <w:tcPr>
            <w:tcW w:w="1559" w:type="dxa"/>
            <w:tcBorders>
              <w:top w:val="single" w:sz="4" w:space="0" w:color="D9D9D9" w:themeColor="background1" w:themeShade="D9"/>
            </w:tcBorders>
            <w:vAlign w:val="bottom"/>
          </w:tcPr>
          <w:p w14:paraId="38B57988" w14:textId="77777777" w:rsidR="00B65EDC" w:rsidRPr="00912A85" w:rsidRDefault="00B65EDC">
            <w:pPr>
              <w:jc w:val="center"/>
              <w:rPr>
                <w:rFonts w:cs="Arial"/>
                <w:sz w:val="16"/>
                <w:szCs w:val="16"/>
              </w:rPr>
            </w:pPr>
          </w:p>
        </w:tc>
      </w:tr>
      <w:tr w:rsidR="00B65EDC" w:rsidRPr="00912A85" w14:paraId="36191B93" w14:textId="77777777">
        <w:tc>
          <w:tcPr>
            <w:tcW w:w="426" w:type="dxa"/>
          </w:tcPr>
          <w:p w14:paraId="2BB61E54" w14:textId="77777777" w:rsidR="00B65EDC" w:rsidRPr="00912A85" w:rsidRDefault="00B65EDC">
            <w:pPr>
              <w:jc w:val="left"/>
              <w:rPr>
                <w:rFonts w:cs="Arial"/>
                <w:sz w:val="16"/>
                <w:szCs w:val="16"/>
              </w:rPr>
            </w:pPr>
          </w:p>
        </w:tc>
        <w:tc>
          <w:tcPr>
            <w:tcW w:w="3255" w:type="dxa"/>
          </w:tcPr>
          <w:p w14:paraId="04B64D4B" w14:textId="77777777" w:rsidR="00B65EDC" w:rsidRPr="00912A85" w:rsidRDefault="00B65EDC">
            <w:pPr>
              <w:jc w:val="left"/>
              <w:rPr>
                <w:rFonts w:cs="Arial"/>
                <w:sz w:val="16"/>
                <w:szCs w:val="16"/>
              </w:rPr>
            </w:pPr>
            <w:r w:rsidRPr="00912A85">
              <w:rPr>
                <w:rFonts w:cs="Arial"/>
                <w:sz w:val="16"/>
                <w:szCs w:val="16"/>
              </w:rPr>
              <w:t>Growth in the number of varieties developed under the UPOV system</w:t>
            </w:r>
          </w:p>
        </w:tc>
        <w:tc>
          <w:tcPr>
            <w:tcW w:w="305" w:type="dxa"/>
          </w:tcPr>
          <w:p w14:paraId="60BFE261" w14:textId="77777777" w:rsidR="00B65EDC" w:rsidRPr="00912A85" w:rsidRDefault="00B65EDC">
            <w:pPr>
              <w:jc w:val="center"/>
              <w:rPr>
                <w:rFonts w:cs="Arial"/>
                <w:sz w:val="16"/>
                <w:szCs w:val="16"/>
              </w:rPr>
            </w:pPr>
          </w:p>
        </w:tc>
        <w:tc>
          <w:tcPr>
            <w:tcW w:w="2457" w:type="dxa"/>
          </w:tcPr>
          <w:p w14:paraId="3C5C7C8E" w14:textId="77777777" w:rsidR="00B65EDC" w:rsidRPr="00912A85" w:rsidRDefault="00B65EDC">
            <w:pPr>
              <w:ind w:left="284"/>
              <w:jc w:val="left"/>
              <w:rPr>
                <w:rFonts w:cs="Arial"/>
                <w:sz w:val="16"/>
                <w:szCs w:val="16"/>
              </w:rPr>
            </w:pPr>
            <w:r w:rsidRPr="00912A85">
              <w:rPr>
                <w:rFonts w:cs="Arial"/>
                <w:sz w:val="16"/>
                <w:szCs w:val="16"/>
              </w:rPr>
              <w:t>Number of applications in UPOV members</w:t>
            </w:r>
          </w:p>
        </w:tc>
        <w:tc>
          <w:tcPr>
            <w:tcW w:w="1632" w:type="dxa"/>
            <w:vAlign w:val="center"/>
          </w:tcPr>
          <w:p w14:paraId="43231AD8" w14:textId="379D7936" w:rsidR="00B65EDC" w:rsidRPr="00912A85" w:rsidRDefault="0088452A">
            <w:pPr>
              <w:ind w:right="221"/>
              <w:jc w:val="right"/>
              <w:rPr>
                <w:rFonts w:cs="Arial"/>
                <w:sz w:val="16"/>
                <w:szCs w:val="16"/>
              </w:rPr>
            </w:pPr>
            <w:r w:rsidRPr="0088452A">
              <w:rPr>
                <w:rFonts w:cs="Arial"/>
                <w:sz w:val="16"/>
                <w:szCs w:val="16"/>
              </w:rPr>
              <w:t>29,250</w:t>
            </w:r>
            <w:r>
              <w:rPr>
                <w:rFonts w:cs="Arial"/>
                <w:sz w:val="16"/>
                <w:szCs w:val="16"/>
              </w:rPr>
              <w:t xml:space="preserve"> (2024)</w:t>
            </w:r>
          </w:p>
        </w:tc>
        <w:tc>
          <w:tcPr>
            <w:tcW w:w="1559" w:type="dxa"/>
            <w:vAlign w:val="center"/>
          </w:tcPr>
          <w:p w14:paraId="67EDE929" w14:textId="1AE49E49" w:rsidR="00B65EDC" w:rsidRDefault="00367596">
            <w:pPr>
              <w:ind w:right="230"/>
              <w:jc w:val="right"/>
              <w:rPr>
                <w:rFonts w:cs="Arial"/>
                <w:sz w:val="16"/>
                <w:szCs w:val="16"/>
              </w:rPr>
            </w:pPr>
            <w:r>
              <w:rPr>
                <w:rFonts w:cs="Arial"/>
                <w:sz w:val="16"/>
                <w:szCs w:val="16"/>
              </w:rPr>
              <w:t>29,800</w:t>
            </w:r>
            <w:r w:rsidR="00C1074F">
              <w:rPr>
                <w:rFonts w:cs="Arial"/>
                <w:sz w:val="16"/>
                <w:szCs w:val="16"/>
              </w:rPr>
              <w:t xml:space="preserve"> </w:t>
            </w:r>
            <w:r w:rsidR="00B65EDC" w:rsidRPr="00912A85">
              <w:rPr>
                <w:rFonts w:cs="Arial"/>
                <w:sz w:val="16"/>
                <w:szCs w:val="16"/>
              </w:rPr>
              <w:t>(2026)</w:t>
            </w:r>
          </w:p>
          <w:p w14:paraId="34C9A058" w14:textId="2F3FCFE7" w:rsidR="003F1324" w:rsidRPr="00443835" w:rsidRDefault="003A212A" w:rsidP="00443835">
            <w:pPr>
              <w:ind w:right="230"/>
              <w:jc w:val="right"/>
              <w:rPr>
                <w:rFonts w:cs="Arial"/>
                <w:sz w:val="16"/>
                <w:szCs w:val="16"/>
              </w:rPr>
            </w:pPr>
            <w:r>
              <w:rPr>
                <w:rFonts w:cs="Arial"/>
                <w:sz w:val="16"/>
                <w:szCs w:val="16"/>
              </w:rPr>
              <w:t>30,100 (2027)</w:t>
            </w:r>
          </w:p>
        </w:tc>
      </w:tr>
      <w:tr w:rsidR="00B65EDC" w:rsidRPr="00912A85" w14:paraId="6D65FC5D" w14:textId="77777777">
        <w:tc>
          <w:tcPr>
            <w:tcW w:w="426" w:type="dxa"/>
          </w:tcPr>
          <w:p w14:paraId="7C439471" w14:textId="77777777" w:rsidR="00B65EDC" w:rsidRPr="00912A85" w:rsidRDefault="00B65EDC">
            <w:pPr>
              <w:jc w:val="left"/>
              <w:rPr>
                <w:rFonts w:cs="Arial"/>
                <w:sz w:val="16"/>
                <w:szCs w:val="16"/>
              </w:rPr>
            </w:pPr>
          </w:p>
        </w:tc>
        <w:tc>
          <w:tcPr>
            <w:tcW w:w="3255" w:type="dxa"/>
          </w:tcPr>
          <w:p w14:paraId="47A29C2D" w14:textId="77777777" w:rsidR="00B65EDC" w:rsidRPr="00912A85" w:rsidRDefault="00B65EDC">
            <w:pPr>
              <w:jc w:val="left"/>
              <w:rPr>
                <w:rFonts w:cs="Arial"/>
                <w:sz w:val="16"/>
                <w:szCs w:val="16"/>
              </w:rPr>
            </w:pPr>
          </w:p>
        </w:tc>
        <w:tc>
          <w:tcPr>
            <w:tcW w:w="305" w:type="dxa"/>
            <w:tcBorders>
              <w:bottom w:val="nil"/>
            </w:tcBorders>
          </w:tcPr>
          <w:p w14:paraId="444E3E31" w14:textId="77777777" w:rsidR="00B65EDC" w:rsidRPr="00912A85" w:rsidRDefault="00B65EDC">
            <w:pPr>
              <w:jc w:val="center"/>
              <w:rPr>
                <w:rFonts w:cs="Arial"/>
                <w:sz w:val="16"/>
                <w:szCs w:val="16"/>
              </w:rPr>
            </w:pPr>
          </w:p>
        </w:tc>
        <w:tc>
          <w:tcPr>
            <w:tcW w:w="2457" w:type="dxa"/>
            <w:tcBorders>
              <w:bottom w:val="nil"/>
            </w:tcBorders>
          </w:tcPr>
          <w:p w14:paraId="08B4C176" w14:textId="77777777" w:rsidR="00B65EDC" w:rsidRPr="00912A85" w:rsidRDefault="00B65EDC">
            <w:pPr>
              <w:ind w:left="284"/>
              <w:jc w:val="left"/>
              <w:rPr>
                <w:rFonts w:cs="Arial"/>
                <w:sz w:val="16"/>
                <w:szCs w:val="16"/>
              </w:rPr>
            </w:pPr>
            <w:r w:rsidRPr="00912A85">
              <w:rPr>
                <w:rFonts w:cs="Arial"/>
                <w:sz w:val="16"/>
                <w:szCs w:val="16"/>
              </w:rPr>
              <w:t>Number of titles granted in UPOV members</w:t>
            </w:r>
          </w:p>
        </w:tc>
        <w:tc>
          <w:tcPr>
            <w:tcW w:w="1632" w:type="dxa"/>
            <w:vAlign w:val="center"/>
          </w:tcPr>
          <w:p w14:paraId="196E6F50" w14:textId="010CB653" w:rsidR="00B65EDC" w:rsidRPr="00912A85" w:rsidRDefault="0088452A">
            <w:pPr>
              <w:ind w:right="221"/>
              <w:jc w:val="right"/>
              <w:rPr>
                <w:rFonts w:cs="Arial"/>
                <w:sz w:val="16"/>
                <w:szCs w:val="16"/>
              </w:rPr>
            </w:pPr>
            <w:r w:rsidRPr="0088452A">
              <w:rPr>
                <w:rFonts w:cs="Arial"/>
                <w:sz w:val="16"/>
                <w:szCs w:val="16"/>
              </w:rPr>
              <w:t>17,270</w:t>
            </w:r>
            <w:r>
              <w:rPr>
                <w:rFonts w:cs="Arial"/>
                <w:sz w:val="16"/>
                <w:szCs w:val="16"/>
              </w:rPr>
              <w:t xml:space="preserve"> (2024)</w:t>
            </w:r>
          </w:p>
        </w:tc>
        <w:tc>
          <w:tcPr>
            <w:tcW w:w="1559" w:type="dxa"/>
            <w:vAlign w:val="center"/>
          </w:tcPr>
          <w:p w14:paraId="04785238" w14:textId="26ED4D4D" w:rsidR="00B65EDC" w:rsidRPr="000F48CF" w:rsidRDefault="007151CF">
            <w:pPr>
              <w:ind w:right="230"/>
              <w:jc w:val="right"/>
              <w:rPr>
                <w:rFonts w:cs="Arial"/>
                <w:sz w:val="16"/>
                <w:szCs w:val="16"/>
              </w:rPr>
            </w:pPr>
            <w:r>
              <w:rPr>
                <w:rFonts w:cs="Arial"/>
                <w:sz w:val="16"/>
                <w:szCs w:val="16"/>
              </w:rPr>
              <w:t>18,000</w:t>
            </w:r>
            <w:r w:rsidR="00B65EDC" w:rsidRPr="000F48CF">
              <w:rPr>
                <w:rFonts w:cs="Arial"/>
                <w:sz w:val="16"/>
                <w:szCs w:val="16"/>
              </w:rPr>
              <w:t xml:space="preserve"> (2026)</w:t>
            </w:r>
          </w:p>
          <w:p w14:paraId="3CB10051" w14:textId="33F7E5F2" w:rsidR="002379B6" w:rsidRPr="00912A85" w:rsidRDefault="00162FB4">
            <w:pPr>
              <w:ind w:right="230"/>
              <w:jc w:val="right"/>
              <w:rPr>
                <w:rFonts w:cs="Arial"/>
                <w:sz w:val="16"/>
                <w:szCs w:val="16"/>
                <w:highlight w:val="magenta"/>
              </w:rPr>
            </w:pPr>
            <w:r>
              <w:rPr>
                <w:rFonts w:cs="Arial"/>
                <w:sz w:val="16"/>
                <w:szCs w:val="16"/>
              </w:rPr>
              <w:t>18,</w:t>
            </w:r>
            <w:r w:rsidR="00EB7ED3">
              <w:rPr>
                <w:rFonts w:cs="Arial"/>
                <w:sz w:val="16"/>
                <w:szCs w:val="16"/>
              </w:rPr>
              <w:t>300</w:t>
            </w:r>
            <w:r w:rsidR="00C1074F">
              <w:rPr>
                <w:rFonts w:cs="Arial"/>
                <w:sz w:val="16"/>
                <w:szCs w:val="16"/>
              </w:rPr>
              <w:t xml:space="preserve"> </w:t>
            </w:r>
            <w:r w:rsidR="000F48CF" w:rsidRPr="00443835">
              <w:rPr>
                <w:rFonts w:cs="Arial"/>
                <w:sz w:val="16"/>
                <w:szCs w:val="16"/>
              </w:rPr>
              <w:t>(2027)</w:t>
            </w:r>
          </w:p>
        </w:tc>
      </w:tr>
      <w:tr w:rsidR="00B65EDC" w:rsidRPr="00912A85" w14:paraId="41B405DF" w14:textId="77777777">
        <w:tc>
          <w:tcPr>
            <w:tcW w:w="426" w:type="dxa"/>
            <w:tcBorders>
              <w:bottom w:val="single" w:sz="4" w:space="0" w:color="D9D9D9" w:themeColor="background1" w:themeShade="D9"/>
            </w:tcBorders>
          </w:tcPr>
          <w:p w14:paraId="7C8F6CEC"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2552A4BA" w14:textId="77777777" w:rsidR="00B65EDC" w:rsidRPr="00912A85" w:rsidRDefault="00B65EDC">
            <w:pPr>
              <w:jc w:val="left"/>
              <w:rPr>
                <w:rFonts w:cs="Arial"/>
                <w:sz w:val="16"/>
                <w:szCs w:val="16"/>
              </w:rPr>
            </w:pPr>
          </w:p>
        </w:tc>
        <w:tc>
          <w:tcPr>
            <w:tcW w:w="305" w:type="dxa"/>
            <w:tcBorders>
              <w:bottom w:val="single" w:sz="4" w:space="0" w:color="D9D9D9" w:themeColor="background1" w:themeShade="D9"/>
              <w:right w:val="nil"/>
            </w:tcBorders>
          </w:tcPr>
          <w:p w14:paraId="6E864B4F" w14:textId="77777777" w:rsidR="00B65EDC" w:rsidRPr="00912A85" w:rsidRDefault="00B65EDC">
            <w:pPr>
              <w:jc w:val="center"/>
              <w:rPr>
                <w:rFonts w:cs="Arial"/>
                <w:sz w:val="16"/>
                <w:szCs w:val="16"/>
              </w:rPr>
            </w:pPr>
          </w:p>
        </w:tc>
        <w:tc>
          <w:tcPr>
            <w:tcW w:w="2457" w:type="dxa"/>
            <w:tcBorders>
              <w:left w:val="nil"/>
              <w:bottom w:val="single" w:sz="4" w:space="0" w:color="D9D9D9" w:themeColor="background1" w:themeShade="D9"/>
            </w:tcBorders>
          </w:tcPr>
          <w:p w14:paraId="31040A70" w14:textId="77777777" w:rsidR="00B65EDC" w:rsidRPr="00912A85" w:rsidRDefault="00B65EDC">
            <w:pPr>
              <w:ind w:left="284"/>
              <w:jc w:val="left"/>
              <w:rPr>
                <w:rFonts w:cs="Arial"/>
                <w:sz w:val="16"/>
                <w:szCs w:val="16"/>
              </w:rPr>
            </w:pPr>
            <w:r w:rsidRPr="00912A85">
              <w:rPr>
                <w:rFonts w:cs="Arial"/>
                <w:sz w:val="16"/>
                <w:szCs w:val="16"/>
              </w:rPr>
              <w:t>Number of titles in force in UPOV members</w:t>
            </w:r>
          </w:p>
        </w:tc>
        <w:tc>
          <w:tcPr>
            <w:tcW w:w="1632" w:type="dxa"/>
            <w:tcBorders>
              <w:bottom w:val="single" w:sz="4" w:space="0" w:color="D9D9D9" w:themeColor="background1" w:themeShade="D9"/>
            </w:tcBorders>
            <w:vAlign w:val="center"/>
          </w:tcPr>
          <w:p w14:paraId="03114488" w14:textId="5FBB5063" w:rsidR="00B65EDC" w:rsidRPr="00912A85" w:rsidRDefault="0088452A">
            <w:pPr>
              <w:ind w:right="221"/>
              <w:jc w:val="right"/>
              <w:rPr>
                <w:rFonts w:cs="Arial"/>
                <w:sz w:val="16"/>
                <w:szCs w:val="16"/>
              </w:rPr>
            </w:pPr>
            <w:r w:rsidRPr="0088452A">
              <w:rPr>
                <w:rFonts w:cs="Arial"/>
                <w:sz w:val="16"/>
                <w:szCs w:val="16"/>
              </w:rPr>
              <w:t>203,760</w:t>
            </w:r>
            <w:r>
              <w:rPr>
                <w:rFonts w:cs="Arial"/>
                <w:sz w:val="16"/>
                <w:szCs w:val="16"/>
              </w:rPr>
              <w:t xml:space="preserve"> (2024)</w:t>
            </w:r>
          </w:p>
        </w:tc>
        <w:tc>
          <w:tcPr>
            <w:tcW w:w="1559" w:type="dxa"/>
            <w:tcBorders>
              <w:bottom w:val="single" w:sz="4" w:space="0" w:color="D9D9D9" w:themeColor="background1" w:themeShade="D9"/>
            </w:tcBorders>
            <w:vAlign w:val="center"/>
          </w:tcPr>
          <w:p w14:paraId="7CDF557F" w14:textId="5A47DBEE" w:rsidR="00B65EDC" w:rsidRDefault="00632CA9">
            <w:pPr>
              <w:ind w:right="230"/>
              <w:jc w:val="right"/>
              <w:rPr>
                <w:rFonts w:cs="Arial"/>
                <w:sz w:val="16"/>
                <w:szCs w:val="16"/>
              </w:rPr>
            </w:pPr>
            <w:r>
              <w:rPr>
                <w:rFonts w:cs="Arial"/>
                <w:sz w:val="16"/>
                <w:szCs w:val="16"/>
              </w:rPr>
              <w:t>224</w:t>
            </w:r>
            <w:r w:rsidR="00B65EDC" w:rsidRPr="00912A85">
              <w:rPr>
                <w:rFonts w:cs="Arial"/>
                <w:sz w:val="16"/>
                <w:szCs w:val="16"/>
              </w:rPr>
              <w:t>,000 (2026)</w:t>
            </w:r>
          </w:p>
          <w:p w14:paraId="487EC0B7" w14:textId="3007D5AF" w:rsidR="009C40AA" w:rsidRPr="00443835" w:rsidRDefault="006537FE" w:rsidP="00443835">
            <w:pPr>
              <w:ind w:right="230"/>
              <w:jc w:val="right"/>
              <w:rPr>
                <w:rFonts w:cs="Arial"/>
                <w:sz w:val="16"/>
                <w:szCs w:val="16"/>
              </w:rPr>
            </w:pPr>
            <w:r>
              <w:rPr>
                <w:rFonts w:cs="Arial"/>
                <w:sz w:val="16"/>
                <w:szCs w:val="16"/>
              </w:rPr>
              <w:t>235,000 (</w:t>
            </w:r>
            <w:r w:rsidR="001E1BC8">
              <w:rPr>
                <w:rFonts w:cs="Arial"/>
                <w:sz w:val="16"/>
                <w:szCs w:val="16"/>
              </w:rPr>
              <w:t>2027)</w:t>
            </w:r>
          </w:p>
        </w:tc>
      </w:tr>
      <w:tr w:rsidR="00B65EDC" w:rsidRPr="00912A85" w14:paraId="6E2C6202" w14:textId="77777777">
        <w:tc>
          <w:tcPr>
            <w:tcW w:w="426" w:type="dxa"/>
            <w:tcBorders>
              <w:top w:val="single" w:sz="4" w:space="0" w:color="D9D9D9" w:themeColor="background1" w:themeShade="D9"/>
            </w:tcBorders>
          </w:tcPr>
          <w:p w14:paraId="3252213E" w14:textId="77777777" w:rsidR="00B65EDC" w:rsidRPr="00912A85" w:rsidRDefault="00B65EDC">
            <w:pPr>
              <w:jc w:val="left"/>
              <w:rPr>
                <w:rFonts w:cs="Arial"/>
                <w:sz w:val="16"/>
                <w:szCs w:val="16"/>
              </w:rPr>
            </w:pPr>
          </w:p>
        </w:tc>
        <w:tc>
          <w:tcPr>
            <w:tcW w:w="3255" w:type="dxa"/>
            <w:tcBorders>
              <w:top w:val="single" w:sz="4" w:space="0" w:color="D9D9D9" w:themeColor="background1" w:themeShade="D9"/>
            </w:tcBorders>
          </w:tcPr>
          <w:p w14:paraId="13D20A36" w14:textId="77777777" w:rsidR="00B65EDC" w:rsidRPr="00912A85" w:rsidRDefault="00B65EDC">
            <w:pPr>
              <w:jc w:val="left"/>
              <w:rPr>
                <w:rFonts w:cs="Arial"/>
                <w:sz w:val="16"/>
                <w:szCs w:val="16"/>
              </w:rPr>
            </w:pPr>
          </w:p>
        </w:tc>
        <w:tc>
          <w:tcPr>
            <w:tcW w:w="305" w:type="dxa"/>
            <w:tcBorders>
              <w:top w:val="single" w:sz="4" w:space="0" w:color="D9D9D9" w:themeColor="background1" w:themeShade="D9"/>
            </w:tcBorders>
          </w:tcPr>
          <w:p w14:paraId="7BDE866A" w14:textId="77777777" w:rsidR="00B65EDC" w:rsidRPr="00912A85" w:rsidRDefault="00B65EDC">
            <w:pPr>
              <w:jc w:val="center"/>
              <w:rPr>
                <w:rFonts w:cs="Arial"/>
                <w:sz w:val="16"/>
                <w:szCs w:val="16"/>
              </w:rPr>
            </w:pPr>
          </w:p>
        </w:tc>
        <w:tc>
          <w:tcPr>
            <w:tcW w:w="2457" w:type="dxa"/>
            <w:tcBorders>
              <w:top w:val="single" w:sz="4" w:space="0" w:color="D9D9D9" w:themeColor="background1" w:themeShade="D9"/>
            </w:tcBorders>
          </w:tcPr>
          <w:p w14:paraId="22D797AE" w14:textId="77777777" w:rsidR="00B65EDC" w:rsidRPr="00912A85" w:rsidDel="001D1E86" w:rsidRDefault="00B65EDC">
            <w:pPr>
              <w:jc w:val="left"/>
              <w:rPr>
                <w:rFonts w:cs="Arial"/>
                <w:sz w:val="16"/>
                <w:szCs w:val="16"/>
              </w:rPr>
            </w:pPr>
          </w:p>
        </w:tc>
        <w:tc>
          <w:tcPr>
            <w:tcW w:w="1632" w:type="dxa"/>
            <w:tcBorders>
              <w:top w:val="single" w:sz="4" w:space="0" w:color="D9D9D9" w:themeColor="background1" w:themeShade="D9"/>
            </w:tcBorders>
            <w:vAlign w:val="bottom"/>
          </w:tcPr>
          <w:p w14:paraId="43E2BBC3" w14:textId="77777777" w:rsidR="00B65EDC" w:rsidRPr="00912A85" w:rsidRDefault="00B65EDC">
            <w:pPr>
              <w:jc w:val="left"/>
              <w:rPr>
                <w:rFonts w:cs="Arial"/>
                <w:sz w:val="16"/>
                <w:szCs w:val="16"/>
              </w:rPr>
            </w:pPr>
          </w:p>
        </w:tc>
        <w:tc>
          <w:tcPr>
            <w:tcW w:w="1559" w:type="dxa"/>
            <w:tcBorders>
              <w:top w:val="single" w:sz="4" w:space="0" w:color="D9D9D9" w:themeColor="background1" w:themeShade="D9"/>
            </w:tcBorders>
            <w:vAlign w:val="bottom"/>
          </w:tcPr>
          <w:p w14:paraId="6C4A019A" w14:textId="77777777" w:rsidR="00B65EDC" w:rsidRPr="00912A85" w:rsidRDefault="00B65EDC">
            <w:pPr>
              <w:jc w:val="center"/>
              <w:rPr>
                <w:rFonts w:cs="Arial"/>
                <w:sz w:val="16"/>
                <w:szCs w:val="16"/>
              </w:rPr>
            </w:pPr>
          </w:p>
        </w:tc>
      </w:tr>
      <w:tr w:rsidR="00B65EDC" w:rsidRPr="00912A85" w14:paraId="4CA27FEF" w14:textId="77777777">
        <w:tc>
          <w:tcPr>
            <w:tcW w:w="426" w:type="dxa"/>
            <w:tcBorders>
              <w:bottom w:val="single" w:sz="4" w:space="0" w:color="D9D9D9" w:themeColor="background1" w:themeShade="D9"/>
            </w:tcBorders>
          </w:tcPr>
          <w:p w14:paraId="37B8EAAD" w14:textId="77777777" w:rsidR="00B65EDC" w:rsidRPr="00912A85" w:rsidRDefault="00B65EDC">
            <w:pPr>
              <w:jc w:val="left"/>
              <w:rPr>
                <w:rFonts w:cs="Arial"/>
                <w:sz w:val="16"/>
                <w:szCs w:val="16"/>
                <w:highlight w:val="yellow"/>
              </w:rPr>
            </w:pPr>
            <w:r w:rsidRPr="00912A85">
              <w:rPr>
                <w:rFonts w:cs="Arial"/>
                <w:sz w:val="16"/>
                <w:szCs w:val="16"/>
              </w:rPr>
              <w:t>1.2</w:t>
            </w:r>
          </w:p>
        </w:tc>
        <w:tc>
          <w:tcPr>
            <w:tcW w:w="3255" w:type="dxa"/>
            <w:tcBorders>
              <w:bottom w:val="single" w:sz="4" w:space="0" w:color="D9D9D9" w:themeColor="background1" w:themeShade="D9"/>
            </w:tcBorders>
          </w:tcPr>
          <w:p w14:paraId="4C0FC3BE" w14:textId="77777777" w:rsidR="00B65EDC" w:rsidRPr="00912A85" w:rsidRDefault="00B65EDC">
            <w:pPr>
              <w:jc w:val="left"/>
              <w:rPr>
                <w:rFonts w:cs="Arial"/>
                <w:strike/>
                <w:sz w:val="16"/>
                <w:szCs w:val="16"/>
              </w:rPr>
            </w:pPr>
            <w:r w:rsidRPr="00912A85">
              <w:rPr>
                <w:rFonts w:cs="Arial"/>
                <w:sz w:val="16"/>
                <w:szCs w:val="16"/>
              </w:rPr>
              <w:t>Development of legislation on plant variety protection in accordance with the 1991 Act of the UPOV Convention</w:t>
            </w:r>
          </w:p>
        </w:tc>
        <w:tc>
          <w:tcPr>
            <w:tcW w:w="305" w:type="dxa"/>
            <w:tcBorders>
              <w:bottom w:val="single" w:sz="4" w:space="0" w:color="D9D9D9" w:themeColor="background1" w:themeShade="D9"/>
            </w:tcBorders>
          </w:tcPr>
          <w:p w14:paraId="13D52226" w14:textId="77777777" w:rsidR="00B65EDC" w:rsidRPr="00912A85" w:rsidRDefault="00B65EDC">
            <w:pPr>
              <w:jc w:val="center"/>
              <w:rPr>
                <w:rFonts w:cs="Arial"/>
                <w:sz w:val="16"/>
                <w:szCs w:val="16"/>
              </w:rPr>
            </w:pPr>
            <w:r w:rsidRPr="00912A85">
              <w:rPr>
                <w:rFonts w:cs="Arial"/>
                <w:sz w:val="16"/>
                <w:szCs w:val="16"/>
              </w:rPr>
              <w:t>2</w:t>
            </w:r>
          </w:p>
        </w:tc>
        <w:tc>
          <w:tcPr>
            <w:tcW w:w="2457" w:type="dxa"/>
            <w:tcBorders>
              <w:bottom w:val="single" w:sz="4" w:space="0" w:color="D9D9D9" w:themeColor="background1" w:themeShade="D9"/>
            </w:tcBorders>
          </w:tcPr>
          <w:p w14:paraId="728BC246" w14:textId="77777777" w:rsidR="00B65EDC" w:rsidRPr="00912A85" w:rsidRDefault="00B65EDC">
            <w:pPr>
              <w:ind w:left="284"/>
              <w:jc w:val="left"/>
              <w:rPr>
                <w:rFonts w:cs="Arial"/>
                <w:sz w:val="16"/>
                <w:szCs w:val="16"/>
              </w:rPr>
            </w:pPr>
            <w:r w:rsidRPr="00912A85">
              <w:rPr>
                <w:rFonts w:cs="Arial"/>
                <w:sz w:val="16"/>
                <w:szCs w:val="16"/>
              </w:rPr>
              <w:t>States and organizations that become members of the Union</w:t>
            </w:r>
          </w:p>
        </w:tc>
        <w:tc>
          <w:tcPr>
            <w:tcW w:w="1632" w:type="dxa"/>
            <w:tcBorders>
              <w:bottom w:val="single" w:sz="4" w:space="0" w:color="D9D9D9" w:themeColor="background1" w:themeShade="D9"/>
            </w:tcBorders>
            <w:vAlign w:val="center"/>
          </w:tcPr>
          <w:p w14:paraId="76A8F9A7" w14:textId="77777777" w:rsidR="00B65EDC" w:rsidRPr="00912A85" w:rsidRDefault="00B65EDC">
            <w:pPr>
              <w:jc w:val="center"/>
              <w:rPr>
                <w:rFonts w:cs="Arial"/>
                <w:sz w:val="16"/>
                <w:szCs w:val="16"/>
                <w:highlight w:val="yellow"/>
              </w:rPr>
            </w:pPr>
            <w:r w:rsidRPr="00912A85">
              <w:rPr>
                <w:rFonts w:cs="Arial"/>
                <w:sz w:val="16"/>
                <w:szCs w:val="16"/>
              </w:rPr>
              <w:t>1 per year (2024)</w:t>
            </w:r>
          </w:p>
        </w:tc>
        <w:tc>
          <w:tcPr>
            <w:tcW w:w="1559" w:type="dxa"/>
            <w:tcBorders>
              <w:bottom w:val="single" w:sz="4" w:space="0" w:color="D9D9D9" w:themeColor="background1" w:themeShade="D9"/>
            </w:tcBorders>
            <w:vAlign w:val="center"/>
          </w:tcPr>
          <w:p w14:paraId="4B7E702E" w14:textId="77777777" w:rsidR="00B65EDC" w:rsidRPr="00912A85" w:rsidRDefault="00B65EDC">
            <w:pPr>
              <w:jc w:val="center"/>
              <w:rPr>
                <w:rFonts w:cs="Arial"/>
                <w:sz w:val="16"/>
                <w:szCs w:val="16"/>
                <w:highlight w:val="yellow"/>
              </w:rPr>
            </w:pPr>
            <w:r w:rsidRPr="00912A85">
              <w:rPr>
                <w:rFonts w:cs="Arial"/>
                <w:sz w:val="16"/>
                <w:szCs w:val="16"/>
              </w:rPr>
              <w:t>1 per year</w:t>
            </w:r>
          </w:p>
        </w:tc>
      </w:tr>
    </w:tbl>
    <w:p w14:paraId="1112CAE5" w14:textId="77777777" w:rsidR="00B65EDC" w:rsidRPr="00912A85" w:rsidRDefault="00B65EDC" w:rsidP="00B65EDC"/>
    <w:p w14:paraId="18FE6938" w14:textId="77777777" w:rsidR="00B65EDC" w:rsidRPr="00912A85" w:rsidRDefault="00B65EDC" w:rsidP="00B65EDC"/>
    <w:p w14:paraId="73173B65" w14:textId="77777777" w:rsidR="00B65EDC" w:rsidRPr="00912A85" w:rsidRDefault="00B65EDC" w:rsidP="00B65EDC"/>
    <w:p w14:paraId="5D4E786B" w14:textId="77777777" w:rsidR="00B65EDC" w:rsidRPr="004448C7" w:rsidRDefault="00B65EDC" w:rsidP="004448C7">
      <w:pPr>
        <w:pStyle w:val="Heading2"/>
      </w:pPr>
      <w:bookmarkStart w:id="466" w:name="_Toc208999648"/>
      <w:r w:rsidRPr="00912A85">
        <w:t>Pillar 2:  Provide guidance and assistance and facilitate cooperation for implementing the UPOV system</w:t>
      </w:r>
      <w:bookmarkEnd w:id="466"/>
    </w:p>
    <w:p w14:paraId="266E7BE9" w14:textId="77777777" w:rsidR="00B65EDC" w:rsidRPr="00912A85" w:rsidRDefault="00B65EDC" w:rsidP="00B65EDC">
      <w:pPr>
        <w:keepNext/>
        <w:jc w:val="left"/>
        <w:rPr>
          <w:b/>
        </w:rPr>
      </w:pPr>
    </w:p>
    <w:p w14:paraId="779467B7" w14:textId="77777777" w:rsidR="00B65EDC" w:rsidRPr="00912A85" w:rsidRDefault="00B65EDC" w:rsidP="00B65EDC">
      <w:pPr>
        <w:pStyle w:val="Heading3"/>
        <w:rPr>
          <w:sz w:val="20"/>
        </w:rPr>
      </w:pPr>
      <w:bookmarkStart w:id="467" w:name="_Toc208999649"/>
      <w:r w:rsidRPr="00912A85">
        <w:t>Implementing strategy to achieve expected results</w:t>
      </w:r>
      <w:bookmarkEnd w:id="467"/>
    </w:p>
    <w:p w14:paraId="135BE207" w14:textId="77777777" w:rsidR="00B65EDC" w:rsidRPr="00912A85" w:rsidRDefault="00B65EDC" w:rsidP="00B65EDC">
      <w:pPr>
        <w:keepNext/>
        <w:rPr>
          <w:color w:val="000000" w:themeColor="text1"/>
        </w:rPr>
      </w:pPr>
    </w:p>
    <w:p w14:paraId="46FAD479" w14:textId="3DEB934F"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This Strategic Pillar covers UPOV’s work on explaining how the UPOV system encourages the development of new varieties of plants, how new varieties provide benefits for society</w:t>
      </w:r>
      <w:r w:rsidR="00C91489">
        <w:rPr>
          <w:color w:val="000000" w:themeColor="text1"/>
        </w:rPr>
        <w:t>,</w:t>
      </w:r>
      <w:r w:rsidRPr="00912A85">
        <w:rPr>
          <w:color w:val="000000" w:themeColor="text1"/>
        </w:rPr>
        <w:t xml:space="preserve"> and the role of the UPOV system in relation to agriculture and economic development in the rural sector.  A particular objective is to raise awareness of the benefits of plant variety protection according to the UPOV Convention and UPOV membership for States and intergovernmental organizations that are not members of the Union.  This Strategic Pillar also covers the provision of guidance and information for the operation of the UPOV system of </w:t>
      </w:r>
      <w:r w:rsidRPr="00912A85">
        <w:rPr>
          <w:snapToGrid w:val="0"/>
          <w:color w:val="000000" w:themeColor="text1"/>
        </w:rPr>
        <w:t>plant variety protection</w:t>
      </w:r>
      <w:r w:rsidRPr="00912A85">
        <w:rPr>
          <w:color w:val="000000" w:themeColor="text1"/>
        </w:rPr>
        <w:t>, and support for cooperation between members of the Union, including work on harmonization.</w:t>
      </w:r>
    </w:p>
    <w:p w14:paraId="1FB60D10" w14:textId="77777777" w:rsidR="00B65EDC" w:rsidRPr="00912A85" w:rsidRDefault="00B65EDC" w:rsidP="00B65EDC">
      <w:pPr>
        <w:rPr>
          <w:color w:val="000000" w:themeColor="text1"/>
        </w:rPr>
      </w:pPr>
    </w:p>
    <w:p w14:paraId="261FCFE4" w14:textId="77777777" w:rsidR="00B65EDC" w:rsidRPr="00912A85" w:rsidRDefault="00B65EDC" w:rsidP="00B65EDC">
      <w:pPr>
        <w:pStyle w:val="Heading4"/>
        <w:rPr>
          <w:color w:val="000000"/>
          <w14:textFill>
            <w14:solidFill>
              <w14:srgbClr w14:val="000000">
                <w14:lumMod w14:val="75000"/>
              </w14:srgbClr>
            </w14:solidFill>
          </w14:textFill>
        </w:rPr>
      </w:pPr>
      <w:bookmarkStart w:id="468" w:name="_Toc117798890"/>
      <w:bookmarkStart w:id="469" w:name="_Toc107239595"/>
      <w:bookmarkStart w:id="470" w:name="_Toc107239345"/>
      <w:r w:rsidRPr="00912A85">
        <w:t>2.1</w:t>
      </w:r>
      <w:r w:rsidRPr="00912A85">
        <w:tab/>
        <w:t>Enhanced awareness of the role of the UPOV system</w:t>
      </w:r>
      <w:bookmarkEnd w:id="468"/>
      <w:bookmarkEnd w:id="469"/>
      <w:bookmarkEnd w:id="470"/>
    </w:p>
    <w:p w14:paraId="2D7736B2" w14:textId="77777777" w:rsidR="00B65EDC" w:rsidRPr="00912A85" w:rsidRDefault="00B65EDC" w:rsidP="00B65EDC">
      <w:pPr>
        <w:pStyle w:val="Heading5"/>
      </w:pPr>
    </w:p>
    <w:p w14:paraId="517A0E79" w14:textId="7F4602DF" w:rsidR="00B65EDC" w:rsidRPr="00912A85" w:rsidRDefault="00B65EDC" w:rsidP="00B65EDC">
      <w:r w:rsidRPr="00912A85">
        <w:fldChar w:fldCharType="begin"/>
      </w:r>
      <w:r w:rsidRPr="00912A85">
        <w:instrText xml:space="preserve"> AUTONUM  </w:instrText>
      </w:r>
      <w:r w:rsidRPr="00912A85">
        <w:fldChar w:fldCharType="end"/>
      </w:r>
      <w:r w:rsidRPr="00912A85">
        <w:tab/>
        <w:t>Within UPOV’s Communication Strategy, the focus will be on the development of information concerning the benefits of plant variety protection and UPOV membership.  The Office of the Union will work with members of the Union to develop illustrative examples, case studies</w:t>
      </w:r>
      <w:r w:rsidR="00C91489">
        <w:t>,</w:t>
      </w:r>
      <w:r w:rsidRPr="00912A85">
        <w:t xml:space="preserve"> and data that communicate</w:t>
      </w:r>
      <w:r w:rsidR="00C91489">
        <w:t>s</w:t>
      </w:r>
      <w:r w:rsidRPr="00912A85">
        <w:t xml:space="preserve"> the benefits of the UPOV system in an engaging way, such as in the form of videos, study tours and impact studies.</w:t>
      </w:r>
    </w:p>
    <w:p w14:paraId="528A208E" w14:textId="77777777" w:rsidR="00B65EDC" w:rsidRPr="00912A85" w:rsidRDefault="00B65EDC" w:rsidP="00B65EDC"/>
    <w:p w14:paraId="180FD74F"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UPOV will actively participate in meetings and events of relevant </w:t>
      </w:r>
      <w:proofErr w:type="gramStart"/>
      <w:r w:rsidRPr="00912A85">
        <w:t>organizations</w:t>
      </w:r>
      <w:proofErr w:type="gramEnd"/>
      <w:r w:rsidRPr="00912A85">
        <w:t xml:space="preserve"> and the Office of the Union will seek to work closely with the secretariats of other organizations to increase awareness and understanding of UPOV’s mission. </w:t>
      </w:r>
    </w:p>
    <w:p w14:paraId="32C39E82" w14:textId="77777777" w:rsidR="00B65EDC" w:rsidRPr="00912A85" w:rsidRDefault="00B65EDC" w:rsidP="00B65EDC"/>
    <w:p w14:paraId="15A4AC88" w14:textId="77777777" w:rsidR="00B65EDC" w:rsidRPr="00912A85" w:rsidRDefault="00B65EDC" w:rsidP="00B65EDC">
      <w:pPr>
        <w:rPr>
          <w:color w:val="000000" w:themeColor="text1"/>
        </w:rPr>
      </w:pPr>
      <w:r w:rsidRPr="00912A85">
        <w:fldChar w:fldCharType="begin"/>
      </w:r>
      <w:r w:rsidRPr="00912A85">
        <w:instrText xml:space="preserve"> AUTONUM  </w:instrText>
      </w:r>
      <w:r w:rsidRPr="00912A85">
        <w:fldChar w:fldCharType="end"/>
      </w:r>
      <w:r w:rsidRPr="00912A85">
        <w:tab/>
        <w:t>Traditional events and a</w:t>
      </w:r>
      <w:r w:rsidRPr="00912A85">
        <w:rPr>
          <w:color w:val="000000" w:themeColor="text1"/>
        </w:rPr>
        <w:t xml:space="preserve">ctivities, such as seminars and workshops, will continue to play a key role in outreach.  However, greater emphasis will be made on the use of virtual activities to increase outreach, achieve greater impact, reduce </w:t>
      </w:r>
      <w:proofErr w:type="gramStart"/>
      <w:r w:rsidRPr="00912A85">
        <w:rPr>
          <w:color w:val="000000" w:themeColor="text1"/>
        </w:rPr>
        <w:t>cost</w:t>
      </w:r>
      <w:proofErr w:type="gramEnd"/>
      <w:r w:rsidRPr="00912A85">
        <w:rPr>
          <w:color w:val="000000" w:themeColor="text1"/>
        </w:rPr>
        <w:t xml:space="preserve"> and reduce the impact of the Office of the Union’s work on the environment.</w:t>
      </w:r>
    </w:p>
    <w:p w14:paraId="4799BB6F" w14:textId="60931184" w:rsidR="00B65EDC" w:rsidRPr="00912A85" w:rsidRDefault="00B65EDC" w:rsidP="00B65EDC">
      <w:pPr>
        <w:pStyle w:val="EndnoteText"/>
        <w:keepNext/>
      </w:pPr>
      <w:r w:rsidRPr="00912A85">
        <w:lastRenderedPageBreak/>
        <w:fldChar w:fldCharType="begin"/>
      </w:r>
      <w:r w:rsidRPr="00912A85">
        <w:instrText xml:space="preserve"> AUTONUM  </w:instrText>
      </w:r>
      <w:r w:rsidRPr="00912A85">
        <w:fldChar w:fldCharType="end"/>
      </w:r>
      <w:r w:rsidRPr="00912A85">
        <w:tab/>
        <w:t xml:space="preserve">The UPOV website underpins the communication strategy. </w:t>
      </w:r>
      <w:r w:rsidR="00C91489">
        <w:t xml:space="preserve"> </w:t>
      </w:r>
      <w:r w:rsidRPr="00912A85">
        <w:t>It provides a platform to communicat</w:t>
      </w:r>
      <w:r w:rsidR="00C91489">
        <w:t>e</w:t>
      </w:r>
      <w:r w:rsidRPr="00912A85">
        <w:t xml:space="preserve"> with a range of audiences, including access to meeting documents, guidance and information materials, services, training, statistics</w:t>
      </w:r>
      <w:r w:rsidR="00CA03BB">
        <w:t>,</w:t>
      </w:r>
      <w:r w:rsidRPr="00912A85">
        <w:t xml:space="preserve"> and FAQs.  The project to redesign the UPOV website was initiated in January 2025.  In the </w:t>
      </w:r>
      <w:r w:rsidR="00521C0D">
        <w:t>2026</w:t>
      </w:r>
      <w:r w:rsidR="00521C0D">
        <w:noBreakHyphen/>
        <w:t>2027</w:t>
      </w:r>
      <w:r w:rsidRPr="00912A85">
        <w:t xml:space="preserve"> biennium, the new website will be implemented and will continue to be developed to enable easy access to information, including through search engine queries. </w:t>
      </w:r>
    </w:p>
    <w:p w14:paraId="6FB86398" w14:textId="77777777" w:rsidR="00B65EDC" w:rsidRPr="00912A85" w:rsidRDefault="00B65EDC" w:rsidP="00B65EDC"/>
    <w:p w14:paraId="0FD1A8FF" w14:textId="6CA84806" w:rsidR="00B65EDC" w:rsidRPr="00912A85" w:rsidRDefault="00B65EDC" w:rsidP="00B65EDC">
      <w:pPr>
        <w:keepLines/>
      </w:pPr>
      <w:r w:rsidRPr="00912A85">
        <w:fldChar w:fldCharType="begin"/>
      </w:r>
      <w:r w:rsidRPr="00912A85">
        <w:instrText xml:space="preserve"> AUTONUM  </w:instrText>
      </w:r>
      <w:r w:rsidRPr="00912A85">
        <w:fldChar w:fldCharType="end"/>
      </w:r>
      <w:r w:rsidRPr="00912A85">
        <w:tab/>
        <w:t xml:space="preserve">Social media will play an increasingly important role in communicating information. </w:t>
      </w:r>
      <w:r w:rsidR="00CA03BB">
        <w:t xml:space="preserve"> </w:t>
      </w:r>
      <w:r w:rsidRPr="00912A85">
        <w:t xml:space="preserve">It should increase the presence of UPOV in communication channels and raise awareness on the global presence and impact of UPOV.  Its strategic use will focus on balance and efficiency measures due to the limited resources of UPOV.  </w:t>
      </w:r>
    </w:p>
    <w:p w14:paraId="794CEBF7" w14:textId="77777777" w:rsidR="00B65EDC" w:rsidRPr="00912A85" w:rsidRDefault="00B65EDC" w:rsidP="00B65EDC"/>
    <w:p w14:paraId="17055ED1" w14:textId="057D8DCD"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Emphasizing the importance of ensuring that all farmers have access to high-quality plant varieties that meet their needs and are resilient to climate change, while highlighting the critical role that the UPOV system plays in this regard, will be a major focus area. </w:t>
      </w:r>
      <w:r w:rsidR="00CA03BB">
        <w:t xml:space="preserve"> </w:t>
      </w:r>
      <w:r w:rsidRPr="00912A85">
        <w:t xml:space="preserve">Success stories shared by users of the UPOV system will be instrumental in demonstrating its benefits. </w:t>
      </w:r>
      <w:r w:rsidR="00CA03BB">
        <w:t xml:space="preserve"> </w:t>
      </w:r>
      <w:r w:rsidRPr="00912A85">
        <w:t>To spotlight these matters, a seminar will be organized in 2026.</w:t>
      </w:r>
    </w:p>
    <w:p w14:paraId="4413239C" w14:textId="77777777" w:rsidR="00B65EDC" w:rsidRPr="00912A85" w:rsidRDefault="00B65EDC" w:rsidP="00B65EDC"/>
    <w:p w14:paraId="2D49ED8B" w14:textId="4C413B3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In line with the ambition to boost its communication activities, a temporary position for an Associate Communications Officer has been created. </w:t>
      </w:r>
      <w:r w:rsidR="00CA03BB">
        <w:t xml:space="preserve"> </w:t>
      </w:r>
      <w:r w:rsidRPr="00912A85">
        <w:t>This position will work on delivering the objectives laid down in the Communication Strategy.</w:t>
      </w:r>
    </w:p>
    <w:p w14:paraId="082AA71F" w14:textId="77777777" w:rsidR="00B65EDC" w:rsidRPr="00912A85" w:rsidRDefault="00B65EDC" w:rsidP="00B65EDC"/>
    <w:p w14:paraId="6759F786" w14:textId="2F52623A"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A new FIT Program with Japan is expected to start in 2025 and continue in </w:t>
      </w:r>
      <w:r w:rsidR="00521C0D">
        <w:t>2026</w:t>
      </w:r>
      <w:r w:rsidR="00521C0D">
        <w:noBreakHyphen/>
        <w:t>2027</w:t>
      </w:r>
      <w:r w:rsidRPr="00912A85">
        <w:t xml:space="preserve"> to support gathering and disseminating information on PVP impact.</w:t>
      </w:r>
    </w:p>
    <w:p w14:paraId="0179B06B" w14:textId="77777777" w:rsidR="00B65EDC" w:rsidRPr="00912A85" w:rsidRDefault="00B65EDC" w:rsidP="00B65EDC"/>
    <w:p w14:paraId="34719917" w14:textId="4CAB9742"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UPOV’s translation policy is aimed at using machine translation to increase the availability of UPOV’s material in a range of languages by increasingly cost-effective translation. </w:t>
      </w:r>
      <w:r w:rsidR="00CA03BB">
        <w:t xml:space="preserve"> </w:t>
      </w:r>
      <w:r w:rsidRPr="00912A85">
        <w:t>The new UPOV website will enhance the accessibility of UPOV’s information in different languages.</w:t>
      </w:r>
    </w:p>
    <w:p w14:paraId="050AE53F" w14:textId="77777777" w:rsidR="00B65EDC" w:rsidRPr="00912A85" w:rsidRDefault="00B65EDC" w:rsidP="00B65EDC">
      <w:pPr>
        <w:jc w:val="left"/>
        <w:rPr>
          <w:bCs/>
        </w:rPr>
      </w:pPr>
    </w:p>
    <w:p w14:paraId="0E09515B" w14:textId="77777777" w:rsidR="00B65EDC" w:rsidRPr="00912A85" w:rsidRDefault="00B65EDC" w:rsidP="00B65EDC">
      <w:pPr>
        <w:pStyle w:val="Heading4"/>
      </w:pPr>
      <w:bookmarkStart w:id="471" w:name="_Toc117798891"/>
      <w:bookmarkStart w:id="472" w:name="_Toc107239596"/>
      <w:bookmarkStart w:id="473" w:name="_Toc107239346"/>
      <w:r w:rsidRPr="00912A85">
        <w:t>2.2</w:t>
      </w:r>
      <w:r w:rsidRPr="00912A85">
        <w:tab/>
        <w:t>Guidance and assistance on the UPOV Convention and its implementation</w:t>
      </w:r>
      <w:bookmarkEnd w:id="471"/>
      <w:bookmarkEnd w:id="472"/>
      <w:bookmarkEnd w:id="473"/>
    </w:p>
    <w:p w14:paraId="1682D961" w14:textId="77777777" w:rsidR="00B65EDC" w:rsidRPr="00912A85" w:rsidRDefault="00B65EDC" w:rsidP="00B65EDC">
      <w:pPr>
        <w:keepNext/>
      </w:pPr>
    </w:p>
    <w:p w14:paraId="34DA1ABE" w14:textId="77777777" w:rsidR="00B65EDC" w:rsidRPr="00912A85" w:rsidRDefault="00B65EDC" w:rsidP="00B65EDC">
      <w:pPr>
        <w:pStyle w:val="Heading5"/>
      </w:pPr>
      <w:bookmarkStart w:id="474" w:name="_Toc117798892"/>
      <w:bookmarkStart w:id="475" w:name="_Toc107239597"/>
      <w:bookmarkStart w:id="476" w:name="_Toc107239347"/>
      <w:r w:rsidRPr="00912A85">
        <w:t>Guidance and information material</w:t>
      </w:r>
      <w:bookmarkEnd w:id="474"/>
      <w:bookmarkEnd w:id="475"/>
      <w:bookmarkEnd w:id="476"/>
    </w:p>
    <w:p w14:paraId="2E40CB92" w14:textId="77777777" w:rsidR="00B65EDC" w:rsidRPr="00912A85" w:rsidRDefault="00B65EDC" w:rsidP="00B65EDC">
      <w:pPr>
        <w:keepNext/>
      </w:pPr>
    </w:p>
    <w:p w14:paraId="06CE6863"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UPOV will continue to update and develop new guidance material in accordance with the work programs of the UPOV bodies concerned. </w:t>
      </w:r>
    </w:p>
    <w:p w14:paraId="37874C9C" w14:textId="77777777" w:rsidR="00B65EDC" w:rsidRPr="00912A85" w:rsidRDefault="00B65EDC" w:rsidP="00B65EDC"/>
    <w:p w14:paraId="5C92C610" w14:textId="52CDC84D" w:rsidR="00B65EDC" w:rsidRPr="00912A85" w:rsidRDefault="00B65EDC" w:rsidP="00B65EDC">
      <w:r w:rsidRPr="00912A85">
        <w:fldChar w:fldCharType="begin"/>
      </w:r>
      <w:r w:rsidRPr="00912A85">
        <w:instrText xml:space="preserve"> AUTONUM  </w:instrText>
      </w:r>
      <w:r w:rsidRPr="00912A85">
        <w:fldChar w:fldCharType="end"/>
      </w:r>
      <w:r w:rsidRPr="00912A85">
        <w:tab/>
        <w:t>UPOV materials and resources are made available in English, French, German and Spanish.  However, as UPOV expands and interest in UPOV membership increases, there are important benefits in making UPOV material and resources available in a wider range of languages.  Providing translations of materials and making material available in various languages has substantial resource implications</w:t>
      </w:r>
      <w:r w:rsidR="00CA03BB">
        <w:t>,</w:t>
      </w:r>
      <w:r w:rsidRPr="00912A85">
        <w:t xml:space="preserve"> and success in this objective will require several measures involving cooperation with interested members of the Union.  However, rapid advances in machine translation technology provide new opportunities, which will be pursued as a matter of priority to reduce translation costs for UPOV documents in UPOV languages and to make UPOV materials in a wider range of languages.  </w:t>
      </w:r>
    </w:p>
    <w:p w14:paraId="05C53D9D" w14:textId="77777777" w:rsidR="00B65EDC" w:rsidRPr="00912A85" w:rsidRDefault="00B65EDC" w:rsidP="00B65EDC"/>
    <w:p w14:paraId="7AD975CA" w14:textId="5C10DDA4" w:rsidR="00B65EDC" w:rsidRPr="00912A85" w:rsidRDefault="00B65EDC" w:rsidP="00B65EDC">
      <w:r w:rsidRPr="00912A85">
        <w:fldChar w:fldCharType="begin"/>
      </w:r>
      <w:r w:rsidRPr="00912A85">
        <w:instrText xml:space="preserve"> AUTONUM  </w:instrText>
      </w:r>
      <w:r w:rsidRPr="00912A85">
        <w:fldChar w:fldCharType="end"/>
      </w:r>
      <w:r w:rsidRPr="00912A85">
        <w:tab/>
        <w:t>Based on the experience in the 2022-2023 implementation phase of UPOV’s policy</w:t>
      </w:r>
      <w:r w:rsidRPr="00912A85">
        <w:rPr>
          <w:snapToGrid w:val="0"/>
        </w:rPr>
        <w:t xml:space="preserve"> for the use of machine translation</w:t>
      </w:r>
      <w:r w:rsidRPr="00912A85">
        <w:t>, UPOV members agreed to continue the use of machine translation not only for UPOV</w:t>
      </w:r>
      <w:r w:rsidR="00CA03BB">
        <w:t> </w:t>
      </w:r>
      <w:r w:rsidRPr="00912A85">
        <w:t>sessions</w:t>
      </w:r>
      <w:r w:rsidR="00CA03BB">
        <w:t>’</w:t>
      </w:r>
      <w:r w:rsidRPr="00912A85">
        <w:t xml:space="preserve"> documents but also for other information and materials that do not require high precision (e.g. proceedings from Seminars). </w:t>
      </w:r>
      <w:r w:rsidR="00CA03BB">
        <w:t xml:space="preserve"> </w:t>
      </w:r>
      <w:r w:rsidRPr="00912A85">
        <w:t xml:space="preserve">The accuracy of this technology is evolving and provides good opportunities to make UPOV materials and information available in other languages in a very short time. </w:t>
      </w:r>
      <w:r w:rsidR="00CA03BB">
        <w:t xml:space="preserve"> </w:t>
      </w:r>
      <w:r w:rsidRPr="00912A85">
        <w:t>For instance, the total of documents translated for the October sessions 2023 was 85 (see report in document CC/101/6 Corr.).</w:t>
      </w:r>
    </w:p>
    <w:p w14:paraId="0388CAB6" w14:textId="77777777" w:rsidR="00B65EDC" w:rsidRPr="00912A85" w:rsidRDefault="00B65EDC" w:rsidP="00B65EDC"/>
    <w:p w14:paraId="31D55334" w14:textId="77777777" w:rsidR="00B65EDC" w:rsidRPr="00912A85" w:rsidRDefault="00B65EDC" w:rsidP="00B65EDC">
      <w:pPr>
        <w:jc w:val="center"/>
      </w:pPr>
      <w:r w:rsidRPr="00912A85">
        <w:rPr>
          <w:noProof/>
        </w:rPr>
        <w:drawing>
          <wp:inline distT="0" distB="0" distL="0" distR="0" wp14:anchorId="400E3703" wp14:editId="581CBF82">
            <wp:extent cx="3510280" cy="1930400"/>
            <wp:effectExtent l="0" t="0" r="0" b="0"/>
            <wp:docPr id="2" name="Picture 2"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e chart with text on it&#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1536" t="3404" r="1740" b="8106"/>
                    <a:stretch>
                      <a:fillRect/>
                    </a:stretch>
                  </pic:blipFill>
                  <pic:spPr bwMode="auto">
                    <a:xfrm>
                      <a:off x="0" y="0"/>
                      <a:ext cx="3531734" cy="1942198"/>
                    </a:xfrm>
                    <a:prstGeom prst="rect">
                      <a:avLst/>
                    </a:prstGeom>
                    <a:noFill/>
                    <a:ln>
                      <a:noFill/>
                    </a:ln>
                    <a:extLst>
                      <a:ext uri="{53640926-AAD7-44D8-BBD7-CCE9431645EC}">
                        <a14:shadowObscured xmlns:a14="http://schemas.microsoft.com/office/drawing/2010/main"/>
                      </a:ext>
                    </a:extLst>
                  </pic:spPr>
                </pic:pic>
              </a:graphicData>
            </a:graphic>
          </wp:inline>
        </w:drawing>
      </w:r>
    </w:p>
    <w:p w14:paraId="2BCBAEDC" w14:textId="78E395A4" w:rsidR="00B65EDC" w:rsidRPr="00912A85" w:rsidRDefault="00B65EDC" w:rsidP="00B65EDC">
      <w:pPr>
        <w:tabs>
          <w:tab w:val="left" w:pos="567"/>
        </w:tabs>
      </w:pPr>
      <w:r w:rsidRPr="00912A85">
        <w:lastRenderedPageBreak/>
        <w:fldChar w:fldCharType="begin"/>
      </w:r>
      <w:r w:rsidRPr="00912A85">
        <w:instrText xml:space="preserve"> AUTONUM  </w:instrText>
      </w:r>
      <w:r w:rsidRPr="00912A85">
        <w:fldChar w:fldCharType="end"/>
      </w:r>
      <w:r w:rsidRPr="00912A85">
        <w:tab/>
        <w:t xml:space="preserve">Test Guidelines are important guidance materials for variety </w:t>
      </w:r>
      <w:proofErr w:type="gramStart"/>
      <w:r w:rsidRPr="00912A85">
        <w:t>examination</w:t>
      </w:r>
      <w:proofErr w:type="gramEnd"/>
      <w:r w:rsidRPr="00912A85">
        <w:t xml:space="preserve"> (DUS testing). </w:t>
      </w:r>
      <w:r w:rsidR="00CA03BB">
        <w:t xml:space="preserve"> </w:t>
      </w:r>
      <w:r w:rsidRPr="00912A85">
        <w:t xml:space="preserve">Where UPOV has established specific Test Guidelines for a particular species, these represent an agreed and harmonized approach for the examination of new varieties and form the basis of the DUS test. </w:t>
      </w:r>
      <w:r w:rsidR="00CA03BB">
        <w:t xml:space="preserve"> </w:t>
      </w:r>
      <w:r w:rsidRPr="00912A85">
        <w:t>The Test Guidelines are intended to be used by individual authorities, with appropriate administrative changes, as the basis of the DUS test and the harmonization of variety descriptions.</w:t>
      </w:r>
    </w:p>
    <w:p w14:paraId="40000477" w14:textId="77777777" w:rsidR="00B65EDC" w:rsidRPr="00912A85" w:rsidRDefault="00B65EDC" w:rsidP="00B65EDC">
      <w:pPr>
        <w:tabs>
          <w:tab w:val="left" w:pos="567"/>
        </w:tabs>
      </w:pPr>
    </w:p>
    <w:p w14:paraId="5BB81B33" w14:textId="254FD37E" w:rsidR="00B65EDC" w:rsidRPr="00912A85" w:rsidRDefault="00B65EDC" w:rsidP="00B65EDC">
      <w:pPr>
        <w:tabs>
          <w:tab w:val="left" w:pos="567"/>
        </w:tabs>
      </w:pPr>
      <w:r w:rsidRPr="00912A85">
        <w:fldChar w:fldCharType="begin"/>
      </w:r>
      <w:r w:rsidRPr="00912A85">
        <w:instrText xml:space="preserve"> AUTONUM  </w:instrText>
      </w:r>
      <w:r w:rsidRPr="00912A85">
        <w:fldChar w:fldCharType="end"/>
      </w:r>
      <w:r w:rsidRPr="00912A85">
        <w:tab/>
        <w:t xml:space="preserve">UPOV has developed a set of 339 Test Guidelines that correspond to the genera and species of 94 per cent of the applications filed in UPOV members. </w:t>
      </w:r>
      <w:r w:rsidR="00CA03BB">
        <w:t xml:space="preserve"> </w:t>
      </w:r>
      <w:r w:rsidRPr="00912A85">
        <w:t>This coverage of UPOV Test Guidelines is based on plant variety data notified by UPOV members to the UPOV Plant Variety Database (PLUTO Database).  In the 2026-</w:t>
      </w:r>
      <w:r w:rsidRPr="00912A85">
        <w:rPr>
          <w:vertAlign w:val="subscript"/>
        </w:rPr>
        <w:t> </w:t>
      </w:r>
      <w:r w:rsidRPr="00912A85">
        <w:t xml:space="preserve">2027 biennium, UPOV will continue to provide </w:t>
      </w:r>
      <w:proofErr w:type="gramStart"/>
      <w:r w:rsidRPr="00912A85">
        <w:t>the space</w:t>
      </w:r>
      <w:proofErr w:type="gramEnd"/>
      <w:r w:rsidRPr="00912A85">
        <w:t xml:space="preserve"> for international harmonization of national test guidelines from UPOV members.</w:t>
      </w:r>
      <w:r w:rsidR="00CA03BB">
        <w:t xml:space="preserve"> </w:t>
      </w:r>
      <w:r w:rsidRPr="00912A85">
        <w:t xml:space="preserve"> In addition, the Technical Working Parties will continue providing capacity building opportunities for UPOV members to: (a) harmonize procedures; (b) provide information on developments; (c) integrate new experts in UPOV’s work; (d) provide practical guidance on DUS examination procedures, including the use of Test Guidelines. </w:t>
      </w:r>
    </w:p>
    <w:p w14:paraId="40F868CA" w14:textId="77777777" w:rsidR="00B65EDC" w:rsidRPr="00912A85" w:rsidRDefault="00B65EDC" w:rsidP="00B65EDC">
      <w:pPr>
        <w:tabs>
          <w:tab w:val="left" w:pos="851"/>
        </w:tabs>
      </w:pPr>
    </w:p>
    <w:p w14:paraId="14D8F17D" w14:textId="77777777" w:rsidR="00B65EDC" w:rsidRPr="00912A85" w:rsidRDefault="00B65EDC" w:rsidP="00B65EDC">
      <w:pPr>
        <w:pStyle w:val="Heading5"/>
      </w:pPr>
      <w:bookmarkStart w:id="477" w:name="_Toc117798893"/>
      <w:bookmarkStart w:id="478" w:name="_Toc107239598"/>
      <w:bookmarkStart w:id="479" w:name="_Toc107239348"/>
      <w:r w:rsidRPr="00912A85">
        <w:t>Training and assistance</w:t>
      </w:r>
      <w:bookmarkEnd w:id="477"/>
      <w:bookmarkEnd w:id="478"/>
      <w:bookmarkEnd w:id="479"/>
    </w:p>
    <w:p w14:paraId="61B515A9" w14:textId="77777777" w:rsidR="00B65EDC" w:rsidRPr="00912A85" w:rsidRDefault="00B65EDC" w:rsidP="00B65EDC">
      <w:pPr>
        <w:tabs>
          <w:tab w:val="left" w:pos="851"/>
        </w:tabs>
        <w:rPr>
          <w:color w:val="000000" w:themeColor="text1"/>
        </w:rPr>
      </w:pPr>
    </w:p>
    <w:p w14:paraId="7B0CD8A5"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UPOV’s Training and Assistance Strategy underpins the training and assistance activities.</w:t>
      </w:r>
    </w:p>
    <w:p w14:paraId="36E0337E" w14:textId="77777777" w:rsidR="00B65EDC" w:rsidRPr="00912A85" w:rsidRDefault="00B65EDC" w:rsidP="00B65EDC"/>
    <w:p w14:paraId="522444DC" w14:textId="1D3E4B9B" w:rsidR="00B65EDC" w:rsidRPr="00912A85" w:rsidRDefault="00B65EDC" w:rsidP="00B65EDC">
      <w:r w:rsidRPr="00912A85">
        <w:fldChar w:fldCharType="begin"/>
      </w:r>
      <w:r w:rsidRPr="00912A85">
        <w:instrText xml:space="preserve"> AUTONUM  </w:instrText>
      </w:r>
      <w:r w:rsidRPr="00912A85">
        <w:fldChar w:fldCharType="end"/>
      </w:r>
      <w:r w:rsidRPr="00912A85">
        <w:tab/>
        <w:t>Satisfying the demand for assistance in the introduction and implementation of the UPOV system within available resources relies on the use of distance-learning courses, the prioritization of assistance by the Office of the Union, support by members of the Union</w:t>
      </w:r>
      <w:r w:rsidR="00CA03BB">
        <w:t>,</w:t>
      </w:r>
      <w:r w:rsidRPr="00912A85">
        <w:t xml:space="preserve"> and partnerships with other providers of assistance.  This Thematic Pillar is supported by the regular budget, but extra</w:t>
      </w:r>
      <w:r w:rsidR="008F3A5C">
        <w:t>-</w:t>
      </w:r>
      <w:r w:rsidRPr="00912A85">
        <w:t>budgetary funds and support</w:t>
      </w:r>
      <w:r w:rsidR="009863D1">
        <w:t>-</w:t>
      </w:r>
      <w:r w:rsidRPr="00912A85">
        <w:t>in</w:t>
      </w:r>
      <w:r w:rsidR="009863D1">
        <w:t>-</w:t>
      </w:r>
      <w:r w:rsidRPr="00912A85">
        <w:t>kind provide a substantial proportion of the resources deployed for assistance.  In order to utilize the available resources in the most effective way, the Office of the Union will continue to prioritize its activities and to explore synergies in its activities with members of the Union and other partners.</w:t>
      </w:r>
    </w:p>
    <w:p w14:paraId="54728ED4" w14:textId="77777777" w:rsidR="00B65EDC" w:rsidRPr="00912A85" w:rsidRDefault="00B65EDC" w:rsidP="00B65EDC"/>
    <w:p w14:paraId="49DE2BDD" w14:textId="77777777"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The priority for </w:t>
      </w:r>
      <w:proofErr w:type="gramStart"/>
      <w:r w:rsidRPr="00912A85">
        <w:rPr>
          <w:color w:val="000000" w:themeColor="text1"/>
        </w:rPr>
        <w:t>providing assistance</w:t>
      </w:r>
      <w:proofErr w:type="gramEnd"/>
      <w:r w:rsidRPr="00912A85">
        <w:rPr>
          <w:color w:val="000000" w:themeColor="text1"/>
        </w:rPr>
        <w:t xml:space="preserve"> by the Office of the Union will continue to be as follows:</w:t>
      </w:r>
    </w:p>
    <w:p w14:paraId="6B4596BF" w14:textId="77777777" w:rsidR="00B65EDC" w:rsidRPr="00912A85" w:rsidRDefault="00B65EDC" w:rsidP="00B65EDC">
      <w:pPr>
        <w:keepNext/>
        <w:rPr>
          <w:color w:val="000000" w:themeColor="text1"/>
        </w:rPr>
      </w:pPr>
    </w:p>
    <w:p w14:paraId="67B518F1" w14:textId="77777777" w:rsidR="00B65EDC" w:rsidRPr="00912A85" w:rsidRDefault="00B65EDC" w:rsidP="00B65EDC">
      <w:pPr>
        <w:keepNext/>
        <w:spacing w:after="120"/>
        <w:ind w:left="567"/>
        <w:rPr>
          <w:color w:val="000000" w:themeColor="text1"/>
        </w:rPr>
      </w:pPr>
      <w:r w:rsidRPr="00912A85">
        <w:rPr>
          <w:color w:val="000000" w:themeColor="text1"/>
        </w:rPr>
        <w:t>(</w:t>
      </w:r>
      <w:proofErr w:type="spellStart"/>
      <w:r w:rsidRPr="00912A85">
        <w:rPr>
          <w:color w:val="000000" w:themeColor="text1"/>
        </w:rPr>
        <w:t>i</w:t>
      </w:r>
      <w:proofErr w:type="spellEnd"/>
      <w:r w:rsidRPr="00912A85">
        <w:rPr>
          <w:color w:val="000000" w:themeColor="text1"/>
        </w:rPr>
        <w:t>)</w:t>
      </w:r>
      <w:r w:rsidRPr="00912A85">
        <w:rPr>
          <w:color w:val="000000" w:themeColor="text1"/>
        </w:rPr>
        <w:tab/>
        <w:t>assistance to existing members of the Union;</w:t>
      </w:r>
    </w:p>
    <w:p w14:paraId="298AC39F" w14:textId="77777777" w:rsidR="00B65EDC" w:rsidRPr="00912A85" w:rsidRDefault="00B65EDC" w:rsidP="00B65EDC">
      <w:pPr>
        <w:spacing w:after="120"/>
        <w:ind w:left="1134" w:hanging="567"/>
        <w:rPr>
          <w:color w:val="000000" w:themeColor="text1"/>
        </w:rPr>
      </w:pPr>
      <w:r w:rsidRPr="00912A85">
        <w:rPr>
          <w:color w:val="000000" w:themeColor="text1"/>
        </w:rPr>
        <w:t>(ii)</w:t>
      </w:r>
      <w:r w:rsidRPr="00912A85">
        <w:rPr>
          <w:color w:val="000000" w:themeColor="text1"/>
        </w:rPr>
        <w:tab/>
        <w:t>assistance to States and certain organizations that are not members of the Union, particularly governments of developing countries and countries in transition to a market economy, in the development of legislation in line with the 1991 Act of the UPOV Convention and their accession to the UPOV Convention;  and</w:t>
      </w:r>
    </w:p>
    <w:p w14:paraId="4B7F7E15" w14:textId="77777777" w:rsidR="00B65EDC" w:rsidRPr="00912A85" w:rsidRDefault="00B65EDC" w:rsidP="00B65EDC">
      <w:pPr>
        <w:tabs>
          <w:tab w:val="left" w:pos="567"/>
        </w:tabs>
        <w:ind w:left="1134" w:hanging="567"/>
        <w:rPr>
          <w:color w:val="000000" w:themeColor="text1"/>
        </w:rPr>
      </w:pPr>
      <w:r w:rsidRPr="00912A85">
        <w:rPr>
          <w:color w:val="000000" w:themeColor="text1"/>
        </w:rPr>
        <w:t>(iii)</w:t>
      </w:r>
      <w:r w:rsidRPr="00912A85">
        <w:rPr>
          <w:color w:val="000000" w:themeColor="text1"/>
        </w:rPr>
        <w:tab/>
        <w:t>assistance to States and certain organizations that are not members of the Union, in the implementation of legislation that has received a positive decision of the Council, according to their commitment to accede to the UPOV Convention.</w:t>
      </w:r>
    </w:p>
    <w:p w14:paraId="7514C4DE" w14:textId="77777777" w:rsidR="00B65EDC" w:rsidRPr="00912A85" w:rsidRDefault="00B65EDC" w:rsidP="00B65EDC">
      <w:pPr>
        <w:rPr>
          <w:color w:val="000000" w:themeColor="text1"/>
        </w:rPr>
      </w:pPr>
    </w:p>
    <w:p w14:paraId="38D15F4D" w14:textId="77777777" w:rsidR="00B65EDC" w:rsidRPr="00912A85" w:rsidRDefault="00B65EDC" w:rsidP="00B65EDC">
      <w:r w:rsidRPr="00912A85">
        <w:rPr>
          <w:bCs/>
        </w:rPr>
        <w:fldChar w:fldCharType="begin"/>
      </w:r>
      <w:r w:rsidRPr="00912A85">
        <w:rPr>
          <w:bCs/>
        </w:rPr>
        <w:instrText xml:space="preserve"> AUTONUM  </w:instrText>
      </w:r>
      <w:r w:rsidRPr="00912A85">
        <w:rPr>
          <w:bCs/>
        </w:rPr>
        <w:fldChar w:fldCharType="end"/>
      </w:r>
      <w:r w:rsidRPr="00912A85">
        <w:rPr>
          <w:bCs/>
        </w:rPr>
        <w:tab/>
        <w:t>Events and a</w:t>
      </w:r>
      <w:r w:rsidRPr="00912A85">
        <w:t xml:space="preserve">ctivities, such as meetings, seminars, workshops and training events, will continue to play a key role in assistance.  However, greater emphasis will be made on the use of virtual activities to increase outreach, achieve greater impact, reduce </w:t>
      </w:r>
      <w:proofErr w:type="gramStart"/>
      <w:r w:rsidRPr="00912A85">
        <w:t>cost</w:t>
      </w:r>
      <w:proofErr w:type="gramEnd"/>
      <w:r w:rsidRPr="00912A85">
        <w:t xml:space="preserve"> and reduce the impact of the Office of the Union’s work on the environment.  </w:t>
      </w:r>
    </w:p>
    <w:p w14:paraId="5341E11E" w14:textId="77777777" w:rsidR="00B65EDC" w:rsidRPr="00912A85" w:rsidRDefault="00B65EDC" w:rsidP="00B65EDC"/>
    <w:p w14:paraId="2166151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UPOV e</w:t>
      </w:r>
      <w:r w:rsidRPr="00912A85">
        <w:noBreakHyphen/>
        <w:t xml:space="preserve">PVP system (see Section 3.1) is expected to complement UPOV’s training and capacity-building work by providing practical assistance to members of the Union in the implementation of the </w:t>
      </w:r>
      <w:r w:rsidRPr="00912A85">
        <w:rPr>
          <w:snapToGrid w:val="0"/>
        </w:rPr>
        <w:t>plant variety protection</w:t>
      </w:r>
      <w:r w:rsidRPr="00912A85">
        <w:t xml:space="preserve"> system. </w:t>
      </w:r>
      <w:bookmarkStart w:id="480" w:name="_Hlk188212864"/>
    </w:p>
    <w:p w14:paraId="6442E67E" w14:textId="77777777" w:rsidR="00B65EDC" w:rsidRPr="00912A85" w:rsidRDefault="00B65EDC" w:rsidP="00B65EDC"/>
    <w:p w14:paraId="75916E40"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In October 2024, the Council authorized the use of UPOV e</w:t>
      </w:r>
      <w:r w:rsidRPr="00912A85">
        <w:noBreakHyphen/>
        <w:t>PVP by States and organizations in the process of becoming UPOV members, as follows:</w:t>
      </w:r>
    </w:p>
    <w:p w14:paraId="673F7E77" w14:textId="77777777" w:rsidR="00B65EDC" w:rsidRPr="00912A85" w:rsidRDefault="00B65EDC" w:rsidP="00B65EDC"/>
    <w:p w14:paraId="09E386C2" w14:textId="77777777" w:rsidR="00B65EDC" w:rsidRPr="00912A85" w:rsidRDefault="00B65EDC" w:rsidP="00B65EDC">
      <w:pPr>
        <w:spacing w:after="120"/>
        <w:ind w:firstLine="567"/>
      </w:pPr>
      <w:r w:rsidRPr="00912A85">
        <w:t>(a)</w:t>
      </w:r>
      <w:r w:rsidRPr="00912A85">
        <w:tab/>
        <w:t>have positive advice from the Council on the conformity of the legislation with the UPOV Convention;</w:t>
      </w:r>
    </w:p>
    <w:p w14:paraId="78B566B0" w14:textId="77777777" w:rsidR="00B65EDC" w:rsidRPr="00912A85" w:rsidRDefault="00B65EDC" w:rsidP="00B65EDC">
      <w:pPr>
        <w:spacing w:after="120"/>
        <w:ind w:firstLine="567"/>
      </w:pPr>
      <w:r w:rsidRPr="00912A85">
        <w:t>(b)</w:t>
      </w:r>
      <w:r w:rsidRPr="00912A85">
        <w:tab/>
        <w:t>the use of UPOV e</w:t>
      </w:r>
      <w:r w:rsidRPr="00912A85">
        <w:noBreakHyphen/>
        <w:t xml:space="preserve">PVP would be authorized during a trial period of three years; </w:t>
      </w:r>
    </w:p>
    <w:p w14:paraId="62316034" w14:textId="77777777" w:rsidR="00B65EDC" w:rsidRPr="00912A85" w:rsidRDefault="00B65EDC" w:rsidP="00B65EDC">
      <w:pPr>
        <w:ind w:firstLine="567"/>
      </w:pPr>
      <w:r w:rsidRPr="00912A85">
        <w:t>(c)</w:t>
      </w:r>
      <w:r w:rsidRPr="00912A85">
        <w:tab/>
        <w:t>other criteria could be established to ensure effective use of resources.  The use of UPOV e</w:t>
      </w:r>
      <w:r w:rsidRPr="00912A85">
        <w:noBreakHyphen/>
        <w:t>PVP by any State and organization in the process of becoming UPOV member would be periodically reported to the Consultative Committee in the information document “Situation concerning those States and intergovernmental organizations which have initiated the procedure for acceding to the UPOV Convention or which have been in contact with the Office of the Union for assistance in the development of laws based on the UPOV Convention.”</w:t>
      </w:r>
    </w:p>
    <w:p w14:paraId="1B4484E2" w14:textId="77777777" w:rsidR="00B65EDC" w:rsidRPr="00912A85" w:rsidRDefault="00B65EDC" w:rsidP="00B65EDC"/>
    <w:p w14:paraId="2EAA8B59" w14:textId="24458297" w:rsidR="00B65EDC" w:rsidRPr="00912A85" w:rsidRDefault="00B65EDC" w:rsidP="00B65EDC">
      <w:r w:rsidRPr="00912A85">
        <w:lastRenderedPageBreak/>
        <w:fldChar w:fldCharType="begin"/>
      </w:r>
      <w:r w:rsidRPr="00912A85">
        <w:instrText xml:space="preserve"> AUTONUM  </w:instrText>
      </w:r>
      <w:r w:rsidRPr="00912A85">
        <w:fldChar w:fldCharType="end"/>
      </w:r>
      <w:r w:rsidRPr="00912A85">
        <w:tab/>
      </w:r>
      <w:r w:rsidR="009863D1">
        <w:t>T</w:t>
      </w:r>
      <w:r w:rsidRPr="00912A85">
        <w:t xml:space="preserve">o better harness available training initiatives provided by UPOV and its members, </w:t>
      </w:r>
      <w:r w:rsidR="009863D1" w:rsidRPr="00912A85">
        <w:t xml:space="preserve">in April 2024 </w:t>
      </w:r>
      <w:r w:rsidRPr="00912A85">
        <w:t>UPOV</w:t>
      </w:r>
      <w:r w:rsidR="009863D1">
        <w:t xml:space="preserve"> </w:t>
      </w:r>
      <w:r w:rsidRPr="00912A85">
        <w:t xml:space="preserve">launched an “International certificate on plant variety protection” (UPOV PVP Certificate). </w:t>
      </w:r>
      <w:r w:rsidR="004448C7">
        <w:t xml:space="preserve"> </w:t>
      </w:r>
      <w:r w:rsidRPr="00912A85">
        <w:t>The UPOV PVP Certificate is an international certificate on plant variety protection recognized by UPOV.  Holders of the UPOV PVP Certificate demonstrate to have followed a certain amount of training and/or participated in activities concerning the UPOV Convention, operation of a PVP Office and the examination of applications, including DUS examination. Fifty UPOV PVP Certificates were issued in 2024.</w:t>
      </w:r>
    </w:p>
    <w:p w14:paraId="5FB0A67A" w14:textId="77777777" w:rsidR="00B65EDC" w:rsidRPr="00912A85" w:rsidRDefault="00B65EDC" w:rsidP="00B65EDC"/>
    <w:p w14:paraId="16EF8BA9" w14:textId="3E763DC8"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Participation in the UPOV PVP Certificate program is free of charge for the Council priority categories (see paragraph </w:t>
      </w:r>
      <w:r w:rsidR="00BE4C07">
        <w:t>74</w:t>
      </w:r>
      <w:r w:rsidRPr="00912A85">
        <w:t xml:space="preserve">).  In 2025, the enrollment of private sector learners and learners from organizations that are not covered by the priorities of the UPOV Council will be enabled subject to a fee payment.  The UPOV Office is developing the procedures for invoicing those participants and treating the payments received for the UPOV PVP Certificate program.  The implementation plan anticipated a 500 Swiss francs fee for the enrollment of those participants. </w:t>
      </w:r>
    </w:p>
    <w:p w14:paraId="7ECD971A" w14:textId="77777777" w:rsidR="00B65EDC" w:rsidRPr="00912A85" w:rsidRDefault="00B65EDC" w:rsidP="00B65EDC"/>
    <w:p w14:paraId="302AAFF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UPOV PVP Certificate program will continue to be expanded with the inclusion of new courses and activities in the list of endorsed training.  This will increase the number of opportunities to accumulate the necessary number of credits to obtain the UPOV PVP Certificate.  It will also contribute to establishing an information repository about training on UPOV matters and a network of experts on the topic.  The list of endorsed courses and activities is provided on the UPOV website at:  </w:t>
      </w:r>
      <w:hyperlink r:id="rId18" w:history="1">
        <w:r w:rsidRPr="00912A85">
          <w:rPr>
            <w:rStyle w:val="Hyperlink"/>
          </w:rPr>
          <w:t>https://www.upov.int/resource/en/pvp_certificate.html</w:t>
        </w:r>
      </w:hyperlink>
    </w:p>
    <w:p w14:paraId="70AC6ED0" w14:textId="77777777" w:rsidR="00B65EDC" w:rsidRPr="00912A85" w:rsidRDefault="00B65EDC" w:rsidP="00B65EDC"/>
    <w:p w14:paraId="22241F98" w14:textId="77777777" w:rsidR="00B65EDC" w:rsidRPr="00912A85" w:rsidRDefault="00B65EDC" w:rsidP="00B65EDC">
      <w:pPr>
        <w:pStyle w:val="Heading4"/>
        <w:rPr>
          <w:color w:val="000000"/>
          <w14:textFill>
            <w14:solidFill>
              <w14:srgbClr w14:val="000000">
                <w14:lumMod w14:val="75000"/>
              </w14:srgbClr>
            </w14:solidFill>
          </w14:textFill>
        </w:rPr>
      </w:pPr>
      <w:bookmarkStart w:id="481" w:name="_Toc117798894"/>
      <w:bookmarkStart w:id="482" w:name="_Toc107239599"/>
      <w:bookmarkStart w:id="483" w:name="_Toc107239349"/>
      <w:bookmarkEnd w:id="480"/>
      <w:r w:rsidRPr="00912A85">
        <w:t>2.3</w:t>
      </w:r>
      <w:r w:rsidRPr="00912A85">
        <w:tab/>
        <w:t>Enhanced harmonization and cooperation in examination</w:t>
      </w:r>
      <w:bookmarkEnd w:id="481"/>
      <w:bookmarkEnd w:id="482"/>
      <w:bookmarkEnd w:id="483"/>
    </w:p>
    <w:p w14:paraId="5EDCD1C6" w14:textId="77777777" w:rsidR="00B65EDC" w:rsidRPr="00912A85" w:rsidRDefault="00B65EDC" w:rsidP="00B65EDC">
      <w:pPr>
        <w:tabs>
          <w:tab w:val="left" w:pos="851"/>
        </w:tabs>
        <w:rPr>
          <w:color w:val="000000" w:themeColor="text1"/>
        </w:rPr>
      </w:pPr>
    </w:p>
    <w:p w14:paraId="586884AD" w14:textId="77777777" w:rsidR="00B65EDC" w:rsidRPr="00912A85" w:rsidRDefault="00B65EDC" w:rsidP="00B65EDC">
      <w:pPr>
        <w:rPr>
          <w:bCs/>
          <w:color w:val="000000" w:themeColor="text1"/>
          <w:szCs w:val="24"/>
        </w:rPr>
      </w:pPr>
      <w:r w:rsidRPr="00912A85">
        <w:rPr>
          <w:bCs/>
          <w:color w:val="000000" w:themeColor="text1"/>
          <w:szCs w:val="24"/>
        </w:rPr>
        <w:fldChar w:fldCharType="begin"/>
      </w:r>
      <w:r w:rsidRPr="00912A85">
        <w:rPr>
          <w:bCs/>
          <w:color w:val="000000" w:themeColor="text1"/>
          <w:szCs w:val="24"/>
        </w:rPr>
        <w:instrText xml:space="preserve"> AUTONUM  </w:instrText>
      </w:r>
      <w:r w:rsidRPr="00912A85">
        <w:rPr>
          <w:bCs/>
          <w:color w:val="000000" w:themeColor="text1"/>
          <w:szCs w:val="24"/>
        </w:rPr>
        <w:fldChar w:fldCharType="end"/>
      </w:r>
      <w:r w:rsidRPr="00912A85">
        <w:rPr>
          <w:bCs/>
          <w:color w:val="000000" w:themeColor="text1"/>
          <w:szCs w:val="24"/>
        </w:rPr>
        <w:tab/>
        <w:t xml:space="preserve">Cooperation between members of the Union is a key feature of the UPOV system and is the basis for an efficient system resulting in more rapid availability of new varieties and lower costs for breeders.  In order to respond to the challenges facing agriculture and horticulture, notably in relation to climate change and food security, priority will be given to increased cooperation that will increase the availability of new plant varieties.  Therefore, work in UPOV bodies will continue to identify measures and tools that can facilitate cooperation on a voluntary basis.  </w:t>
      </w:r>
    </w:p>
    <w:p w14:paraId="3CB6C254" w14:textId="77777777" w:rsidR="00B65EDC" w:rsidRPr="00912A85" w:rsidRDefault="00B65EDC" w:rsidP="00B65EDC">
      <w:pPr>
        <w:rPr>
          <w:bCs/>
          <w:color w:val="000000" w:themeColor="text1"/>
          <w:szCs w:val="24"/>
        </w:rPr>
      </w:pPr>
    </w:p>
    <w:p w14:paraId="4A49F66B" w14:textId="3AF5626C" w:rsidR="00B65EDC" w:rsidRPr="00912A85" w:rsidRDefault="00B65EDC" w:rsidP="00B65EDC">
      <w:pPr>
        <w:rPr>
          <w:bCs/>
          <w:color w:val="000000" w:themeColor="text1"/>
          <w:szCs w:val="24"/>
        </w:rPr>
      </w:pPr>
      <w:r w:rsidRPr="00912A85">
        <w:rPr>
          <w:bCs/>
          <w:color w:val="000000" w:themeColor="text1"/>
          <w:szCs w:val="24"/>
        </w:rPr>
        <w:fldChar w:fldCharType="begin"/>
      </w:r>
      <w:r w:rsidRPr="00912A85">
        <w:rPr>
          <w:bCs/>
          <w:color w:val="000000" w:themeColor="text1"/>
          <w:szCs w:val="24"/>
        </w:rPr>
        <w:instrText xml:space="preserve"> AUTONUM  </w:instrText>
      </w:r>
      <w:r w:rsidRPr="00912A85">
        <w:rPr>
          <w:bCs/>
          <w:color w:val="000000" w:themeColor="text1"/>
          <w:szCs w:val="24"/>
        </w:rPr>
        <w:fldChar w:fldCharType="end"/>
      </w:r>
      <w:r w:rsidRPr="00912A85">
        <w:rPr>
          <w:bCs/>
          <w:color w:val="000000" w:themeColor="text1"/>
          <w:szCs w:val="24"/>
        </w:rPr>
        <w:tab/>
        <w:t xml:space="preserve">The Technical Committee has </w:t>
      </w:r>
      <w:proofErr w:type="gramStart"/>
      <w:r w:rsidRPr="00912A85">
        <w:rPr>
          <w:bCs/>
          <w:color w:val="000000" w:themeColor="text1"/>
          <w:szCs w:val="24"/>
        </w:rPr>
        <w:t>agreed</w:t>
      </w:r>
      <w:proofErr w:type="gramEnd"/>
      <w:r w:rsidRPr="00912A85">
        <w:rPr>
          <w:bCs/>
          <w:color w:val="000000" w:themeColor="text1"/>
          <w:szCs w:val="24"/>
        </w:rPr>
        <w:t xml:space="preserve"> a series of measures to improve support provided for DUS examination, particularly with a view to increasing cooperation as a fundamental benefit of UPOV membership (see Section 1.1).  </w:t>
      </w:r>
      <w:r w:rsidRPr="00912A85">
        <w:rPr>
          <w:bCs/>
          <w:szCs w:val="24"/>
        </w:rPr>
        <w:t xml:space="preserve">In the </w:t>
      </w:r>
      <w:r w:rsidR="00521C0D">
        <w:rPr>
          <w:bCs/>
          <w:snapToGrid w:val="0"/>
          <w:szCs w:val="24"/>
        </w:rPr>
        <w:t>2026</w:t>
      </w:r>
      <w:r w:rsidR="00521C0D">
        <w:rPr>
          <w:bCs/>
          <w:snapToGrid w:val="0"/>
          <w:szCs w:val="24"/>
        </w:rPr>
        <w:noBreakHyphen/>
        <w:t>2027</w:t>
      </w:r>
      <w:r w:rsidRPr="00912A85">
        <w:rPr>
          <w:bCs/>
          <w:szCs w:val="24"/>
        </w:rPr>
        <w:t xml:space="preserve"> biennium, the Technical Committee will advance implementing these measures with particular focus on supporting drafters of test guidelines with: training; mentoring and information on cooperation for drafting national test guidelines; improving the structure of Test Guidelines; and improving the UPOV online tool for drafting Test Guidelines (i.e. TG Template).  These measures should expedite the development and updating of Test Guidelines and the expansion of protection to more </w:t>
      </w:r>
      <w:proofErr w:type="gramStart"/>
      <w:r w:rsidRPr="00912A85">
        <w:rPr>
          <w:bCs/>
          <w:szCs w:val="24"/>
        </w:rPr>
        <w:t>genera</w:t>
      </w:r>
      <w:proofErr w:type="gramEnd"/>
      <w:r w:rsidRPr="00912A85">
        <w:rPr>
          <w:bCs/>
          <w:szCs w:val="24"/>
        </w:rPr>
        <w:t xml:space="preserve"> and species.</w:t>
      </w:r>
    </w:p>
    <w:p w14:paraId="127F41E9" w14:textId="77777777" w:rsidR="00B65EDC" w:rsidRPr="00912A85" w:rsidRDefault="00B65EDC" w:rsidP="00B65EDC">
      <w:pPr>
        <w:rPr>
          <w:bCs/>
          <w:color w:val="000000" w:themeColor="text1"/>
          <w:szCs w:val="24"/>
        </w:rPr>
      </w:pPr>
    </w:p>
    <w:p w14:paraId="371055B8" w14:textId="77777777" w:rsidR="00B65EDC" w:rsidRPr="00912A85" w:rsidRDefault="00B65EDC" w:rsidP="00B65EDC">
      <w:pPr>
        <w:rPr>
          <w:bCs/>
          <w:color w:val="000000" w:themeColor="text1"/>
          <w:szCs w:val="24"/>
        </w:rPr>
      </w:pPr>
      <w:r w:rsidRPr="00912A85">
        <w:rPr>
          <w:bCs/>
          <w:color w:val="000000" w:themeColor="text1"/>
          <w:szCs w:val="24"/>
        </w:rPr>
        <w:fldChar w:fldCharType="begin"/>
      </w:r>
      <w:r w:rsidRPr="00912A85">
        <w:rPr>
          <w:bCs/>
          <w:color w:val="000000" w:themeColor="text1"/>
          <w:szCs w:val="24"/>
        </w:rPr>
        <w:instrText xml:space="preserve"> AUTONUM  </w:instrText>
      </w:r>
      <w:r w:rsidRPr="00912A85">
        <w:rPr>
          <w:bCs/>
          <w:color w:val="000000" w:themeColor="text1"/>
          <w:szCs w:val="24"/>
        </w:rPr>
        <w:fldChar w:fldCharType="end"/>
      </w:r>
      <w:r w:rsidRPr="00912A85">
        <w:rPr>
          <w:bCs/>
          <w:color w:val="000000" w:themeColor="text1"/>
          <w:szCs w:val="24"/>
        </w:rPr>
        <w:tab/>
        <w:t xml:space="preserve">The </w:t>
      </w:r>
      <w:r w:rsidRPr="00912A85">
        <w:t xml:space="preserve">UPOV PVP Certificate program </w:t>
      </w:r>
      <w:r w:rsidRPr="00912A85">
        <w:rPr>
          <w:bCs/>
          <w:color w:val="000000" w:themeColor="text1"/>
          <w:szCs w:val="24"/>
        </w:rPr>
        <w:t>is expected to facilitate cooperation between members of the Union by providing an indicator of skills acquired by PVP office practitioners and examiners.</w:t>
      </w:r>
    </w:p>
    <w:p w14:paraId="08B55807" w14:textId="77777777" w:rsidR="00B65EDC" w:rsidRPr="00912A85" w:rsidRDefault="00B65EDC" w:rsidP="00B65EDC">
      <w:pPr>
        <w:rPr>
          <w:bCs/>
          <w:color w:val="000000" w:themeColor="text1"/>
          <w:szCs w:val="24"/>
        </w:rPr>
      </w:pPr>
    </w:p>
    <w:p w14:paraId="2FFEB267" w14:textId="561E1FC3" w:rsidR="00B65EDC" w:rsidRPr="00912A85" w:rsidRDefault="00B65EDC" w:rsidP="00B65EDC">
      <w:pPr>
        <w:rPr>
          <w:bCs/>
          <w:szCs w:val="24"/>
        </w:rPr>
      </w:pPr>
      <w:r w:rsidRPr="00912A85">
        <w:rPr>
          <w:bCs/>
          <w:szCs w:val="24"/>
        </w:rPr>
        <w:fldChar w:fldCharType="begin"/>
      </w:r>
      <w:r w:rsidRPr="00912A85">
        <w:rPr>
          <w:bCs/>
          <w:szCs w:val="24"/>
        </w:rPr>
        <w:instrText xml:space="preserve"> AUTONUM  </w:instrText>
      </w:r>
      <w:r w:rsidRPr="00912A85">
        <w:rPr>
          <w:bCs/>
          <w:szCs w:val="24"/>
        </w:rPr>
        <w:fldChar w:fldCharType="end"/>
      </w:r>
      <w:r w:rsidRPr="00912A85">
        <w:rPr>
          <w:bCs/>
          <w:szCs w:val="24"/>
        </w:rPr>
        <w:tab/>
        <w:t xml:space="preserve">The </w:t>
      </w:r>
      <w:r w:rsidRPr="00912A85">
        <w:rPr>
          <w:bCs/>
        </w:rPr>
        <w:t>Technical Committee</w:t>
      </w:r>
      <w:r w:rsidRPr="00912A85">
        <w:rPr>
          <w:bCs/>
          <w:szCs w:val="24"/>
        </w:rPr>
        <w:t xml:space="preserve"> has identified a number of technical, administrative, policy and legal issues that may be obstacles to further cooperation in DUS examination.  A key aim in the </w:t>
      </w:r>
      <w:r w:rsidR="00521C0D">
        <w:rPr>
          <w:bCs/>
          <w:snapToGrid w:val="0"/>
          <w:szCs w:val="24"/>
        </w:rPr>
        <w:t>2026</w:t>
      </w:r>
      <w:r w:rsidR="00521C0D">
        <w:rPr>
          <w:bCs/>
          <w:snapToGrid w:val="0"/>
          <w:szCs w:val="24"/>
        </w:rPr>
        <w:noBreakHyphen/>
        <w:t>2027</w:t>
      </w:r>
      <w:r w:rsidRPr="00912A85">
        <w:rPr>
          <w:bCs/>
          <w:szCs w:val="24"/>
        </w:rPr>
        <w:t xml:space="preserve"> biennium will be to address these potential obstacles in order to increase cooperation and thereby increase the efficiency of DUS examination.</w:t>
      </w:r>
    </w:p>
    <w:p w14:paraId="590ED330" w14:textId="77777777" w:rsidR="00B65EDC" w:rsidRPr="00912A85" w:rsidRDefault="00B65EDC" w:rsidP="00B65EDC">
      <w:pPr>
        <w:rPr>
          <w:bCs/>
          <w:szCs w:val="24"/>
        </w:rPr>
      </w:pPr>
    </w:p>
    <w:p w14:paraId="28C8B400" w14:textId="366DA5D0" w:rsidR="00B65EDC" w:rsidRPr="00912A85" w:rsidRDefault="00B65EDC" w:rsidP="00B65EDC">
      <w:pPr>
        <w:rPr>
          <w:bCs/>
          <w:szCs w:val="24"/>
        </w:rPr>
      </w:pPr>
      <w:r w:rsidRPr="00912A85">
        <w:rPr>
          <w:bCs/>
          <w:szCs w:val="24"/>
        </w:rPr>
        <w:fldChar w:fldCharType="begin"/>
      </w:r>
      <w:r w:rsidRPr="00912A85">
        <w:rPr>
          <w:bCs/>
          <w:szCs w:val="24"/>
        </w:rPr>
        <w:instrText xml:space="preserve"> AUTONUM  </w:instrText>
      </w:r>
      <w:r w:rsidRPr="00912A85">
        <w:rPr>
          <w:bCs/>
          <w:szCs w:val="24"/>
        </w:rPr>
        <w:fldChar w:fldCharType="end"/>
      </w:r>
      <w:r w:rsidRPr="00912A85">
        <w:rPr>
          <w:bCs/>
          <w:szCs w:val="24"/>
        </w:rPr>
        <w:tab/>
        <w:t xml:space="preserve">The UPOV Convention provides </w:t>
      </w:r>
      <w:proofErr w:type="gramStart"/>
      <w:r w:rsidRPr="00912A85">
        <w:rPr>
          <w:bCs/>
          <w:szCs w:val="24"/>
        </w:rPr>
        <w:t>the flexibility</w:t>
      </w:r>
      <w:proofErr w:type="gramEnd"/>
      <w:r w:rsidRPr="00912A85">
        <w:rPr>
          <w:bCs/>
          <w:szCs w:val="24"/>
        </w:rPr>
        <w:t xml:space="preserve"> for UPOV members to decide on how to arrange DUS tests in the most cost-effective way in accordance with their circumstances.  Some UPOV members have experienced that cooperation with breeders increases efficiency in variety </w:t>
      </w:r>
      <w:proofErr w:type="gramStart"/>
      <w:r w:rsidRPr="00912A85">
        <w:rPr>
          <w:bCs/>
          <w:szCs w:val="24"/>
        </w:rPr>
        <w:t>examination</w:t>
      </w:r>
      <w:proofErr w:type="gramEnd"/>
      <w:r w:rsidRPr="00912A85">
        <w:rPr>
          <w:bCs/>
          <w:szCs w:val="24"/>
        </w:rPr>
        <w:t xml:space="preserve">.  In 2025, a series of webinars and </w:t>
      </w:r>
      <w:proofErr w:type="gramStart"/>
      <w:r w:rsidRPr="00912A85">
        <w:rPr>
          <w:bCs/>
          <w:szCs w:val="24"/>
        </w:rPr>
        <w:t>a seminar</w:t>
      </w:r>
      <w:proofErr w:type="gramEnd"/>
      <w:r w:rsidRPr="00912A85">
        <w:rPr>
          <w:bCs/>
          <w:szCs w:val="24"/>
        </w:rPr>
        <w:t xml:space="preserve"> will be held to create awareness and understanding on how DUS examinations in cooperation with breeders are conducted by some UPOV members.  The seminar will take place in October 2025.  Following the seminar, actions will be taken during </w:t>
      </w:r>
      <w:r w:rsidR="00521C0D">
        <w:rPr>
          <w:bCs/>
          <w:szCs w:val="24"/>
        </w:rPr>
        <w:t>2026</w:t>
      </w:r>
      <w:r w:rsidR="00521C0D">
        <w:rPr>
          <w:bCs/>
          <w:szCs w:val="24"/>
        </w:rPr>
        <w:noBreakHyphen/>
        <w:t>2027</w:t>
      </w:r>
      <w:r w:rsidRPr="00912A85">
        <w:rPr>
          <w:bCs/>
          <w:szCs w:val="24"/>
        </w:rPr>
        <w:t xml:space="preserve"> biennium such as compiling presentations and documentation to be used for capacity building and awareness raising purposes.</w:t>
      </w:r>
    </w:p>
    <w:p w14:paraId="36AE3C7E" w14:textId="77777777" w:rsidR="00B65EDC" w:rsidRPr="00912A85" w:rsidRDefault="00B65EDC" w:rsidP="00B65EDC">
      <w:pPr>
        <w:rPr>
          <w:bCs/>
          <w:szCs w:val="24"/>
        </w:rPr>
      </w:pPr>
    </w:p>
    <w:p w14:paraId="5553751B" w14:textId="77777777" w:rsidR="00B65EDC" w:rsidRPr="00912A85" w:rsidRDefault="00B65EDC" w:rsidP="00B65EDC">
      <w:pPr>
        <w:rPr>
          <w:bCs/>
          <w:szCs w:val="24"/>
        </w:rPr>
      </w:pPr>
    </w:p>
    <w:p w14:paraId="480A1FDD" w14:textId="77777777" w:rsidR="00F05868" w:rsidRDefault="00F05868">
      <w:pPr>
        <w:jc w:val="left"/>
        <w:rPr>
          <w:b/>
          <w:color w:val="26724C" w:themeColor="accent1" w:themeShade="BF"/>
          <w:sz w:val="22"/>
        </w:rPr>
      </w:pPr>
      <w:r>
        <w:br w:type="page"/>
      </w:r>
    </w:p>
    <w:p w14:paraId="7DC063A6" w14:textId="62789C1E" w:rsidR="00B65EDC" w:rsidRPr="00912A85" w:rsidRDefault="00B65EDC" w:rsidP="004448C7">
      <w:pPr>
        <w:pStyle w:val="Heading3"/>
      </w:pPr>
      <w:bookmarkStart w:id="484" w:name="_Toc208999650"/>
      <w:r w:rsidRPr="00912A85">
        <w:lastRenderedPageBreak/>
        <w:t>Expected Results and Performance Indicators</w:t>
      </w:r>
      <w:bookmarkEnd w:id="484"/>
      <w:r w:rsidRPr="00912A85">
        <w:t xml:space="preserve"> </w:t>
      </w:r>
    </w:p>
    <w:p w14:paraId="58BBC526" w14:textId="77777777" w:rsidR="00B65EDC" w:rsidRPr="00912A85" w:rsidRDefault="00B65EDC" w:rsidP="004448C7">
      <w:pPr>
        <w:keepNext/>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4F4F4B6C" w14:textId="77777777">
        <w:trPr>
          <w:tblHeader/>
        </w:trPr>
        <w:tc>
          <w:tcPr>
            <w:tcW w:w="426" w:type="dxa"/>
            <w:tcBorders>
              <w:bottom w:val="single" w:sz="4" w:space="0" w:color="D9D9D9" w:themeColor="background1" w:themeShade="D9"/>
            </w:tcBorders>
            <w:shd w:val="clear" w:color="auto" w:fill="E2E7EB" w:themeFill="accent3" w:themeFillTint="33"/>
          </w:tcPr>
          <w:p w14:paraId="368727BC" w14:textId="77777777" w:rsidR="00B65EDC" w:rsidRPr="00912A85" w:rsidRDefault="00B65EDC">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7A0C2478" w14:textId="77777777" w:rsidR="00B65EDC" w:rsidRPr="00912A85" w:rsidRDefault="00B65EDC">
            <w:pPr>
              <w:jc w:val="left"/>
              <w:rPr>
                <w:b/>
                <w:bCs/>
                <w:sz w:val="16"/>
                <w:szCs w:val="16"/>
              </w:rPr>
            </w:pPr>
            <w:r w:rsidRPr="00912A85">
              <w:rPr>
                <w:b/>
                <w:bCs/>
                <w:sz w:val="16"/>
                <w:szCs w:val="16"/>
              </w:rPr>
              <w:t>Expected results</w:t>
            </w:r>
          </w:p>
        </w:tc>
        <w:tc>
          <w:tcPr>
            <w:tcW w:w="305" w:type="dxa"/>
            <w:tcBorders>
              <w:bottom w:val="single" w:sz="4" w:space="0" w:color="D9D9D9" w:themeColor="background1" w:themeShade="D9"/>
            </w:tcBorders>
            <w:shd w:val="clear" w:color="auto" w:fill="E2E7EB" w:themeFill="accent3" w:themeFillTint="33"/>
          </w:tcPr>
          <w:p w14:paraId="3EE0133E" w14:textId="77777777" w:rsidR="00B65EDC" w:rsidRPr="00912A85" w:rsidRDefault="00B65ED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354F10E8" w14:textId="77777777" w:rsidR="00B65EDC" w:rsidRPr="00912A85" w:rsidRDefault="00B65EDC">
            <w:pPr>
              <w:rPr>
                <w:b/>
                <w:bCs/>
                <w:sz w:val="16"/>
                <w:szCs w:val="16"/>
              </w:rPr>
            </w:pPr>
            <w:r w:rsidRPr="00912A85">
              <w:rPr>
                <w:b/>
                <w:bCs/>
                <w:sz w:val="16"/>
                <w:szCs w:val="16"/>
              </w:rPr>
              <w:t>Performance Indicators</w:t>
            </w:r>
          </w:p>
        </w:tc>
        <w:tc>
          <w:tcPr>
            <w:tcW w:w="1632" w:type="dxa"/>
            <w:tcBorders>
              <w:bottom w:val="single" w:sz="4" w:space="0" w:color="D9D9D9" w:themeColor="background1" w:themeShade="D9"/>
            </w:tcBorders>
            <w:shd w:val="clear" w:color="auto" w:fill="E2E7EB" w:themeFill="accent3" w:themeFillTint="33"/>
          </w:tcPr>
          <w:p w14:paraId="354876E3" w14:textId="77777777" w:rsidR="00B65EDC" w:rsidRPr="0051059A" w:rsidRDefault="00B65EDC">
            <w:pPr>
              <w:jc w:val="center"/>
              <w:rPr>
                <w:rFonts w:asciiTheme="majorHAnsi" w:hAnsiTheme="majorHAnsi" w:cstheme="majorHAnsi"/>
                <w:b/>
                <w:bCs/>
                <w:sz w:val="16"/>
                <w:szCs w:val="16"/>
              </w:rPr>
            </w:pPr>
            <w:r w:rsidRPr="0051059A">
              <w:rPr>
                <w:rFonts w:asciiTheme="majorHAnsi" w:hAnsiTheme="majorHAnsi" w:cstheme="majorHAnsi"/>
                <w:b/>
                <w:bCs/>
                <w:sz w:val="16"/>
                <w:szCs w:val="16"/>
              </w:rPr>
              <w:t>Baselines</w:t>
            </w:r>
          </w:p>
        </w:tc>
        <w:tc>
          <w:tcPr>
            <w:tcW w:w="1559" w:type="dxa"/>
            <w:tcBorders>
              <w:bottom w:val="single" w:sz="4" w:space="0" w:color="D9D9D9" w:themeColor="background1" w:themeShade="D9"/>
            </w:tcBorders>
            <w:shd w:val="clear" w:color="auto" w:fill="E2E7EB" w:themeFill="accent3" w:themeFillTint="33"/>
          </w:tcPr>
          <w:p w14:paraId="3805BDCE" w14:textId="77777777" w:rsidR="00B65EDC" w:rsidRPr="0051059A" w:rsidRDefault="00B65EDC">
            <w:pPr>
              <w:jc w:val="center"/>
              <w:rPr>
                <w:rFonts w:asciiTheme="majorHAnsi" w:hAnsiTheme="majorHAnsi" w:cstheme="majorHAnsi"/>
                <w:b/>
                <w:bCs/>
                <w:sz w:val="16"/>
                <w:szCs w:val="16"/>
              </w:rPr>
            </w:pPr>
            <w:r w:rsidRPr="0051059A">
              <w:rPr>
                <w:rFonts w:asciiTheme="majorHAnsi" w:hAnsiTheme="majorHAnsi" w:cstheme="majorHAnsi"/>
                <w:b/>
                <w:bCs/>
                <w:sz w:val="16"/>
                <w:szCs w:val="16"/>
              </w:rPr>
              <w:t>Targets (2026/27)</w:t>
            </w:r>
          </w:p>
        </w:tc>
      </w:tr>
      <w:tr w:rsidR="00B65EDC" w:rsidRPr="00912A85" w14:paraId="50E7F56F" w14:textId="77777777" w:rsidTr="00A538F6">
        <w:tc>
          <w:tcPr>
            <w:tcW w:w="426" w:type="dxa"/>
            <w:tcBorders>
              <w:top w:val="single" w:sz="4" w:space="0" w:color="D9D9D9" w:themeColor="background1" w:themeShade="D9"/>
            </w:tcBorders>
          </w:tcPr>
          <w:p w14:paraId="300D41EE" w14:textId="77777777" w:rsidR="00B65EDC" w:rsidRPr="00912A85" w:rsidRDefault="00B65EDC">
            <w:pPr>
              <w:jc w:val="left"/>
              <w:rPr>
                <w:rFonts w:cs="Arial"/>
                <w:sz w:val="16"/>
                <w:szCs w:val="16"/>
              </w:rPr>
            </w:pPr>
            <w:r w:rsidRPr="00912A85">
              <w:rPr>
                <w:rFonts w:cs="Arial"/>
                <w:sz w:val="16"/>
                <w:szCs w:val="16"/>
              </w:rPr>
              <w:t>2.1</w:t>
            </w:r>
          </w:p>
        </w:tc>
        <w:tc>
          <w:tcPr>
            <w:tcW w:w="3255" w:type="dxa"/>
            <w:tcBorders>
              <w:top w:val="single" w:sz="4" w:space="0" w:color="D9D9D9" w:themeColor="background1" w:themeShade="D9"/>
            </w:tcBorders>
          </w:tcPr>
          <w:p w14:paraId="07A71D2F" w14:textId="77777777" w:rsidR="00B65EDC" w:rsidRPr="00912A85" w:rsidRDefault="00B65EDC">
            <w:pPr>
              <w:jc w:val="left"/>
              <w:rPr>
                <w:rFonts w:cs="Arial"/>
                <w:sz w:val="16"/>
                <w:szCs w:val="16"/>
              </w:rPr>
            </w:pPr>
            <w:r w:rsidRPr="00912A85">
              <w:rPr>
                <w:rFonts w:cs="Arial"/>
                <w:sz w:val="16"/>
                <w:szCs w:val="16"/>
              </w:rPr>
              <w:t>Enhanced awareness of the role of the UPOV system</w:t>
            </w:r>
          </w:p>
        </w:tc>
        <w:tc>
          <w:tcPr>
            <w:tcW w:w="305" w:type="dxa"/>
            <w:tcBorders>
              <w:top w:val="single" w:sz="4" w:space="0" w:color="D9D9D9" w:themeColor="background1" w:themeShade="D9"/>
            </w:tcBorders>
          </w:tcPr>
          <w:p w14:paraId="31173FC2" w14:textId="77777777" w:rsidR="00B65EDC" w:rsidRPr="00912A85" w:rsidRDefault="00B65EDC">
            <w:pPr>
              <w:jc w:val="left"/>
              <w:rPr>
                <w:rFonts w:cs="Arial"/>
                <w:sz w:val="16"/>
                <w:szCs w:val="16"/>
              </w:rPr>
            </w:pPr>
            <w:r w:rsidRPr="00912A85">
              <w:rPr>
                <w:rFonts w:cs="Arial"/>
                <w:sz w:val="16"/>
                <w:szCs w:val="16"/>
              </w:rPr>
              <w:t>3</w:t>
            </w:r>
          </w:p>
        </w:tc>
        <w:tc>
          <w:tcPr>
            <w:tcW w:w="2457" w:type="dxa"/>
            <w:tcBorders>
              <w:top w:val="single" w:sz="4" w:space="0" w:color="D9D9D9" w:themeColor="background1" w:themeShade="D9"/>
            </w:tcBorders>
          </w:tcPr>
          <w:p w14:paraId="63F5CB58" w14:textId="77777777" w:rsidR="00B65EDC" w:rsidRPr="00912A85" w:rsidRDefault="00B65EDC">
            <w:pPr>
              <w:jc w:val="left"/>
              <w:rPr>
                <w:rFonts w:cs="Arial"/>
                <w:sz w:val="16"/>
                <w:szCs w:val="16"/>
              </w:rPr>
            </w:pPr>
            <w:r w:rsidRPr="00912A85">
              <w:rPr>
                <w:rFonts w:cs="Arial"/>
                <w:sz w:val="16"/>
                <w:szCs w:val="16"/>
              </w:rPr>
              <w:t>Views of UPOV information</w:t>
            </w:r>
          </w:p>
        </w:tc>
        <w:tc>
          <w:tcPr>
            <w:tcW w:w="1632" w:type="dxa"/>
            <w:tcBorders>
              <w:top w:val="single" w:sz="4" w:space="0" w:color="D9D9D9" w:themeColor="background1" w:themeShade="D9"/>
            </w:tcBorders>
          </w:tcPr>
          <w:p w14:paraId="6786CEF3" w14:textId="77777777" w:rsidR="00B65EDC" w:rsidRPr="0051059A" w:rsidRDefault="00B65EDC">
            <w:pPr>
              <w:jc w:val="center"/>
              <w:rPr>
                <w:rFonts w:asciiTheme="majorHAnsi" w:hAnsiTheme="majorHAnsi" w:cstheme="majorHAnsi"/>
                <w:sz w:val="16"/>
                <w:szCs w:val="16"/>
              </w:rPr>
            </w:pPr>
          </w:p>
        </w:tc>
        <w:tc>
          <w:tcPr>
            <w:tcW w:w="1559" w:type="dxa"/>
            <w:tcBorders>
              <w:top w:val="single" w:sz="4" w:space="0" w:color="D9D9D9" w:themeColor="background1" w:themeShade="D9"/>
            </w:tcBorders>
          </w:tcPr>
          <w:p w14:paraId="39BE3444" w14:textId="77777777" w:rsidR="00B65EDC" w:rsidRPr="0051059A" w:rsidRDefault="00B65EDC">
            <w:pPr>
              <w:jc w:val="center"/>
              <w:rPr>
                <w:rFonts w:asciiTheme="majorHAnsi" w:hAnsiTheme="majorHAnsi" w:cstheme="majorHAnsi"/>
                <w:sz w:val="16"/>
                <w:szCs w:val="16"/>
              </w:rPr>
            </w:pPr>
          </w:p>
        </w:tc>
      </w:tr>
      <w:tr w:rsidR="00B65EDC" w:rsidRPr="00912A85" w14:paraId="1859800D" w14:textId="77777777" w:rsidTr="00A538F6">
        <w:tc>
          <w:tcPr>
            <w:tcW w:w="426" w:type="dxa"/>
          </w:tcPr>
          <w:p w14:paraId="6DBF9044" w14:textId="77777777" w:rsidR="00B65EDC" w:rsidRPr="00912A85" w:rsidRDefault="00B65EDC">
            <w:pPr>
              <w:jc w:val="left"/>
              <w:rPr>
                <w:rFonts w:cs="Arial"/>
                <w:sz w:val="16"/>
                <w:szCs w:val="16"/>
              </w:rPr>
            </w:pPr>
          </w:p>
        </w:tc>
        <w:tc>
          <w:tcPr>
            <w:tcW w:w="3255" w:type="dxa"/>
          </w:tcPr>
          <w:p w14:paraId="690E84F3" w14:textId="77777777" w:rsidR="00B65EDC" w:rsidRPr="00912A85" w:rsidRDefault="00B65EDC">
            <w:pPr>
              <w:jc w:val="left"/>
              <w:rPr>
                <w:rFonts w:cs="Arial"/>
                <w:sz w:val="16"/>
                <w:szCs w:val="16"/>
              </w:rPr>
            </w:pPr>
          </w:p>
        </w:tc>
        <w:tc>
          <w:tcPr>
            <w:tcW w:w="305" w:type="dxa"/>
          </w:tcPr>
          <w:p w14:paraId="6D0F4F0B" w14:textId="77777777" w:rsidR="00B65EDC" w:rsidRPr="00912A85" w:rsidRDefault="00B65EDC">
            <w:pPr>
              <w:jc w:val="left"/>
              <w:rPr>
                <w:rFonts w:cs="Arial"/>
                <w:sz w:val="16"/>
                <w:szCs w:val="16"/>
              </w:rPr>
            </w:pPr>
          </w:p>
        </w:tc>
        <w:tc>
          <w:tcPr>
            <w:tcW w:w="2457" w:type="dxa"/>
          </w:tcPr>
          <w:p w14:paraId="7F5840FE" w14:textId="14F54153" w:rsidR="00B65EDC" w:rsidRPr="00912A85" w:rsidRDefault="00B65EDC">
            <w:pPr>
              <w:ind w:left="284"/>
              <w:jc w:val="left"/>
              <w:rPr>
                <w:rFonts w:cs="Arial"/>
                <w:sz w:val="16"/>
                <w:szCs w:val="16"/>
              </w:rPr>
            </w:pPr>
            <w:r w:rsidRPr="00912A85">
              <w:rPr>
                <w:rFonts w:cs="Arial"/>
                <w:sz w:val="16"/>
                <w:szCs w:val="16"/>
              </w:rPr>
              <w:t>Visits to UPOV website (“</w:t>
            </w:r>
            <w:r w:rsidR="00C75029">
              <w:rPr>
                <w:rFonts w:cs="Arial"/>
                <w:sz w:val="16"/>
                <w:szCs w:val="16"/>
              </w:rPr>
              <w:t>pageviews</w:t>
            </w:r>
            <w:r w:rsidRPr="00912A85">
              <w:rPr>
                <w:rFonts w:cs="Arial"/>
                <w:sz w:val="16"/>
                <w:szCs w:val="16"/>
              </w:rPr>
              <w:t>”)</w:t>
            </w:r>
          </w:p>
        </w:tc>
        <w:tc>
          <w:tcPr>
            <w:tcW w:w="1632" w:type="dxa"/>
          </w:tcPr>
          <w:p w14:paraId="77C254F8" w14:textId="4F80A2C3" w:rsidR="00B65EDC" w:rsidRPr="0051059A" w:rsidRDefault="00C75029">
            <w:pPr>
              <w:jc w:val="center"/>
              <w:rPr>
                <w:rFonts w:asciiTheme="majorHAnsi" w:hAnsiTheme="majorHAnsi" w:cstheme="majorHAnsi"/>
                <w:sz w:val="16"/>
                <w:szCs w:val="16"/>
              </w:rPr>
            </w:pPr>
            <w:r w:rsidRPr="0051059A">
              <w:rPr>
                <w:rFonts w:asciiTheme="majorHAnsi" w:hAnsiTheme="majorHAnsi" w:cstheme="majorHAnsi"/>
                <w:sz w:val="16"/>
                <w:szCs w:val="16"/>
              </w:rPr>
              <w:t xml:space="preserve">1,130,631 </w:t>
            </w:r>
            <w:r w:rsidR="00B65EDC" w:rsidRPr="0051059A">
              <w:rPr>
                <w:rFonts w:asciiTheme="majorHAnsi" w:hAnsiTheme="majorHAnsi" w:cstheme="majorHAnsi"/>
                <w:sz w:val="16"/>
                <w:szCs w:val="16"/>
              </w:rPr>
              <w:t>(2024)</w:t>
            </w:r>
          </w:p>
        </w:tc>
        <w:tc>
          <w:tcPr>
            <w:tcW w:w="1559" w:type="dxa"/>
          </w:tcPr>
          <w:p w14:paraId="797803EB" w14:textId="6081DFCC" w:rsidR="00E55365" w:rsidRDefault="00CE0FD5" w:rsidP="00437CC2">
            <w:pPr>
              <w:jc w:val="center"/>
              <w:rPr>
                <w:rFonts w:asciiTheme="majorHAnsi" w:hAnsiTheme="majorHAnsi" w:cstheme="majorHAnsi"/>
                <w:sz w:val="16"/>
                <w:szCs w:val="16"/>
              </w:rPr>
            </w:pPr>
            <w:r>
              <w:rPr>
                <w:rFonts w:asciiTheme="majorHAnsi" w:hAnsiTheme="majorHAnsi" w:cstheme="majorHAnsi"/>
                <w:sz w:val="16"/>
                <w:szCs w:val="16"/>
              </w:rPr>
              <w:t>1,350,000 (2026)</w:t>
            </w:r>
          </w:p>
          <w:p w14:paraId="7542A24E" w14:textId="37E8CFC8" w:rsidR="00620794" w:rsidRPr="0051059A" w:rsidRDefault="00437CC2" w:rsidP="00437CC2">
            <w:pPr>
              <w:jc w:val="center"/>
              <w:rPr>
                <w:rFonts w:asciiTheme="majorHAnsi" w:hAnsiTheme="majorHAnsi" w:cstheme="majorHAnsi"/>
                <w:sz w:val="16"/>
                <w:szCs w:val="16"/>
              </w:rPr>
            </w:pPr>
            <w:r>
              <w:rPr>
                <w:rFonts w:asciiTheme="majorHAnsi" w:hAnsiTheme="majorHAnsi" w:cstheme="majorHAnsi"/>
                <w:sz w:val="16"/>
                <w:szCs w:val="16"/>
              </w:rPr>
              <w:t xml:space="preserve">1,500,000 </w:t>
            </w:r>
            <w:r w:rsidR="00B65EDC" w:rsidRPr="0051059A">
              <w:rPr>
                <w:rFonts w:asciiTheme="majorHAnsi" w:hAnsiTheme="majorHAnsi" w:cstheme="majorHAnsi"/>
                <w:sz w:val="16"/>
                <w:szCs w:val="16"/>
              </w:rPr>
              <w:t>(2027)</w:t>
            </w:r>
          </w:p>
        </w:tc>
      </w:tr>
      <w:tr w:rsidR="00B65EDC" w:rsidRPr="00912A85" w14:paraId="50FC4D80" w14:textId="77777777" w:rsidTr="00A538F6">
        <w:tc>
          <w:tcPr>
            <w:tcW w:w="426" w:type="dxa"/>
          </w:tcPr>
          <w:p w14:paraId="3C9233FC" w14:textId="77777777" w:rsidR="00B65EDC" w:rsidRPr="00912A85" w:rsidRDefault="00B65EDC">
            <w:pPr>
              <w:jc w:val="left"/>
              <w:rPr>
                <w:rFonts w:cs="Arial"/>
                <w:sz w:val="16"/>
                <w:szCs w:val="16"/>
              </w:rPr>
            </w:pPr>
          </w:p>
        </w:tc>
        <w:tc>
          <w:tcPr>
            <w:tcW w:w="3255" w:type="dxa"/>
          </w:tcPr>
          <w:p w14:paraId="4FE12C67" w14:textId="77777777" w:rsidR="00B65EDC" w:rsidRPr="00912A85" w:rsidRDefault="00B65EDC">
            <w:pPr>
              <w:jc w:val="left"/>
              <w:rPr>
                <w:rFonts w:cs="Arial"/>
                <w:sz w:val="16"/>
                <w:szCs w:val="16"/>
              </w:rPr>
            </w:pPr>
          </w:p>
        </w:tc>
        <w:tc>
          <w:tcPr>
            <w:tcW w:w="305" w:type="dxa"/>
          </w:tcPr>
          <w:p w14:paraId="0C714DCD" w14:textId="77777777" w:rsidR="00B65EDC" w:rsidRPr="00912A85" w:rsidRDefault="00B65EDC">
            <w:pPr>
              <w:jc w:val="left"/>
              <w:rPr>
                <w:rFonts w:cs="Arial"/>
                <w:sz w:val="16"/>
                <w:szCs w:val="16"/>
              </w:rPr>
            </w:pPr>
          </w:p>
        </w:tc>
        <w:tc>
          <w:tcPr>
            <w:tcW w:w="2457" w:type="dxa"/>
          </w:tcPr>
          <w:p w14:paraId="71C277E7" w14:textId="77777777" w:rsidR="00B65EDC" w:rsidRPr="00912A85" w:rsidRDefault="00B65EDC">
            <w:pPr>
              <w:ind w:left="284"/>
              <w:jc w:val="left"/>
              <w:rPr>
                <w:rFonts w:cs="Arial"/>
                <w:sz w:val="16"/>
                <w:szCs w:val="16"/>
              </w:rPr>
            </w:pPr>
            <w:r w:rsidRPr="00912A85">
              <w:rPr>
                <w:rFonts w:cs="Arial"/>
                <w:sz w:val="16"/>
                <w:szCs w:val="16"/>
              </w:rPr>
              <w:t>Number of unique visitors to UPOV website</w:t>
            </w:r>
          </w:p>
        </w:tc>
        <w:tc>
          <w:tcPr>
            <w:tcW w:w="1632" w:type="dxa"/>
          </w:tcPr>
          <w:p w14:paraId="4C7ECF3B" w14:textId="78151B06"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 xml:space="preserve"> </w:t>
            </w:r>
            <w:r w:rsidR="00C75029" w:rsidRPr="0051059A">
              <w:rPr>
                <w:rFonts w:asciiTheme="majorHAnsi" w:hAnsiTheme="majorHAnsi" w:cstheme="majorHAnsi"/>
                <w:sz w:val="16"/>
                <w:szCs w:val="16"/>
              </w:rPr>
              <w:t>147,244</w:t>
            </w:r>
          </w:p>
          <w:p w14:paraId="37E0DD15" w14:textId="77777777"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(2024)</w:t>
            </w:r>
          </w:p>
        </w:tc>
        <w:tc>
          <w:tcPr>
            <w:tcW w:w="1559" w:type="dxa"/>
          </w:tcPr>
          <w:p w14:paraId="5045DCC3" w14:textId="0DF67A07" w:rsidR="005B0358" w:rsidRDefault="005B0358">
            <w:pPr>
              <w:jc w:val="center"/>
              <w:rPr>
                <w:rFonts w:asciiTheme="majorHAnsi" w:hAnsiTheme="majorHAnsi" w:cstheme="majorHAnsi"/>
                <w:sz w:val="16"/>
                <w:szCs w:val="16"/>
              </w:rPr>
            </w:pPr>
            <w:r>
              <w:rPr>
                <w:rFonts w:asciiTheme="majorHAnsi" w:hAnsiTheme="majorHAnsi" w:cstheme="majorHAnsi"/>
                <w:sz w:val="16"/>
                <w:szCs w:val="16"/>
              </w:rPr>
              <w:t xml:space="preserve"> </w:t>
            </w:r>
            <w:r w:rsidR="00137F11">
              <w:rPr>
                <w:rFonts w:asciiTheme="majorHAnsi" w:hAnsiTheme="majorHAnsi" w:cstheme="majorHAnsi"/>
                <w:sz w:val="16"/>
                <w:szCs w:val="16"/>
              </w:rPr>
              <w:t>175,000 (2026)</w:t>
            </w:r>
          </w:p>
          <w:p w14:paraId="11C1C056" w14:textId="3F5B7160" w:rsidR="00620794" w:rsidRPr="0051059A" w:rsidRDefault="00437CC2" w:rsidP="00BD28FC">
            <w:pPr>
              <w:jc w:val="center"/>
              <w:rPr>
                <w:rFonts w:asciiTheme="majorHAnsi" w:hAnsiTheme="majorHAnsi" w:cstheme="majorHAnsi"/>
                <w:sz w:val="16"/>
                <w:szCs w:val="16"/>
              </w:rPr>
            </w:pPr>
            <w:r>
              <w:rPr>
                <w:rFonts w:asciiTheme="majorHAnsi" w:hAnsiTheme="majorHAnsi" w:cstheme="majorHAnsi"/>
                <w:sz w:val="16"/>
                <w:szCs w:val="16"/>
              </w:rPr>
              <w:t xml:space="preserve">200,000 </w:t>
            </w:r>
            <w:r w:rsidR="00B65EDC" w:rsidRPr="00443835">
              <w:rPr>
                <w:rFonts w:asciiTheme="majorHAnsi" w:hAnsiTheme="majorHAnsi" w:cstheme="majorHAnsi"/>
                <w:sz w:val="16"/>
                <w:szCs w:val="16"/>
              </w:rPr>
              <w:t>(2027)</w:t>
            </w:r>
          </w:p>
        </w:tc>
      </w:tr>
      <w:tr w:rsidR="00B65EDC" w:rsidRPr="00912A85" w14:paraId="2E1FABB3" w14:textId="77777777" w:rsidTr="00A538F6">
        <w:tc>
          <w:tcPr>
            <w:tcW w:w="426" w:type="dxa"/>
          </w:tcPr>
          <w:p w14:paraId="7A36126B" w14:textId="77777777" w:rsidR="00B65EDC" w:rsidRPr="00912A85" w:rsidRDefault="00B65EDC">
            <w:pPr>
              <w:jc w:val="left"/>
              <w:rPr>
                <w:rFonts w:cs="Arial"/>
                <w:sz w:val="16"/>
                <w:szCs w:val="16"/>
              </w:rPr>
            </w:pPr>
          </w:p>
        </w:tc>
        <w:tc>
          <w:tcPr>
            <w:tcW w:w="3255" w:type="dxa"/>
          </w:tcPr>
          <w:p w14:paraId="076D9ACB" w14:textId="77777777" w:rsidR="00B65EDC" w:rsidRPr="00912A85" w:rsidRDefault="00B65EDC">
            <w:pPr>
              <w:jc w:val="left"/>
              <w:rPr>
                <w:rFonts w:cs="Arial"/>
                <w:sz w:val="16"/>
                <w:szCs w:val="16"/>
              </w:rPr>
            </w:pPr>
          </w:p>
        </w:tc>
        <w:tc>
          <w:tcPr>
            <w:tcW w:w="305" w:type="dxa"/>
          </w:tcPr>
          <w:p w14:paraId="12D82468" w14:textId="77777777" w:rsidR="00B65EDC" w:rsidRPr="00912A85" w:rsidRDefault="00B65EDC">
            <w:pPr>
              <w:jc w:val="left"/>
              <w:rPr>
                <w:rFonts w:cs="Arial"/>
                <w:sz w:val="16"/>
                <w:szCs w:val="16"/>
              </w:rPr>
            </w:pPr>
          </w:p>
        </w:tc>
        <w:tc>
          <w:tcPr>
            <w:tcW w:w="2457" w:type="dxa"/>
          </w:tcPr>
          <w:p w14:paraId="08F96846" w14:textId="77777777" w:rsidR="00B65EDC" w:rsidRPr="00912A85" w:rsidRDefault="00B65EDC">
            <w:pPr>
              <w:ind w:left="284"/>
              <w:jc w:val="left"/>
              <w:rPr>
                <w:rFonts w:cs="Arial"/>
                <w:sz w:val="16"/>
                <w:szCs w:val="16"/>
              </w:rPr>
            </w:pPr>
            <w:r w:rsidRPr="00912A85">
              <w:rPr>
                <w:rFonts w:cs="Arial"/>
                <w:sz w:val="16"/>
                <w:szCs w:val="16"/>
              </w:rPr>
              <w:t>Number of followers on social media</w:t>
            </w:r>
          </w:p>
        </w:tc>
        <w:tc>
          <w:tcPr>
            <w:tcW w:w="1632" w:type="dxa"/>
          </w:tcPr>
          <w:p w14:paraId="63220BA3" w14:textId="127C617F"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 xml:space="preserve">X: </w:t>
            </w:r>
            <w:r w:rsidR="008D762C">
              <w:rPr>
                <w:rFonts w:asciiTheme="majorHAnsi" w:hAnsiTheme="majorHAnsi" w:cstheme="majorHAnsi"/>
                <w:sz w:val="16"/>
                <w:szCs w:val="16"/>
              </w:rPr>
              <w:t>2</w:t>
            </w:r>
            <w:r w:rsidR="00620794" w:rsidRPr="00620794">
              <w:rPr>
                <w:rFonts w:asciiTheme="majorHAnsi" w:hAnsiTheme="majorHAnsi" w:cstheme="majorHAnsi"/>
                <w:sz w:val="16"/>
                <w:szCs w:val="16"/>
              </w:rPr>
              <w:t>,668</w:t>
            </w:r>
            <w:r w:rsidRPr="0051059A">
              <w:rPr>
                <w:rFonts w:asciiTheme="majorHAnsi" w:hAnsiTheme="majorHAnsi" w:cstheme="majorHAnsi"/>
                <w:sz w:val="16"/>
                <w:szCs w:val="16"/>
              </w:rPr>
              <w:t xml:space="preserve"> </w:t>
            </w:r>
            <w:r w:rsidRPr="0051059A">
              <w:rPr>
                <w:rFonts w:asciiTheme="majorHAnsi" w:hAnsiTheme="majorHAnsi" w:cstheme="majorHAnsi"/>
                <w:sz w:val="16"/>
                <w:szCs w:val="16"/>
              </w:rPr>
              <w:br/>
              <w:t xml:space="preserve">(2024); </w:t>
            </w:r>
            <w:r w:rsidRPr="0051059A">
              <w:rPr>
                <w:rFonts w:asciiTheme="majorHAnsi" w:hAnsiTheme="majorHAnsi" w:cstheme="majorHAnsi"/>
                <w:sz w:val="16"/>
                <w:szCs w:val="16"/>
              </w:rPr>
              <w:br/>
              <w:t xml:space="preserve">LinkedIn: </w:t>
            </w:r>
            <w:r w:rsidR="00620794" w:rsidRPr="00620794">
              <w:rPr>
                <w:rFonts w:asciiTheme="majorHAnsi" w:hAnsiTheme="majorHAnsi" w:cstheme="majorHAnsi"/>
                <w:sz w:val="16"/>
                <w:szCs w:val="16"/>
              </w:rPr>
              <w:t>6,831</w:t>
            </w:r>
            <w:r w:rsidRPr="0051059A">
              <w:rPr>
                <w:rFonts w:asciiTheme="majorHAnsi" w:hAnsiTheme="majorHAnsi" w:cstheme="majorHAnsi"/>
                <w:sz w:val="16"/>
                <w:szCs w:val="16"/>
              </w:rPr>
              <w:br/>
              <w:t>(2024)</w:t>
            </w:r>
          </w:p>
        </w:tc>
        <w:tc>
          <w:tcPr>
            <w:tcW w:w="1559" w:type="dxa"/>
          </w:tcPr>
          <w:p w14:paraId="3D123838" w14:textId="5C99235C" w:rsidR="00C74C05" w:rsidRDefault="00C74C05" w:rsidP="00C74C05">
            <w:pPr>
              <w:jc w:val="center"/>
              <w:rPr>
                <w:rFonts w:asciiTheme="majorHAnsi" w:hAnsiTheme="majorHAnsi" w:cstheme="majorHAnsi"/>
                <w:sz w:val="16"/>
                <w:szCs w:val="16"/>
              </w:rPr>
            </w:pPr>
            <w:r w:rsidRPr="0051059A">
              <w:rPr>
                <w:rFonts w:asciiTheme="majorHAnsi" w:hAnsiTheme="majorHAnsi" w:cstheme="majorHAnsi"/>
                <w:sz w:val="16"/>
                <w:szCs w:val="16"/>
              </w:rPr>
              <w:t xml:space="preserve">X: </w:t>
            </w:r>
            <w:r>
              <w:rPr>
                <w:rFonts w:asciiTheme="majorHAnsi" w:hAnsiTheme="majorHAnsi" w:cstheme="majorHAnsi"/>
                <w:sz w:val="16"/>
                <w:szCs w:val="16"/>
              </w:rPr>
              <w:t>3</w:t>
            </w:r>
            <w:r w:rsidRPr="0051059A">
              <w:rPr>
                <w:rFonts w:asciiTheme="majorHAnsi" w:hAnsiTheme="majorHAnsi" w:cstheme="majorHAnsi"/>
                <w:sz w:val="16"/>
                <w:szCs w:val="16"/>
              </w:rPr>
              <w:t>,</w:t>
            </w:r>
            <w:r>
              <w:rPr>
                <w:rFonts w:asciiTheme="majorHAnsi" w:hAnsiTheme="majorHAnsi" w:cstheme="majorHAnsi"/>
                <w:sz w:val="16"/>
                <w:szCs w:val="16"/>
              </w:rPr>
              <w:t>3</w:t>
            </w:r>
            <w:r w:rsidRPr="0051059A">
              <w:rPr>
                <w:rFonts w:asciiTheme="majorHAnsi" w:hAnsiTheme="majorHAnsi" w:cstheme="majorHAnsi"/>
                <w:sz w:val="16"/>
                <w:szCs w:val="16"/>
              </w:rPr>
              <w:t>00</w:t>
            </w:r>
            <w:r>
              <w:rPr>
                <w:rFonts w:asciiTheme="majorHAnsi" w:hAnsiTheme="majorHAnsi" w:cstheme="majorHAnsi"/>
                <w:sz w:val="16"/>
                <w:szCs w:val="16"/>
              </w:rPr>
              <w:t xml:space="preserve"> </w:t>
            </w:r>
            <w:r w:rsidRPr="0051059A">
              <w:rPr>
                <w:rFonts w:asciiTheme="majorHAnsi" w:hAnsiTheme="majorHAnsi" w:cstheme="majorHAnsi"/>
                <w:sz w:val="16"/>
                <w:szCs w:val="16"/>
              </w:rPr>
              <w:t>(202</w:t>
            </w:r>
            <w:r>
              <w:rPr>
                <w:rFonts w:asciiTheme="majorHAnsi" w:hAnsiTheme="majorHAnsi" w:cstheme="majorHAnsi"/>
                <w:sz w:val="16"/>
                <w:szCs w:val="16"/>
              </w:rPr>
              <w:t>6</w:t>
            </w:r>
            <w:r w:rsidRPr="0051059A">
              <w:rPr>
                <w:rFonts w:asciiTheme="majorHAnsi" w:hAnsiTheme="majorHAnsi" w:cstheme="majorHAnsi"/>
                <w:sz w:val="16"/>
                <w:szCs w:val="16"/>
              </w:rPr>
              <w:t>);</w:t>
            </w:r>
            <w:r w:rsidRPr="0051059A">
              <w:rPr>
                <w:rFonts w:asciiTheme="majorHAnsi" w:hAnsiTheme="majorHAnsi" w:cstheme="majorHAnsi"/>
                <w:sz w:val="16"/>
                <w:szCs w:val="16"/>
              </w:rPr>
              <w:br/>
            </w:r>
            <w:r w:rsidR="00B65EDC" w:rsidRPr="0051059A">
              <w:rPr>
                <w:rFonts w:asciiTheme="majorHAnsi" w:hAnsiTheme="majorHAnsi" w:cstheme="majorHAnsi"/>
                <w:sz w:val="16"/>
                <w:szCs w:val="16"/>
              </w:rPr>
              <w:t>4,000</w:t>
            </w:r>
            <w:r>
              <w:rPr>
                <w:rFonts w:asciiTheme="majorHAnsi" w:hAnsiTheme="majorHAnsi" w:cstheme="majorHAnsi"/>
                <w:sz w:val="16"/>
                <w:szCs w:val="16"/>
              </w:rPr>
              <w:t xml:space="preserve"> </w:t>
            </w:r>
            <w:r w:rsidR="00B65EDC" w:rsidRPr="0051059A">
              <w:rPr>
                <w:rFonts w:asciiTheme="majorHAnsi" w:hAnsiTheme="majorHAnsi" w:cstheme="majorHAnsi"/>
                <w:sz w:val="16"/>
                <w:szCs w:val="16"/>
              </w:rPr>
              <w:t>(2027);</w:t>
            </w:r>
          </w:p>
          <w:p w14:paraId="2C254DA0" w14:textId="4B2E80CE" w:rsidR="00B65EDC" w:rsidRPr="0051059A" w:rsidRDefault="00C74C05" w:rsidP="00C74C05">
            <w:pPr>
              <w:jc w:val="center"/>
              <w:rPr>
                <w:rFonts w:asciiTheme="majorHAnsi" w:hAnsiTheme="majorHAnsi" w:cstheme="majorHAnsi"/>
                <w:sz w:val="16"/>
                <w:szCs w:val="16"/>
              </w:rPr>
            </w:pPr>
            <w:r w:rsidRPr="0051059A">
              <w:rPr>
                <w:rFonts w:asciiTheme="majorHAnsi" w:hAnsiTheme="majorHAnsi" w:cstheme="majorHAnsi"/>
                <w:sz w:val="16"/>
                <w:szCs w:val="16"/>
              </w:rPr>
              <w:t xml:space="preserve">LinkedIn: </w:t>
            </w:r>
            <w:r>
              <w:rPr>
                <w:rFonts w:asciiTheme="majorHAnsi" w:hAnsiTheme="majorHAnsi" w:cstheme="majorHAnsi"/>
                <w:sz w:val="16"/>
                <w:szCs w:val="16"/>
              </w:rPr>
              <w:t xml:space="preserve">9,000 </w:t>
            </w:r>
            <w:r w:rsidRPr="0051059A">
              <w:rPr>
                <w:rFonts w:asciiTheme="majorHAnsi" w:hAnsiTheme="majorHAnsi" w:cstheme="majorHAnsi"/>
                <w:sz w:val="16"/>
                <w:szCs w:val="16"/>
              </w:rPr>
              <w:t>(202</w:t>
            </w:r>
            <w:r>
              <w:rPr>
                <w:rFonts w:asciiTheme="majorHAnsi" w:hAnsiTheme="majorHAnsi" w:cstheme="majorHAnsi"/>
                <w:sz w:val="16"/>
                <w:szCs w:val="16"/>
              </w:rPr>
              <w:t>6</w:t>
            </w:r>
            <w:r w:rsidRPr="0051059A">
              <w:rPr>
                <w:rFonts w:asciiTheme="majorHAnsi" w:hAnsiTheme="majorHAnsi" w:cstheme="majorHAnsi"/>
                <w:sz w:val="16"/>
                <w:szCs w:val="16"/>
              </w:rPr>
              <w:t>)</w:t>
            </w:r>
            <w:r w:rsidR="00B65EDC" w:rsidRPr="0051059A">
              <w:rPr>
                <w:rFonts w:asciiTheme="majorHAnsi" w:hAnsiTheme="majorHAnsi" w:cstheme="majorHAnsi"/>
                <w:sz w:val="16"/>
                <w:szCs w:val="16"/>
              </w:rPr>
              <w:t xml:space="preserve"> </w:t>
            </w:r>
            <w:r w:rsidR="008D762C">
              <w:rPr>
                <w:rFonts w:asciiTheme="majorHAnsi" w:hAnsiTheme="majorHAnsi" w:cstheme="majorHAnsi"/>
                <w:sz w:val="16"/>
                <w:szCs w:val="16"/>
              </w:rPr>
              <w:t>10,000</w:t>
            </w:r>
            <w:r w:rsidR="00B65EDC" w:rsidRPr="0051059A">
              <w:rPr>
                <w:rFonts w:asciiTheme="majorHAnsi" w:hAnsiTheme="majorHAnsi" w:cstheme="majorHAnsi"/>
                <w:sz w:val="16"/>
                <w:szCs w:val="16"/>
              </w:rPr>
              <w:br/>
              <w:t>(2027)</w:t>
            </w:r>
          </w:p>
        </w:tc>
      </w:tr>
      <w:tr w:rsidR="00B65EDC" w:rsidRPr="00912A85" w14:paraId="4E1C4CCF" w14:textId="77777777" w:rsidTr="00A538F6">
        <w:tc>
          <w:tcPr>
            <w:tcW w:w="426" w:type="dxa"/>
            <w:tcBorders>
              <w:bottom w:val="single" w:sz="4" w:space="0" w:color="D9D9D9" w:themeColor="background1" w:themeShade="D9"/>
            </w:tcBorders>
          </w:tcPr>
          <w:p w14:paraId="100AAAD4"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04482E5B"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60271A65" w14:textId="77777777" w:rsidR="00B65EDC" w:rsidRPr="00912A85" w:rsidRDefault="00B65EDC">
            <w:pPr>
              <w:jc w:val="center"/>
              <w:rPr>
                <w:rFonts w:cs="Arial"/>
                <w:sz w:val="16"/>
                <w:szCs w:val="16"/>
              </w:rPr>
            </w:pPr>
          </w:p>
        </w:tc>
        <w:tc>
          <w:tcPr>
            <w:tcW w:w="2457" w:type="dxa"/>
            <w:tcBorders>
              <w:bottom w:val="single" w:sz="4" w:space="0" w:color="D9D9D9" w:themeColor="background1" w:themeShade="D9"/>
            </w:tcBorders>
          </w:tcPr>
          <w:p w14:paraId="572C7D84" w14:textId="77777777" w:rsidR="00B65EDC" w:rsidRPr="00912A85" w:rsidRDefault="00B65EDC">
            <w:pPr>
              <w:ind w:left="284"/>
              <w:jc w:val="left"/>
              <w:rPr>
                <w:rFonts w:cs="Arial"/>
                <w:sz w:val="16"/>
                <w:szCs w:val="16"/>
              </w:rPr>
            </w:pPr>
            <w:r w:rsidRPr="00912A85">
              <w:rPr>
                <w:rFonts w:cs="Arial"/>
                <w:sz w:val="16"/>
                <w:szCs w:val="16"/>
              </w:rPr>
              <w:t>Number of views of videos on benefits page of UPOV website</w:t>
            </w:r>
          </w:p>
        </w:tc>
        <w:tc>
          <w:tcPr>
            <w:tcW w:w="1632" w:type="dxa"/>
            <w:tcBorders>
              <w:bottom w:val="single" w:sz="4" w:space="0" w:color="D9D9D9" w:themeColor="background1" w:themeShade="D9"/>
            </w:tcBorders>
          </w:tcPr>
          <w:p w14:paraId="60D80F36" w14:textId="170A5390" w:rsidR="00B65EDC" w:rsidRPr="00443835" w:rsidRDefault="00620794">
            <w:pPr>
              <w:jc w:val="center"/>
              <w:rPr>
                <w:rFonts w:asciiTheme="majorHAnsi" w:hAnsiTheme="majorHAnsi" w:cstheme="majorHAnsi"/>
                <w:sz w:val="16"/>
                <w:szCs w:val="16"/>
              </w:rPr>
            </w:pPr>
            <w:r w:rsidRPr="00443835">
              <w:rPr>
                <w:rFonts w:asciiTheme="majorHAnsi" w:hAnsiTheme="majorHAnsi" w:cstheme="majorHAnsi"/>
                <w:sz w:val="16"/>
                <w:szCs w:val="16"/>
              </w:rPr>
              <w:t xml:space="preserve">3,921 </w:t>
            </w:r>
            <w:r w:rsidR="00B65EDC" w:rsidRPr="00443835">
              <w:rPr>
                <w:rFonts w:asciiTheme="majorHAnsi" w:hAnsiTheme="majorHAnsi" w:cstheme="majorHAnsi"/>
                <w:sz w:val="16"/>
                <w:szCs w:val="16"/>
              </w:rPr>
              <w:t>(2024)</w:t>
            </w:r>
          </w:p>
        </w:tc>
        <w:tc>
          <w:tcPr>
            <w:tcW w:w="1559" w:type="dxa"/>
            <w:tcBorders>
              <w:bottom w:val="single" w:sz="4" w:space="0" w:color="D9D9D9" w:themeColor="background1" w:themeShade="D9"/>
            </w:tcBorders>
          </w:tcPr>
          <w:p w14:paraId="46177467" w14:textId="5F1F0B31" w:rsidR="00435740" w:rsidRDefault="004E006E">
            <w:pPr>
              <w:jc w:val="center"/>
              <w:rPr>
                <w:rFonts w:asciiTheme="majorHAnsi" w:hAnsiTheme="majorHAnsi" w:cstheme="majorHAnsi"/>
                <w:sz w:val="16"/>
                <w:szCs w:val="16"/>
              </w:rPr>
            </w:pPr>
            <w:r>
              <w:rPr>
                <w:rFonts w:asciiTheme="majorHAnsi" w:hAnsiTheme="majorHAnsi" w:cstheme="majorHAnsi"/>
                <w:sz w:val="16"/>
                <w:szCs w:val="16"/>
              </w:rPr>
              <w:t>4,800</w:t>
            </w:r>
            <w:r w:rsidR="002416F8">
              <w:rPr>
                <w:rFonts w:asciiTheme="majorHAnsi" w:hAnsiTheme="majorHAnsi" w:cstheme="majorHAnsi"/>
                <w:sz w:val="16"/>
                <w:szCs w:val="16"/>
              </w:rPr>
              <w:t xml:space="preserve"> (</w:t>
            </w:r>
            <w:r w:rsidR="002147A0">
              <w:rPr>
                <w:rFonts w:asciiTheme="majorHAnsi" w:hAnsiTheme="majorHAnsi" w:cstheme="majorHAnsi"/>
                <w:sz w:val="16"/>
                <w:szCs w:val="16"/>
              </w:rPr>
              <w:t>2026)</w:t>
            </w:r>
          </w:p>
          <w:p w14:paraId="5BCC77C9" w14:textId="181A5ABB" w:rsidR="00B65EDC" w:rsidRPr="0051059A" w:rsidRDefault="00B65EDC">
            <w:pPr>
              <w:jc w:val="center"/>
              <w:rPr>
                <w:rFonts w:asciiTheme="majorHAnsi" w:hAnsiTheme="majorHAnsi" w:cstheme="majorHAnsi"/>
                <w:sz w:val="16"/>
                <w:szCs w:val="16"/>
              </w:rPr>
            </w:pPr>
            <w:r w:rsidRPr="0051059A">
              <w:rPr>
                <w:rFonts w:asciiTheme="majorHAnsi" w:hAnsiTheme="majorHAnsi" w:cstheme="majorHAnsi"/>
                <w:sz w:val="16"/>
                <w:szCs w:val="16"/>
              </w:rPr>
              <w:t>5,500 (2027)</w:t>
            </w:r>
          </w:p>
        </w:tc>
      </w:tr>
      <w:tr w:rsidR="00950A9F" w:rsidRPr="00912A85" w14:paraId="46F1920C" w14:textId="77777777" w:rsidTr="7F3984EE">
        <w:tc>
          <w:tcPr>
            <w:tcW w:w="426" w:type="dxa"/>
            <w:tcBorders>
              <w:top w:val="single" w:sz="4" w:space="0" w:color="D9D9D9" w:themeColor="background1" w:themeShade="D9"/>
            </w:tcBorders>
          </w:tcPr>
          <w:p w14:paraId="2EBB8588" w14:textId="77777777" w:rsidR="00B65EDC" w:rsidRPr="00912A85" w:rsidRDefault="00B65EDC">
            <w:pPr>
              <w:jc w:val="left"/>
              <w:rPr>
                <w:rFonts w:cs="Arial"/>
                <w:sz w:val="16"/>
                <w:szCs w:val="16"/>
              </w:rPr>
            </w:pPr>
            <w:r w:rsidRPr="00912A85">
              <w:rPr>
                <w:rFonts w:cs="Arial"/>
                <w:sz w:val="16"/>
                <w:szCs w:val="16"/>
              </w:rPr>
              <w:t>2.2</w:t>
            </w:r>
          </w:p>
        </w:tc>
        <w:tc>
          <w:tcPr>
            <w:tcW w:w="3255" w:type="dxa"/>
            <w:tcBorders>
              <w:top w:val="single" w:sz="4" w:space="0" w:color="D9D9D9" w:themeColor="background1" w:themeShade="D9"/>
            </w:tcBorders>
          </w:tcPr>
          <w:p w14:paraId="6AFE6E32" w14:textId="77777777" w:rsidR="00B65EDC" w:rsidRPr="00912A85" w:rsidRDefault="00B65EDC">
            <w:pPr>
              <w:jc w:val="left"/>
              <w:rPr>
                <w:rFonts w:cs="Arial"/>
                <w:sz w:val="16"/>
                <w:szCs w:val="16"/>
              </w:rPr>
            </w:pPr>
            <w:r w:rsidRPr="00912A85">
              <w:rPr>
                <w:rFonts w:cs="Arial"/>
                <w:sz w:val="16"/>
                <w:szCs w:val="16"/>
              </w:rPr>
              <w:t>Guidance and assistance on the UPOV Convention and its implementation</w:t>
            </w:r>
          </w:p>
        </w:tc>
        <w:tc>
          <w:tcPr>
            <w:tcW w:w="305" w:type="dxa"/>
            <w:tcBorders>
              <w:top w:val="single" w:sz="4" w:space="0" w:color="D9D9D9" w:themeColor="background1" w:themeShade="D9"/>
            </w:tcBorders>
          </w:tcPr>
          <w:p w14:paraId="3DD6726B" w14:textId="77777777" w:rsidR="00B65EDC" w:rsidRPr="00912A85" w:rsidRDefault="00B65EDC">
            <w:pPr>
              <w:jc w:val="center"/>
              <w:rPr>
                <w:rFonts w:cs="Arial"/>
                <w:sz w:val="16"/>
                <w:szCs w:val="16"/>
              </w:rPr>
            </w:pPr>
            <w:r w:rsidRPr="00912A85">
              <w:rPr>
                <w:rFonts w:cs="Arial"/>
                <w:sz w:val="16"/>
                <w:szCs w:val="16"/>
              </w:rPr>
              <w:t>4</w:t>
            </w:r>
          </w:p>
        </w:tc>
        <w:tc>
          <w:tcPr>
            <w:tcW w:w="2457" w:type="dxa"/>
            <w:tcBorders>
              <w:top w:val="single" w:sz="4" w:space="0" w:color="D9D9D9" w:themeColor="background1" w:themeShade="D9"/>
            </w:tcBorders>
          </w:tcPr>
          <w:p w14:paraId="66F04F41" w14:textId="77777777" w:rsidR="00B65EDC" w:rsidRPr="00912A85" w:rsidRDefault="00B65EDC">
            <w:pPr>
              <w:jc w:val="left"/>
              <w:rPr>
                <w:rFonts w:cs="Arial"/>
                <w:sz w:val="16"/>
                <w:szCs w:val="16"/>
              </w:rPr>
            </w:pPr>
            <w:r w:rsidRPr="00912A85">
              <w:rPr>
                <w:rFonts w:cs="Arial"/>
                <w:sz w:val="16"/>
                <w:szCs w:val="16"/>
              </w:rPr>
              <w:t>Number of States and organizations participating in UPOV training/assistance activities</w:t>
            </w:r>
          </w:p>
        </w:tc>
        <w:tc>
          <w:tcPr>
            <w:tcW w:w="1632" w:type="dxa"/>
            <w:tcBorders>
              <w:top w:val="single" w:sz="4" w:space="0" w:color="D9D9D9" w:themeColor="background1" w:themeShade="D9"/>
            </w:tcBorders>
            <w:shd w:val="clear" w:color="auto" w:fill="FFFFFF" w:themeFill="background1"/>
          </w:tcPr>
          <w:p w14:paraId="2C1D6F65" w14:textId="044B299C" w:rsidR="00B65EDC" w:rsidRPr="00443835" w:rsidRDefault="00620794" w:rsidP="00443835">
            <w:pPr>
              <w:jc w:val="center"/>
              <w:rPr>
                <w:rFonts w:asciiTheme="majorHAnsi" w:hAnsiTheme="majorHAnsi" w:cstheme="majorHAnsi"/>
                <w:sz w:val="16"/>
                <w:szCs w:val="16"/>
              </w:rPr>
            </w:pPr>
            <w:r w:rsidRPr="00443835">
              <w:rPr>
                <w:rFonts w:asciiTheme="majorHAnsi" w:hAnsiTheme="majorHAnsi" w:cstheme="majorHAnsi"/>
                <w:bCs/>
                <w:sz w:val="16"/>
                <w:szCs w:val="16"/>
              </w:rPr>
              <w:t>128 States</w:t>
            </w:r>
            <w:r w:rsidR="00443835">
              <w:rPr>
                <w:rFonts w:asciiTheme="majorHAnsi" w:hAnsiTheme="majorHAnsi" w:cstheme="majorHAnsi"/>
                <w:bCs/>
                <w:sz w:val="16"/>
                <w:szCs w:val="16"/>
              </w:rPr>
              <w:t>;</w:t>
            </w:r>
            <w:r w:rsidRPr="00443835">
              <w:rPr>
                <w:rFonts w:asciiTheme="majorHAnsi" w:hAnsiTheme="majorHAnsi" w:cstheme="majorHAnsi"/>
                <w:bCs/>
                <w:sz w:val="16"/>
                <w:szCs w:val="16"/>
              </w:rPr>
              <w:t xml:space="preserve"> </w:t>
            </w:r>
            <w:r w:rsidR="00443835">
              <w:rPr>
                <w:rFonts w:asciiTheme="majorHAnsi" w:hAnsiTheme="majorHAnsi" w:cstheme="majorHAnsi"/>
                <w:bCs/>
                <w:sz w:val="16"/>
                <w:szCs w:val="16"/>
              </w:rPr>
              <w:br/>
            </w:r>
            <w:r w:rsidRPr="00443835">
              <w:rPr>
                <w:rFonts w:asciiTheme="majorHAnsi" w:hAnsiTheme="majorHAnsi" w:cstheme="majorHAnsi"/>
                <w:bCs/>
                <w:sz w:val="16"/>
                <w:szCs w:val="16"/>
              </w:rPr>
              <w:t>31 organizations</w:t>
            </w:r>
            <w:r w:rsidR="00C74C05">
              <w:rPr>
                <w:rFonts w:asciiTheme="majorHAnsi" w:hAnsiTheme="majorHAnsi" w:cstheme="majorHAnsi"/>
                <w:bCs/>
                <w:sz w:val="16"/>
                <w:szCs w:val="16"/>
              </w:rPr>
              <w:t xml:space="preserve"> (2024)</w:t>
            </w:r>
          </w:p>
        </w:tc>
        <w:tc>
          <w:tcPr>
            <w:tcW w:w="1559" w:type="dxa"/>
            <w:tcBorders>
              <w:top w:val="single" w:sz="4" w:space="0" w:color="D9D9D9" w:themeColor="background1" w:themeShade="D9"/>
            </w:tcBorders>
            <w:shd w:val="clear" w:color="auto" w:fill="FFFFFF" w:themeFill="background1"/>
          </w:tcPr>
          <w:p w14:paraId="550B3E51" w14:textId="777DD91B" w:rsidR="00C74C05" w:rsidRDefault="00C74C05">
            <w:pPr>
              <w:jc w:val="center"/>
              <w:rPr>
                <w:rFonts w:asciiTheme="majorHAnsi" w:hAnsiTheme="majorHAnsi" w:cstheme="majorHAnsi"/>
                <w:sz w:val="16"/>
                <w:szCs w:val="16"/>
              </w:rPr>
            </w:pPr>
            <w:r w:rsidRPr="00FC6BF7">
              <w:rPr>
                <w:rFonts w:asciiTheme="majorHAnsi" w:hAnsiTheme="majorHAnsi" w:cstheme="majorHAnsi"/>
                <w:sz w:val="16"/>
                <w:szCs w:val="16"/>
              </w:rPr>
              <w:t>States</w:t>
            </w:r>
            <w:r>
              <w:rPr>
                <w:rFonts w:asciiTheme="majorHAnsi" w:hAnsiTheme="majorHAnsi" w:cstheme="majorHAnsi"/>
                <w:sz w:val="16"/>
                <w:szCs w:val="16"/>
              </w:rPr>
              <w:t xml:space="preserve">: </w:t>
            </w:r>
            <w:r w:rsidRPr="00FC6BF7">
              <w:rPr>
                <w:rFonts w:asciiTheme="majorHAnsi" w:hAnsiTheme="majorHAnsi" w:cstheme="majorHAnsi"/>
                <w:sz w:val="16"/>
                <w:szCs w:val="16"/>
              </w:rPr>
              <w:t>1</w:t>
            </w:r>
            <w:r>
              <w:rPr>
                <w:rFonts w:asciiTheme="majorHAnsi" w:hAnsiTheme="majorHAnsi" w:cstheme="majorHAnsi"/>
                <w:sz w:val="16"/>
                <w:szCs w:val="16"/>
              </w:rPr>
              <w:t>4</w:t>
            </w:r>
            <w:r w:rsidRPr="00FC6BF7">
              <w:rPr>
                <w:rFonts w:asciiTheme="majorHAnsi" w:hAnsiTheme="majorHAnsi" w:cstheme="majorHAnsi"/>
                <w:sz w:val="16"/>
                <w:szCs w:val="16"/>
              </w:rPr>
              <w:t xml:space="preserve">0 </w:t>
            </w:r>
            <w:r>
              <w:rPr>
                <w:rFonts w:asciiTheme="majorHAnsi" w:hAnsiTheme="majorHAnsi" w:cstheme="majorHAnsi"/>
                <w:sz w:val="16"/>
                <w:szCs w:val="16"/>
              </w:rPr>
              <w:t>(2026)</w:t>
            </w:r>
            <w:r w:rsidRPr="00FC6BF7">
              <w:rPr>
                <w:rFonts w:asciiTheme="majorHAnsi" w:hAnsiTheme="majorHAnsi" w:cstheme="majorHAnsi"/>
                <w:sz w:val="16"/>
                <w:szCs w:val="16"/>
              </w:rPr>
              <w:t xml:space="preserve">; </w:t>
            </w:r>
            <w:r w:rsidRPr="00FC6BF7">
              <w:rPr>
                <w:rFonts w:asciiTheme="majorHAnsi" w:hAnsiTheme="majorHAnsi" w:cstheme="majorHAnsi"/>
                <w:sz w:val="16"/>
                <w:szCs w:val="16"/>
              </w:rPr>
              <w:br/>
              <w:t xml:space="preserve">150 </w:t>
            </w:r>
            <w:r w:rsidRPr="00443835">
              <w:rPr>
                <w:rFonts w:asciiTheme="majorHAnsi" w:hAnsiTheme="majorHAnsi" w:cstheme="majorHAnsi"/>
                <w:sz w:val="16"/>
                <w:szCs w:val="16"/>
              </w:rPr>
              <w:t>(2027)</w:t>
            </w:r>
          </w:p>
          <w:p w14:paraId="3531BDCA" w14:textId="517DEBFD" w:rsidR="00C74C05" w:rsidRDefault="00B65EDC">
            <w:pPr>
              <w:jc w:val="center"/>
              <w:rPr>
                <w:rFonts w:asciiTheme="majorHAnsi" w:hAnsiTheme="majorHAnsi" w:cstheme="majorHAnsi"/>
                <w:sz w:val="16"/>
                <w:szCs w:val="16"/>
              </w:rPr>
            </w:pPr>
            <w:r w:rsidRPr="00FC6BF7">
              <w:rPr>
                <w:rFonts w:asciiTheme="majorHAnsi" w:hAnsiTheme="majorHAnsi" w:cstheme="majorHAnsi"/>
                <w:sz w:val="16"/>
                <w:szCs w:val="16"/>
              </w:rPr>
              <w:br/>
            </w:r>
            <w:r w:rsidR="00C74C05" w:rsidRPr="00FC6BF7">
              <w:rPr>
                <w:rFonts w:asciiTheme="majorHAnsi" w:hAnsiTheme="majorHAnsi" w:cstheme="majorHAnsi"/>
                <w:sz w:val="16"/>
                <w:szCs w:val="16"/>
              </w:rPr>
              <w:t>organizations</w:t>
            </w:r>
            <w:r w:rsidR="00C74C05">
              <w:rPr>
                <w:rFonts w:asciiTheme="majorHAnsi" w:hAnsiTheme="majorHAnsi" w:cstheme="majorHAnsi"/>
                <w:sz w:val="16"/>
                <w:szCs w:val="16"/>
              </w:rPr>
              <w:t>:</w:t>
            </w:r>
          </w:p>
          <w:p w14:paraId="3731F050" w14:textId="36CFEC09" w:rsidR="00C74C05" w:rsidRDefault="00C74C05">
            <w:pPr>
              <w:jc w:val="center"/>
              <w:rPr>
                <w:rFonts w:asciiTheme="majorHAnsi" w:hAnsiTheme="majorHAnsi" w:cstheme="majorHAnsi"/>
                <w:sz w:val="16"/>
                <w:szCs w:val="16"/>
              </w:rPr>
            </w:pPr>
            <w:r w:rsidRPr="00FC6BF7">
              <w:rPr>
                <w:rFonts w:asciiTheme="majorHAnsi" w:hAnsiTheme="majorHAnsi" w:cstheme="majorHAnsi"/>
                <w:sz w:val="16"/>
                <w:szCs w:val="16"/>
              </w:rPr>
              <w:t>3</w:t>
            </w:r>
            <w:r>
              <w:rPr>
                <w:rFonts w:asciiTheme="majorHAnsi" w:hAnsiTheme="majorHAnsi" w:cstheme="majorHAnsi"/>
                <w:sz w:val="16"/>
                <w:szCs w:val="16"/>
              </w:rPr>
              <w:t>3 (2026)</w:t>
            </w:r>
            <w:r w:rsidRPr="00FC6BF7">
              <w:rPr>
                <w:rFonts w:asciiTheme="majorHAnsi" w:hAnsiTheme="majorHAnsi" w:cstheme="majorHAnsi"/>
                <w:sz w:val="16"/>
                <w:szCs w:val="16"/>
              </w:rPr>
              <w:t xml:space="preserve"> </w:t>
            </w:r>
          </w:p>
          <w:p w14:paraId="0047360F" w14:textId="4BE07D52" w:rsidR="00B65EDC" w:rsidRPr="00443835" w:rsidRDefault="00026B8A">
            <w:pPr>
              <w:jc w:val="center"/>
              <w:rPr>
                <w:rFonts w:asciiTheme="majorHAnsi" w:hAnsiTheme="majorHAnsi" w:cstheme="majorHAnsi"/>
                <w:sz w:val="16"/>
                <w:szCs w:val="16"/>
              </w:rPr>
            </w:pPr>
            <w:r w:rsidRPr="00FC6BF7">
              <w:rPr>
                <w:rFonts w:asciiTheme="majorHAnsi" w:hAnsiTheme="majorHAnsi" w:cstheme="majorHAnsi"/>
                <w:sz w:val="16"/>
                <w:szCs w:val="16"/>
              </w:rPr>
              <w:t xml:space="preserve">35 </w:t>
            </w:r>
            <w:r w:rsidR="00B65EDC" w:rsidRPr="00443835">
              <w:rPr>
                <w:rFonts w:asciiTheme="majorHAnsi" w:hAnsiTheme="majorHAnsi" w:cstheme="majorHAnsi"/>
                <w:sz w:val="16"/>
                <w:szCs w:val="16"/>
              </w:rPr>
              <w:t>(2027)</w:t>
            </w:r>
          </w:p>
        </w:tc>
      </w:tr>
      <w:tr w:rsidR="0044405F" w:rsidRPr="00912A85" w14:paraId="559783BB" w14:textId="77777777" w:rsidTr="7F3984EE">
        <w:tc>
          <w:tcPr>
            <w:tcW w:w="426" w:type="dxa"/>
          </w:tcPr>
          <w:p w14:paraId="3C7CC3D5" w14:textId="77777777" w:rsidR="00B65EDC" w:rsidRPr="00912A85" w:rsidRDefault="00B65EDC">
            <w:pPr>
              <w:jc w:val="left"/>
              <w:rPr>
                <w:rFonts w:cs="Arial"/>
                <w:sz w:val="16"/>
                <w:szCs w:val="16"/>
              </w:rPr>
            </w:pPr>
          </w:p>
        </w:tc>
        <w:tc>
          <w:tcPr>
            <w:tcW w:w="3255" w:type="dxa"/>
          </w:tcPr>
          <w:p w14:paraId="197192B4" w14:textId="77777777" w:rsidR="00B65EDC" w:rsidRPr="00912A85" w:rsidRDefault="00B65EDC">
            <w:pPr>
              <w:jc w:val="left"/>
              <w:rPr>
                <w:rFonts w:cs="Arial"/>
                <w:sz w:val="16"/>
                <w:szCs w:val="16"/>
              </w:rPr>
            </w:pPr>
          </w:p>
        </w:tc>
        <w:tc>
          <w:tcPr>
            <w:tcW w:w="305" w:type="dxa"/>
          </w:tcPr>
          <w:p w14:paraId="3515D271" w14:textId="77777777" w:rsidR="00B65EDC" w:rsidRPr="00912A85" w:rsidRDefault="00B65EDC">
            <w:pPr>
              <w:jc w:val="center"/>
              <w:rPr>
                <w:rFonts w:cs="Arial"/>
                <w:sz w:val="16"/>
                <w:szCs w:val="16"/>
              </w:rPr>
            </w:pPr>
            <w:r w:rsidRPr="00912A85">
              <w:rPr>
                <w:rFonts w:cs="Arial"/>
                <w:sz w:val="16"/>
                <w:szCs w:val="16"/>
              </w:rPr>
              <w:t>5</w:t>
            </w:r>
          </w:p>
        </w:tc>
        <w:tc>
          <w:tcPr>
            <w:tcW w:w="2457" w:type="dxa"/>
          </w:tcPr>
          <w:p w14:paraId="213704BB" w14:textId="77777777" w:rsidR="00B65EDC" w:rsidRPr="00912A85" w:rsidRDefault="00B65EDC">
            <w:pPr>
              <w:jc w:val="left"/>
              <w:rPr>
                <w:rFonts w:cs="Arial"/>
                <w:sz w:val="16"/>
                <w:szCs w:val="16"/>
              </w:rPr>
            </w:pPr>
            <w:r w:rsidRPr="00912A85">
              <w:rPr>
                <w:rFonts w:cs="Arial"/>
                <w:sz w:val="16"/>
                <w:szCs w:val="16"/>
              </w:rPr>
              <w:t>Number of participants successfully completing UPOV distance learning courses</w:t>
            </w:r>
          </w:p>
        </w:tc>
        <w:tc>
          <w:tcPr>
            <w:tcW w:w="1632" w:type="dxa"/>
            <w:shd w:val="clear" w:color="auto" w:fill="FFFFFF" w:themeFill="background1"/>
          </w:tcPr>
          <w:p w14:paraId="56BD3EF1" w14:textId="2D1C738C" w:rsidR="00B65EDC" w:rsidRPr="00443835" w:rsidRDefault="008548B5">
            <w:pPr>
              <w:jc w:val="center"/>
              <w:rPr>
                <w:rFonts w:asciiTheme="majorHAnsi" w:hAnsiTheme="majorHAnsi" w:cstheme="majorHAnsi"/>
                <w:sz w:val="16"/>
                <w:szCs w:val="16"/>
              </w:rPr>
            </w:pPr>
            <w:r w:rsidRPr="00443835">
              <w:rPr>
                <w:rFonts w:asciiTheme="majorHAnsi" w:hAnsiTheme="majorHAnsi" w:cstheme="majorHAnsi"/>
                <w:sz w:val="16"/>
                <w:szCs w:val="16"/>
              </w:rPr>
              <w:t>1</w:t>
            </w:r>
            <w:r w:rsidR="0044554D" w:rsidRPr="00443835">
              <w:rPr>
                <w:rFonts w:asciiTheme="majorHAnsi" w:hAnsiTheme="majorHAnsi" w:cstheme="majorHAnsi"/>
                <w:sz w:val="16"/>
                <w:szCs w:val="16"/>
              </w:rPr>
              <w:t>,</w:t>
            </w:r>
            <w:r w:rsidRPr="00443835">
              <w:rPr>
                <w:rFonts w:asciiTheme="majorHAnsi" w:hAnsiTheme="majorHAnsi" w:cstheme="majorHAnsi"/>
                <w:sz w:val="16"/>
                <w:szCs w:val="16"/>
              </w:rPr>
              <w:t xml:space="preserve">027 </w:t>
            </w:r>
            <w:r w:rsidR="00B65EDC" w:rsidRPr="00443835">
              <w:rPr>
                <w:rFonts w:asciiTheme="majorHAnsi" w:hAnsiTheme="majorHAnsi" w:cstheme="majorHAnsi"/>
                <w:sz w:val="16"/>
                <w:szCs w:val="16"/>
              </w:rPr>
              <w:t>(2024)</w:t>
            </w:r>
          </w:p>
        </w:tc>
        <w:tc>
          <w:tcPr>
            <w:tcW w:w="1559" w:type="dxa"/>
          </w:tcPr>
          <w:p w14:paraId="6B5C20B4" w14:textId="4442E688" w:rsidR="001B0B64" w:rsidRDefault="001B0B64">
            <w:pPr>
              <w:jc w:val="center"/>
              <w:rPr>
                <w:rFonts w:asciiTheme="majorHAnsi" w:hAnsiTheme="majorHAnsi" w:cstheme="majorHAnsi"/>
                <w:sz w:val="16"/>
                <w:szCs w:val="16"/>
              </w:rPr>
            </w:pPr>
            <w:r>
              <w:rPr>
                <w:rFonts w:asciiTheme="majorHAnsi" w:hAnsiTheme="majorHAnsi" w:cstheme="majorHAnsi"/>
                <w:sz w:val="16"/>
                <w:szCs w:val="16"/>
              </w:rPr>
              <w:t>1,100 (2026)</w:t>
            </w:r>
          </w:p>
          <w:p w14:paraId="3524888E" w14:textId="7735F099" w:rsidR="00B65EDC" w:rsidRPr="00443835" w:rsidRDefault="00026B8A">
            <w:pPr>
              <w:jc w:val="center"/>
              <w:rPr>
                <w:rFonts w:asciiTheme="majorHAnsi" w:hAnsiTheme="majorHAnsi" w:cstheme="majorHAnsi"/>
                <w:sz w:val="16"/>
                <w:szCs w:val="16"/>
              </w:rPr>
            </w:pPr>
            <w:r>
              <w:rPr>
                <w:rFonts w:asciiTheme="majorHAnsi" w:hAnsiTheme="majorHAnsi" w:cstheme="majorHAnsi"/>
                <w:sz w:val="16"/>
                <w:szCs w:val="16"/>
              </w:rPr>
              <w:t>1</w:t>
            </w:r>
            <w:r w:rsidR="0044554D">
              <w:rPr>
                <w:rFonts w:asciiTheme="majorHAnsi" w:hAnsiTheme="majorHAnsi" w:cstheme="majorHAnsi"/>
                <w:sz w:val="16"/>
                <w:szCs w:val="16"/>
              </w:rPr>
              <w:t>,</w:t>
            </w:r>
            <w:r>
              <w:rPr>
                <w:rFonts w:asciiTheme="majorHAnsi" w:hAnsiTheme="majorHAnsi" w:cstheme="majorHAnsi"/>
                <w:sz w:val="16"/>
                <w:szCs w:val="16"/>
              </w:rPr>
              <w:t>200</w:t>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(2027)</w:t>
            </w:r>
          </w:p>
        </w:tc>
      </w:tr>
      <w:tr w:rsidR="00B65EDC" w:rsidRPr="00C527A1" w14:paraId="059FC045" w14:textId="77777777" w:rsidTr="00A538F6">
        <w:tc>
          <w:tcPr>
            <w:tcW w:w="426" w:type="dxa"/>
          </w:tcPr>
          <w:p w14:paraId="30A57619" w14:textId="77777777" w:rsidR="00B65EDC" w:rsidRPr="00912A85" w:rsidRDefault="00B65EDC">
            <w:pPr>
              <w:jc w:val="left"/>
              <w:rPr>
                <w:rFonts w:cs="Arial"/>
                <w:sz w:val="16"/>
                <w:szCs w:val="16"/>
              </w:rPr>
            </w:pPr>
          </w:p>
        </w:tc>
        <w:tc>
          <w:tcPr>
            <w:tcW w:w="3255" w:type="dxa"/>
          </w:tcPr>
          <w:p w14:paraId="56B07CC4" w14:textId="77777777" w:rsidR="00B65EDC" w:rsidRPr="00912A85" w:rsidRDefault="00B65EDC">
            <w:pPr>
              <w:jc w:val="left"/>
              <w:rPr>
                <w:rFonts w:cs="Arial"/>
                <w:sz w:val="16"/>
                <w:szCs w:val="16"/>
              </w:rPr>
            </w:pPr>
          </w:p>
        </w:tc>
        <w:tc>
          <w:tcPr>
            <w:tcW w:w="305" w:type="dxa"/>
          </w:tcPr>
          <w:p w14:paraId="4BAF4352" w14:textId="77777777" w:rsidR="00B65EDC" w:rsidRPr="00912A85" w:rsidRDefault="00B65EDC">
            <w:pPr>
              <w:jc w:val="center"/>
              <w:rPr>
                <w:rFonts w:cs="Arial"/>
                <w:sz w:val="16"/>
                <w:szCs w:val="16"/>
              </w:rPr>
            </w:pPr>
            <w:r w:rsidRPr="00912A85">
              <w:rPr>
                <w:rFonts w:cs="Arial"/>
                <w:sz w:val="16"/>
                <w:szCs w:val="16"/>
              </w:rPr>
              <w:t>6</w:t>
            </w:r>
          </w:p>
        </w:tc>
        <w:tc>
          <w:tcPr>
            <w:tcW w:w="2457" w:type="dxa"/>
          </w:tcPr>
          <w:p w14:paraId="1DB66BA5" w14:textId="77777777" w:rsidR="00B65EDC" w:rsidRPr="00912A85" w:rsidRDefault="00B65EDC">
            <w:pPr>
              <w:jc w:val="left"/>
              <w:rPr>
                <w:rFonts w:cs="Arial"/>
                <w:sz w:val="16"/>
                <w:szCs w:val="16"/>
              </w:rPr>
            </w:pPr>
            <w:r w:rsidRPr="00912A85">
              <w:rPr>
                <w:rFonts w:cs="Arial"/>
                <w:sz w:val="16"/>
                <w:szCs w:val="16"/>
              </w:rPr>
              <w:t>Number of academic institutions that include information on the UPOV system in their courses</w:t>
            </w:r>
          </w:p>
        </w:tc>
        <w:tc>
          <w:tcPr>
            <w:tcW w:w="1632" w:type="dxa"/>
          </w:tcPr>
          <w:p w14:paraId="1CCFCAEE" w14:textId="77777777" w:rsidR="008548B5" w:rsidRPr="00FC6BF7" w:rsidRDefault="00B65EDC">
            <w:pPr>
              <w:jc w:val="center"/>
              <w:rPr>
                <w:rFonts w:asciiTheme="majorHAnsi" w:hAnsiTheme="majorHAnsi" w:cstheme="majorBidi"/>
                <w:sz w:val="16"/>
                <w:szCs w:val="16"/>
                <w:lang w:val="es-ES_tradnl"/>
              </w:rPr>
            </w:pPr>
            <w:proofErr w:type="spellStart"/>
            <w:r w:rsidRPr="00FC6BF7">
              <w:rPr>
                <w:rFonts w:asciiTheme="majorHAnsi" w:hAnsiTheme="majorHAnsi" w:cstheme="majorBidi"/>
                <w:sz w:val="16"/>
                <w:szCs w:val="16"/>
                <w:lang w:val="es-ES_tradnl"/>
              </w:rPr>
              <w:t>Africa</w:t>
            </w:r>
            <w:proofErr w:type="spellEnd"/>
            <w:r w:rsidRPr="00FC6BF7">
              <w:rPr>
                <w:rFonts w:asciiTheme="majorHAnsi" w:hAnsiTheme="majorHAnsi" w:cstheme="majorBidi"/>
                <w:sz w:val="16"/>
                <w:szCs w:val="16"/>
                <w:lang w:val="es-ES_tradnl"/>
              </w:rPr>
              <w:t xml:space="preserve">: 1; </w:t>
            </w:r>
          </w:p>
          <w:p w14:paraId="0B75FAD5" w14:textId="77777777" w:rsidR="008548B5" w:rsidRPr="00FC6BF7" w:rsidRDefault="008548B5">
            <w:pPr>
              <w:jc w:val="center"/>
              <w:rPr>
                <w:rFonts w:asciiTheme="majorHAnsi" w:hAnsiTheme="majorHAnsi" w:cstheme="majorBidi"/>
                <w:sz w:val="16"/>
                <w:szCs w:val="16"/>
                <w:lang w:val="es-ES_tradnl"/>
              </w:rPr>
            </w:pPr>
            <w:proofErr w:type="spellStart"/>
            <w:r w:rsidRPr="00FC6BF7">
              <w:rPr>
                <w:rFonts w:asciiTheme="majorHAnsi" w:hAnsiTheme="majorHAnsi" w:cstheme="majorBidi"/>
                <w:sz w:val="16"/>
                <w:szCs w:val="16"/>
                <w:lang w:val="es-ES_tradnl"/>
              </w:rPr>
              <w:t>Americas</w:t>
            </w:r>
            <w:proofErr w:type="spellEnd"/>
            <w:r w:rsidRPr="00FC6BF7">
              <w:rPr>
                <w:rFonts w:asciiTheme="majorHAnsi" w:hAnsiTheme="majorHAnsi" w:cstheme="majorBidi"/>
                <w:sz w:val="16"/>
                <w:szCs w:val="16"/>
                <w:lang w:val="es-ES_tradnl"/>
              </w:rPr>
              <w:t>: 0;</w:t>
            </w:r>
          </w:p>
          <w:p w14:paraId="7A4C5E06" w14:textId="422062A5" w:rsidR="00B65EDC" w:rsidRPr="00FC6BF7" w:rsidRDefault="00B65EDC">
            <w:pPr>
              <w:jc w:val="center"/>
              <w:rPr>
                <w:rFonts w:asciiTheme="majorHAnsi" w:hAnsiTheme="majorHAnsi" w:cstheme="majorBidi"/>
                <w:sz w:val="16"/>
                <w:szCs w:val="16"/>
                <w:lang w:val="es-ES_tradnl"/>
              </w:rPr>
            </w:pPr>
            <w:r w:rsidRPr="00FC6BF7">
              <w:rPr>
                <w:rFonts w:asciiTheme="majorHAnsi" w:hAnsiTheme="majorHAnsi" w:cstheme="majorBidi"/>
                <w:sz w:val="16"/>
                <w:szCs w:val="16"/>
                <w:lang w:val="es-ES_tradnl"/>
              </w:rPr>
              <w:t>Asia/</w:t>
            </w:r>
            <w:proofErr w:type="spellStart"/>
            <w:r w:rsidRPr="00FC6BF7">
              <w:rPr>
                <w:rFonts w:asciiTheme="majorHAnsi" w:hAnsiTheme="majorHAnsi" w:cstheme="majorBidi"/>
                <w:sz w:val="16"/>
                <w:szCs w:val="16"/>
                <w:lang w:val="es-ES_tradnl"/>
              </w:rPr>
              <w:t>Pacific</w:t>
            </w:r>
            <w:proofErr w:type="spellEnd"/>
            <w:r w:rsidRPr="00FC6BF7">
              <w:rPr>
                <w:rFonts w:asciiTheme="majorHAnsi" w:hAnsiTheme="majorHAnsi" w:cstheme="majorBidi"/>
                <w:sz w:val="16"/>
                <w:szCs w:val="16"/>
                <w:lang w:val="es-ES_tradnl"/>
              </w:rPr>
              <w:t xml:space="preserve">: 2; </w:t>
            </w:r>
            <w:proofErr w:type="spellStart"/>
            <w:r w:rsidRPr="00FC6BF7">
              <w:rPr>
                <w:rFonts w:asciiTheme="majorHAnsi" w:hAnsiTheme="majorHAnsi" w:cstheme="majorBidi"/>
                <w:sz w:val="16"/>
                <w:szCs w:val="16"/>
                <w:lang w:val="es-ES_tradnl"/>
              </w:rPr>
              <w:t>Europe</w:t>
            </w:r>
            <w:proofErr w:type="spellEnd"/>
            <w:r w:rsidRPr="00FC6BF7">
              <w:rPr>
                <w:rFonts w:asciiTheme="majorHAnsi" w:hAnsiTheme="majorHAnsi" w:cstheme="majorBidi"/>
                <w:sz w:val="16"/>
                <w:szCs w:val="16"/>
                <w:lang w:val="es-ES_tradnl"/>
              </w:rPr>
              <w:t xml:space="preserve">: </w:t>
            </w:r>
            <w:r w:rsidR="008548B5" w:rsidRPr="00FC6BF7">
              <w:rPr>
                <w:rFonts w:asciiTheme="majorHAnsi" w:hAnsiTheme="majorHAnsi" w:cstheme="majorBidi"/>
                <w:sz w:val="16"/>
                <w:szCs w:val="16"/>
                <w:lang w:val="es-ES_tradnl"/>
              </w:rPr>
              <w:t>7</w:t>
            </w:r>
            <w:r w:rsidRPr="00FC6BF7">
              <w:rPr>
                <w:rFonts w:asciiTheme="majorHAnsi" w:hAnsiTheme="majorHAnsi" w:cstheme="majorBidi"/>
                <w:sz w:val="16"/>
                <w:szCs w:val="16"/>
                <w:lang w:val="es-ES_tradnl"/>
              </w:rPr>
              <w:t xml:space="preserve"> (2024)</w:t>
            </w:r>
          </w:p>
        </w:tc>
        <w:tc>
          <w:tcPr>
            <w:tcW w:w="1559" w:type="dxa"/>
          </w:tcPr>
          <w:p w14:paraId="20E22947" w14:textId="77777777" w:rsidR="001B0B64" w:rsidRPr="00E410C6" w:rsidRDefault="00B65EDC">
            <w:pPr>
              <w:jc w:val="center"/>
              <w:rPr>
                <w:rFonts w:asciiTheme="majorHAnsi" w:hAnsiTheme="majorHAnsi" w:cstheme="majorHAnsi"/>
                <w:sz w:val="16"/>
                <w:szCs w:val="16"/>
                <w:lang w:val="es-ES_tradnl"/>
              </w:rPr>
            </w:pPr>
            <w:proofErr w:type="spellStart"/>
            <w:r w:rsidRPr="00E410C6">
              <w:rPr>
                <w:rFonts w:asciiTheme="majorHAnsi" w:hAnsiTheme="majorHAnsi" w:cstheme="majorHAnsi"/>
                <w:sz w:val="16"/>
                <w:szCs w:val="16"/>
                <w:lang w:val="es-ES_tradnl"/>
              </w:rPr>
              <w:t>Africa</w:t>
            </w:r>
            <w:proofErr w:type="spellEnd"/>
            <w:r w:rsidRPr="00E410C6">
              <w:rPr>
                <w:rFonts w:asciiTheme="majorHAnsi" w:hAnsiTheme="majorHAnsi" w:cstheme="majorHAnsi"/>
                <w:sz w:val="16"/>
                <w:szCs w:val="16"/>
                <w:lang w:val="es-ES_tradnl"/>
              </w:rPr>
              <w:t xml:space="preserve">: 4; </w:t>
            </w:r>
            <w:r w:rsidRPr="00E410C6">
              <w:rPr>
                <w:rFonts w:asciiTheme="majorHAnsi" w:hAnsiTheme="majorHAnsi" w:cstheme="majorHAnsi"/>
                <w:sz w:val="16"/>
                <w:szCs w:val="16"/>
                <w:lang w:val="es-ES_tradnl"/>
              </w:rPr>
              <w:br/>
            </w:r>
            <w:proofErr w:type="spellStart"/>
            <w:r w:rsidRPr="00E410C6">
              <w:rPr>
                <w:rFonts w:asciiTheme="majorHAnsi" w:hAnsiTheme="majorHAnsi" w:cstheme="majorHAnsi"/>
                <w:sz w:val="16"/>
                <w:szCs w:val="16"/>
                <w:lang w:val="es-ES_tradnl"/>
              </w:rPr>
              <w:t>Americas</w:t>
            </w:r>
            <w:proofErr w:type="spellEnd"/>
            <w:r w:rsidRPr="00E410C6">
              <w:rPr>
                <w:rFonts w:asciiTheme="majorHAnsi" w:hAnsiTheme="majorHAnsi" w:cstheme="majorHAnsi"/>
                <w:sz w:val="16"/>
                <w:szCs w:val="16"/>
                <w:lang w:val="es-ES_tradnl"/>
              </w:rPr>
              <w:t>: 3; Asia/</w:t>
            </w:r>
            <w:proofErr w:type="spellStart"/>
            <w:r w:rsidRPr="00E410C6">
              <w:rPr>
                <w:rFonts w:asciiTheme="majorHAnsi" w:hAnsiTheme="majorHAnsi" w:cstheme="majorHAnsi"/>
                <w:sz w:val="16"/>
                <w:szCs w:val="16"/>
                <w:lang w:val="es-ES_tradnl"/>
              </w:rPr>
              <w:t>Pacific</w:t>
            </w:r>
            <w:proofErr w:type="spellEnd"/>
            <w:r w:rsidRPr="00E410C6">
              <w:rPr>
                <w:rFonts w:asciiTheme="majorHAnsi" w:hAnsiTheme="majorHAnsi" w:cstheme="majorHAnsi"/>
                <w:sz w:val="16"/>
                <w:szCs w:val="16"/>
                <w:lang w:val="es-ES_tradnl"/>
              </w:rPr>
              <w:t xml:space="preserve">: 4; </w:t>
            </w:r>
            <w:proofErr w:type="spellStart"/>
            <w:r w:rsidRPr="00E410C6">
              <w:rPr>
                <w:rFonts w:asciiTheme="majorHAnsi" w:hAnsiTheme="majorHAnsi" w:cstheme="majorHAnsi"/>
                <w:sz w:val="16"/>
                <w:szCs w:val="16"/>
                <w:lang w:val="es-ES_tradnl"/>
              </w:rPr>
              <w:t>Europe</w:t>
            </w:r>
            <w:proofErr w:type="spellEnd"/>
            <w:r w:rsidRPr="00E410C6">
              <w:rPr>
                <w:rFonts w:asciiTheme="majorHAnsi" w:hAnsiTheme="majorHAnsi" w:cstheme="majorHAnsi"/>
                <w:sz w:val="16"/>
                <w:szCs w:val="16"/>
                <w:lang w:val="es-ES_tradnl"/>
              </w:rPr>
              <w:t xml:space="preserve">: 7 </w:t>
            </w:r>
          </w:p>
          <w:p w14:paraId="5EBFF826" w14:textId="2DF81248" w:rsidR="00B65EDC" w:rsidRPr="00D95537" w:rsidRDefault="00B65EDC">
            <w:pPr>
              <w:jc w:val="center"/>
              <w:rPr>
                <w:rFonts w:asciiTheme="majorHAnsi" w:hAnsiTheme="majorHAnsi" w:cstheme="majorHAnsi"/>
                <w:sz w:val="16"/>
                <w:szCs w:val="16"/>
              </w:rPr>
            </w:pPr>
            <w:r w:rsidRPr="00D95537">
              <w:rPr>
                <w:rFonts w:asciiTheme="majorHAnsi" w:hAnsiTheme="majorHAnsi" w:cstheme="majorHAnsi"/>
                <w:sz w:val="16"/>
                <w:szCs w:val="16"/>
              </w:rPr>
              <w:t>(</w:t>
            </w:r>
            <w:r w:rsidR="001B0B64">
              <w:rPr>
                <w:rFonts w:asciiTheme="majorHAnsi" w:hAnsiTheme="majorHAnsi" w:cstheme="majorHAnsi"/>
                <w:sz w:val="16"/>
                <w:szCs w:val="16"/>
              </w:rPr>
              <w:t xml:space="preserve">at end of </w:t>
            </w:r>
            <w:r w:rsidR="00E623A5" w:rsidRPr="00D95537">
              <w:rPr>
                <w:rFonts w:asciiTheme="majorHAnsi" w:hAnsiTheme="majorHAnsi" w:cstheme="majorHAnsi"/>
                <w:sz w:val="16"/>
                <w:szCs w:val="16"/>
              </w:rPr>
              <w:t>biennium</w:t>
            </w:r>
            <w:r w:rsidRPr="00D95537">
              <w:rPr>
                <w:rFonts w:asciiTheme="majorHAnsi" w:hAnsiTheme="majorHAnsi" w:cstheme="majorHAnsi"/>
                <w:sz w:val="16"/>
                <w:szCs w:val="16"/>
              </w:rPr>
              <w:t>)</w:t>
            </w:r>
          </w:p>
        </w:tc>
      </w:tr>
      <w:tr w:rsidR="00B65EDC" w:rsidRPr="00912A85" w14:paraId="5B052E0C" w14:textId="77777777" w:rsidTr="00A538F6">
        <w:tc>
          <w:tcPr>
            <w:tcW w:w="426" w:type="dxa"/>
          </w:tcPr>
          <w:p w14:paraId="5C9FD136" w14:textId="77777777" w:rsidR="00B65EDC" w:rsidRPr="00E410C6" w:rsidRDefault="00B65EDC">
            <w:pPr>
              <w:jc w:val="left"/>
              <w:rPr>
                <w:rFonts w:cs="Arial"/>
                <w:sz w:val="16"/>
                <w:szCs w:val="16"/>
              </w:rPr>
            </w:pPr>
          </w:p>
        </w:tc>
        <w:tc>
          <w:tcPr>
            <w:tcW w:w="3255" w:type="dxa"/>
          </w:tcPr>
          <w:p w14:paraId="7A29DCA8" w14:textId="77777777" w:rsidR="00B65EDC" w:rsidRPr="00E410C6" w:rsidRDefault="00B65EDC">
            <w:pPr>
              <w:jc w:val="left"/>
              <w:rPr>
                <w:rFonts w:cs="Arial"/>
                <w:sz w:val="16"/>
                <w:szCs w:val="16"/>
              </w:rPr>
            </w:pPr>
          </w:p>
        </w:tc>
        <w:tc>
          <w:tcPr>
            <w:tcW w:w="305" w:type="dxa"/>
          </w:tcPr>
          <w:p w14:paraId="33030348" w14:textId="77777777" w:rsidR="00B65EDC" w:rsidRPr="00912A85" w:rsidRDefault="00B65EDC">
            <w:pPr>
              <w:jc w:val="center"/>
              <w:rPr>
                <w:rFonts w:cs="Arial"/>
                <w:sz w:val="16"/>
                <w:szCs w:val="16"/>
              </w:rPr>
            </w:pPr>
            <w:r w:rsidRPr="00912A85">
              <w:rPr>
                <w:rFonts w:cs="Arial"/>
                <w:sz w:val="16"/>
                <w:szCs w:val="16"/>
              </w:rPr>
              <w:t>7</w:t>
            </w:r>
          </w:p>
        </w:tc>
        <w:tc>
          <w:tcPr>
            <w:tcW w:w="2457" w:type="dxa"/>
          </w:tcPr>
          <w:p w14:paraId="15A1AA84" w14:textId="77777777" w:rsidR="00B65EDC" w:rsidRPr="00912A85" w:rsidRDefault="00B65EDC">
            <w:pPr>
              <w:jc w:val="left"/>
              <w:rPr>
                <w:rFonts w:cs="Arial"/>
                <w:sz w:val="16"/>
                <w:szCs w:val="16"/>
              </w:rPr>
            </w:pPr>
            <w:r w:rsidRPr="00912A85">
              <w:rPr>
                <w:rFonts w:cs="Arial"/>
                <w:sz w:val="16"/>
                <w:szCs w:val="16"/>
              </w:rPr>
              <w:t xml:space="preserve">Number of </w:t>
            </w:r>
            <w:proofErr w:type="gramStart"/>
            <w:r w:rsidRPr="00912A85">
              <w:rPr>
                <w:rFonts w:cs="Arial"/>
                <w:sz w:val="16"/>
                <w:szCs w:val="16"/>
              </w:rPr>
              <w:t>persons</w:t>
            </w:r>
            <w:proofErr w:type="gramEnd"/>
            <w:r w:rsidRPr="00912A85">
              <w:rPr>
                <w:rFonts w:cs="Arial"/>
                <w:sz w:val="16"/>
                <w:szCs w:val="16"/>
              </w:rPr>
              <w:t xml:space="preserve"> with UPOV International Certificate on Plant Variety Protection</w:t>
            </w:r>
          </w:p>
        </w:tc>
        <w:tc>
          <w:tcPr>
            <w:tcW w:w="1632" w:type="dxa"/>
          </w:tcPr>
          <w:p w14:paraId="761736C2" w14:textId="77777777"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50 (2024)</w:t>
            </w:r>
          </w:p>
        </w:tc>
        <w:tc>
          <w:tcPr>
            <w:tcW w:w="1559" w:type="dxa"/>
          </w:tcPr>
          <w:p w14:paraId="739CA224" w14:textId="1F8BA581"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250</w:t>
            </w:r>
            <w:r w:rsidR="00AB1801">
              <w:rPr>
                <w:rFonts w:asciiTheme="majorHAnsi" w:hAnsiTheme="majorHAnsi" w:cstheme="majorHAnsi"/>
                <w:sz w:val="16"/>
                <w:szCs w:val="16"/>
              </w:rPr>
              <w:t xml:space="preserve"> </w:t>
            </w:r>
            <w:r w:rsidR="00AB1801">
              <w:rPr>
                <w:rFonts w:asciiTheme="majorHAnsi" w:hAnsiTheme="majorHAnsi" w:cstheme="majorHAnsi"/>
                <w:sz w:val="16"/>
                <w:szCs w:val="16"/>
              </w:rPr>
              <w:br/>
              <w:t>(</w:t>
            </w:r>
            <w:r w:rsidR="00E623A5">
              <w:rPr>
                <w:rFonts w:asciiTheme="majorHAnsi" w:hAnsiTheme="majorHAnsi" w:cstheme="majorHAnsi"/>
                <w:sz w:val="16"/>
                <w:szCs w:val="16"/>
              </w:rPr>
              <w:t>at end of biennium</w:t>
            </w:r>
            <w:r w:rsidRPr="00443835">
              <w:rPr>
                <w:rFonts w:asciiTheme="majorHAnsi" w:hAnsiTheme="majorHAnsi" w:cstheme="majorHAnsi"/>
                <w:sz w:val="16"/>
                <w:szCs w:val="16"/>
              </w:rPr>
              <w:t>)</w:t>
            </w:r>
          </w:p>
        </w:tc>
      </w:tr>
      <w:tr w:rsidR="00950A9F" w:rsidRPr="00912A85" w14:paraId="26E4FA28" w14:textId="77777777" w:rsidTr="7F3984EE">
        <w:tc>
          <w:tcPr>
            <w:tcW w:w="426" w:type="dxa"/>
            <w:tcBorders>
              <w:bottom w:val="single" w:sz="4" w:space="0" w:color="D9D9D9" w:themeColor="background1" w:themeShade="D9"/>
            </w:tcBorders>
          </w:tcPr>
          <w:p w14:paraId="70C45CA5"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3823216D"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36C61343" w14:textId="77777777" w:rsidR="00B65EDC" w:rsidRPr="00912A85" w:rsidRDefault="00B65EDC">
            <w:pPr>
              <w:jc w:val="center"/>
              <w:rPr>
                <w:rFonts w:cs="Arial"/>
                <w:sz w:val="16"/>
                <w:szCs w:val="16"/>
              </w:rPr>
            </w:pPr>
            <w:r w:rsidRPr="00912A85">
              <w:rPr>
                <w:rFonts w:cs="Arial"/>
                <w:sz w:val="16"/>
                <w:szCs w:val="16"/>
              </w:rPr>
              <w:t>8</w:t>
            </w:r>
          </w:p>
        </w:tc>
        <w:tc>
          <w:tcPr>
            <w:tcW w:w="2457" w:type="dxa"/>
            <w:tcBorders>
              <w:bottom w:val="single" w:sz="4" w:space="0" w:color="D9D9D9" w:themeColor="background1" w:themeShade="D9"/>
            </w:tcBorders>
          </w:tcPr>
          <w:p w14:paraId="67DDC1D0" w14:textId="77777777" w:rsidR="00B65EDC" w:rsidRPr="00912A85" w:rsidRDefault="00B65EDC">
            <w:pPr>
              <w:jc w:val="left"/>
              <w:rPr>
                <w:rFonts w:cs="Arial"/>
                <w:sz w:val="16"/>
                <w:szCs w:val="16"/>
              </w:rPr>
            </w:pPr>
            <w:r w:rsidRPr="00912A85">
              <w:rPr>
                <w:rFonts w:cs="Arial"/>
                <w:sz w:val="16"/>
                <w:szCs w:val="16"/>
              </w:rPr>
              <w:t xml:space="preserve">Number of graduates of UPOV Executive Program </w:t>
            </w:r>
          </w:p>
        </w:tc>
        <w:tc>
          <w:tcPr>
            <w:tcW w:w="1632" w:type="dxa"/>
            <w:tcBorders>
              <w:bottom w:val="single" w:sz="4" w:space="0" w:color="D9D9D9" w:themeColor="background1" w:themeShade="D9"/>
            </w:tcBorders>
            <w:shd w:val="clear" w:color="auto" w:fill="FFFFFF" w:themeFill="background1"/>
          </w:tcPr>
          <w:p w14:paraId="4161258C" w14:textId="5B855F0B" w:rsidR="00B65EDC" w:rsidRPr="00443835" w:rsidRDefault="008548B5">
            <w:pPr>
              <w:ind w:right="284"/>
              <w:jc w:val="right"/>
              <w:rPr>
                <w:rFonts w:asciiTheme="majorHAnsi" w:hAnsiTheme="majorHAnsi" w:cstheme="majorHAnsi"/>
                <w:sz w:val="16"/>
                <w:szCs w:val="16"/>
              </w:rPr>
            </w:pPr>
            <w:r>
              <w:rPr>
                <w:rFonts w:asciiTheme="majorHAnsi" w:hAnsiTheme="majorHAnsi" w:cstheme="majorHAnsi"/>
                <w:sz w:val="16"/>
                <w:szCs w:val="16"/>
              </w:rPr>
              <w:t>75</w:t>
            </w:r>
            <w:r w:rsidR="00B104C1">
              <w:rPr>
                <w:rStyle w:val="FootnoteReference"/>
                <w:rFonts w:asciiTheme="majorHAnsi" w:hAnsiTheme="majorHAnsi" w:cstheme="majorHAnsi"/>
                <w:sz w:val="16"/>
                <w:szCs w:val="16"/>
              </w:rPr>
              <w:footnoteReference w:id="4"/>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(2024)</w:t>
            </w:r>
          </w:p>
        </w:tc>
        <w:tc>
          <w:tcPr>
            <w:tcW w:w="1559" w:type="dxa"/>
            <w:tcBorders>
              <w:bottom w:val="single" w:sz="4" w:space="0" w:color="D9D9D9" w:themeColor="background1" w:themeShade="D9"/>
            </w:tcBorders>
            <w:shd w:val="clear" w:color="auto" w:fill="FFFFFF" w:themeFill="background1"/>
          </w:tcPr>
          <w:p w14:paraId="32CE063C" w14:textId="77777777" w:rsidR="00C21BA4" w:rsidRDefault="00B65EDC" w:rsidP="00026B8A">
            <w:pPr>
              <w:jc w:val="center"/>
              <w:rPr>
                <w:rFonts w:asciiTheme="majorHAnsi" w:hAnsiTheme="majorHAnsi" w:cstheme="majorHAnsi"/>
                <w:sz w:val="16"/>
                <w:szCs w:val="16"/>
              </w:rPr>
            </w:pPr>
            <w:r w:rsidRPr="00443835">
              <w:rPr>
                <w:rFonts w:asciiTheme="majorHAnsi" w:hAnsiTheme="majorHAnsi" w:cstheme="majorHAnsi"/>
                <w:sz w:val="16"/>
                <w:szCs w:val="16"/>
              </w:rPr>
              <w:t>50 (2026</w:t>
            </w:r>
            <w:r w:rsidR="00C21BA4">
              <w:rPr>
                <w:rFonts w:asciiTheme="majorHAnsi" w:hAnsiTheme="majorHAnsi" w:cstheme="majorHAnsi"/>
                <w:sz w:val="16"/>
                <w:szCs w:val="16"/>
              </w:rPr>
              <w:t>)</w:t>
            </w:r>
          </w:p>
          <w:p w14:paraId="46EA55A8" w14:textId="2CB0BF2B" w:rsidR="008548B5" w:rsidRPr="00443835" w:rsidRDefault="00C21BA4" w:rsidP="00026B8A">
            <w:pPr>
              <w:jc w:val="center"/>
              <w:rPr>
                <w:rFonts w:asciiTheme="majorHAnsi" w:hAnsiTheme="majorHAnsi" w:cstheme="majorHAnsi"/>
                <w:sz w:val="16"/>
                <w:szCs w:val="16"/>
              </w:rPr>
            </w:pPr>
            <w:r>
              <w:rPr>
                <w:rFonts w:asciiTheme="majorHAnsi" w:hAnsiTheme="majorHAnsi" w:cstheme="majorHAnsi"/>
                <w:sz w:val="16"/>
                <w:szCs w:val="16"/>
              </w:rPr>
              <w:t>50 (</w:t>
            </w:r>
            <w:r w:rsidR="00B65EDC" w:rsidRPr="00443835">
              <w:rPr>
                <w:rFonts w:asciiTheme="majorHAnsi" w:hAnsiTheme="majorHAnsi" w:cstheme="majorHAnsi"/>
                <w:sz w:val="16"/>
                <w:szCs w:val="16"/>
              </w:rPr>
              <w:t>2027)</w:t>
            </w:r>
          </w:p>
        </w:tc>
      </w:tr>
      <w:tr w:rsidR="00B65EDC" w:rsidRPr="00912A85" w14:paraId="5FB5D4EF" w14:textId="77777777" w:rsidTr="00A538F6">
        <w:tc>
          <w:tcPr>
            <w:tcW w:w="426" w:type="dxa"/>
            <w:tcBorders>
              <w:top w:val="single" w:sz="4" w:space="0" w:color="D9D9D9" w:themeColor="background1" w:themeShade="D9"/>
            </w:tcBorders>
          </w:tcPr>
          <w:p w14:paraId="395D8821" w14:textId="77777777" w:rsidR="00B65EDC" w:rsidRPr="00912A85" w:rsidRDefault="00B65EDC">
            <w:pPr>
              <w:jc w:val="left"/>
              <w:rPr>
                <w:rFonts w:cs="Arial"/>
                <w:sz w:val="16"/>
                <w:szCs w:val="16"/>
              </w:rPr>
            </w:pPr>
            <w:r w:rsidRPr="00912A85">
              <w:rPr>
                <w:rFonts w:cs="Arial"/>
                <w:sz w:val="16"/>
                <w:szCs w:val="16"/>
              </w:rPr>
              <w:t>2.3</w:t>
            </w:r>
          </w:p>
        </w:tc>
        <w:tc>
          <w:tcPr>
            <w:tcW w:w="3255" w:type="dxa"/>
            <w:tcBorders>
              <w:top w:val="single" w:sz="4" w:space="0" w:color="D9D9D9" w:themeColor="background1" w:themeShade="D9"/>
            </w:tcBorders>
          </w:tcPr>
          <w:p w14:paraId="543C2B49" w14:textId="77777777" w:rsidR="00B65EDC" w:rsidRPr="00912A85" w:rsidRDefault="00B65EDC">
            <w:pPr>
              <w:jc w:val="left"/>
              <w:rPr>
                <w:rFonts w:cs="Arial"/>
                <w:sz w:val="16"/>
                <w:szCs w:val="16"/>
              </w:rPr>
            </w:pPr>
            <w:r w:rsidRPr="00912A85">
              <w:rPr>
                <w:rFonts w:cs="Arial"/>
                <w:sz w:val="16"/>
                <w:szCs w:val="16"/>
              </w:rPr>
              <w:t>Enhanced harmonization and cooperation in examination</w:t>
            </w:r>
          </w:p>
        </w:tc>
        <w:tc>
          <w:tcPr>
            <w:tcW w:w="305" w:type="dxa"/>
            <w:tcBorders>
              <w:top w:val="single" w:sz="4" w:space="0" w:color="D9D9D9" w:themeColor="background1" w:themeShade="D9"/>
            </w:tcBorders>
          </w:tcPr>
          <w:p w14:paraId="23556C6F" w14:textId="77777777" w:rsidR="00B65EDC" w:rsidRPr="00912A85" w:rsidRDefault="00B65EDC">
            <w:pPr>
              <w:jc w:val="center"/>
              <w:rPr>
                <w:rFonts w:cs="Arial"/>
                <w:sz w:val="16"/>
                <w:szCs w:val="16"/>
              </w:rPr>
            </w:pPr>
            <w:r w:rsidRPr="00912A85">
              <w:rPr>
                <w:rFonts w:cs="Arial"/>
                <w:sz w:val="16"/>
                <w:szCs w:val="16"/>
              </w:rPr>
              <w:t>9</w:t>
            </w:r>
          </w:p>
        </w:tc>
        <w:tc>
          <w:tcPr>
            <w:tcW w:w="2457" w:type="dxa"/>
            <w:tcBorders>
              <w:top w:val="single" w:sz="4" w:space="0" w:color="D9D9D9" w:themeColor="background1" w:themeShade="D9"/>
            </w:tcBorders>
          </w:tcPr>
          <w:p w14:paraId="1F2D9ACB" w14:textId="77777777" w:rsidR="00B65EDC" w:rsidRPr="00912A85" w:rsidRDefault="00B65EDC">
            <w:pPr>
              <w:jc w:val="left"/>
              <w:rPr>
                <w:rFonts w:cs="Arial"/>
                <w:sz w:val="16"/>
                <w:szCs w:val="16"/>
              </w:rPr>
            </w:pPr>
            <w:r w:rsidRPr="00912A85">
              <w:rPr>
                <w:rFonts w:cs="Arial"/>
                <w:sz w:val="16"/>
                <w:szCs w:val="16"/>
              </w:rPr>
              <w:t>Use of UPOV Test Guidelines and Technical Questionnaires</w:t>
            </w:r>
          </w:p>
        </w:tc>
        <w:tc>
          <w:tcPr>
            <w:tcW w:w="1632" w:type="dxa"/>
            <w:tcBorders>
              <w:top w:val="single" w:sz="4" w:space="0" w:color="D9D9D9" w:themeColor="background1" w:themeShade="D9"/>
            </w:tcBorders>
          </w:tcPr>
          <w:p w14:paraId="339827A0" w14:textId="77777777" w:rsidR="00B65EDC" w:rsidRPr="00443835" w:rsidRDefault="00B65EDC">
            <w:pPr>
              <w:ind w:right="284"/>
              <w:jc w:val="right"/>
              <w:rPr>
                <w:rFonts w:asciiTheme="majorHAnsi" w:hAnsiTheme="majorHAnsi" w:cstheme="majorHAnsi"/>
                <w:sz w:val="16"/>
                <w:szCs w:val="16"/>
              </w:rPr>
            </w:pPr>
          </w:p>
        </w:tc>
        <w:tc>
          <w:tcPr>
            <w:tcW w:w="1559" w:type="dxa"/>
            <w:tcBorders>
              <w:top w:val="single" w:sz="4" w:space="0" w:color="D9D9D9" w:themeColor="background1" w:themeShade="D9"/>
            </w:tcBorders>
          </w:tcPr>
          <w:p w14:paraId="6F3502B5" w14:textId="77777777" w:rsidR="00B65EDC" w:rsidRPr="00443835" w:rsidRDefault="00B65EDC">
            <w:pPr>
              <w:ind w:right="284"/>
              <w:jc w:val="right"/>
              <w:rPr>
                <w:rFonts w:asciiTheme="majorHAnsi" w:hAnsiTheme="majorHAnsi" w:cstheme="majorHAnsi"/>
                <w:sz w:val="16"/>
                <w:szCs w:val="16"/>
              </w:rPr>
            </w:pPr>
          </w:p>
        </w:tc>
      </w:tr>
      <w:tr w:rsidR="0044405F" w:rsidRPr="00912A85" w14:paraId="648367CE" w14:textId="77777777" w:rsidTr="7F3984EE">
        <w:tc>
          <w:tcPr>
            <w:tcW w:w="426" w:type="dxa"/>
          </w:tcPr>
          <w:p w14:paraId="5DB6C657" w14:textId="77777777" w:rsidR="00B65EDC" w:rsidRPr="00912A85" w:rsidRDefault="00B65EDC">
            <w:pPr>
              <w:jc w:val="left"/>
              <w:rPr>
                <w:rFonts w:cs="Arial"/>
                <w:sz w:val="16"/>
                <w:szCs w:val="16"/>
              </w:rPr>
            </w:pPr>
          </w:p>
        </w:tc>
        <w:tc>
          <w:tcPr>
            <w:tcW w:w="3255" w:type="dxa"/>
          </w:tcPr>
          <w:p w14:paraId="47E3D890" w14:textId="77777777" w:rsidR="00B65EDC" w:rsidRPr="00912A85" w:rsidRDefault="00B65EDC">
            <w:pPr>
              <w:jc w:val="left"/>
              <w:rPr>
                <w:rFonts w:cs="Arial"/>
                <w:sz w:val="16"/>
                <w:szCs w:val="16"/>
              </w:rPr>
            </w:pPr>
          </w:p>
        </w:tc>
        <w:tc>
          <w:tcPr>
            <w:tcW w:w="305" w:type="dxa"/>
          </w:tcPr>
          <w:p w14:paraId="0AF7E7CE" w14:textId="77777777" w:rsidR="00B65EDC" w:rsidRPr="00912A85" w:rsidRDefault="00B65EDC">
            <w:pPr>
              <w:jc w:val="center"/>
              <w:rPr>
                <w:rFonts w:cs="Arial"/>
                <w:sz w:val="16"/>
                <w:szCs w:val="16"/>
              </w:rPr>
            </w:pPr>
          </w:p>
        </w:tc>
        <w:tc>
          <w:tcPr>
            <w:tcW w:w="2457" w:type="dxa"/>
          </w:tcPr>
          <w:p w14:paraId="638474FE" w14:textId="77777777" w:rsidR="00B65EDC" w:rsidRPr="00912A85" w:rsidRDefault="00B65EDC">
            <w:pPr>
              <w:ind w:left="284"/>
              <w:jc w:val="left"/>
              <w:rPr>
                <w:rFonts w:cs="Arial"/>
                <w:sz w:val="16"/>
                <w:szCs w:val="16"/>
              </w:rPr>
            </w:pPr>
            <w:r w:rsidRPr="00912A85">
              <w:rPr>
                <w:rFonts w:cs="Arial"/>
                <w:sz w:val="16"/>
                <w:szCs w:val="16"/>
              </w:rPr>
              <w:t>Number of UPOV members using UPOV Technical Questionnaires unchanged in UPOV PRISMA</w:t>
            </w:r>
          </w:p>
        </w:tc>
        <w:tc>
          <w:tcPr>
            <w:tcW w:w="1632" w:type="dxa"/>
            <w:shd w:val="clear" w:color="auto" w:fill="FFFFFF" w:themeFill="background1"/>
          </w:tcPr>
          <w:p w14:paraId="6B892616" w14:textId="77777777" w:rsidR="00B65EDC" w:rsidRPr="00443835" w:rsidRDefault="00B65EDC">
            <w:pPr>
              <w:ind w:right="284"/>
              <w:jc w:val="right"/>
              <w:rPr>
                <w:rFonts w:asciiTheme="majorHAnsi" w:hAnsiTheme="majorHAnsi" w:cstheme="majorHAnsi"/>
                <w:sz w:val="16"/>
                <w:szCs w:val="16"/>
              </w:rPr>
            </w:pPr>
            <w:r w:rsidRPr="00443835">
              <w:rPr>
                <w:rFonts w:asciiTheme="majorHAnsi" w:hAnsiTheme="majorHAnsi" w:cstheme="majorHAnsi"/>
                <w:sz w:val="16"/>
                <w:szCs w:val="16"/>
              </w:rPr>
              <w:t>25 (2024)</w:t>
            </w:r>
          </w:p>
        </w:tc>
        <w:tc>
          <w:tcPr>
            <w:tcW w:w="1559" w:type="dxa"/>
          </w:tcPr>
          <w:p w14:paraId="1ED32B95" w14:textId="4A009BC1" w:rsidR="00E709FD" w:rsidRDefault="00E709FD">
            <w:pPr>
              <w:ind w:right="284"/>
              <w:jc w:val="right"/>
              <w:rPr>
                <w:rFonts w:asciiTheme="majorHAnsi" w:hAnsiTheme="majorHAnsi" w:cstheme="majorHAnsi"/>
                <w:sz w:val="16"/>
                <w:szCs w:val="16"/>
              </w:rPr>
            </w:pPr>
            <w:r>
              <w:rPr>
                <w:rFonts w:asciiTheme="majorHAnsi" w:hAnsiTheme="majorHAnsi" w:cstheme="majorHAnsi"/>
                <w:sz w:val="16"/>
                <w:szCs w:val="16"/>
              </w:rPr>
              <w:t>27 (2026)</w:t>
            </w:r>
          </w:p>
          <w:p w14:paraId="078716D4" w14:textId="0E639EE3" w:rsidR="00B65EDC" w:rsidRPr="00443835" w:rsidRDefault="00B65EDC">
            <w:pPr>
              <w:ind w:right="284"/>
              <w:jc w:val="right"/>
              <w:rPr>
                <w:rFonts w:asciiTheme="majorHAnsi" w:hAnsiTheme="majorHAnsi" w:cstheme="majorHAnsi"/>
                <w:sz w:val="16"/>
                <w:szCs w:val="16"/>
              </w:rPr>
            </w:pPr>
            <w:r w:rsidRPr="00443835">
              <w:rPr>
                <w:rFonts w:asciiTheme="majorHAnsi" w:hAnsiTheme="majorHAnsi" w:cstheme="majorHAnsi"/>
                <w:sz w:val="16"/>
                <w:szCs w:val="16"/>
              </w:rPr>
              <w:t>28 (2027)</w:t>
            </w:r>
          </w:p>
        </w:tc>
      </w:tr>
      <w:tr w:rsidR="00950A9F" w:rsidRPr="00912A85" w14:paraId="1F4962D1" w14:textId="77777777" w:rsidTr="7F3984EE">
        <w:tc>
          <w:tcPr>
            <w:tcW w:w="426" w:type="dxa"/>
          </w:tcPr>
          <w:p w14:paraId="20322ACC" w14:textId="77777777" w:rsidR="00B65EDC" w:rsidRPr="00912A85" w:rsidRDefault="00B65EDC">
            <w:pPr>
              <w:jc w:val="left"/>
              <w:rPr>
                <w:rFonts w:cs="Arial"/>
                <w:sz w:val="16"/>
                <w:szCs w:val="16"/>
              </w:rPr>
            </w:pPr>
          </w:p>
        </w:tc>
        <w:tc>
          <w:tcPr>
            <w:tcW w:w="3255" w:type="dxa"/>
          </w:tcPr>
          <w:p w14:paraId="3FA0893C" w14:textId="77777777" w:rsidR="00B65EDC" w:rsidRPr="00912A85" w:rsidRDefault="00B65EDC">
            <w:pPr>
              <w:jc w:val="left"/>
              <w:rPr>
                <w:rFonts w:cs="Arial"/>
                <w:sz w:val="16"/>
                <w:szCs w:val="16"/>
              </w:rPr>
            </w:pPr>
          </w:p>
        </w:tc>
        <w:tc>
          <w:tcPr>
            <w:tcW w:w="305" w:type="dxa"/>
          </w:tcPr>
          <w:p w14:paraId="0CBD9453" w14:textId="77777777" w:rsidR="00B65EDC" w:rsidRPr="00912A85" w:rsidRDefault="00B65EDC">
            <w:pPr>
              <w:jc w:val="center"/>
              <w:rPr>
                <w:rFonts w:cs="Arial"/>
                <w:sz w:val="16"/>
                <w:szCs w:val="16"/>
              </w:rPr>
            </w:pPr>
          </w:p>
        </w:tc>
        <w:tc>
          <w:tcPr>
            <w:tcW w:w="2457" w:type="dxa"/>
          </w:tcPr>
          <w:p w14:paraId="5FEFD93D" w14:textId="77777777" w:rsidR="00B65EDC" w:rsidRPr="00912A85" w:rsidRDefault="00B65EDC">
            <w:pPr>
              <w:ind w:left="284"/>
              <w:jc w:val="left"/>
              <w:rPr>
                <w:rFonts w:cs="Arial"/>
                <w:sz w:val="16"/>
                <w:szCs w:val="16"/>
              </w:rPr>
            </w:pPr>
            <w:r w:rsidRPr="00912A85">
              <w:rPr>
                <w:rFonts w:cs="Arial"/>
                <w:sz w:val="16"/>
                <w:szCs w:val="16"/>
              </w:rPr>
              <w:t>Number of UPOV members using UPOV Technical Questionnaire characteristics unchanged in UPOV PRISMA</w:t>
            </w:r>
          </w:p>
        </w:tc>
        <w:tc>
          <w:tcPr>
            <w:tcW w:w="1632" w:type="dxa"/>
            <w:shd w:val="clear" w:color="auto" w:fill="FFFFFF" w:themeFill="background1"/>
          </w:tcPr>
          <w:p w14:paraId="0F6DF5FE" w14:textId="6595FF4C" w:rsidR="00B65EDC" w:rsidRPr="00443835" w:rsidRDefault="008548B5">
            <w:pPr>
              <w:ind w:right="284"/>
              <w:jc w:val="right"/>
              <w:rPr>
                <w:rFonts w:asciiTheme="majorHAnsi" w:hAnsiTheme="majorHAnsi" w:cstheme="majorHAnsi"/>
                <w:sz w:val="16"/>
                <w:szCs w:val="16"/>
              </w:rPr>
            </w:pPr>
            <w:r>
              <w:rPr>
                <w:rFonts w:asciiTheme="majorHAnsi" w:hAnsiTheme="majorHAnsi" w:cstheme="majorHAnsi"/>
                <w:sz w:val="16"/>
                <w:szCs w:val="16"/>
              </w:rPr>
              <w:t>8</w:t>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(2024)</w:t>
            </w:r>
          </w:p>
        </w:tc>
        <w:tc>
          <w:tcPr>
            <w:tcW w:w="1559" w:type="dxa"/>
            <w:shd w:val="clear" w:color="auto" w:fill="FFFFFF" w:themeFill="background1"/>
          </w:tcPr>
          <w:p w14:paraId="061ADB5C" w14:textId="2169CB2B" w:rsidR="00E709FD" w:rsidRDefault="00E709FD" w:rsidP="0044554D">
            <w:pPr>
              <w:ind w:right="284"/>
              <w:jc w:val="right"/>
              <w:rPr>
                <w:rFonts w:asciiTheme="majorHAnsi" w:hAnsiTheme="majorHAnsi" w:cstheme="majorHAnsi"/>
                <w:sz w:val="16"/>
                <w:szCs w:val="16"/>
              </w:rPr>
            </w:pPr>
            <w:r w:rsidRPr="00FC6BF7">
              <w:rPr>
                <w:rFonts w:asciiTheme="majorHAnsi" w:hAnsiTheme="majorHAnsi" w:cstheme="majorHAnsi"/>
                <w:sz w:val="16"/>
                <w:szCs w:val="16"/>
              </w:rPr>
              <w:t>9 (2026)</w:t>
            </w:r>
          </w:p>
          <w:p w14:paraId="0882DC48" w14:textId="6A8EDF56" w:rsidR="008548B5" w:rsidRPr="00443835" w:rsidRDefault="00026B8A" w:rsidP="0044554D">
            <w:pPr>
              <w:ind w:right="284"/>
              <w:jc w:val="right"/>
              <w:rPr>
                <w:rFonts w:asciiTheme="majorHAnsi" w:hAnsiTheme="majorHAnsi" w:cstheme="majorHAnsi"/>
                <w:sz w:val="16"/>
                <w:szCs w:val="16"/>
              </w:rPr>
            </w:pPr>
            <w:r>
              <w:rPr>
                <w:rFonts w:asciiTheme="majorHAnsi" w:hAnsiTheme="majorHAnsi" w:cstheme="majorHAnsi"/>
                <w:sz w:val="16"/>
                <w:szCs w:val="16"/>
              </w:rPr>
              <w:t>10</w:t>
            </w:r>
            <w:r w:rsidRPr="00443835">
              <w:rPr>
                <w:rFonts w:asciiTheme="majorHAnsi" w:hAnsiTheme="majorHAnsi" w:cstheme="majorHAnsi"/>
                <w:sz w:val="16"/>
                <w:szCs w:val="16"/>
              </w:rPr>
              <w:t xml:space="preserve"> </w:t>
            </w:r>
            <w:r w:rsidR="00B65EDC" w:rsidRPr="00443835">
              <w:rPr>
                <w:rFonts w:asciiTheme="majorHAnsi" w:hAnsiTheme="majorHAnsi" w:cstheme="majorHAnsi"/>
                <w:sz w:val="16"/>
                <w:szCs w:val="16"/>
              </w:rPr>
              <w:t>(2027)</w:t>
            </w:r>
          </w:p>
        </w:tc>
      </w:tr>
      <w:tr w:rsidR="0044405F" w:rsidRPr="00912A85" w14:paraId="26FC5DD8" w14:textId="77777777" w:rsidTr="7F3984EE">
        <w:tc>
          <w:tcPr>
            <w:tcW w:w="426" w:type="dxa"/>
          </w:tcPr>
          <w:p w14:paraId="5D60A94A" w14:textId="77777777" w:rsidR="00B65EDC" w:rsidRPr="00912A85" w:rsidRDefault="00B65EDC">
            <w:pPr>
              <w:jc w:val="left"/>
              <w:rPr>
                <w:rFonts w:cs="Arial"/>
                <w:sz w:val="16"/>
                <w:szCs w:val="16"/>
              </w:rPr>
            </w:pPr>
          </w:p>
        </w:tc>
        <w:tc>
          <w:tcPr>
            <w:tcW w:w="3255" w:type="dxa"/>
          </w:tcPr>
          <w:p w14:paraId="604B7304" w14:textId="77777777" w:rsidR="00B65EDC" w:rsidRPr="00912A85" w:rsidRDefault="00B65EDC">
            <w:pPr>
              <w:jc w:val="left"/>
              <w:rPr>
                <w:rFonts w:cs="Arial"/>
                <w:sz w:val="16"/>
                <w:szCs w:val="16"/>
              </w:rPr>
            </w:pPr>
          </w:p>
        </w:tc>
        <w:tc>
          <w:tcPr>
            <w:tcW w:w="305" w:type="dxa"/>
          </w:tcPr>
          <w:p w14:paraId="49885950" w14:textId="77777777" w:rsidR="00B65EDC" w:rsidRPr="00912A85" w:rsidRDefault="00B65EDC">
            <w:pPr>
              <w:jc w:val="center"/>
              <w:rPr>
                <w:rFonts w:cs="Arial"/>
                <w:sz w:val="16"/>
                <w:szCs w:val="16"/>
              </w:rPr>
            </w:pPr>
          </w:p>
        </w:tc>
        <w:tc>
          <w:tcPr>
            <w:tcW w:w="2457" w:type="dxa"/>
          </w:tcPr>
          <w:p w14:paraId="0ED72B61" w14:textId="77777777" w:rsidR="00B65EDC" w:rsidRPr="00912A85" w:rsidRDefault="00B65EDC">
            <w:pPr>
              <w:ind w:left="284"/>
              <w:jc w:val="left"/>
              <w:rPr>
                <w:rFonts w:cs="Arial"/>
                <w:sz w:val="16"/>
                <w:szCs w:val="16"/>
              </w:rPr>
            </w:pPr>
            <w:r w:rsidRPr="00912A85">
              <w:rPr>
                <w:rFonts w:cs="Arial"/>
                <w:sz w:val="16"/>
                <w:szCs w:val="16"/>
              </w:rPr>
              <w:t xml:space="preserve">% of all PVP applications in UPOV members covered by UPOV TGs </w:t>
            </w:r>
          </w:p>
        </w:tc>
        <w:tc>
          <w:tcPr>
            <w:tcW w:w="1632" w:type="dxa"/>
            <w:shd w:val="clear" w:color="auto" w:fill="FFFFFF" w:themeFill="background1"/>
          </w:tcPr>
          <w:p w14:paraId="6FA7EF7E" w14:textId="347F5579" w:rsidR="00B65EDC" w:rsidRPr="00443835" w:rsidRDefault="008548B5">
            <w:pPr>
              <w:jc w:val="center"/>
              <w:rPr>
                <w:rFonts w:asciiTheme="majorHAnsi" w:hAnsiTheme="majorHAnsi" w:cstheme="majorHAnsi"/>
                <w:sz w:val="16"/>
                <w:szCs w:val="16"/>
              </w:rPr>
            </w:pPr>
            <w:r>
              <w:rPr>
                <w:rFonts w:asciiTheme="majorHAnsi" w:hAnsiTheme="majorHAnsi" w:cstheme="majorHAnsi"/>
                <w:sz w:val="16"/>
                <w:szCs w:val="16"/>
              </w:rPr>
              <w:t>95</w:t>
            </w:r>
            <w:r w:rsidR="00B65EDC" w:rsidRPr="00443835">
              <w:rPr>
                <w:rFonts w:asciiTheme="majorHAnsi" w:hAnsiTheme="majorHAnsi" w:cstheme="majorHAnsi"/>
                <w:sz w:val="16"/>
                <w:szCs w:val="16"/>
              </w:rPr>
              <w:t>%</w:t>
            </w:r>
          </w:p>
        </w:tc>
        <w:tc>
          <w:tcPr>
            <w:tcW w:w="1559" w:type="dxa"/>
          </w:tcPr>
          <w:p w14:paraId="189BAB03" w14:textId="113546A8" w:rsidR="00B65EDC" w:rsidRPr="00443835" w:rsidRDefault="00026B8A">
            <w:pPr>
              <w:jc w:val="center"/>
              <w:rPr>
                <w:rFonts w:asciiTheme="majorHAnsi" w:hAnsiTheme="majorHAnsi" w:cstheme="majorHAnsi"/>
                <w:sz w:val="16"/>
                <w:szCs w:val="16"/>
              </w:rPr>
            </w:pPr>
            <w:r>
              <w:rPr>
                <w:rFonts w:asciiTheme="majorHAnsi" w:hAnsiTheme="majorHAnsi" w:cstheme="majorHAnsi"/>
                <w:sz w:val="16"/>
                <w:szCs w:val="16"/>
              </w:rPr>
              <w:t>95</w:t>
            </w:r>
            <w:r w:rsidR="00B65EDC" w:rsidRPr="00443835">
              <w:rPr>
                <w:rFonts w:asciiTheme="majorHAnsi" w:hAnsiTheme="majorHAnsi" w:cstheme="majorHAnsi"/>
                <w:sz w:val="16"/>
                <w:szCs w:val="16"/>
              </w:rPr>
              <w:t>%</w:t>
            </w:r>
          </w:p>
        </w:tc>
      </w:tr>
      <w:tr w:rsidR="00B65EDC" w:rsidRPr="00912A85" w14:paraId="55B6E66D" w14:textId="77777777" w:rsidTr="00A538F6">
        <w:tc>
          <w:tcPr>
            <w:tcW w:w="426" w:type="dxa"/>
          </w:tcPr>
          <w:p w14:paraId="3AA8F372"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7E903D4B"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7E8C6120" w14:textId="77777777" w:rsidR="00B65EDC" w:rsidRPr="00912A85" w:rsidRDefault="00B65EDC">
            <w:pPr>
              <w:jc w:val="center"/>
              <w:rPr>
                <w:rFonts w:cs="Arial"/>
                <w:sz w:val="16"/>
                <w:szCs w:val="16"/>
              </w:rPr>
            </w:pPr>
            <w:r w:rsidRPr="00912A85">
              <w:rPr>
                <w:rFonts w:cs="Arial"/>
                <w:sz w:val="16"/>
                <w:szCs w:val="16"/>
              </w:rPr>
              <w:t>10</w:t>
            </w:r>
          </w:p>
        </w:tc>
        <w:tc>
          <w:tcPr>
            <w:tcW w:w="2457" w:type="dxa"/>
            <w:tcBorders>
              <w:bottom w:val="single" w:sz="4" w:space="0" w:color="D9D9D9" w:themeColor="background1" w:themeShade="D9"/>
            </w:tcBorders>
          </w:tcPr>
          <w:p w14:paraId="6A7704A1" w14:textId="77777777" w:rsidR="00B65EDC" w:rsidRPr="00912A85" w:rsidRDefault="00B65EDC">
            <w:pPr>
              <w:ind w:left="284"/>
              <w:jc w:val="left"/>
              <w:rPr>
                <w:rFonts w:cs="Arial"/>
                <w:sz w:val="16"/>
                <w:szCs w:val="16"/>
              </w:rPr>
            </w:pPr>
            <w:r w:rsidRPr="00912A85">
              <w:rPr>
                <w:rFonts w:cs="Arial"/>
                <w:sz w:val="16"/>
                <w:szCs w:val="16"/>
              </w:rPr>
              <w:t>Number of DUS reports downloaded from UPOV e</w:t>
            </w:r>
            <w:r w:rsidRPr="00912A85">
              <w:rPr>
                <w:rFonts w:cs="Arial"/>
                <w:sz w:val="16"/>
                <w:szCs w:val="16"/>
              </w:rPr>
              <w:noBreakHyphen/>
              <w:t>PVP DUS Exchange module</w:t>
            </w:r>
          </w:p>
        </w:tc>
        <w:tc>
          <w:tcPr>
            <w:tcW w:w="1632" w:type="dxa"/>
            <w:tcBorders>
              <w:bottom w:val="single" w:sz="4" w:space="0" w:color="D9D9D9" w:themeColor="background1" w:themeShade="D9"/>
            </w:tcBorders>
          </w:tcPr>
          <w:p w14:paraId="72F98600" w14:textId="77777777"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7 (2024)</w:t>
            </w:r>
          </w:p>
        </w:tc>
        <w:tc>
          <w:tcPr>
            <w:tcW w:w="1559" w:type="dxa"/>
            <w:tcBorders>
              <w:bottom w:val="single" w:sz="4" w:space="0" w:color="D9D9D9" w:themeColor="background1" w:themeShade="D9"/>
            </w:tcBorders>
          </w:tcPr>
          <w:p w14:paraId="6996B551" w14:textId="5B5AB250" w:rsidR="00B65EDC" w:rsidRPr="00443835" w:rsidRDefault="00B65EDC">
            <w:pPr>
              <w:jc w:val="center"/>
              <w:rPr>
                <w:rFonts w:asciiTheme="majorHAnsi" w:hAnsiTheme="majorHAnsi" w:cstheme="majorHAnsi"/>
                <w:sz w:val="16"/>
                <w:szCs w:val="16"/>
              </w:rPr>
            </w:pPr>
            <w:r w:rsidRPr="00443835">
              <w:rPr>
                <w:rFonts w:asciiTheme="majorHAnsi" w:hAnsiTheme="majorHAnsi" w:cstheme="majorHAnsi"/>
                <w:sz w:val="16"/>
                <w:szCs w:val="16"/>
              </w:rPr>
              <w:t>400</w:t>
            </w:r>
            <w:r w:rsidR="00E623A5">
              <w:rPr>
                <w:rFonts w:asciiTheme="majorHAnsi" w:hAnsiTheme="majorHAnsi" w:cstheme="majorHAnsi"/>
                <w:sz w:val="16"/>
                <w:szCs w:val="16"/>
              </w:rPr>
              <w:t xml:space="preserve"> (in the biennium)</w:t>
            </w:r>
          </w:p>
        </w:tc>
      </w:tr>
    </w:tbl>
    <w:p w14:paraId="64B2C30E" w14:textId="77777777" w:rsidR="00B65EDC" w:rsidRDefault="00B65EDC" w:rsidP="00B65EDC"/>
    <w:p w14:paraId="364CAA39" w14:textId="77777777" w:rsidR="00F52739" w:rsidRPr="00912A85" w:rsidRDefault="00F52739" w:rsidP="00B65EDC"/>
    <w:p w14:paraId="74C68AAF" w14:textId="77777777" w:rsidR="00F05868" w:rsidRDefault="00F05868">
      <w:pPr>
        <w:jc w:val="left"/>
        <w:rPr>
          <w:b/>
          <w:bCs/>
          <w:color w:val="26724C" w:themeColor="accent1" w:themeShade="BF"/>
          <w:sz w:val="28"/>
        </w:rPr>
      </w:pPr>
      <w:bookmarkStart w:id="485" w:name="_Toc117798897"/>
      <w:bookmarkStart w:id="486" w:name="_Toc107239602"/>
      <w:bookmarkStart w:id="487" w:name="_Toc107239352"/>
      <w:r>
        <w:br w:type="page"/>
      </w:r>
    </w:p>
    <w:p w14:paraId="38F1D9A9" w14:textId="47752984" w:rsidR="00B65EDC" w:rsidRPr="00912A85" w:rsidRDefault="00B65EDC" w:rsidP="004448C7">
      <w:pPr>
        <w:pStyle w:val="Heading2"/>
      </w:pPr>
      <w:bookmarkStart w:id="488" w:name="_Toc208999651"/>
      <w:r w:rsidRPr="00912A85">
        <w:lastRenderedPageBreak/>
        <w:t>Pillar 3:  Provide high quality services for UPOV members and users of the UPOV system</w:t>
      </w:r>
      <w:bookmarkEnd w:id="485"/>
      <w:bookmarkEnd w:id="486"/>
      <w:bookmarkEnd w:id="487"/>
      <w:bookmarkEnd w:id="488"/>
      <w:r w:rsidRPr="00912A85">
        <w:t xml:space="preserve"> </w:t>
      </w:r>
    </w:p>
    <w:p w14:paraId="3137FF9D" w14:textId="77777777" w:rsidR="00B65EDC" w:rsidRPr="00912A85" w:rsidRDefault="00B65EDC" w:rsidP="00B65EDC">
      <w:pPr>
        <w:keepNext/>
        <w:rPr>
          <w:b/>
          <w:bCs/>
          <w:sz w:val="22"/>
          <w:szCs w:val="22"/>
        </w:rPr>
      </w:pPr>
    </w:p>
    <w:p w14:paraId="4C55EDFF" w14:textId="77777777" w:rsidR="00B65EDC" w:rsidRPr="00912A85" w:rsidRDefault="00B65EDC" w:rsidP="00B65EDC">
      <w:pPr>
        <w:pStyle w:val="Heading3"/>
        <w:rPr>
          <w:sz w:val="20"/>
        </w:rPr>
      </w:pPr>
      <w:bookmarkStart w:id="489" w:name="_Toc208999652"/>
      <w:r w:rsidRPr="00912A85">
        <w:t>Implementing strategy to achieve expected results</w:t>
      </w:r>
      <w:bookmarkEnd w:id="489"/>
    </w:p>
    <w:p w14:paraId="17981FD0" w14:textId="77777777" w:rsidR="00B65EDC" w:rsidRPr="00912A85" w:rsidRDefault="00B65EDC" w:rsidP="00B65EDC">
      <w:pPr>
        <w:keepNext/>
        <w:rPr>
          <w:b/>
          <w:bCs/>
          <w:sz w:val="22"/>
          <w:szCs w:val="22"/>
        </w:rPr>
      </w:pPr>
    </w:p>
    <w:p w14:paraId="42092FAD" w14:textId="77777777" w:rsidR="00B65EDC" w:rsidRPr="00912A85" w:rsidRDefault="00B65EDC" w:rsidP="00B65EDC">
      <w:r w:rsidRPr="00912A85">
        <w:rPr>
          <w:bCs/>
        </w:rPr>
        <w:fldChar w:fldCharType="begin"/>
      </w:r>
      <w:r w:rsidRPr="00912A85">
        <w:rPr>
          <w:bCs/>
        </w:rPr>
        <w:instrText xml:space="preserve"> AUTONUM  </w:instrText>
      </w:r>
      <w:r w:rsidRPr="00912A85">
        <w:rPr>
          <w:bCs/>
        </w:rPr>
        <w:fldChar w:fldCharType="end"/>
      </w:r>
      <w:r w:rsidRPr="00912A85">
        <w:rPr>
          <w:bCs/>
        </w:rPr>
        <w:tab/>
        <w:t>Historically, in recognition of its limited resources, UPOV has focused its efforts on providing guidance, information and training rather than developing practical tools to assist members of the Union in the implementation of the UPOV system.  The lack of practical assistance has resulted in some divergences in implementation (e.g. application forms) that are not based on policy drivers but rather result from a vacuum of practical support.  Furthermore, some members of the Union have had the resources to be able to develop very efficient systems (e.g. electronic application systems) while some other members of the </w:t>
      </w:r>
      <w:proofErr w:type="gramStart"/>
      <w:r w:rsidRPr="00912A85">
        <w:rPr>
          <w:bCs/>
        </w:rPr>
        <w:t>Union</w:t>
      </w:r>
      <w:proofErr w:type="gramEnd"/>
      <w:r w:rsidRPr="00912A85">
        <w:rPr>
          <w:bCs/>
        </w:rPr>
        <w:t xml:space="preserve"> without the necessary </w:t>
      </w:r>
      <w:proofErr w:type="gramStart"/>
      <w:r w:rsidRPr="00912A85">
        <w:rPr>
          <w:bCs/>
        </w:rPr>
        <w:t>resources</w:t>
      </w:r>
      <w:proofErr w:type="gramEnd"/>
      <w:r w:rsidRPr="00912A85">
        <w:rPr>
          <w:bCs/>
        </w:rPr>
        <w:t xml:space="preserve"> have been unable to develop such systems.  </w:t>
      </w:r>
    </w:p>
    <w:p w14:paraId="7576D3C4" w14:textId="77777777" w:rsidR="00B65EDC" w:rsidRPr="00912A85" w:rsidRDefault="00B65EDC" w:rsidP="00B65EDC"/>
    <w:p w14:paraId="6AA6F0D3" w14:textId="59C67D65" w:rsidR="00B65EDC" w:rsidRPr="00912A85" w:rsidRDefault="00B65EDC" w:rsidP="00B65EDC">
      <w:r w:rsidRPr="00912A85">
        <w:fldChar w:fldCharType="begin"/>
      </w:r>
      <w:r w:rsidRPr="00912A85">
        <w:instrText xml:space="preserve"> AUTONUM  </w:instrText>
      </w:r>
      <w:r w:rsidRPr="00912A85">
        <w:fldChar w:fldCharType="end"/>
      </w:r>
      <w:r w:rsidRPr="00912A85">
        <w:tab/>
        <w:t>UPOV e</w:t>
      </w:r>
      <w:r w:rsidRPr="00912A85">
        <w:noBreakHyphen/>
        <w:t xml:space="preserve">PVP has been developed in cooperation with UPOV members and breeders (see below). </w:t>
      </w:r>
      <w:r w:rsidR="008F3A5C">
        <w:t xml:space="preserve"> </w:t>
      </w:r>
      <w:r w:rsidRPr="00912A85">
        <w:t>The</w:t>
      </w:r>
      <w:r w:rsidR="008F3A5C">
        <w:t> </w:t>
      </w:r>
      <w:r w:rsidRPr="00912A85">
        <w:t>aim has been to create a high-quality tailor</w:t>
      </w:r>
      <w:r w:rsidR="008F3A5C">
        <w:t>-</w:t>
      </w:r>
      <w:r w:rsidRPr="00912A85">
        <w:t xml:space="preserve">made digitalized PVP system that will be </w:t>
      </w:r>
      <w:r w:rsidR="008F3A5C">
        <w:t xml:space="preserve">an option </w:t>
      </w:r>
      <w:r w:rsidRPr="00912A85">
        <w:t>for members that are digitalizing its procedures, and who find it more effective to rely on the UPOV e</w:t>
      </w:r>
      <w:r w:rsidRPr="00912A85">
        <w:noBreakHyphen/>
        <w:t>PVP modules than devoting resources to develop and maintain their own tools.  UPOV e</w:t>
      </w:r>
      <w:r w:rsidRPr="00912A85">
        <w:noBreakHyphen/>
        <w:t xml:space="preserve">PVP presents an opportunity to provide services to members of the Union and stakeholders in a way which will improve the efficiency of the global UPOV system and achieve a “leveling-up” in capacity within UPOV. </w:t>
      </w:r>
      <w:r w:rsidR="008F3A5C">
        <w:t xml:space="preserve"> </w:t>
      </w:r>
      <w:r w:rsidRPr="00912A85">
        <w:t xml:space="preserve">Another aim agreed by the UPOV Council in the </w:t>
      </w:r>
      <w:r w:rsidR="00BE4C07">
        <w:t>Strategic</w:t>
      </w:r>
      <w:r w:rsidRPr="00912A85">
        <w:t xml:space="preserve"> Business Plan 2023-2027 is to diversify the income of UPOV.</w:t>
      </w:r>
    </w:p>
    <w:p w14:paraId="2171BAC7" w14:textId="77777777" w:rsidR="00B65EDC" w:rsidRPr="00912A85" w:rsidRDefault="00B65EDC" w:rsidP="00B65EDC"/>
    <w:p w14:paraId="23171BE4" w14:textId="1ADAF596" w:rsidR="00B65EDC" w:rsidRPr="00912A85" w:rsidRDefault="00B65EDC" w:rsidP="00B65EDC">
      <w:r w:rsidRPr="00912A85">
        <w:fldChar w:fldCharType="begin"/>
      </w:r>
      <w:r w:rsidRPr="00912A85">
        <w:instrText xml:space="preserve"> AUTONUM  </w:instrText>
      </w:r>
      <w:r w:rsidRPr="00912A85">
        <w:fldChar w:fldCharType="end"/>
      </w:r>
      <w:r w:rsidRPr="00912A85">
        <w:tab/>
        <w:t>The establishment of the post of Head of IT and the creation of a temporary position for an IT Officer demonstrate</w:t>
      </w:r>
      <w:r w:rsidR="008F3A5C">
        <w:t>s</w:t>
      </w:r>
      <w:r w:rsidRPr="00912A85">
        <w:t xml:space="preserve"> the engagement to deliver on digitalization developments while ensuring business continuity. The Office of the Union will present a Digital Strategy to the UPOV Council </w:t>
      </w:r>
      <w:proofErr w:type="gramStart"/>
      <w:r w:rsidRPr="00912A85">
        <w:t>addressing</w:t>
      </w:r>
      <w:proofErr w:type="gramEnd"/>
      <w:r w:rsidRPr="00912A85">
        <w:t xml:space="preserve"> objectives and the resources needed. </w:t>
      </w:r>
    </w:p>
    <w:p w14:paraId="4895CB20" w14:textId="77777777" w:rsidR="00B65EDC" w:rsidRPr="00912A85" w:rsidRDefault="00B65EDC" w:rsidP="00B65EDC">
      <w:pPr>
        <w:rPr>
          <w:color w:val="000000" w:themeColor="text1"/>
        </w:rPr>
      </w:pPr>
    </w:p>
    <w:p w14:paraId="359E6789" w14:textId="48FF8A49" w:rsidR="00B65EDC" w:rsidRPr="00912A85" w:rsidRDefault="00B65EDC" w:rsidP="00B65EDC">
      <w:pPr>
        <w:rPr>
          <w:color w:val="000000" w:themeColor="text1"/>
        </w:rPr>
      </w:pPr>
      <w:r w:rsidRPr="00912A85">
        <w:rPr>
          <w:color w:val="000000" w:themeColor="text1"/>
        </w:rPr>
        <w:fldChar w:fldCharType="begin"/>
      </w:r>
      <w:r w:rsidRPr="00912A85">
        <w:rPr>
          <w:color w:val="000000" w:themeColor="text1"/>
        </w:rPr>
        <w:instrText xml:space="preserve"> AUTONUM  </w:instrText>
      </w:r>
      <w:r w:rsidRPr="00912A85">
        <w:rPr>
          <w:color w:val="000000" w:themeColor="text1"/>
        </w:rPr>
        <w:fldChar w:fldCharType="end"/>
      </w:r>
      <w:r w:rsidRPr="00912A85">
        <w:rPr>
          <w:color w:val="000000" w:themeColor="text1"/>
        </w:rPr>
        <w:tab/>
        <w:t xml:space="preserve">Whilst there is an extensive use of the </w:t>
      </w:r>
      <w:r w:rsidRPr="00912A85">
        <w:rPr>
          <w:rFonts w:cs="Arial"/>
          <w:snapToGrid w:val="0"/>
          <w:color w:val="000000"/>
        </w:rPr>
        <w:t xml:space="preserve">PLUTO database by </w:t>
      </w:r>
      <w:r w:rsidRPr="00912A85">
        <w:rPr>
          <w:color w:val="000000" w:themeColor="text1"/>
        </w:rPr>
        <w:t xml:space="preserve">members and stakeholders, work will be invested to promote the premium service for paying users during the biennium </w:t>
      </w:r>
      <w:r w:rsidR="00521C0D">
        <w:rPr>
          <w:color w:val="000000" w:themeColor="text1"/>
        </w:rPr>
        <w:t>2026</w:t>
      </w:r>
      <w:r w:rsidR="00521C0D">
        <w:rPr>
          <w:color w:val="000000" w:themeColor="text1"/>
        </w:rPr>
        <w:noBreakHyphen/>
        <w:t>2027</w:t>
      </w:r>
      <w:r w:rsidRPr="00912A85">
        <w:rPr>
          <w:color w:val="000000" w:themeColor="text1"/>
        </w:rPr>
        <w:t xml:space="preserve">. </w:t>
      </w:r>
    </w:p>
    <w:p w14:paraId="18F6D59A" w14:textId="77777777" w:rsidR="00B65EDC" w:rsidRPr="00912A85" w:rsidRDefault="00B65EDC" w:rsidP="00B65EDC"/>
    <w:p w14:paraId="506D3ED3" w14:textId="77777777" w:rsidR="00B65EDC" w:rsidRPr="00912A85" w:rsidRDefault="00B65EDC" w:rsidP="00B65EDC">
      <w:pPr>
        <w:pStyle w:val="Heading4"/>
      </w:pPr>
      <w:bookmarkStart w:id="490" w:name="_Toc117798900"/>
      <w:bookmarkStart w:id="491" w:name="_Toc107239605"/>
      <w:bookmarkStart w:id="492" w:name="_Toc107239355"/>
      <w:r w:rsidRPr="00912A85">
        <w:t>3.1</w:t>
      </w:r>
      <w:r w:rsidRPr="00912A85">
        <w:tab/>
        <w:t>Development of UPOV e</w:t>
      </w:r>
      <w:r w:rsidRPr="00912A85">
        <w:noBreakHyphen/>
        <w:t>PVP services</w:t>
      </w:r>
      <w:bookmarkEnd w:id="490"/>
      <w:bookmarkEnd w:id="491"/>
      <w:bookmarkEnd w:id="492"/>
    </w:p>
    <w:p w14:paraId="0A10023E" w14:textId="77777777" w:rsidR="00B65EDC" w:rsidRPr="00912A85" w:rsidRDefault="00B65EDC" w:rsidP="00B65EDC">
      <w:pPr>
        <w:rPr>
          <w:snapToGrid w:val="0"/>
        </w:rPr>
      </w:pPr>
    </w:p>
    <w:p w14:paraId="2332B2FB"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UPOV e</w:t>
      </w:r>
      <w:r w:rsidRPr="00912A85">
        <w:noBreakHyphen/>
        <w:t>PVP provides a coherent and comprehensive assistance in the implementation of the UPOV system of plant variety protection, some or all of the components of which can be used by members of the Union, as considered appropriate.  UPOV e</w:t>
      </w:r>
      <w:r w:rsidRPr="00912A85">
        <w:noBreakHyphen/>
        <w:t>PVP, which comprises the following package of compatible tools, will continue to be developed as follows:</w:t>
      </w:r>
    </w:p>
    <w:p w14:paraId="6B091256" w14:textId="77777777" w:rsidR="00B65EDC" w:rsidRPr="00912A85" w:rsidRDefault="00B65EDC" w:rsidP="00B65EDC"/>
    <w:p w14:paraId="56114E33" w14:textId="446EE4FE" w:rsidR="00B65EDC" w:rsidRPr="00912A85" w:rsidRDefault="00B65EDC" w:rsidP="00B65EDC">
      <w:pPr>
        <w:pStyle w:val="ListParagraph"/>
        <w:numPr>
          <w:ilvl w:val="0"/>
          <w:numId w:val="3"/>
        </w:numPr>
        <w:spacing w:after="40"/>
        <w:rPr>
          <w:color w:val="000000" w:themeColor="text1"/>
        </w:rPr>
      </w:pPr>
      <w:r w:rsidRPr="00912A85">
        <w:rPr>
          <w:b/>
        </w:rPr>
        <w:t>UPOV PRISMA</w:t>
      </w:r>
      <w:r w:rsidRPr="00912A85">
        <w:t xml:space="preserve"> </w:t>
      </w:r>
      <w:r w:rsidRPr="00912A85">
        <w:rPr>
          <w:b/>
        </w:rPr>
        <w:t xml:space="preserve">online application tool </w:t>
      </w:r>
      <w:r w:rsidRPr="00912A85">
        <w:rPr>
          <w:bCs/>
        </w:rPr>
        <w:t xml:space="preserve">that has been introduced with a fee per submission at 90 Swiss francs to be paid by users. </w:t>
      </w:r>
      <w:r w:rsidR="008F3A5C">
        <w:rPr>
          <w:bCs/>
        </w:rPr>
        <w:t xml:space="preserve"> </w:t>
      </w:r>
      <w:r w:rsidRPr="00912A85">
        <w:t xml:space="preserve">Feedback from users on UPOV PRISMA is positive and there are expectations that more UPOV members </w:t>
      </w:r>
      <w:proofErr w:type="gramStart"/>
      <w:r w:rsidRPr="00912A85">
        <w:t>accept</w:t>
      </w:r>
      <w:proofErr w:type="gramEnd"/>
      <w:r w:rsidRPr="00912A85">
        <w:t xml:space="preserve"> applications through UPOV PRISMA. </w:t>
      </w:r>
      <w:r w:rsidR="008F3A5C">
        <w:t xml:space="preserve"> </w:t>
      </w:r>
      <w:r w:rsidRPr="00912A85">
        <w:t xml:space="preserve">The Office of the Union will continue to engage with UPOV members and users in bilateral meetings and user group meetings to ensure that the services delivered are of expected quality and that the tool is used by an increasing number of members of the Union and for more species. </w:t>
      </w:r>
    </w:p>
    <w:p w14:paraId="70F1D629" w14:textId="77777777" w:rsidR="00B65EDC" w:rsidRPr="00912A85" w:rsidRDefault="00B65EDC" w:rsidP="00B65EDC">
      <w:pPr>
        <w:spacing w:after="40"/>
        <w:ind w:left="567"/>
        <w:rPr>
          <w:color w:val="000000" w:themeColor="text1"/>
        </w:rPr>
      </w:pPr>
    </w:p>
    <w:p w14:paraId="08B1E8B8" w14:textId="19D6A021" w:rsidR="00B65EDC" w:rsidRPr="00912A85" w:rsidRDefault="00B65EDC" w:rsidP="00B65EDC">
      <w:pPr>
        <w:pStyle w:val="ListParagraph"/>
        <w:numPr>
          <w:ilvl w:val="0"/>
          <w:numId w:val="3"/>
        </w:numPr>
        <w:spacing w:after="40"/>
      </w:pPr>
      <w:r w:rsidRPr="00912A85">
        <w:rPr>
          <w:b/>
        </w:rPr>
        <w:t>UPOV e</w:t>
      </w:r>
      <w:r w:rsidRPr="00912A85">
        <w:rPr>
          <w:b/>
        </w:rPr>
        <w:noBreakHyphen/>
        <w:t>PVP Administration Module</w:t>
      </w:r>
      <w:r w:rsidRPr="00912A85">
        <w:t xml:space="preserve"> to be made available for members of the Union to manage and publish PVP applications, including communication with applicants and transmission of data to the PLUTO database.  The module will also contain a feature for recording and comparing variety descriptions. </w:t>
      </w:r>
      <w:r w:rsidR="008F3A5C">
        <w:t xml:space="preserve"> </w:t>
      </w:r>
      <w:r w:rsidRPr="00912A85">
        <w:t>A standard version of the UPOV e</w:t>
      </w:r>
      <w:r w:rsidRPr="00912A85">
        <w:noBreakHyphen/>
        <w:t xml:space="preserve">PVP administration module will be made available to members of the Union and will be maintained by UPOV, subject to the resource implications for the Office of the Union.  The </w:t>
      </w:r>
      <w:proofErr w:type="gramStart"/>
      <w:r w:rsidRPr="00912A85">
        <w:t>member</w:t>
      </w:r>
      <w:proofErr w:type="gramEnd"/>
      <w:r w:rsidRPr="00912A85">
        <w:t xml:space="preserve"> of the Union concerned will need to arrange for the cost of hosting the module on the cloud, and possibly certain onboarding costs.  Customized versions of the UPOV e</w:t>
      </w:r>
      <w:r w:rsidRPr="00912A85">
        <w:noBreakHyphen/>
        <w:t xml:space="preserve">PVP administration module, according to the specific needs of members of the Union, can be developed with UPOV where the necessary extra-budgetary resources are provided and subject to the resource implications for the Office of the Union.   </w:t>
      </w:r>
      <w:r w:rsidRPr="00912A85">
        <w:rPr>
          <w:color w:val="000000" w:themeColor="text1"/>
        </w:rPr>
        <w:t xml:space="preserve">Early experiences on the use of the </w:t>
      </w:r>
      <w:r w:rsidRPr="00912A85">
        <w:rPr>
          <w:bCs/>
        </w:rPr>
        <w:t>UPOV e</w:t>
      </w:r>
      <w:r w:rsidRPr="00912A85">
        <w:rPr>
          <w:bCs/>
        </w:rPr>
        <w:noBreakHyphen/>
        <w:t xml:space="preserve">PVP Administration Module show that the module works well, but that it is important to allocate the necessary time and resources to </w:t>
      </w:r>
      <w:r w:rsidRPr="00912A85">
        <w:rPr>
          <w:color w:val="000000" w:themeColor="text1"/>
        </w:rPr>
        <w:t xml:space="preserve">implement and customize the tool. </w:t>
      </w:r>
      <w:r w:rsidRPr="00912A85">
        <w:t xml:space="preserve"> </w:t>
      </w:r>
    </w:p>
    <w:p w14:paraId="2C399E35" w14:textId="77777777" w:rsidR="00B65EDC" w:rsidRPr="00912A85" w:rsidRDefault="00B65EDC" w:rsidP="00B65EDC">
      <w:pPr>
        <w:pStyle w:val="ListParagraph"/>
        <w:spacing w:after="40"/>
        <w:ind w:left="927"/>
      </w:pPr>
    </w:p>
    <w:p w14:paraId="3977160B" w14:textId="7AFAEDCD" w:rsidR="00B65EDC" w:rsidRPr="00912A85" w:rsidRDefault="00B65EDC" w:rsidP="00B65EDC">
      <w:pPr>
        <w:pStyle w:val="ListParagraph"/>
        <w:numPr>
          <w:ilvl w:val="0"/>
          <w:numId w:val="3"/>
        </w:numPr>
        <w:spacing w:after="40"/>
        <w:rPr>
          <w:color w:val="000000" w:themeColor="text1"/>
        </w:rPr>
      </w:pPr>
      <w:r w:rsidRPr="00912A85">
        <w:rPr>
          <w:b/>
        </w:rPr>
        <w:t>UPOV e</w:t>
      </w:r>
      <w:r w:rsidRPr="00912A85">
        <w:rPr>
          <w:b/>
        </w:rPr>
        <w:noBreakHyphen/>
        <w:t xml:space="preserve">PVP </w:t>
      </w:r>
      <w:r w:rsidRPr="00912A85">
        <w:rPr>
          <w:b/>
          <w:color w:val="000000" w:themeColor="text1"/>
        </w:rPr>
        <w:t>DUS Report Exchange Platform</w:t>
      </w:r>
      <w:r w:rsidRPr="00912A85">
        <w:rPr>
          <w:color w:val="000000" w:themeColor="text1"/>
        </w:rPr>
        <w:t xml:space="preserve"> provides a platform to exchange DUS reports.  It will be further developed to allow members of the Union to make their documented DUS procedures and information on their quality management systems available to other members of the Union.</w:t>
      </w:r>
      <w:r w:rsidR="008F3A5C">
        <w:rPr>
          <w:color w:val="000000" w:themeColor="text1"/>
        </w:rPr>
        <w:t xml:space="preserve"> </w:t>
      </w:r>
      <w:r w:rsidRPr="00912A85">
        <w:t xml:space="preserve"> It</w:t>
      </w:r>
      <w:r w:rsidR="008F3A5C">
        <w:t> </w:t>
      </w:r>
      <w:r w:rsidRPr="00912A85">
        <w:t>is expected that there will be an important increase in the use of the UPOV e</w:t>
      </w:r>
      <w:r w:rsidRPr="00912A85">
        <w:noBreakHyphen/>
        <w:t xml:space="preserve">PVP </w:t>
      </w:r>
      <w:r w:rsidRPr="00912A85">
        <w:rPr>
          <w:color w:val="000000" w:themeColor="text1"/>
        </w:rPr>
        <w:t xml:space="preserve">DUS Report Exchange Platform during the </w:t>
      </w:r>
      <w:r w:rsidR="00521C0D">
        <w:rPr>
          <w:color w:val="000000" w:themeColor="text1"/>
        </w:rPr>
        <w:t>2026</w:t>
      </w:r>
      <w:r w:rsidR="00521C0D">
        <w:rPr>
          <w:color w:val="000000" w:themeColor="text1"/>
        </w:rPr>
        <w:noBreakHyphen/>
        <w:t>2027</w:t>
      </w:r>
      <w:r w:rsidRPr="00912A85">
        <w:rPr>
          <w:color w:val="000000" w:themeColor="text1"/>
        </w:rPr>
        <w:t xml:space="preserve"> biennium.</w:t>
      </w:r>
    </w:p>
    <w:p w14:paraId="28958614" w14:textId="77777777" w:rsidR="00B65EDC" w:rsidRPr="00912A85" w:rsidRDefault="00B65EDC" w:rsidP="00B65EDC">
      <w:pPr>
        <w:pStyle w:val="ListParagraph"/>
        <w:spacing w:after="40"/>
        <w:ind w:left="927"/>
        <w:rPr>
          <w:color w:val="000000" w:themeColor="text1"/>
        </w:rPr>
      </w:pPr>
    </w:p>
    <w:p w14:paraId="0B457E31" w14:textId="0D1E7C60" w:rsidR="00B65EDC" w:rsidRPr="00912A85" w:rsidRDefault="00B65EDC" w:rsidP="00B65EDC">
      <w:pPr>
        <w:pStyle w:val="ListParagraph"/>
        <w:numPr>
          <w:ilvl w:val="0"/>
          <w:numId w:val="3"/>
        </w:numPr>
        <w:spacing w:after="40"/>
      </w:pPr>
      <w:r w:rsidRPr="00912A85">
        <w:rPr>
          <w:rFonts w:cs="Arial"/>
          <w:b/>
          <w:snapToGrid w:val="0"/>
          <w:color w:val="000000"/>
        </w:rPr>
        <w:t>PLUTO database</w:t>
      </w:r>
      <w:r w:rsidRPr="00912A85">
        <w:rPr>
          <w:rFonts w:cs="Arial"/>
          <w:snapToGrid w:val="0"/>
          <w:color w:val="000000"/>
        </w:rPr>
        <w:t xml:space="preserve"> to be improved as follows: increasing the completeness of data submissions, particularly through use of the UPOV e</w:t>
      </w:r>
      <w:r w:rsidRPr="00912A85">
        <w:rPr>
          <w:rFonts w:cs="Arial"/>
          <w:snapToGrid w:val="0"/>
          <w:color w:val="000000"/>
        </w:rPr>
        <w:noBreakHyphen/>
        <w:t xml:space="preserve">PVP Administration Module; improving the user interface; and providing additional user features.  A feature will be developed to enable UPOV members to share variety description information via the PLUTO database. </w:t>
      </w:r>
      <w:r w:rsidR="008F3A5C">
        <w:rPr>
          <w:rFonts w:cs="Arial"/>
          <w:snapToGrid w:val="0"/>
          <w:color w:val="000000"/>
        </w:rPr>
        <w:t xml:space="preserve"> </w:t>
      </w:r>
      <w:r w:rsidRPr="00912A85">
        <w:rPr>
          <w:color w:val="000000" w:themeColor="text1"/>
        </w:rPr>
        <w:t xml:space="preserve">Whilst there is an extensive use of the </w:t>
      </w:r>
      <w:r w:rsidRPr="00912A85">
        <w:rPr>
          <w:rFonts w:cs="Arial"/>
          <w:bCs/>
          <w:snapToGrid w:val="0"/>
          <w:color w:val="000000"/>
        </w:rPr>
        <w:t>PLUTO database by</w:t>
      </w:r>
      <w:r w:rsidRPr="00912A85">
        <w:rPr>
          <w:rFonts w:cs="Arial"/>
          <w:b/>
          <w:snapToGrid w:val="0"/>
          <w:color w:val="000000"/>
        </w:rPr>
        <w:t xml:space="preserve"> </w:t>
      </w:r>
      <w:r w:rsidRPr="00912A85">
        <w:rPr>
          <w:color w:val="000000" w:themeColor="text1"/>
        </w:rPr>
        <w:t xml:space="preserve">members and stakeholders, work will be invested to promote the premium service for paying users during the biennium </w:t>
      </w:r>
      <w:r w:rsidR="00521C0D">
        <w:rPr>
          <w:color w:val="000000" w:themeColor="text1"/>
        </w:rPr>
        <w:t>2026</w:t>
      </w:r>
      <w:r w:rsidR="00521C0D">
        <w:rPr>
          <w:color w:val="000000" w:themeColor="text1"/>
        </w:rPr>
        <w:noBreakHyphen/>
        <w:t>202</w:t>
      </w:r>
      <w:r w:rsidR="00BE4C07">
        <w:rPr>
          <w:color w:val="000000" w:themeColor="text1"/>
        </w:rPr>
        <w:t>7</w:t>
      </w:r>
      <w:r w:rsidRPr="00912A85">
        <w:rPr>
          <w:color w:val="000000" w:themeColor="text1"/>
        </w:rPr>
        <w:t xml:space="preserve">. </w:t>
      </w:r>
    </w:p>
    <w:p w14:paraId="0406D7E0" w14:textId="77777777" w:rsidR="00B65EDC" w:rsidRPr="00912A85" w:rsidRDefault="00B65EDC" w:rsidP="00B65EDC">
      <w:pPr>
        <w:pStyle w:val="ListParagraph"/>
        <w:spacing w:after="40"/>
        <w:ind w:left="927"/>
      </w:pPr>
    </w:p>
    <w:p w14:paraId="15945716" w14:textId="77777777" w:rsidR="00B65EDC" w:rsidRPr="00912A85" w:rsidRDefault="00B65EDC" w:rsidP="00B65EDC">
      <w:pPr>
        <w:pStyle w:val="ListParagraph"/>
        <w:numPr>
          <w:ilvl w:val="0"/>
          <w:numId w:val="3"/>
        </w:numPr>
        <w:spacing w:after="40"/>
      </w:pPr>
      <w:r w:rsidRPr="00912A85">
        <w:rPr>
          <w:b/>
        </w:rPr>
        <w:t>UPOV e</w:t>
      </w:r>
      <w:r w:rsidRPr="00912A85">
        <w:rPr>
          <w:b/>
        </w:rPr>
        <w:noBreakHyphen/>
        <w:t xml:space="preserve">PVP UPOV Members’ Cooperation Platforms, </w:t>
      </w:r>
      <w:r w:rsidRPr="00912A85">
        <w:t>where requested by UPOV members, to be developed and supported for cooperation in the administration and examination of applications,  subject to the necessary extra-budgetary resources being provided and resource implications for the Office of the Union.</w:t>
      </w:r>
    </w:p>
    <w:p w14:paraId="76DDAEFF" w14:textId="77777777" w:rsidR="00B65EDC" w:rsidRPr="00912A85" w:rsidRDefault="00B65EDC" w:rsidP="00B65EDC">
      <w:pPr>
        <w:pStyle w:val="ListParagraph"/>
      </w:pPr>
    </w:p>
    <w:p w14:paraId="318F5BD5" w14:textId="0970908B"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following is also anticipated during the </w:t>
      </w:r>
      <w:r w:rsidR="00521C0D">
        <w:t>2026</w:t>
      </w:r>
      <w:r w:rsidR="00521C0D">
        <w:noBreakHyphen/>
        <w:t>2027</w:t>
      </w:r>
      <w:r w:rsidRPr="00912A85">
        <w:t xml:space="preserve"> </w:t>
      </w:r>
      <w:r w:rsidRPr="00912A85">
        <w:rPr>
          <w:color w:val="000000" w:themeColor="text1"/>
        </w:rPr>
        <w:t>biennium</w:t>
      </w:r>
      <w:r w:rsidRPr="00912A85">
        <w:t>: at least one more UPOV member will make UPOV PRISMA mandatory for applicants; further developments of machine-to-machine (M2M) communication; increased use of UPOV PRISMA for filing for national listing in addition to filing for plant breeders’ rights; and an increased use of the bulk upload functionality.</w:t>
      </w:r>
    </w:p>
    <w:p w14:paraId="63C2C322" w14:textId="77777777" w:rsidR="00B65EDC" w:rsidRPr="00912A85" w:rsidRDefault="00B65EDC" w:rsidP="00B65EDC">
      <w:pPr>
        <w:spacing w:after="40"/>
      </w:pPr>
    </w:p>
    <w:p w14:paraId="41C4D781"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The following graphic provides an overview of the UPOV e</w:t>
      </w:r>
      <w:r w:rsidRPr="00912A85">
        <w:noBreakHyphen/>
        <w:t xml:space="preserve">PVP components.  </w:t>
      </w:r>
    </w:p>
    <w:p w14:paraId="378C35C6" w14:textId="77777777" w:rsidR="00B65EDC" w:rsidRPr="00912A85" w:rsidRDefault="00B65EDC" w:rsidP="00B65EDC">
      <w:pPr>
        <w:tabs>
          <w:tab w:val="left" w:pos="851"/>
        </w:tabs>
      </w:pPr>
    </w:p>
    <w:p w14:paraId="18F7B277" w14:textId="77777777" w:rsidR="00B65EDC" w:rsidRPr="00912A85" w:rsidRDefault="00B65EDC" w:rsidP="00B65EDC">
      <w:pPr>
        <w:tabs>
          <w:tab w:val="left" w:pos="851"/>
        </w:tabs>
      </w:pPr>
      <w:r w:rsidRPr="00912A85">
        <w:rPr>
          <w:noProof/>
        </w:rPr>
        <w:drawing>
          <wp:inline distT="0" distB="0" distL="0" distR="0" wp14:anchorId="3A2E315A" wp14:editId="19280F75">
            <wp:extent cx="6120765" cy="4209415"/>
            <wp:effectExtent l="0" t="0" r="0" b="0"/>
            <wp:docPr id="82650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4209415"/>
                    </a:xfrm>
                    <a:prstGeom prst="rect">
                      <a:avLst/>
                    </a:prstGeom>
                    <a:noFill/>
                    <a:ln>
                      <a:noFill/>
                    </a:ln>
                  </pic:spPr>
                </pic:pic>
              </a:graphicData>
            </a:graphic>
          </wp:inline>
        </w:drawing>
      </w:r>
    </w:p>
    <w:p w14:paraId="71864848" w14:textId="77777777" w:rsidR="00B65EDC" w:rsidRPr="00912A85" w:rsidRDefault="00B65EDC" w:rsidP="00B65EDC">
      <w:pPr>
        <w:rPr>
          <w:b/>
          <w:bCs/>
          <w:sz w:val="22"/>
          <w:szCs w:val="22"/>
        </w:rPr>
      </w:pPr>
    </w:p>
    <w:p w14:paraId="478FF62E" w14:textId="77777777" w:rsidR="00B65EDC" w:rsidRPr="00912A85" w:rsidRDefault="00B65EDC" w:rsidP="00B65EDC">
      <w:pPr>
        <w:jc w:val="left"/>
        <w:rPr>
          <w:b/>
          <w:color w:val="26724C" w:themeColor="accent1" w:themeShade="BF"/>
          <w:sz w:val="22"/>
        </w:rPr>
      </w:pPr>
      <w:r w:rsidRPr="00912A85">
        <w:br w:type="page"/>
      </w:r>
    </w:p>
    <w:p w14:paraId="78E41EA5" w14:textId="77777777" w:rsidR="00B65EDC" w:rsidRPr="00912A85" w:rsidRDefault="00B65EDC" w:rsidP="00B65EDC">
      <w:pPr>
        <w:pStyle w:val="Heading3"/>
      </w:pPr>
      <w:bookmarkStart w:id="493" w:name="_Toc208999653"/>
      <w:r w:rsidRPr="00912A85">
        <w:lastRenderedPageBreak/>
        <w:t>Expected Results and Performance Indicators</w:t>
      </w:r>
      <w:bookmarkEnd w:id="493"/>
    </w:p>
    <w:p w14:paraId="62789B46" w14:textId="77777777" w:rsidR="00B65EDC" w:rsidRPr="00912A85" w:rsidRDefault="00B65EDC" w:rsidP="00B65EDC"/>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0DF2339F" w14:textId="77777777" w:rsidTr="360764B0">
        <w:trPr>
          <w:tblHeader/>
        </w:trPr>
        <w:tc>
          <w:tcPr>
            <w:tcW w:w="426" w:type="dxa"/>
            <w:shd w:val="clear" w:color="auto" w:fill="E2E7EB" w:themeFill="accent3" w:themeFillTint="33"/>
          </w:tcPr>
          <w:p w14:paraId="47E9A5AB" w14:textId="77777777" w:rsidR="00B65EDC" w:rsidRPr="00912A85" w:rsidRDefault="00B65EDC">
            <w:pPr>
              <w:jc w:val="left"/>
              <w:rPr>
                <w:b/>
                <w:bCs/>
                <w:sz w:val="16"/>
                <w:szCs w:val="16"/>
              </w:rPr>
            </w:pPr>
            <w:bookmarkStart w:id="494" w:name="_Hlk207298218"/>
          </w:p>
        </w:tc>
        <w:tc>
          <w:tcPr>
            <w:tcW w:w="3255" w:type="dxa"/>
            <w:shd w:val="clear" w:color="auto" w:fill="E2E7EB" w:themeFill="accent3" w:themeFillTint="33"/>
          </w:tcPr>
          <w:p w14:paraId="698577C5" w14:textId="77777777" w:rsidR="00B65EDC" w:rsidRPr="00912A85" w:rsidRDefault="00B65EDC">
            <w:pPr>
              <w:jc w:val="left"/>
              <w:rPr>
                <w:b/>
                <w:bCs/>
                <w:sz w:val="16"/>
                <w:szCs w:val="16"/>
              </w:rPr>
            </w:pPr>
            <w:r w:rsidRPr="00912A85">
              <w:rPr>
                <w:b/>
                <w:bCs/>
                <w:sz w:val="16"/>
                <w:szCs w:val="16"/>
              </w:rPr>
              <w:t>Expected results</w:t>
            </w:r>
          </w:p>
        </w:tc>
        <w:tc>
          <w:tcPr>
            <w:tcW w:w="305" w:type="dxa"/>
            <w:shd w:val="clear" w:color="auto" w:fill="E2E7EB" w:themeFill="accent3" w:themeFillTint="33"/>
          </w:tcPr>
          <w:p w14:paraId="4050BAED" w14:textId="77777777" w:rsidR="00B65EDC" w:rsidRPr="00912A85" w:rsidRDefault="00B65EDC">
            <w:pPr>
              <w:jc w:val="center"/>
              <w:rPr>
                <w:b/>
                <w:bCs/>
                <w:sz w:val="16"/>
                <w:szCs w:val="16"/>
              </w:rPr>
            </w:pPr>
          </w:p>
        </w:tc>
        <w:tc>
          <w:tcPr>
            <w:tcW w:w="2457" w:type="dxa"/>
            <w:shd w:val="clear" w:color="auto" w:fill="E2E7EB" w:themeFill="accent3" w:themeFillTint="33"/>
          </w:tcPr>
          <w:p w14:paraId="741FE153" w14:textId="77777777" w:rsidR="00B65EDC" w:rsidRPr="00912A85" w:rsidRDefault="00B65EDC">
            <w:pPr>
              <w:rPr>
                <w:b/>
                <w:bCs/>
                <w:sz w:val="16"/>
                <w:szCs w:val="16"/>
              </w:rPr>
            </w:pPr>
            <w:r w:rsidRPr="00912A85">
              <w:rPr>
                <w:b/>
                <w:bCs/>
                <w:sz w:val="16"/>
                <w:szCs w:val="16"/>
              </w:rPr>
              <w:t>Performance Indicators</w:t>
            </w:r>
          </w:p>
        </w:tc>
        <w:tc>
          <w:tcPr>
            <w:tcW w:w="1632" w:type="dxa"/>
            <w:shd w:val="clear" w:color="auto" w:fill="E2E7EB" w:themeFill="accent3" w:themeFillTint="33"/>
          </w:tcPr>
          <w:p w14:paraId="06141515" w14:textId="77777777" w:rsidR="00B65EDC" w:rsidRPr="00912A85" w:rsidRDefault="00B65EDC">
            <w:pPr>
              <w:jc w:val="center"/>
              <w:rPr>
                <w:b/>
                <w:bCs/>
                <w:sz w:val="16"/>
                <w:szCs w:val="16"/>
              </w:rPr>
            </w:pPr>
            <w:r w:rsidRPr="00912A85">
              <w:rPr>
                <w:b/>
                <w:bCs/>
                <w:sz w:val="16"/>
                <w:szCs w:val="16"/>
              </w:rPr>
              <w:t>Baselines</w:t>
            </w:r>
          </w:p>
        </w:tc>
        <w:tc>
          <w:tcPr>
            <w:tcW w:w="1559" w:type="dxa"/>
            <w:shd w:val="clear" w:color="auto" w:fill="E2E7EB" w:themeFill="accent3" w:themeFillTint="33"/>
          </w:tcPr>
          <w:p w14:paraId="4B7977B5" w14:textId="77777777" w:rsidR="00B65EDC" w:rsidRPr="00912A85" w:rsidRDefault="00B65EDC">
            <w:pPr>
              <w:jc w:val="center"/>
              <w:rPr>
                <w:b/>
                <w:bCs/>
                <w:sz w:val="16"/>
                <w:szCs w:val="16"/>
              </w:rPr>
            </w:pPr>
            <w:r w:rsidRPr="00912A85">
              <w:rPr>
                <w:b/>
                <w:bCs/>
                <w:sz w:val="16"/>
                <w:szCs w:val="16"/>
              </w:rPr>
              <w:t>Targets (2026/27)</w:t>
            </w:r>
          </w:p>
        </w:tc>
      </w:tr>
      <w:bookmarkEnd w:id="494"/>
      <w:tr w:rsidR="00B65EDC" w:rsidRPr="00912A85" w14:paraId="113D9DE1" w14:textId="77777777" w:rsidTr="00F05868">
        <w:tc>
          <w:tcPr>
            <w:tcW w:w="426" w:type="dxa"/>
          </w:tcPr>
          <w:p w14:paraId="1FB31E93" w14:textId="77777777" w:rsidR="00B65EDC" w:rsidRPr="00912A85" w:rsidRDefault="00B65EDC">
            <w:pPr>
              <w:jc w:val="left"/>
              <w:rPr>
                <w:rFonts w:cs="Arial"/>
                <w:sz w:val="16"/>
                <w:szCs w:val="16"/>
              </w:rPr>
            </w:pPr>
            <w:r w:rsidRPr="00912A85">
              <w:rPr>
                <w:rFonts w:cs="Arial"/>
                <w:sz w:val="16"/>
                <w:szCs w:val="16"/>
              </w:rPr>
              <w:t>3.1</w:t>
            </w:r>
          </w:p>
        </w:tc>
        <w:tc>
          <w:tcPr>
            <w:tcW w:w="3255" w:type="dxa"/>
          </w:tcPr>
          <w:p w14:paraId="35A8AFA4" w14:textId="77777777" w:rsidR="00B65EDC" w:rsidRPr="00912A85" w:rsidRDefault="00B65EDC">
            <w:pPr>
              <w:jc w:val="left"/>
              <w:rPr>
                <w:rFonts w:cs="Arial"/>
                <w:sz w:val="16"/>
                <w:szCs w:val="16"/>
              </w:rPr>
            </w:pPr>
            <w:r w:rsidRPr="00912A85">
              <w:rPr>
                <w:rFonts w:cs="Arial"/>
                <w:sz w:val="16"/>
                <w:szCs w:val="16"/>
              </w:rPr>
              <w:t>Development of UPOV e</w:t>
            </w:r>
            <w:r w:rsidRPr="00912A85">
              <w:rPr>
                <w:rFonts w:ascii="Cambria Math" w:hAnsi="Cambria Math" w:cs="Cambria Math"/>
                <w:sz w:val="16"/>
                <w:szCs w:val="16"/>
              </w:rPr>
              <w:t>‐</w:t>
            </w:r>
            <w:r w:rsidRPr="00912A85">
              <w:rPr>
                <w:rFonts w:cs="Arial"/>
                <w:sz w:val="16"/>
                <w:szCs w:val="16"/>
              </w:rPr>
              <w:t>PVP services</w:t>
            </w:r>
          </w:p>
        </w:tc>
        <w:tc>
          <w:tcPr>
            <w:tcW w:w="305" w:type="dxa"/>
          </w:tcPr>
          <w:p w14:paraId="2366EFEF" w14:textId="77777777" w:rsidR="00B65EDC" w:rsidRPr="00912A85" w:rsidRDefault="00B65EDC">
            <w:pPr>
              <w:jc w:val="left"/>
              <w:rPr>
                <w:rFonts w:cs="Arial"/>
                <w:sz w:val="16"/>
                <w:szCs w:val="16"/>
              </w:rPr>
            </w:pPr>
            <w:r w:rsidRPr="00912A85">
              <w:rPr>
                <w:rFonts w:cs="Arial"/>
                <w:sz w:val="16"/>
                <w:szCs w:val="16"/>
              </w:rPr>
              <w:t>11</w:t>
            </w:r>
          </w:p>
        </w:tc>
        <w:tc>
          <w:tcPr>
            <w:tcW w:w="2457" w:type="dxa"/>
          </w:tcPr>
          <w:p w14:paraId="3F0F76FF" w14:textId="77777777" w:rsidR="00B65EDC" w:rsidRPr="00912A85" w:rsidRDefault="00B65EDC">
            <w:pPr>
              <w:jc w:val="left"/>
              <w:rPr>
                <w:rFonts w:cs="Arial"/>
                <w:sz w:val="16"/>
                <w:szCs w:val="16"/>
              </w:rPr>
            </w:pPr>
            <w:r w:rsidRPr="00912A85">
              <w:rPr>
                <w:rFonts w:cs="Arial"/>
                <w:sz w:val="16"/>
                <w:szCs w:val="16"/>
              </w:rPr>
              <w:t>Percentage of PVP applications of UPOV members included in PLUTO database within 1 year</w:t>
            </w:r>
          </w:p>
        </w:tc>
        <w:tc>
          <w:tcPr>
            <w:tcW w:w="1632" w:type="dxa"/>
            <w:vAlign w:val="center"/>
          </w:tcPr>
          <w:p w14:paraId="4F54DFF0" w14:textId="66ED6DF0" w:rsidR="002E0EFA" w:rsidRPr="00912A85" w:rsidRDefault="002E0EFA">
            <w:pPr>
              <w:jc w:val="center"/>
              <w:rPr>
                <w:rFonts w:cs="Arial"/>
                <w:sz w:val="16"/>
                <w:szCs w:val="16"/>
              </w:rPr>
            </w:pPr>
            <w:r>
              <w:rPr>
                <w:rFonts w:cs="Arial"/>
                <w:sz w:val="16"/>
                <w:szCs w:val="16"/>
              </w:rPr>
              <w:t>40% (2024)</w:t>
            </w:r>
          </w:p>
        </w:tc>
        <w:tc>
          <w:tcPr>
            <w:tcW w:w="1559" w:type="dxa"/>
            <w:vAlign w:val="center"/>
          </w:tcPr>
          <w:p w14:paraId="23EAC6A4" w14:textId="00866C49" w:rsidR="00014B08" w:rsidRDefault="00014B08">
            <w:pPr>
              <w:jc w:val="center"/>
              <w:rPr>
                <w:rFonts w:cs="Arial"/>
                <w:sz w:val="16"/>
                <w:szCs w:val="16"/>
              </w:rPr>
            </w:pPr>
            <w:r>
              <w:rPr>
                <w:rFonts w:cs="Arial"/>
                <w:sz w:val="16"/>
                <w:szCs w:val="16"/>
              </w:rPr>
              <w:t>5</w:t>
            </w:r>
            <w:r w:rsidRPr="00912A85">
              <w:rPr>
                <w:rFonts w:cs="Arial"/>
                <w:sz w:val="16"/>
                <w:szCs w:val="16"/>
              </w:rPr>
              <w:t>0% (202</w:t>
            </w:r>
            <w:r>
              <w:rPr>
                <w:rFonts w:cs="Arial"/>
                <w:sz w:val="16"/>
                <w:szCs w:val="16"/>
              </w:rPr>
              <w:t>6</w:t>
            </w:r>
            <w:r w:rsidRPr="00912A85">
              <w:rPr>
                <w:rFonts w:cs="Arial"/>
                <w:sz w:val="16"/>
                <w:szCs w:val="16"/>
              </w:rPr>
              <w:t>)</w:t>
            </w:r>
          </w:p>
          <w:p w14:paraId="061FE916" w14:textId="5A6D29CE" w:rsidR="00B65EDC" w:rsidRPr="00912A85" w:rsidRDefault="00014B08">
            <w:pPr>
              <w:jc w:val="center"/>
              <w:rPr>
                <w:rFonts w:cs="Arial"/>
                <w:sz w:val="16"/>
                <w:szCs w:val="16"/>
              </w:rPr>
            </w:pPr>
            <w:r>
              <w:rPr>
                <w:rFonts w:cs="Arial"/>
                <w:sz w:val="16"/>
                <w:szCs w:val="16"/>
              </w:rPr>
              <w:t>6</w:t>
            </w:r>
            <w:r w:rsidRPr="00912A85">
              <w:rPr>
                <w:rFonts w:cs="Arial"/>
                <w:sz w:val="16"/>
                <w:szCs w:val="16"/>
              </w:rPr>
              <w:t>0</w:t>
            </w:r>
            <w:r w:rsidR="00B65EDC" w:rsidRPr="00912A85">
              <w:rPr>
                <w:rFonts w:cs="Arial"/>
                <w:sz w:val="16"/>
                <w:szCs w:val="16"/>
              </w:rPr>
              <w:t xml:space="preserve">% (2027) </w:t>
            </w:r>
          </w:p>
        </w:tc>
      </w:tr>
      <w:tr w:rsidR="00B65EDC" w:rsidRPr="00912A85" w14:paraId="705C4217" w14:textId="77777777" w:rsidTr="00F73621">
        <w:tc>
          <w:tcPr>
            <w:tcW w:w="426" w:type="dxa"/>
          </w:tcPr>
          <w:p w14:paraId="03DE6CA6" w14:textId="77777777" w:rsidR="00B65EDC" w:rsidRPr="00912A85" w:rsidRDefault="00B65EDC">
            <w:pPr>
              <w:jc w:val="left"/>
              <w:rPr>
                <w:rFonts w:cs="Arial"/>
                <w:sz w:val="16"/>
                <w:szCs w:val="16"/>
              </w:rPr>
            </w:pPr>
          </w:p>
        </w:tc>
        <w:tc>
          <w:tcPr>
            <w:tcW w:w="3255" w:type="dxa"/>
          </w:tcPr>
          <w:p w14:paraId="06FAE0B8" w14:textId="77777777" w:rsidR="00B65EDC" w:rsidRPr="00912A85" w:rsidRDefault="00B65EDC">
            <w:pPr>
              <w:jc w:val="left"/>
              <w:rPr>
                <w:rFonts w:cs="Arial"/>
                <w:sz w:val="16"/>
                <w:szCs w:val="16"/>
              </w:rPr>
            </w:pPr>
            <w:r w:rsidRPr="00912A85">
              <w:rPr>
                <w:rFonts w:cs="Arial"/>
                <w:sz w:val="16"/>
                <w:szCs w:val="16"/>
              </w:rPr>
              <w:t> </w:t>
            </w:r>
          </w:p>
        </w:tc>
        <w:tc>
          <w:tcPr>
            <w:tcW w:w="305" w:type="dxa"/>
          </w:tcPr>
          <w:p w14:paraId="618BA019" w14:textId="77777777" w:rsidR="00B65EDC" w:rsidRPr="00912A85" w:rsidRDefault="00B65EDC">
            <w:pPr>
              <w:jc w:val="left"/>
              <w:rPr>
                <w:rFonts w:cs="Arial"/>
                <w:sz w:val="16"/>
                <w:szCs w:val="16"/>
              </w:rPr>
            </w:pPr>
            <w:r w:rsidRPr="00912A85">
              <w:rPr>
                <w:rFonts w:cs="Arial"/>
                <w:sz w:val="16"/>
                <w:szCs w:val="16"/>
              </w:rPr>
              <w:t>12</w:t>
            </w:r>
          </w:p>
        </w:tc>
        <w:tc>
          <w:tcPr>
            <w:tcW w:w="2457" w:type="dxa"/>
          </w:tcPr>
          <w:p w14:paraId="4489D432" w14:textId="77777777" w:rsidR="00B65EDC" w:rsidRPr="00912A85" w:rsidRDefault="00B65EDC">
            <w:pPr>
              <w:jc w:val="left"/>
              <w:rPr>
                <w:rFonts w:cs="Arial"/>
                <w:sz w:val="16"/>
                <w:szCs w:val="16"/>
              </w:rPr>
            </w:pPr>
            <w:r w:rsidRPr="00912A85">
              <w:rPr>
                <w:rFonts w:cs="Arial"/>
                <w:sz w:val="16"/>
                <w:szCs w:val="16"/>
              </w:rPr>
              <w:t>Number of PLUTO users</w:t>
            </w:r>
          </w:p>
        </w:tc>
        <w:tc>
          <w:tcPr>
            <w:tcW w:w="1632" w:type="dxa"/>
            <w:vAlign w:val="center"/>
          </w:tcPr>
          <w:p w14:paraId="769E5854" w14:textId="7103619B" w:rsidR="00B65EDC" w:rsidRPr="00912A85" w:rsidRDefault="002E0EFA">
            <w:pPr>
              <w:jc w:val="center"/>
              <w:rPr>
                <w:rFonts w:cs="Arial"/>
                <w:sz w:val="16"/>
                <w:szCs w:val="16"/>
              </w:rPr>
            </w:pPr>
            <w:r>
              <w:rPr>
                <w:rFonts w:cs="Arial"/>
                <w:sz w:val="16"/>
                <w:szCs w:val="16"/>
              </w:rPr>
              <w:t>5,500</w:t>
            </w:r>
            <w:r w:rsidR="00B65EDC" w:rsidRPr="00912A85">
              <w:rPr>
                <w:rFonts w:cs="Arial"/>
                <w:sz w:val="16"/>
                <w:szCs w:val="16"/>
              </w:rPr>
              <w:t xml:space="preserve"> (2024)</w:t>
            </w:r>
          </w:p>
        </w:tc>
        <w:tc>
          <w:tcPr>
            <w:tcW w:w="1559" w:type="dxa"/>
            <w:vAlign w:val="center"/>
          </w:tcPr>
          <w:p w14:paraId="6A434D7D" w14:textId="0A28C574" w:rsidR="00D03886" w:rsidRDefault="00C8561D">
            <w:pPr>
              <w:jc w:val="center"/>
              <w:rPr>
                <w:rFonts w:cs="Arial"/>
                <w:sz w:val="16"/>
                <w:szCs w:val="16"/>
              </w:rPr>
            </w:pPr>
            <w:r>
              <w:rPr>
                <w:rFonts w:cs="Arial"/>
                <w:sz w:val="16"/>
                <w:szCs w:val="16"/>
              </w:rPr>
              <w:t>7</w:t>
            </w:r>
            <w:r w:rsidR="00611EFD" w:rsidRPr="00912A85">
              <w:rPr>
                <w:rFonts w:cs="Arial"/>
                <w:sz w:val="16"/>
                <w:szCs w:val="16"/>
              </w:rPr>
              <w:t>,</w:t>
            </w:r>
            <w:r w:rsidR="002C4576">
              <w:rPr>
                <w:rFonts w:cs="Arial"/>
                <w:sz w:val="16"/>
                <w:szCs w:val="16"/>
              </w:rPr>
              <w:t>2</w:t>
            </w:r>
            <w:r w:rsidR="00611EFD" w:rsidRPr="00912A85">
              <w:rPr>
                <w:rFonts w:cs="Arial"/>
                <w:sz w:val="16"/>
                <w:szCs w:val="16"/>
              </w:rPr>
              <w:t>00 (202</w:t>
            </w:r>
            <w:r w:rsidR="002131F4">
              <w:rPr>
                <w:rFonts w:cs="Arial"/>
                <w:sz w:val="16"/>
                <w:szCs w:val="16"/>
              </w:rPr>
              <w:t>6</w:t>
            </w:r>
            <w:r w:rsidR="00611EFD" w:rsidRPr="00912A85">
              <w:rPr>
                <w:rFonts w:cs="Arial"/>
                <w:sz w:val="16"/>
                <w:szCs w:val="16"/>
              </w:rPr>
              <w:t>)</w:t>
            </w:r>
          </w:p>
          <w:p w14:paraId="33AF8A60" w14:textId="0843B2CE" w:rsidR="00B65EDC" w:rsidRPr="00912A85" w:rsidRDefault="002131F4">
            <w:pPr>
              <w:jc w:val="center"/>
              <w:rPr>
                <w:rFonts w:cs="Arial"/>
                <w:sz w:val="16"/>
                <w:szCs w:val="16"/>
              </w:rPr>
            </w:pPr>
            <w:r>
              <w:rPr>
                <w:rFonts w:cs="Arial"/>
                <w:sz w:val="16"/>
                <w:szCs w:val="16"/>
              </w:rPr>
              <w:t>8</w:t>
            </w:r>
            <w:r w:rsidR="00B65EDC" w:rsidRPr="00912A85">
              <w:rPr>
                <w:rFonts w:cs="Arial"/>
                <w:sz w:val="16"/>
                <w:szCs w:val="16"/>
              </w:rPr>
              <w:t>,</w:t>
            </w:r>
            <w:r>
              <w:rPr>
                <w:rFonts w:cs="Arial"/>
                <w:sz w:val="16"/>
                <w:szCs w:val="16"/>
              </w:rPr>
              <w:t>5</w:t>
            </w:r>
            <w:r w:rsidRPr="00912A85">
              <w:rPr>
                <w:rFonts w:cs="Arial"/>
                <w:sz w:val="16"/>
                <w:szCs w:val="16"/>
              </w:rPr>
              <w:t xml:space="preserve">00 </w:t>
            </w:r>
            <w:r w:rsidR="00B65EDC" w:rsidRPr="00912A85">
              <w:rPr>
                <w:rFonts w:cs="Arial"/>
                <w:sz w:val="16"/>
                <w:szCs w:val="16"/>
              </w:rPr>
              <w:t>(2027)</w:t>
            </w:r>
          </w:p>
        </w:tc>
      </w:tr>
      <w:tr w:rsidR="00B65EDC" w:rsidRPr="00912A85" w14:paraId="30BC4CF6" w14:textId="77777777" w:rsidTr="00F05868">
        <w:tc>
          <w:tcPr>
            <w:tcW w:w="426" w:type="dxa"/>
          </w:tcPr>
          <w:p w14:paraId="1E60558F" w14:textId="77777777" w:rsidR="00B65EDC" w:rsidRPr="00912A85" w:rsidRDefault="00B65EDC">
            <w:pPr>
              <w:jc w:val="left"/>
              <w:rPr>
                <w:rFonts w:cs="Arial"/>
                <w:sz w:val="16"/>
                <w:szCs w:val="16"/>
              </w:rPr>
            </w:pPr>
          </w:p>
        </w:tc>
        <w:tc>
          <w:tcPr>
            <w:tcW w:w="3255" w:type="dxa"/>
          </w:tcPr>
          <w:p w14:paraId="70BF0352" w14:textId="77777777" w:rsidR="00B65EDC" w:rsidRPr="00912A85" w:rsidRDefault="00B65EDC">
            <w:pPr>
              <w:jc w:val="left"/>
              <w:rPr>
                <w:rFonts w:cs="Arial"/>
                <w:sz w:val="16"/>
                <w:szCs w:val="16"/>
              </w:rPr>
            </w:pPr>
            <w:r w:rsidRPr="00912A85">
              <w:rPr>
                <w:rFonts w:cs="Arial"/>
                <w:sz w:val="16"/>
                <w:szCs w:val="16"/>
              </w:rPr>
              <w:t> </w:t>
            </w:r>
          </w:p>
        </w:tc>
        <w:tc>
          <w:tcPr>
            <w:tcW w:w="305" w:type="dxa"/>
          </w:tcPr>
          <w:p w14:paraId="6AEF5FB7" w14:textId="77777777" w:rsidR="00B65EDC" w:rsidRPr="00912A85" w:rsidRDefault="00B65EDC">
            <w:pPr>
              <w:jc w:val="left"/>
              <w:rPr>
                <w:rFonts w:cs="Arial"/>
                <w:sz w:val="16"/>
                <w:szCs w:val="16"/>
              </w:rPr>
            </w:pPr>
            <w:r w:rsidRPr="00912A85">
              <w:rPr>
                <w:rFonts w:cs="Arial"/>
                <w:sz w:val="16"/>
                <w:szCs w:val="16"/>
              </w:rPr>
              <w:t>13</w:t>
            </w:r>
          </w:p>
        </w:tc>
        <w:tc>
          <w:tcPr>
            <w:tcW w:w="2457" w:type="dxa"/>
          </w:tcPr>
          <w:p w14:paraId="7C37E44A" w14:textId="77777777" w:rsidR="00B65EDC" w:rsidRPr="00912A85" w:rsidRDefault="00B65EDC">
            <w:pPr>
              <w:jc w:val="left"/>
              <w:rPr>
                <w:rFonts w:cs="Arial"/>
                <w:sz w:val="16"/>
                <w:szCs w:val="16"/>
              </w:rPr>
            </w:pPr>
            <w:r w:rsidRPr="00912A85">
              <w:rPr>
                <w:rFonts w:cs="Arial"/>
                <w:sz w:val="16"/>
                <w:szCs w:val="16"/>
              </w:rPr>
              <w:t>Number of fee-generating applications made via UPOV PRISMA</w:t>
            </w:r>
          </w:p>
        </w:tc>
        <w:tc>
          <w:tcPr>
            <w:tcW w:w="1632" w:type="dxa"/>
            <w:vAlign w:val="center"/>
          </w:tcPr>
          <w:p w14:paraId="073DF1FB" w14:textId="57B896F5" w:rsidR="00B65EDC" w:rsidRPr="00912A85" w:rsidRDefault="001B2385">
            <w:pPr>
              <w:jc w:val="center"/>
              <w:rPr>
                <w:rFonts w:cs="Arial"/>
                <w:sz w:val="16"/>
                <w:szCs w:val="16"/>
              </w:rPr>
            </w:pPr>
            <w:r>
              <w:rPr>
                <w:rFonts w:cs="Arial"/>
                <w:sz w:val="16"/>
                <w:szCs w:val="16"/>
              </w:rPr>
              <w:t>1,4</w:t>
            </w:r>
            <w:r w:rsidR="00B64123">
              <w:rPr>
                <w:rFonts w:cs="Arial"/>
                <w:sz w:val="16"/>
                <w:szCs w:val="16"/>
              </w:rPr>
              <w:t>91</w:t>
            </w:r>
            <w:r w:rsidR="00B65EDC" w:rsidRPr="00912A85">
              <w:rPr>
                <w:rFonts w:cs="Arial"/>
                <w:sz w:val="16"/>
                <w:szCs w:val="16"/>
              </w:rPr>
              <w:t xml:space="preserve"> (2024)</w:t>
            </w:r>
          </w:p>
        </w:tc>
        <w:tc>
          <w:tcPr>
            <w:tcW w:w="1559" w:type="dxa"/>
            <w:vAlign w:val="center"/>
          </w:tcPr>
          <w:p w14:paraId="6B3E5411" w14:textId="1FC849E7" w:rsidR="0050707B" w:rsidRDefault="2C07D160">
            <w:pPr>
              <w:jc w:val="center"/>
              <w:rPr>
                <w:rFonts w:cs="Arial"/>
                <w:sz w:val="16"/>
                <w:szCs w:val="16"/>
              </w:rPr>
            </w:pPr>
            <w:r w:rsidRPr="653ADAA8">
              <w:rPr>
                <w:rFonts w:asciiTheme="majorHAnsi" w:hAnsiTheme="majorHAnsi" w:cstheme="majorBidi"/>
                <w:sz w:val="16"/>
                <w:szCs w:val="16"/>
              </w:rPr>
              <w:t>1</w:t>
            </w:r>
            <w:r w:rsidR="00F73621">
              <w:rPr>
                <w:rFonts w:asciiTheme="majorHAnsi" w:hAnsiTheme="majorHAnsi" w:cstheme="majorBidi"/>
                <w:sz w:val="16"/>
                <w:szCs w:val="16"/>
              </w:rPr>
              <w:t>,</w:t>
            </w:r>
            <w:r w:rsidRPr="653ADAA8">
              <w:rPr>
                <w:rFonts w:asciiTheme="majorHAnsi" w:hAnsiTheme="majorHAnsi" w:cstheme="majorBidi"/>
                <w:sz w:val="16"/>
                <w:szCs w:val="16"/>
              </w:rPr>
              <w:t>648</w:t>
            </w:r>
            <w:r w:rsidR="57D2630B" w:rsidRPr="653ADAA8">
              <w:rPr>
                <w:rFonts w:asciiTheme="majorHAnsi" w:hAnsiTheme="majorHAnsi" w:cstheme="majorBidi"/>
                <w:sz w:val="16"/>
                <w:szCs w:val="16"/>
              </w:rPr>
              <w:t xml:space="preserve"> </w:t>
            </w:r>
            <w:r w:rsidR="0050707B" w:rsidRPr="0044554D">
              <w:rPr>
                <w:rFonts w:cs="Arial"/>
                <w:sz w:val="16"/>
                <w:szCs w:val="16"/>
              </w:rPr>
              <w:t>(202</w:t>
            </w:r>
            <w:r w:rsidR="0050707B">
              <w:rPr>
                <w:rFonts w:cs="Arial"/>
                <w:sz w:val="16"/>
                <w:szCs w:val="16"/>
              </w:rPr>
              <w:t>6</w:t>
            </w:r>
            <w:r w:rsidR="0050707B" w:rsidRPr="0044554D">
              <w:rPr>
                <w:rFonts w:cs="Arial"/>
                <w:sz w:val="16"/>
                <w:szCs w:val="16"/>
              </w:rPr>
              <w:t>)</w:t>
            </w:r>
          </w:p>
          <w:p w14:paraId="6E78F0D7" w14:textId="5A13CFF5" w:rsidR="00B65EDC" w:rsidRPr="0044554D" w:rsidRDefault="00543870" w:rsidP="009E1454">
            <w:pPr>
              <w:jc w:val="center"/>
              <w:rPr>
                <w:rFonts w:asciiTheme="majorHAnsi" w:hAnsiTheme="majorHAnsi" w:cstheme="majorHAnsi"/>
                <w:sz w:val="16"/>
                <w:szCs w:val="16"/>
              </w:rPr>
            </w:pPr>
            <w:r w:rsidRPr="653ADAA8">
              <w:rPr>
                <w:rFonts w:asciiTheme="majorHAnsi" w:hAnsiTheme="majorHAnsi" w:cstheme="majorBidi"/>
                <w:sz w:val="16"/>
                <w:szCs w:val="16"/>
              </w:rPr>
              <w:t>1,</w:t>
            </w:r>
            <w:r w:rsidR="71450992" w:rsidRPr="653ADAA8">
              <w:rPr>
                <w:rFonts w:asciiTheme="majorHAnsi" w:hAnsiTheme="majorHAnsi" w:cstheme="majorBidi"/>
                <w:sz w:val="16"/>
                <w:szCs w:val="16"/>
              </w:rPr>
              <w:t>7</w:t>
            </w:r>
            <w:r w:rsidR="63A63388" w:rsidRPr="653ADAA8">
              <w:rPr>
                <w:rFonts w:asciiTheme="majorHAnsi" w:hAnsiTheme="majorHAnsi" w:cstheme="majorBidi"/>
                <w:sz w:val="16"/>
                <w:szCs w:val="16"/>
              </w:rPr>
              <w:t>30</w:t>
            </w:r>
            <w:r w:rsidR="001D2573" w:rsidRPr="653ADAA8">
              <w:rPr>
                <w:rFonts w:asciiTheme="majorHAnsi" w:hAnsiTheme="majorHAnsi" w:cstheme="majorBidi"/>
                <w:sz w:val="16"/>
                <w:szCs w:val="16"/>
              </w:rPr>
              <w:t>(202</w:t>
            </w:r>
            <w:r w:rsidR="00A5343A" w:rsidRPr="653ADAA8">
              <w:rPr>
                <w:rFonts w:asciiTheme="majorHAnsi" w:hAnsiTheme="majorHAnsi" w:cstheme="majorBidi"/>
                <w:sz w:val="16"/>
                <w:szCs w:val="16"/>
              </w:rPr>
              <w:t>7</w:t>
            </w:r>
            <w:r w:rsidR="001D2573" w:rsidRPr="653ADAA8">
              <w:rPr>
                <w:rFonts w:asciiTheme="majorHAnsi" w:hAnsiTheme="majorHAnsi" w:cstheme="majorBidi"/>
                <w:sz w:val="16"/>
                <w:szCs w:val="16"/>
              </w:rPr>
              <w:t>)</w:t>
            </w:r>
          </w:p>
        </w:tc>
      </w:tr>
      <w:tr w:rsidR="00B65EDC" w:rsidRPr="00912A85" w14:paraId="3CE51043" w14:textId="77777777" w:rsidTr="360764B0">
        <w:tc>
          <w:tcPr>
            <w:tcW w:w="426" w:type="dxa"/>
          </w:tcPr>
          <w:p w14:paraId="42E13FBA" w14:textId="77777777" w:rsidR="00B65EDC" w:rsidRPr="00912A85" w:rsidRDefault="00B65EDC">
            <w:pPr>
              <w:jc w:val="left"/>
              <w:rPr>
                <w:rFonts w:cs="Arial"/>
                <w:sz w:val="16"/>
                <w:szCs w:val="16"/>
              </w:rPr>
            </w:pPr>
            <w:bookmarkStart w:id="495" w:name="_Hlk207298201"/>
          </w:p>
        </w:tc>
        <w:tc>
          <w:tcPr>
            <w:tcW w:w="3255" w:type="dxa"/>
          </w:tcPr>
          <w:p w14:paraId="56568B8D" w14:textId="77777777" w:rsidR="00B65EDC" w:rsidRPr="00912A85" w:rsidRDefault="00B65EDC">
            <w:pPr>
              <w:jc w:val="left"/>
              <w:rPr>
                <w:rFonts w:cs="Arial"/>
                <w:sz w:val="16"/>
                <w:szCs w:val="16"/>
              </w:rPr>
            </w:pPr>
            <w:r w:rsidRPr="00912A85">
              <w:rPr>
                <w:rFonts w:cs="Arial"/>
                <w:sz w:val="16"/>
                <w:szCs w:val="16"/>
              </w:rPr>
              <w:t> </w:t>
            </w:r>
          </w:p>
        </w:tc>
        <w:tc>
          <w:tcPr>
            <w:tcW w:w="305" w:type="dxa"/>
          </w:tcPr>
          <w:p w14:paraId="513476EA" w14:textId="77777777" w:rsidR="00B65EDC" w:rsidRPr="00912A85" w:rsidRDefault="00B65EDC">
            <w:pPr>
              <w:jc w:val="left"/>
              <w:rPr>
                <w:rFonts w:cs="Arial"/>
                <w:sz w:val="16"/>
                <w:szCs w:val="16"/>
              </w:rPr>
            </w:pPr>
            <w:r w:rsidRPr="00912A85">
              <w:rPr>
                <w:rFonts w:cs="Arial"/>
                <w:sz w:val="16"/>
                <w:szCs w:val="16"/>
              </w:rPr>
              <w:t>14</w:t>
            </w:r>
          </w:p>
        </w:tc>
        <w:tc>
          <w:tcPr>
            <w:tcW w:w="2457" w:type="dxa"/>
          </w:tcPr>
          <w:p w14:paraId="64C2CEEA" w14:textId="77777777" w:rsidR="00B65EDC" w:rsidRPr="00912A85" w:rsidRDefault="00B65EDC">
            <w:pPr>
              <w:jc w:val="left"/>
              <w:rPr>
                <w:rFonts w:cs="Arial"/>
                <w:sz w:val="16"/>
                <w:szCs w:val="16"/>
              </w:rPr>
            </w:pPr>
            <w:r w:rsidRPr="00912A85">
              <w:rPr>
                <w:rFonts w:cs="Arial"/>
                <w:sz w:val="16"/>
                <w:szCs w:val="16"/>
              </w:rPr>
              <w:t>Number of UPOV members using the UPOV e</w:t>
            </w:r>
            <w:r w:rsidRPr="00912A85">
              <w:rPr>
                <w:rFonts w:cs="Arial"/>
                <w:sz w:val="16"/>
                <w:szCs w:val="16"/>
              </w:rPr>
              <w:noBreakHyphen/>
              <w:t>PVP Administration Module to manage and publish PVP applications</w:t>
            </w:r>
          </w:p>
        </w:tc>
        <w:tc>
          <w:tcPr>
            <w:tcW w:w="1632" w:type="dxa"/>
            <w:vAlign w:val="center"/>
          </w:tcPr>
          <w:p w14:paraId="2088D408" w14:textId="77777777" w:rsidR="00B65EDC" w:rsidRPr="00912A85" w:rsidRDefault="00B65EDC">
            <w:pPr>
              <w:jc w:val="center"/>
              <w:rPr>
                <w:rFonts w:cs="Arial"/>
                <w:sz w:val="16"/>
                <w:szCs w:val="16"/>
              </w:rPr>
            </w:pPr>
            <w:r w:rsidRPr="00912A85">
              <w:rPr>
                <w:rFonts w:cs="Arial"/>
                <w:sz w:val="16"/>
                <w:szCs w:val="16"/>
              </w:rPr>
              <w:t>1 (2024)</w:t>
            </w:r>
          </w:p>
        </w:tc>
        <w:tc>
          <w:tcPr>
            <w:tcW w:w="1559" w:type="dxa"/>
            <w:vAlign w:val="center"/>
          </w:tcPr>
          <w:p w14:paraId="53EF3F3D" w14:textId="2E35021F" w:rsidR="00B65EDC" w:rsidRPr="00912A85" w:rsidRDefault="37278B5F" w:rsidP="653ADAA8">
            <w:pPr>
              <w:jc w:val="center"/>
              <w:rPr>
                <w:rFonts w:cs="Arial"/>
                <w:sz w:val="16"/>
                <w:szCs w:val="16"/>
              </w:rPr>
            </w:pPr>
            <w:r w:rsidRPr="653ADAA8">
              <w:rPr>
                <w:rFonts w:cs="Arial"/>
                <w:sz w:val="16"/>
                <w:szCs w:val="16"/>
              </w:rPr>
              <w:t>5</w:t>
            </w:r>
            <w:r w:rsidR="00F73621">
              <w:rPr>
                <w:rFonts w:cs="Arial"/>
                <w:sz w:val="16"/>
                <w:szCs w:val="16"/>
              </w:rPr>
              <w:t xml:space="preserve"> </w:t>
            </w:r>
            <w:r w:rsidRPr="653ADAA8">
              <w:rPr>
                <w:rFonts w:cs="Arial"/>
                <w:sz w:val="16"/>
                <w:szCs w:val="16"/>
              </w:rPr>
              <w:t>(</w:t>
            </w:r>
            <w:r w:rsidR="2EC94AB3" w:rsidRPr="653ADAA8">
              <w:rPr>
                <w:rFonts w:cs="Arial"/>
                <w:sz w:val="16"/>
                <w:szCs w:val="16"/>
              </w:rPr>
              <w:t xml:space="preserve">2026) </w:t>
            </w:r>
          </w:p>
          <w:p w14:paraId="3C3AF566" w14:textId="5A06CABE" w:rsidR="00B65EDC" w:rsidRPr="00912A85" w:rsidRDefault="2EC94AB3">
            <w:pPr>
              <w:jc w:val="center"/>
              <w:rPr>
                <w:rFonts w:cs="Arial"/>
                <w:sz w:val="16"/>
                <w:szCs w:val="16"/>
              </w:rPr>
            </w:pPr>
            <w:r w:rsidRPr="653ADAA8">
              <w:rPr>
                <w:rFonts w:cs="Arial"/>
                <w:sz w:val="16"/>
                <w:szCs w:val="16"/>
              </w:rPr>
              <w:t>6 (2027)</w:t>
            </w:r>
          </w:p>
        </w:tc>
      </w:tr>
      <w:tr w:rsidR="00B65EDC" w:rsidRPr="00912A85" w14:paraId="5A45B0B0" w14:textId="77777777" w:rsidTr="360764B0">
        <w:tc>
          <w:tcPr>
            <w:tcW w:w="426" w:type="dxa"/>
            <w:tcBorders>
              <w:bottom w:val="single" w:sz="4" w:space="0" w:color="D9D9D9" w:themeColor="background1" w:themeShade="D9"/>
            </w:tcBorders>
          </w:tcPr>
          <w:p w14:paraId="3AADBBBF" w14:textId="77777777" w:rsidR="00B65EDC" w:rsidRPr="00912A85" w:rsidRDefault="00B65EDC">
            <w:pPr>
              <w:jc w:val="left"/>
              <w:rPr>
                <w:rFonts w:cs="Arial"/>
                <w:sz w:val="16"/>
                <w:szCs w:val="16"/>
              </w:rPr>
            </w:pPr>
          </w:p>
        </w:tc>
        <w:tc>
          <w:tcPr>
            <w:tcW w:w="3255" w:type="dxa"/>
            <w:tcBorders>
              <w:bottom w:val="single" w:sz="4" w:space="0" w:color="D9D9D9" w:themeColor="background1" w:themeShade="D9"/>
            </w:tcBorders>
          </w:tcPr>
          <w:p w14:paraId="36086D52" w14:textId="77777777" w:rsidR="00B65EDC" w:rsidRPr="00912A85" w:rsidRDefault="00B65EDC">
            <w:pPr>
              <w:jc w:val="left"/>
              <w:rPr>
                <w:rFonts w:cs="Arial"/>
                <w:sz w:val="16"/>
                <w:szCs w:val="16"/>
              </w:rPr>
            </w:pPr>
          </w:p>
        </w:tc>
        <w:tc>
          <w:tcPr>
            <w:tcW w:w="305" w:type="dxa"/>
            <w:tcBorders>
              <w:bottom w:val="single" w:sz="4" w:space="0" w:color="D9D9D9" w:themeColor="background1" w:themeShade="D9"/>
            </w:tcBorders>
          </w:tcPr>
          <w:p w14:paraId="7C56C1F2" w14:textId="77777777" w:rsidR="00B65EDC" w:rsidRPr="00912A85" w:rsidRDefault="00B65EDC">
            <w:pPr>
              <w:jc w:val="left"/>
              <w:rPr>
                <w:rFonts w:cs="Arial"/>
                <w:sz w:val="16"/>
                <w:szCs w:val="16"/>
              </w:rPr>
            </w:pPr>
            <w:r w:rsidRPr="00912A85">
              <w:rPr>
                <w:rFonts w:cs="Arial"/>
                <w:sz w:val="16"/>
                <w:szCs w:val="16"/>
              </w:rPr>
              <w:t>15</w:t>
            </w:r>
          </w:p>
        </w:tc>
        <w:tc>
          <w:tcPr>
            <w:tcW w:w="2457" w:type="dxa"/>
            <w:tcBorders>
              <w:bottom w:val="single" w:sz="4" w:space="0" w:color="D9D9D9" w:themeColor="background1" w:themeShade="D9"/>
            </w:tcBorders>
          </w:tcPr>
          <w:p w14:paraId="75D7E298" w14:textId="633AFBF5" w:rsidR="00B65EDC" w:rsidRPr="00912A85" w:rsidRDefault="00B65EDC">
            <w:pPr>
              <w:jc w:val="left"/>
              <w:rPr>
                <w:rFonts w:cs="Arial"/>
                <w:sz w:val="16"/>
                <w:szCs w:val="16"/>
              </w:rPr>
            </w:pPr>
            <w:r w:rsidRPr="00912A85">
              <w:rPr>
                <w:rFonts w:cs="Arial"/>
                <w:sz w:val="16"/>
                <w:szCs w:val="16"/>
              </w:rPr>
              <w:t>Number of UPOV members using the UPOV e</w:t>
            </w:r>
            <w:r w:rsidRPr="00912A85">
              <w:rPr>
                <w:rFonts w:cs="Arial"/>
                <w:sz w:val="16"/>
                <w:szCs w:val="16"/>
              </w:rPr>
              <w:noBreakHyphen/>
              <w:t>PVP Exchange Module to manage the exchange of reports</w:t>
            </w:r>
          </w:p>
        </w:tc>
        <w:tc>
          <w:tcPr>
            <w:tcW w:w="1632" w:type="dxa"/>
            <w:tcBorders>
              <w:bottom w:val="single" w:sz="4" w:space="0" w:color="D9D9D9" w:themeColor="background1" w:themeShade="D9"/>
            </w:tcBorders>
            <w:vAlign w:val="center"/>
          </w:tcPr>
          <w:p w14:paraId="761CD102" w14:textId="77777777" w:rsidR="00B65EDC" w:rsidRPr="00912A85" w:rsidRDefault="00B65EDC">
            <w:pPr>
              <w:jc w:val="center"/>
              <w:rPr>
                <w:rFonts w:cs="Arial"/>
                <w:sz w:val="16"/>
                <w:szCs w:val="16"/>
              </w:rPr>
            </w:pPr>
            <w:r w:rsidRPr="00912A85">
              <w:rPr>
                <w:rFonts w:cs="Arial"/>
                <w:sz w:val="16"/>
                <w:szCs w:val="16"/>
              </w:rPr>
              <w:t>2 (2024)</w:t>
            </w:r>
          </w:p>
        </w:tc>
        <w:tc>
          <w:tcPr>
            <w:tcW w:w="1559" w:type="dxa"/>
            <w:tcBorders>
              <w:bottom w:val="single" w:sz="4" w:space="0" w:color="D9D9D9" w:themeColor="background1" w:themeShade="D9"/>
            </w:tcBorders>
            <w:vAlign w:val="center"/>
          </w:tcPr>
          <w:p w14:paraId="76E3BC6C" w14:textId="11940E7D" w:rsidR="00B65EDC" w:rsidRPr="00912A85" w:rsidDel="000345DE" w:rsidRDefault="59DEE1C8" w:rsidP="653ADAA8">
            <w:pPr>
              <w:jc w:val="center"/>
              <w:rPr>
                <w:rFonts w:cs="Arial"/>
                <w:sz w:val="16"/>
                <w:szCs w:val="16"/>
              </w:rPr>
            </w:pPr>
            <w:r w:rsidRPr="653ADAA8">
              <w:rPr>
                <w:rFonts w:cs="Arial"/>
                <w:sz w:val="16"/>
                <w:szCs w:val="16"/>
              </w:rPr>
              <w:t>16 (2026)</w:t>
            </w:r>
          </w:p>
          <w:p w14:paraId="4A8B3A3A" w14:textId="4C9A4752" w:rsidR="00B65EDC" w:rsidRPr="00912A85" w:rsidDel="000345DE" w:rsidRDefault="59DEE1C8">
            <w:pPr>
              <w:jc w:val="center"/>
              <w:rPr>
                <w:rFonts w:cs="Arial"/>
                <w:sz w:val="16"/>
                <w:szCs w:val="16"/>
              </w:rPr>
            </w:pPr>
            <w:r w:rsidRPr="653ADAA8">
              <w:rPr>
                <w:rFonts w:cs="Arial"/>
                <w:sz w:val="16"/>
                <w:szCs w:val="16"/>
              </w:rPr>
              <w:t>18 (2027)</w:t>
            </w:r>
          </w:p>
        </w:tc>
      </w:tr>
      <w:bookmarkEnd w:id="495"/>
    </w:tbl>
    <w:p w14:paraId="3E98462D" w14:textId="77777777" w:rsidR="00B65EDC" w:rsidRPr="00912A85" w:rsidRDefault="00B65EDC" w:rsidP="00B65EDC"/>
    <w:p w14:paraId="72C8F7F3" w14:textId="77777777" w:rsidR="00B65EDC" w:rsidRPr="00912A85" w:rsidRDefault="00B65EDC" w:rsidP="00B65EDC">
      <w:bookmarkStart w:id="496" w:name="_Hlk188213642"/>
    </w:p>
    <w:p w14:paraId="22DD09AF" w14:textId="77777777" w:rsidR="00B65EDC" w:rsidRPr="00912A85" w:rsidRDefault="00B65EDC" w:rsidP="00B65EDC"/>
    <w:p w14:paraId="14C94157" w14:textId="77777777" w:rsidR="00B65EDC" w:rsidRPr="00912A85" w:rsidRDefault="00B65EDC" w:rsidP="004448C7">
      <w:pPr>
        <w:pStyle w:val="Heading2"/>
      </w:pPr>
      <w:bookmarkStart w:id="497" w:name="_Toc117798901"/>
      <w:bookmarkStart w:id="498" w:name="_Toc107239606"/>
      <w:bookmarkStart w:id="499" w:name="_Toc107239356"/>
      <w:bookmarkStart w:id="500" w:name="_Toc208999654"/>
      <w:bookmarkEnd w:id="496"/>
      <w:r w:rsidRPr="00912A85">
        <w:t>Foundation:  Empower our people to work effectively, collaboratively and innovatively by providing them with the right resources, training and environment</w:t>
      </w:r>
      <w:bookmarkEnd w:id="497"/>
      <w:bookmarkEnd w:id="498"/>
      <w:bookmarkEnd w:id="499"/>
      <w:bookmarkEnd w:id="500"/>
    </w:p>
    <w:p w14:paraId="07DC5404" w14:textId="77777777" w:rsidR="00B65EDC" w:rsidRPr="00912A85" w:rsidRDefault="00B65EDC" w:rsidP="00B65EDC">
      <w:pPr>
        <w:keepNext/>
        <w:rPr>
          <w:b/>
          <w:bCs/>
          <w:sz w:val="22"/>
          <w:szCs w:val="22"/>
        </w:rPr>
      </w:pPr>
    </w:p>
    <w:p w14:paraId="2A8FD3C7" w14:textId="77777777" w:rsidR="00B65EDC" w:rsidRPr="00912A85" w:rsidRDefault="00B65EDC" w:rsidP="00B65EDC">
      <w:pPr>
        <w:pStyle w:val="Heading3"/>
        <w:rPr>
          <w:sz w:val="20"/>
        </w:rPr>
      </w:pPr>
      <w:bookmarkStart w:id="501" w:name="_Toc208999655"/>
      <w:r w:rsidRPr="00912A85">
        <w:t>Implementing strategy to achieve expected results</w:t>
      </w:r>
      <w:bookmarkEnd w:id="501"/>
    </w:p>
    <w:p w14:paraId="6ABC4737" w14:textId="77777777" w:rsidR="00B65EDC" w:rsidRPr="00912A85" w:rsidRDefault="00B65EDC" w:rsidP="00B65EDC">
      <w:pPr>
        <w:pStyle w:val="Default"/>
        <w:keepNext/>
        <w:rPr>
          <w:b/>
          <w:bCs/>
          <w:sz w:val="22"/>
          <w:szCs w:val="22"/>
        </w:rPr>
      </w:pPr>
    </w:p>
    <w:p w14:paraId="54050596" w14:textId="77777777" w:rsidR="00B65EDC" w:rsidRPr="00912A85" w:rsidRDefault="00B65EDC" w:rsidP="00B65EDC">
      <w:pPr>
        <w:pStyle w:val="Default"/>
        <w:jc w:val="both"/>
        <w:rPr>
          <w:bCs/>
          <w:sz w:val="20"/>
          <w:szCs w:val="20"/>
        </w:rPr>
      </w:pPr>
      <w:r w:rsidRPr="00912A85">
        <w:rPr>
          <w:bCs/>
          <w:sz w:val="20"/>
          <w:szCs w:val="20"/>
        </w:rPr>
        <w:fldChar w:fldCharType="begin"/>
      </w:r>
      <w:r w:rsidRPr="00912A85">
        <w:rPr>
          <w:bCs/>
          <w:sz w:val="20"/>
          <w:szCs w:val="20"/>
        </w:rPr>
        <w:instrText xml:space="preserve"> AUTONUM  </w:instrText>
      </w:r>
      <w:r w:rsidRPr="00912A85">
        <w:rPr>
          <w:bCs/>
          <w:sz w:val="20"/>
          <w:szCs w:val="20"/>
        </w:rPr>
        <w:fldChar w:fldCharType="end"/>
      </w:r>
      <w:r w:rsidRPr="00912A85">
        <w:rPr>
          <w:bCs/>
          <w:sz w:val="20"/>
          <w:szCs w:val="20"/>
        </w:rPr>
        <w:tab/>
        <w:t xml:space="preserve">Progression to the post COVID-19 “new normal” has included the introduction of regular part-time teleworking up to a maximum of two days per week.  UPOV has used, and will continue to use, fully remote working for certain individual contractors where this is appropriate and particularly where it provides new opportunities to engage high quality personnel within available resources.   </w:t>
      </w:r>
    </w:p>
    <w:p w14:paraId="5FB427F4" w14:textId="77777777" w:rsidR="00B65EDC" w:rsidRPr="00912A85" w:rsidRDefault="00B65EDC" w:rsidP="00B65EDC">
      <w:pPr>
        <w:pStyle w:val="Default"/>
        <w:jc w:val="both"/>
        <w:rPr>
          <w:bCs/>
          <w:sz w:val="20"/>
          <w:szCs w:val="20"/>
        </w:rPr>
      </w:pPr>
    </w:p>
    <w:p w14:paraId="1D6D9B07" w14:textId="0EA118FF" w:rsidR="00B65EDC" w:rsidRPr="00912A85" w:rsidRDefault="00B65EDC" w:rsidP="00B65EDC">
      <w:pPr>
        <w:pStyle w:val="Heading4"/>
      </w:pPr>
      <w:bookmarkStart w:id="502" w:name="_Toc117798904"/>
      <w:bookmarkStart w:id="503" w:name="_Toc107239609"/>
      <w:bookmarkStart w:id="504" w:name="_Toc107239359"/>
      <w:r w:rsidRPr="00912A85">
        <w:t>4.1</w:t>
      </w:r>
      <w:r w:rsidRPr="00912A85">
        <w:tab/>
      </w:r>
      <w:bookmarkEnd w:id="502"/>
      <w:bookmarkEnd w:id="503"/>
      <w:bookmarkEnd w:id="504"/>
      <w:r w:rsidR="000C10D9">
        <w:t>Ensure financial sustainability</w:t>
      </w:r>
    </w:p>
    <w:p w14:paraId="10E117CA" w14:textId="77777777" w:rsidR="00B65EDC" w:rsidRPr="00912A85" w:rsidRDefault="00B65EDC" w:rsidP="00B65EDC">
      <w:pPr>
        <w:keepNext/>
      </w:pPr>
    </w:p>
    <w:p w14:paraId="265A555C"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WIPO’s Internal Oversight Division (IOD) “Evaluation of the International Union for the Protection of New Varieties of Plants (UPOV)”, conducted in 2016, recommended that UPOV consider developing a Strategic Business Plan to diversify its revenue portfolio to maintain and enhance the sustainability of existing activities and services.  The measures to further diversify UPOV’s revenue portfolio will focus on generating income from UPOV PRISMA and the PLUTO database.  </w:t>
      </w:r>
    </w:p>
    <w:p w14:paraId="72896E01" w14:textId="77777777" w:rsidR="00B65EDC" w:rsidRPr="00912A85" w:rsidRDefault="00B65EDC" w:rsidP="00B65EDC">
      <w:pPr>
        <w:pStyle w:val="ListParagraph"/>
        <w:ind w:left="0"/>
      </w:pPr>
    </w:p>
    <w:p w14:paraId="1D4E166D" w14:textId="39D470FC"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In October 2024, the Consultative Committee endorsed the development of the section on horizon scanning and the integration of key strategies identified in document CC/102/3 in the future versions of the SBP. </w:t>
      </w:r>
      <w:r w:rsidR="008F3A5C">
        <w:t xml:space="preserve"> </w:t>
      </w:r>
      <w:r w:rsidRPr="00912A85">
        <w:t xml:space="preserve">A proposed </w:t>
      </w:r>
      <w:r w:rsidR="00FC6BF7">
        <w:t xml:space="preserve">UPOV </w:t>
      </w:r>
      <w:r w:rsidR="00FC6BF7" w:rsidRPr="00912A85">
        <w:t xml:space="preserve">Resources Strategy </w:t>
      </w:r>
      <w:r w:rsidR="00FC6BF7">
        <w:t xml:space="preserve">(document C/59/16) </w:t>
      </w:r>
      <w:r w:rsidRPr="00912A85">
        <w:t xml:space="preserve">to improve long term financial sustainability of UPOV and </w:t>
      </w:r>
      <w:proofErr w:type="gramStart"/>
      <w:r w:rsidRPr="00912A85">
        <w:t>increasing</w:t>
      </w:r>
      <w:proofErr w:type="gramEnd"/>
      <w:r w:rsidRPr="00912A85">
        <w:t xml:space="preserve"> UPOV’s outreach and impact</w:t>
      </w:r>
      <w:r w:rsidR="008F3A5C">
        <w:t>,</w:t>
      </w:r>
      <w:r w:rsidRPr="00912A85">
        <w:t xml:space="preserve"> will be presented for consideration by UPOV members in October 2025. </w:t>
      </w:r>
      <w:r w:rsidR="008F3A5C">
        <w:t xml:space="preserve"> </w:t>
      </w:r>
      <w:r w:rsidRPr="00912A85">
        <w:t>This strategy is, inter alia, connected to Expected Result 4.1 “</w:t>
      </w:r>
      <w:r w:rsidR="000C10D9" w:rsidRPr="000C10D9">
        <w:t>Ensure financial sustainability</w:t>
      </w:r>
      <w:r w:rsidRPr="00912A85">
        <w:t>” and will consider how to attract new donors, extra</w:t>
      </w:r>
      <w:r w:rsidR="008F3A5C">
        <w:t>-</w:t>
      </w:r>
      <w:r w:rsidRPr="00912A85">
        <w:t>budgetary funds, sponsors, human resources funded by UPOV members (e.g. Junior Professional Officers) and the conclusions on document CC/102/4 “UPOV e</w:t>
      </w:r>
      <w:r w:rsidRPr="00912A85">
        <w:rPr>
          <w:vertAlign w:val="subscript"/>
        </w:rPr>
        <w:t>-</w:t>
      </w:r>
      <w:r w:rsidRPr="00912A85">
        <w:t>PVP development and financing”.</w:t>
      </w:r>
    </w:p>
    <w:p w14:paraId="57BF0307" w14:textId="77777777" w:rsidR="00B65EDC" w:rsidRPr="00912A85" w:rsidRDefault="00B65EDC" w:rsidP="00B65EDC"/>
    <w:p w14:paraId="55E3FC8F" w14:textId="77777777"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The strategy will also address UPOV’s primary source of income, i.e. members’ contributions and additional ways to provide financial assistance to implement </w:t>
      </w:r>
      <w:proofErr w:type="gramStart"/>
      <w:r w:rsidRPr="00912A85">
        <w:t>the UPOV’s</w:t>
      </w:r>
      <w:proofErr w:type="gramEnd"/>
      <w:r w:rsidRPr="00912A85">
        <w:t xml:space="preserve"> program of work to secure long-term financial sustainability. </w:t>
      </w:r>
    </w:p>
    <w:p w14:paraId="265CCBB3" w14:textId="77777777" w:rsidR="00B65EDC" w:rsidRPr="00912A85" w:rsidRDefault="00B65EDC" w:rsidP="00B65EDC"/>
    <w:p w14:paraId="50FF4C05" w14:textId="77777777" w:rsidR="00B65EDC" w:rsidRPr="00912A85" w:rsidRDefault="00B65EDC" w:rsidP="00B65EDC">
      <w:pPr>
        <w:pStyle w:val="Heading5"/>
      </w:pPr>
      <w:bookmarkStart w:id="505" w:name="_Toc117798905"/>
      <w:bookmarkStart w:id="506" w:name="_Toc107239610"/>
      <w:bookmarkStart w:id="507" w:name="_Toc107239360"/>
      <w:r w:rsidRPr="00912A85">
        <w:t>Fee paying services</w:t>
      </w:r>
      <w:bookmarkEnd w:id="505"/>
      <w:bookmarkEnd w:id="506"/>
      <w:bookmarkEnd w:id="507"/>
    </w:p>
    <w:p w14:paraId="6D144C48" w14:textId="77777777" w:rsidR="00B65EDC" w:rsidRPr="00912A85" w:rsidRDefault="00B65EDC" w:rsidP="00B65EDC">
      <w:pPr>
        <w:pStyle w:val="ListParagraph"/>
        <w:ind w:left="0"/>
      </w:pPr>
    </w:p>
    <w:p w14:paraId="3EBF58A6"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A key basis for diversifying income is to generate income from services provided to users of the UPOV system while making services available to PVP offices without charge.  This will allow UPOV to develop and maintain high quality services for applicants and PVP offices.  A further important benefit is that this approach will connect UPOV with the users of the UPOV system and enhance service orientation within UPOV.  </w:t>
      </w:r>
    </w:p>
    <w:p w14:paraId="4DB8A0C3" w14:textId="77777777" w:rsidR="00B65EDC" w:rsidRPr="00912A85" w:rsidRDefault="00B65EDC" w:rsidP="00B65EDC">
      <w:pPr>
        <w:pStyle w:val="ListParagraph"/>
        <w:ind w:left="0"/>
      </w:pPr>
    </w:p>
    <w:p w14:paraId="3EFC251E"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UPOV PRISMA and the fee</w:t>
      </w:r>
      <w:r w:rsidRPr="00912A85">
        <w:noBreakHyphen/>
        <w:t>paying Premium Service of the PLUTO database will continue to play a principal role in increasing UPOV’s revenue.  Success in increasing revenue from these services relies on support by members of the Union.  In particular, income from UPOV PRISMA will be determined by the number of members of the Union that participate in UPOV PRISMA for all crops/species and enable UPOV PRISMA to have an efficient and seamless interface with their application procedures.  Similarly, the attractiveness of the PLUTO database Premium Service will rely on members of the Union providing complete and updated data on a regular basis.  Therefore, a priority for the Office of the Union will be to engage with members of the Union to provide support in operating PVP through UPOV e</w:t>
      </w:r>
      <w:r w:rsidRPr="00912A85">
        <w:noBreakHyphen/>
        <w:t xml:space="preserve">PVP and to facilitate their participation in UPOV PRISMA and contributions to the PLUTO database.   </w:t>
      </w:r>
    </w:p>
    <w:p w14:paraId="6A28C64A" w14:textId="77777777" w:rsidR="00B65EDC" w:rsidRPr="00912A85" w:rsidRDefault="00B65EDC" w:rsidP="00B65EDC">
      <w:pPr>
        <w:pStyle w:val="ListParagraph"/>
        <w:ind w:left="0"/>
      </w:pPr>
    </w:p>
    <w:p w14:paraId="394BEF48"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The feedback from users of the distance learning courses is positive and UPOV will further explore how to promote and make these courses more attractive for paying users. </w:t>
      </w:r>
    </w:p>
    <w:p w14:paraId="3127744D" w14:textId="77777777" w:rsidR="00B65EDC" w:rsidRPr="00912A85" w:rsidRDefault="00B65EDC" w:rsidP="00B65EDC">
      <w:pPr>
        <w:pStyle w:val="ListParagraph"/>
        <w:ind w:left="0"/>
      </w:pPr>
    </w:p>
    <w:p w14:paraId="51A56AF7"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In 2025, the enrollment of private sector learners and learners from organizations that are not covered by the priorities of the UPOV Council will be </w:t>
      </w:r>
      <w:proofErr w:type="gramStart"/>
      <w:r w:rsidRPr="00912A85">
        <w:t>enabled</w:t>
      </w:r>
      <w:proofErr w:type="gramEnd"/>
      <w:r w:rsidRPr="00912A85">
        <w:t xml:space="preserve"> the UPOV PVP Certificate program, subject to a fee payment.  The UPOV Office is developing the procedures for invoicing participants and treating the payments received for the UPOV PVP Certificate program.  The implementation plan anticipated a 500 Swiss francs fee for the enrollment of those participants.</w:t>
      </w:r>
    </w:p>
    <w:p w14:paraId="52055A06" w14:textId="77777777" w:rsidR="00B65EDC" w:rsidRPr="00912A85" w:rsidRDefault="00B65EDC" w:rsidP="00B65EDC">
      <w:pPr>
        <w:pStyle w:val="ListParagraph"/>
        <w:ind w:left="0"/>
      </w:pPr>
    </w:p>
    <w:p w14:paraId="325B7F48" w14:textId="77777777" w:rsidR="00B65EDC" w:rsidRPr="00912A85" w:rsidRDefault="00B65EDC" w:rsidP="00B65EDC">
      <w:pPr>
        <w:pStyle w:val="Heading5"/>
      </w:pPr>
      <w:bookmarkStart w:id="508" w:name="_Toc117798906"/>
      <w:bookmarkStart w:id="509" w:name="_Toc107239611"/>
      <w:bookmarkStart w:id="510" w:name="_Toc107239361"/>
      <w:bookmarkStart w:id="511" w:name="_Toc42703049"/>
      <w:r w:rsidRPr="00912A85">
        <w:t>Extra-budgetary funds</w:t>
      </w:r>
      <w:bookmarkEnd w:id="508"/>
      <w:bookmarkEnd w:id="509"/>
      <w:bookmarkEnd w:id="510"/>
      <w:bookmarkEnd w:id="511"/>
    </w:p>
    <w:p w14:paraId="7B2EC498" w14:textId="77777777" w:rsidR="00B65EDC" w:rsidRPr="00912A85" w:rsidRDefault="00B65EDC" w:rsidP="00B65EDC"/>
    <w:p w14:paraId="4C38FA72"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 xml:space="preserve">UPOV has greatly benefited from extra-budgetary funds provided by members of the Union, for example in the form of Funds-in-Trust. In recognition of the costs of the Office of the Union involved in the administration of such Funds-in-Trust, a charge is included for administrative support costs, which is treated as income. </w:t>
      </w:r>
    </w:p>
    <w:p w14:paraId="40ECD1BD" w14:textId="77777777" w:rsidR="00B65EDC" w:rsidRPr="00912A85" w:rsidRDefault="00B65EDC" w:rsidP="00B65EDC">
      <w:pPr>
        <w:pStyle w:val="ListParagraph"/>
        <w:ind w:left="0"/>
      </w:pPr>
    </w:p>
    <w:p w14:paraId="58370FD5" w14:textId="77777777"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r>
      <w:proofErr w:type="gramStart"/>
      <w:r w:rsidRPr="00912A85">
        <w:t>Extra-budgetary</w:t>
      </w:r>
      <w:proofErr w:type="gramEnd"/>
      <w:r w:rsidRPr="00912A85">
        <w:t xml:space="preserve"> funds will be important for the future and efforts will be made to ensure that the existing funds continue and that other members of the Union are encouraged to establish such funds.  </w:t>
      </w:r>
    </w:p>
    <w:p w14:paraId="536745DB" w14:textId="77777777" w:rsidR="00B65EDC" w:rsidRPr="00912A85" w:rsidRDefault="00B65EDC" w:rsidP="00B65EDC"/>
    <w:p w14:paraId="3BEFB67B" w14:textId="554DE029" w:rsidR="00B65EDC" w:rsidRPr="00912A85" w:rsidRDefault="00B65EDC" w:rsidP="00B65EDC">
      <w:pPr>
        <w:pStyle w:val="ListParagraph"/>
        <w:ind w:left="0"/>
        <w:rPr>
          <w:rFonts w:cs="Arial"/>
          <w:sz w:val="19"/>
          <w:szCs w:val="19"/>
        </w:rPr>
      </w:pPr>
      <w:r w:rsidRPr="00912A85">
        <w:fldChar w:fldCharType="begin"/>
      </w:r>
      <w:r w:rsidRPr="00912A85">
        <w:instrText xml:space="preserve"> AUTONUM  </w:instrText>
      </w:r>
      <w:r w:rsidRPr="00912A85">
        <w:fldChar w:fldCharType="end"/>
      </w:r>
      <w:r w:rsidRPr="00912A85">
        <w:tab/>
        <w:t>In addition, UPOV will work with members of the </w:t>
      </w:r>
      <w:proofErr w:type="gramStart"/>
      <w:r w:rsidRPr="00912A85">
        <w:t>Union</w:t>
      </w:r>
      <w:r w:rsidR="008F3A5C">
        <w:t>,</w:t>
      </w:r>
      <w:r w:rsidRPr="00912A85">
        <w:t xml:space="preserve"> and</w:t>
      </w:r>
      <w:proofErr w:type="gramEnd"/>
      <w:r w:rsidRPr="00912A85">
        <w:t xml:space="preserve"> States and organizations in the process of becoming UPOV members to assist them to instigate and lead requests for funds from donor agencies. </w:t>
      </w:r>
    </w:p>
    <w:p w14:paraId="763850F1" w14:textId="77777777" w:rsidR="00B65EDC" w:rsidRPr="00912A85" w:rsidRDefault="00B65EDC" w:rsidP="00B65EDC"/>
    <w:p w14:paraId="69861998" w14:textId="76E2EBE1" w:rsidR="00B65EDC" w:rsidRPr="00912A85" w:rsidRDefault="00B65EDC" w:rsidP="00B65EDC">
      <w:pPr>
        <w:pStyle w:val="ListParagraph"/>
        <w:ind w:left="0"/>
      </w:pPr>
      <w:r w:rsidRPr="00912A85">
        <w:fldChar w:fldCharType="begin"/>
      </w:r>
      <w:r w:rsidRPr="00912A85">
        <w:instrText xml:space="preserve"> AUTONUM  </w:instrText>
      </w:r>
      <w:r w:rsidRPr="00912A85">
        <w:fldChar w:fldCharType="end"/>
      </w:r>
      <w:r w:rsidRPr="00912A85">
        <w:tab/>
        <w:t>UPOV will also explore generating extra-budgetary funds through a multi-donor fund for the sustainable development of UPOV services (e.g. UPOV e</w:t>
      </w:r>
      <w:r w:rsidRPr="00912A85">
        <w:noBreakHyphen/>
        <w:t xml:space="preserve">PVP). </w:t>
      </w:r>
      <w:r w:rsidR="008F3A5C">
        <w:t xml:space="preserve"> </w:t>
      </w:r>
      <w:r w:rsidRPr="00912A85">
        <w:t xml:space="preserve">It is crucial that potential users of the UPOV services are aware of the benefits of the services provided. </w:t>
      </w:r>
      <w:r w:rsidR="008F3A5C">
        <w:t xml:space="preserve"> </w:t>
      </w:r>
      <w:r w:rsidRPr="00912A85">
        <w:t>UPOV will allocate resources to promote UPOV services (e.g.</w:t>
      </w:r>
      <w:r w:rsidR="008F3A5C">
        <w:t> </w:t>
      </w:r>
      <w:r w:rsidRPr="00912A85">
        <w:t xml:space="preserve">meetings with members and users, enhanced use of communication tools). </w:t>
      </w:r>
    </w:p>
    <w:p w14:paraId="5890D9B9" w14:textId="77777777" w:rsidR="00B65EDC" w:rsidRPr="00912A85" w:rsidRDefault="00B65EDC" w:rsidP="00B65EDC">
      <w:pPr>
        <w:jc w:val="left"/>
      </w:pPr>
    </w:p>
    <w:p w14:paraId="47FD7190" w14:textId="77777777" w:rsidR="00B65EDC" w:rsidRPr="00912A85" w:rsidRDefault="00B65EDC" w:rsidP="00B65EDC">
      <w:pPr>
        <w:pStyle w:val="Heading4"/>
      </w:pPr>
      <w:bookmarkStart w:id="512" w:name="_Toc117798907"/>
      <w:bookmarkStart w:id="513" w:name="_Toc107239612"/>
      <w:bookmarkStart w:id="514" w:name="_Toc107239362"/>
      <w:r w:rsidRPr="00912A85">
        <w:t>4.2</w:t>
      </w:r>
      <w:r w:rsidRPr="00912A85">
        <w:tab/>
        <w:t>A Secretariat that is empowered and is provided with the right resources and training to work effectively, collaboratively and innovatively</w:t>
      </w:r>
      <w:bookmarkEnd w:id="512"/>
      <w:bookmarkEnd w:id="513"/>
      <w:bookmarkEnd w:id="514"/>
    </w:p>
    <w:p w14:paraId="60FA759B" w14:textId="77777777" w:rsidR="00B65EDC" w:rsidRPr="00912A85" w:rsidRDefault="00B65EDC" w:rsidP="00B65EDC">
      <w:bookmarkStart w:id="515" w:name="_Toc42703050"/>
    </w:p>
    <w:bookmarkEnd w:id="515"/>
    <w:p w14:paraId="037EA26A" w14:textId="77777777" w:rsidR="00B65EDC" w:rsidRPr="00912A85" w:rsidRDefault="00B65EDC" w:rsidP="00B65EDC">
      <w:pPr>
        <w:tabs>
          <w:tab w:val="left" w:pos="567"/>
        </w:tabs>
        <w:rPr>
          <w:spacing w:val="-2"/>
        </w:rPr>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t xml:space="preserve">The number of UPOV members and States covered by the UPOV Convention has continued to increase, also </w:t>
      </w:r>
      <w:proofErr w:type="gramStart"/>
      <w:r w:rsidRPr="00912A85">
        <w:rPr>
          <w:spacing w:val="-2"/>
        </w:rPr>
        <w:t>accompanied in recent years</w:t>
      </w:r>
      <w:proofErr w:type="gramEnd"/>
      <w:r w:rsidRPr="00912A85">
        <w:rPr>
          <w:spacing w:val="-2"/>
        </w:rPr>
        <w:t xml:space="preserve"> by an increased number of States and organizations seeking advice on laws and awareness raising activities.  There has been also an increase in the portfolio of services that are provided by the Office of the Union, notably UPOV e</w:t>
      </w:r>
      <w:r w:rsidRPr="00912A85">
        <w:rPr>
          <w:spacing w:val="-2"/>
        </w:rPr>
        <w:noBreakHyphen/>
        <w:t xml:space="preserve">PVP and new training opportunities under the UPOV PVP Certificate.  This increase in UPOV’s work with a limited number of staff resources requires focus, agility and constant assessment of impact before engaging in relevant activities. </w:t>
      </w:r>
    </w:p>
    <w:p w14:paraId="2C296D96" w14:textId="77777777" w:rsidR="00B65EDC" w:rsidRPr="00912A85" w:rsidRDefault="00B65EDC" w:rsidP="00B65EDC">
      <w:pPr>
        <w:pStyle w:val="ListParagraph"/>
        <w:ind w:left="0"/>
        <w:rPr>
          <w:spacing w:val="-2"/>
        </w:rPr>
      </w:pPr>
    </w:p>
    <w:p w14:paraId="4C5DEC5B" w14:textId="72D83849" w:rsidR="00B65EDC" w:rsidRPr="00912A85" w:rsidRDefault="00B65EDC" w:rsidP="00B65EDC">
      <w:pPr>
        <w:pStyle w:val="ListParagraph"/>
        <w:ind w:left="0"/>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t xml:space="preserve">The nature of UPOV’s work will continue to evolve, with an ongoing commitment to continuous improvement.  </w:t>
      </w:r>
      <w:r w:rsidR="008F3A5C">
        <w:rPr>
          <w:spacing w:val="-2"/>
        </w:rPr>
        <w:t>T</w:t>
      </w:r>
      <w:r w:rsidRPr="00912A85">
        <w:rPr>
          <w:spacing w:val="-2"/>
        </w:rPr>
        <w:t xml:space="preserve">o ensure that the UPOV team has the skill sets required to adapt to changes and continuously improve, </w:t>
      </w:r>
      <w:r w:rsidRPr="00912A85">
        <w:t xml:space="preserve">emphasis will be placed on developing systematic and coherent staff development and training programs. </w:t>
      </w:r>
      <w:r w:rsidR="008F3A5C">
        <w:t xml:space="preserve"> </w:t>
      </w:r>
      <w:r w:rsidRPr="00912A85">
        <w:t>This development approach will include team building activities to improve “how we work together” in order to provide better services to UPOV members and stakeholders and engage in effective collaborations.</w:t>
      </w:r>
    </w:p>
    <w:p w14:paraId="4A41493B" w14:textId="77777777" w:rsidR="00B65EDC" w:rsidRPr="00912A85" w:rsidRDefault="00B65EDC" w:rsidP="00B65EDC">
      <w:pPr>
        <w:pStyle w:val="ListParagraph"/>
        <w:ind w:left="0"/>
      </w:pPr>
    </w:p>
    <w:p w14:paraId="45A34509" w14:textId="3E2EE735" w:rsidR="00B65EDC" w:rsidRPr="00912A85" w:rsidRDefault="00B65EDC" w:rsidP="00B65EDC">
      <w:r w:rsidRPr="00912A85">
        <w:fldChar w:fldCharType="begin"/>
      </w:r>
      <w:r w:rsidRPr="00912A85">
        <w:instrText xml:space="preserve"> AUTONUM  </w:instrText>
      </w:r>
      <w:r w:rsidRPr="00912A85">
        <w:fldChar w:fldCharType="end"/>
      </w:r>
      <w:r w:rsidRPr="00912A85">
        <w:tab/>
        <w:t xml:space="preserve">In the </w:t>
      </w:r>
      <w:r w:rsidR="00521C0D">
        <w:t>2026</w:t>
      </w:r>
      <w:r w:rsidR="00521C0D">
        <w:noBreakHyphen/>
        <w:t>2027</w:t>
      </w:r>
      <w:r w:rsidRPr="00912A85">
        <w:t xml:space="preserve"> biennium, UPOV will focus on priority areas, in accordance with UPOV’s Strategic Business Plan.  The proposed expenditure focuses on those priority areas while containing personnel costs. Communication and digitalization work will play a key role </w:t>
      </w:r>
      <w:r w:rsidR="008F3A5C">
        <w:t>in</w:t>
      </w:r>
      <w:r w:rsidRPr="00912A85">
        <w:t xml:space="preserve"> achiev</w:t>
      </w:r>
      <w:r w:rsidR="008F3A5C">
        <w:t>ing</w:t>
      </w:r>
      <w:r w:rsidRPr="00912A85">
        <w:t xml:space="preserve"> the expected results. </w:t>
      </w:r>
      <w:r w:rsidR="008F3A5C">
        <w:t xml:space="preserve"> </w:t>
      </w:r>
      <w:r w:rsidRPr="00912A85">
        <w:t>Until additional resources can be secured there will be a careful assessment of new initiatives and an increased use of virtual/hybrid meeting tools and online participation in events organized by third parties, resulting in a reduction in travel time and travel costs.</w:t>
      </w:r>
    </w:p>
    <w:p w14:paraId="239C33A0" w14:textId="77777777" w:rsidR="00B65EDC" w:rsidRPr="00912A85" w:rsidRDefault="00B65EDC" w:rsidP="00B65EDC">
      <w:pPr>
        <w:tabs>
          <w:tab w:val="left" w:pos="567"/>
        </w:tabs>
        <w:rPr>
          <w:spacing w:val="-2"/>
        </w:rPr>
      </w:pPr>
    </w:p>
    <w:p w14:paraId="7B1B00DB" w14:textId="667D4CAC" w:rsidR="009A0A72" w:rsidRDefault="00B65EDC" w:rsidP="009A0A72">
      <w:pPr>
        <w:keepLines/>
        <w:rPr>
          <w:spacing w:val="-2"/>
        </w:rPr>
      </w:pPr>
      <w:r w:rsidRPr="00912A85">
        <w:rPr>
          <w:spacing w:val="-2"/>
        </w:rPr>
        <w:lastRenderedPageBreak/>
        <w:fldChar w:fldCharType="begin"/>
      </w:r>
      <w:r w:rsidRPr="00912A85">
        <w:rPr>
          <w:spacing w:val="-2"/>
        </w:rPr>
        <w:instrText xml:space="preserve"> AUTONUM  </w:instrText>
      </w:r>
      <w:r w:rsidRPr="00912A85">
        <w:rPr>
          <w:spacing w:val="-2"/>
        </w:rPr>
        <w:fldChar w:fldCharType="end"/>
      </w:r>
      <w:r w:rsidRPr="00912A85">
        <w:rPr>
          <w:spacing w:val="-2"/>
        </w:rPr>
        <w:tab/>
      </w:r>
      <w:bookmarkStart w:id="516" w:name="_Hlk208498940"/>
      <w:r w:rsidRPr="00912A85">
        <w:rPr>
          <w:spacing w:val="-2"/>
        </w:rPr>
        <w:t xml:space="preserve">In order to ensure a sustainable UPOV Office, in October 2024, the Consultative Committee endorsed the development of a </w:t>
      </w:r>
      <w:r w:rsidR="009A0A72">
        <w:t xml:space="preserve">UPOV </w:t>
      </w:r>
      <w:r w:rsidR="009A0A72" w:rsidRPr="00912A85">
        <w:t xml:space="preserve">Resources Strategy </w:t>
      </w:r>
      <w:r w:rsidR="009A0A72">
        <w:t>(document C/59/16)</w:t>
      </w:r>
      <w:r w:rsidRPr="00912A85">
        <w:rPr>
          <w:spacing w:val="-2"/>
        </w:rPr>
        <w:t xml:space="preserve">. </w:t>
      </w:r>
      <w:r w:rsidR="004F5EE8">
        <w:rPr>
          <w:spacing w:val="-2"/>
        </w:rPr>
        <w:t xml:space="preserve"> </w:t>
      </w:r>
      <w:r w:rsidR="009A0A72" w:rsidRPr="009A0A72">
        <w:rPr>
          <w:spacing w:val="-2"/>
        </w:rPr>
        <w:t xml:space="preserve">As </w:t>
      </w:r>
      <w:r w:rsidR="009A0A72">
        <w:rPr>
          <w:spacing w:val="-2"/>
        </w:rPr>
        <w:t>personnel administration falls under the WIPO-UPOV Agreement</w:t>
      </w:r>
      <w:r w:rsidR="009A0A72" w:rsidRPr="009A0A72">
        <w:rPr>
          <w:spacing w:val="-2"/>
        </w:rPr>
        <w:t>, it can benefit from existing initiatives already captured under WIPO’s H</w:t>
      </w:r>
      <w:r w:rsidR="00263ED5">
        <w:rPr>
          <w:spacing w:val="-2"/>
        </w:rPr>
        <w:t>uman Resources S</w:t>
      </w:r>
      <w:r w:rsidR="009A0A72" w:rsidRPr="009A0A72">
        <w:rPr>
          <w:spacing w:val="-2"/>
        </w:rPr>
        <w:t xml:space="preserve">trategy (2022-2026), notably around </w:t>
      </w:r>
      <w:r w:rsidR="009A0A72">
        <w:rPr>
          <w:spacing w:val="-2"/>
        </w:rPr>
        <w:t>a</w:t>
      </w:r>
      <w:r w:rsidR="009A0A72" w:rsidRPr="009A0A72">
        <w:rPr>
          <w:spacing w:val="-2"/>
        </w:rPr>
        <w:t xml:space="preserve">gility, </w:t>
      </w:r>
      <w:r w:rsidR="009A0A72">
        <w:rPr>
          <w:spacing w:val="-2"/>
        </w:rPr>
        <w:t>d</w:t>
      </w:r>
      <w:r w:rsidR="009A0A72" w:rsidRPr="009A0A72">
        <w:rPr>
          <w:spacing w:val="-2"/>
        </w:rPr>
        <w:t xml:space="preserve">igital and </w:t>
      </w:r>
      <w:r w:rsidR="009A0A72">
        <w:rPr>
          <w:spacing w:val="-2"/>
        </w:rPr>
        <w:t>c</w:t>
      </w:r>
      <w:r w:rsidR="009A0A72" w:rsidRPr="009A0A72">
        <w:rPr>
          <w:spacing w:val="-2"/>
        </w:rPr>
        <w:t>ultural transformation</w:t>
      </w:r>
      <w:r w:rsidR="009A0A72">
        <w:rPr>
          <w:spacing w:val="-2"/>
        </w:rPr>
        <w:t xml:space="preserve"> and</w:t>
      </w:r>
      <w:r w:rsidR="009A0A72" w:rsidRPr="009A0A72">
        <w:rPr>
          <w:spacing w:val="-2"/>
        </w:rPr>
        <w:t xml:space="preserve"> </w:t>
      </w:r>
      <w:r w:rsidR="009A0A72">
        <w:rPr>
          <w:spacing w:val="-2"/>
        </w:rPr>
        <w:t>s</w:t>
      </w:r>
      <w:r w:rsidR="009A0A72" w:rsidRPr="009A0A72">
        <w:rPr>
          <w:spacing w:val="-2"/>
        </w:rPr>
        <w:t xml:space="preserve">trategic workforce planning to align talent with organizational goals through data driven planning and increased focus on </w:t>
      </w:r>
      <w:r w:rsidR="00263ED5">
        <w:rPr>
          <w:spacing w:val="-2"/>
        </w:rPr>
        <w:t>t</w:t>
      </w:r>
      <w:r w:rsidR="009A0A72" w:rsidRPr="009A0A72">
        <w:rPr>
          <w:spacing w:val="-2"/>
        </w:rPr>
        <w:t xml:space="preserve">alent </w:t>
      </w:r>
      <w:r w:rsidR="00263ED5">
        <w:rPr>
          <w:spacing w:val="-2"/>
        </w:rPr>
        <w:t>m</w:t>
      </w:r>
      <w:r w:rsidR="009A0A72" w:rsidRPr="009A0A72">
        <w:rPr>
          <w:spacing w:val="-2"/>
        </w:rPr>
        <w:t>anagement through identification of critical roles and mapping of existing skills v</w:t>
      </w:r>
      <w:r w:rsidR="009A0A72">
        <w:rPr>
          <w:spacing w:val="-2"/>
        </w:rPr>
        <w:t>ersus</w:t>
      </w:r>
      <w:r w:rsidR="009A0A72" w:rsidRPr="009A0A72">
        <w:rPr>
          <w:spacing w:val="-2"/>
        </w:rPr>
        <w:t xml:space="preserve"> future needs. UPOV should complement the existing framework with specific implementation strategies tailored to UPOV</w:t>
      </w:r>
      <w:r w:rsidR="00815593">
        <w:rPr>
          <w:spacing w:val="-2"/>
        </w:rPr>
        <w:t>’s</w:t>
      </w:r>
      <w:r w:rsidR="009A0A72" w:rsidRPr="009A0A72">
        <w:rPr>
          <w:spacing w:val="-2"/>
        </w:rPr>
        <w:t xml:space="preserve"> </w:t>
      </w:r>
      <w:r w:rsidR="00263ED5">
        <w:rPr>
          <w:spacing w:val="-2"/>
        </w:rPr>
        <w:t>specialized</w:t>
      </w:r>
      <w:r w:rsidR="009A0A72" w:rsidRPr="009A0A72">
        <w:rPr>
          <w:spacing w:val="-2"/>
        </w:rPr>
        <w:t xml:space="preserve"> talent needs and specific context:</w:t>
      </w:r>
    </w:p>
    <w:p w14:paraId="5E921CF6" w14:textId="77777777" w:rsidR="009A0A72" w:rsidRDefault="009A0A72" w:rsidP="009A0A72">
      <w:pPr>
        <w:keepLines/>
        <w:rPr>
          <w:spacing w:val="-2"/>
        </w:rPr>
      </w:pPr>
    </w:p>
    <w:p w14:paraId="45B0257D" w14:textId="3B9DE276" w:rsidR="009A0A72" w:rsidRPr="009A0A72" w:rsidRDefault="009A0A72" w:rsidP="009E6C95">
      <w:pPr>
        <w:pStyle w:val="ListParagraph"/>
        <w:keepLines/>
        <w:numPr>
          <w:ilvl w:val="1"/>
          <w:numId w:val="3"/>
        </w:numPr>
        <w:ind w:left="1134" w:hanging="567"/>
        <w:rPr>
          <w:spacing w:val="-2"/>
        </w:rPr>
      </w:pPr>
      <w:r w:rsidRPr="009A0A72">
        <w:rPr>
          <w:spacing w:val="-2"/>
        </w:rPr>
        <w:t>develop expert profiles with legal, technical</w:t>
      </w:r>
      <w:r w:rsidR="00263ED5">
        <w:rPr>
          <w:spacing w:val="-2"/>
        </w:rPr>
        <w:t xml:space="preserve">, communication and </w:t>
      </w:r>
      <w:r w:rsidRPr="009A0A72">
        <w:rPr>
          <w:spacing w:val="-2"/>
        </w:rPr>
        <w:t>digital skills;</w:t>
      </w:r>
    </w:p>
    <w:p w14:paraId="2AAD7D1C" w14:textId="04EB06C7" w:rsidR="00263ED5" w:rsidRDefault="009A0A72" w:rsidP="009E6C95">
      <w:pPr>
        <w:pStyle w:val="ListParagraph"/>
        <w:keepLines/>
        <w:numPr>
          <w:ilvl w:val="1"/>
          <w:numId w:val="3"/>
        </w:numPr>
        <w:ind w:left="1134" w:hanging="567"/>
        <w:rPr>
          <w:spacing w:val="-2"/>
        </w:rPr>
      </w:pPr>
      <w:r w:rsidRPr="00263ED5">
        <w:rPr>
          <w:spacing w:val="-2"/>
        </w:rPr>
        <w:t xml:space="preserve">ensure business continuity by prioritizing staff positions for critical skills to maintain institutional knowledge in essential areas while also promoting agility </w:t>
      </w:r>
      <w:r w:rsidR="00263ED5">
        <w:rPr>
          <w:spacing w:val="-2"/>
        </w:rPr>
        <w:t>to address evolving needs; and</w:t>
      </w:r>
    </w:p>
    <w:p w14:paraId="1FB56059" w14:textId="12957B8A" w:rsidR="009A0A72" w:rsidRPr="00263ED5" w:rsidRDefault="009A0A72" w:rsidP="009E6C95">
      <w:pPr>
        <w:pStyle w:val="ListParagraph"/>
        <w:keepLines/>
        <w:numPr>
          <w:ilvl w:val="1"/>
          <w:numId w:val="3"/>
        </w:numPr>
        <w:ind w:left="1134" w:hanging="567"/>
        <w:rPr>
          <w:spacing w:val="-2"/>
        </w:rPr>
      </w:pPr>
      <w:r w:rsidRPr="00263ED5">
        <w:rPr>
          <w:spacing w:val="-2"/>
        </w:rPr>
        <w:t xml:space="preserve">prioritize agility, cross functional skills, and versatility. </w:t>
      </w:r>
      <w:r w:rsidR="00276234">
        <w:rPr>
          <w:spacing w:val="-2"/>
        </w:rPr>
        <w:t>UPOV</w:t>
      </w:r>
      <w:r w:rsidR="00276234" w:rsidRPr="00263ED5">
        <w:rPr>
          <w:spacing w:val="-2"/>
        </w:rPr>
        <w:t xml:space="preserve"> </w:t>
      </w:r>
      <w:r w:rsidRPr="00263ED5">
        <w:rPr>
          <w:spacing w:val="-2"/>
        </w:rPr>
        <w:t xml:space="preserve">must also rely on different sourcing models as well as strategic partnerships to meet </w:t>
      </w:r>
      <w:r w:rsidR="00263ED5">
        <w:rPr>
          <w:spacing w:val="-2"/>
        </w:rPr>
        <w:t>the increased demand for services</w:t>
      </w:r>
      <w:r w:rsidRPr="00263ED5">
        <w:rPr>
          <w:spacing w:val="-2"/>
        </w:rPr>
        <w:t>.</w:t>
      </w:r>
    </w:p>
    <w:bookmarkEnd w:id="516"/>
    <w:p w14:paraId="10E150F9" w14:textId="77777777" w:rsidR="00B65EDC" w:rsidRPr="00912A85" w:rsidRDefault="00B65EDC" w:rsidP="00B65EDC">
      <w:pPr>
        <w:pStyle w:val="ListParagraph"/>
        <w:ind w:left="0"/>
      </w:pPr>
    </w:p>
    <w:p w14:paraId="2EEC1D9A" w14:textId="77777777" w:rsidR="00B65EDC" w:rsidRPr="00912A85" w:rsidRDefault="00B65EDC" w:rsidP="00B65EDC">
      <w:pPr>
        <w:tabs>
          <w:tab w:val="left" w:pos="567"/>
        </w:tabs>
        <w:rPr>
          <w:spacing w:val="-2"/>
        </w:rPr>
      </w:pPr>
    </w:p>
    <w:p w14:paraId="333858D0" w14:textId="77777777" w:rsidR="00B65EDC" w:rsidRPr="00912A85" w:rsidRDefault="00B65EDC" w:rsidP="00B65EDC">
      <w:pPr>
        <w:pStyle w:val="Heading3"/>
      </w:pPr>
      <w:bookmarkStart w:id="517" w:name="_Toc208999656"/>
      <w:r w:rsidRPr="00912A85">
        <w:t>Expected Results and Performance Indicators</w:t>
      </w:r>
      <w:bookmarkEnd w:id="517"/>
    </w:p>
    <w:p w14:paraId="13B4026D" w14:textId="77777777" w:rsidR="00B65EDC" w:rsidRPr="00912A85" w:rsidRDefault="00B65EDC" w:rsidP="00B65EDC">
      <w:pPr>
        <w:keepNext/>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912A85" w14:paraId="5A8101B4" w14:textId="77777777">
        <w:trPr>
          <w:tblHeader/>
        </w:trPr>
        <w:tc>
          <w:tcPr>
            <w:tcW w:w="426" w:type="dxa"/>
            <w:tcBorders>
              <w:bottom w:val="single" w:sz="4" w:space="0" w:color="D9D9D9" w:themeColor="background1" w:themeShade="D9"/>
            </w:tcBorders>
            <w:shd w:val="clear" w:color="auto" w:fill="E2E7EB" w:themeFill="accent3" w:themeFillTint="33"/>
          </w:tcPr>
          <w:p w14:paraId="7BCDC16C" w14:textId="77777777" w:rsidR="00B65EDC" w:rsidRPr="00912A85" w:rsidRDefault="00B65EDC">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F82446C" w14:textId="77777777" w:rsidR="00B65EDC" w:rsidRPr="00912A85" w:rsidRDefault="00B65EDC">
            <w:pPr>
              <w:jc w:val="left"/>
              <w:rPr>
                <w:b/>
                <w:bCs/>
                <w:sz w:val="16"/>
                <w:szCs w:val="16"/>
              </w:rPr>
            </w:pPr>
            <w:r w:rsidRPr="00912A85">
              <w:rPr>
                <w:b/>
                <w:bCs/>
                <w:sz w:val="16"/>
                <w:szCs w:val="16"/>
              </w:rPr>
              <w:t>Expected results</w:t>
            </w:r>
          </w:p>
        </w:tc>
        <w:tc>
          <w:tcPr>
            <w:tcW w:w="305" w:type="dxa"/>
            <w:tcBorders>
              <w:bottom w:val="single" w:sz="4" w:space="0" w:color="D9D9D9" w:themeColor="background1" w:themeShade="D9"/>
            </w:tcBorders>
            <w:shd w:val="clear" w:color="auto" w:fill="E2E7EB" w:themeFill="accent3" w:themeFillTint="33"/>
          </w:tcPr>
          <w:p w14:paraId="6387A432" w14:textId="77777777" w:rsidR="00B65EDC" w:rsidRPr="00912A85" w:rsidRDefault="00B65ED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5B2FE82" w14:textId="77777777" w:rsidR="00B65EDC" w:rsidRPr="00912A85" w:rsidRDefault="00B65EDC">
            <w:pPr>
              <w:rPr>
                <w:b/>
                <w:bCs/>
                <w:sz w:val="16"/>
                <w:szCs w:val="16"/>
              </w:rPr>
            </w:pPr>
            <w:r w:rsidRPr="00912A85">
              <w:rPr>
                <w:b/>
                <w:bCs/>
                <w:sz w:val="16"/>
                <w:szCs w:val="16"/>
              </w:rPr>
              <w:t>Performance Indicators</w:t>
            </w:r>
          </w:p>
        </w:tc>
        <w:tc>
          <w:tcPr>
            <w:tcW w:w="1632" w:type="dxa"/>
            <w:tcBorders>
              <w:bottom w:val="single" w:sz="4" w:space="0" w:color="D9D9D9" w:themeColor="background1" w:themeShade="D9"/>
            </w:tcBorders>
            <w:shd w:val="clear" w:color="auto" w:fill="E2E7EB" w:themeFill="accent3" w:themeFillTint="33"/>
          </w:tcPr>
          <w:p w14:paraId="1EDAB418" w14:textId="77777777" w:rsidR="00B65EDC" w:rsidRPr="00912A85" w:rsidRDefault="00B65EDC">
            <w:pPr>
              <w:jc w:val="center"/>
              <w:rPr>
                <w:b/>
                <w:bCs/>
                <w:sz w:val="16"/>
                <w:szCs w:val="16"/>
              </w:rPr>
            </w:pPr>
            <w:r w:rsidRPr="00912A85">
              <w:rPr>
                <w:b/>
                <w:bCs/>
                <w:sz w:val="16"/>
                <w:szCs w:val="16"/>
              </w:rPr>
              <w:t>Baselines</w:t>
            </w:r>
          </w:p>
        </w:tc>
        <w:tc>
          <w:tcPr>
            <w:tcW w:w="1559" w:type="dxa"/>
            <w:tcBorders>
              <w:bottom w:val="single" w:sz="4" w:space="0" w:color="D9D9D9" w:themeColor="background1" w:themeShade="D9"/>
            </w:tcBorders>
            <w:shd w:val="clear" w:color="auto" w:fill="E2E7EB" w:themeFill="accent3" w:themeFillTint="33"/>
          </w:tcPr>
          <w:p w14:paraId="473BC1A7" w14:textId="77777777" w:rsidR="00B65EDC" w:rsidRPr="00912A85" w:rsidRDefault="00B65EDC">
            <w:pPr>
              <w:jc w:val="center"/>
              <w:rPr>
                <w:b/>
                <w:bCs/>
                <w:sz w:val="16"/>
                <w:szCs w:val="16"/>
              </w:rPr>
            </w:pPr>
            <w:r w:rsidRPr="00912A85">
              <w:rPr>
                <w:b/>
                <w:bCs/>
                <w:sz w:val="16"/>
                <w:szCs w:val="16"/>
              </w:rPr>
              <w:t>Targets (2026/27)</w:t>
            </w:r>
          </w:p>
        </w:tc>
      </w:tr>
      <w:tr w:rsidR="00B65EDC" w:rsidRPr="00912A85" w14:paraId="1333AA82" w14:textId="77777777" w:rsidTr="00A538F6">
        <w:tc>
          <w:tcPr>
            <w:tcW w:w="426" w:type="dxa"/>
            <w:tcBorders>
              <w:top w:val="single" w:sz="4" w:space="0" w:color="D9D9D9" w:themeColor="background1" w:themeShade="D9"/>
              <w:bottom w:val="single" w:sz="4" w:space="0" w:color="D9D9D9" w:themeColor="background1" w:themeShade="D9"/>
            </w:tcBorders>
          </w:tcPr>
          <w:p w14:paraId="222B2EA9" w14:textId="77777777" w:rsidR="00B65EDC" w:rsidRPr="00912A85" w:rsidRDefault="00B65EDC">
            <w:pPr>
              <w:jc w:val="left"/>
              <w:rPr>
                <w:rFonts w:cs="Arial"/>
                <w:sz w:val="16"/>
                <w:szCs w:val="16"/>
              </w:rPr>
            </w:pPr>
            <w:r w:rsidRPr="00912A85">
              <w:rPr>
                <w:rFonts w:cs="Arial"/>
                <w:sz w:val="16"/>
                <w:szCs w:val="16"/>
              </w:rPr>
              <w:t>4.1</w:t>
            </w:r>
          </w:p>
        </w:tc>
        <w:tc>
          <w:tcPr>
            <w:tcW w:w="3255" w:type="dxa"/>
            <w:tcBorders>
              <w:top w:val="single" w:sz="4" w:space="0" w:color="D9D9D9" w:themeColor="background1" w:themeShade="D9"/>
              <w:bottom w:val="single" w:sz="4" w:space="0" w:color="D9D9D9" w:themeColor="background1" w:themeShade="D9"/>
            </w:tcBorders>
          </w:tcPr>
          <w:p w14:paraId="6DA9BBD2" w14:textId="1D21FDAB" w:rsidR="00B65EDC" w:rsidRPr="00912A85" w:rsidRDefault="000C10D9">
            <w:pPr>
              <w:jc w:val="left"/>
              <w:rPr>
                <w:rFonts w:cs="Arial"/>
                <w:sz w:val="16"/>
                <w:szCs w:val="16"/>
              </w:rPr>
            </w:pPr>
            <w:r>
              <w:rPr>
                <w:rFonts w:cs="Arial"/>
                <w:sz w:val="16"/>
                <w:szCs w:val="16"/>
              </w:rPr>
              <w:t>Ensure financial sustainability</w:t>
            </w:r>
          </w:p>
        </w:tc>
        <w:tc>
          <w:tcPr>
            <w:tcW w:w="305" w:type="dxa"/>
            <w:tcBorders>
              <w:top w:val="single" w:sz="4" w:space="0" w:color="D9D9D9" w:themeColor="background1" w:themeShade="D9"/>
              <w:bottom w:val="single" w:sz="4" w:space="0" w:color="D9D9D9" w:themeColor="background1" w:themeShade="D9"/>
            </w:tcBorders>
          </w:tcPr>
          <w:p w14:paraId="23974A7F" w14:textId="77777777" w:rsidR="00B65EDC" w:rsidRPr="00912A85" w:rsidRDefault="00B65EDC">
            <w:pPr>
              <w:jc w:val="left"/>
              <w:rPr>
                <w:rFonts w:cs="Arial"/>
                <w:sz w:val="16"/>
                <w:szCs w:val="16"/>
              </w:rPr>
            </w:pPr>
            <w:r w:rsidRPr="00912A85">
              <w:rPr>
                <w:rFonts w:cs="Arial"/>
                <w:sz w:val="16"/>
                <w:szCs w:val="16"/>
              </w:rPr>
              <w:t>16</w:t>
            </w:r>
          </w:p>
        </w:tc>
        <w:tc>
          <w:tcPr>
            <w:tcW w:w="2457" w:type="dxa"/>
            <w:tcBorders>
              <w:top w:val="single" w:sz="4" w:space="0" w:color="D9D9D9" w:themeColor="background1" w:themeShade="D9"/>
              <w:bottom w:val="single" w:sz="4" w:space="0" w:color="D9D9D9" w:themeColor="background1" w:themeShade="D9"/>
            </w:tcBorders>
          </w:tcPr>
          <w:p w14:paraId="7E11B07E" w14:textId="77777777" w:rsidR="00B65EDC" w:rsidRPr="00912A85" w:rsidRDefault="00B65EDC">
            <w:pPr>
              <w:jc w:val="left"/>
              <w:rPr>
                <w:rFonts w:cs="Arial"/>
                <w:sz w:val="16"/>
                <w:szCs w:val="16"/>
              </w:rPr>
            </w:pPr>
            <w:r w:rsidRPr="00912A85">
              <w:rPr>
                <w:rFonts w:cs="Arial"/>
                <w:sz w:val="16"/>
                <w:szCs w:val="16"/>
              </w:rPr>
              <w:t>Income from sources other than UPOV member contributions.</w:t>
            </w:r>
          </w:p>
        </w:tc>
        <w:tc>
          <w:tcPr>
            <w:tcW w:w="1632" w:type="dxa"/>
            <w:tcBorders>
              <w:top w:val="single" w:sz="4" w:space="0" w:color="D9D9D9" w:themeColor="background1" w:themeShade="D9"/>
              <w:bottom w:val="single" w:sz="4" w:space="0" w:color="D9D9D9" w:themeColor="background1" w:themeShade="D9"/>
            </w:tcBorders>
            <w:vAlign w:val="center"/>
          </w:tcPr>
          <w:p w14:paraId="07ACC11F" w14:textId="77777777" w:rsidR="00B65EDC" w:rsidRPr="00912A85" w:rsidRDefault="00B65EDC">
            <w:pPr>
              <w:jc w:val="center"/>
              <w:rPr>
                <w:rFonts w:cs="Arial"/>
                <w:sz w:val="16"/>
                <w:szCs w:val="16"/>
              </w:rPr>
            </w:pPr>
            <w:r w:rsidRPr="00912A85">
              <w:rPr>
                <w:rFonts w:cs="Arial"/>
                <w:sz w:val="16"/>
                <w:szCs w:val="16"/>
              </w:rPr>
              <w:t>5.9% (2024)</w:t>
            </w:r>
          </w:p>
        </w:tc>
        <w:tc>
          <w:tcPr>
            <w:tcW w:w="1559" w:type="dxa"/>
            <w:tcBorders>
              <w:top w:val="single" w:sz="4" w:space="0" w:color="D9D9D9" w:themeColor="background1" w:themeShade="D9"/>
              <w:bottom w:val="single" w:sz="4" w:space="0" w:color="D9D9D9" w:themeColor="background1" w:themeShade="D9"/>
            </w:tcBorders>
            <w:vAlign w:val="center"/>
          </w:tcPr>
          <w:p w14:paraId="097972BE" w14:textId="11E3E268" w:rsidR="00B65EDC" w:rsidRPr="00912A85" w:rsidRDefault="00B65EDC">
            <w:pPr>
              <w:jc w:val="center"/>
              <w:rPr>
                <w:rFonts w:cs="Arial"/>
                <w:sz w:val="16"/>
                <w:szCs w:val="16"/>
              </w:rPr>
            </w:pPr>
            <w:r w:rsidRPr="00912A85">
              <w:rPr>
                <w:rFonts w:cs="Arial"/>
                <w:sz w:val="16"/>
                <w:szCs w:val="16"/>
              </w:rPr>
              <w:t>6.3%</w:t>
            </w:r>
            <w:r w:rsidR="001D2573">
              <w:rPr>
                <w:rFonts w:cs="Arial"/>
                <w:sz w:val="16"/>
                <w:szCs w:val="16"/>
              </w:rPr>
              <w:t xml:space="preserve"> (biennium)</w:t>
            </w:r>
          </w:p>
        </w:tc>
      </w:tr>
      <w:tr w:rsidR="00B65EDC" w:rsidRPr="00912A85" w14:paraId="3E833428" w14:textId="77777777" w:rsidTr="00A538F6">
        <w:tc>
          <w:tcPr>
            <w:tcW w:w="426" w:type="dxa"/>
            <w:tcBorders>
              <w:top w:val="single" w:sz="4" w:space="0" w:color="D9D9D9" w:themeColor="background1" w:themeShade="D9"/>
              <w:bottom w:val="single" w:sz="4" w:space="0" w:color="D9D9D9" w:themeColor="background1" w:themeShade="D9"/>
            </w:tcBorders>
          </w:tcPr>
          <w:p w14:paraId="4020FBA4" w14:textId="77777777" w:rsidR="00B65EDC" w:rsidRPr="00912A85" w:rsidRDefault="00B65EDC">
            <w:pPr>
              <w:jc w:val="left"/>
              <w:rPr>
                <w:rFonts w:cs="Arial"/>
                <w:sz w:val="16"/>
                <w:szCs w:val="16"/>
              </w:rPr>
            </w:pPr>
            <w:r w:rsidRPr="00912A85">
              <w:rPr>
                <w:rFonts w:cs="Arial"/>
                <w:sz w:val="16"/>
                <w:szCs w:val="16"/>
              </w:rPr>
              <w:t>4.2</w:t>
            </w:r>
          </w:p>
        </w:tc>
        <w:tc>
          <w:tcPr>
            <w:tcW w:w="3255" w:type="dxa"/>
            <w:tcBorders>
              <w:top w:val="single" w:sz="4" w:space="0" w:color="D9D9D9" w:themeColor="background1" w:themeShade="D9"/>
              <w:bottom w:val="single" w:sz="4" w:space="0" w:color="D9D9D9" w:themeColor="background1" w:themeShade="D9"/>
            </w:tcBorders>
          </w:tcPr>
          <w:p w14:paraId="4C62A82E" w14:textId="77777777" w:rsidR="00B65EDC" w:rsidRPr="00912A85" w:rsidRDefault="00B65EDC">
            <w:pPr>
              <w:jc w:val="left"/>
              <w:rPr>
                <w:rFonts w:cs="Arial"/>
                <w:sz w:val="16"/>
                <w:szCs w:val="16"/>
              </w:rPr>
            </w:pPr>
            <w:r w:rsidRPr="00912A85">
              <w:rPr>
                <w:rFonts w:cs="Arial"/>
                <w:sz w:val="16"/>
                <w:szCs w:val="16"/>
              </w:rPr>
              <w:t>A Secretariat that is empowered and is provided with the right resources and training to work effectively, collaboratively and innovatively</w:t>
            </w:r>
          </w:p>
        </w:tc>
        <w:tc>
          <w:tcPr>
            <w:tcW w:w="305" w:type="dxa"/>
            <w:tcBorders>
              <w:top w:val="single" w:sz="4" w:space="0" w:color="D9D9D9" w:themeColor="background1" w:themeShade="D9"/>
              <w:bottom w:val="single" w:sz="4" w:space="0" w:color="D9D9D9" w:themeColor="background1" w:themeShade="D9"/>
            </w:tcBorders>
            <w:vAlign w:val="center"/>
          </w:tcPr>
          <w:p w14:paraId="7FDAD23C" w14:textId="77777777" w:rsidR="00B65EDC" w:rsidRPr="00912A85" w:rsidRDefault="00B65EDC">
            <w:pPr>
              <w:jc w:val="left"/>
              <w:rPr>
                <w:rFonts w:cs="Arial"/>
                <w:sz w:val="16"/>
                <w:szCs w:val="16"/>
              </w:rPr>
            </w:pPr>
            <w:r w:rsidRPr="00912A85">
              <w:rPr>
                <w:rFonts w:cs="Arial"/>
                <w:sz w:val="16"/>
                <w:szCs w:val="16"/>
              </w:rPr>
              <w:t>17</w:t>
            </w:r>
          </w:p>
        </w:tc>
        <w:tc>
          <w:tcPr>
            <w:tcW w:w="2457" w:type="dxa"/>
            <w:tcBorders>
              <w:top w:val="single" w:sz="4" w:space="0" w:color="D9D9D9" w:themeColor="background1" w:themeShade="D9"/>
              <w:bottom w:val="single" w:sz="4" w:space="0" w:color="D9D9D9" w:themeColor="background1" w:themeShade="D9"/>
            </w:tcBorders>
            <w:vAlign w:val="center"/>
          </w:tcPr>
          <w:p w14:paraId="08C04CB9" w14:textId="77777777" w:rsidR="00B65EDC" w:rsidRPr="00912A85" w:rsidRDefault="00B65EDC">
            <w:pPr>
              <w:jc w:val="left"/>
              <w:rPr>
                <w:rFonts w:cs="Arial"/>
                <w:sz w:val="16"/>
                <w:szCs w:val="16"/>
              </w:rPr>
            </w:pPr>
            <w:r w:rsidRPr="00912A85">
              <w:rPr>
                <w:rFonts w:cs="Arial"/>
                <w:sz w:val="16"/>
                <w:szCs w:val="16"/>
              </w:rPr>
              <w:t>Staff satisfaction level</w:t>
            </w:r>
          </w:p>
        </w:tc>
        <w:tc>
          <w:tcPr>
            <w:tcW w:w="1632" w:type="dxa"/>
            <w:tcBorders>
              <w:top w:val="single" w:sz="4" w:space="0" w:color="D9D9D9" w:themeColor="background1" w:themeShade="D9"/>
              <w:bottom w:val="single" w:sz="4" w:space="0" w:color="D9D9D9" w:themeColor="background1" w:themeShade="D9"/>
            </w:tcBorders>
            <w:vAlign w:val="center"/>
          </w:tcPr>
          <w:p w14:paraId="544C11AC" w14:textId="77777777" w:rsidR="00B65EDC" w:rsidRPr="00912A85" w:rsidRDefault="00B65EDC">
            <w:pPr>
              <w:jc w:val="center"/>
              <w:rPr>
                <w:rFonts w:cs="Arial"/>
                <w:sz w:val="16"/>
                <w:szCs w:val="16"/>
              </w:rPr>
            </w:pPr>
            <w:r w:rsidRPr="00912A85">
              <w:rPr>
                <w:rFonts w:cs="Arial"/>
                <w:sz w:val="16"/>
                <w:szCs w:val="16"/>
              </w:rPr>
              <w:t>84% (2024)</w:t>
            </w:r>
          </w:p>
        </w:tc>
        <w:tc>
          <w:tcPr>
            <w:tcW w:w="1559" w:type="dxa"/>
            <w:tcBorders>
              <w:top w:val="single" w:sz="4" w:space="0" w:color="D9D9D9" w:themeColor="background1" w:themeShade="D9"/>
              <w:bottom w:val="single" w:sz="4" w:space="0" w:color="D9D9D9" w:themeColor="background1" w:themeShade="D9"/>
            </w:tcBorders>
            <w:vAlign w:val="center"/>
          </w:tcPr>
          <w:p w14:paraId="054EE3BB" w14:textId="008D59D3" w:rsidR="00B65EDC" w:rsidRPr="00912A85" w:rsidRDefault="001D2573">
            <w:pPr>
              <w:jc w:val="center"/>
              <w:rPr>
                <w:rFonts w:cs="Arial"/>
                <w:sz w:val="16"/>
                <w:szCs w:val="16"/>
              </w:rPr>
            </w:pPr>
            <w:r w:rsidRPr="001D2573">
              <w:rPr>
                <w:sz w:val="16"/>
                <w:szCs w:val="12"/>
              </w:rPr>
              <w:t>≥ 85% satisfied or very satisfied</w:t>
            </w:r>
          </w:p>
        </w:tc>
      </w:tr>
    </w:tbl>
    <w:p w14:paraId="4A74B75A" w14:textId="77777777" w:rsidR="00B65EDC" w:rsidRPr="00912A85" w:rsidRDefault="00B65EDC" w:rsidP="00B65EDC"/>
    <w:p w14:paraId="7AAAC2D8" w14:textId="77777777" w:rsidR="00B65EDC" w:rsidRPr="00912A85" w:rsidRDefault="00B65EDC" w:rsidP="00B65EDC"/>
    <w:p w14:paraId="0401DFCB" w14:textId="24877713" w:rsidR="00B65EDC" w:rsidRPr="00912A85" w:rsidRDefault="00B65EDC" w:rsidP="00B65EDC">
      <w:pPr>
        <w:jc w:val="center"/>
        <w:rPr>
          <w:rFonts w:cs="Arial"/>
          <w:b/>
          <w:bCs/>
          <w:color w:val="26724C" w:themeColor="accent1" w:themeShade="BF"/>
        </w:rPr>
      </w:pPr>
      <w:bookmarkStart w:id="518" w:name="_Hlk190118185"/>
      <w:r w:rsidRPr="00912A85">
        <w:rPr>
          <w:rFonts w:cs="Arial"/>
          <w:b/>
          <w:bCs/>
          <w:color w:val="26724C" w:themeColor="accent1" w:themeShade="BF"/>
        </w:rPr>
        <w:t xml:space="preserve">Table 6:  Budget </w:t>
      </w:r>
      <w:r w:rsidR="00521C0D">
        <w:rPr>
          <w:rFonts w:cs="Arial"/>
          <w:b/>
          <w:bCs/>
          <w:color w:val="26724C" w:themeColor="accent1" w:themeShade="BF"/>
        </w:rPr>
        <w:t>2026</w:t>
      </w:r>
      <w:r w:rsidR="00521C0D">
        <w:rPr>
          <w:rFonts w:cs="Arial"/>
          <w:b/>
          <w:bCs/>
          <w:color w:val="26724C" w:themeColor="accent1" w:themeShade="BF"/>
        </w:rPr>
        <w:noBreakHyphen/>
        <w:t>2027</w:t>
      </w:r>
      <w:r w:rsidRPr="00912A85">
        <w:rPr>
          <w:rFonts w:cs="Arial"/>
          <w:b/>
          <w:bCs/>
          <w:color w:val="26724C" w:themeColor="accent1" w:themeShade="BF"/>
        </w:rPr>
        <w:t xml:space="preserve"> by Expected Result</w:t>
      </w:r>
    </w:p>
    <w:bookmarkEnd w:id="518"/>
    <w:p w14:paraId="56F32405" w14:textId="77777777" w:rsidR="00B65EDC" w:rsidRPr="00912A85" w:rsidRDefault="00B65EDC" w:rsidP="00B65EDC">
      <w:pPr>
        <w:keepNext/>
        <w:jc w:val="center"/>
        <w:rPr>
          <w:rFonts w:cs="Arial"/>
          <w:i/>
          <w:iCs/>
          <w:sz w:val="18"/>
          <w:szCs w:val="18"/>
        </w:rPr>
      </w:pPr>
      <w:r w:rsidRPr="00912A85">
        <w:rPr>
          <w:rFonts w:cs="Arial"/>
          <w:i/>
          <w:iCs/>
          <w:sz w:val="18"/>
          <w:szCs w:val="18"/>
        </w:rPr>
        <w:t>(in thousands of Swiss francs)</w:t>
      </w:r>
    </w:p>
    <w:p w14:paraId="48B9B346" w14:textId="77777777" w:rsidR="00B65EDC" w:rsidRPr="00912A85" w:rsidRDefault="00B65EDC" w:rsidP="00B65EDC">
      <w:pPr>
        <w:jc w:val="center"/>
      </w:pPr>
    </w:p>
    <w:tbl>
      <w:tblPr>
        <w:tblW w:w="8212" w:type="dxa"/>
        <w:jc w:val="center"/>
        <w:tblCellMar>
          <w:top w:w="28" w:type="dxa"/>
          <w:bottom w:w="28" w:type="dxa"/>
        </w:tblCellMar>
        <w:tblLook w:val="04A0" w:firstRow="1" w:lastRow="0" w:firstColumn="1" w:lastColumn="0" w:noHBand="0" w:noVBand="1"/>
      </w:tblPr>
      <w:tblGrid>
        <w:gridCol w:w="1134"/>
        <w:gridCol w:w="5483"/>
        <w:gridCol w:w="1595"/>
      </w:tblGrid>
      <w:tr w:rsidR="00B65EDC" w:rsidRPr="00912A85" w14:paraId="4A4C5F17" w14:textId="77777777">
        <w:trPr>
          <w:trHeight w:val="270"/>
          <w:jc w:val="center"/>
        </w:trPr>
        <w:tc>
          <w:tcPr>
            <w:tcW w:w="6617" w:type="dxa"/>
            <w:gridSpan w:val="2"/>
            <w:vMerge w:val="restart"/>
            <w:tcBorders>
              <w:top w:val="nil"/>
              <w:left w:val="nil"/>
              <w:bottom w:val="nil"/>
              <w:right w:val="nil"/>
            </w:tcBorders>
            <w:shd w:val="clear" w:color="000000" w:fill="C7CFD8"/>
            <w:vAlign w:val="center"/>
          </w:tcPr>
          <w:p w14:paraId="171F6E02" w14:textId="77777777" w:rsidR="00B65EDC" w:rsidRPr="00912A85" w:rsidRDefault="00B65EDC">
            <w:pPr>
              <w:jc w:val="center"/>
              <w:rPr>
                <w:rFonts w:cs="Arial"/>
                <w:b/>
                <w:bCs/>
                <w:sz w:val="16"/>
                <w:szCs w:val="16"/>
              </w:rPr>
            </w:pPr>
          </w:p>
        </w:tc>
        <w:tc>
          <w:tcPr>
            <w:tcW w:w="1595" w:type="dxa"/>
            <w:vMerge w:val="restart"/>
            <w:tcBorders>
              <w:top w:val="nil"/>
              <w:left w:val="nil"/>
              <w:bottom w:val="nil"/>
              <w:right w:val="nil"/>
            </w:tcBorders>
            <w:shd w:val="clear" w:color="000000" w:fill="C7CFD8"/>
            <w:vAlign w:val="center"/>
            <w:hideMark/>
          </w:tcPr>
          <w:p w14:paraId="2BCBF395" w14:textId="279EFBAD" w:rsidR="00B65EDC" w:rsidRPr="00912A85" w:rsidRDefault="00521C0D">
            <w:pPr>
              <w:jc w:val="center"/>
              <w:rPr>
                <w:rFonts w:cs="Arial"/>
                <w:b/>
                <w:bCs/>
                <w:sz w:val="16"/>
                <w:szCs w:val="16"/>
              </w:rPr>
            </w:pPr>
            <w:r>
              <w:rPr>
                <w:rFonts w:cs="Arial"/>
                <w:b/>
                <w:bCs/>
                <w:sz w:val="16"/>
                <w:szCs w:val="16"/>
              </w:rPr>
              <w:t>2026</w:t>
            </w:r>
            <w:r>
              <w:rPr>
                <w:rFonts w:cs="Arial"/>
                <w:b/>
                <w:bCs/>
                <w:sz w:val="16"/>
                <w:szCs w:val="16"/>
              </w:rPr>
              <w:noBreakHyphen/>
              <w:t>2027</w:t>
            </w:r>
            <w:r w:rsidR="00B65EDC" w:rsidRPr="00912A85">
              <w:rPr>
                <w:rFonts w:cs="Arial"/>
                <w:b/>
                <w:bCs/>
                <w:sz w:val="16"/>
                <w:szCs w:val="16"/>
              </w:rPr>
              <w:t xml:space="preserve"> Proposed </w:t>
            </w:r>
          </w:p>
        </w:tc>
      </w:tr>
      <w:tr w:rsidR="00B65EDC" w:rsidRPr="00912A85" w14:paraId="4A69C950" w14:textId="77777777">
        <w:trPr>
          <w:trHeight w:val="240"/>
          <w:jc w:val="center"/>
        </w:trPr>
        <w:tc>
          <w:tcPr>
            <w:tcW w:w="6617" w:type="dxa"/>
            <w:gridSpan w:val="2"/>
            <w:vMerge/>
            <w:tcBorders>
              <w:top w:val="nil"/>
              <w:left w:val="nil"/>
              <w:bottom w:val="nil"/>
              <w:right w:val="nil"/>
            </w:tcBorders>
            <w:vAlign w:val="center"/>
            <w:hideMark/>
          </w:tcPr>
          <w:p w14:paraId="6EE8C587" w14:textId="77777777" w:rsidR="00B65EDC" w:rsidRPr="00912A85" w:rsidRDefault="00B65EDC">
            <w:pPr>
              <w:jc w:val="left"/>
              <w:rPr>
                <w:rFonts w:cs="Arial"/>
                <w:b/>
                <w:bCs/>
                <w:sz w:val="16"/>
                <w:szCs w:val="16"/>
              </w:rPr>
            </w:pPr>
          </w:p>
        </w:tc>
        <w:tc>
          <w:tcPr>
            <w:tcW w:w="1595" w:type="dxa"/>
            <w:vMerge/>
            <w:tcBorders>
              <w:top w:val="nil"/>
              <w:left w:val="nil"/>
              <w:bottom w:val="nil"/>
              <w:right w:val="nil"/>
            </w:tcBorders>
            <w:vAlign w:val="center"/>
            <w:hideMark/>
          </w:tcPr>
          <w:p w14:paraId="72EEB384" w14:textId="77777777" w:rsidR="00B65EDC" w:rsidRPr="00912A85" w:rsidRDefault="00B65EDC">
            <w:pPr>
              <w:jc w:val="left"/>
              <w:rPr>
                <w:rFonts w:cs="Arial"/>
                <w:b/>
                <w:bCs/>
                <w:sz w:val="16"/>
                <w:szCs w:val="16"/>
              </w:rPr>
            </w:pPr>
          </w:p>
        </w:tc>
      </w:tr>
      <w:tr w:rsidR="00B65EDC" w:rsidRPr="00912A85" w14:paraId="7F138174" w14:textId="77777777" w:rsidTr="00A538F6">
        <w:trPr>
          <w:trHeight w:val="61"/>
          <w:jc w:val="center"/>
        </w:trPr>
        <w:tc>
          <w:tcPr>
            <w:tcW w:w="6617" w:type="dxa"/>
            <w:gridSpan w:val="2"/>
            <w:tcBorders>
              <w:top w:val="nil"/>
              <w:left w:val="nil"/>
              <w:bottom w:val="nil"/>
              <w:right w:val="nil"/>
            </w:tcBorders>
            <w:vAlign w:val="bottom"/>
            <w:hideMark/>
          </w:tcPr>
          <w:p w14:paraId="575CCD5D" w14:textId="77777777" w:rsidR="00B65EDC" w:rsidRPr="00912A85" w:rsidRDefault="00B65EDC">
            <w:pPr>
              <w:jc w:val="center"/>
              <w:rPr>
                <w:rFonts w:cs="Arial"/>
                <w:b/>
                <w:bCs/>
                <w:sz w:val="8"/>
                <w:szCs w:val="16"/>
              </w:rPr>
            </w:pPr>
          </w:p>
        </w:tc>
        <w:tc>
          <w:tcPr>
            <w:tcW w:w="1595" w:type="dxa"/>
            <w:tcBorders>
              <w:top w:val="nil"/>
              <w:left w:val="nil"/>
              <w:bottom w:val="nil"/>
              <w:right w:val="nil"/>
            </w:tcBorders>
            <w:vAlign w:val="bottom"/>
            <w:hideMark/>
          </w:tcPr>
          <w:p w14:paraId="1E3F57AE" w14:textId="77777777" w:rsidR="00B65EDC" w:rsidRPr="00912A85" w:rsidRDefault="00B65EDC">
            <w:pPr>
              <w:jc w:val="left"/>
              <w:rPr>
                <w:rFonts w:cs="Arial"/>
                <w:sz w:val="16"/>
                <w:szCs w:val="16"/>
              </w:rPr>
            </w:pPr>
          </w:p>
        </w:tc>
      </w:tr>
      <w:tr w:rsidR="00B65EDC" w:rsidRPr="00912A85" w14:paraId="106667A0" w14:textId="77777777" w:rsidTr="00A538F6">
        <w:trPr>
          <w:jc w:val="center"/>
        </w:trPr>
        <w:tc>
          <w:tcPr>
            <w:tcW w:w="1134" w:type="dxa"/>
            <w:tcBorders>
              <w:top w:val="nil"/>
              <w:left w:val="nil"/>
              <w:bottom w:val="nil"/>
              <w:right w:val="nil"/>
            </w:tcBorders>
            <w:hideMark/>
          </w:tcPr>
          <w:p w14:paraId="2A5A37C7" w14:textId="77777777" w:rsidR="00B65EDC" w:rsidRPr="00912A85" w:rsidRDefault="00B65EDC">
            <w:pPr>
              <w:jc w:val="center"/>
              <w:rPr>
                <w:rFonts w:cs="Arial"/>
                <w:sz w:val="16"/>
                <w:szCs w:val="16"/>
              </w:rPr>
            </w:pPr>
            <w:r w:rsidRPr="00912A85">
              <w:rPr>
                <w:rFonts w:cs="Arial"/>
                <w:sz w:val="16"/>
                <w:szCs w:val="16"/>
              </w:rPr>
              <w:t>1.1</w:t>
            </w:r>
          </w:p>
        </w:tc>
        <w:tc>
          <w:tcPr>
            <w:tcW w:w="5483" w:type="dxa"/>
            <w:tcBorders>
              <w:top w:val="nil"/>
              <w:left w:val="nil"/>
              <w:bottom w:val="nil"/>
              <w:right w:val="nil"/>
            </w:tcBorders>
            <w:hideMark/>
          </w:tcPr>
          <w:p w14:paraId="621A91DA" w14:textId="77777777" w:rsidR="00B65EDC" w:rsidRPr="00912A85" w:rsidRDefault="00B65EDC">
            <w:pPr>
              <w:jc w:val="left"/>
              <w:rPr>
                <w:rFonts w:cs="Arial"/>
                <w:sz w:val="16"/>
                <w:szCs w:val="16"/>
              </w:rPr>
            </w:pPr>
            <w:r w:rsidRPr="00912A85">
              <w:rPr>
                <w:rFonts w:cs="Arial"/>
                <w:sz w:val="16"/>
                <w:szCs w:val="16"/>
              </w:rPr>
              <w:t>Governance by the UPOV Council and work of UPOV Committees and other bodies</w:t>
            </w:r>
          </w:p>
        </w:tc>
        <w:tc>
          <w:tcPr>
            <w:tcW w:w="1595" w:type="dxa"/>
            <w:tcBorders>
              <w:top w:val="nil"/>
              <w:left w:val="nil"/>
              <w:bottom w:val="nil"/>
              <w:right w:val="nil"/>
            </w:tcBorders>
            <w:hideMark/>
          </w:tcPr>
          <w:p w14:paraId="305A39C1" w14:textId="77777777" w:rsidR="00B65EDC" w:rsidRPr="00912A85" w:rsidRDefault="00B65EDC">
            <w:pPr>
              <w:ind w:right="302"/>
              <w:jc w:val="right"/>
              <w:rPr>
                <w:rFonts w:cs="Arial"/>
                <w:sz w:val="16"/>
                <w:szCs w:val="16"/>
              </w:rPr>
            </w:pPr>
            <w:r w:rsidRPr="00912A85">
              <w:rPr>
                <w:rFonts w:cs="Arial"/>
                <w:sz w:val="16"/>
                <w:szCs w:val="16"/>
              </w:rPr>
              <w:t>722</w:t>
            </w:r>
          </w:p>
        </w:tc>
      </w:tr>
      <w:tr w:rsidR="00B65EDC" w:rsidRPr="00912A85" w14:paraId="49DDCEB3" w14:textId="77777777" w:rsidTr="00A538F6">
        <w:trPr>
          <w:jc w:val="center"/>
        </w:trPr>
        <w:tc>
          <w:tcPr>
            <w:tcW w:w="1134" w:type="dxa"/>
            <w:tcBorders>
              <w:top w:val="nil"/>
              <w:left w:val="nil"/>
              <w:bottom w:val="nil"/>
              <w:right w:val="nil"/>
            </w:tcBorders>
            <w:hideMark/>
          </w:tcPr>
          <w:p w14:paraId="43A215AE" w14:textId="77777777" w:rsidR="00B65EDC" w:rsidRPr="00912A85" w:rsidRDefault="00B65EDC">
            <w:pPr>
              <w:jc w:val="center"/>
              <w:rPr>
                <w:rFonts w:cs="Arial"/>
                <w:sz w:val="16"/>
                <w:szCs w:val="16"/>
              </w:rPr>
            </w:pPr>
            <w:r w:rsidRPr="00912A85">
              <w:rPr>
                <w:rFonts w:cs="Arial"/>
                <w:sz w:val="16"/>
                <w:szCs w:val="16"/>
              </w:rPr>
              <w:t>1.2</w:t>
            </w:r>
          </w:p>
        </w:tc>
        <w:tc>
          <w:tcPr>
            <w:tcW w:w="5483" w:type="dxa"/>
            <w:tcBorders>
              <w:top w:val="nil"/>
              <w:left w:val="nil"/>
              <w:bottom w:val="nil"/>
              <w:right w:val="nil"/>
            </w:tcBorders>
            <w:hideMark/>
          </w:tcPr>
          <w:p w14:paraId="3C2682A9" w14:textId="77777777" w:rsidR="00B65EDC" w:rsidRPr="00912A85" w:rsidRDefault="00B65EDC">
            <w:pPr>
              <w:jc w:val="left"/>
              <w:rPr>
                <w:rFonts w:cs="Arial"/>
                <w:sz w:val="16"/>
                <w:szCs w:val="16"/>
              </w:rPr>
            </w:pPr>
            <w:r w:rsidRPr="00912A85">
              <w:rPr>
                <w:rFonts w:cs="Arial"/>
                <w:sz w:val="16"/>
                <w:szCs w:val="16"/>
              </w:rPr>
              <w:t>Development of legislation on plant variety protection in accordance with the 1991 Act of the UPOV Convention</w:t>
            </w:r>
          </w:p>
        </w:tc>
        <w:tc>
          <w:tcPr>
            <w:tcW w:w="1595" w:type="dxa"/>
            <w:tcBorders>
              <w:top w:val="nil"/>
              <w:left w:val="nil"/>
              <w:bottom w:val="nil"/>
              <w:right w:val="nil"/>
            </w:tcBorders>
            <w:hideMark/>
          </w:tcPr>
          <w:p w14:paraId="2C6F6E0E" w14:textId="77777777" w:rsidR="00B65EDC" w:rsidRPr="00912A85" w:rsidRDefault="00B65EDC">
            <w:pPr>
              <w:ind w:right="302"/>
              <w:jc w:val="right"/>
              <w:rPr>
                <w:rFonts w:cs="Arial"/>
                <w:sz w:val="16"/>
                <w:szCs w:val="16"/>
              </w:rPr>
            </w:pPr>
            <w:r w:rsidRPr="00912A85">
              <w:rPr>
                <w:rFonts w:cs="Arial"/>
                <w:sz w:val="16"/>
                <w:szCs w:val="16"/>
              </w:rPr>
              <w:t>325</w:t>
            </w:r>
          </w:p>
        </w:tc>
      </w:tr>
      <w:tr w:rsidR="00B65EDC" w:rsidRPr="00912A85" w14:paraId="73706009" w14:textId="77777777" w:rsidTr="00A538F6">
        <w:trPr>
          <w:jc w:val="center"/>
        </w:trPr>
        <w:tc>
          <w:tcPr>
            <w:tcW w:w="1134" w:type="dxa"/>
            <w:tcBorders>
              <w:top w:val="nil"/>
              <w:left w:val="nil"/>
              <w:bottom w:val="nil"/>
              <w:right w:val="nil"/>
            </w:tcBorders>
            <w:hideMark/>
          </w:tcPr>
          <w:p w14:paraId="5D4F8B08" w14:textId="77777777" w:rsidR="00B65EDC" w:rsidRPr="00912A85" w:rsidRDefault="00B65EDC">
            <w:pPr>
              <w:jc w:val="center"/>
              <w:rPr>
                <w:rFonts w:cs="Arial"/>
                <w:sz w:val="16"/>
                <w:szCs w:val="16"/>
              </w:rPr>
            </w:pPr>
            <w:r w:rsidRPr="00912A85">
              <w:rPr>
                <w:rFonts w:cs="Arial"/>
                <w:sz w:val="16"/>
                <w:szCs w:val="16"/>
              </w:rPr>
              <w:t>2.1</w:t>
            </w:r>
          </w:p>
        </w:tc>
        <w:tc>
          <w:tcPr>
            <w:tcW w:w="5483" w:type="dxa"/>
            <w:tcBorders>
              <w:top w:val="nil"/>
              <w:left w:val="nil"/>
              <w:bottom w:val="nil"/>
              <w:right w:val="nil"/>
            </w:tcBorders>
            <w:hideMark/>
          </w:tcPr>
          <w:p w14:paraId="4F95A239" w14:textId="77777777" w:rsidR="00B65EDC" w:rsidRPr="00912A85" w:rsidRDefault="00B65EDC">
            <w:pPr>
              <w:jc w:val="left"/>
              <w:rPr>
                <w:rFonts w:cs="Arial"/>
                <w:sz w:val="16"/>
                <w:szCs w:val="16"/>
              </w:rPr>
            </w:pPr>
            <w:r w:rsidRPr="00912A85">
              <w:rPr>
                <w:rFonts w:cs="Arial"/>
                <w:sz w:val="16"/>
                <w:szCs w:val="16"/>
              </w:rPr>
              <w:t>Enhanced awareness of the role of the UPOV system</w:t>
            </w:r>
          </w:p>
        </w:tc>
        <w:tc>
          <w:tcPr>
            <w:tcW w:w="1595" w:type="dxa"/>
            <w:tcBorders>
              <w:top w:val="nil"/>
              <w:left w:val="nil"/>
              <w:bottom w:val="nil"/>
              <w:right w:val="nil"/>
            </w:tcBorders>
            <w:hideMark/>
          </w:tcPr>
          <w:p w14:paraId="3A7D4943" w14:textId="77777777" w:rsidR="00B65EDC" w:rsidRPr="00912A85" w:rsidRDefault="00B65EDC">
            <w:pPr>
              <w:ind w:right="302"/>
              <w:jc w:val="right"/>
              <w:rPr>
                <w:rFonts w:cs="Arial"/>
                <w:sz w:val="16"/>
                <w:szCs w:val="16"/>
              </w:rPr>
            </w:pPr>
            <w:r w:rsidRPr="00912A85">
              <w:rPr>
                <w:rFonts w:cs="Arial"/>
                <w:sz w:val="16"/>
                <w:szCs w:val="16"/>
              </w:rPr>
              <w:t>555</w:t>
            </w:r>
          </w:p>
        </w:tc>
      </w:tr>
      <w:tr w:rsidR="00B65EDC" w:rsidRPr="00912A85" w14:paraId="7D850C3B" w14:textId="77777777" w:rsidTr="00A538F6">
        <w:trPr>
          <w:jc w:val="center"/>
        </w:trPr>
        <w:tc>
          <w:tcPr>
            <w:tcW w:w="1134" w:type="dxa"/>
            <w:tcBorders>
              <w:top w:val="nil"/>
              <w:left w:val="nil"/>
              <w:bottom w:val="nil"/>
              <w:right w:val="nil"/>
            </w:tcBorders>
            <w:hideMark/>
          </w:tcPr>
          <w:p w14:paraId="39212B29" w14:textId="77777777" w:rsidR="00B65EDC" w:rsidRPr="00912A85" w:rsidRDefault="00B65EDC">
            <w:pPr>
              <w:jc w:val="center"/>
              <w:rPr>
                <w:rFonts w:cs="Arial"/>
                <w:sz w:val="16"/>
                <w:szCs w:val="16"/>
              </w:rPr>
            </w:pPr>
            <w:r w:rsidRPr="00912A85">
              <w:rPr>
                <w:rFonts w:cs="Arial"/>
                <w:sz w:val="16"/>
                <w:szCs w:val="16"/>
              </w:rPr>
              <w:t>2.2</w:t>
            </w:r>
          </w:p>
        </w:tc>
        <w:tc>
          <w:tcPr>
            <w:tcW w:w="5483" w:type="dxa"/>
            <w:tcBorders>
              <w:top w:val="nil"/>
              <w:left w:val="nil"/>
              <w:bottom w:val="nil"/>
              <w:right w:val="nil"/>
            </w:tcBorders>
            <w:hideMark/>
          </w:tcPr>
          <w:p w14:paraId="4881A154" w14:textId="77777777" w:rsidR="00B65EDC" w:rsidRPr="00912A85" w:rsidRDefault="00B65EDC">
            <w:pPr>
              <w:jc w:val="left"/>
              <w:rPr>
                <w:rFonts w:cs="Arial"/>
                <w:sz w:val="16"/>
                <w:szCs w:val="16"/>
              </w:rPr>
            </w:pPr>
            <w:r w:rsidRPr="00912A85">
              <w:rPr>
                <w:rFonts w:cs="Arial"/>
                <w:sz w:val="16"/>
                <w:szCs w:val="16"/>
              </w:rPr>
              <w:t>Guidance and assistance on the UPOV Convention and its implementation</w:t>
            </w:r>
          </w:p>
        </w:tc>
        <w:tc>
          <w:tcPr>
            <w:tcW w:w="1595" w:type="dxa"/>
            <w:tcBorders>
              <w:top w:val="nil"/>
              <w:left w:val="nil"/>
              <w:bottom w:val="nil"/>
              <w:right w:val="nil"/>
            </w:tcBorders>
            <w:hideMark/>
          </w:tcPr>
          <w:p w14:paraId="301700C3" w14:textId="77777777" w:rsidR="00B65EDC" w:rsidRPr="00912A85" w:rsidRDefault="00B65EDC">
            <w:pPr>
              <w:ind w:right="302"/>
              <w:jc w:val="right"/>
              <w:rPr>
                <w:rFonts w:cs="Arial"/>
                <w:sz w:val="16"/>
                <w:szCs w:val="16"/>
              </w:rPr>
            </w:pPr>
            <w:r w:rsidRPr="00912A85">
              <w:rPr>
                <w:rFonts w:cs="Arial"/>
                <w:sz w:val="16"/>
                <w:szCs w:val="16"/>
              </w:rPr>
              <w:t>1,910</w:t>
            </w:r>
          </w:p>
        </w:tc>
      </w:tr>
      <w:tr w:rsidR="00B65EDC" w:rsidRPr="00912A85" w14:paraId="673716F6" w14:textId="77777777" w:rsidTr="00A538F6">
        <w:trPr>
          <w:jc w:val="center"/>
        </w:trPr>
        <w:tc>
          <w:tcPr>
            <w:tcW w:w="1134" w:type="dxa"/>
            <w:tcBorders>
              <w:top w:val="nil"/>
              <w:left w:val="nil"/>
              <w:bottom w:val="nil"/>
              <w:right w:val="nil"/>
            </w:tcBorders>
            <w:hideMark/>
          </w:tcPr>
          <w:p w14:paraId="74333A00" w14:textId="77777777" w:rsidR="00B65EDC" w:rsidRPr="00912A85" w:rsidRDefault="00B65EDC">
            <w:pPr>
              <w:jc w:val="center"/>
              <w:rPr>
                <w:rFonts w:cs="Arial"/>
                <w:sz w:val="16"/>
                <w:szCs w:val="16"/>
              </w:rPr>
            </w:pPr>
            <w:r w:rsidRPr="00912A85">
              <w:rPr>
                <w:rFonts w:cs="Arial"/>
                <w:sz w:val="16"/>
                <w:szCs w:val="16"/>
              </w:rPr>
              <w:t>2.3</w:t>
            </w:r>
          </w:p>
        </w:tc>
        <w:tc>
          <w:tcPr>
            <w:tcW w:w="5483" w:type="dxa"/>
            <w:tcBorders>
              <w:top w:val="nil"/>
              <w:left w:val="nil"/>
              <w:bottom w:val="nil"/>
              <w:right w:val="nil"/>
            </w:tcBorders>
            <w:hideMark/>
          </w:tcPr>
          <w:p w14:paraId="6C451AE4" w14:textId="77777777" w:rsidR="00B65EDC" w:rsidRPr="00912A85" w:rsidRDefault="00B65EDC">
            <w:pPr>
              <w:jc w:val="left"/>
              <w:rPr>
                <w:rFonts w:cs="Arial"/>
                <w:sz w:val="16"/>
                <w:szCs w:val="16"/>
              </w:rPr>
            </w:pPr>
            <w:r w:rsidRPr="00912A85">
              <w:rPr>
                <w:rFonts w:cs="Arial"/>
                <w:sz w:val="16"/>
                <w:szCs w:val="16"/>
              </w:rPr>
              <w:t>Enhanced harmonization and cooperation in examination</w:t>
            </w:r>
          </w:p>
        </w:tc>
        <w:tc>
          <w:tcPr>
            <w:tcW w:w="1595" w:type="dxa"/>
            <w:tcBorders>
              <w:top w:val="nil"/>
              <w:left w:val="nil"/>
              <w:bottom w:val="nil"/>
              <w:right w:val="nil"/>
            </w:tcBorders>
            <w:hideMark/>
          </w:tcPr>
          <w:p w14:paraId="322597A3" w14:textId="77777777" w:rsidR="00B65EDC" w:rsidRPr="00912A85" w:rsidRDefault="00B65EDC">
            <w:pPr>
              <w:ind w:right="302"/>
              <w:jc w:val="right"/>
              <w:rPr>
                <w:rFonts w:cs="Arial"/>
                <w:sz w:val="16"/>
                <w:szCs w:val="16"/>
              </w:rPr>
            </w:pPr>
            <w:r w:rsidRPr="00912A85">
              <w:rPr>
                <w:rFonts w:cs="Arial"/>
                <w:sz w:val="16"/>
                <w:szCs w:val="16"/>
              </w:rPr>
              <w:t>1,209</w:t>
            </w:r>
          </w:p>
        </w:tc>
      </w:tr>
      <w:tr w:rsidR="00B65EDC" w:rsidRPr="00912A85" w14:paraId="56CE3B84" w14:textId="77777777" w:rsidTr="00A538F6">
        <w:trPr>
          <w:jc w:val="center"/>
        </w:trPr>
        <w:tc>
          <w:tcPr>
            <w:tcW w:w="1134" w:type="dxa"/>
            <w:tcBorders>
              <w:top w:val="nil"/>
              <w:left w:val="nil"/>
              <w:bottom w:val="nil"/>
              <w:right w:val="nil"/>
            </w:tcBorders>
            <w:hideMark/>
          </w:tcPr>
          <w:p w14:paraId="4778D7E6" w14:textId="77777777" w:rsidR="00B65EDC" w:rsidRPr="00912A85" w:rsidRDefault="00B65EDC">
            <w:pPr>
              <w:jc w:val="center"/>
              <w:rPr>
                <w:rFonts w:cs="Arial"/>
                <w:sz w:val="16"/>
                <w:szCs w:val="16"/>
              </w:rPr>
            </w:pPr>
            <w:r w:rsidRPr="00912A85">
              <w:rPr>
                <w:rFonts w:cs="Arial"/>
                <w:sz w:val="16"/>
                <w:szCs w:val="16"/>
              </w:rPr>
              <w:t>3.1</w:t>
            </w:r>
          </w:p>
        </w:tc>
        <w:tc>
          <w:tcPr>
            <w:tcW w:w="5483" w:type="dxa"/>
            <w:tcBorders>
              <w:top w:val="nil"/>
              <w:left w:val="nil"/>
              <w:bottom w:val="nil"/>
              <w:right w:val="nil"/>
            </w:tcBorders>
            <w:hideMark/>
          </w:tcPr>
          <w:p w14:paraId="01FF680D" w14:textId="77777777" w:rsidR="00B65EDC" w:rsidRPr="00912A85" w:rsidRDefault="00B65EDC">
            <w:pPr>
              <w:jc w:val="left"/>
              <w:rPr>
                <w:rFonts w:cs="Arial"/>
                <w:sz w:val="16"/>
                <w:szCs w:val="16"/>
              </w:rPr>
            </w:pPr>
            <w:r w:rsidRPr="00912A85">
              <w:rPr>
                <w:rFonts w:cs="Arial"/>
                <w:sz w:val="16"/>
                <w:szCs w:val="16"/>
              </w:rPr>
              <w:t>Development of UPOV e</w:t>
            </w:r>
            <w:r w:rsidRPr="00912A85">
              <w:rPr>
                <w:rFonts w:ascii="Cambria Math" w:hAnsi="Cambria Math" w:cs="Cambria Math"/>
                <w:sz w:val="16"/>
                <w:szCs w:val="16"/>
              </w:rPr>
              <w:t>‐</w:t>
            </w:r>
            <w:r w:rsidRPr="00912A85">
              <w:rPr>
                <w:rFonts w:cs="Arial"/>
                <w:sz w:val="16"/>
                <w:szCs w:val="16"/>
              </w:rPr>
              <w:t>PVP services</w:t>
            </w:r>
          </w:p>
        </w:tc>
        <w:tc>
          <w:tcPr>
            <w:tcW w:w="1595" w:type="dxa"/>
            <w:tcBorders>
              <w:top w:val="nil"/>
              <w:left w:val="nil"/>
              <w:bottom w:val="nil"/>
              <w:right w:val="nil"/>
            </w:tcBorders>
            <w:hideMark/>
          </w:tcPr>
          <w:p w14:paraId="3E4777DD" w14:textId="77777777" w:rsidR="00B65EDC" w:rsidRPr="00912A85" w:rsidRDefault="00B65EDC">
            <w:pPr>
              <w:ind w:right="302"/>
              <w:jc w:val="right"/>
              <w:rPr>
                <w:rFonts w:cs="Arial"/>
                <w:sz w:val="16"/>
                <w:szCs w:val="16"/>
              </w:rPr>
            </w:pPr>
            <w:r w:rsidRPr="00912A85">
              <w:rPr>
                <w:rFonts w:cs="Arial"/>
                <w:sz w:val="16"/>
                <w:szCs w:val="16"/>
              </w:rPr>
              <w:t>1,083</w:t>
            </w:r>
          </w:p>
        </w:tc>
      </w:tr>
      <w:tr w:rsidR="00B65EDC" w:rsidRPr="00912A85" w14:paraId="44205366" w14:textId="77777777" w:rsidTr="00A538F6">
        <w:trPr>
          <w:jc w:val="center"/>
        </w:trPr>
        <w:tc>
          <w:tcPr>
            <w:tcW w:w="1134" w:type="dxa"/>
            <w:tcBorders>
              <w:top w:val="nil"/>
              <w:left w:val="nil"/>
              <w:bottom w:val="nil"/>
              <w:right w:val="nil"/>
            </w:tcBorders>
            <w:hideMark/>
          </w:tcPr>
          <w:p w14:paraId="40CE2CD1" w14:textId="77777777" w:rsidR="00B65EDC" w:rsidRPr="00912A85" w:rsidRDefault="00B65EDC">
            <w:pPr>
              <w:jc w:val="center"/>
              <w:rPr>
                <w:rFonts w:cs="Arial"/>
                <w:sz w:val="16"/>
                <w:szCs w:val="16"/>
              </w:rPr>
            </w:pPr>
            <w:r w:rsidRPr="00912A85">
              <w:rPr>
                <w:rFonts w:cs="Arial"/>
                <w:sz w:val="16"/>
                <w:szCs w:val="16"/>
              </w:rPr>
              <w:t>4.1</w:t>
            </w:r>
          </w:p>
        </w:tc>
        <w:tc>
          <w:tcPr>
            <w:tcW w:w="5483" w:type="dxa"/>
            <w:tcBorders>
              <w:top w:val="nil"/>
              <w:left w:val="nil"/>
              <w:bottom w:val="nil"/>
              <w:right w:val="nil"/>
            </w:tcBorders>
            <w:hideMark/>
          </w:tcPr>
          <w:p w14:paraId="409A1D0D" w14:textId="5520C479" w:rsidR="00B65EDC" w:rsidRPr="00912A85" w:rsidRDefault="000C10D9">
            <w:pPr>
              <w:jc w:val="left"/>
              <w:rPr>
                <w:rFonts w:cs="Arial"/>
                <w:sz w:val="16"/>
                <w:szCs w:val="16"/>
              </w:rPr>
            </w:pPr>
            <w:r w:rsidRPr="000C10D9">
              <w:rPr>
                <w:rFonts w:cs="Arial"/>
                <w:sz w:val="16"/>
                <w:szCs w:val="16"/>
              </w:rPr>
              <w:t>Ensure financial sustainability</w:t>
            </w:r>
          </w:p>
        </w:tc>
        <w:tc>
          <w:tcPr>
            <w:tcW w:w="1595" w:type="dxa"/>
            <w:tcBorders>
              <w:top w:val="nil"/>
              <w:left w:val="nil"/>
              <w:bottom w:val="nil"/>
              <w:right w:val="nil"/>
            </w:tcBorders>
            <w:hideMark/>
          </w:tcPr>
          <w:p w14:paraId="73594E5E" w14:textId="77777777" w:rsidR="00B65EDC" w:rsidRPr="00912A85" w:rsidRDefault="00B65EDC">
            <w:pPr>
              <w:ind w:right="302"/>
              <w:jc w:val="right"/>
              <w:rPr>
                <w:rFonts w:cs="Arial"/>
                <w:sz w:val="16"/>
                <w:szCs w:val="16"/>
              </w:rPr>
            </w:pPr>
            <w:r w:rsidRPr="00912A85">
              <w:rPr>
                <w:rFonts w:cs="Arial"/>
                <w:sz w:val="16"/>
                <w:szCs w:val="16"/>
              </w:rPr>
              <w:t>422</w:t>
            </w:r>
          </w:p>
        </w:tc>
      </w:tr>
      <w:tr w:rsidR="00B65EDC" w:rsidRPr="00912A85" w14:paraId="5A0574C7" w14:textId="77777777" w:rsidTr="00A538F6">
        <w:trPr>
          <w:jc w:val="center"/>
        </w:trPr>
        <w:tc>
          <w:tcPr>
            <w:tcW w:w="1134" w:type="dxa"/>
            <w:tcBorders>
              <w:top w:val="nil"/>
              <w:left w:val="nil"/>
              <w:bottom w:val="nil"/>
              <w:right w:val="nil"/>
            </w:tcBorders>
            <w:hideMark/>
          </w:tcPr>
          <w:p w14:paraId="272C5596" w14:textId="77777777" w:rsidR="00B65EDC" w:rsidRPr="00912A85" w:rsidRDefault="00B65EDC">
            <w:pPr>
              <w:jc w:val="center"/>
              <w:rPr>
                <w:rFonts w:cs="Arial"/>
                <w:sz w:val="16"/>
                <w:szCs w:val="16"/>
              </w:rPr>
            </w:pPr>
            <w:r w:rsidRPr="00912A85">
              <w:rPr>
                <w:rFonts w:cs="Arial"/>
                <w:sz w:val="16"/>
                <w:szCs w:val="16"/>
              </w:rPr>
              <w:t>4.2</w:t>
            </w:r>
          </w:p>
        </w:tc>
        <w:tc>
          <w:tcPr>
            <w:tcW w:w="5483" w:type="dxa"/>
            <w:tcBorders>
              <w:top w:val="nil"/>
              <w:left w:val="nil"/>
              <w:bottom w:val="nil"/>
              <w:right w:val="nil"/>
            </w:tcBorders>
            <w:hideMark/>
          </w:tcPr>
          <w:p w14:paraId="6ADC13B0" w14:textId="77777777" w:rsidR="00B65EDC" w:rsidRPr="00912A85" w:rsidRDefault="00B65EDC">
            <w:pPr>
              <w:jc w:val="left"/>
              <w:rPr>
                <w:rFonts w:cs="Arial"/>
                <w:sz w:val="16"/>
                <w:szCs w:val="16"/>
              </w:rPr>
            </w:pPr>
            <w:r w:rsidRPr="00912A85">
              <w:rPr>
                <w:rFonts w:cs="Arial"/>
                <w:sz w:val="16"/>
                <w:szCs w:val="16"/>
              </w:rPr>
              <w:t>A Secretariat that is empowered and is provided with the right resources and training to work effectively, collaboratively and innovatively</w:t>
            </w:r>
          </w:p>
        </w:tc>
        <w:tc>
          <w:tcPr>
            <w:tcW w:w="1595" w:type="dxa"/>
            <w:tcBorders>
              <w:top w:val="nil"/>
              <w:left w:val="nil"/>
              <w:bottom w:val="nil"/>
              <w:right w:val="nil"/>
            </w:tcBorders>
            <w:hideMark/>
          </w:tcPr>
          <w:p w14:paraId="17EC299F" w14:textId="77777777" w:rsidR="00B65EDC" w:rsidRPr="00912A85" w:rsidRDefault="00B65EDC">
            <w:pPr>
              <w:ind w:right="302"/>
              <w:jc w:val="right"/>
              <w:rPr>
                <w:rFonts w:cs="Arial"/>
                <w:sz w:val="16"/>
                <w:szCs w:val="16"/>
              </w:rPr>
            </w:pPr>
            <w:r w:rsidRPr="00912A85">
              <w:rPr>
                <w:rFonts w:cs="Arial"/>
                <w:sz w:val="16"/>
                <w:szCs w:val="16"/>
              </w:rPr>
              <w:t>1,390</w:t>
            </w:r>
          </w:p>
        </w:tc>
      </w:tr>
      <w:tr w:rsidR="00B65EDC" w:rsidRPr="00912A85" w14:paraId="1F0E1F91" w14:textId="77777777" w:rsidTr="00A538F6">
        <w:trPr>
          <w:trHeight w:val="61"/>
          <w:jc w:val="center"/>
        </w:trPr>
        <w:tc>
          <w:tcPr>
            <w:tcW w:w="1134" w:type="dxa"/>
            <w:tcBorders>
              <w:top w:val="nil"/>
              <w:left w:val="nil"/>
              <w:bottom w:val="nil"/>
              <w:right w:val="nil"/>
            </w:tcBorders>
            <w:vAlign w:val="bottom"/>
            <w:hideMark/>
          </w:tcPr>
          <w:p w14:paraId="1E5DE317" w14:textId="77777777" w:rsidR="00B65EDC" w:rsidRPr="00912A85" w:rsidRDefault="00B65EDC">
            <w:pPr>
              <w:jc w:val="right"/>
              <w:rPr>
                <w:rFonts w:cs="Arial"/>
                <w:sz w:val="16"/>
                <w:szCs w:val="16"/>
              </w:rPr>
            </w:pPr>
          </w:p>
        </w:tc>
        <w:tc>
          <w:tcPr>
            <w:tcW w:w="5483" w:type="dxa"/>
            <w:tcBorders>
              <w:top w:val="nil"/>
              <w:left w:val="nil"/>
              <w:bottom w:val="nil"/>
              <w:right w:val="nil"/>
            </w:tcBorders>
            <w:vAlign w:val="bottom"/>
            <w:hideMark/>
          </w:tcPr>
          <w:p w14:paraId="12DDB94F" w14:textId="77777777" w:rsidR="00B65EDC" w:rsidRPr="00912A85" w:rsidRDefault="00B65EDC">
            <w:pPr>
              <w:jc w:val="left"/>
              <w:rPr>
                <w:rFonts w:cs="Arial"/>
                <w:sz w:val="16"/>
                <w:szCs w:val="16"/>
              </w:rPr>
            </w:pPr>
          </w:p>
        </w:tc>
        <w:tc>
          <w:tcPr>
            <w:tcW w:w="1595" w:type="dxa"/>
            <w:tcBorders>
              <w:top w:val="nil"/>
              <w:left w:val="nil"/>
              <w:bottom w:val="nil"/>
              <w:right w:val="nil"/>
            </w:tcBorders>
            <w:vAlign w:val="bottom"/>
            <w:hideMark/>
          </w:tcPr>
          <w:p w14:paraId="5F1AB7E8" w14:textId="77777777" w:rsidR="00B65EDC" w:rsidRPr="00912A85" w:rsidRDefault="00B65EDC">
            <w:pPr>
              <w:ind w:right="302"/>
              <w:jc w:val="right"/>
              <w:rPr>
                <w:rFonts w:cs="Arial"/>
                <w:sz w:val="16"/>
                <w:szCs w:val="16"/>
              </w:rPr>
            </w:pPr>
          </w:p>
        </w:tc>
      </w:tr>
      <w:tr w:rsidR="00B65EDC" w:rsidRPr="00912A85" w14:paraId="7C5D839B" w14:textId="77777777" w:rsidTr="00A538F6">
        <w:trPr>
          <w:trHeight w:val="345"/>
          <w:jc w:val="center"/>
        </w:trPr>
        <w:tc>
          <w:tcPr>
            <w:tcW w:w="1134" w:type="dxa"/>
            <w:tcBorders>
              <w:top w:val="single" w:sz="4" w:space="0" w:color="AAB8C4"/>
              <w:left w:val="nil"/>
              <w:bottom w:val="single" w:sz="8" w:space="0" w:color="AAB8C4"/>
              <w:right w:val="nil"/>
            </w:tcBorders>
            <w:vAlign w:val="center"/>
            <w:hideMark/>
          </w:tcPr>
          <w:p w14:paraId="7BDDC0CF" w14:textId="77777777" w:rsidR="00B65EDC" w:rsidRPr="00912A85" w:rsidRDefault="00B65EDC">
            <w:pPr>
              <w:ind w:firstLineChars="200" w:firstLine="321"/>
              <w:jc w:val="left"/>
              <w:rPr>
                <w:rFonts w:cs="Arial"/>
                <w:b/>
                <w:bCs/>
                <w:sz w:val="16"/>
                <w:szCs w:val="16"/>
              </w:rPr>
            </w:pPr>
            <w:r w:rsidRPr="00912A85">
              <w:rPr>
                <w:rFonts w:cs="Arial"/>
                <w:b/>
                <w:bCs/>
                <w:sz w:val="16"/>
                <w:szCs w:val="16"/>
              </w:rPr>
              <w:t>TOTAL</w:t>
            </w:r>
          </w:p>
        </w:tc>
        <w:tc>
          <w:tcPr>
            <w:tcW w:w="5483" w:type="dxa"/>
            <w:tcBorders>
              <w:top w:val="single" w:sz="4" w:space="0" w:color="AAB8C4"/>
              <w:left w:val="nil"/>
              <w:bottom w:val="single" w:sz="8" w:space="0" w:color="AAB8C4"/>
              <w:right w:val="nil"/>
            </w:tcBorders>
            <w:vAlign w:val="center"/>
            <w:hideMark/>
          </w:tcPr>
          <w:p w14:paraId="053ABBD1" w14:textId="77777777" w:rsidR="00B65EDC" w:rsidRPr="00912A85" w:rsidRDefault="00B65EDC">
            <w:pPr>
              <w:jc w:val="left"/>
              <w:rPr>
                <w:rFonts w:cs="Arial"/>
                <w:b/>
                <w:bCs/>
                <w:sz w:val="16"/>
                <w:szCs w:val="16"/>
              </w:rPr>
            </w:pPr>
            <w:r w:rsidRPr="00912A85">
              <w:rPr>
                <w:rFonts w:cs="Arial"/>
                <w:b/>
                <w:bCs/>
                <w:sz w:val="16"/>
                <w:szCs w:val="16"/>
              </w:rPr>
              <w:t> </w:t>
            </w:r>
          </w:p>
        </w:tc>
        <w:tc>
          <w:tcPr>
            <w:tcW w:w="1595" w:type="dxa"/>
            <w:tcBorders>
              <w:top w:val="single" w:sz="4" w:space="0" w:color="C9C9C9"/>
              <w:left w:val="nil"/>
              <w:bottom w:val="single" w:sz="8" w:space="0" w:color="C9C9C9"/>
              <w:right w:val="nil"/>
            </w:tcBorders>
            <w:vAlign w:val="center"/>
            <w:hideMark/>
          </w:tcPr>
          <w:p w14:paraId="3943E2B8" w14:textId="77777777" w:rsidR="00B65EDC" w:rsidRPr="00912A85" w:rsidRDefault="00B65EDC">
            <w:pPr>
              <w:ind w:right="302"/>
              <w:jc w:val="right"/>
              <w:rPr>
                <w:rFonts w:cs="Arial"/>
                <w:b/>
                <w:bCs/>
                <w:sz w:val="16"/>
                <w:szCs w:val="16"/>
              </w:rPr>
            </w:pPr>
            <w:r w:rsidRPr="00912A85">
              <w:rPr>
                <w:rFonts w:cs="Arial"/>
                <w:b/>
                <w:bCs/>
                <w:sz w:val="16"/>
                <w:szCs w:val="16"/>
              </w:rPr>
              <w:t>7,616</w:t>
            </w:r>
          </w:p>
        </w:tc>
      </w:tr>
    </w:tbl>
    <w:p w14:paraId="2A8EDE8D" w14:textId="77777777" w:rsidR="00B65EDC" w:rsidRPr="00912A85" w:rsidRDefault="00B65EDC" w:rsidP="00B65EDC">
      <w:pPr>
        <w:jc w:val="center"/>
        <w:rPr>
          <w:caps/>
          <w:color w:val="26724C" w:themeColor="accent1" w:themeShade="BF"/>
          <w:sz w:val="32"/>
          <w:szCs w:val="24"/>
        </w:rPr>
      </w:pPr>
    </w:p>
    <w:p w14:paraId="45FC89D5" w14:textId="77777777" w:rsidR="00B65EDC" w:rsidRPr="00912A85" w:rsidRDefault="00B65EDC" w:rsidP="00B65EDC">
      <w:pPr>
        <w:jc w:val="left"/>
        <w:rPr>
          <w:caps/>
          <w:color w:val="26724C" w:themeColor="accent1" w:themeShade="BF"/>
          <w:sz w:val="32"/>
          <w:szCs w:val="24"/>
        </w:rPr>
      </w:pPr>
      <w:r w:rsidRPr="00912A85">
        <w:br w:type="page"/>
      </w:r>
    </w:p>
    <w:p w14:paraId="04409C94" w14:textId="77777777" w:rsidR="00B65EDC" w:rsidRPr="00912A85" w:rsidRDefault="00B65EDC" w:rsidP="00FC7FED">
      <w:pPr>
        <w:pStyle w:val="Heading1"/>
      </w:pPr>
      <w:bookmarkStart w:id="519" w:name="_Toc208999657"/>
      <w:r w:rsidRPr="00912A85">
        <w:lastRenderedPageBreak/>
        <w:t>Financial indicators 2020-2029</w:t>
      </w:r>
      <w:bookmarkEnd w:id="519"/>
    </w:p>
    <w:p w14:paraId="3DC39855" w14:textId="77777777" w:rsidR="00B65EDC" w:rsidRPr="00912A85" w:rsidRDefault="00B65EDC" w:rsidP="00B65EDC"/>
    <w:p w14:paraId="13B7C20F" w14:textId="1AED092C" w:rsidR="00B65EDC" w:rsidRPr="00912A85" w:rsidRDefault="00B65EDC" w:rsidP="00B65EDC">
      <w:pPr>
        <w:tabs>
          <w:tab w:val="left" w:pos="567"/>
        </w:tabs>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r>
      <w:r w:rsidRPr="00912A85">
        <w:t xml:space="preserve">The Program and Budget 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 xml:space="preserve">Biennium includes a presentation of financial indicators covering a 10-year period, including two years beyond the new biennium and information from the recent past.  The presentation of the financial indicators is intended to put the proposed budget for the </w:t>
      </w:r>
      <w:r w:rsidR="00521C0D">
        <w:rPr>
          <w:snapToGrid w:val="0"/>
          <w:spacing w:val="-2"/>
          <w:szCs w:val="24"/>
        </w:rPr>
        <w:t>2026</w:t>
      </w:r>
      <w:r w:rsidR="00521C0D">
        <w:rPr>
          <w:snapToGrid w:val="0"/>
          <w:spacing w:val="-2"/>
          <w:szCs w:val="24"/>
        </w:rPr>
        <w:noBreakHyphen/>
        <w:t>2027</w:t>
      </w:r>
      <w:r w:rsidRPr="00912A85">
        <w:rPr>
          <w:snapToGrid w:val="0"/>
          <w:spacing w:val="-2"/>
          <w:szCs w:val="24"/>
        </w:rPr>
        <w:t xml:space="preserve"> </w:t>
      </w:r>
      <w:r w:rsidRPr="00912A85">
        <w:t>biennium into context by indicating trends and assessing future financial sustainability.  This information is provided to facilitate members’ review and decision</w:t>
      </w:r>
      <w:r w:rsidR="004F5EE8">
        <w:t>s</w:t>
      </w:r>
      <w:r w:rsidRPr="00912A85">
        <w:t xml:space="preserve"> on the proposed Program and Budget, and it should not be construed as constituting any specific financial commitment or approval beyond 2025.</w:t>
      </w:r>
    </w:p>
    <w:p w14:paraId="0B9C7060" w14:textId="77777777" w:rsidR="00B65EDC" w:rsidRPr="00912A85" w:rsidRDefault="00B65EDC" w:rsidP="00B65EDC">
      <w:pPr>
        <w:tabs>
          <w:tab w:val="left" w:pos="567"/>
        </w:tabs>
      </w:pPr>
    </w:p>
    <w:p w14:paraId="0B8FCBD3" w14:textId="77777777" w:rsidR="00B65EDC" w:rsidRPr="00912A85" w:rsidRDefault="00B65EDC" w:rsidP="00B65EDC">
      <w:pPr>
        <w:tabs>
          <w:tab w:val="left" w:pos="567"/>
        </w:tabs>
      </w:pPr>
      <w:r w:rsidRPr="00912A85">
        <w:rPr>
          <w:spacing w:val="-2"/>
        </w:rPr>
        <w:fldChar w:fldCharType="begin"/>
      </w:r>
      <w:r w:rsidRPr="00912A85">
        <w:rPr>
          <w:spacing w:val="-2"/>
        </w:rPr>
        <w:instrText xml:space="preserve"> AUTONUM  </w:instrText>
      </w:r>
      <w:r w:rsidRPr="00912A85">
        <w:rPr>
          <w:spacing w:val="-2"/>
        </w:rPr>
        <w:fldChar w:fldCharType="end"/>
      </w:r>
      <w:r w:rsidRPr="00912A85">
        <w:rPr>
          <w:spacing w:val="-2"/>
        </w:rPr>
        <w:tab/>
      </w:r>
      <w:r w:rsidRPr="00912A85">
        <w:t>The anticipated evolution of the regular budget, as far as income, expenditures and reserve and working capital fund levels are concerned, is shown in Table 7 and Figure 1.</w:t>
      </w:r>
    </w:p>
    <w:p w14:paraId="268B12EE" w14:textId="77777777" w:rsidR="00B65EDC" w:rsidRPr="00912A85" w:rsidRDefault="00B65EDC" w:rsidP="00B65EDC">
      <w:pPr>
        <w:rPr>
          <w:spacing w:val="-2"/>
          <w:szCs w:val="24"/>
        </w:rPr>
      </w:pPr>
    </w:p>
    <w:p w14:paraId="4061ED8E" w14:textId="77777777" w:rsidR="00B65EDC" w:rsidRPr="00912A85" w:rsidRDefault="00B65EDC" w:rsidP="00B65EDC">
      <w:pPr>
        <w:rPr>
          <w:spacing w:val="-2"/>
          <w:szCs w:val="24"/>
        </w:rPr>
      </w:pPr>
    </w:p>
    <w:p w14:paraId="07E34A2A" w14:textId="77777777" w:rsidR="00B65EDC" w:rsidRPr="00912A85" w:rsidRDefault="00B65EDC" w:rsidP="00B65EDC">
      <w:pPr>
        <w:jc w:val="center"/>
        <w:rPr>
          <w:rFonts w:cs="Arial"/>
          <w:i/>
          <w:iCs/>
          <w:sz w:val="18"/>
          <w:szCs w:val="18"/>
        </w:rPr>
      </w:pPr>
      <w:r w:rsidRPr="00912A85">
        <w:rPr>
          <w:rFonts w:cs="Arial"/>
          <w:b/>
          <w:bCs/>
          <w:color w:val="26724C" w:themeColor="accent1" w:themeShade="BF"/>
        </w:rPr>
        <w:t>Table 7:  Income, Expenditure and Reserves for 2020-2029</w:t>
      </w:r>
      <w:r w:rsidRPr="00912A85">
        <w:rPr>
          <w:rFonts w:cs="Arial"/>
          <w:b/>
          <w:bCs/>
        </w:rPr>
        <w:br/>
      </w:r>
      <w:r w:rsidRPr="00912A85">
        <w:rPr>
          <w:rFonts w:cs="Arial"/>
          <w:i/>
          <w:iCs/>
          <w:sz w:val="18"/>
          <w:szCs w:val="18"/>
        </w:rPr>
        <w:t>(in thousands of Swiss francs)</w:t>
      </w:r>
    </w:p>
    <w:p w14:paraId="35A0DE1D" w14:textId="77777777" w:rsidR="00B65EDC" w:rsidRPr="00912A85" w:rsidRDefault="00B65EDC" w:rsidP="00B65EDC">
      <w:pPr>
        <w:jc w:val="center"/>
        <w:rPr>
          <w:spacing w:val="-2"/>
          <w:sz w:val="18"/>
          <w:szCs w:val="18"/>
        </w:rPr>
      </w:pPr>
    </w:p>
    <w:tbl>
      <w:tblPr>
        <w:tblW w:w="8126" w:type="dxa"/>
        <w:jc w:val="center"/>
        <w:tblLook w:val="04A0" w:firstRow="1" w:lastRow="0" w:firstColumn="1" w:lastColumn="0" w:noHBand="0" w:noVBand="1"/>
      </w:tblPr>
      <w:tblGrid>
        <w:gridCol w:w="2396"/>
        <w:gridCol w:w="1004"/>
        <w:gridCol w:w="1038"/>
        <w:gridCol w:w="1216"/>
        <w:gridCol w:w="1216"/>
        <w:gridCol w:w="1256"/>
      </w:tblGrid>
      <w:tr w:rsidR="00B65EDC" w:rsidRPr="00912A85" w14:paraId="2CE5FB76" w14:textId="77777777" w:rsidTr="00A538F6">
        <w:trPr>
          <w:trHeight w:val="260"/>
          <w:jc w:val="center"/>
        </w:trPr>
        <w:tc>
          <w:tcPr>
            <w:tcW w:w="2396" w:type="dxa"/>
            <w:tcBorders>
              <w:top w:val="nil"/>
              <w:left w:val="nil"/>
              <w:right w:val="nil"/>
            </w:tcBorders>
            <w:shd w:val="clear" w:color="000000" w:fill="FFFFFF"/>
            <w:noWrap/>
            <w:vAlign w:val="bottom"/>
            <w:hideMark/>
          </w:tcPr>
          <w:p w14:paraId="7775C27E" w14:textId="77777777" w:rsidR="00B65EDC" w:rsidRPr="00912A85" w:rsidRDefault="00B65EDC">
            <w:pPr>
              <w:jc w:val="left"/>
              <w:rPr>
                <w:rFonts w:cs="Arial"/>
                <w:i/>
                <w:iCs/>
              </w:rPr>
            </w:pPr>
            <w:r w:rsidRPr="00912A85">
              <w:rPr>
                <w:rFonts w:cs="Arial"/>
                <w:i/>
                <w:iCs/>
              </w:rPr>
              <w:t xml:space="preserve">Budgetary Basis </w:t>
            </w:r>
          </w:p>
        </w:tc>
        <w:tc>
          <w:tcPr>
            <w:tcW w:w="1004" w:type="dxa"/>
            <w:tcBorders>
              <w:top w:val="nil"/>
              <w:left w:val="nil"/>
              <w:right w:val="nil"/>
            </w:tcBorders>
            <w:shd w:val="clear" w:color="000000" w:fill="FFFFFF"/>
            <w:noWrap/>
            <w:vAlign w:val="bottom"/>
            <w:hideMark/>
          </w:tcPr>
          <w:p w14:paraId="7BB3524F" w14:textId="77777777" w:rsidR="00B65EDC" w:rsidRPr="00912A85" w:rsidRDefault="00B65EDC">
            <w:pPr>
              <w:jc w:val="left"/>
              <w:rPr>
                <w:rFonts w:cs="Arial"/>
              </w:rPr>
            </w:pPr>
            <w:r w:rsidRPr="00912A85">
              <w:rPr>
                <w:rFonts w:cs="Arial"/>
              </w:rPr>
              <w:t> </w:t>
            </w:r>
          </w:p>
        </w:tc>
        <w:tc>
          <w:tcPr>
            <w:tcW w:w="1038" w:type="dxa"/>
            <w:tcBorders>
              <w:top w:val="nil"/>
              <w:left w:val="nil"/>
              <w:right w:val="nil"/>
            </w:tcBorders>
            <w:shd w:val="clear" w:color="000000" w:fill="FFFFFF"/>
            <w:noWrap/>
            <w:vAlign w:val="bottom"/>
            <w:hideMark/>
          </w:tcPr>
          <w:p w14:paraId="29698854" w14:textId="77777777" w:rsidR="00B65EDC" w:rsidRPr="00912A85" w:rsidRDefault="00B65EDC">
            <w:pPr>
              <w:jc w:val="left"/>
              <w:rPr>
                <w:rFonts w:cs="Arial"/>
              </w:rPr>
            </w:pPr>
            <w:r w:rsidRPr="00912A85">
              <w:rPr>
                <w:rFonts w:cs="Arial"/>
              </w:rPr>
              <w:t> </w:t>
            </w:r>
          </w:p>
        </w:tc>
        <w:tc>
          <w:tcPr>
            <w:tcW w:w="1216" w:type="dxa"/>
            <w:tcBorders>
              <w:top w:val="nil"/>
              <w:left w:val="nil"/>
              <w:right w:val="nil"/>
            </w:tcBorders>
            <w:shd w:val="clear" w:color="000000" w:fill="FFFFFF"/>
            <w:noWrap/>
            <w:vAlign w:val="bottom"/>
            <w:hideMark/>
          </w:tcPr>
          <w:p w14:paraId="509FBA15" w14:textId="77777777" w:rsidR="00B65EDC" w:rsidRPr="00912A85" w:rsidRDefault="00B65EDC">
            <w:pPr>
              <w:jc w:val="left"/>
              <w:rPr>
                <w:rFonts w:cs="Arial"/>
              </w:rPr>
            </w:pPr>
            <w:r w:rsidRPr="00912A85">
              <w:rPr>
                <w:rFonts w:cs="Arial"/>
              </w:rPr>
              <w:t> </w:t>
            </w:r>
          </w:p>
        </w:tc>
        <w:tc>
          <w:tcPr>
            <w:tcW w:w="1216" w:type="dxa"/>
            <w:tcBorders>
              <w:top w:val="nil"/>
              <w:left w:val="nil"/>
              <w:right w:val="nil"/>
            </w:tcBorders>
            <w:shd w:val="clear" w:color="000000" w:fill="FFFFFF"/>
            <w:noWrap/>
            <w:vAlign w:val="bottom"/>
            <w:hideMark/>
          </w:tcPr>
          <w:p w14:paraId="1AB2A0FB" w14:textId="77777777" w:rsidR="00B65EDC" w:rsidRPr="00912A85" w:rsidRDefault="00B65EDC">
            <w:pPr>
              <w:jc w:val="left"/>
              <w:rPr>
                <w:rFonts w:cs="Arial"/>
              </w:rPr>
            </w:pPr>
            <w:r w:rsidRPr="00912A85">
              <w:rPr>
                <w:rFonts w:cs="Arial"/>
              </w:rPr>
              <w:t> </w:t>
            </w:r>
          </w:p>
        </w:tc>
        <w:tc>
          <w:tcPr>
            <w:tcW w:w="1256" w:type="dxa"/>
            <w:tcBorders>
              <w:top w:val="nil"/>
              <w:left w:val="nil"/>
              <w:right w:val="nil"/>
            </w:tcBorders>
            <w:noWrap/>
            <w:vAlign w:val="bottom"/>
            <w:hideMark/>
          </w:tcPr>
          <w:p w14:paraId="51D67F7F" w14:textId="77777777" w:rsidR="00B65EDC" w:rsidRPr="00912A85" w:rsidRDefault="00B65EDC">
            <w:pPr>
              <w:jc w:val="left"/>
              <w:rPr>
                <w:rFonts w:cs="Arial"/>
              </w:rPr>
            </w:pPr>
          </w:p>
        </w:tc>
      </w:tr>
      <w:tr w:rsidR="00B65EDC" w:rsidRPr="00912A85" w14:paraId="30EB510B" w14:textId="77777777">
        <w:trPr>
          <w:trHeight w:val="330"/>
          <w:jc w:val="center"/>
        </w:trPr>
        <w:tc>
          <w:tcPr>
            <w:tcW w:w="2396" w:type="dxa"/>
            <w:tcBorders>
              <w:top w:val="nil"/>
              <w:left w:val="nil"/>
              <w:right w:val="nil"/>
            </w:tcBorders>
            <w:shd w:val="clear" w:color="000000" w:fill="C7CFD8"/>
            <w:vAlign w:val="center"/>
            <w:hideMark/>
          </w:tcPr>
          <w:p w14:paraId="0DECACEB" w14:textId="77777777" w:rsidR="00B65EDC" w:rsidRPr="00912A85" w:rsidRDefault="00B65EDC">
            <w:pPr>
              <w:jc w:val="center"/>
              <w:rPr>
                <w:rFonts w:cs="Arial"/>
                <w:i/>
                <w:iCs/>
                <w:color w:val="000000"/>
              </w:rPr>
            </w:pPr>
            <w:r w:rsidRPr="00912A85">
              <w:rPr>
                <w:rFonts w:cs="Arial"/>
                <w:i/>
                <w:iCs/>
                <w:color w:val="000000"/>
              </w:rPr>
              <w:t> </w:t>
            </w:r>
          </w:p>
        </w:tc>
        <w:tc>
          <w:tcPr>
            <w:tcW w:w="2042" w:type="dxa"/>
            <w:gridSpan w:val="2"/>
            <w:tcBorders>
              <w:top w:val="nil"/>
              <w:left w:val="nil"/>
              <w:right w:val="nil"/>
            </w:tcBorders>
            <w:shd w:val="clear" w:color="000000" w:fill="C7CFD8"/>
            <w:vAlign w:val="center"/>
            <w:hideMark/>
          </w:tcPr>
          <w:p w14:paraId="4BB27F0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Actual </w:t>
            </w:r>
          </w:p>
        </w:tc>
        <w:tc>
          <w:tcPr>
            <w:tcW w:w="1216" w:type="dxa"/>
            <w:tcBorders>
              <w:top w:val="nil"/>
              <w:left w:val="nil"/>
              <w:right w:val="nil"/>
            </w:tcBorders>
            <w:shd w:val="clear" w:color="000000" w:fill="C7CFD8"/>
            <w:vAlign w:val="center"/>
            <w:hideMark/>
          </w:tcPr>
          <w:p w14:paraId="19C0DABC"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Budget </w:t>
            </w:r>
          </w:p>
        </w:tc>
        <w:tc>
          <w:tcPr>
            <w:tcW w:w="1216" w:type="dxa"/>
            <w:tcBorders>
              <w:top w:val="nil"/>
              <w:left w:val="nil"/>
              <w:right w:val="nil"/>
            </w:tcBorders>
            <w:shd w:val="clear" w:color="000000" w:fill="C7CFD8"/>
            <w:vAlign w:val="center"/>
            <w:hideMark/>
          </w:tcPr>
          <w:p w14:paraId="16941CF1"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Proposed </w:t>
            </w:r>
          </w:p>
        </w:tc>
        <w:tc>
          <w:tcPr>
            <w:tcW w:w="1256" w:type="dxa"/>
            <w:tcBorders>
              <w:top w:val="nil"/>
              <w:left w:val="nil"/>
              <w:right w:val="nil"/>
            </w:tcBorders>
            <w:shd w:val="clear" w:color="000000" w:fill="C7CFD8"/>
            <w:vAlign w:val="center"/>
            <w:hideMark/>
          </w:tcPr>
          <w:p w14:paraId="4B26F755"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 xml:space="preserve">Estimated </w:t>
            </w:r>
          </w:p>
        </w:tc>
      </w:tr>
      <w:tr w:rsidR="00B65EDC" w:rsidRPr="00912A85" w14:paraId="087568FA" w14:textId="77777777">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4E90F2AE" w14:textId="77777777" w:rsidR="00B65EDC" w:rsidRPr="00912A85" w:rsidRDefault="00B65EDC">
            <w:pPr>
              <w:jc w:val="right"/>
              <w:rPr>
                <w:rFonts w:cs="Arial"/>
                <w:i/>
                <w:iCs/>
                <w:color w:val="000000"/>
              </w:rPr>
            </w:pPr>
            <w:r w:rsidRPr="00912A85">
              <w:rPr>
                <w:rFonts w:cs="Arial"/>
                <w:i/>
                <w:iCs/>
                <w:color w:val="000000"/>
              </w:rPr>
              <w:t> </w:t>
            </w:r>
          </w:p>
        </w:tc>
        <w:tc>
          <w:tcPr>
            <w:tcW w:w="1004" w:type="dxa"/>
            <w:tcBorders>
              <w:top w:val="nil"/>
              <w:left w:val="nil"/>
              <w:bottom w:val="single" w:sz="4" w:space="0" w:color="D9D9D9" w:themeColor="background1" w:themeShade="D9"/>
              <w:right w:val="nil"/>
            </w:tcBorders>
            <w:shd w:val="clear" w:color="000000" w:fill="C7CFD8"/>
            <w:vAlign w:val="center"/>
            <w:hideMark/>
          </w:tcPr>
          <w:p w14:paraId="29BAD554"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2020</w:t>
            </w:r>
            <w:r w:rsidRPr="00912A85">
              <w:rPr>
                <w:rFonts w:ascii="Arial Narrow" w:hAnsi="Arial Narrow" w:cs="Arial"/>
                <w:b/>
                <w:bCs/>
                <w:sz w:val="18"/>
                <w:szCs w:val="18"/>
              </w:rPr>
              <w:noBreakHyphen/>
              <w:t>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7F96C25E"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2022</w:t>
            </w:r>
            <w:r w:rsidRPr="00912A85">
              <w:rPr>
                <w:rFonts w:ascii="Arial Narrow" w:hAnsi="Arial Narrow" w:cs="Arial"/>
                <w:b/>
                <w:bCs/>
                <w:sz w:val="18"/>
                <w:szCs w:val="18"/>
              </w:rPr>
              <w:noBreakHyphen/>
              <w:t>2023</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5AB7B98"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2024</w:t>
            </w:r>
            <w:r w:rsidRPr="00912A85">
              <w:rPr>
                <w:rFonts w:ascii="Arial Narrow" w:hAnsi="Arial Narrow" w:cs="Arial"/>
                <w:b/>
                <w:bCs/>
                <w:sz w:val="18"/>
                <w:szCs w:val="18"/>
              </w:rPr>
              <w:noBreakHyphen/>
              <w:t xml:space="preserve">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2EB16257" w14:textId="3079FD68" w:rsidR="00B65EDC" w:rsidRPr="00912A85" w:rsidRDefault="00521C0D">
            <w:pPr>
              <w:jc w:val="center"/>
              <w:rPr>
                <w:rFonts w:ascii="Arial Narrow" w:hAnsi="Arial Narrow" w:cs="Arial"/>
                <w:b/>
                <w:bCs/>
                <w:sz w:val="18"/>
                <w:szCs w:val="18"/>
              </w:rPr>
            </w:pPr>
            <w:r>
              <w:rPr>
                <w:rFonts w:ascii="Arial Narrow" w:hAnsi="Arial Narrow" w:cs="Arial"/>
                <w:b/>
                <w:bCs/>
                <w:sz w:val="18"/>
                <w:szCs w:val="18"/>
              </w:rPr>
              <w:t>2026</w:t>
            </w:r>
            <w:r>
              <w:rPr>
                <w:rFonts w:ascii="Arial Narrow" w:hAnsi="Arial Narrow" w:cs="Arial"/>
                <w:b/>
                <w:bCs/>
                <w:sz w:val="18"/>
                <w:szCs w:val="18"/>
              </w:rPr>
              <w:noBreakHyphen/>
              <w:t>2027</w:t>
            </w:r>
            <w:r w:rsidR="00B65EDC" w:rsidRPr="00912A85">
              <w:rPr>
                <w:rFonts w:ascii="Arial Narrow" w:hAnsi="Arial Narrow" w:cs="Arial"/>
                <w:b/>
                <w:bCs/>
                <w:sz w:val="18"/>
                <w:szCs w:val="18"/>
              </w:rPr>
              <w:t xml:space="preserve">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66168190" w14:textId="77777777" w:rsidR="00B65EDC" w:rsidRPr="00912A85" w:rsidRDefault="00B65EDC">
            <w:pPr>
              <w:jc w:val="center"/>
              <w:rPr>
                <w:rFonts w:ascii="Arial Narrow" w:hAnsi="Arial Narrow" w:cs="Arial"/>
                <w:b/>
                <w:bCs/>
                <w:sz w:val="18"/>
                <w:szCs w:val="18"/>
              </w:rPr>
            </w:pPr>
            <w:r w:rsidRPr="00912A85">
              <w:rPr>
                <w:rFonts w:ascii="Arial Narrow" w:hAnsi="Arial Narrow" w:cs="Arial"/>
                <w:b/>
                <w:bCs/>
                <w:sz w:val="18"/>
                <w:szCs w:val="18"/>
              </w:rPr>
              <w:t>2028-2029</w:t>
            </w:r>
          </w:p>
        </w:tc>
      </w:tr>
      <w:tr w:rsidR="00B65EDC" w:rsidRPr="00912A85" w14:paraId="429F3800" w14:textId="77777777">
        <w:trPr>
          <w:trHeight w:val="420"/>
          <w:jc w:val="center"/>
        </w:trPr>
        <w:tc>
          <w:tcPr>
            <w:tcW w:w="2396" w:type="dxa"/>
            <w:tcBorders>
              <w:top w:val="single" w:sz="4" w:space="0" w:color="D9D9D9" w:themeColor="background1" w:themeShade="D9"/>
              <w:left w:val="nil"/>
            </w:tcBorders>
            <w:shd w:val="clear" w:color="000000" w:fill="FFFFFF"/>
            <w:vAlign w:val="center"/>
            <w:hideMark/>
          </w:tcPr>
          <w:p w14:paraId="1B48F55F" w14:textId="77777777" w:rsidR="00B65EDC" w:rsidRPr="00912A85" w:rsidRDefault="00B65EDC">
            <w:pPr>
              <w:jc w:val="left"/>
              <w:rPr>
                <w:rFonts w:ascii="Arial Narrow" w:hAnsi="Arial Narrow" w:cs="Arial"/>
                <w:color w:val="000000"/>
              </w:rPr>
            </w:pPr>
            <w:r w:rsidRPr="00912A85">
              <w:rPr>
                <w:rFonts w:ascii="Arial Narrow" w:hAnsi="Arial Narrow" w:cs="Arial"/>
                <w:color w:val="000000"/>
              </w:rPr>
              <w:t>Income</w:t>
            </w:r>
          </w:p>
        </w:tc>
        <w:tc>
          <w:tcPr>
            <w:tcW w:w="1004" w:type="dxa"/>
            <w:tcBorders>
              <w:top w:val="nil"/>
              <w:left w:val="nil"/>
              <w:bottom w:val="nil"/>
              <w:right w:val="nil"/>
            </w:tcBorders>
            <w:shd w:val="clear" w:color="000000" w:fill="FFFFFF"/>
            <w:vAlign w:val="center"/>
            <w:hideMark/>
          </w:tcPr>
          <w:p w14:paraId="58F9F9FA"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7,404</w:t>
            </w:r>
          </w:p>
        </w:tc>
        <w:tc>
          <w:tcPr>
            <w:tcW w:w="1038" w:type="dxa"/>
            <w:tcBorders>
              <w:top w:val="nil"/>
              <w:left w:val="nil"/>
              <w:bottom w:val="nil"/>
              <w:right w:val="nil"/>
            </w:tcBorders>
            <w:shd w:val="clear" w:color="000000" w:fill="FFFFFF"/>
            <w:vAlign w:val="center"/>
            <w:hideMark/>
          </w:tcPr>
          <w:p w14:paraId="08F7DC11"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7,572</w:t>
            </w:r>
          </w:p>
        </w:tc>
        <w:tc>
          <w:tcPr>
            <w:tcW w:w="1216" w:type="dxa"/>
            <w:tcBorders>
              <w:top w:val="nil"/>
              <w:left w:val="nil"/>
              <w:bottom w:val="nil"/>
              <w:right w:val="nil"/>
            </w:tcBorders>
            <w:shd w:val="clear" w:color="000000" w:fill="FFFFFF"/>
            <w:vAlign w:val="center"/>
            <w:hideMark/>
          </w:tcPr>
          <w:p w14:paraId="27C22F66"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5FA130DF" w14:textId="77777777" w:rsidR="00B65EDC" w:rsidRPr="00912A85" w:rsidRDefault="00B65EDC">
            <w:pPr>
              <w:jc w:val="right"/>
              <w:rPr>
                <w:rFonts w:ascii="Arial Narrow" w:hAnsi="Arial Narrow" w:cs="Arial"/>
              </w:rPr>
            </w:pPr>
            <w:r w:rsidRPr="00912A85">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45DCCC87" w14:textId="77777777" w:rsidR="00B65EDC" w:rsidRPr="00912A85" w:rsidRDefault="00B65EDC">
            <w:pPr>
              <w:jc w:val="right"/>
              <w:rPr>
                <w:rFonts w:ascii="Arial Narrow" w:hAnsi="Arial Narrow" w:cs="Arial"/>
              </w:rPr>
            </w:pPr>
            <w:r w:rsidRPr="00912A85">
              <w:rPr>
                <w:rFonts w:ascii="Arial Narrow" w:hAnsi="Arial Narrow" w:cs="Arial"/>
              </w:rPr>
              <w:t xml:space="preserve">7,641 </w:t>
            </w:r>
          </w:p>
        </w:tc>
      </w:tr>
      <w:tr w:rsidR="00B65EDC" w:rsidRPr="00912A85" w14:paraId="723269EA" w14:textId="77777777">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7134337C" w14:textId="77777777" w:rsidR="00B65EDC" w:rsidRPr="00912A85" w:rsidRDefault="00B65EDC">
            <w:pPr>
              <w:jc w:val="left"/>
              <w:rPr>
                <w:rFonts w:ascii="Arial Narrow" w:hAnsi="Arial Narrow" w:cs="Arial"/>
                <w:color w:val="000000"/>
              </w:rPr>
            </w:pPr>
            <w:r w:rsidRPr="00912A85">
              <w:rPr>
                <w:rFonts w:ascii="Arial Narrow" w:hAnsi="Arial Narrow" w:cs="Arial"/>
                <w:color w:val="000000"/>
              </w:rPr>
              <w:t>Expenditure</w:t>
            </w:r>
          </w:p>
        </w:tc>
        <w:tc>
          <w:tcPr>
            <w:tcW w:w="1004" w:type="dxa"/>
            <w:tcBorders>
              <w:top w:val="nil"/>
              <w:left w:val="nil"/>
              <w:bottom w:val="nil"/>
              <w:right w:val="nil"/>
            </w:tcBorders>
            <w:shd w:val="clear" w:color="000000" w:fill="FFFFFF"/>
            <w:vAlign w:val="center"/>
            <w:hideMark/>
          </w:tcPr>
          <w:p w14:paraId="7AA813EE"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7,071</w:t>
            </w:r>
          </w:p>
        </w:tc>
        <w:tc>
          <w:tcPr>
            <w:tcW w:w="1038" w:type="dxa"/>
            <w:tcBorders>
              <w:top w:val="nil"/>
              <w:left w:val="nil"/>
              <w:bottom w:val="nil"/>
              <w:right w:val="nil"/>
            </w:tcBorders>
            <w:shd w:val="clear" w:color="000000" w:fill="FFFFFF"/>
            <w:vAlign w:val="center"/>
            <w:hideMark/>
          </w:tcPr>
          <w:p w14:paraId="1D118348"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7,382</w:t>
            </w:r>
          </w:p>
        </w:tc>
        <w:tc>
          <w:tcPr>
            <w:tcW w:w="1216" w:type="dxa"/>
            <w:tcBorders>
              <w:top w:val="nil"/>
              <w:left w:val="nil"/>
              <w:bottom w:val="nil"/>
              <w:right w:val="nil"/>
            </w:tcBorders>
            <w:shd w:val="clear" w:color="000000" w:fill="FFFFFF"/>
            <w:vAlign w:val="center"/>
            <w:hideMark/>
          </w:tcPr>
          <w:p w14:paraId="43E61156" w14:textId="77777777" w:rsidR="00B65EDC" w:rsidRPr="00912A85" w:rsidRDefault="00B65EDC">
            <w:pPr>
              <w:jc w:val="right"/>
              <w:rPr>
                <w:rFonts w:ascii="Arial Narrow" w:hAnsi="Arial Narrow" w:cs="Arial"/>
                <w:color w:val="000000"/>
              </w:rPr>
            </w:pPr>
            <w:r w:rsidRPr="00912A85">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6C33E236" w14:textId="77777777" w:rsidR="00B65EDC" w:rsidRPr="00912A85" w:rsidRDefault="00B65EDC">
            <w:pPr>
              <w:jc w:val="right"/>
              <w:rPr>
                <w:rFonts w:ascii="Arial Narrow" w:hAnsi="Arial Narrow" w:cs="Arial"/>
              </w:rPr>
            </w:pPr>
            <w:r w:rsidRPr="00912A85">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1D7A26E2" w14:textId="77777777" w:rsidR="00B65EDC" w:rsidRPr="00912A85" w:rsidRDefault="00B65EDC">
            <w:pPr>
              <w:jc w:val="right"/>
              <w:rPr>
                <w:rFonts w:ascii="Arial Narrow" w:hAnsi="Arial Narrow" w:cs="Arial"/>
              </w:rPr>
            </w:pPr>
            <w:r w:rsidRPr="00912A85">
              <w:rPr>
                <w:rFonts w:ascii="Arial Narrow" w:hAnsi="Arial Narrow" w:cs="Arial"/>
              </w:rPr>
              <w:t xml:space="preserve">7,641 </w:t>
            </w:r>
          </w:p>
        </w:tc>
      </w:tr>
      <w:tr w:rsidR="00B65EDC" w:rsidRPr="00912A85" w14:paraId="3803E7EF" w14:textId="77777777">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13163098" w14:textId="77777777" w:rsidR="00B65EDC" w:rsidRPr="00912A85" w:rsidRDefault="00B65EDC">
            <w:pPr>
              <w:ind w:firstLineChars="100" w:firstLine="200"/>
              <w:jc w:val="left"/>
              <w:rPr>
                <w:rFonts w:ascii="Arial Narrow" w:hAnsi="Arial Narrow" w:cs="Arial"/>
                <w:i/>
                <w:iCs/>
                <w:color w:val="000000"/>
              </w:rPr>
            </w:pPr>
            <w:r w:rsidRPr="00912A85">
              <w:rPr>
                <w:rFonts w:ascii="Arial Narrow" w:hAnsi="Arial Narrow" w:cs="Arial"/>
                <w:i/>
                <w:iCs/>
                <w:color w:val="000000"/>
              </w:rPr>
              <w:t>Difference</w:t>
            </w:r>
          </w:p>
        </w:tc>
        <w:tc>
          <w:tcPr>
            <w:tcW w:w="1004" w:type="dxa"/>
            <w:tcBorders>
              <w:top w:val="single" w:sz="4" w:space="0" w:color="AAB8C4"/>
              <w:left w:val="nil"/>
              <w:bottom w:val="single" w:sz="8" w:space="0" w:color="AAB8C4"/>
              <w:right w:val="nil"/>
            </w:tcBorders>
            <w:shd w:val="clear" w:color="000000" w:fill="FFFFFF"/>
            <w:vAlign w:val="center"/>
            <w:hideMark/>
          </w:tcPr>
          <w:p w14:paraId="5552F0FD"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69F3F578"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4F1CFB72"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216" w:type="dxa"/>
            <w:tcBorders>
              <w:top w:val="single" w:sz="4" w:space="0" w:color="AAB8C4"/>
              <w:left w:val="nil"/>
              <w:bottom w:val="single" w:sz="8" w:space="0" w:color="AAB8C4"/>
              <w:right w:val="nil"/>
            </w:tcBorders>
            <w:shd w:val="clear" w:color="000000" w:fill="FFFFFF"/>
            <w:vAlign w:val="center"/>
            <w:hideMark/>
          </w:tcPr>
          <w:p w14:paraId="25E7321C"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c>
          <w:tcPr>
            <w:tcW w:w="1256" w:type="dxa"/>
            <w:tcBorders>
              <w:top w:val="single" w:sz="4" w:space="0" w:color="AAB8C4"/>
              <w:left w:val="nil"/>
              <w:bottom w:val="single" w:sz="8" w:space="0" w:color="AAB8C4"/>
              <w:right w:val="nil"/>
            </w:tcBorders>
            <w:shd w:val="clear" w:color="000000" w:fill="FFFFFF"/>
            <w:vAlign w:val="center"/>
            <w:hideMark/>
          </w:tcPr>
          <w:p w14:paraId="317A3304" w14:textId="77777777" w:rsidR="00B65EDC" w:rsidRPr="00912A85" w:rsidRDefault="00B65EDC">
            <w:pPr>
              <w:jc w:val="right"/>
              <w:rPr>
                <w:rFonts w:ascii="Arial Narrow" w:hAnsi="Arial Narrow" w:cs="Arial"/>
                <w:i/>
                <w:iCs/>
                <w:color w:val="000000"/>
              </w:rPr>
            </w:pPr>
            <w:r w:rsidRPr="00912A85">
              <w:rPr>
                <w:rFonts w:ascii="Arial Narrow" w:hAnsi="Arial Narrow" w:cs="Arial"/>
                <w:i/>
                <w:iCs/>
                <w:color w:val="000000"/>
              </w:rPr>
              <w:t>-</w:t>
            </w:r>
          </w:p>
        </w:tc>
      </w:tr>
    </w:tbl>
    <w:p w14:paraId="08E5A09B" w14:textId="77777777" w:rsidR="00B65EDC" w:rsidRPr="00912A85" w:rsidRDefault="00B65EDC" w:rsidP="00B65EDC"/>
    <w:p w14:paraId="6C4F198C" w14:textId="77777777" w:rsidR="00B65EDC" w:rsidRPr="00912A85" w:rsidRDefault="00B65EDC" w:rsidP="00B65EDC"/>
    <w:p w14:paraId="3193F563" w14:textId="77777777" w:rsidR="00B65EDC" w:rsidRPr="00912A85" w:rsidRDefault="00B65EDC" w:rsidP="00B65EDC">
      <w:pPr>
        <w:keepNext/>
        <w:jc w:val="center"/>
        <w:rPr>
          <w:i/>
          <w:color w:val="26724C" w:themeColor="accent1" w:themeShade="BF"/>
          <w:sz w:val="18"/>
        </w:rPr>
      </w:pPr>
      <w:r w:rsidRPr="00912A85">
        <w:rPr>
          <w:i/>
          <w:color w:val="26724C" w:themeColor="accent1" w:themeShade="BF"/>
          <w:sz w:val="18"/>
        </w:rPr>
        <w:t>Figure 1.  Evolution of Income, Expenditure and Reserves for 2020-2029</w:t>
      </w:r>
    </w:p>
    <w:p w14:paraId="1439B59A" w14:textId="77777777" w:rsidR="00B65EDC" w:rsidRPr="00912A85" w:rsidRDefault="00B65EDC" w:rsidP="00B65EDC">
      <w:pPr>
        <w:keepNext/>
        <w:jc w:val="center"/>
        <w:rPr>
          <w:i/>
          <w:color w:val="26724C" w:themeColor="accent1" w:themeShade="BF"/>
          <w:sz w:val="18"/>
        </w:rPr>
      </w:pPr>
    </w:p>
    <w:p w14:paraId="04F8983C" w14:textId="77777777" w:rsidR="00B65EDC" w:rsidRPr="00912A85" w:rsidRDefault="00B65EDC" w:rsidP="00B65EDC">
      <w:pPr>
        <w:jc w:val="center"/>
      </w:pPr>
      <w:r w:rsidRPr="00912A85">
        <w:rPr>
          <w:noProof/>
        </w:rPr>
        <w:drawing>
          <wp:inline distT="0" distB="0" distL="0" distR="0" wp14:anchorId="30E5B31A" wp14:editId="10305287">
            <wp:extent cx="4574481" cy="3000932"/>
            <wp:effectExtent l="0" t="0" r="0" b="9525"/>
            <wp:docPr id="732156152" name="Picture 1" descr="A graph showing the value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56152" name="Picture 1" descr="A graph showing the value of a company&#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4740" cy="3007662"/>
                    </a:xfrm>
                    <a:prstGeom prst="rect">
                      <a:avLst/>
                    </a:prstGeom>
                    <a:noFill/>
                  </pic:spPr>
                </pic:pic>
              </a:graphicData>
            </a:graphic>
          </wp:inline>
        </w:drawing>
      </w:r>
    </w:p>
    <w:p w14:paraId="4FF4ED9E" w14:textId="77777777" w:rsidR="00B65EDC" w:rsidRPr="00912A85" w:rsidRDefault="00B65EDC" w:rsidP="00B65EDC">
      <w:pPr>
        <w:jc w:val="left"/>
      </w:pPr>
    </w:p>
    <w:p w14:paraId="024CAC9B" w14:textId="77777777" w:rsidR="00B65EDC" w:rsidRPr="00912A85" w:rsidRDefault="00B65EDC" w:rsidP="00B65EDC">
      <w:pPr>
        <w:jc w:val="left"/>
      </w:pPr>
    </w:p>
    <w:p w14:paraId="5286607E" w14:textId="77777777" w:rsidR="00B65EDC" w:rsidRPr="00912A85" w:rsidRDefault="00B65EDC" w:rsidP="00B65EDC">
      <w:pPr>
        <w:ind w:left="567" w:hanging="567"/>
      </w:pPr>
    </w:p>
    <w:p w14:paraId="0830A5BC" w14:textId="77777777" w:rsidR="00B65EDC" w:rsidRPr="00912A85" w:rsidRDefault="00B65EDC" w:rsidP="00B65EDC">
      <w:pPr>
        <w:ind w:left="567" w:hanging="567"/>
        <w:jc w:val="right"/>
      </w:pPr>
      <w:r w:rsidRPr="00912A85">
        <w:t>[Appendices follow]</w:t>
      </w:r>
    </w:p>
    <w:p w14:paraId="4D52CD40" w14:textId="77777777" w:rsidR="00B65EDC" w:rsidRPr="00912A85" w:rsidRDefault="00B65EDC" w:rsidP="00B65EDC">
      <w:pPr>
        <w:ind w:left="567" w:hanging="567"/>
        <w:jc w:val="right"/>
        <w:sectPr w:rsidR="00B65EDC" w:rsidRPr="00912A85" w:rsidSect="005D2CBA">
          <w:headerReference w:type="even" r:id="rId21"/>
          <w:footerReference w:type="even" r:id="rId22"/>
          <w:footerReference w:type="default" r:id="rId23"/>
          <w:headerReference w:type="first" r:id="rId24"/>
          <w:footerReference w:type="first" r:id="rId25"/>
          <w:pgSz w:w="11907" w:h="16840" w:code="9"/>
          <w:pgMar w:top="510" w:right="1134" w:bottom="992" w:left="1134" w:header="510" w:footer="680" w:gutter="0"/>
          <w:pgNumType w:start="1"/>
          <w:cols w:space="720"/>
          <w:titlePg/>
          <w:docGrid w:linePitch="272"/>
        </w:sectPr>
      </w:pPr>
    </w:p>
    <w:p w14:paraId="7C98F3AD" w14:textId="77777777" w:rsidR="00B65EDC" w:rsidRPr="00912A85" w:rsidRDefault="00B65EDC" w:rsidP="00FC7FED">
      <w:pPr>
        <w:pStyle w:val="Heading1"/>
      </w:pPr>
      <w:bookmarkStart w:id="520" w:name="_Toc208999658"/>
      <w:r w:rsidRPr="00912A85">
        <w:lastRenderedPageBreak/>
        <w:t>Appendices</w:t>
      </w:r>
      <w:bookmarkEnd w:id="520"/>
    </w:p>
    <w:p w14:paraId="12C9357A" w14:textId="77777777" w:rsidR="00B65EDC" w:rsidRPr="00912A85" w:rsidRDefault="00B65EDC" w:rsidP="00B65EDC">
      <w:pPr>
        <w:rPr>
          <w:sz w:val="32"/>
        </w:rPr>
      </w:pPr>
    </w:p>
    <w:p w14:paraId="4C154616" w14:textId="57DB274C" w:rsidR="00B65EDC" w:rsidRPr="00912A85" w:rsidRDefault="00B65EDC" w:rsidP="004448C7">
      <w:pPr>
        <w:pStyle w:val="Heading9"/>
      </w:pPr>
      <w:bookmarkStart w:id="521" w:name="_Toc63091108"/>
      <w:bookmarkStart w:id="522" w:name="_Toc63091305"/>
      <w:bookmarkStart w:id="523" w:name="_Toc63091835"/>
      <w:bookmarkStart w:id="524" w:name="_Toc63091109"/>
      <w:bookmarkStart w:id="525" w:name="_Toc63091306"/>
      <w:bookmarkStart w:id="526" w:name="_Toc63091836"/>
      <w:bookmarkStart w:id="527" w:name="_Toc208999659"/>
      <w:bookmarkEnd w:id="521"/>
      <w:bookmarkEnd w:id="522"/>
      <w:bookmarkEnd w:id="523"/>
      <w:bookmarkEnd w:id="524"/>
      <w:bookmarkEnd w:id="525"/>
      <w:bookmarkEnd w:id="526"/>
      <w:r w:rsidRPr="00912A85">
        <w:t>Appendix I</w:t>
      </w:r>
      <w:r w:rsidRPr="00912A85">
        <w:tab/>
        <w:t xml:space="preserve">Status in relation to the International Union for the Protection of New Varieties of Plants (UPOV) as of </w:t>
      </w:r>
      <w:r w:rsidR="00C527A1">
        <w:t xml:space="preserve">September </w:t>
      </w:r>
      <w:r w:rsidR="003230AC">
        <w:t>16</w:t>
      </w:r>
      <w:r w:rsidRPr="00912A85">
        <w:t>, 2025</w:t>
      </w:r>
      <w:bookmarkEnd w:id="527"/>
    </w:p>
    <w:p w14:paraId="672E9FBE" w14:textId="77777777" w:rsidR="00B65EDC" w:rsidRPr="00912A85" w:rsidRDefault="00B65EDC" w:rsidP="00B65EDC">
      <w:pPr>
        <w:ind w:left="2268" w:hanging="1984"/>
        <w:jc w:val="center"/>
        <w:rPr>
          <w:b/>
        </w:rPr>
      </w:pPr>
    </w:p>
    <w:p w14:paraId="02B32F7E" w14:textId="77777777" w:rsidR="00B65EDC" w:rsidRPr="00912A85" w:rsidRDefault="00B65EDC" w:rsidP="00B65EDC">
      <w:pPr>
        <w:rPr>
          <w:rFonts w:cs="Arial"/>
          <w:i/>
          <w:sz w:val="16"/>
          <w:szCs w:val="24"/>
        </w:rPr>
      </w:pPr>
    </w:p>
    <w:p w14:paraId="2F31A4BB" w14:textId="77777777" w:rsidR="00B65EDC" w:rsidRPr="00912A85" w:rsidRDefault="00B65EDC" w:rsidP="00B65EDC">
      <w:pPr>
        <w:ind w:left="284" w:hanging="284"/>
        <w:jc w:val="left"/>
        <w:rPr>
          <w:rFonts w:cs="Arial"/>
          <w:b/>
          <w:color w:val="26724C" w:themeColor="accent1" w:themeShade="BF"/>
          <w:sz w:val="18"/>
        </w:rPr>
      </w:pPr>
      <w:r w:rsidRPr="00912A85">
        <w:rPr>
          <w:rFonts w:cs="Arial"/>
          <w:b/>
          <w:color w:val="26724C" w:themeColor="accent1" w:themeShade="BF"/>
          <w:sz w:val="18"/>
        </w:rPr>
        <w:t>A.</w:t>
      </w:r>
      <w:r w:rsidRPr="00912A85">
        <w:rPr>
          <w:rFonts w:cs="Arial"/>
          <w:b/>
          <w:color w:val="26724C" w:themeColor="accent1" w:themeShade="BF"/>
          <w:sz w:val="18"/>
        </w:rPr>
        <w:tab/>
        <w:t>Members of UPOV</w:t>
      </w:r>
    </w:p>
    <w:p w14:paraId="1E895701" w14:textId="77777777" w:rsidR="00B65EDC" w:rsidRPr="00912A85" w:rsidRDefault="00B65EDC" w:rsidP="00B65EDC">
      <w:pPr>
        <w:pStyle w:val="BodyText"/>
        <w:rPr>
          <w:rFonts w:cs="Arial"/>
          <w:sz w:val="16"/>
          <w:szCs w:val="16"/>
        </w:rPr>
      </w:pPr>
    </w:p>
    <w:p w14:paraId="15DB8D45" w14:textId="77777777" w:rsidR="00B65EDC" w:rsidRPr="00912A85" w:rsidRDefault="00B65EDC" w:rsidP="00B65EDC">
      <w:pPr>
        <w:spacing w:before="40"/>
        <w:rPr>
          <w:rFonts w:cs="Arial"/>
          <w:sz w:val="16"/>
          <w:szCs w:val="16"/>
        </w:rPr>
        <w:sectPr w:rsidR="00B65EDC" w:rsidRPr="00912A85" w:rsidSect="00B65EDC">
          <w:headerReference w:type="even" r:id="rId26"/>
          <w:headerReference w:type="default" r:id="rId27"/>
          <w:footerReference w:type="even" r:id="rId28"/>
          <w:footerReference w:type="default" r:id="rId29"/>
          <w:headerReference w:type="first" r:id="rId30"/>
          <w:footerReference w:type="first" r:id="rId31"/>
          <w:pgSz w:w="11907" w:h="16840" w:code="9"/>
          <w:pgMar w:top="510" w:right="1134" w:bottom="851" w:left="1134" w:header="510" w:footer="624" w:gutter="0"/>
          <w:cols w:space="720"/>
          <w:docGrid w:linePitch="272"/>
        </w:sectPr>
      </w:pPr>
    </w:p>
    <w:p w14:paraId="22C7439F"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African Intellectual Property Organization</w:t>
      </w:r>
      <w:r w:rsidRPr="00912A85">
        <w:rPr>
          <w:rFonts w:cs="Arial"/>
          <w:sz w:val="16"/>
          <w:szCs w:val="16"/>
          <w:vertAlign w:val="superscript"/>
        </w:rPr>
        <w:t>2, 4</w:t>
      </w:r>
    </w:p>
    <w:p w14:paraId="5179DD0A"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Albania</w:t>
      </w:r>
      <w:r w:rsidRPr="00E410C6">
        <w:rPr>
          <w:rFonts w:cs="Arial"/>
          <w:sz w:val="16"/>
          <w:szCs w:val="16"/>
          <w:vertAlign w:val="superscript"/>
          <w:lang w:val="pt-BR"/>
        </w:rPr>
        <w:t>2</w:t>
      </w:r>
    </w:p>
    <w:p w14:paraId="4B219DE7"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Argentina</w:t>
      </w:r>
      <w:r w:rsidRPr="00E410C6">
        <w:rPr>
          <w:rStyle w:val="FootnoteReference"/>
          <w:rFonts w:cs="Arial"/>
          <w:sz w:val="16"/>
          <w:szCs w:val="16"/>
          <w:lang w:val="pt-BR"/>
        </w:rPr>
        <w:t>1</w:t>
      </w:r>
    </w:p>
    <w:p w14:paraId="63B37584"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Armenia</w:t>
      </w:r>
      <w:r w:rsidRPr="00E410C6">
        <w:rPr>
          <w:rFonts w:cs="Arial"/>
          <w:sz w:val="16"/>
          <w:szCs w:val="16"/>
          <w:vertAlign w:val="superscript"/>
          <w:lang w:val="pt-BR"/>
        </w:rPr>
        <w:t>2</w:t>
      </w:r>
    </w:p>
    <w:p w14:paraId="76B0378B"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Australia</w:t>
      </w:r>
      <w:r w:rsidRPr="00E410C6">
        <w:rPr>
          <w:rFonts w:cs="Arial"/>
          <w:sz w:val="16"/>
          <w:szCs w:val="16"/>
          <w:vertAlign w:val="superscript"/>
          <w:lang w:val="pt-BR"/>
        </w:rPr>
        <w:t>2</w:t>
      </w:r>
    </w:p>
    <w:p w14:paraId="614FD398"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Austria</w:t>
      </w:r>
      <w:r w:rsidRPr="00E410C6">
        <w:rPr>
          <w:rStyle w:val="FootnoteReference"/>
          <w:rFonts w:cs="Arial"/>
          <w:sz w:val="16"/>
          <w:szCs w:val="16"/>
          <w:lang w:val="pt-BR"/>
        </w:rPr>
        <w:t>2</w:t>
      </w:r>
    </w:p>
    <w:p w14:paraId="4E75510C" w14:textId="77777777" w:rsidR="00B65EDC" w:rsidRPr="00E410C6" w:rsidRDefault="00B65EDC" w:rsidP="00B65EDC">
      <w:pPr>
        <w:spacing w:before="20"/>
        <w:ind w:left="113" w:hanging="113"/>
        <w:jc w:val="left"/>
        <w:rPr>
          <w:rFonts w:cs="Arial"/>
          <w:sz w:val="16"/>
          <w:szCs w:val="16"/>
          <w:lang w:val="pt-BR"/>
        </w:rPr>
      </w:pPr>
      <w:r w:rsidRPr="00E410C6">
        <w:rPr>
          <w:rFonts w:cs="Arial"/>
          <w:sz w:val="16"/>
          <w:szCs w:val="16"/>
          <w:lang w:val="pt-BR"/>
        </w:rPr>
        <w:t>Azerbaijan</w:t>
      </w:r>
      <w:r w:rsidRPr="00E410C6">
        <w:rPr>
          <w:rFonts w:cs="Arial"/>
          <w:sz w:val="16"/>
          <w:szCs w:val="16"/>
          <w:vertAlign w:val="superscript"/>
          <w:lang w:val="pt-BR"/>
        </w:rPr>
        <w:t>2</w:t>
      </w:r>
    </w:p>
    <w:p w14:paraId="05B3299B"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Belarus</w:t>
      </w:r>
      <w:r w:rsidRPr="00912A85">
        <w:rPr>
          <w:rFonts w:cs="Arial"/>
          <w:sz w:val="16"/>
          <w:szCs w:val="16"/>
          <w:vertAlign w:val="superscript"/>
        </w:rPr>
        <w:t>2</w:t>
      </w:r>
    </w:p>
    <w:p w14:paraId="454FD688"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Belgium</w:t>
      </w:r>
      <w:r w:rsidRPr="00912A85">
        <w:rPr>
          <w:rStyle w:val="FootnoteReference"/>
          <w:rFonts w:cs="Arial"/>
          <w:sz w:val="16"/>
          <w:szCs w:val="16"/>
        </w:rPr>
        <w:t>2</w:t>
      </w:r>
    </w:p>
    <w:p w14:paraId="22E5F43A"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Bolivia (Plurinational State of)</w:t>
      </w:r>
      <w:r w:rsidRPr="00912A85">
        <w:rPr>
          <w:rFonts w:cs="Arial"/>
          <w:sz w:val="16"/>
          <w:szCs w:val="16"/>
          <w:vertAlign w:val="superscript"/>
        </w:rPr>
        <w:t>1</w:t>
      </w:r>
    </w:p>
    <w:p w14:paraId="6AD72039"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Bosnia and Herzegovina</w:t>
      </w:r>
      <w:r w:rsidRPr="006814F8">
        <w:rPr>
          <w:rFonts w:cs="Arial"/>
          <w:sz w:val="16"/>
          <w:szCs w:val="16"/>
          <w:vertAlign w:val="superscript"/>
          <w:lang w:val="es-ES_tradnl"/>
        </w:rPr>
        <w:t>2</w:t>
      </w:r>
    </w:p>
    <w:p w14:paraId="59FC0BAA"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Brazil</w:t>
      </w:r>
      <w:r w:rsidRPr="00766E51">
        <w:rPr>
          <w:rFonts w:cs="Arial"/>
          <w:sz w:val="16"/>
          <w:szCs w:val="16"/>
          <w:vertAlign w:val="superscript"/>
          <w:lang w:val="es-ES_tradnl"/>
        </w:rPr>
        <w:t>1</w:t>
      </w:r>
    </w:p>
    <w:p w14:paraId="35585465"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Bulgaria</w:t>
      </w:r>
      <w:r w:rsidRPr="00766E51">
        <w:rPr>
          <w:rFonts w:cs="Arial"/>
          <w:sz w:val="16"/>
          <w:szCs w:val="16"/>
          <w:vertAlign w:val="superscript"/>
          <w:lang w:val="es-ES_tradnl"/>
        </w:rPr>
        <w:t>2</w:t>
      </w:r>
    </w:p>
    <w:p w14:paraId="18AA8627"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Canada</w:t>
      </w:r>
      <w:r w:rsidRPr="00766E51">
        <w:rPr>
          <w:rStyle w:val="FootnoteReference"/>
          <w:rFonts w:cs="Arial"/>
          <w:sz w:val="16"/>
          <w:szCs w:val="16"/>
          <w:lang w:val="es-ES_tradnl"/>
        </w:rPr>
        <w:t>2</w:t>
      </w:r>
    </w:p>
    <w:p w14:paraId="60E94961"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Chile</w:t>
      </w:r>
      <w:r w:rsidRPr="00766E51">
        <w:rPr>
          <w:rFonts w:cs="Arial"/>
          <w:sz w:val="16"/>
          <w:szCs w:val="16"/>
          <w:vertAlign w:val="superscript"/>
          <w:lang w:val="es-ES_tradnl"/>
        </w:rPr>
        <w:t>1</w:t>
      </w:r>
    </w:p>
    <w:p w14:paraId="70B0E574"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China</w:t>
      </w:r>
      <w:r w:rsidRPr="00766E51">
        <w:rPr>
          <w:rFonts w:cs="Arial"/>
          <w:sz w:val="16"/>
          <w:szCs w:val="16"/>
          <w:vertAlign w:val="superscript"/>
          <w:lang w:val="es-ES_tradnl"/>
        </w:rPr>
        <w:t>1</w:t>
      </w:r>
    </w:p>
    <w:p w14:paraId="4D5F7D77"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Colombia</w:t>
      </w:r>
      <w:r w:rsidRPr="00766E51">
        <w:rPr>
          <w:rFonts w:cs="Arial"/>
          <w:sz w:val="16"/>
          <w:szCs w:val="16"/>
          <w:vertAlign w:val="superscript"/>
          <w:lang w:val="es-ES_tradnl"/>
        </w:rPr>
        <w:t>1</w:t>
      </w:r>
    </w:p>
    <w:p w14:paraId="635D0E7A"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Costa Rica</w:t>
      </w:r>
      <w:r w:rsidRPr="006814F8">
        <w:rPr>
          <w:rFonts w:cs="Arial"/>
          <w:sz w:val="16"/>
          <w:szCs w:val="16"/>
          <w:vertAlign w:val="superscript"/>
          <w:lang w:val="es-ES_tradnl"/>
        </w:rPr>
        <w:t>2</w:t>
      </w:r>
    </w:p>
    <w:p w14:paraId="04014CC5" w14:textId="77777777" w:rsidR="00B65EDC" w:rsidRPr="006814F8" w:rsidRDefault="00B65EDC" w:rsidP="00B65EDC">
      <w:pPr>
        <w:spacing w:before="20"/>
        <w:ind w:left="113" w:hanging="113"/>
        <w:jc w:val="left"/>
        <w:rPr>
          <w:rFonts w:cs="Arial"/>
          <w:sz w:val="16"/>
          <w:szCs w:val="16"/>
          <w:vertAlign w:val="superscript"/>
          <w:lang w:val="es-ES_tradnl"/>
        </w:rPr>
      </w:pPr>
      <w:r w:rsidRPr="006814F8">
        <w:rPr>
          <w:rFonts w:cs="Arial"/>
          <w:sz w:val="16"/>
          <w:szCs w:val="16"/>
          <w:lang w:val="es-ES_tradnl"/>
        </w:rPr>
        <w:t>Croatia</w:t>
      </w:r>
      <w:r w:rsidRPr="006814F8">
        <w:rPr>
          <w:rFonts w:cs="Arial"/>
          <w:sz w:val="16"/>
          <w:szCs w:val="16"/>
          <w:vertAlign w:val="superscript"/>
          <w:lang w:val="es-ES_tradnl"/>
        </w:rPr>
        <w:t>2</w:t>
      </w:r>
    </w:p>
    <w:p w14:paraId="40EACB0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Czech Republic</w:t>
      </w:r>
      <w:r w:rsidRPr="00912A85">
        <w:rPr>
          <w:rFonts w:cs="Arial"/>
          <w:sz w:val="16"/>
          <w:szCs w:val="16"/>
          <w:vertAlign w:val="superscript"/>
        </w:rPr>
        <w:t>2</w:t>
      </w:r>
    </w:p>
    <w:p w14:paraId="0A7AAA00"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Denmark</w:t>
      </w:r>
      <w:r w:rsidRPr="00912A85">
        <w:rPr>
          <w:rStyle w:val="FootnoteReference"/>
          <w:rFonts w:cs="Arial"/>
          <w:sz w:val="16"/>
          <w:szCs w:val="16"/>
        </w:rPr>
        <w:t>2</w:t>
      </w:r>
    </w:p>
    <w:p w14:paraId="1ED8842A"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Dominican Republic</w:t>
      </w:r>
      <w:r w:rsidRPr="00912A85">
        <w:rPr>
          <w:rFonts w:cs="Arial"/>
          <w:sz w:val="16"/>
          <w:szCs w:val="16"/>
          <w:vertAlign w:val="superscript"/>
        </w:rPr>
        <w:t>2</w:t>
      </w:r>
    </w:p>
    <w:p w14:paraId="735301A4"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Ecuador</w:t>
      </w:r>
      <w:r w:rsidRPr="00912A85">
        <w:rPr>
          <w:rFonts w:cs="Arial"/>
          <w:sz w:val="16"/>
          <w:szCs w:val="16"/>
          <w:vertAlign w:val="superscript"/>
        </w:rPr>
        <w:t>1</w:t>
      </w:r>
    </w:p>
    <w:p w14:paraId="5272EE3B"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Egypt</w:t>
      </w:r>
      <w:r w:rsidRPr="00912A85">
        <w:rPr>
          <w:rFonts w:cs="Arial"/>
          <w:sz w:val="16"/>
          <w:szCs w:val="16"/>
          <w:vertAlign w:val="superscript"/>
        </w:rPr>
        <w:t>2</w:t>
      </w:r>
    </w:p>
    <w:p w14:paraId="1E2A3ECD"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Estonia</w:t>
      </w:r>
      <w:r w:rsidRPr="00912A85">
        <w:rPr>
          <w:rFonts w:cs="Arial"/>
          <w:sz w:val="16"/>
          <w:szCs w:val="16"/>
          <w:vertAlign w:val="superscript"/>
        </w:rPr>
        <w:t>2</w:t>
      </w:r>
    </w:p>
    <w:p w14:paraId="55B8117E"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European Union</w:t>
      </w:r>
      <w:r w:rsidRPr="00912A85">
        <w:rPr>
          <w:rFonts w:cs="Arial"/>
          <w:sz w:val="16"/>
          <w:szCs w:val="16"/>
          <w:vertAlign w:val="superscript"/>
        </w:rPr>
        <w:t>2, 3</w:t>
      </w:r>
    </w:p>
    <w:p w14:paraId="1183F282"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Finland</w:t>
      </w:r>
      <w:r w:rsidRPr="00912A85">
        <w:rPr>
          <w:rStyle w:val="FootnoteReference"/>
          <w:rFonts w:cs="Arial"/>
          <w:sz w:val="16"/>
          <w:szCs w:val="16"/>
        </w:rPr>
        <w:t>2</w:t>
      </w:r>
    </w:p>
    <w:p w14:paraId="0DFB0FA4"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France</w:t>
      </w:r>
      <w:r w:rsidRPr="00912A85">
        <w:rPr>
          <w:rStyle w:val="FootnoteReference"/>
          <w:rFonts w:cs="Arial"/>
          <w:sz w:val="16"/>
          <w:szCs w:val="16"/>
        </w:rPr>
        <w:t>2</w:t>
      </w:r>
    </w:p>
    <w:p w14:paraId="7393B2B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Georgia</w:t>
      </w:r>
      <w:r w:rsidRPr="00912A85">
        <w:rPr>
          <w:rFonts w:cs="Arial"/>
          <w:sz w:val="16"/>
          <w:szCs w:val="16"/>
          <w:vertAlign w:val="superscript"/>
        </w:rPr>
        <w:t>2</w:t>
      </w:r>
    </w:p>
    <w:p w14:paraId="043BC970"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Germany</w:t>
      </w:r>
      <w:r w:rsidRPr="00912A85">
        <w:rPr>
          <w:rStyle w:val="FootnoteReference"/>
          <w:rFonts w:cs="Arial"/>
          <w:sz w:val="16"/>
          <w:szCs w:val="16"/>
        </w:rPr>
        <w:t>2</w:t>
      </w:r>
    </w:p>
    <w:p w14:paraId="04AB6E96"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Ghana</w:t>
      </w:r>
      <w:r w:rsidRPr="00912A85">
        <w:rPr>
          <w:rFonts w:cs="Arial"/>
          <w:sz w:val="16"/>
          <w:szCs w:val="16"/>
          <w:vertAlign w:val="superscript"/>
        </w:rPr>
        <w:t>2</w:t>
      </w:r>
    </w:p>
    <w:p w14:paraId="3FBE1A0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Hungary</w:t>
      </w:r>
      <w:r w:rsidRPr="00912A85">
        <w:rPr>
          <w:rStyle w:val="FootnoteReference"/>
          <w:rFonts w:cs="Arial"/>
          <w:sz w:val="16"/>
          <w:szCs w:val="16"/>
        </w:rPr>
        <w:t>2</w:t>
      </w:r>
    </w:p>
    <w:p w14:paraId="7AF863F6"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Iceland</w:t>
      </w:r>
      <w:r w:rsidRPr="00912A85">
        <w:rPr>
          <w:rStyle w:val="FootnoteReference"/>
          <w:rFonts w:cs="Arial"/>
          <w:sz w:val="16"/>
          <w:szCs w:val="16"/>
        </w:rPr>
        <w:t>2</w:t>
      </w:r>
    </w:p>
    <w:p w14:paraId="261FDF23"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Ireland</w:t>
      </w:r>
      <w:r w:rsidRPr="00912A85">
        <w:rPr>
          <w:rStyle w:val="FootnoteReference"/>
          <w:rFonts w:cs="Arial"/>
          <w:sz w:val="16"/>
          <w:szCs w:val="16"/>
        </w:rPr>
        <w:t>2</w:t>
      </w:r>
    </w:p>
    <w:p w14:paraId="2FC0047A"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Israel</w:t>
      </w:r>
      <w:r w:rsidRPr="00912A85">
        <w:rPr>
          <w:rFonts w:cs="Arial"/>
          <w:sz w:val="16"/>
          <w:szCs w:val="16"/>
          <w:vertAlign w:val="superscript"/>
        </w:rPr>
        <w:t>2</w:t>
      </w:r>
    </w:p>
    <w:p w14:paraId="74789016"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Italy</w:t>
      </w:r>
      <w:r w:rsidRPr="00766E51">
        <w:rPr>
          <w:rStyle w:val="FootnoteReference"/>
          <w:rFonts w:cs="Arial"/>
          <w:sz w:val="16"/>
          <w:szCs w:val="16"/>
          <w:lang w:val="es-ES_tradnl"/>
        </w:rPr>
        <w:t>1</w:t>
      </w:r>
    </w:p>
    <w:p w14:paraId="503C9F0B"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Japan</w:t>
      </w:r>
      <w:r w:rsidRPr="00766E51">
        <w:rPr>
          <w:rFonts w:cs="Arial"/>
          <w:sz w:val="16"/>
          <w:szCs w:val="16"/>
          <w:vertAlign w:val="superscript"/>
          <w:lang w:val="es-ES_tradnl"/>
        </w:rPr>
        <w:t>2</w:t>
      </w:r>
    </w:p>
    <w:p w14:paraId="40AE36FF"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Jordan</w:t>
      </w:r>
      <w:r w:rsidRPr="00766E51">
        <w:rPr>
          <w:rFonts w:cs="Arial"/>
          <w:sz w:val="16"/>
          <w:szCs w:val="16"/>
          <w:vertAlign w:val="superscript"/>
          <w:lang w:val="es-ES_tradnl"/>
        </w:rPr>
        <w:t>2</w:t>
      </w:r>
    </w:p>
    <w:p w14:paraId="7680B1D8"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Kenya</w:t>
      </w:r>
      <w:r w:rsidRPr="00766E51">
        <w:rPr>
          <w:rFonts w:cs="Arial"/>
          <w:sz w:val="16"/>
          <w:szCs w:val="16"/>
          <w:vertAlign w:val="superscript"/>
          <w:lang w:val="es-ES_tradnl"/>
        </w:rPr>
        <w:t>2</w:t>
      </w:r>
    </w:p>
    <w:p w14:paraId="4233AA2C"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Kyrgyzstan</w:t>
      </w:r>
      <w:r w:rsidRPr="00766E51">
        <w:rPr>
          <w:rFonts w:cs="Arial"/>
          <w:sz w:val="16"/>
          <w:szCs w:val="16"/>
          <w:vertAlign w:val="superscript"/>
          <w:lang w:val="es-ES_tradnl"/>
        </w:rPr>
        <w:t>2</w:t>
      </w:r>
    </w:p>
    <w:p w14:paraId="531439D1" w14:textId="77777777" w:rsidR="00B65EDC" w:rsidRPr="00766E51" w:rsidRDefault="00B65EDC" w:rsidP="00B65EDC">
      <w:pPr>
        <w:spacing w:before="20"/>
        <w:ind w:left="113" w:hanging="113"/>
        <w:jc w:val="left"/>
        <w:rPr>
          <w:rFonts w:cs="Arial"/>
          <w:sz w:val="16"/>
          <w:szCs w:val="16"/>
          <w:lang w:val="es-ES_tradnl"/>
        </w:rPr>
      </w:pPr>
      <w:r w:rsidRPr="00766E51">
        <w:rPr>
          <w:rFonts w:cs="Arial"/>
          <w:sz w:val="16"/>
          <w:szCs w:val="16"/>
          <w:lang w:val="es-ES_tradnl"/>
        </w:rPr>
        <w:t>Latvia</w:t>
      </w:r>
      <w:r w:rsidRPr="00766E51">
        <w:rPr>
          <w:rFonts w:cs="Arial"/>
          <w:sz w:val="16"/>
          <w:szCs w:val="16"/>
          <w:vertAlign w:val="superscript"/>
          <w:lang w:val="es-ES_tradnl"/>
        </w:rPr>
        <w:t>2</w:t>
      </w:r>
    </w:p>
    <w:p w14:paraId="49FAECFA" w14:textId="77777777" w:rsidR="00B65EDC" w:rsidRPr="00DA049F" w:rsidRDefault="00B65EDC" w:rsidP="00B65EDC">
      <w:pPr>
        <w:spacing w:before="20"/>
        <w:ind w:left="113" w:hanging="113"/>
        <w:jc w:val="left"/>
        <w:rPr>
          <w:rFonts w:cs="Arial"/>
          <w:sz w:val="16"/>
          <w:szCs w:val="16"/>
        </w:rPr>
      </w:pPr>
      <w:r w:rsidRPr="00DA049F">
        <w:rPr>
          <w:rFonts w:cs="Arial"/>
          <w:sz w:val="16"/>
          <w:szCs w:val="16"/>
        </w:rPr>
        <w:t>Lithuania</w:t>
      </w:r>
      <w:r w:rsidRPr="00DA049F">
        <w:rPr>
          <w:rFonts w:cs="Arial"/>
          <w:sz w:val="16"/>
          <w:szCs w:val="16"/>
          <w:vertAlign w:val="superscript"/>
        </w:rPr>
        <w:t>2</w:t>
      </w:r>
    </w:p>
    <w:p w14:paraId="3A621BCC" w14:textId="77777777" w:rsidR="00B65EDC" w:rsidRPr="00DA049F" w:rsidRDefault="00B65EDC" w:rsidP="00B65EDC">
      <w:pPr>
        <w:spacing w:before="20"/>
        <w:ind w:left="113" w:hanging="113"/>
        <w:jc w:val="left"/>
        <w:rPr>
          <w:rFonts w:cs="Arial"/>
          <w:sz w:val="16"/>
          <w:szCs w:val="16"/>
          <w:vertAlign w:val="superscript"/>
        </w:rPr>
      </w:pPr>
      <w:r w:rsidRPr="00DA049F">
        <w:rPr>
          <w:rFonts w:cs="Arial"/>
          <w:sz w:val="16"/>
          <w:szCs w:val="16"/>
        </w:rPr>
        <w:t>Mexico</w:t>
      </w:r>
      <w:r w:rsidRPr="00DA049F">
        <w:rPr>
          <w:rFonts w:cs="Arial"/>
          <w:sz w:val="16"/>
          <w:szCs w:val="16"/>
          <w:vertAlign w:val="superscript"/>
        </w:rPr>
        <w:t>1</w:t>
      </w:r>
    </w:p>
    <w:p w14:paraId="60D126F1" w14:textId="77777777" w:rsidR="00B65EDC" w:rsidRPr="00DA049F" w:rsidRDefault="00B65EDC" w:rsidP="00B65EDC">
      <w:pPr>
        <w:spacing w:before="20"/>
        <w:ind w:left="113" w:hanging="113"/>
        <w:jc w:val="left"/>
        <w:rPr>
          <w:rFonts w:cs="Arial"/>
          <w:sz w:val="16"/>
          <w:szCs w:val="16"/>
          <w:vertAlign w:val="superscript"/>
        </w:rPr>
      </w:pPr>
      <w:r w:rsidRPr="00DA049F">
        <w:rPr>
          <w:rFonts w:cs="Arial"/>
          <w:sz w:val="16"/>
          <w:szCs w:val="16"/>
        </w:rPr>
        <w:t>Montenegro</w:t>
      </w:r>
      <w:r w:rsidRPr="00DA049F">
        <w:rPr>
          <w:rFonts w:cs="Arial"/>
          <w:sz w:val="16"/>
          <w:szCs w:val="16"/>
          <w:vertAlign w:val="superscript"/>
        </w:rPr>
        <w:t>2</w:t>
      </w:r>
    </w:p>
    <w:p w14:paraId="52CFD07A" w14:textId="77777777" w:rsidR="00B65EDC" w:rsidRPr="00DA049F" w:rsidRDefault="00B65EDC" w:rsidP="00B65EDC">
      <w:pPr>
        <w:spacing w:before="20"/>
        <w:ind w:left="113" w:hanging="113"/>
        <w:jc w:val="left"/>
        <w:rPr>
          <w:rFonts w:cs="Arial"/>
          <w:sz w:val="16"/>
          <w:szCs w:val="16"/>
        </w:rPr>
      </w:pPr>
      <w:r w:rsidRPr="00DA049F">
        <w:rPr>
          <w:rFonts w:cs="Arial"/>
          <w:sz w:val="16"/>
          <w:szCs w:val="16"/>
        </w:rPr>
        <w:t>Morocco</w:t>
      </w:r>
      <w:r w:rsidRPr="00DA049F">
        <w:rPr>
          <w:rStyle w:val="FootnoteReference"/>
          <w:rFonts w:cs="Arial"/>
          <w:sz w:val="16"/>
          <w:szCs w:val="16"/>
        </w:rPr>
        <w:t>2</w:t>
      </w:r>
    </w:p>
    <w:p w14:paraId="097DCBDD"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Netherlands (Kingdom of)</w:t>
      </w:r>
      <w:r w:rsidRPr="00912A85">
        <w:rPr>
          <w:rFonts w:cs="Arial"/>
          <w:sz w:val="16"/>
          <w:szCs w:val="16"/>
          <w:vertAlign w:val="superscript"/>
        </w:rPr>
        <w:t>2</w:t>
      </w:r>
    </w:p>
    <w:p w14:paraId="3A02943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New Zealand</w:t>
      </w:r>
      <w:r w:rsidRPr="00912A85">
        <w:rPr>
          <w:rStyle w:val="FootnoteReference"/>
          <w:rFonts w:cs="Arial"/>
          <w:sz w:val="16"/>
          <w:szCs w:val="16"/>
        </w:rPr>
        <w:t>1</w:t>
      </w:r>
    </w:p>
    <w:p w14:paraId="0FFC949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Nicaragua</w:t>
      </w:r>
      <w:r w:rsidRPr="00912A85">
        <w:rPr>
          <w:rFonts w:cs="Arial"/>
          <w:sz w:val="16"/>
          <w:szCs w:val="16"/>
          <w:vertAlign w:val="superscript"/>
        </w:rPr>
        <w:t>1</w:t>
      </w:r>
    </w:p>
    <w:p w14:paraId="67DC33F3" w14:textId="0B9A839A" w:rsidR="00B65EDC" w:rsidRPr="00912A85" w:rsidRDefault="00B65EDC" w:rsidP="00B65EDC">
      <w:pPr>
        <w:spacing w:before="20"/>
        <w:ind w:left="113" w:hanging="113"/>
        <w:jc w:val="left"/>
        <w:rPr>
          <w:rFonts w:cs="Arial"/>
          <w:sz w:val="16"/>
          <w:szCs w:val="16"/>
        </w:rPr>
      </w:pPr>
      <w:r w:rsidRPr="00912A85">
        <w:rPr>
          <w:rFonts w:cs="Arial"/>
          <w:sz w:val="16"/>
          <w:szCs w:val="16"/>
        </w:rPr>
        <w:t>Nigeria</w:t>
      </w:r>
      <w:r w:rsidR="004B4DFC" w:rsidRPr="00912A85">
        <w:rPr>
          <w:rFonts w:cs="Arial"/>
          <w:sz w:val="16"/>
          <w:szCs w:val="16"/>
          <w:vertAlign w:val="superscript"/>
        </w:rPr>
        <w:t>2</w:t>
      </w:r>
    </w:p>
    <w:p w14:paraId="05C1D0BD"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North Macedonia</w:t>
      </w:r>
      <w:r w:rsidRPr="00912A85">
        <w:rPr>
          <w:rFonts w:cs="Arial"/>
          <w:sz w:val="16"/>
          <w:szCs w:val="16"/>
          <w:vertAlign w:val="superscript"/>
        </w:rPr>
        <w:t>2</w:t>
      </w:r>
    </w:p>
    <w:p w14:paraId="7771A5DE"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Norway</w:t>
      </w:r>
      <w:r w:rsidRPr="006814F8">
        <w:rPr>
          <w:rStyle w:val="FootnoteReference"/>
          <w:rFonts w:cs="Arial"/>
          <w:sz w:val="16"/>
          <w:szCs w:val="16"/>
          <w:lang w:val="es-ES_tradnl"/>
        </w:rPr>
        <w:t>1</w:t>
      </w:r>
    </w:p>
    <w:p w14:paraId="5DF5333A"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Oman</w:t>
      </w:r>
      <w:r w:rsidRPr="006814F8">
        <w:rPr>
          <w:rFonts w:cs="Arial"/>
          <w:sz w:val="16"/>
          <w:szCs w:val="16"/>
          <w:vertAlign w:val="superscript"/>
          <w:lang w:val="es-ES_tradnl"/>
        </w:rPr>
        <w:t>2</w:t>
      </w:r>
    </w:p>
    <w:p w14:paraId="22BB2265" w14:textId="77777777" w:rsidR="00B65EDC" w:rsidRPr="006814F8" w:rsidRDefault="00B65EDC" w:rsidP="00B65EDC">
      <w:pPr>
        <w:spacing w:before="20"/>
        <w:ind w:left="113" w:hanging="113"/>
        <w:jc w:val="left"/>
        <w:rPr>
          <w:rFonts w:cs="Arial"/>
          <w:sz w:val="16"/>
          <w:szCs w:val="16"/>
          <w:vertAlign w:val="superscript"/>
          <w:lang w:val="es-ES_tradnl"/>
        </w:rPr>
      </w:pPr>
      <w:r w:rsidRPr="006814F8">
        <w:rPr>
          <w:rFonts w:cs="Arial"/>
          <w:sz w:val="16"/>
          <w:szCs w:val="16"/>
          <w:lang w:val="es-ES_tradnl"/>
        </w:rPr>
        <w:t>Panama</w:t>
      </w:r>
      <w:r w:rsidRPr="006814F8">
        <w:rPr>
          <w:rFonts w:cs="Arial"/>
          <w:sz w:val="16"/>
          <w:szCs w:val="16"/>
          <w:vertAlign w:val="superscript"/>
          <w:lang w:val="es-ES_tradnl"/>
        </w:rPr>
        <w:t>2</w:t>
      </w:r>
    </w:p>
    <w:p w14:paraId="00234CDE"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Paraguay</w:t>
      </w:r>
      <w:r w:rsidRPr="006814F8">
        <w:rPr>
          <w:rFonts w:cs="Arial"/>
          <w:sz w:val="16"/>
          <w:szCs w:val="16"/>
          <w:vertAlign w:val="superscript"/>
          <w:lang w:val="es-ES_tradnl"/>
        </w:rPr>
        <w:t>1</w:t>
      </w:r>
    </w:p>
    <w:p w14:paraId="6548A1C2" w14:textId="77777777" w:rsidR="00B65EDC" w:rsidRPr="006814F8" w:rsidRDefault="00B65EDC" w:rsidP="00B65EDC">
      <w:pPr>
        <w:spacing w:before="20"/>
        <w:ind w:left="113" w:hanging="113"/>
        <w:jc w:val="left"/>
        <w:rPr>
          <w:rFonts w:cs="Arial"/>
          <w:sz w:val="16"/>
          <w:szCs w:val="16"/>
          <w:lang w:val="es-ES_tradnl"/>
        </w:rPr>
      </w:pPr>
      <w:r w:rsidRPr="006814F8">
        <w:rPr>
          <w:rFonts w:cs="Arial"/>
          <w:sz w:val="16"/>
          <w:szCs w:val="16"/>
          <w:lang w:val="es-ES_tradnl"/>
        </w:rPr>
        <w:t>Peru</w:t>
      </w:r>
      <w:r w:rsidRPr="006814F8">
        <w:rPr>
          <w:rFonts w:cs="Arial"/>
          <w:sz w:val="16"/>
          <w:szCs w:val="16"/>
          <w:vertAlign w:val="superscript"/>
          <w:lang w:val="es-ES_tradnl"/>
        </w:rPr>
        <w:t>2</w:t>
      </w:r>
    </w:p>
    <w:p w14:paraId="2E7289C3" w14:textId="77777777" w:rsidR="00B65EDC" w:rsidRPr="006814F8" w:rsidRDefault="00B65EDC" w:rsidP="00B65EDC">
      <w:pPr>
        <w:pStyle w:val="BodyTextKeep"/>
        <w:keepNext w:val="0"/>
        <w:spacing w:before="20" w:after="0"/>
        <w:ind w:left="113" w:hanging="113"/>
        <w:rPr>
          <w:rFonts w:ascii="Arial" w:hAnsi="Arial" w:cs="Arial"/>
          <w:sz w:val="16"/>
          <w:szCs w:val="16"/>
          <w:vertAlign w:val="superscript"/>
          <w:lang w:val="es-ES_tradnl"/>
        </w:rPr>
      </w:pPr>
      <w:r w:rsidRPr="006814F8">
        <w:rPr>
          <w:rFonts w:ascii="Arial" w:hAnsi="Arial" w:cs="Arial"/>
          <w:sz w:val="16"/>
          <w:szCs w:val="16"/>
          <w:lang w:val="es-ES_tradnl"/>
        </w:rPr>
        <w:t>Poland</w:t>
      </w:r>
      <w:r w:rsidRPr="006814F8">
        <w:rPr>
          <w:rStyle w:val="FootnoteReference"/>
          <w:rFonts w:cs="Arial"/>
          <w:sz w:val="16"/>
          <w:szCs w:val="16"/>
          <w:lang w:val="es-ES_tradnl"/>
        </w:rPr>
        <w:t>2</w:t>
      </w:r>
    </w:p>
    <w:p w14:paraId="7B1BD07C"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Portugal</w:t>
      </w:r>
      <w:r w:rsidRPr="00912A85">
        <w:rPr>
          <w:rFonts w:ascii="Arial" w:hAnsi="Arial" w:cs="Arial"/>
          <w:sz w:val="16"/>
          <w:szCs w:val="16"/>
          <w:vertAlign w:val="superscript"/>
        </w:rPr>
        <w:t>1</w:t>
      </w:r>
    </w:p>
    <w:p w14:paraId="751A0C4C"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Republic of Korea</w:t>
      </w:r>
      <w:r w:rsidRPr="00912A85">
        <w:rPr>
          <w:rFonts w:ascii="Arial" w:hAnsi="Arial" w:cs="Arial"/>
          <w:sz w:val="16"/>
          <w:szCs w:val="16"/>
          <w:vertAlign w:val="superscript"/>
        </w:rPr>
        <w:t>2</w:t>
      </w:r>
    </w:p>
    <w:p w14:paraId="0356A524"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Republic of Moldova</w:t>
      </w:r>
      <w:r w:rsidRPr="00912A85">
        <w:rPr>
          <w:rFonts w:ascii="Arial" w:hAnsi="Arial" w:cs="Arial"/>
          <w:sz w:val="16"/>
          <w:szCs w:val="16"/>
          <w:vertAlign w:val="superscript"/>
        </w:rPr>
        <w:t>2</w:t>
      </w:r>
    </w:p>
    <w:p w14:paraId="2E0A0E5A" w14:textId="77777777" w:rsidR="00B65EDC" w:rsidRPr="00912A85" w:rsidRDefault="00B65EDC" w:rsidP="00B65EDC">
      <w:pPr>
        <w:pStyle w:val="BodyTextKeep"/>
        <w:keepNext w:val="0"/>
        <w:spacing w:before="20" w:after="0"/>
        <w:ind w:left="113" w:hanging="113"/>
        <w:rPr>
          <w:rFonts w:ascii="Arial" w:hAnsi="Arial" w:cs="Arial"/>
          <w:sz w:val="16"/>
          <w:szCs w:val="16"/>
          <w:vertAlign w:val="superscript"/>
        </w:rPr>
      </w:pPr>
      <w:r w:rsidRPr="00912A85">
        <w:rPr>
          <w:rFonts w:ascii="Arial" w:hAnsi="Arial" w:cs="Arial"/>
          <w:sz w:val="16"/>
          <w:szCs w:val="16"/>
        </w:rPr>
        <w:t>Romania</w:t>
      </w:r>
      <w:r w:rsidRPr="00912A85">
        <w:rPr>
          <w:rFonts w:ascii="Arial" w:hAnsi="Arial" w:cs="Arial"/>
          <w:sz w:val="16"/>
          <w:szCs w:val="16"/>
          <w:vertAlign w:val="superscript"/>
        </w:rPr>
        <w:t>2</w:t>
      </w:r>
    </w:p>
    <w:p w14:paraId="52D555FB"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Russian Federation</w:t>
      </w:r>
      <w:r w:rsidRPr="00912A85">
        <w:rPr>
          <w:rFonts w:ascii="Arial" w:hAnsi="Arial" w:cs="Arial"/>
          <w:sz w:val="16"/>
          <w:szCs w:val="16"/>
          <w:vertAlign w:val="superscript"/>
        </w:rPr>
        <w:t>2</w:t>
      </w:r>
    </w:p>
    <w:p w14:paraId="5D505C5E"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Saint Vincent and the Grenadines</w:t>
      </w:r>
      <w:r w:rsidRPr="00912A85">
        <w:rPr>
          <w:rFonts w:ascii="Arial" w:hAnsi="Arial" w:cs="Arial"/>
          <w:sz w:val="16"/>
          <w:szCs w:val="16"/>
          <w:vertAlign w:val="superscript"/>
        </w:rPr>
        <w:t>2</w:t>
      </w:r>
    </w:p>
    <w:p w14:paraId="6EF46859"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Serbia</w:t>
      </w:r>
      <w:r w:rsidRPr="00912A85">
        <w:rPr>
          <w:rFonts w:ascii="Arial" w:hAnsi="Arial" w:cs="Arial"/>
          <w:sz w:val="16"/>
          <w:szCs w:val="16"/>
          <w:vertAlign w:val="superscript"/>
        </w:rPr>
        <w:t>2</w:t>
      </w:r>
    </w:p>
    <w:p w14:paraId="3154153F"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Singapore</w:t>
      </w:r>
      <w:r w:rsidRPr="00912A85">
        <w:rPr>
          <w:rFonts w:ascii="Arial" w:hAnsi="Arial" w:cs="Arial"/>
          <w:sz w:val="16"/>
          <w:szCs w:val="16"/>
          <w:vertAlign w:val="superscript"/>
        </w:rPr>
        <w:t>2</w:t>
      </w:r>
    </w:p>
    <w:p w14:paraId="01BFCF8F"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Slovakia</w:t>
      </w:r>
      <w:r w:rsidRPr="00912A85">
        <w:rPr>
          <w:rFonts w:cs="Arial"/>
          <w:sz w:val="16"/>
          <w:szCs w:val="16"/>
          <w:vertAlign w:val="superscript"/>
        </w:rPr>
        <w:t>2</w:t>
      </w:r>
    </w:p>
    <w:p w14:paraId="368A40DF"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Slovenia</w:t>
      </w:r>
      <w:r w:rsidRPr="00912A85">
        <w:rPr>
          <w:rFonts w:cs="Arial"/>
          <w:sz w:val="16"/>
          <w:szCs w:val="16"/>
          <w:vertAlign w:val="superscript"/>
        </w:rPr>
        <w:t>2</w:t>
      </w:r>
    </w:p>
    <w:p w14:paraId="70E76D06"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South Africa</w:t>
      </w:r>
      <w:r w:rsidRPr="00912A85">
        <w:rPr>
          <w:rStyle w:val="FootnoteReference"/>
          <w:rFonts w:cs="Arial"/>
          <w:sz w:val="16"/>
          <w:szCs w:val="16"/>
        </w:rPr>
        <w:t>1</w:t>
      </w:r>
    </w:p>
    <w:p w14:paraId="794E70FE"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Spain</w:t>
      </w:r>
      <w:r w:rsidRPr="00912A85">
        <w:rPr>
          <w:rStyle w:val="FootnoteReference"/>
          <w:rFonts w:cs="Arial"/>
          <w:sz w:val="16"/>
          <w:szCs w:val="16"/>
        </w:rPr>
        <w:t>2</w:t>
      </w:r>
    </w:p>
    <w:p w14:paraId="5151BD2E" w14:textId="77777777" w:rsidR="00B65EDC" w:rsidRPr="00912A85" w:rsidRDefault="00B65EDC" w:rsidP="00B65EDC">
      <w:pPr>
        <w:pStyle w:val="BodyTextKeep"/>
        <w:keepNext w:val="0"/>
        <w:spacing w:before="20" w:after="0"/>
        <w:ind w:left="113" w:hanging="113"/>
        <w:rPr>
          <w:rFonts w:ascii="Arial" w:hAnsi="Arial" w:cs="Arial"/>
          <w:sz w:val="16"/>
          <w:szCs w:val="16"/>
        </w:rPr>
      </w:pPr>
      <w:r w:rsidRPr="00912A85">
        <w:rPr>
          <w:rFonts w:ascii="Arial" w:hAnsi="Arial" w:cs="Arial"/>
          <w:sz w:val="16"/>
          <w:szCs w:val="16"/>
        </w:rPr>
        <w:t>Sweden</w:t>
      </w:r>
      <w:r w:rsidRPr="00912A85">
        <w:rPr>
          <w:rFonts w:ascii="Arial" w:hAnsi="Arial" w:cs="Arial"/>
          <w:sz w:val="16"/>
          <w:szCs w:val="16"/>
          <w:vertAlign w:val="superscript"/>
        </w:rPr>
        <w:t>2</w:t>
      </w:r>
    </w:p>
    <w:p w14:paraId="47D35FC2"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Switzerland</w:t>
      </w:r>
      <w:r w:rsidRPr="00912A85">
        <w:rPr>
          <w:rFonts w:cs="Arial"/>
          <w:sz w:val="16"/>
          <w:szCs w:val="16"/>
          <w:vertAlign w:val="superscript"/>
        </w:rPr>
        <w:t>2</w:t>
      </w:r>
    </w:p>
    <w:p w14:paraId="130D6B59"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Trinidad and Tobago</w:t>
      </w:r>
      <w:r w:rsidRPr="00912A85">
        <w:rPr>
          <w:rFonts w:cs="Arial"/>
          <w:sz w:val="16"/>
          <w:szCs w:val="16"/>
          <w:vertAlign w:val="superscript"/>
        </w:rPr>
        <w:t>1</w:t>
      </w:r>
    </w:p>
    <w:p w14:paraId="04DBEEF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Tunisia</w:t>
      </w:r>
      <w:r w:rsidRPr="00912A85">
        <w:rPr>
          <w:rFonts w:cs="Arial"/>
          <w:sz w:val="16"/>
          <w:szCs w:val="16"/>
          <w:vertAlign w:val="superscript"/>
        </w:rPr>
        <w:t>2</w:t>
      </w:r>
    </w:p>
    <w:p w14:paraId="046AD44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Türkiye</w:t>
      </w:r>
      <w:r w:rsidRPr="00912A85">
        <w:rPr>
          <w:rFonts w:cs="Arial"/>
          <w:sz w:val="16"/>
          <w:szCs w:val="16"/>
          <w:vertAlign w:val="superscript"/>
        </w:rPr>
        <w:t>2</w:t>
      </w:r>
    </w:p>
    <w:p w14:paraId="115E1570"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Ukraine</w:t>
      </w:r>
      <w:r w:rsidRPr="00912A85">
        <w:rPr>
          <w:rFonts w:cs="Arial"/>
          <w:sz w:val="16"/>
          <w:szCs w:val="16"/>
          <w:vertAlign w:val="superscript"/>
        </w:rPr>
        <w:t>2</w:t>
      </w:r>
    </w:p>
    <w:p w14:paraId="6169304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United Kingdom</w:t>
      </w:r>
      <w:r w:rsidRPr="00912A85">
        <w:rPr>
          <w:rFonts w:cs="Arial"/>
          <w:sz w:val="16"/>
          <w:szCs w:val="16"/>
          <w:vertAlign w:val="superscript"/>
        </w:rPr>
        <w:t>2</w:t>
      </w:r>
    </w:p>
    <w:p w14:paraId="1B6DA4F4"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United Republic of Tanzania</w:t>
      </w:r>
      <w:r w:rsidRPr="00912A85">
        <w:rPr>
          <w:rFonts w:cs="Arial"/>
          <w:sz w:val="16"/>
          <w:szCs w:val="16"/>
          <w:vertAlign w:val="superscript"/>
        </w:rPr>
        <w:t>2</w:t>
      </w:r>
    </w:p>
    <w:p w14:paraId="585DEEF8"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United States of America</w:t>
      </w:r>
      <w:r w:rsidRPr="00912A85">
        <w:rPr>
          <w:rFonts w:cs="Arial"/>
          <w:sz w:val="16"/>
          <w:szCs w:val="16"/>
          <w:vertAlign w:val="superscript"/>
        </w:rPr>
        <w:t>2</w:t>
      </w:r>
    </w:p>
    <w:p w14:paraId="26A58121"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Uruguay</w:t>
      </w:r>
      <w:r w:rsidRPr="00912A85">
        <w:rPr>
          <w:rFonts w:cs="Arial"/>
          <w:sz w:val="16"/>
          <w:szCs w:val="16"/>
          <w:vertAlign w:val="superscript"/>
        </w:rPr>
        <w:t>1</w:t>
      </w:r>
    </w:p>
    <w:p w14:paraId="36578B15" w14:textId="77777777" w:rsidR="00B65EDC" w:rsidRPr="00912A85" w:rsidRDefault="00B65EDC" w:rsidP="00B65EDC">
      <w:pPr>
        <w:spacing w:before="20"/>
        <w:ind w:left="113" w:hanging="113"/>
        <w:jc w:val="left"/>
        <w:rPr>
          <w:rFonts w:cs="Arial"/>
          <w:sz w:val="16"/>
          <w:szCs w:val="16"/>
        </w:rPr>
      </w:pPr>
      <w:r w:rsidRPr="00912A85">
        <w:rPr>
          <w:rFonts w:cs="Arial"/>
          <w:sz w:val="16"/>
          <w:szCs w:val="16"/>
        </w:rPr>
        <w:t>Uzbekistan</w:t>
      </w:r>
      <w:r w:rsidRPr="00912A85">
        <w:rPr>
          <w:rFonts w:cs="Arial"/>
          <w:sz w:val="16"/>
          <w:szCs w:val="16"/>
          <w:vertAlign w:val="superscript"/>
        </w:rPr>
        <w:t>2</w:t>
      </w:r>
    </w:p>
    <w:p w14:paraId="577F7207" w14:textId="77777777" w:rsidR="00B65EDC" w:rsidRPr="00912A85" w:rsidRDefault="00B65EDC" w:rsidP="00B65EDC">
      <w:pPr>
        <w:spacing w:before="20"/>
        <w:ind w:left="113" w:hanging="113"/>
        <w:jc w:val="left"/>
        <w:rPr>
          <w:rFonts w:cs="Arial"/>
          <w:sz w:val="16"/>
          <w:szCs w:val="16"/>
          <w:vertAlign w:val="superscript"/>
        </w:rPr>
      </w:pPr>
      <w:r w:rsidRPr="00912A85">
        <w:rPr>
          <w:rFonts w:cs="Arial"/>
          <w:sz w:val="16"/>
          <w:szCs w:val="16"/>
        </w:rPr>
        <w:t>Viet Nam</w:t>
      </w:r>
      <w:r w:rsidRPr="00912A85">
        <w:rPr>
          <w:rFonts w:cs="Arial"/>
          <w:sz w:val="16"/>
          <w:szCs w:val="16"/>
          <w:vertAlign w:val="superscript"/>
        </w:rPr>
        <w:t>2</w:t>
      </w:r>
    </w:p>
    <w:p w14:paraId="4F4668BC" w14:textId="77777777" w:rsidR="00B65EDC" w:rsidRPr="00912A85" w:rsidRDefault="00B65EDC" w:rsidP="00B65EDC">
      <w:pPr>
        <w:spacing w:before="20"/>
        <w:jc w:val="left"/>
        <w:rPr>
          <w:rFonts w:cs="Arial"/>
          <w:sz w:val="16"/>
          <w:szCs w:val="16"/>
        </w:rPr>
      </w:pPr>
    </w:p>
    <w:p w14:paraId="5B2CC73E" w14:textId="77777777" w:rsidR="00B65EDC" w:rsidRPr="00912A85" w:rsidRDefault="00B65EDC" w:rsidP="00B65EDC">
      <w:pPr>
        <w:spacing w:before="20"/>
        <w:ind w:left="113" w:hanging="113"/>
        <w:jc w:val="left"/>
        <w:rPr>
          <w:rFonts w:cs="Arial"/>
          <w:sz w:val="16"/>
          <w:szCs w:val="16"/>
        </w:rPr>
      </w:pPr>
    </w:p>
    <w:p w14:paraId="5FE47248" w14:textId="77777777" w:rsidR="00B65EDC" w:rsidRPr="00912A85" w:rsidRDefault="00B65EDC" w:rsidP="00B65EDC">
      <w:pPr>
        <w:spacing w:before="40"/>
        <w:rPr>
          <w:rFonts w:cs="Arial"/>
          <w:sz w:val="16"/>
          <w:szCs w:val="16"/>
        </w:rPr>
      </w:pPr>
      <w:r w:rsidRPr="00912A85">
        <w:rPr>
          <w:rFonts w:cs="Arial"/>
          <w:sz w:val="16"/>
          <w:szCs w:val="16"/>
        </w:rPr>
        <w:t>(Total 80)</w:t>
      </w:r>
    </w:p>
    <w:p w14:paraId="5A012F69" w14:textId="77777777" w:rsidR="00B65EDC" w:rsidRPr="00912A85" w:rsidRDefault="00B65EDC" w:rsidP="00B65EDC">
      <w:pPr>
        <w:spacing w:before="40"/>
        <w:jc w:val="left"/>
        <w:rPr>
          <w:rFonts w:cs="Arial"/>
          <w:sz w:val="16"/>
          <w:szCs w:val="16"/>
        </w:rPr>
        <w:sectPr w:rsidR="00B65EDC" w:rsidRPr="00912A85" w:rsidSect="00B65EDC">
          <w:headerReference w:type="even" r:id="rId32"/>
          <w:footerReference w:type="even" r:id="rId33"/>
          <w:footerReference w:type="default" r:id="rId34"/>
          <w:headerReference w:type="first" r:id="rId35"/>
          <w:footerReference w:type="first" r:id="rId36"/>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7A84C7A0" w14:textId="77777777" w:rsidR="00B65EDC" w:rsidRPr="00912A85" w:rsidRDefault="00B65EDC" w:rsidP="00B65EDC">
      <w:pPr>
        <w:spacing w:before="40"/>
        <w:jc w:val="left"/>
        <w:rPr>
          <w:rFonts w:cs="Arial"/>
          <w:sz w:val="16"/>
          <w:szCs w:val="16"/>
        </w:rPr>
      </w:pPr>
    </w:p>
    <w:p w14:paraId="52EB4853" w14:textId="77777777" w:rsidR="00B65EDC" w:rsidRPr="00912A85" w:rsidRDefault="00B65EDC" w:rsidP="00B65EDC">
      <w:pPr>
        <w:spacing w:before="40"/>
        <w:rPr>
          <w:rFonts w:cs="Arial"/>
          <w:sz w:val="16"/>
          <w:szCs w:val="16"/>
        </w:rPr>
        <w:sectPr w:rsidR="00B65EDC" w:rsidRPr="00912A85" w:rsidSect="00B65EDC">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27427417" w14:textId="77777777" w:rsidR="00B65EDC" w:rsidRPr="00912A85" w:rsidRDefault="00B65EDC" w:rsidP="00B65EDC">
      <w:pPr>
        <w:tabs>
          <w:tab w:val="left" w:pos="1418"/>
        </w:tabs>
        <w:spacing w:before="40" w:after="120"/>
        <w:jc w:val="left"/>
        <w:rPr>
          <w:sz w:val="16"/>
          <w:u w:val="single"/>
        </w:rPr>
      </w:pPr>
      <w:r w:rsidRPr="00912A85">
        <w:rPr>
          <w:sz w:val="16"/>
          <w:u w:val="single"/>
        </w:rPr>
        <w:tab/>
      </w:r>
    </w:p>
    <w:p w14:paraId="3B6C6B53" w14:textId="77777777" w:rsidR="00B65EDC" w:rsidRPr="00912A85" w:rsidRDefault="00B65EDC" w:rsidP="00B65EDC">
      <w:pPr>
        <w:tabs>
          <w:tab w:val="left" w:pos="284"/>
        </w:tabs>
        <w:spacing w:after="60"/>
        <w:ind w:left="84"/>
        <w:rPr>
          <w:rFonts w:cs="Arial"/>
          <w:sz w:val="14"/>
          <w:szCs w:val="16"/>
        </w:rPr>
      </w:pPr>
      <w:r w:rsidRPr="00912A85">
        <w:rPr>
          <w:rFonts w:cs="Arial"/>
          <w:sz w:val="14"/>
          <w:szCs w:val="16"/>
          <w:vertAlign w:val="superscript"/>
        </w:rPr>
        <w:t>1</w:t>
      </w:r>
      <w:r w:rsidRPr="00912A85">
        <w:rPr>
          <w:rFonts w:cs="Arial"/>
          <w:sz w:val="14"/>
          <w:szCs w:val="16"/>
        </w:rPr>
        <w:tab/>
        <w:t>1978 Act is the latest Act by which 17 States are bound.</w:t>
      </w:r>
      <w:r w:rsidRPr="00912A85">
        <w:rPr>
          <w:sz w:val="14"/>
        </w:rPr>
        <w:t xml:space="preserve"> </w:t>
      </w:r>
    </w:p>
    <w:p w14:paraId="495E283E" w14:textId="77777777" w:rsidR="00B65EDC" w:rsidRPr="00912A85" w:rsidRDefault="00B65EDC" w:rsidP="00B65EDC">
      <w:pPr>
        <w:tabs>
          <w:tab w:val="left" w:pos="284"/>
        </w:tabs>
        <w:spacing w:after="60"/>
        <w:ind w:left="84"/>
        <w:rPr>
          <w:rFonts w:cs="Arial"/>
          <w:sz w:val="14"/>
          <w:szCs w:val="16"/>
        </w:rPr>
      </w:pPr>
      <w:r w:rsidRPr="00912A85">
        <w:rPr>
          <w:rFonts w:cs="Arial"/>
          <w:sz w:val="14"/>
          <w:szCs w:val="16"/>
          <w:vertAlign w:val="superscript"/>
        </w:rPr>
        <w:t>2</w:t>
      </w:r>
      <w:r w:rsidRPr="00912A85">
        <w:rPr>
          <w:rFonts w:cs="Arial"/>
          <w:sz w:val="14"/>
          <w:szCs w:val="16"/>
        </w:rPr>
        <w:tab/>
        <w:t xml:space="preserve">1991 Act is the latest Act by which 60 </w:t>
      </w:r>
      <w:proofErr w:type="gramStart"/>
      <w:r w:rsidRPr="00912A85">
        <w:rPr>
          <w:rFonts w:cs="Arial"/>
          <w:sz w:val="14"/>
          <w:szCs w:val="16"/>
        </w:rPr>
        <w:t>States</w:t>
      </w:r>
      <w:proofErr w:type="gramEnd"/>
      <w:r w:rsidRPr="00912A85">
        <w:rPr>
          <w:rFonts w:cs="Arial"/>
          <w:sz w:val="14"/>
          <w:szCs w:val="16"/>
        </w:rPr>
        <w:t xml:space="preserve"> and 2 organizations are bound.</w:t>
      </w:r>
    </w:p>
    <w:p w14:paraId="3C3AAB3D" w14:textId="77777777" w:rsidR="00B65EDC" w:rsidRPr="00912A85" w:rsidRDefault="00B65EDC" w:rsidP="00B65EDC">
      <w:pPr>
        <w:tabs>
          <w:tab w:val="left" w:pos="284"/>
        </w:tabs>
        <w:spacing w:after="60"/>
        <w:ind w:left="284" w:hanging="200"/>
        <w:rPr>
          <w:rFonts w:cs="Arial"/>
          <w:sz w:val="14"/>
          <w:szCs w:val="16"/>
        </w:rPr>
      </w:pPr>
      <w:r w:rsidRPr="00912A85">
        <w:rPr>
          <w:rFonts w:cs="Arial"/>
          <w:sz w:val="14"/>
          <w:szCs w:val="16"/>
          <w:vertAlign w:val="superscript"/>
        </w:rPr>
        <w:t>3</w:t>
      </w:r>
      <w:r w:rsidRPr="00912A85">
        <w:rPr>
          <w:rFonts w:cs="Arial"/>
          <w:sz w:val="14"/>
          <w:szCs w:val="16"/>
        </w:rPr>
        <w:tab/>
        <w:t xml:space="preserve">Operates a plant breeders’ rights system which covers the territory of its 27 member States </w:t>
      </w:r>
      <w:r w:rsidRPr="00912A85">
        <w:rPr>
          <w:rFonts w:cs="Arial"/>
          <w:i/>
          <w:sz w:val="14"/>
          <w:szCs w:val="16"/>
        </w:rPr>
        <w:t>(Austria, Belgium, Bulgaria, Croatia, Cyprus, Czech Republic, Denmark, Estonia, Finland, France, Germany, Greece, Hungary, Ireland, Italy, Latvia, Lithuania, Luxembourg, Malta, Netherlands, Poland, Portugal, Romania, Slovakia, Slovenia, Spain, Sweden)</w:t>
      </w:r>
      <w:r w:rsidRPr="00912A85">
        <w:rPr>
          <w:rFonts w:cs="Arial"/>
          <w:sz w:val="14"/>
          <w:szCs w:val="16"/>
        </w:rPr>
        <w:t>.</w:t>
      </w:r>
    </w:p>
    <w:p w14:paraId="31C81F66" w14:textId="77777777" w:rsidR="00B65EDC" w:rsidRPr="00912A85" w:rsidRDefault="00B65EDC" w:rsidP="00B65EDC">
      <w:pPr>
        <w:tabs>
          <w:tab w:val="left" w:pos="284"/>
        </w:tabs>
        <w:spacing w:after="60"/>
        <w:ind w:left="284" w:hanging="200"/>
        <w:rPr>
          <w:rFonts w:cs="Arial"/>
          <w:i/>
          <w:sz w:val="14"/>
          <w:szCs w:val="16"/>
        </w:rPr>
      </w:pPr>
      <w:r w:rsidRPr="00912A85">
        <w:rPr>
          <w:rFonts w:cs="Arial"/>
          <w:sz w:val="14"/>
          <w:szCs w:val="16"/>
          <w:vertAlign w:val="superscript"/>
        </w:rPr>
        <w:t>4</w:t>
      </w:r>
      <w:r w:rsidRPr="00912A85">
        <w:rPr>
          <w:rFonts w:cs="Arial"/>
          <w:sz w:val="14"/>
          <w:szCs w:val="16"/>
        </w:rPr>
        <w:tab/>
        <w:t xml:space="preserve">Operates a plant breeders’ rights system which covers the territory of its 17 member States </w:t>
      </w:r>
      <w:r w:rsidRPr="00912A85">
        <w:rPr>
          <w:rFonts w:cs="Arial"/>
          <w:i/>
          <w:sz w:val="14"/>
          <w:szCs w:val="16"/>
        </w:rPr>
        <w:t>(Benin, Burkina Faso, Cameroon, Central African Republic, Chad, Comoros, Congo, Côte d’Ivoire, Equatorial Guinea, Gabon, Guinea, Guinea Bissau, Mali, Mauritania, Niger, Senegal, Togo).</w:t>
      </w:r>
    </w:p>
    <w:p w14:paraId="15298E61" w14:textId="77777777" w:rsidR="00B65EDC" w:rsidRPr="00912A85" w:rsidRDefault="00B65EDC" w:rsidP="00B65EDC">
      <w:pPr>
        <w:pStyle w:val="BodyText3"/>
        <w:tabs>
          <w:tab w:val="left" w:pos="284"/>
        </w:tabs>
        <w:spacing w:after="0" w:line="360" w:lineRule="auto"/>
        <w:jc w:val="both"/>
        <w:rPr>
          <w:rFonts w:ascii="Arial" w:hAnsi="Arial" w:cs="Arial"/>
          <w:sz w:val="18"/>
          <w:szCs w:val="20"/>
        </w:rPr>
      </w:pPr>
    </w:p>
    <w:p w14:paraId="7647D316" w14:textId="77777777" w:rsidR="00B65EDC" w:rsidRPr="00912A85" w:rsidRDefault="00B65EDC" w:rsidP="00B65EDC">
      <w:pPr>
        <w:ind w:left="284" w:hanging="284"/>
        <w:jc w:val="left"/>
        <w:rPr>
          <w:rFonts w:cs="Arial"/>
          <w:b/>
          <w:color w:val="26724C" w:themeColor="accent1" w:themeShade="BF"/>
          <w:spacing w:val="-2"/>
          <w:sz w:val="18"/>
          <w:szCs w:val="16"/>
        </w:rPr>
      </w:pPr>
      <w:r w:rsidRPr="00912A85">
        <w:rPr>
          <w:rFonts w:cs="Arial"/>
          <w:b/>
          <w:color w:val="26724C" w:themeColor="accent1" w:themeShade="BF"/>
          <w:spacing w:val="-2"/>
          <w:sz w:val="18"/>
          <w:szCs w:val="16"/>
        </w:rPr>
        <w:t>B.</w:t>
      </w:r>
      <w:r w:rsidRPr="00912A85">
        <w:rPr>
          <w:rFonts w:cs="Arial"/>
          <w:b/>
          <w:color w:val="26724C" w:themeColor="accent1" w:themeShade="BF"/>
          <w:spacing w:val="-2"/>
          <w:sz w:val="18"/>
          <w:szCs w:val="16"/>
        </w:rPr>
        <w:tab/>
      </w:r>
      <w:r w:rsidRPr="00912A85">
        <w:rPr>
          <w:rFonts w:cs="Arial"/>
          <w:b/>
          <w:color w:val="26724C" w:themeColor="accent1" w:themeShade="BF"/>
          <w:sz w:val="18"/>
        </w:rPr>
        <w:t>States</w:t>
      </w:r>
      <w:r w:rsidRPr="00912A85">
        <w:rPr>
          <w:rFonts w:cs="Arial"/>
          <w:b/>
          <w:color w:val="26724C" w:themeColor="accent1" w:themeShade="BF"/>
          <w:spacing w:val="-2"/>
          <w:sz w:val="18"/>
          <w:szCs w:val="16"/>
        </w:rPr>
        <w:t xml:space="preserve"> and intergovernmental organizations which have initiated the procedure for acceding to the UPOV Convention</w:t>
      </w:r>
    </w:p>
    <w:p w14:paraId="3C79E782" w14:textId="77777777" w:rsidR="00B65EDC" w:rsidRPr="00912A85" w:rsidRDefault="00B65EDC" w:rsidP="00B65EDC">
      <w:pPr>
        <w:tabs>
          <w:tab w:val="left" w:pos="284"/>
        </w:tabs>
        <w:ind w:left="284"/>
        <w:rPr>
          <w:rFonts w:cs="Arial"/>
          <w:sz w:val="16"/>
          <w:szCs w:val="16"/>
        </w:rPr>
      </w:pPr>
    </w:p>
    <w:p w14:paraId="2BB32B16" w14:textId="77777777" w:rsidR="00B65EDC" w:rsidRPr="00912A85" w:rsidRDefault="00B65EDC" w:rsidP="00B65EDC">
      <w:pPr>
        <w:keepNext/>
        <w:rPr>
          <w:rFonts w:cs="Arial"/>
          <w:i/>
          <w:sz w:val="16"/>
          <w:szCs w:val="16"/>
        </w:rPr>
      </w:pPr>
      <w:r w:rsidRPr="00912A85">
        <w:rPr>
          <w:rFonts w:cs="Arial"/>
          <w:i/>
          <w:sz w:val="16"/>
          <w:szCs w:val="16"/>
        </w:rPr>
        <w:t>States (18):</w:t>
      </w:r>
    </w:p>
    <w:p w14:paraId="1388C210" w14:textId="77777777" w:rsidR="00B65EDC" w:rsidRPr="00912A85" w:rsidRDefault="00B65EDC" w:rsidP="00B65EDC">
      <w:pPr>
        <w:keepNext/>
        <w:rPr>
          <w:rFonts w:cs="Arial"/>
          <w:sz w:val="10"/>
          <w:szCs w:val="16"/>
        </w:rPr>
      </w:pPr>
    </w:p>
    <w:p w14:paraId="008995D7" w14:textId="77777777" w:rsidR="00B65EDC" w:rsidRPr="00912A85" w:rsidRDefault="00B65EDC" w:rsidP="00B65EDC">
      <w:pPr>
        <w:rPr>
          <w:rFonts w:cs="Arial"/>
          <w:spacing w:val="-2"/>
          <w:sz w:val="16"/>
          <w:szCs w:val="16"/>
        </w:rPr>
      </w:pPr>
      <w:r w:rsidRPr="00912A85">
        <w:rPr>
          <w:rFonts w:cs="Arial"/>
          <w:spacing w:val="-2"/>
          <w:sz w:val="16"/>
          <w:szCs w:val="16"/>
        </w:rPr>
        <w:t>Afghanistan, Brunei Darussalam, Guatemala, Honduras, India, Iran (Islamic Republic of), Jamaica, Kazakhstan, Lao People’s Democratic Republic, Malaysia, Mauritius, Mongolia, Myanmar, Philippines, Tajikistan, United Arab Emirates, Venezuela (Bolivarian Republic of) and Zimbabwe</w:t>
      </w:r>
    </w:p>
    <w:p w14:paraId="39460B29" w14:textId="77777777" w:rsidR="00B65EDC" w:rsidRPr="00912A85" w:rsidRDefault="00B65EDC" w:rsidP="00B65EDC">
      <w:pPr>
        <w:rPr>
          <w:rFonts w:cs="Arial"/>
          <w:sz w:val="16"/>
          <w:szCs w:val="16"/>
        </w:rPr>
      </w:pPr>
    </w:p>
    <w:p w14:paraId="4F26E442" w14:textId="77777777" w:rsidR="00B65EDC" w:rsidRPr="00912A85" w:rsidRDefault="00B65EDC" w:rsidP="00B65EDC">
      <w:pPr>
        <w:rPr>
          <w:rFonts w:cs="Arial"/>
          <w:i/>
          <w:spacing w:val="-2"/>
          <w:sz w:val="16"/>
          <w:szCs w:val="16"/>
        </w:rPr>
      </w:pPr>
      <w:r w:rsidRPr="00912A85">
        <w:rPr>
          <w:rFonts w:cs="Arial"/>
          <w:i/>
          <w:spacing w:val="-2"/>
          <w:sz w:val="16"/>
          <w:szCs w:val="16"/>
        </w:rPr>
        <w:t>Organization (1):</w:t>
      </w:r>
    </w:p>
    <w:p w14:paraId="220F9E68" w14:textId="77777777" w:rsidR="00B65EDC" w:rsidRPr="00912A85" w:rsidRDefault="00B65EDC" w:rsidP="00B65EDC">
      <w:pPr>
        <w:rPr>
          <w:rFonts w:cs="Arial"/>
          <w:spacing w:val="-2"/>
          <w:sz w:val="10"/>
          <w:szCs w:val="16"/>
        </w:rPr>
      </w:pPr>
    </w:p>
    <w:p w14:paraId="4C3CBADF" w14:textId="77777777" w:rsidR="00B65EDC" w:rsidRPr="00912A85" w:rsidRDefault="00B65EDC" w:rsidP="00B65EDC">
      <w:pPr>
        <w:rPr>
          <w:rFonts w:cs="Arial"/>
          <w:sz w:val="16"/>
          <w:szCs w:val="24"/>
        </w:rPr>
      </w:pPr>
      <w:r w:rsidRPr="00912A85">
        <w:rPr>
          <w:rFonts w:cs="Arial"/>
          <w:sz w:val="16"/>
          <w:szCs w:val="24"/>
        </w:rPr>
        <w:t xml:space="preserve">African Regional Intellectual Property Organization (ARIPO) </w:t>
      </w:r>
    </w:p>
    <w:p w14:paraId="50D9D49A" w14:textId="77777777" w:rsidR="00B65EDC" w:rsidRPr="00912A85" w:rsidRDefault="00B65EDC" w:rsidP="00B65EDC">
      <w:pPr>
        <w:rPr>
          <w:rFonts w:cs="Arial"/>
          <w:sz w:val="16"/>
          <w:szCs w:val="16"/>
        </w:rPr>
      </w:pPr>
      <w:r w:rsidRPr="00912A85">
        <w:rPr>
          <w:rFonts w:cs="Arial"/>
          <w:i/>
          <w:sz w:val="16"/>
          <w:szCs w:val="24"/>
        </w:rPr>
        <w:t xml:space="preserve">(member States of ARIPO (22):  Botswana, Cabo Verde, Eswatini, Ghana, Kenya, Lesotho, Liberia, Malawi, Mauritius, Mozambique, Namibia, Rwanda, Sao Tome and Principe, Seychelles, Sierra Leone, Somalia, Sudan, The Gambia, Uganda, United Republic of Tanzania, Zambia, Zimbabwe) </w:t>
      </w:r>
    </w:p>
    <w:p w14:paraId="4FBDFEBF" w14:textId="77777777" w:rsidR="00B65EDC" w:rsidRPr="00912A85" w:rsidRDefault="00B65EDC" w:rsidP="00B65EDC">
      <w:pPr>
        <w:rPr>
          <w:rFonts w:cs="Arial"/>
          <w:sz w:val="16"/>
          <w:szCs w:val="16"/>
        </w:rPr>
      </w:pPr>
    </w:p>
    <w:p w14:paraId="46E2C751" w14:textId="77777777" w:rsidR="00B65EDC" w:rsidRPr="00912A85" w:rsidRDefault="00B65EDC" w:rsidP="00B65EDC">
      <w:pPr>
        <w:rPr>
          <w:rFonts w:cs="Arial"/>
          <w:sz w:val="16"/>
          <w:szCs w:val="16"/>
        </w:rPr>
      </w:pPr>
    </w:p>
    <w:p w14:paraId="050557C7" w14:textId="77777777" w:rsidR="00B65EDC" w:rsidRPr="00912A85" w:rsidRDefault="00B65EDC" w:rsidP="00B65EDC">
      <w:pPr>
        <w:ind w:left="284" w:hanging="284"/>
        <w:jc w:val="left"/>
        <w:rPr>
          <w:rFonts w:cs="Arial"/>
          <w:b/>
          <w:color w:val="26724C" w:themeColor="accent1" w:themeShade="BF"/>
          <w:sz w:val="18"/>
          <w:szCs w:val="24"/>
        </w:rPr>
      </w:pPr>
      <w:r w:rsidRPr="00912A85">
        <w:rPr>
          <w:rFonts w:cs="Arial"/>
          <w:b/>
          <w:color w:val="26724C" w:themeColor="accent1" w:themeShade="BF"/>
          <w:sz w:val="18"/>
          <w:szCs w:val="24"/>
        </w:rPr>
        <w:t>C.</w:t>
      </w:r>
      <w:r w:rsidRPr="00912A85">
        <w:rPr>
          <w:rFonts w:cs="Arial"/>
          <w:b/>
          <w:color w:val="26724C" w:themeColor="accent1" w:themeShade="BF"/>
          <w:sz w:val="18"/>
          <w:szCs w:val="24"/>
        </w:rPr>
        <w:tab/>
      </w:r>
      <w:r w:rsidRPr="00912A85">
        <w:rPr>
          <w:rFonts w:cs="Arial"/>
          <w:b/>
          <w:color w:val="26724C" w:themeColor="accent1" w:themeShade="BF"/>
          <w:sz w:val="18"/>
        </w:rPr>
        <w:t>States</w:t>
      </w:r>
      <w:r w:rsidRPr="00912A85">
        <w:rPr>
          <w:rFonts w:cs="Arial"/>
          <w:b/>
          <w:color w:val="26724C" w:themeColor="accent1" w:themeShade="BF"/>
          <w:sz w:val="18"/>
          <w:szCs w:val="24"/>
        </w:rPr>
        <w:t xml:space="preserve"> and </w:t>
      </w:r>
      <w:r w:rsidRPr="00912A85">
        <w:rPr>
          <w:rFonts w:cs="Arial"/>
          <w:b/>
          <w:color w:val="26724C" w:themeColor="accent1" w:themeShade="BF"/>
          <w:spacing w:val="-2"/>
          <w:sz w:val="18"/>
          <w:szCs w:val="16"/>
        </w:rPr>
        <w:t>intergovernmental</w:t>
      </w:r>
      <w:r w:rsidRPr="00912A85">
        <w:rPr>
          <w:rFonts w:cs="Arial"/>
          <w:b/>
          <w:color w:val="26724C" w:themeColor="accent1" w:themeShade="BF"/>
          <w:sz w:val="18"/>
          <w:szCs w:val="24"/>
        </w:rPr>
        <w:t xml:space="preserve"> organizations which have been in contact with the Office of the Union for assistance in the development of laws based on the UPOV Convention</w:t>
      </w:r>
    </w:p>
    <w:p w14:paraId="39052F9B" w14:textId="77777777" w:rsidR="00B65EDC" w:rsidRPr="00912A85" w:rsidRDefault="00B65EDC" w:rsidP="00B65EDC">
      <w:pPr>
        <w:jc w:val="center"/>
        <w:rPr>
          <w:rFonts w:cs="Arial"/>
          <w:b/>
          <w:sz w:val="18"/>
          <w:szCs w:val="24"/>
        </w:rPr>
      </w:pPr>
    </w:p>
    <w:p w14:paraId="17001DA2" w14:textId="77777777" w:rsidR="00B65EDC" w:rsidRPr="00912A85" w:rsidRDefault="00B65EDC" w:rsidP="00B65EDC">
      <w:pPr>
        <w:keepNext/>
        <w:rPr>
          <w:rFonts w:cs="Arial"/>
          <w:i/>
          <w:sz w:val="16"/>
          <w:szCs w:val="24"/>
        </w:rPr>
      </w:pPr>
      <w:r w:rsidRPr="00912A85">
        <w:rPr>
          <w:rFonts w:cs="Arial"/>
          <w:i/>
          <w:sz w:val="16"/>
          <w:szCs w:val="24"/>
        </w:rPr>
        <w:t>States (28):</w:t>
      </w:r>
    </w:p>
    <w:p w14:paraId="7A7D9EE6" w14:textId="77777777" w:rsidR="00B65EDC" w:rsidRPr="00912A85" w:rsidRDefault="00B65EDC" w:rsidP="00B65EDC">
      <w:pPr>
        <w:keepNext/>
        <w:rPr>
          <w:rFonts w:cs="Arial"/>
          <w:sz w:val="10"/>
          <w:szCs w:val="24"/>
        </w:rPr>
      </w:pPr>
    </w:p>
    <w:p w14:paraId="4045CF99" w14:textId="77777777" w:rsidR="00B65EDC" w:rsidRPr="00912A85" w:rsidRDefault="00B65EDC" w:rsidP="00B65EDC">
      <w:pPr>
        <w:suppressAutoHyphens/>
        <w:rPr>
          <w:rFonts w:cs="Arial"/>
          <w:spacing w:val="-2"/>
          <w:sz w:val="16"/>
          <w:szCs w:val="24"/>
        </w:rPr>
      </w:pPr>
      <w:r w:rsidRPr="00912A85">
        <w:rPr>
          <w:rFonts w:cs="Arial"/>
          <w:spacing w:val="-2"/>
          <w:sz w:val="16"/>
          <w:szCs w:val="16"/>
        </w:rPr>
        <w:t>Algeria, Antigua and Barbuda, Bahrain, Barbados, Cabo Verde, Cambodia, Cuba, Cyprus, El Salvador, Indonesia, Iraq, Libya, Liechtenstein, Malawi, Mozambique, Namibia, Pakistan, Rwanda, Saudi Arabia, Seychelles, Sudan, Suriname, Thailand, The Gambia, Timor-Leste, Tonga, Turkmenistan and Zambia</w:t>
      </w:r>
    </w:p>
    <w:p w14:paraId="5139E5BD" w14:textId="77777777" w:rsidR="00B65EDC" w:rsidRPr="00912A85" w:rsidRDefault="00B65EDC" w:rsidP="00B65EDC">
      <w:pPr>
        <w:rPr>
          <w:rFonts w:cs="Arial"/>
          <w:sz w:val="16"/>
          <w:szCs w:val="24"/>
        </w:rPr>
      </w:pPr>
    </w:p>
    <w:p w14:paraId="352F769A" w14:textId="77777777" w:rsidR="00B65EDC" w:rsidRPr="00912A85" w:rsidRDefault="00B65EDC" w:rsidP="00B65EDC">
      <w:pPr>
        <w:keepNext/>
        <w:rPr>
          <w:rFonts w:cs="Arial"/>
          <w:i/>
          <w:sz w:val="16"/>
          <w:szCs w:val="24"/>
        </w:rPr>
      </w:pPr>
      <w:r w:rsidRPr="00912A85">
        <w:rPr>
          <w:rFonts w:cs="Arial"/>
          <w:i/>
          <w:sz w:val="16"/>
          <w:szCs w:val="24"/>
        </w:rPr>
        <w:t>Organization (1):</w:t>
      </w:r>
    </w:p>
    <w:p w14:paraId="78E5BDD8" w14:textId="77777777" w:rsidR="00B65EDC" w:rsidRPr="00912A85" w:rsidRDefault="00B65EDC" w:rsidP="00B65EDC">
      <w:pPr>
        <w:keepNext/>
        <w:rPr>
          <w:rFonts w:cs="Arial"/>
          <w:sz w:val="10"/>
          <w:szCs w:val="24"/>
        </w:rPr>
      </w:pPr>
    </w:p>
    <w:p w14:paraId="20B107C0" w14:textId="77777777" w:rsidR="00B65EDC" w:rsidRPr="00912A85" w:rsidRDefault="00B65EDC" w:rsidP="00B65EDC">
      <w:pPr>
        <w:rPr>
          <w:rFonts w:cs="Arial"/>
          <w:sz w:val="16"/>
          <w:szCs w:val="24"/>
        </w:rPr>
      </w:pPr>
      <w:r w:rsidRPr="00912A85">
        <w:rPr>
          <w:rFonts w:cs="Arial"/>
          <w:sz w:val="16"/>
          <w:szCs w:val="24"/>
        </w:rPr>
        <w:t xml:space="preserve">Southern African Development Community (SADC) </w:t>
      </w:r>
    </w:p>
    <w:p w14:paraId="42830307" w14:textId="77777777" w:rsidR="00B65EDC" w:rsidRDefault="00B65EDC" w:rsidP="00B65EDC">
      <w:pPr>
        <w:rPr>
          <w:rFonts w:cs="Arial"/>
          <w:i/>
          <w:sz w:val="16"/>
          <w:szCs w:val="24"/>
        </w:rPr>
      </w:pPr>
      <w:r w:rsidRPr="00912A85">
        <w:rPr>
          <w:rFonts w:cs="Arial"/>
          <w:i/>
          <w:sz w:val="16"/>
          <w:szCs w:val="24"/>
        </w:rPr>
        <w:t>(member States of SADC (15):  Angola, Botswana, Democratic Republic of the Congo, Eswatini, Lesotho, Madagascar, Malawi, Mauritius, Mozambique, Namibia, Seychelles, South Africa, United Republic of Tanzania, Zambia, Zimbabwe)</w:t>
      </w:r>
    </w:p>
    <w:p w14:paraId="1E53E0ED" w14:textId="77777777" w:rsidR="00953B60" w:rsidRDefault="00953B60" w:rsidP="00B65EDC">
      <w:pPr>
        <w:rPr>
          <w:rFonts w:cs="Arial"/>
          <w:i/>
          <w:sz w:val="16"/>
          <w:szCs w:val="24"/>
        </w:rPr>
      </w:pPr>
    </w:p>
    <w:p w14:paraId="00A12D5A" w14:textId="77777777" w:rsidR="00953B60" w:rsidRPr="00912A85" w:rsidRDefault="00953B60" w:rsidP="00B65EDC">
      <w:pPr>
        <w:rPr>
          <w:rFonts w:cs="Arial"/>
          <w:i/>
          <w:sz w:val="16"/>
          <w:szCs w:val="24"/>
        </w:rPr>
      </w:pPr>
    </w:p>
    <w:p w14:paraId="3717F8D0" w14:textId="77777777" w:rsidR="00B65EDC" w:rsidRPr="00912A85" w:rsidRDefault="00B65EDC" w:rsidP="00B65EDC">
      <w:pPr>
        <w:pStyle w:val="Endofdocument"/>
        <w:spacing w:before="120"/>
        <w:jc w:val="right"/>
        <w:rPr>
          <w:rFonts w:ascii="Arial" w:hAnsi="Arial" w:cs="Arial"/>
          <w:snapToGrid w:val="0"/>
          <w:color w:val="000000"/>
          <w:sz w:val="20"/>
        </w:rPr>
      </w:pPr>
      <w:r w:rsidRPr="00912A85">
        <w:rPr>
          <w:rFonts w:ascii="Arial" w:hAnsi="Arial" w:cs="Arial"/>
          <w:snapToGrid w:val="0"/>
          <w:color w:val="000000"/>
          <w:sz w:val="20"/>
        </w:rPr>
        <w:t>[Appendix II follows]</w:t>
      </w:r>
    </w:p>
    <w:p w14:paraId="2DB1122A" w14:textId="77777777" w:rsidR="00B65EDC" w:rsidRPr="00912A85" w:rsidRDefault="00B65EDC" w:rsidP="00B65EDC">
      <w:pPr>
        <w:pStyle w:val="Endofdocument"/>
        <w:jc w:val="both"/>
        <w:rPr>
          <w:rFonts w:ascii="Arial" w:hAnsi="Arial" w:cs="Arial"/>
          <w:snapToGrid w:val="0"/>
          <w:color w:val="000000"/>
          <w:sz w:val="20"/>
        </w:rPr>
        <w:sectPr w:rsidR="00B65EDC" w:rsidRPr="00912A85" w:rsidSect="00B65EDC">
          <w:headerReference w:type="even" r:id="rId37"/>
          <w:footerReference w:type="even" r:id="rId38"/>
          <w:footerReference w:type="default" r:id="rId39"/>
          <w:headerReference w:type="first" r:id="rId40"/>
          <w:footerReference w:type="first" r:id="rId41"/>
          <w:type w:val="continuous"/>
          <w:pgSz w:w="11907" w:h="16840" w:code="9"/>
          <w:pgMar w:top="510" w:right="1134" w:bottom="709" w:left="1134" w:header="510" w:footer="523" w:gutter="0"/>
          <w:cols w:space="720"/>
        </w:sectPr>
      </w:pPr>
    </w:p>
    <w:p w14:paraId="7D129D7C" w14:textId="63154F82" w:rsidR="00B65EDC" w:rsidRPr="00912A85" w:rsidRDefault="00B65EDC" w:rsidP="004448C7">
      <w:pPr>
        <w:pStyle w:val="Heading9"/>
      </w:pPr>
      <w:bookmarkStart w:id="528" w:name="_Toc208999660"/>
      <w:r w:rsidRPr="00912A85">
        <w:lastRenderedPageBreak/>
        <w:t>Appendix II</w:t>
      </w:r>
      <w:r w:rsidRPr="00912A85">
        <w:tab/>
        <w:t>Contributions of members</w:t>
      </w:r>
      <w:bookmarkEnd w:id="528"/>
      <w:r w:rsidRPr="00912A85">
        <w:t xml:space="preserve"> </w:t>
      </w:r>
    </w:p>
    <w:p w14:paraId="4E30A225" w14:textId="77777777" w:rsidR="00B65EDC" w:rsidRPr="00912A85" w:rsidRDefault="00B65EDC" w:rsidP="00B65EDC">
      <w:pPr>
        <w:jc w:val="center"/>
        <w:rPr>
          <w:i/>
          <w:sz w:val="18"/>
          <w:szCs w:val="18"/>
        </w:rPr>
      </w:pPr>
    </w:p>
    <w:p w14:paraId="3AC94846" w14:textId="77777777" w:rsidR="00B65EDC" w:rsidRPr="00912A85" w:rsidRDefault="00B65EDC" w:rsidP="00B65EDC">
      <w:pPr>
        <w:spacing w:after="120"/>
        <w:jc w:val="center"/>
        <w:rPr>
          <w:i/>
          <w:caps/>
          <w:sz w:val="18"/>
          <w:szCs w:val="18"/>
        </w:rPr>
      </w:pPr>
      <w:r w:rsidRPr="00912A85">
        <w:rPr>
          <w:i/>
          <w:sz w:val="18"/>
          <w:szCs w:val="18"/>
        </w:rPr>
        <w:t>(in Swiss Francs)</w:t>
      </w:r>
    </w:p>
    <w:tbl>
      <w:tblPr>
        <w:tblW w:w="9781" w:type="dxa"/>
        <w:tblLook w:val="04A0" w:firstRow="1" w:lastRow="0" w:firstColumn="1" w:lastColumn="0" w:noHBand="0" w:noVBand="1"/>
      </w:tblPr>
      <w:tblGrid>
        <w:gridCol w:w="1276"/>
        <w:gridCol w:w="1276"/>
        <w:gridCol w:w="3474"/>
        <w:gridCol w:w="1001"/>
        <w:gridCol w:w="1392"/>
        <w:gridCol w:w="1362"/>
      </w:tblGrid>
      <w:tr w:rsidR="00B65EDC" w:rsidRPr="00912A85" w14:paraId="225864D4" w14:textId="77777777">
        <w:trPr>
          <w:trHeight w:val="472"/>
          <w:tblHeader/>
        </w:trPr>
        <w:tc>
          <w:tcPr>
            <w:tcW w:w="1276" w:type="dxa"/>
            <w:tcBorders>
              <w:top w:val="nil"/>
              <w:left w:val="nil"/>
              <w:bottom w:val="nil"/>
              <w:right w:val="nil"/>
            </w:tcBorders>
            <w:shd w:val="clear" w:color="000000" w:fill="C7CFD8"/>
            <w:vAlign w:val="center"/>
            <w:hideMark/>
          </w:tcPr>
          <w:p w14:paraId="56E66F4F"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2024</w:t>
            </w:r>
          </w:p>
        </w:tc>
        <w:tc>
          <w:tcPr>
            <w:tcW w:w="1276" w:type="dxa"/>
            <w:tcBorders>
              <w:top w:val="nil"/>
              <w:left w:val="nil"/>
              <w:bottom w:val="nil"/>
              <w:right w:val="nil"/>
            </w:tcBorders>
            <w:shd w:val="clear" w:color="000000" w:fill="C7CFD8"/>
            <w:vAlign w:val="center"/>
            <w:hideMark/>
          </w:tcPr>
          <w:p w14:paraId="61490748"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2025</w:t>
            </w:r>
          </w:p>
        </w:tc>
        <w:tc>
          <w:tcPr>
            <w:tcW w:w="3474" w:type="dxa"/>
            <w:vMerge w:val="restart"/>
            <w:tcBorders>
              <w:top w:val="nil"/>
              <w:left w:val="nil"/>
              <w:bottom w:val="single" w:sz="8" w:space="0" w:color="BFBFBF"/>
              <w:right w:val="nil"/>
            </w:tcBorders>
            <w:shd w:val="clear" w:color="000000" w:fill="C7CFD8"/>
            <w:vAlign w:val="center"/>
            <w:hideMark/>
          </w:tcPr>
          <w:p w14:paraId="49A95057"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Members</w:t>
            </w:r>
          </w:p>
        </w:tc>
        <w:tc>
          <w:tcPr>
            <w:tcW w:w="1001" w:type="dxa"/>
            <w:tcBorders>
              <w:top w:val="nil"/>
              <w:left w:val="nil"/>
              <w:bottom w:val="nil"/>
              <w:right w:val="nil"/>
            </w:tcBorders>
            <w:shd w:val="clear" w:color="000000" w:fill="C7CFD8"/>
            <w:vAlign w:val="center"/>
            <w:hideMark/>
          </w:tcPr>
          <w:p w14:paraId="7F7BE4C1"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Number</w:t>
            </w:r>
          </w:p>
        </w:tc>
        <w:tc>
          <w:tcPr>
            <w:tcW w:w="1392" w:type="dxa"/>
            <w:tcBorders>
              <w:top w:val="nil"/>
              <w:left w:val="nil"/>
              <w:bottom w:val="nil"/>
              <w:right w:val="nil"/>
            </w:tcBorders>
            <w:shd w:val="clear" w:color="000000" w:fill="C7CFD8"/>
            <w:vAlign w:val="center"/>
            <w:hideMark/>
          </w:tcPr>
          <w:p w14:paraId="4F03C76F"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2026</w:t>
            </w:r>
          </w:p>
        </w:tc>
        <w:tc>
          <w:tcPr>
            <w:tcW w:w="1362" w:type="dxa"/>
            <w:tcBorders>
              <w:top w:val="nil"/>
              <w:left w:val="nil"/>
              <w:bottom w:val="nil"/>
              <w:right w:val="nil"/>
            </w:tcBorders>
            <w:shd w:val="clear" w:color="000000" w:fill="C7CFD8"/>
            <w:vAlign w:val="center"/>
            <w:hideMark/>
          </w:tcPr>
          <w:p w14:paraId="5F06C8F6"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2027</w:t>
            </w:r>
          </w:p>
        </w:tc>
      </w:tr>
      <w:tr w:rsidR="00B65EDC" w:rsidRPr="00912A85" w14:paraId="773BBB3A" w14:textId="77777777">
        <w:trPr>
          <w:trHeight w:val="462"/>
          <w:tblHeader/>
        </w:trPr>
        <w:tc>
          <w:tcPr>
            <w:tcW w:w="1276" w:type="dxa"/>
            <w:tcBorders>
              <w:top w:val="nil"/>
              <w:left w:val="nil"/>
              <w:bottom w:val="single" w:sz="8" w:space="0" w:color="BFBFBF"/>
              <w:right w:val="nil"/>
            </w:tcBorders>
            <w:shd w:val="clear" w:color="000000" w:fill="C7CFD8"/>
            <w:hideMark/>
          </w:tcPr>
          <w:p w14:paraId="3420DC3A"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Invoiced</w:t>
            </w:r>
          </w:p>
        </w:tc>
        <w:tc>
          <w:tcPr>
            <w:tcW w:w="1276" w:type="dxa"/>
            <w:tcBorders>
              <w:top w:val="nil"/>
              <w:left w:val="nil"/>
              <w:bottom w:val="single" w:sz="8" w:space="0" w:color="BFBFBF"/>
              <w:right w:val="nil"/>
            </w:tcBorders>
            <w:shd w:val="clear" w:color="000000" w:fill="C7CFD8"/>
            <w:hideMark/>
          </w:tcPr>
          <w:p w14:paraId="6BAD7449"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Invoiced</w:t>
            </w:r>
          </w:p>
        </w:tc>
        <w:tc>
          <w:tcPr>
            <w:tcW w:w="3474" w:type="dxa"/>
            <w:vMerge/>
            <w:tcBorders>
              <w:top w:val="nil"/>
              <w:left w:val="nil"/>
              <w:bottom w:val="single" w:sz="8" w:space="0" w:color="BFBFBF"/>
              <w:right w:val="nil"/>
            </w:tcBorders>
            <w:vAlign w:val="center"/>
            <w:hideMark/>
          </w:tcPr>
          <w:p w14:paraId="7852FED7" w14:textId="77777777" w:rsidR="00B65EDC" w:rsidRPr="00912A85" w:rsidRDefault="00B65EDC">
            <w:pPr>
              <w:jc w:val="left"/>
              <w:rPr>
                <w:rFonts w:ascii="Arial Narrow" w:hAnsi="Arial Narrow" w:cs="Arial"/>
                <w:b/>
                <w:bCs/>
                <w:color w:val="000000"/>
                <w:sz w:val="18"/>
                <w:szCs w:val="18"/>
              </w:rPr>
            </w:pPr>
          </w:p>
        </w:tc>
        <w:tc>
          <w:tcPr>
            <w:tcW w:w="1001" w:type="dxa"/>
            <w:tcBorders>
              <w:top w:val="nil"/>
              <w:left w:val="nil"/>
              <w:bottom w:val="single" w:sz="8" w:space="0" w:color="BFBFBF"/>
              <w:right w:val="nil"/>
            </w:tcBorders>
            <w:shd w:val="clear" w:color="000000" w:fill="C7CFD8"/>
            <w:hideMark/>
          </w:tcPr>
          <w:p w14:paraId="230774B8"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of Units</w:t>
            </w:r>
          </w:p>
        </w:tc>
        <w:tc>
          <w:tcPr>
            <w:tcW w:w="1392" w:type="dxa"/>
            <w:tcBorders>
              <w:top w:val="nil"/>
              <w:left w:val="nil"/>
              <w:bottom w:val="single" w:sz="8" w:space="0" w:color="BFBFBF"/>
              <w:right w:val="nil"/>
            </w:tcBorders>
            <w:shd w:val="clear" w:color="000000" w:fill="C7CFD8"/>
            <w:vAlign w:val="center"/>
            <w:hideMark/>
          </w:tcPr>
          <w:p w14:paraId="70157EFF"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Estimated for invoicing</w:t>
            </w:r>
          </w:p>
        </w:tc>
        <w:tc>
          <w:tcPr>
            <w:tcW w:w="1362" w:type="dxa"/>
            <w:tcBorders>
              <w:top w:val="nil"/>
              <w:left w:val="nil"/>
              <w:bottom w:val="single" w:sz="8" w:space="0" w:color="BFBFBF"/>
              <w:right w:val="nil"/>
            </w:tcBorders>
            <w:shd w:val="clear" w:color="000000" w:fill="C7CFD8"/>
            <w:vAlign w:val="center"/>
            <w:hideMark/>
          </w:tcPr>
          <w:p w14:paraId="03B5F9C5" w14:textId="77777777" w:rsidR="00B65EDC" w:rsidRPr="00912A85" w:rsidRDefault="00B65EDC">
            <w:pPr>
              <w:jc w:val="center"/>
              <w:rPr>
                <w:rFonts w:ascii="Arial Narrow" w:hAnsi="Arial Narrow" w:cs="Arial"/>
                <w:b/>
                <w:bCs/>
                <w:color w:val="000000"/>
                <w:sz w:val="18"/>
                <w:szCs w:val="18"/>
              </w:rPr>
            </w:pPr>
            <w:r w:rsidRPr="00912A85">
              <w:rPr>
                <w:rFonts w:ascii="Arial Narrow" w:hAnsi="Arial Narrow" w:cs="Arial"/>
                <w:b/>
                <w:bCs/>
                <w:color w:val="000000"/>
                <w:sz w:val="18"/>
                <w:szCs w:val="18"/>
              </w:rPr>
              <w:t>Estimated for invoicing</w:t>
            </w:r>
          </w:p>
        </w:tc>
      </w:tr>
      <w:tr w:rsidR="00B65EDC" w:rsidRPr="00912A85" w14:paraId="009E41AB" w14:textId="77777777" w:rsidTr="00A538F6">
        <w:trPr>
          <w:trHeight w:val="162"/>
        </w:trPr>
        <w:tc>
          <w:tcPr>
            <w:tcW w:w="1276" w:type="dxa"/>
            <w:tcBorders>
              <w:top w:val="nil"/>
              <w:left w:val="nil"/>
              <w:bottom w:val="nil"/>
              <w:right w:val="nil"/>
            </w:tcBorders>
            <w:vAlign w:val="center"/>
            <w:hideMark/>
          </w:tcPr>
          <w:p w14:paraId="498A96E8" w14:textId="77777777" w:rsidR="00B65EDC" w:rsidRPr="00912A85" w:rsidRDefault="00B65EDC">
            <w:pPr>
              <w:jc w:val="center"/>
              <w:rPr>
                <w:rFonts w:ascii="Arial Narrow" w:hAnsi="Arial Narrow" w:cs="Arial"/>
                <w:b/>
                <w:bCs/>
                <w:color w:val="000000"/>
                <w:sz w:val="18"/>
                <w:szCs w:val="18"/>
              </w:rPr>
            </w:pPr>
          </w:p>
        </w:tc>
        <w:tc>
          <w:tcPr>
            <w:tcW w:w="1276" w:type="dxa"/>
            <w:tcBorders>
              <w:top w:val="nil"/>
              <w:left w:val="nil"/>
              <w:bottom w:val="nil"/>
              <w:right w:val="nil"/>
            </w:tcBorders>
            <w:vAlign w:val="center"/>
            <w:hideMark/>
          </w:tcPr>
          <w:p w14:paraId="64CC1F6A" w14:textId="77777777" w:rsidR="00B65EDC" w:rsidRPr="00912A85" w:rsidRDefault="00B65EDC">
            <w:pPr>
              <w:jc w:val="right"/>
              <w:rPr>
                <w:rFonts w:ascii="Times New Roman" w:hAnsi="Times New Roman"/>
              </w:rPr>
            </w:pPr>
          </w:p>
        </w:tc>
        <w:tc>
          <w:tcPr>
            <w:tcW w:w="3474" w:type="dxa"/>
            <w:tcBorders>
              <w:top w:val="nil"/>
              <w:left w:val="nil"/>
              <w:bottom w:val="nil"/>
              <w:right w:val="nil"/>
            </w:tcBorders>
            <w:vAlign w:val="center"/>
            <w:hideMark/>
          </w:tcPr>
          <w:p w14:paraId="05DE1D3F" w14:textId="77777777" w:rsidR="00B65EDC" w:rsidRPr="00912A85" w:rsidRDefault="00B65EDC">
            <w:pPr>
              <w:jc w:val="right"/>
              <w:rPr>
                <w:rFonts w:ascii="Times New Roman" w:hAnsi="Times New Roman"/>
              </w:rPr>
            </w:pPr>
          </w:p>
        </w:tc>
        <w:tc>
          <w:tcPr>
            <w:tcW w:w="1001" w:type="dxa"/>
            <w:tcBorders>
              <w:top w:val="nil"/>
              <w:left w:val="nil"/>
              <w:bottom w:val="nil"/>
              <w:right w:val="nil"/>
            </w:tcBorders>
            <w:vAlign w:val="center"/>
            <w:hideMark/>
          </w:tcPr>
          <w:p w14:paraId="3514B767" w14:textId="77777777" w:rsidR="00B65EDC" w:rsidRPr="00912A85" w:rsidRDefault="00B65EDC">
            <w:pPr>
              <w:rPr>
                <w:rFonts w:ascii="Times New Roman" w:hAnsi="Times New Roman"/>
              </w:rPr>
            </w:pPr>
          </w:p>
        </w:tc>
        <w:tc>
          <w:tcPr>
            <w:tcW w:w="1392" w:type="dxa"/>
            <w:tcBorders>
              <w:top w:val="nil"/>
              <w:left w:val="nil"/>
              <w:bottom w:val="nil"/>
              <w:right w:val="nil"/>
            </w:tcBorders>
            <w:vAlign w:val="center"/>
            <w:hideMark/>
          </w:tcPr>
          <w:p w14:paraId="76CCC920" w14:textId="77777777" w:rsidR="00B65EDC" w:rsidRPr="00912A85" w:rsidRDefault="00B65EDC">
            <w:pPr>
              <w:jc w:val="left"/>
              <w:rPr>
                <w:rFonts w:ascii="Times New Roman" w:hAnsi="Times New Roman"/>
              </w:rPr>
            </w:pPr>
          </w:p>
        </w:tc>
        <w:tc>
          <w:tcPr>
            <w:tcW w:w="1362" w:type="dxa"/>
            <w:tcBorders>
              <w:top w:val="nil"/>
              <w:left w:val="nil"/>
              <w:bottom w:val="nil"/>
              <w:right w:val="nil"/>
            </w:tcBorders>
            <w:vAlign w:val="center"/>
            <w:hideMark/>
          </w:tcPr>
          <w:p w14:paraId="294CC13E" w14:textId="77777777" w:rsidR="00B65EDC" w:rsidRPr="00912A85" w:rsidRDefault="00B65EDC">
            <w:pPr>
              <w:jc w:val="right"/>
              <w:rPr>
                <w:rFonts w:ascii="Times New Roman" w:hAnsi="Times New Roman"/>
              </w:rPr>
            </w:pPr>
          </w:p>
        </w:tc>
      </w:tr>
      <w:tr w:rsidR="00B65EDC" w:rsidRPr="00912A85" w14:paraId="7642F862" w14:textId="77777777" w:rsidTr="00A538F6">
        <w:trPr>
          <w:trHeight w:val="256"/>
        </w:trPr>
        <w:tc>
          <w:tcPr>
            <w:tcW w:w="1276" w:type="dxa"/>
            <w:tcBorders>
              <w:top w:val="nil"/>
              <w:left w:val="nil"/>
              <w:bottom w:val="nil"/>
              <w:right w:val="nil"/>
            </w:tcBorders>
            <w:vAlign w:val="center"/>
          </w:tcPr>
          <w:p w14:paraId="5249DDF0" w14:textId="77777777" w:rsidR="00B65EDC" w:rsidRPr="00912A85" w:rsidRDefault="00B65EDC">
            <w:pPr>
              <w:jc w:val="right"/>
              <w:rPr>
                <w:rFonts w:ascii="Arial Narrow" w:hAnsi="Arial Narrow" w:cs="Arial"/>
                <w:color w:val="000000"/>
                <w:sz w:val="18"/>
                <w:szCs w:val="18"/>
              </w:rPr>
            </w:pPr>
            <w:bookmarkStart w:id="529" w:name="RANGE!A10"/>
            <w:r w:rsidRPr="00912A85">
              <w:rPr>
                <w:rFonts w:ascii="Arial Narrow" w:hAnsi="Arial Narrow" w:cs="Arial"/>
                <w:color w:val="000000"/>
                <w:sz w:val="18"/>
                <w:szCs w:val="18"/>
              </w:rPr>
              <w:t>10,728</w:t>
            </w:r>
            <w:bookmarkEnd w:id="529"/>
          </w:p>
        </w:tc>
        <w:tc>
          <w:tcPr>
            <w:tcW w:w="1276" w:type="dxa"/>
            <w:tcBorders>
              <w:top w:val="nil"/>
              <w:left w:val="nil"/>
              <w:bottom w:val="nil"/>
              <w:right w:val="nil"/>
            </w:tcBorders>
            <w:vAlign w:val="center"/>
          </w:tcPr>
          <w:p w14:paraId="76D42F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52D76B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African Intellectual Property Organization (OAPI)</w:t>
            </w:r>
          </w:p>
        </w:tc>
        <w:tc>
          <w:tcPr>
            <w:tcW w:w="1001" w:type="dxa"/>
            <w:tcBorders>
              <w:top w:val="nil"/>
              <w:left w:val="nil"/>
              <w:bottom w:val="nil"/>
              <w:right w:val="nil"/>
            </w:tcBorders>
            <w:vAlign w:val="center"/>
          </w:tcPr>
          <w:p w14:paraId="7C2F406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BC5F8D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4E953D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A4ED2F2" w14:textId="77777777" w:rsidTr="00A538F6">
        <w:trPr>
          <w:trHeight w:val="256"/>
        </w:trPr>
        <w:tc>
          <w:tcPr>
            <w:tcW w:w="1276" w:type="dxa"/>
            <w:tcBorders>
              <w:top w:val="nil"/>
              <w:left w:val="nil"/>
              <w:bottom w:val="nil"/>
              <w:right w:val="nil"/>
            </w:tcBorders>
            <w:vAlign w:val="center"/>
          </w:tcPr>
          <w:p w14:paraId="023FC32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32EC39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412BE4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Albania</w:t>
            </w:r>
          </w:p>
        </w:tc>
        <w:tc>
          <w:tcPr>
            <w:tcW w:w="1001" w:type="dxa"/>
            <w:tcBorders>
              <w:top w:val="nil"/>
              <w:left w:val="nil"/>
              <w:bottom w:val="nil"/>
              <w:right w:val="nil"/>
            </w:tcBorders>
            <w:vAlign w:val="center"/>
          </w:tcPr>
          <w:p w14:paraId="2E1A26F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C54EF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174D65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69CF63B9" w14:textId="77777777" w:rsidTr="00A538F6">
        <w:trPr>
          <w:trHeight w:val="256"/>
        </w:trPr>
        <w:tc>
          <w:tcPr>
            <w:tcW w:w="1276" w:type="dxa"/>
            <w:tcBorders>
              <w:top w:val="nil"/>
              <w:left w:val="nil"/>
              <w:bottom w:val="nil"/>
              <w:right w:val="nil"/>
            </w:tcBorders>
            <w:vAlign w:val="center"/>
          </w:tcPr>
          <w:p w14:paraId="5CFF488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488D7EB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7743040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Argentina</w:t>
            </w:r>
          </w:p>
        </w:tc>
        <w:tc>
          <w:tcPr>
            <w:tcW w:w="1001" w:type="dxa"/>
            <w:tcBorders>
              <w:top w:val="nil"/>
              <w:left w:val="nil"/>
              <w:bottom w:val="nil"/>
              <w:right w:val="nil"/>
            </w:tcBorders>
            <w:vAlign w:val="center"/>
          </w:tcPr>
          <w:p w14:paraId="60FD65D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7437D9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1D9EA2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383DB54F" w14:textId="77777777" w:rsidTr="00A538F6">
        <w:trPr>
          <w:trHeight w:val="256"/>
        </w:trPr>
        <w:tc>
          <w:tcPr>
            <w:tcW w:w="1276" w:type="dxa"/>
            <w:tcBorders>
              <w:top w:val="nil"/>
              <w:left w:val="nil"/>
              <w:bottom w:val="nil"/>
              <w:right w:val="nil"/>
            </w:tcBorders>
            <w:vAlign w:val="center"/>
          </w:tcPr>
          <w:p w14:paraId="5431A23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w:t>
            </w:r>
          </w:p>
        </w:tc>
        <w:tc>
          <w:tcPr>
            <w:tcW w:w="1276" w:type="dxa"/>
            <w:tcBorders>
              <w:top w:val="nil"/>
              <w:left w:val="nil"/>
              <w:bottom w:val="nil"/>
              <w:right w:val="nil"/>
            </w:tcBorders>
            <w:vAlign w:val="center"/>
          </w:tcPr>
          <w:p w14:paraId="0F2A364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tcPr>
          <w:p w14:paraId="617066F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Armenia</w:t>
            </w:r>
            <w:r w:rsidRPr="00912A85">
              <w:rPr>
                <w:rFonts w:ascii="Arial Narrow" w:hAnsi="Arial Narrow" w:cs="Arial"/>
                <w:color w:val="000000"/>
                <w:sz w:val="18"/>
                <w:szCs w:val="18"/>
                <w:vertAlign w:val="superscript"/>
              </w:rPr>
              <w:t>1</w:t>
            </w:r>
          </w:p>
        </w:tc>
        <w:tc>
          <w:tcPr>
            <w:tcW w:w="1001" w:type="dxa"/>
            <w:tcBorders>
              <w:top w:val="nil"/>
              <w:left w:val="nil"/>
              <w:bottom w:val="nil"/>
              <w:right w:val="nil"/>
            </w:tcBorders>
            <w:vAlign w:val="center"/>
          </w:tcPr>
          <w:p w14:paraId="302B7F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FC092A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9C7FCE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015FFB4" w14:textId="77777777" w:rsidTr="00A538F6">
        <w:trPr>
          <w:trHeight w:val="256"/>
        </w:trPr>
        <w:tc>
          <w:tcPr>
            <w:tcW w:w="1276" w:type="dxa"/>
            <w:tcBorders>
              <w:top w:val="nil"/>
              <w:left w:val="nil"/>
              <w:bottom w:val="nil"/>
              <w:right w:val="nil"/>
            </w:tcBorders>
            <w:vAlign w:val="center"/>
          </w:tcPr>
          <w:p w14:paraId="3261628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5D0EA6A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61CDA1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Australia</w:t>
            </w:r>
          </w:p>
        </w:tc>
        <w:tc>
          <w:tcPr>
            <w:tcW w:w="1001" w:type="dxa"/>
            <w:tcBorders>
              <w:top w:val="nil"/>
              <w:left w:val="nil"/>
              <w:bottom w:val="nil"/>
              <w:right w:val="nil"/>
            </w:tcBorders>
            <w:vAlign w:val="center"/>
          </w:tcPr>
          <w:p w14:paraId="6BE79AB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2F2844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36DB248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7A2430AF" w14:textId="77777777" w:rsidTr="00A538F6">
        <w:trPr>
          <w:trHeight w:val="256"/>
        </w:trPr>
        <w:tc>
          <w:tcPr>
            <w:tcW w:w="1276" w:type="dxa"/>
            <w:tcBorders>
              <w:top w:val="nil"/>
              <w:left w:val="nil"/>
              <w:bottom w:val="nil"/>
              <w:right w:val="nil"/>
            </w:tcBorders>
            <w:vAlign w:val="center"/>
          </w:tcPr>
          <w:p w14:paraId="36FF64F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276" w:type="dxa"/>
            <w:tcBorders>
              <w:top w:val="nil"/>
              <w:left w:val="nil"/>
              <w:bottom w:val="nil"/>
              <w:right w:val="nil"/>
            </w:tcBorders>
            <w:vAlign w:val="center"/>
          </w:tcPr>
          <w:p w14:paraId="7ED264D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3474" w:type="dxa"/>
            <w:tcBorders>
              <w:top w:val="nil"/>
              <w:left w:val="nil"/>
              <w:bottom w:val="nil"/>
              <w:right w:val="nil"/>
            </w:tcBorders>
            <w:vAlign w:val="center"/>
            <w:hideMark/>
          </w:tcPr>
          <w:p w14:paraId="6873CD5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Austria </w:t>
            </w:r>
          </w:p>
        </w:tc>
        <w:tc>
          <w:tcPr>
            <w:tcW w:w="1001" w:type="dxa"/>
            <w:tcBorders>
              <w:top w:val="nil"/>
              <w:left w:val="nil"/>
              <w:bottom w:val="nil"/>
              <w:right w:val="nil"/>
            </w:tcBorders>
            <w:vAlign w:val="center"/>
          </w:tcPr>
          <w:p w14:paraId="3D99943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0.75</w:t>
            </w:r>
          </w:p>
        </w:tc>
        <w:tc>
          <w:tcPr>
            <w:tcW w:w="1392" w:type="dxa"/>
            <w:tcBorders>
              <w:top w:val="nil"/>
              <w:left w:val="nil"/>
              <w:bottom w:val="nil"/>
              <w:right w:val="nil"/>
            </w:tcBorders>
            <w:vAlign w:val="center"/>
          </w:tcPr>
          <w:p w14:paraId="47D6F2D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362" w:type="dxa"/>
            <w:tcBorders>
              <w:top w:val="nil"/>
              <w:left w:val="nil"/>
              <w:bottom w:val="nil"/>
              <w:right w:val="nil"/>
            </w:tcBorders>
            <w:vAlign w:val="center"/>
          </w:tcPr>
          <w:p w14:paraId="1C300B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r>
      <w:tr w:rsidR="00B65EDC" w:rsidRPr="00912A85" w14:paraId="4A9B5B12" w14:textId="77777777" w:rsidTr="00A538F6">
        <w:trPr>
          <w:trHeight w:val="256"/>
        </w:trPr>
        <w:tc>
          <w:tcPr>
            <w:tcW w:w="1276" w:type="dxa"/>
            <w:tcBorders>
              <w:top w:val="nil"/>
              <w:left w:val="nil"/>
              <w:bottom w:val="nil"/>
              <w:right w:val="nil"/>
            </w:tcBorders>
            <w:vAlign w:val="center"/>
          </w:tcPr>
          <w:p w14:paraId="596C904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4E8B50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E75022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Azerbaijan</w:t>
            </w:r>
          </w:p>
        </w:tc>
        <w:tc>
          <w:tcPr>
            <w:tcW w:w="1001" w:type="dxa"/>
            <w:tcBorders>
              <w:top w:val="nil"/>
              <w:left w:val="nil"/>
              <w:bottom w:val="nil"/>
              <w:right w:val="nil"/>
            </w:tcBorders>
            <w:vAlign w:val="center"/>
          </w:tcPr>
          <w:p w14:paraId="49E0E97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46841E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EB5416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52981F1" w14:textId="77777777" w:rsidTr="00A538F6">
        <w:trPr>
          <w:trHeight w:val="256"/>
        </w:trPr>
        <w:tc>
          <w:tcPr>
            <w:tcW w:w="1276" w:type="dxa"/>
            <w:tcBorders>
              <w:top w:val="nil"/>
              <w:left w:val="nil"/>
              <w:bottom w:val="nil"/>
              <w:right w:val="nil"/>
            </w:tcBorders>
            <w:vAlign w:val="center"/>
          </w:tcPr>
          <w:p w14:paraId="45019A0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97EEC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539B70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Belarus</w:t>
            </w:r>
          </w:p>
        </w:tc>
        <w:tc>
          <w:tcPr>
            <w:tcW w:w="1001" w:type="dxa"/>
            <w:tcBorders>
              <w:top w:val="nil"/>
              <w:left w:val="nil"/>
              <w:bottom w:val="nil"/>
              <w:right w:val="nil"/>
            </w:tcBorders>
            <w:vAlign w:val="center"/>
          </w:tcPr>
          <w:p w14:paraId="522E68D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9790B3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3B1557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602D808" w14:textId="77777777" w:rsidTr="00A538F6">
        <w:trPr>
          <w:trHeight w:val="256"/>
        </w:trPr>
        <w:tc>
          <w:tcPr>
            <w:tcW w:w="1276" w:type="dxa"/>
            <w:tcBorders>
              <w:top w:val="nil"/>
              <w:left w:val="nil"/>
              <w:bottom w:val="nil"/>
              <w:right w:val="nil"/>
            </w:tcBorders>
            <w:vAlign w:val="center"/>
          </w:tcPr>
          <w:p w14:paraId="746AB2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3C582C1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1D9F6A8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Belgium </w:t>
            </w:r>
          </w:p>
        </w:tc>
        <w:tc>
          <w:tcPr>
            <w:tcW w:w="1001" w:type="dxa"/>
            <w:tcBorders>
              <w:top w:val="nil"/>
              <w:left w:val="nil"/>
              <w:bottom w:val="nil"/>
              <w:right w:val="nil"/>
            </w:tcBorders>
            <w:vAlign w:val="center"/>
          </w:tcPr>
          <w:p w14:paraId="07C7B66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1.50</w:t>
            </w:r>
          </w:p>
        </w:tc>
        <w:tc>
          <w:tcPr>
            <w:tcW w:w="1392" w:type="dxa"/>
            <w:tcBorders>
              <w:top w:val="nil"/>
              <w:left w:val="nil"/>
              <w:bottom w:val="nil"/>
              <w:right w:val="nil"/>
            </w:tcBorders>
            <w:vAlign w:val="center"/>
          </w:tcPr>
          <w:p w14:paraId="13AC9D8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362" w:type="dxa"/>
            <w:tcBorders>
              <w:top w:val="nil"/>
              <w:left w:val="nil"/>
              <w:bottom w:val="nil"/>
              <w:right w:val="nil"/>
            </w:tcBorders>
            <w:vAlign w:val="center"/>
          </w:tcPr>
          <w:p w14:paraId="6024FCC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r>
      <w:tr w:rsidR="00B65EDC" w:rsidRPr="00912A85" w14:paraId="45BB203F" w14:textId="77777777" w:rsidTr="00A538F6">
        <w:trPr>
          <w:trHeight w:val="256"/>
        </w:trPr>
        <w:tc>
          <w:tcPr>
            <w:tcW w:w="1276" w:type="dxa"/>
            <w:tcBorders>
              <w:top w:val="nil"/>
              <w:left w:val="nil"/>
              <w:bottom w:val="nil"/>
              <w:right w:val="nil"/>
            </w:tcBorders>
            <w:vAlign w:val="center"/>
          </w:tcPr>
          <w:p w14:paraId="36266E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B586C3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0A3D74F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Bolivia (Plurinational State of)</w:t>
            </w:r>
          </w:p>
        </w:tc>
        <w:tc>
          <w:tcPr>
            <w:tcW w:w="1001" w:type="dxa"/>
            <w:tcBorders>
              <w:top w:val="nil"/>
              <w:left w:val="nil"/>
              <w:bottom w:val="nil"/>
              <w:right w:val="nil"/>
            </w:tcBorders>
            <w:vAlign w:val="center"/>
          </w:tcPr>
          <w:p w14:paraId="72BD1E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C365E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CD6C11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2486FA7" w14:textId="77777777" w:rsidTr="00A538F6">
        <w:trPr>
          <w:trHeight w:val="256"/>
        </w:trPr>
        <w:tc>
          <w:tcPr>
            <w:tcW w:w="1276" w:type="dxa"/>
            <w:tcBorders>
              <w:top w:val="nil"/>
              <w:left w:val="nil"/>
              <w:bottom w:val="nil"/>
              <w:right w:val="nil"/>
            </w:tcBorders>
            <w:vAlign w:val="center"/>
          </w:tcPr>
          <w:p w14:paraId="36D0D8E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51D920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A77B8E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Bosnia and Herzegovina </w:t>
            </w:r>
          </w:p>
        </w:tc>
        <w:tc>
          <w:tcPr>
            <w:tcW w:w="1001" w:type="dxa"/>
            <w:tcBorders>
              <w:top w:val="nil"/>
              <w:left w:val="nil"/>
              <w:bottom w:val="nil"/>
              <w:right w:val="nil"/>
            </w:tcBorders>
            <w:vAlign w:val="center"/>
          </w:tcPr>
          <w:p w14:paraId="3DFE90F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A0C8CB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E7FA7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844AF2D" w14:textId="77777777" w:rsidTr="00A538F6">
        <w:trPr>
          <w:trHeight w:val="256"/>
        </w:trPr>
        <w:tc>
          <w:tcPr>
            <w:tcW w:w="1276" w:type="dxa"/>
            <w:tcBorders>
              <w:top w:val="nil"/>
              <w:left w:val="nil"/>
              <w:bottom w:val="nil"/>
              <w:right w:val="nil"/>
            </w:tcBorders>
            <w:vAlign w:val="center"/>
          </w:tcPr>
          <w:p w14:paraId="2FF011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c>
          <w:tcPr>
            <w:tcW w:w="1276" w:type="dxa"/>
            <w:tcBorders>
              <w:top w:val="nil"/>
              <w:left w:val="nil"/>
              <w:bottom w:val="nil"/>
              <w:right w:val="nil"/>
            </w:tcBorders>
            <w:vAlign w:val="center"/>
          </w:tcPr>
          <w:p w14:paraId="27CA8F6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c>
          <w:tcPr>
            <w:tcW w:w="3474" w:type="dxa"/>
            <w:tcBorders>
              <w:top w:val="nil"/>
              <w:left w:val="nil"/>
              <w:bottom w:val="nil"/>
              <w:right w:val="nil"/>
            </w:tcBorders>
            <w:vAlign w:val="center"/>
            <w:hideMark/>
          </w:tcPr>
          <w:p w14:paraId="20EBC93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Brazil</w:t>
            </w:r>
          </w:p>
        </w:tc>
        <w:tc>
          <w:tcPr>
            <w:tcW w:w="1001" w:type="dxa"/>
            <w:tcBorders>
              <w:top w:val="nil"/>
              <w:left w:val="nil"/>
              <w:bottom w:val="nil"/>
              <w:right w:val="nil"/>
            </w:tcBorders>
            <w:vAlign w:val="center"/>
          </w:tcPr>
          <w:p w14:paraId="1094282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0.25</w:t>
            </w:r>
          </w:p>
        </w:tc>
        <w:tc>
          <w:tcPr>
            <w:tcW w:w="1392" w:type="dxa"/>
            <w:tcBorders>
              <w:top w:val="nil"/>
              <w:left w:val="nil"/>
              <w:bottom w:val="nil"/>
              <w:right w:val="nil"/>
            </w:tcBorders>
            <w:vAlign w:val="center"/>
          </w:tcPr>
          <w:p w14:paraId="1ED5A8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c>
          <w:tcPr>
            <w:tcW w:w="1362" w:type="dxa"/>
            <w:tcBorders>
              <w:top w:val="nil"/>
              <w:left w:val="nil"/>
              <w:bottom w:val="nil"/>
              <w:right w:val="nil"/>
            </w:tcBorders>
            <w:vAlign w:val="center"/>
          </w:tcPr>
          <w:p w14:paraId="05AF11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13,410</w:t>
            </w:r>
          </w:p>
        </w:tc>
      </w:tr>
      <w:tr w:rsidR="00B65EDC" w:rsidRPr="00912A85" w14:paraId="70EFA79E" w14:textId="77777777" w:rsidTr="00A538F6">
        <w:trPr>
          <w:trHeight w:val="256"/>
        </w:trPr>
        <w:tc>
          <w:tcPr>
            <w:tcW w:w="1276" w:type="dxa"/>
            <w:tcBorders>
              <w:top w:val="nil"/>
              <w:left w:val="nil"/>
              <w:bottom w:val="nil"/>
              <w:right w:val="nil"/>
            </w:tcBorders>
            <w:vAlign w:val="center"/>
          </w:tcPr>
          <w:p w14:paraId="6E0108B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8B85D9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3EBA002"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Bulgaria</w:t>
            </w:r>
          </w:p>
        </w:tc>
        <w:tc>
          <w:tcPr>
            <w:tcW w:w="1001" w:type="dxa"/>
            <w:tcBorders>
              <w:top w:val="nil"/>
              <w:left w:val="nil"/>
              <w:bottom w:val="nil"/>
              <w:right w:val="nil"/>
            </w:tcBorders>
            <w:vAlign w:val="center"/>
          </w:tcPr>
          <w:p w14:paraId="5166360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932B6E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09A097E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B228EC5" w14:textId="77777777" w:rsidTr="00A538F6">
        <w:trPr>
          <w:trHeight w:val="256"/>
        </w:trPr>
        <w:tc>
          <w:tcPr>
            <w:tcW w:w="1276" w:type="dxa"/>
            <w:tcBorders>
              <w:top w:val="nil"/>
              <w:left w:val="nil"/>
              <w:bottom w:val="nil"/>
              <w:right w:val="nil"/>
            </w:tcBorders>
            <w:vAlign w:val="center"/>
          </w:tcPr>
          <w:p w14:paraId="34FE558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1C24031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2C969A0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Canada</w:t>
            </w:r>
          </w:p>
        </w:tc>
        <w:tc>
          <w:tcPr>
            <w:tcW w:w="1001" w:type="dxa"/>
            <w:tcBorders>
              <w:top w:val="nil"/>
              <w:left w:val="nil"/>
              <w:bottom w:val="nil"/>
              <w:right w:val="nil"/>
            </w:tcBorders>
            <w:vAlign w:val="center"/>
          </w:tcPr>
          <w:p w14:paraId="289F421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00B6BCB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7D720B2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0EFD7FC6" w14:textId="77777777" w:rsidTr="00A538F6">
        <w:trPr>
          <w:trHeight w:val="256"/>
        </w:trPr>
        <w:tc>
          <w:tcPr>
            <w:tcW w:w="1276" w:type="dxa"/>
            <w:tcBorders>
              <w:top w:val="nil"/>
              <w:left w:val="nil"/>
              <w:bottom w:val="nil"/>
              <w:right w:val="nil"/>
            </w:tcBorders>
            <w:vAlign w:val="center"/>
          </w:tcPr>
          <w:p w14:paraId="17CBD2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145A5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7EAC72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Chile</w:t>
            </w:r>
          </w:p>
        </w:tc>
        <w:tc>
          <w:tcPr>
            <w:tcW w:w="1001" w:type="dxa"/>
            <w:tcBorders>
              <w:top w:val="nil"/>
              <w:left w:val="nil"/>
              <w:bottom w:val="nil"/>
              <w:right w:val="nil"/>
            </w:tcBorders>
            <w:vAlign w:val="center"/>
          </w:tcPr>
          <w:p w14:paraId="34E666E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60775E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742F6A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3A2144C" w14:textId="77777777" w:rsidTr="00A538F6">
        <w:trPr>
          <w:trHeight w:val="256"/>
        </w:trPr>
        <w:tc>
          <w:tcPr>
            <w:tcW w:w="1276" w:type="dxa"/>
            <w:tcBorders>
              <w:top w:val="nil"/>
              <w:left w:val="nil"/>
              <w:bottom w:val="nil"/>
              <w:right w:val="nil"/>
            </w:tcBorders>
            <w:vAlign w:val="center"/>
          </w:tcPr>
          <w:p w14:paraId="2E1B824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7060E1B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4FBFE4C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China</w:t>
            </w:r>
          </w:p>
        </w:tc>
        <w:tc>
          <w:tcPr>
            <w:tcW w:w="1001" w:type="dxa"/>
            <w:tcBorders>
              <w:top w:val="nil"/>
              <w:left w:val="nil"/>
              <w:bottom w:val="nil"/>
              <w:right w:val="nil"/>
            </w:tcBorders>
            <w:vAlign w:val="center"/>
          </w:tcPr>
          <w:p w14:paraId="0FB7674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0A02CE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28C1F35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749EB27F" w14:textId="77777777" w:rsidTr="00A538F6">
        <w:trPr>
          <w:trHeight w:val="256"/>
        </w:trPr>
        <w:tc>
          <w:tcPr>
            <w:tcW w:w="1276" w:type="dxa"/>
            <w:tcBorders>
              <w:top w:val="nil"/>
              <w:left w:val="nil"/>
              <w:bottom w:val="nil"/>
              <w:right w:val="nil"/>
            </w:tcBorders>
            <w:vAlign w:val="center"/>
          </w:tcPr>
          <w:p w14:paraId="6BF1757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933FF2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ACFE8C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Colombia</w:t>
            </w:r>
          </w:p>
        </w:tc>
        <w:tc>
          <w:tcPr>
            <w:tcW w:w="1001" w:type="dxa"/>
            <w:tcBorders>
              <w:top w:val="nil"/>
              <w:left w:val="nil"/>
              <w:bottom w:val="nil"/>
              <w:right w:val="nil"/>
            </w:tcBorders>
            <w:vAlign w:val="center"/>
          </w:tcPr>
          <w:p w14:paraId="25233A2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37A7B5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CDA0FD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66FEFA51" w14:textId="77777777" w:rsidTr="00A538F6">
        <w:trPr>
          <w:trHeight w:val="256"/>
        </w:trPr>
        <w:tc>
          <w:tcPr>
            <w:tcW w:w="1276" w:type="dxa"/>
            <w:tcBorders>
              <w:top w:val="nil"/>
              <w:left w:val="nil"/>
              <w:bottom w:val="nil"/>
              <w:right w:val="nil"/>
            </w:tcBorders>
            <w:vAlign w:val="center"/>
          </w:tcPr>
          <w:p w14:paraId="0732BAF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03B168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5DD1F5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Costa Rica</w:t>
            </w:r>
          </w:p>
        </w:tc>
        <w:tc>
          <w:tcPr>
            <w:tcW w:w="1001" w:type="dxa"/>
            <w:tcBorders>
              <w:top w:val="nil"/>
              <w:left w:val="nil"/>
              <w:bottom w:val="nil"/>
              <w:right w:val="nil"/>
            </w:tcBorders>
            <w:vAlign w:val="center"/>
          </w:tcPr>
          <w:p w14:paraId="7F088A6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B2489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396B0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ABB13C9" w14:textId="77777777" w:rsidTr="00A538F6">
        <w:trPr>
          <w:trHeight w:val="256"/>
        </w:trPr>
        <w:tc>
          <w:tcPr>
            <w:tcW w:w="1276" w:type="dxa"/>
            <w:tcBorders>
              <w:top w:val="nil"/>
              <w:left w:val="nil"/>
              <w:bottom w:val="nil"/>
              <w:right w:val="nil"/>
            </w:tcBorders>
            <w:vAlign w:val="center"/>
          </w:tcPr>
          <w:p w14:paraId="5ED5D60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C7FE9B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236B76C"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Croatia</w:t>
            </w:r>
          </w:p>
        </w:tc>
        <w:tc>
          <w:tcPr>
            <w:tcW w:w="1001" w:type="dxa"/>
            <w:tcBorders>
              <w:top w:val="nil"/>
              <w:left w:val="nil"/>
              <w:bottom w:val="nil"/>
              <w:right w:val="nil"/>
            </w:tcBorders>
            <w:vAlign w:val="center"/>
          </w:tcPr>
          <w:p w14:paraId="68279A2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252986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5AE4C8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3AA1071" w14:textId="77777777" w:rsidTr="00A538F6">
        <w:trPr>
          <w:trHeight w:val="256"/>
        </w:trPr>
        <w:tc>
          <w:tcPr>
            <w:tcW w:w="1276" w:type="dxa"/>
            <w:tcBorders>
              <w:top w:val="nil"/>
              <w:left w:val="nil"/>
              <w:bottom w:val="nil"/>
              <w:right w:val="nil"/>
            </w:tcBorders>
            <w:vAlign w:val="center"/>
          </w:tcPr>
          <w:p w14:paraId="05F2F51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54B047F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09C6CBA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Czech Republic </w:t>
            </w:r>
          </w:p>
        </w:tc>
        <w:tc>
          <w:tcPr>
            <w:tcW w:w="1001" w:type="dxa"/>
            <w:tcBorders>
              <w:top w:val="nil"/>
              <w:left w:val="nil"/>
              <w:bottom w:val="nil"/>
              <w:right w:val="nil"/>
            </w:tcBorders>
            <w:vAlign w:val="center"/>
          </w:tcPr>
          <w:p w14:paraId="2A80244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10FCAAB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482EBA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68D49CDE" w14:textId="77777777" w:rsidTr="00A538F6">
        <w:trPr>
          <w:trHeight w:val="256"/>
        </w:trPr>
        <w:tc>
          <w:tcPr>
            <w:tcW w:w="1276" w:type="dxa"/>
            <w:tcBorders>
              <w:top w:val="nil"/>
              <w:left w:val="nil"/>
              <w:bottom w:val="nil"/>
              <w:right w:val="nil"/>
            </w:tcBorders>
            <w:vAlign w:val="center"/>
          </w:tcPr>
          <w:p w14:paraId="6E4597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7ED936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6E0F4DC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Denmark</w:t>
            </w:r>
          </w:p>
        </w:tc>
        <w:tc>
          <w:tcPr>
            <w:tcW w:w="1001" w:type="dxa"/>
            <w:tcBorders>
              <w:top w:val="nil"/>
              <w:left w:val="nil"/>
              <w:bottom w:val="nil"/>
              <w:right w:val="nil"/>
            </w:tcBorders>
            <w:vAlign w:val="center"/>
          </w:tcPr>
          <w:p w14:paraId="5C2814A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08AC1A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4D87ABB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116FBB29" w14:textId="77777777" w:rsidTr="00A538F6">
        <w:trPr>
          <w:trHeight w:val="256"/>
        </w:trPr>
        <w:tc>
          <w:tcPr>
            <w:tcW w:w="1276" w:type="dxa"/>
            <w:tcBorders>
              <w:top w:val="nil"/>
              <w:left w:val="nil"/>
              <w:bottom w:val="nil"/>
              <w:right w:val="nil"/>
            </w:tcBorders>
            <w:vAlign w:val="center"/>
          </w:tcPr>
          <w:p w14:paraId="3F92F2B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37689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58AF14D"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Dominican Republic</w:t>
            </w:r>
          </w:p>
        </w:tc>
        <w:tc>
          <w:tcPr>
            <w:tcW w:w="1001" w:type="dxa"/>
            <w:tcBorders>
              <w:top w:val="nil"/>
              <w:left w:val="nil"/>
              <w:bottom w:val="nil"/>
              <w:right w:val="nil"/>
            </w:tcBorders>
            <w:vAlign w:val="center"/>
          </w:tcPr>
          <w:p w14:paraId="6E5814E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427AE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1706F6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1FD1796" w14:textId="77777777" w:rsidTr="00A538F6">
        <w:trPr>
          <w:trHeight w:val="256"/>
        </w:trPr>
        <w:tc>
          <w:tcPr>
            <w:tcW w:w="1276" w:type="dxa"/>
            <w:tcBorders>
              <w:top w:val="nil"/>
              <w:left w:val="nil"/>
              <w:bottom w:val="nil"/>
              <w:right w:val="nil"/>
            </w:tcBorders>
            <w:vAlign w:val="center"/>
          </w:tcPr>
          <w:p w14:paraId="066BD2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175C6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E3B714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Ecuador</w:t>
            </w:r>
          </w:p>
        </w:tc>
        <w:tc>
          <w:tcPr>
            <w:tcW w:w="1001" w:type="dxa"/>
            <w:tcBorders>
              <w:top w:val="nil"/>
              <w:left w:val="nil"/>
              <w:bottom w:val="nil"/>
              <w:right w:val="nil"/>
            </w:tcBorders>
            <w:vAlign w:val="center"/>
          </w:tcPr>
          <w:p w14:paraId="5975B68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3E8AE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08463F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A2AAAE1" w14:textId="77777777" w:rsidTr="00A538F6">
        <w:trPr>
          <w:trHeight w:val="256"/>
        </w:trPr>
        <w:tc>
          <w:tcPr>
            <w:tcW w:w="1276" w:type="dxa"/>
            <w:tcBorders>
              <w:top w:val="nil"/>
              <w:left w:val="nil"/>
              <w:bottom w:val="nil"/>
              <w:right w:val="nil"/>
            </w:tcBorders>
            <w:vAlign w:val="center"/>
          </w:tcPr>
          <w:p w14:paraId="757EA92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172D6C2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49B0C9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Egypt</w:t>
            </w:r>
          </w:p>
        </w:tc>
        <w:tc>
          <w:tcPr>
            <w:tcW w:w="1001" w:type="dxa"/>
            <w:tcBorders>
              <w:top w:val="nil"/>
              <w:left w:val="nil"/>
              <w:bottom w:val="nil"/>
              <w:right w:val="nil"/>
            </w:tcBorders>
            <w:vAlign w:val="center"/>
          </w:tcPr>
          <w:p w14:paraId="0B3E5F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2E7A9D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C6B445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5F95EE7" w14:textId="77777777" w:rsidTr="00A538F6">
        <w:trPr>
          <w:trHeight w:val="256"/>
        </w:trPr>
        <w:tc>
          <w:tcPr>
            <w:tcW w:w="1276" w:type="dxa"/>
            <w:tcBorders>
              <w:top w:val="nil"/>
              <w:left w:val="nil"/>
              <w:bottom w:val="nil"/>
              <w:right w:val="nil"/>
            </w:tcBorders>
            <w:vAlign w:val="center"/>
          </w:tcPr>
          <w:p w14:paraId="51EA66A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872259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E19A9F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Estonia</w:t>
            </w:r>
          </w:p>
        </w:tc>
        <w:tc>
          <w:tcPr>
            <w:tcW w:w="1001" w:type="dxa"/>
            <w:tcBorders>
              <w:top w:val="nil"/>
              <w:left w:val="nil"/>
              <w:bottom w:val="nil"/>
              <w:right w:val="nil"/>
            </w:tcBorders>
            <w:vAlign w:val="center"/>
          </w:tcPr>
          <w:p w14:paraId="799934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923E0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66258E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CAEF4DE" w14:textId="77777777" w:rsidTr="00A538F6">
        <w:trPr>
          <w:trHeight w:val="256"/>
        </w:trPr>
        <w:tc>
          <w:tcPr>
            <w:tcW w:w="1276" w:type="dxa"/>
            <w:tcBorders>
              <w:top w:val="nil"/>
              <w:left w:val="nil"/>
              <w:bottom w:val="nil"/>
              <w:right w:val="nil"/>
            </w:tcBorders>
            <w:vAlign w:val="center"/>
          </w:tcPr>
          <w:p w14:paraId="1ABA744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7E0A74C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722F7CC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European Union</w:t>
            </w:r>
          </w:p>
        </w:tc>
        <w:tc>
          <w:tcPr>
            <w:tcW w:w="1001" w:type="dxa"/>
            <w:tcBorders>
              <w:top w:val="nil"/>
              <w:left w:val="nil"/>
              <w:bottom w:val="nil"/>
              <w:right w:val="nil"/>
            </w:tcBorders>
            <w:vAlign w:val="center"/>
          </w:tcPr>
          <w:p w14:paraId="22D2502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7958F59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64D2F9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7B9DA893" w14:textId="77777777" w:rsidTr="00A538F6">
        <w:trPr>
          <w:trHeight w:val="256"/>
        </w:trPr>
        <w:tc>
          <w:tcPr>
            <w:tcW w:w="1276" w:type="dxa"/>
            <w:tcBorders>
              <w:top w:val="nil"/>
              <w:left w:val="nil"/>
              <w:bottom w:val="nil"/>
              <w:right w:val="nil"/>
            </w:tcBorders>
            <w:vAlign w:val="center"/>
          </w:tcPr>
          <w:p w14:paraId="2EF4AC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7B804D7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0429B07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Finland</w:t>
            </w:r>
          </w:p>
        </w:tc>
        <w:tc>
          <w:tcPr>
            <w:tcW w:w="1001" w:type="dxa"/>
            <w:tcBorders>
              <w:top w:val="nil"/>
              <w:left w:val="nil"/>
              <w:bottom w:val="nil"/>
              <w:right w:val="nil"/>
            </w:tcBorders>
            <w:vAlign w:val="center"/>
          </w:tcPr>
          <w:p w14:paraId="4E64A3D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05ED852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041A2F8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152E6FFB" w14:textId="77777777" w:rsidTr="00A538F6">
        <w:trPr>
          <w:trHeight w:val="256"/>
        </w:trPr>
        <w:tc>
          <w:tcPr>
            <w:tcW w:w="1276" w:type="dxa"/>
            <w:tcBorders>
              <w:top w:val="nil"/>
              <w:left w:val="nil"/>
              <w:bottom w:val="nil"/>
              <w:right w:val="nil"/>
            </w:tcBorders>
            <w:vAlign w:val="center"/>
          </w:tcPr>
          <w:p w14:paraId="6A59167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76C0F32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633D2A62"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France</w:t>
            </w:r>
          </w:p>
        </w:tc>
        <w:tc>
          <w:tcPr>
            <w:tcW w:w="1001" w:type="dxa"/>
            <w:tcBorders>
              <w:top w:val="nil"/>
              <w:left w:val="nil"/>
              <w:bottom w:val="nil"/>
              <w:right w:val="nil"/>
            </w:tcBorders>
            <w:vAlign w:val="center"/>
          </w:tcPr>
          <w:p w14:paraId="3C8FDE5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7650DF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178CF20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256D49A8" w14:textId="77777777" w:rsidTr="00A538F6">
        <w:trPr>
          <w:trHeight w:val="256"/>
        </w:trPr>
        <w:tc>
          <w:tcPr>
            <w:tcW w:w="1276" w:type="dxa"/>
            <w:tcBorders>
              <w:top w:val="nil"/>
              <w:left w:val="nil"/>
              <w:bottom w:val="nil"/>
              <w:right w:val="nil"/>
            </w:tcBorders>
            <w:vAlign w:val="center"/>
          </w:tcPr>
          <w:p w14:paraId="318ABD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2A08EE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4982D6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Georgia</w:t>
            </w:r>
          </w:p>
        </w:tc>
        <w:tc>
          <w:tcPr>
            <w:tcW w:w="1001" w:type="dxa"/>
            <w:tcBorders>
              <w:top w:val="nil"/>
              <w:left w:val="nil"/>
              <w:bottom w:val="nil"/>
              <w:right w:val="nil"/>
            </w:tcBorders>
            <w:vAlign w:val="center"/>
          </w:tcPr>
          <w:p w14:paraId="6D12CC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4286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42CCA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6901B2A" w14:textId="77777777" w:rsidTr="00A538F6">
        <w:trPr>
          <w:trHeight w:val="256"/>
        </w:trPr>
        <w:tc>
          <w:tcPr>
            <w:tcW w:w="1276" w:type="dxa"/>
            <w:tcBorders>
              <w:top w:val="nil"/>
              <w:left w:val="nil"/>
              <w:bottom w:val="nil"/>
              <w:right w:val="nil"/>
            </w:tcBorders>
            <w:vAlign w:val="center"/>
          </w:tcPr>
          <w:p w14:paraId="6CAF7F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23B8912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7AA5581C"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Germany</w:t>
            </w:r>
          </w:p>
        </w:tc>
        <w:tc>
          <w:tcPr>
            <w:tcW w:w="1001" w:type="dxa"/>
            <w:tcBorders>
              <w:top w:val="nil"/>
              <w:left w:val="nil"/>
              <w:bottom w:val="nil"/>
              <w:right w:val="nil"/>
            </w:tcBorders>
            <w:vAlign w:val="center"/>
          </w:tcPr>
          <w:p w14:paraId="34322D4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040091A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24E093B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739ACBC5" w14:textId="77777777" w:rsidTr="00A538F6">
        <w:trPr>
          <w:trHeight w:val="256"/>
        </w:trPr>
        <w:tc>
          <w:tcPr>
            <w:tcW w:w="1276" w:type="dxa"/>
            <w:tcBorders>
              <w:top w:val="nil"/>
              <w:left w:val="nil"/>
              <w:bottom w:val="nil"/>
              <w:right w:val="nil"/>
            </w:tcBorders>
            <w:vAlign w:val="center"/>
          </w:tcPr>
          <w:p w14:paraId="716EF6D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9018FF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5BFCF78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Ghana</w:t>
            </w:r>
          </w:p>
        </w:tc>
        <w:tc>
          <w:tcPr>
            <w:tcW w:w="1001" w:type="dxa"/>
            <w:tcBorders>
              <w:top w:val="nil"/>
              <w:left w:val="nil"/>
              <w:bottom w:val="nil"/>
              <w:right w:val="nil"/>
            </w:tcBorders>
            <w:vAlign w:val="center"/>
          </w:tcPr>
          <w:p w14:paraId="12B0FF7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2B4530A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86847E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5D66152" w14:textId="77777777" w:rsidTr="00A538F6">
        <w:trPr>
          <w:trHeight w:val="256"/>
        </w:trPr>
        <w:tc>
          <w:tcPr>
            <w:tcW w:w="1276" w:type="dxa"/>
            <w:tcBorders>
              <w:top w:val="nil"/>
              <w:left w:val="nil"/>
              <w:bottom w:val="nil"/>
              <w:right w:val="nil"/>
            </w:tcBorders>
            <w:vAlign w:val="center"/>
          </w:tcPr>
          <w:p w14:paraId="14882B8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46FA56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0CE7572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Hungary</w:t>
            </w:r>
          </w:p>
        </w:tc>
        <w:tc>
          <w:tcPr>
            <w:tcW w:w="1001" w:type="dxa"/>
            <w:tcBorders>
              <w:top w:val="nil"/>
              <w:left w:val="nil"/>
              <w:bottom w:val="nil"/>
              <w:right w:val="nil"/>
            </w:tcBorders>
            <w:vAlign w:val="center"/>
          </w:tcPr>
          <w:p w14:paraId="2206BAE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773CD39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738DE6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13EF453A" w14:textId="77777777" w:rsidTr="00A538F6">
        <w:trPr>
          <w:trHeight w:val="256"/>
        </w:trPr>
        <w:tc>
          <w:tcPr>
            <w:tcW w:w="1276" w:type="dxa"/>
            <w:tcBorders>
              <w:top w:val="nil"/>
              <w:left w:val="nil"/>
              <w:bottom w:val="nil"/>
              <w:right w:val="nil"/>
            </w:tcBorders>
            <w:vAlign w:val="center"/>
          </w:tcPr>
          <w:p w14:paraId="2C6059B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75F5E1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0A83A57"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Iceland</w:t>
            </w:r>
          </w:p>
        </w:tc>
        <w:tc>
          <w:tcPr>
            <w:tcW w:w="1001" w:type="dxa"/>
            <w:tcBorders>
              <w:top w:val="nil"/>
              <w:left w:val="nil"/>
              <w:bottom w:val="nil"/>
              <w:right w:val="nil"/>
            </w:tcBorders>
            <w:vAlign w:val="center"/>
          </w:tcPr>
          <w:p w14:paraId="00D3141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CB6933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3399A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93CB958" w14:textId="77777777" w:rsidTr="00A538F6">
        <w:trPr>
          <w:trHeight w:val="256"/>
        </w:trPr>
        <w:tc>
          <w:tcPr>
            <w:tcW w:w="1276" w:type="dxa"/>
            <w:tcBorders>
              <w:top w:val="nil"/>
              <w:left w:val="nil"/>
              <w:bottom w:val="nil"/>
              <w:right w:val="nil"/>
            </w:tcBorders>
            <w:vAlign w:val="center"/>
          </w:tcPr>
          <w:p w14:paraId="5D3F70E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65DB158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20D68E9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Ireland</w:t>
            </w:r>
          </w:p>
        </w:tc>
        <w:tc>
          <w:tcPr>
            <w:tcW w:w="1001" w:type="dxa"/>
            <w:tcBorders>
              <w:top w:val="nil"/>
              <w:left w:val="nil"/>
              <w:bottom w:val="nil"/>
              <w:right w:val="nil"/>
            </w:tcBorders>
            <w:vAlign w:val="center"/>
          </w:tcPr>
          <w:p w14:paraId="62287AC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45FA711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33D2636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59A9648E" w14:textId="77777777" w:rsidTr="00A538F6">
        <w:trPr>
          <w:trHeight w:val="256"/>
        </w:trPr>
        <w:tc>
          <w:tcPr>
            <w:tcW w:w="1276" w:type="dxa"/>
            <w:tcBorders>
              <w:top w:val="nil"/>
              <w:left w:val="nil"/>
              <w:bottom w:val="nil"/>
              <w:right w:val="nil"/>
            </w:tcBorders>
            <w:vAlign w:val="center"/>
          </w:tcPr>
          <w:p w14:paraId="199F24A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094E2A0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16AE549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Israel</w:t>
            </w:r>
          </w:p>
        </w:tc>
        <w:tc>
          <w:tcPr>
            <w:tcW w:w="1001" w:type="dxa"/>
            <w:tcBorders>
              <w:top w:val="nil"/>
              <w:left w:val="nil"/>
              <w:bottom w:val="nil"/>
              <w:right w:val="nil"/>
            </w:tcBorders>
            <w:vAlign w:val="center"/>
          </w:tcPr>
          <w:p w14:paraId="38EED6E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3DB642E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1431E84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71A51398" w14:textId="77777777" w:rsidTr="00A538F6">
        <w:trPr>
          <w:trHeight w:val="256"/>
        </w:trPr>
        <w:tc>
          <w:tcPr>
            <w:tcW w:w="1276" w:type="dxa"/>
            <w:tcBorders>
              <w:top w:val="nil"/>
              <w:left w:val="nil"/>
              <w:bottom w:val="nil"/>
              <w:right w:val="nil"/>
            </w:tcBorders>
            <w:vAlign w:val="center"/>
          </w:tcPr>
          <w:p w14:paraId="5283773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1881A52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40AA25D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Italy</w:t>
            </w:r>
          </w:p>
        </w:tc>
        <w:tc>
          <w:tcPr>
            <w:tcW w:w="1001" w:type="dxa"/>
            <w:tcBorders>
              <w:top w:val="nil"/>
              <w:left w:val="nil"/>
              <w:bottom w:val="nil"/>
              <w:right w:val="nil"/>
            </w:tcBorders>
            <w:vAlign w:val="center"/>
          </w:tcPr>
          <w:p w14:paraId="5A7A339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1D1A388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11F7FCA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57758497" w14:textId="77777777" w:rsidTr="00A538F6">
        <w:trPr>
          <w:trHeight w:val="256"/>
        </w:trPr>
        <w:tc>
          <w:tcPr>
            <w:tcW w:w="1276" w:type="dxa"/>
            <w:tcBorders>
              <w:top w:val="nil"/>
              <w:left w:val="nil"/>
              <w:bottom w:val="nil"/>
              <w:right w:val="nil"/>
            </w:tcBorders>
            <w:vAlign w:val="center"/>
          </w:tcPr>
          <w:p w14:paraId="64EDA8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0C6621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45118E4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Japan</w:t>
            </w:r>
          </w:p>
        </w:tc>
        <w:tc>
          <w:tcPr>
            <w:tcW w:w="1001" w:type="dxa"/>
            <w:tcBorders>
              <w:top w:val="nil"/>
              <w:left w:val="nil"/>
              <w:bottom w:val="nil"/>
              <w:right w:val="nil"/>
            </w:tcBorders>
            <w:vAlign w:val="center"/>
          </w:tcPr>
          <w:p w14:paraId="4D8D43B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3F6AB2B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7B57196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72048183" w14:textId="77777777" w:rsidTr="00A538F6">
        <w:trPr>
          <w:trHeight w:val="256"/>
        </w:trPr>
        <w:tc>
          <w:tcPr>
            <w:tcW w:w="1276" w:type="dxa"/>
            <w:tcBorders>
              <w:top w:val="nil"/>
              <w:left w:val="nil"/>
              <w:bottom w:val="nil"/>
              <w:right w:val="nil"/>
            </w:tcBorders>
            <w:vAlign w:val="center"/>
          </w:tcPr>
          <w:p w14:paraId="526C737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5976C1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D1959A2"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Jordan</w:t>
            </w:r>
          </w:p>
        </w:tc>
        <w:tc>
          <w:tcPr>
            <w:tcW w:w="1001" w:type="dxa"/>
            <w:tcBorders>
              <w:top w:val="nil"/>
              <w:left w:val="nil"/>
              <w:bottom w:val="nil"/>
              <w:right w:val="nil"/>
            </w:tcBorders>
            <w:vAlign w:val="center"/>
          </w:tcPr>
          <w:p w14:paraId="1090820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2DA23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595E1C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3CAF172" w14:textId="77777777" w:rsidTr="00A538F6">
        <w:trPr>
          <w:trHeight w:val="256"/>
        </w:trPr>
        <w:tc>
          <w:tcPr>
            <w:tcW w:w="1276" w:type="dxa"/>
            <w:tcBorders>
              <w:top w:val="nil"/>
              <w:left w:val="nil"/>
              <w:bottom w:val="nil"/>
              <w:right w:val="nil"/>
            </w:tcBorders>
            <w:vAlign w:val="center"/>
          </w:tcPr>
          <w:p w14:paraId="31E96B1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2BE05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EE3300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Kenya</w:t>
            </w:r>
          </w:p>
        </w:tc>
        <w:tc>
          <w:tcPr>
            <w:tcW w:w="1001" w:type="dxa"/>
            <w:tcBorders>
              <w:top w:val="nil"/>
              <w:left w:val="nil"/>
              <w:bottom w:val="nil"/>
              <w:right w:val="nil"/>
            </w:tcBorders>
            <w:vAlign w:val="center"/>
          </w:tcPr>
          <w:p w14:paraId="5CB5E8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99B3D6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38EAE8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F28EAE8" w14:textId="77777777" w:rsidTr="00A538F6">
        <w:trPr>
          <w:trHeight w:val="256"/>
        </w:trPr>
        <w:tc>
          <w:tcPr>
            <w:tcW w:w="1276" w:type="dxa"/>
            <w:tcBorders>
              <w:top w:val="nil"/>
              <w:left w:val="nil"/>
              <w:bottom w:val="nil"/>
              <w:right w:val="nil"/>
            </w:tcBorders>
            <w:vAlign w:val="center"/>
          </w:tcPr>
          <w:p w14:paraId="4B9D924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701B55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79694A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Kyrgyzstan</w:t>
            </w:r>
          </w:p>
        </w:tc>
        <w:tc>
          <w:tcPr>
            <w:tcW w:w="1001" w:type="dxa"/>
            <w:tcBorders>
              <w:top w:val="nil"/>
              <w:left w:val="nil"/>
              <w:bottom w:val="nil"/>
              <w:right w:val="nil"/>
            </w:tcBorders>
            <w:vAlign w:val="center"/>
          </w:tcPr>
          <w:p w14:paraId="06D0F66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9888D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26A7670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D396ACB" w14:textId="77777777" w:rsidTr="00A538F6">
        <w:trPr>
          <w:trHeight w:val="256"/>
        </w:trPr>
        <w:tc>
          <w:tcPr>
            <w:tcW w:w="1276" w:type="dxa"/>
            <w:tcBorders>
              <w:top w:val="nil"/>
              <w:left w:val="nil"/>
              <w:bottom w:val="nil"/>
              <w:right w:val="nil"/>
            </w:tcBorders>
            <w:vAlign w:val="center"/>
          </w:tcPr>
          <w:p w14:paraId="5FC8C54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44556D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32231D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Latvia</w:t>
            </w:r>
          </w:p>
        </w:tc>
        <w:tc>
          <w:tcPr>
            <w:tcW w:w="1001" w:type="dxa"/>
            <w:tcBorders>
              <w:top w:val="nil"/>
              <w:left w:val="nil"/>
              <w:bottom w:val="nil"/>
              <w:right w:val="nil"/>
            </w:tcBorders>
            <w:vAlign w:val="center"/>
          </w:tcPr>
          <w:p w14:paraId="31DF62A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1D9183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0836E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6EF9AAE4" w14:textId="77777777" w:rsidTr="00A538F6">
        <w:trPr>
          <w:trHeight w:val="256"/>
        </w:trPr>
        <w:tc>
          <w:tcPr>
            <w:tcW w:w="1276" w:type="dxa"/>
            <w:tcBorders>
              <w:top w:val="nil"/>
              <w:left w:val="nil"/>
              <w:bottom w:val="nil"/>
              <w:right w:val="nil"/>
            </w:tcBorders>
            <w:vAlign w:val="center"/>
          </w:tcPr>
          <w:p w14:paraId="0EC2AAF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D25889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03F4FD6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Lithuania</w:t>
            </w:r>
          </w:p>
        </w:tc>
        <w:tc>
          <w:tcPr>
            <w:tcW w:w="1001" w:type="dxa"/>
            <w:tcBorders>
              <w:top w:val="nil"/>
              <w:left w:val="nil"/>
              <w:bottom w:val="nil"/>
              <w:right w:val="nil"/>
            </w:tcBorders>
            <w:vAlign w:val="center"/>
          </w:tcPr>
          <w:p w14:paraId="68AAA41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5653B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79D0C9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E710B6C" w14:textId="77777777" w:rsidTr="00A538F6">
        <w:trPr>
          <w:trHeight w:val="256"/>
        </w:trPr>
        <w:tc>
          <w:tcPr>
            <w:tcW w:w="1276" w:type="dxa"/>
            <w:tcBorders>
              <w:top w:val="nil"/>
              <w:left w:val="nil"/>
              <w:bottom w:val="nil"/>
              <w:right w:val="nil"/>
            </w:tcBorders>
            <w:vAlign w:val="center"/>
          </w:tcPr>
          <w:p w14:paraId="7B1DCE1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276" w:type="dxa"/>
            <w:tcBorders>
              <w:top w:val="nil"/>
              <w:left w:val="nil"/>
              <w:bottom w:val="nil"/>
              <w:right w:val="nil"/>
            </w:tcBorders>
            <w:vAlign w:val="center"/>
          </w:tcPr>
          <w:p w14:paraId="4177F32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3474" w:type="dxa"/>
            <w:tcBorders>
              <w:top w:val="nil"/>
              <w:left w:val="nil"/>
              <w:bottom w:val="nil"/>
              <w:right w:val="nil"/>
            </w:tcBorders>
            <w:vAlign w:val="center"/>
            <w:hideMark/>
          </w:tcPr>
          <w:p w14:paraId="31B77B2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Mexico</w:t>
            </w:r>
          </w:p>
        </w:tc>
        <w:tc>
          <w:tcPr>
            <w:tcW w:w="1001" w:type="dxa"/>
            <w:tcBorders>
              <w:top w:val="nil"/>
              <w:left w:val="nil"/>
              <w:bottom w:val="nil"/>
              <w:right w:val="nil"/>
            </w:tcBorders>
            <w:vAlign w:val="center"/>
          </w:tcPr>
          <w:p w14:paraId="66FB6CA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0.75</w:t>
            </w:r>
          </w:p>
        </w:tc>
        <w:tc>
          <w:tcPr>
            <w:tcW w:w="1392" w:type="dxa"/>
            <w:tcBorders>
              <w:top w:val="nil"/>
              <w:left w:val="nil"/>
              <w:bottom w:val="nil"/>
              <w:right w:val="nil"/>
            </w:tcBorders>
            <w:vAlign w:val="center"/>
          </w:tcPr>
          <w:p w14:paraId="5684A1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c>
          <w:tcPr>
            <w:tcW w:w="1362" w:type="dxa"/>
            <w:tcBorders>
              <w:top w:val="nil"/>
              <w:left w:val="nil"/>
              <w:bottom w:val="nil"/>
              <w:right w:val="nil"/>
            </w:tcBorders>
            <w:vAlign w:val="center"/>
          </w:tcPr>
          <w:p w14:paraId="392653F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40,231</w:t>
            </w:r>
          </w:p>
        </w:tc>
      </w:tr>
      <w:tr w:rsidR="00B65EDC" w:rsidRPr="00912A85" w14:paraId="469D9B85" w14:textId="77777777" w:rsidTr="00A538F6">
        <w:trPr>
          <w:trHeight w:val="256"/>
        </w:trPr>
        <w:tc>
          <w:tcPr>
            <w:tcW w:w="1276" w:type="dxa"/>
            <w:tcBorders>
              <w:top w:val="nil"/>
              <w:left w:val="nil"/>
              <w:bottom w:val="nil"/>
              <w:right w:val="nil"/>
            </w:tcBorders>
            <w:vAlign w:val="center"/>
          </w:tcPr>
          <w:p w14:paraId="21CFE1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3EF8F5F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00069C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Montenegro</w:t>
            </w:r>
          </w:p>
        </w:tc>
        <w:tc>
          <w:tcPr>
            <w:tcW w:w="1001" w:type="dxa"/>
            <w:tcBorders>
              <w:top w:val="nil"/>
              <w:left w:val="nil"/>
              <w:bottom w:val="nil"/>
              <w:right w:val="nil"/>
            </w:tcBorders>
            <w:vAlign w:val="center"/>
          </w:tcPr>
          <w:p w14:paraId="5AE602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4F43C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8B0183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A468B4F" w14:textId="77777777" w:rsidTr="00A538F6">
        <w:trPr>
          <w:trHeight w:val="256"/>
        </w:trPr>
        <w:tc>
          <w:tcPr>
            <w:tcW w:w="1276" w:type="dxa"/>
            <w:tcBorders>
              <w:top w:val="nil"/>
              <w:left w:val="nil"/>
              <w:bottom w:val="nil"/>
              <w:right w:val="nil"/>
            </w:tcBorders>
            <w:vAlign w:val="center"/>
          </w:tcPr>
          <w:p w14:paraId="2764173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5DC0B1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5A1AD2C"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Morocco</w:t>
            </w:r>
          </w:p>
        </w:tc>
        <w:tc>
          <w:tcPr>
            <w:tcW w:w="1001" w:type="dxa"/>
            <w:tcBorders>
              <w:top w:val="nil"/>
              <w:left w:val="nil"/>
              <w:bottom w:val="nil"/>
              <w:right w:val="nil"/>
            </w:tcBorders>
            <w:vAlign w:val="center"/>
          </w:tcPr>
          <w:p w14:paraId="467D3F9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DFD25B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039D07F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E3F1D74" w14:textId="77777777" w:rsidTr="00A538F6">
        <w:trPr>
          <w:trHeight w:val="256"/>
        </w:trPr>
        <w:tc>
          <w:tcPr>
            <w:tcW w:w="1276" w:type="dxa"/>
            <w:tcBorders>
              <w:top w:val="nil"/>
              <w:left w:val="nil"/>
              <w:bottom w:val="nil"/>
              <w:right w:val="nil"/>
            </w:tcBorders>
            <w:vAlign w:val="center"/>
          </w:tcPr>
          <w:p w14:paraId="3F5B189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c>
          <w:tcPr>
            <w:tcW w:w="1276" w:type="dxa"/>
            <w:tcBorders>
              <w:top w:val="nil"/>
              <w:left w:val="nil"/>
              <w:bottom w:val="nil"/>
              <w:right w:val="nil"/>
            </w:tcBorders>
            <w:vAlign w:val="center"/>
          </w:tcPr>
          <w:p w14:paraId="24CBFA6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c>
          <w:tcPr>
            <w:tcW w:w="3474" w:type="dxa"/>
            <w:tcBorders>
              <w:top w:val="nil"/>
              <w:left w:val="nil"/>
              <w:bottom w:val="nil"/>
              <w:right w:val="nil"/>
            </w:tcBorders>
            <w:vAlign w:val="center"/>
            <w:hideMark/>
          </w:tcPr>
          <w:p w14:paraId="40512FA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Netherlands (the Kingdom of)</w:t>
            </w:r>
          </w:p>
        </w:tc>
        <w:tc>
          <w:tcPr>
            <w:tcW w:w="1001" w:type="dxa"/>
            <w:tcBorders>
              <w:top w:val="nil"/>
              <w:left w:val="nil"/>
              <w:bottom w:val="nil"/>
              <w:right w:val="nil"/>
            </w:tcBorders>
            <w:vAlign w:val="center"/>
          </w:tcPr>
          <w:p w14:paraId="059F1B4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3.00</w:t>
            </w:r>
          </w:p>
        </w:tc>
        <w:tc>
          <w:tcPr>
            <w:tcW w:w="1392" w:type="dxa"/>
            <w:tcBorders>
              <w:top w:val="nil"/>
              <w:left w:val="nil"/>
              <w:bottom w:val="nil"/>
              <w:right w:val="nil"/>
            </w:tcBorders>
            <w:vAlign w:val="center"/>
          </w:tcPr>
          <w:p w14:paraId="43E5357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c>
          <w:tcPr>
            <w:tcW w:w="1362" w:type="dxa"/>
            <w:tcBorders>
              <w:top w:val="nil"/>
              <w:left w:val="nil"/>
              <w:bottom w:val="nil"/>
              <w:right w:val="nil"/>
            </w:tcBorders>
            <w:vAlign w:val="center"/>
          </w:tcPr>
          <w:p w14:paraId="4B40566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160,923</w:t>
            </w:r>
          </w:p>
        </w:tc>
      </w:tr>
      <w:tr w:rsidR="00B65EDC" w:rsidRPr="00912A85" w14:paraId="113A6237" w14:textId="77777777" w:rsidTr="00A538F6">
        <w:trPr>
          <w:trHeight w:val="256"/>
        </w:trPr>
        <w:tc>
          <w:tcPr>
            <w:tcW w:w="1276" w:type="dxa"/>
            <w:tcBorders>
              <w:top w:val="nil"/>
              <w:left w:val="nil"/>
              <w:bottom w:val="nil"/>
              <w:right w:val="nil"/>
            </w:tcBorders>
            <w:vAlign w:val="center"/>
          </w:tcPr>
          <w:p w14:paraId="5659F74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546F6C3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5197D15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New Zealand</w:t>
            </w:r>
          </w:p>
        </w:tc>
        <w:tc>
          <w:tcPr>
            <w:tcW w:w="1001" w:type="dxa"/>
            <w:tcBorders>
              <w:top w:val="nil"/>
              <w:left w:val="nil"/>
              <w:bottom w:val="nil"/>
              <w:right w:val="nil"/>
            </w:tcBorders>
            <w:vAlign w:val="center"/>
          </w:tcPr>
          <w:p w14:paraId="4846385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48EC3D9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2A04B25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220F3521" w14:textId="77777777" w:rsidTr="00A538F6">
        <w:trPr>
          <w:trHeight w:val="256"/>
        </w:trPr>
        <w:tc>
          <w:tcPr>
            <w:tcW w:w="1276" w:type="dxa"/>
            <w:tcBorders>
              <w:top w:val="nil"/>
              <w:left w:val="nil"/>
              <w:bottom w:val="nil"/>
              <w:right w:val="nil"/>
            </w:tcBorders>
            <w:vAlign w:val="center"/>
          </w:tcPr>
          <w:p w14:paraId="07D68AB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lastRenderedPageBreak/>
              <w:t>10,728</w:t>
            </w:r>
          </w:p>
        </w:tc>
        <w:tc>
          <w:tcPr>
            <w:tcW w:w="1276" w:type="dxa"/>
            <w:tcBorders>
              <w:top w:val="nil"/>
              <w:left w:val="nil"/>
              <w:bottom w:val="nil"/>
              <w:right w:val="nil"/>
            </w:tcBorders>
            <w:vAlign w:val="center"/>
          </w:tcPr>
          <w:p w14:paraId="4C941A7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8C849D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Nicaragua</w:t>
            </w:r>
          </w:p>
        </w:tc>
        <w:tc>
          <w:tcPr>
            <w:tcW w:w="1001" w:type="dxa"/>
            <w:tcBorders>
              <w:top w:val="nil"/>
              <w:left w:val="nil"/>
              <w:bottom w:val="nil"/>
              <w:right w:val="nil"/>
            </w:tcBorders>
            <w:vAlign w:val="center"/>
          </w:tcPr>
          <w:p w14:paraId="66C53AD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76FD2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7EC5F4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E239D8B" w14:textId="77777777" w:rsidTr="00A538F6">
        <w:trPr>
          <w:trHeight w:val="256"/>
        </w:trPr>
        <w:tc>
          <w:tcPr>
            <w:tcW w:w="1276" w:type="dxa"/>
            <w:tcBorders>
              <w:top w:val="nil"/>
              <w:left w:val="nil"/>
              <w:bottom w:val="nil"/>
              <w:right w:val="nil"/>
            </w:tcBorders>
            <w:vAlign w:val="center"/>
          </w:tcPr>
          <w:p w14:paraId="3C75F7C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w:t>
            </w:r>
          </w:p>
        </w:tc>
        <w:tc>
          <w:tcPr>
            <w:tcW w:w="1276" w:type="dxa"/>
            <w:tcBorders>
              <w:top w:val="nil"/>
              <w:left w:val="nil"/>
              <w:bottom w:val="nil"/>
              <w:right w:val="nil"/>
            </w:tcBorders>
            <w:vAlign w:val="center"/>
          </w:tcPr>
          <w:p w14:paraId="14AF370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w:t>
            </w:r>
          </w:p>
        </w:tc>
        <w:tc>
          <w:tcPr>
            <w:tcW w:w="3474" w:type="dxa"/>
            <w:tcBorders>
              <w:top w:val="nil"/>
              <w:left w:val="nil"/>
              <w:bottom w:val="nil"/>
              <w:right w:val="nil"/>
            </w:tcBorders>
            <w:vAlign w:val="center"/>
          </w:tcPr>
          <w:p w14:paraId="20DEE80E"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Nigeria</w:t>
            </w:r>
            <w:r w:rsidRPr="00912A85">
              <w:rPr>
                <w:rFonts w:ascii="Arial Narrow" w:hAnsi="Arial Narrow" w:cs="Arial"/>
                <w:color w:val="000000"/>
                <w:sz w:val="18"/>
                <w:szCs w:val="18"/>
                <w:vertAlign w:val="superscript"/>
              </w:rPr>
              <w:t>2</w:t>
            </w:r>
          </w:p>
        </w:tc>
        <w:tc>
          <w:tcPr>
            <w:tcW w:w="1001" w:type="dxa"/>
            <w:tcBorders>
              <w:top w:val="nil"/>
              <w:left w:val="nil"/>
              <w:bottom w:val="nil"/>
              <w:right w:val="nil"/>
            </w:tcBorders>
            <w:vAlign w:val="center"/>
          </w:tcPr>
          <w:p w14:paraId="227912C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9D1AD1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BEA14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67FF511" w14:textId="77777777" w:rsidTr="00A538F6">
        <w:trPr>
          <w:trHeight w:val="256"/>
        </w:trPr>
        <w:tc>
          <w:tcPr>
            <w:tcW w:w="1276" w:type="dxa"/>
            <w:tcBorders>
              <w:top w:val="nil"/>
              <w:left w:val="nil"/>
              <w:bottom w:val="nil"/>
              <w:right w:val="nil"/>
            </w:tcBorders>
            <w:vAlign w:val="center"/>
          </w:tcPr>
          <w:p w14:paraId="375FD76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2D778A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F3BE67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North Macedonia</w:t>
            </w:r>
          </w:p>
        </w:tc>
        <w:tc>
          <w:tcPr>
            <w:tcW w:w="1001" w:type="dxa"/>
            <w:tcBorders>
              <w:top w:val="nil"/>
              <w:left w:val="nil"/>
              <w:bottom w:val="nil"/>
              <w:right w:val="nil"/>
            </w:tcBorders>
            <w:vAlign w:val="center"/>
          </w:tcPr>
          <w:p w14:paraId="4805811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1636B7C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4C355EB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0A911EF3" w14:textId="77777777" w:rsidTr="00A538F6">
        <w:trPr>
          <w:trHeight w:val="256"/>
        </w:trPr>
        <w:tc>
          <w:tcPr>
            <w:tcW w:w="1276" w:type="dxa"/>
            <w:tcBorders>
              <w:top w:val="nil"/>
              <w:left w:val="nil"/>
              <w:bottom w:val="nil"/>
              <w:right w:val="nil"/>
            </w:tcBorders>
            <w:vAlign w:val="center"/>
          </w:tcPr>
          <w:p w14:paraId="65E94B7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420005B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5E82B4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Norway</w:t>
            </w:r>
          </w:p>
        </w:tc>
        <w:tc>
          <w:tcPr>
            <w:tcW w:w="1001" w:type="dxa"/>
            <w:tcBorders>
              <w:top w:val="nil"/>
              <w:left w:val="nil"/>
              <w:bottom w:val="nil"/>
              <w:right w:val="nil"/>
            </w:tcBorders>
            <w:vAlign w:val="center"/>
          </w:tcPr>
          <w:p w14:paraId="06D0141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779E6D2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13CF162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604C37AE" w14:textId="77777777" w:rsidTr="00A538F6">
        <w:trPr>
          <w:trHeight w:val="256"/>
        </w:trPr>
        <w:tc>
          <w:tcPr>
            <w:tcW w:w="1276" w:type="dxa"/>
            <w:tcBorders>
              <w:top w:val="nil"/>
              <w:left w:val="nil"/>
              <w:bottom w:val="nil"/>
              <w:right w:val="nil"/>
            </w:tcBorders>
            <w:vAlign w:val="center"/>
          </w:tcPr>
          <w:p w14:paraId="7C5D08C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18266C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50EB32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Oman</w:t>
            </w:r>
          </w:p>
        </w:tc>
        <w:tc>
          <w:tcPr>
            <w:tcW w:w="1001" w:type="dxa"/>
            <w:tcBorders>
              <w:top w:val="nil"/>
              <w:left w:val="nil"/>
              <w:bottom w:val="nil"/>
              <w:right w:val="nil"/>
            </w:tcBorders>
            <w:vAlign w:val="center"/>
          </w:tcPr>
          <w:p w14:paraId="6FFBF3D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2FC5CDE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5277FD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4F82C639" w14:textId="77777777" w:rsidTr="00A538F6">
        <w:trPr>
          <w:trHeight w:val="256"/>
        </w:trPr>
        <w:tc>
          <w:tcPr>
            <w:tcW w:w="1276" w:type="dxa"/>
            <w:tcBorders>
              <w:top w:val="nil"/>
              <w:left w:val="nil"/>
              <w:bottom w:val="nil"/>
              <w:right w:val="nil"/>
            </w:tcBorders>
            <w:vAlign w:val="center"/>
          </w:tcPr>
          <w:p w14:paraId="6700F9E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B7F2D9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905CA0F"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Panama</w:t>
            </w:r>
          </w:p>
        </w:tc>
        <w:tc>
          <w:tcPr>
            <w:tcW w:w="1001" w:type="dxa"/>
            <w:tcBorders>
              <w:top w:val="nil"/>
              <w:left w:val="nil"/>
              <w:bottom w:val="nil"/>
              <w:right w:val="nil"/>
            </w:tcBorders>
            <w:vAlign w:val="center"/>
          </w:tcPr>
          <w:p w14:paraId="7E257C1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F1736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88488D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A9B7FFA" w14:textId="77777777" w:rsidTr="00A538F6">
        <w:trPr>
          <w:trHeight w:val="256"/>
        </w:trPr>
        <w:tc>
          <w:tcPr>
            <w:tcW w:w="1276" w:type="dxa"/>
            <w:tcBorders>
              <w:top w:val="nil"/>
              <w:left w:val="nil"/>
              <w:bottom w:val="nil"/>
              <w:right w:val="nil"/>
            </w:tcBorders>
            <w:vAlign w:val="center"/>
          </w:tcPr>
          <w:p w14:paraId="66FB46E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0DD0A9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AEB9BBE"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Paraguay</w:t>
            </w:r>
          </w:p>
        </w:tc>
        <w:tc>
          <w:tcPr>
            <w:tcW w:w="1001" w:type="dxa"/>
            <w:tcBorders>
              <w:top w:val="nil"/>
              <w:left w:val="nil"/>
              <w:bottom w:val="nil"/>
              <w:right w:val="nil"/>
            </w:tcBorders>
            <w:vAlign w:val="center"/>
          </w:tcPr>
          <w:p w14:paraId="4BC2A8E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5D6A0C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5E3AE1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A2F240F" w14:textId="77777777" w:rsidTr="00A538F6">
        <w:trPr>
          <w:trHeight w:val="256"/>
        </w:trPr>
        <w:tc>
          <w:tcPr>
            <w:tcW w:w="1276" w:type="dxa"/>
            <w:tcBorders>
              <w:top w:val="nil"/>
              <w:left w:val="nil"/>
              <w:bottom w:val="nil"/>
              <w:right w:val="nil"/>
            </w:tcBorders>
            <w:vAlign w:val="center"/>
          </w:tcPr>
          <w:p w14:paraId="1A8973D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62CAB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1AC7F55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Peru</w:t>
            </w:r>
          </w:p>
        </w:tc>
        <w:tc>
          <w:tcPr>
            <w:tcW w:w="1001" w:type="dxa"/>
            <w:tcBorders>
              <w:top w:val="nil"/>
              <w:left w:val="nil"/>
              <w:bottom w:val="nil"/>
              <w:right w:val="nil"/>
            </w:tcBorders>
            <w:vAlign w:val="center"/>
          </w:tcPr>
          <w:p w14:paraId="041C264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6F6696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636AA4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C8D8F16" w14:textId="77777777" w:rsidTr="00A538F6">
        <w:trPr>
          <w:trHeight w:val="256"/>
        </w:trPr>
        <w:tc>
          <w:tcPr>
            <w:tcW w:w="1276" w:type="dxa"/>
            <w:tcBorders>
              <w:top w:val="nil"/>
              <w:left w:val="nil"/>
              <w:bottom w:val="nil"/>
              <w:right w:val="nil"/>
            </w:tcBorders>
            <w:vAlign w:val="center"/>
          </w:tcPr>
          <w:p w14:paraId="6D872B3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7590C52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4DE9293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Poland</w:t>
            </w:r>
          </w:p>
        </w:tc>
        <w:tc>
          <w:tcPr>
            <w:tcW w:w="1001" w:type="dxa"/>
            <w:tcBorders>
              <w:top w:val="nil"/>
              <w:left w:val="nil"/>
              <w:bottom w:val="nil"/>
              <w:right w:val="nil"/>
            </w:tcBorders>
            <w:vAlign w:val="center"/>
          </w:tcPr>
          <w:p w14:paraId="04DDE83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502133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24BEF3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520B32F6" w14:textId="77777777" w:rsidTr="00A538F6">
        <w:trPr>
          <w:trHeight w:val="256"/>
        </w:trPr>
        <w:tc>
          <w:tcPr>
            <w:tcW w:w="1276" w:type="dxa"/>
            <w:tcBorders>
              <w:top w:val="nil"/>
              <w:left w:val="nil"/>
              <w:bottom w:val="nil"/>
              <w:right w:val="nil"/>
            </w:tcBorders>
            <w:vAlign w:val="center"/>
          </w:tcPr>
          <w:p w14:paraId="6DB72DC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76550D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74DB1EA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Portugal</w:t>
            </w:r>
          </w:p>
        </w:tc>
        <w:tc>
          <w:tcPr>
            <w:tcW w:w="1001" w:type="dxa"/>
            <w:tcBorders>
              <w:top w:val="nil"/>
              <w:left w:val="nil"/>
              <w:bottom w:val="nil"/>
              <w:right w:val="nil"/>
            </w:tcBorders>
            <w:vAlign w:val="center"/>
          </w:tcPr>
          <w:p w14:paraId="1533984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765AAD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257EC2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0D8F40E" w14:textId="77777777" w:rsidTr="00A538F6">
        <w:trPr>
          <w:trHeight w:val="256"/>
        </w:trPr>
        <w:tc>
          <w:tcPr>
            <w:tcW w:w="1276" w:type="dxa"/>
            <w:tcBorders>
              <w:top w:val="nil"/>
              <w:left w:val="nil"/>
              <w:bottom w:val="nil"/>
              <w:right w:val="nil"/>
            </w:tcBorders>
            <w:vAlign w:val="center"/>
          </w:tcPr>
          <w:p w14:paraId="12AEFA4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5DC5749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7B1711D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Republic of Korea</w:t>
            </w:r>
          </w:p>
        </w:tc>
        <w:tc>
          <w:tcPr>
            <w:tcW w:w="1001" w:type="dxa"/>
            <w:tcBorders>
              <w:top w:val="nil"/>
              <w:left w:val="nil"/>
              <w:bottom w:val="nil"/>
              <w:right w:val="nil"/>
            </w:tcBorders>
            <w:vAlign w:val="center"/>
          </w:tcPr>
          <w:p w14:paraId="3F14FD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1.50</w:t>
            </w:r>
          </w:p>
        </w:tc>
        <w:tc>
          <w:tcPr>
            <w:tcW w:w="1392" w:type="dxa"/>
            <w:tcBorders>
              <w:top w:val="nil"/>
              <w:left w:val="nil"/>
              <w:bottom w:val="nil"/>
              <w:right w:val="nil"/>
            </w:tcBorders>
            <w:vAlign w:val="center"/>
          </w:tcPr>
          <w:p w14:paraId="235052A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362" w:type="dxa"/>
            <w:tcBorders>
              <w:top w:val="nil"/>
              <w:left w:val="nil"/>
              <w:bottom w:val="nil"/>
              <w:right w:val="nil"/>
            </w:tcBorders>
            <w:vAlign w:val="center"/>
          </w:tcPr>
          <w:p w14:paraId="5B7FCC9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r>
      <w:tr w:rsidR="00B65EDC" w:rsidRPr="00912A85" w14:paraId="03811E33" w14:textId="77777777" w:rsidTr="00A538F6">
        <w:trPr>
          <w:trHeight w:val="256"/>
        </w:trPr>
        <w:tc>
          <w:tcPr>
            <w:tcW w:w="1276" w:type="dxa"/>
            <w:tcBorders>
              <w:top w:val="nil"/>
              <w:left w:val="nil"/>
              <w:bottom w:val="nil"/>
              <w:right w:val="nil"/>
            </w:tcBorders>
            <w:vAlign w:val="center"/>
          </w:tcPr>
          <w:p w14:paraId="2E179B3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AA9AC6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A4799B9"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Republic of Moldova</w:t>
            </w:r>
          </w:p>
        </w:tc>
        <w:tc>
          <w:tcPr>
            <w:tcW w:w="1001" w:type="dxa"/>
            <w:tcBorders>
              <w:top w:val="nil"/>
              <w:left w:val="nil"/>
              <w:bottom w:val="nil"/>
              <w:right w:val="nil"/>
            </w:tcBorders>
            <w:vAlign w:val="center"/>
          </w:tcPr>
          <w:p w14:paraId="67E131C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53FD53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CE3A01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4334E8E" w14:textId="77777777" w:rsidTr="00A538F6">
        <w:trPr>
          <w:trHeight w:val="256"/>
        </w:trPr>
        <w:tc>
          <w:tcPr>
            <w:tcW w:w="1276" w:type="dxa"/>
            <w:tcBorders>
              <w:top w:val="nil"/>
              <w:left w:val="nil"/>
              <w:bottom w:val="nil"/>
              <w:right w:val="nil"/>
            </w:tcBorders>
            <w:vAlign w:val="center"/>
          </w:tcPr>
          <w:p w14:paraId="0B70327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A4CD1F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01F458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Romania</w:t>
            </w:r>
          </w:p>
        </w:tc>
        <w:tc>
          <w:tcPr>
            <w:tcW w:w="1001" w:type="dxa"/>
            <w:tcBorders>
              <w:top w:val="nil"/>
              <w:left w:val="nil"/>
              <w:bottom w:val="nil"/>
              <w:right w:val="nil"/>
            </w:tcBorders>
            <w:vAlign w:val="center"/>
          </w:tcPr>
          <w:p w14:paraId="6AB9FA6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BC7C5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39F7D85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5F440A2A" w14:textId="77777777" w:rsidTr="00A538F6">
        <w:trPr>
          <w:trHeight w:val="256"/>
        </w:trPr>
        <w:tc>
          <w:tcPr>
            <w:tcW w:w="1276" w:type="dxa"/>
            <w:tcBorders>
              <w:top w:val="nil"/>
              <w:left w:val="nil"/>
              <w:bottom w:val="nil"/>
              <w:right w:val="nil"/>
            </w:tcBorders>
            <w:vAlign w:val="center"/>
          </w:tcPr>
          <w:p w14:paraId="6F598C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59695E5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3A54F1C5"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 xml:space="preserve">Russian Federation </w:t>
            </w:r>
          </w:p>
        </w:tc>
        <w:tc>
          <w:tcPr>
            <w:tcW w:w="1001" w:type="dxa"/>
            <w:tcBorders>
              <w:top w:val="nil"/>
              <w:left w:val="nil"/>
              <w:bottom w:val="nil"/>
              <w:right w:val="nil"/>
            </w:tcBorders>
            <w:vAlign w:val="center"/>
          </w:tcPr>
          <w:p w14:paraId="67CBD4F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11B56BE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77FA7AC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43BAE6BA" w14:textId="77777777" w:rsidTr="00A538F6">
        <w:trPr>
          <w:trHeight w:val="256"/>
        </w:trPr>
        <w:tc>
          <w:tcPr>
            <w:tcW w:w="1276" w:type="dxa"/>
            <w:tcBorders>
              <w:top w:val="nil"/>
              <w:left w:val="nil"/>
              <w:bottom w:val="nil"/>
              <w:right w:val="nil"/>
            </w:tcBorders>
            <w:vAlign w:val="center"/>
          </w:tcPr>
          <w:p w14:paraId="5046D52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86D437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2C117F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Saint Vincent and the Grenadines</w:t>
            </w:r>
          </w:p>
        </w:tc>
        <w:tc>
          <w:tcPr>
            <w:tcW w:w="1001" w:type="dxa"/>
            <w:tcBorders>
              <w:top w:val="nil"/>
              <w:left w:val="nil"/>
              <w:bottom w:val="nil"/>
              <w:right w:val="nil"/>
            </w:tcBorders>
            <w:vAlign w:val="center"/>
          </w:tcPr>
          <w:p w14:paraId="64C08D3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9F6127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002FC59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CE0F515" w14:textId="77777777" w:rsidTr="00A538F6">
        <w:trPr>
          <w:trHeight w:val="256"/>
        </w:trPr>
        <w:tc>
          <w:tcPr>
            <w:tcW w:w="1276" w:type="dxa"/>
            <w:tcBorders>
              <w:top w:val="nil"/>
              <w:left w:val="nil"/>
              <w:bottom w:val="nil"/>
              <w:right w:val="nil"/>
            </w:tcBorders>
            <w:vAlign w:val="center"/>
          </w:tcPr>
          <w:p w14:paraId="7432370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574E38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3049748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Serbia</w:t>
            </w:r>
          </w:p>
        </w:tc>
        <w:tc>
          <w:tcPr>
            <w:tcW w:w="1001" w:type="dxa"/>
            <w:tcBorders>
              <w:top w:val="nil"/>
              <w:left w:val="nil"/>
              <w:bottom w:val="nil"/>
              <w:right w:val="nil"/>
            </w:tcBorders>
            <w:vAlign w:val="center"/>
          </w:tcPr>
          <w:p w14:paraId="0D0757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DA62D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B29C7C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7DA9619" w14:textId="77777777" w:rsidTr="00A538F6">
        <w:trPr>
          <w:trHeight w:val="256"/>
        </w:trPr>
        <w:tc>
          <w:tcPr>
            <w:tcW w:w="1276" w:type="dxa"/>
            <w:tcBorders>
              <w:top w:val="nil"/>
              <w:left w:val="nil"/>
              <w:bottom w:val="nil"/>
              <w:right w:val="nil"/>
            </w:tcBorders>
            <w:vAlign w:val="center"/>
          </w:tcPr>
          <w:p w14:paraId="4D26E26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67C9212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A08A4F0"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Singapore</w:t>
            </w:r>
          </w:p>
        </w:tc>
        <w:tc>
          <w:tcPr>
            <w:tcW w:w="1001" w:type="dxa"/>
            <w:tcBorders>
              <w:top w:val="nil"/>
              <w:left w:val="nil"/>
              <w:bottom w:val="nil"/>
              <w:right w:val="nil"/>
            </w:tcBorders>
            <w:vAlign w:val="center"/>
          </w:tcPr>
          <w:p w14:paraId="28AC5CA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776A9DB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030B69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F4585D5" w14:textId="77777777" w:rsidTr="00A538F6">
        <w:trPr>
          <w:trHeight w:val="256"/>
        </w:trPr>
        <w:tc>
          <w:tcPr>
            <w:tcW w:w="1276" w:type="dxa"/>
            <w:tcBorders>
              <w:top w:val="nil"/>
              <w:left w:val="nil"/>
              <w:bottom w:val="nil"/>
              <w:right w:val="nil"/>
            </w:tcBorders>
            <w:vAlign w:val="center"/>
          </w:tcPr>
          <w:p w14:paraId="17BD40F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5271C4D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7199D4D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Slovakia</w:t>
            </w:r>
          </w:p>
        </w:tc>
        <w:tc>
          <w:tcPr>
            <w:tcW w:w="1001" w:type="dxa"/>
            <w:tcBorders>
              <w:top w:val="nil"/>
              <w:left w:val="nil"/>
              <w:bottom w:val="nil"/>
              <w:right w:val="nil"/>
            </w:tcBorders>
            <w:vAlign w:val="center"/>
          </w:tcPr>
          <w:p w14:paraId="3586CFF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0FE4EF7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5CC2FBD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2F1511D6" w14:textId="77777777" w:rsidTr="00A538F6">
        <w:trPr>
          <w:trHeight w:val="256"/>
        </w:trPr>
        <w:tc>
          <w:tcPr>
            <w:tcW w:w="1276" w:type="dxa"/>
            <w:tcBorders>
              <w:top w:val="nil"/>
              <w:left w:val="nil"/>
              <w:bottom w:val="nil"/>
              <w:right w:val="nil"/>
            </w:tcBorders>
            <w:vAlign w:val="center"/>
          </w:tcPr>
          <w:p w14:paraId="692C24D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D8DBAC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143FF86"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Slovenia</w:t>
            </w:r>
          </w:p>
        </w:tc>
        <w:tc>
          <w:tcPr>
            <w:tcW w:w="1001" w:type="dxa"/>
            <w:tcBorders>
              <w:top w:val="nil"/>
              <w:left w:val="nil"/>
              <w:bottom w:val="nil"/>
              <w:right w:val="nil"/>
            </w:tcBorders>
            <w:vAlign w:val="center"/>
          </w:tcPr>
          <w:p w14:paraId="48AE823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69C7075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13729D9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D6E2C02" w14:textId="77777777" w:rsidTr="00A538F6">
        <w:trPr>
          <w:trHeight w:val="256"/>
        </w:trPr>
        <w:tc>
          <w:tcPr>
            <w:tcW w:w="1276" w:type="dxa"/>
            <w:tcBorders>
              <w:top w:val="nil"/>
              <w:left w:val="nil"/>
              <w:bottom w:val="nil"/>
              <w:right w:val="nil"/>
            </w:tcBorders>
            <w:vAlign w:val="center"/>
          </w:tcPr>
          <w:p w14:paraId="565A000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276" w:type="dxa"/>
            <w:tcBorders>
              <w:top w:val="nil"/>
              <w:left w:val="nil"/>
              <w:bottom w:val="nil"/>
              <w:right w:val="nil"/>
            </w:tcBorders>
            <w:vAlign w:val="center"/>
          </w:tcPr>
          <w:p w14:paraId="55BF083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3474" w:type="dxa"/>
            <w:tcBorders>
              <w:top w:val="nil"/>
              <w:left w:val="nil"/>
              <w:bottom w:val="nil"/>
              <w:right w:val="nil"/>
            </w:tcBorders>
            <w:vAlign w:val="center"/>
            <w:hideMark/>
          </w:tcPr>
          <w:p w14:paraId="1CAB2EB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South Africa</w:t>
            </w:r>
          </w:p>
        </w:tc>
        <w:tc>
          <w:tcPr>
            <w:tcW w:w="1001" w:type="dxa"/>
            <w:tcBorders>
              <w:top w:val="nil"/>
              <w:left w:val="nil"/>
              <w:bottom w:val="nil"/>
              <w:right w:val="nil"/>
            </w:tcBorders>
            <w:vAlign w:val="center"/>
          </w:tcPr>
          <w:p w14:paraId="6E2C5C0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36D2625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401269B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5F62610E" w14:textId="77777777" w:rsidTr="00A538F6">
        <w:trPr>
          <w:trHeight w:val="256"/>
        </w:trPr>
        <w:tc>
          <w:tcPr>
            <w:tcW w:w="1276" w:type="dxa"/>
            <w:tcBorders>
              <w:top w:val="nil"/>
              <w:left w:val="nil"/>
              <w:bottom w:val="nil"/>
              <w:right w:val="nil"/>
            </w:tcBorders>
            <w:vAlign w:val="center"/>
          </w:tcPr>
          <w:p w14:paraId="269B07B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2484D4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16DEA8DE"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Spain</w:t>
            </w:r>
          </w:p>
        </w:tc>
        <w:tc>
          <w:tcPr>
            <w:tcW w:w="1001" w:type="dxa"/>
            <w:tcBorders>
              <w:top w:val="nil"/>
              <w:left w:val="nil"/>
              <w:bottom w:val="nil"/>
              <w:right w:val="nil"/>
            </w:tcBorders>
            <w:vAlign w:val="center"/>
          </w:tcPr>
          <w:p w14:paraId="770107D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7D96AFF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18E9E0D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3B401A51" w14:textId="77777777" w:rsidTr="00A538F6">
        <w:trPr>
          <w:trHeight w:val="256"/>
        </w:trPr>
        <w:tc>
          <w:tcPr>
            <w:tcW w:w="1276" w:type="dxa"/>
            <w:tcBorders>
              <w:top w:val="nil"/>
              <w:left w:val="nil"/>
              <w:bottom w:val="nil"/>
              <w:right w:val="nil"/>
            </w:tcBorders>
            <w:vAlign w:val="center"/>
          </w:tcPr>
          <w:p w14:paraId="5C32399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0DD8381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3AEC82D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Sweden</w:t>
            </w:r>
            <w:r w:rsidRPr="00912A85">
              <w:rPr>
                <w:rFonts w:ascii="Arial Narrow" w:hAnsi="Arial Narrow" w:cs="Arial"/>
                <w:color w:val="000000"/>
                <w:sz w:val="18"/>
                <w:szCs w:val="18"/>
                <w:vertAlign w:val="superscript"/>
              </w:rPr>
              <w:t>3</w:t>
            </w:r>
          </w:p>
        </w:tc>
        <w:tc>
          <w:tcPr>
            <w:tcW w:w="1001" w:type="dxa"/>
            <w:tcBorders>
              <w:top w:val="nil"/>
              <w:left w:val="nil"/>
              <w:bottom w:val="nil"/>
              <w:right w:val="nil"/>
            </w:tcBorders>
            <w:vAlign w:val="center"/>
          </w:tcPr>
          <w:p w14:paraId="1E64BD6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1.00</w:t>
            </w:r>
          </w:p>
        </w:tc>
        <w:tc>
          <w:tcPr>
            <w:tcW w:w="1392" w:type="dxa"/>
            <w:tcBorders>
              <w:top w:val="nil"/>
              <w:left w:val="nil"/>
              <w:bottom w:val="nil"/>
              <w:right w:val="nil"/>
            </w:tcBorders>
            <w:vAlign w:val="center"/>
          </w:tcPr>
          <w:p w14:paraId="19C250C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c>
          <w:tcPr>
            <w:tcW w:w="1362" w:type="dxa"/>
            <w:tcBorders>
              <w:top w:val="nil"/>
              <w:left w:val="nil"/>
              <w:bottom w:val="nil"/>
              <w:right w:val="nil"/>
            </w:tcBorders>
            <w:vAlign w:val="center"/>
          </w:tcPr>
          <w:p w14:paraId="4EA2165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53,641</w:t>
            </w:r>
          </w:p>
        </w:tc>
      </w:tr>
      <w:tr w:rsidR="00B65EDC" w:rsidRPr="00912A85" w14:paraId="733C6A56" w14:textId="77777777" w:rsidTr="00A538F6">
        <w:trPr>
          <w:trHeight w:val="256"/>
        </w:trPr>
        <w:tc>
          <w:tcPr>
            <w:tcW w:w="1276" w:type="dxa"/>
            <w:tcBorders>
              <w:top w:val="nil"/>
              <w:left w:val="nil"/>
              <w:bottom w:val="nil"/>
              <w:right w:val="nil"/>
            </w:tcBorders>
            <w:vAlign w:val="center"/>
          </w:tcPr>
          <w:p w14:paraId="253E61E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276" w:type="dxa"/>
            <w:tcBorders>
              <w:top w:val="nil"/>
              <w:left w:val="nil"/>
              <w:bottom w:val="nil"/>
              <w:right w:val="nil"/>
            </w:tcBorders>
            <w:vAlign w:val="center"/>
          </w:tcPr>
          <w:p w14:paraId="653FAC6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3474" w:type="dxa"/>
            <w:tcBorders>
              <w:top w:val="nil"/>
              <w:left w:val="nil"/>
              <w:bottom w:val="nil"/>
              <w:right w:val="nil"/>
            </w:tcBorders>
            <w:vAlign w:val="center"/>
            <w:hideMark/>
          </w:tcPr>
          <w:p w14:paraId="56C57CB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Switzerland</w:t>
            </w:r>
          </w:p>
        </w:tc>
        <w:tc>
          <w:tcPr>
            <w:tcW w:w="1001" w:type="dxa"/>
            <w:tcBorders>
              <w:top w:val="nil"/>
              <w:left w:val="nil"/>
              <w:bottom w:val="nil"/>
              <w:right w:val="nil"/>
            </w:tcBorders>
            <w:vAlign w:val="center"/>
          </w:tcPr>
          <w:p w14:paraId="714EC3D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1.50</w:t>
            </w:r>
          </w:p>
        </w:tc>
        <w:tc>
          <w:tcPr>
            <w:tcW w:w="1392" w:type="dxa"/>
            <w:tcBorders>
              <w:top w:val="nil"/>
              <w:left w:val="nil"/>
              <w:bottom w:val="nil"/>
              <w:right w:val="nil"/>
            </w:tcBorders>
            <w:vAlign w:val="center"/>
          </w:tcPr>
          <w:p w14:paraId="75BBC1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c>
          <w:tcPr>
            <w:tcW w:w="1362" w:type="dxa"/>
            <w:tcBorders>
              <w:top w:val="nil"/>
              <w:left w:val="nil"/>
              <w:bottom w:val="nil"/>
              <w:right w:val="nil"/>
            </w:tcBorders>
            <w:vAlign w:val="center"/>
          </w:tcPr>
          <w:p w14:paraId="3EFC61B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80,462</w:t>
            </w:r>
          </w:p>
        </w:tc>
      </w:tr>
      <w:tr w:rsidR="00B65EDC" w:rsidRPr="00912A85" w14:paraId="16D05B12" w14:textId="77777777" w:rsidTr="00A538F6">
        <w:trPr>
          <w:trHeight w:val="256"/>
        </w:trPr>
        <w:tc>
          <w:tcPr>
            <w:tcW w:w="1276" w:type="dxa"/>
            <w:tcBorders>
              <w:top w:val="nil"/>
              <w:left w:val="nil"/>
              <w:bottom w:val="nil"/>
              <w:right w:val="nil"/>
            </w:tcBorders>
            <w:vAlign w:val="center"/>
          </w:tcPr>
          <w:p w14:paraId="6FC8576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73CF104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69B003E6"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Trinidad and Tobago</w:t>
            </w:r>
          </w:p>
        </w:tc>
        <w:tc>
          <w:tcPr>
            <w:tcW w:w="1001" w:type="dxa"/>
            <w:tcBorders>
              <w:top w:val="nil"/>
              <w:left w:val="nil"/>
              <w:bottom w:val="nil"/>
              <w:right w:val="nil"/>
            </w:tcBorders>
            <w:vAlign w:val="center"/>
          </w:tcPr>
          <w:p w14:paraId="209290DB"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1CBF68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8BD72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10FBA95" w14:textId="77777777" w:rsidTr="00A538F6">
        <w:trPr>
          <w:trHeight w:val="256"/>
        </w:trPr>
        <w:tc>
          <w:tcPr>
            <w:tcW w:w="1276" w:type="dxa"/>
            <w:tcBorders>
              <w:top w:val="nil"/>
              <w:left w:val="nil"/>
              <w:bottom w:val="nil"/>
              <w:right w:val="nil"/>
            </w:tcBorders>
            <w:vAlign w:val="center"/>
          </w:tcPr>
          <w:p w14:paraId="5242776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AEBE7F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72F9D84"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Tunisia</w:t>
            </w:r>
          </w:p>
        </w:tc>
        <w:tc>
          <w:tcPr>
            <w:tcW w:w="1001" w:type="dxa"/>
            <w:tcBorders>
              <w:top w:val="nil"/>
              <w:left w:val="nil"/>
              <w:bottom w:val="nil"/>
              <w:right w:val="nil"/>
            </w:tcBorders>
            <w:vAlign w:val="center"/>
          </w:tcPr>
          <w:p w14:paraId="68BAAB2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5C455EC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C5196B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4941963A" w14:textId="77777777" w:rsidTr="00A538F6">
        <w:trPr>
          <w:trHeight w:val="256"/>
        </w:trPr>
        <w:tc>
          <w:tcPr>
            <w:tcW w:w="1276" w:type="dxa"/>
            <w:tcBorders>
              <w:top w:val="nil"/>
              <w:left w:val="nil"/>
              <w:bottom w:val="nil"/>
              <w:right w:val="nil"/>
            </w:tcBorders>
            <w:vAlign w:val="center"/>
          </w:tcPr>
          <w:p w14:paraId="2375A05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276" w:type="dxa"/>
            <w:tcBorders>
              <w:top w:val="nil"/>
              <w:left w:val="nil"/>
              <w:bottom w:val="nil"/>
              <w:right w:val="nil"/>
            </w:tcBorders>
            <w:vAlign w:val="center"/>
          </w:tcPr>
          <w:p w14:paraId="7295555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3474" w:type="dxa"/>
            <w:tcBorders>
              <w:top w:val="nil"/>
              <w:left w:val="nil"/>
              <w:bottom w:val="nil"/>
              <w:right w:val="nil"/>
            </w:tcBorders>
            <w:vAlign w:val="center"/>
            <w:hideMark/>
          </w:tcPr>
          <w:p w14:paraId="65F7D0BB"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Türkiye</w:t>
            </w:r>
          </w:p>
        </w:tc>
        <w:tc>
          <w:tcPr>
            <w:tcW w:w="1001" w:type="dxa"/>
            <w:tcBorders>
              <w:top w:val="nil"/>
              <w:left w:val="nil"/>
              <w:bottom w:val="nil"/>
              <w:right w:val="nil"/>
            </w:tcBorders>
            <w:vAlign w:val="center"/>
          </w:tcPr>
          <w:p w14:paraId="6F0F85F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0.50</w:t>
            </w:r>
          </w:p>
        </w:tc>
        <w:tc>
          <w:tcPr>
            <w:tcW w:w="1392" w:type="dxa"/>
            <w:tcBorders>
              <w:top w:val="nil"/>
              <w:left w:val="nil"/>
              <w:bottom w:val="nil"/>
              <w:right w:val="nil"/>
            </w:tcBorders>
            <w:vAlign w:val="center"/>
          </w:tcPr>
          <w:p w14:paraId="4192AA5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c>
          <w:tcPr>
            <w:tcW w:w="1362" w:type="dxa"/>
            <w:tcBorders>
              <w:top w:val="nil"/>
              <w:left w:val="nil"/>
              <w:bottom w:val="nil"/>
              <w:right w:val="nil"/>
            </w:tcBorders>
            <w:vAlign w:val="center"/>
          </w:tcPr>
          <w:p w14:paraId="329CED1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w:t>
            </w:r>
          </w:p>
        </w:tc>
      </w:tr>
      <w:tr w:rsidR="00B65EDC" w:rsidRPr="00912A85" w14:paraId="31893578" w14:textId="77777777" w:rsidTr="00A538F6">
        <w:trPr>
          <w:trHeight w:val="256"/>
        </w:trPr>
        <w:tc>
          <w:tcPr>
            <w:tcW w:w="1276" w:type="dxa"/>
            <w:tcBorders>
              <w:top w:val="nil"/>
              <w:left w:val="nil"/>
              <w:bottom w:val="nil"/>
              <w:right w:val="nil"/>
            </w:tcBorders>
            <w:vAlign w:val="center"/>
          </w:tcPr>
          <w:p w14:paraId="742D125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0025D40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643AF0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Ukraine</w:t>
            </w:r>
          </w:p>
        </w:tc>
        <w:tc>
          <w:tcPr>
            <w:tcW w:w="1001" w:type="dxa"/>
            <w:tcBorders>
              <w:top w:val="nil"/>
              <w:left w:val="nil"/>
              <w:bottom w:val="nil"/>
              <w:right w:val="nil"/>
            </w:tcBorders>
            <w:vAlign w:val="center"/>
          </w:tcPr>
          <w:p w14:paraId="2D9EE9B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47862C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5973261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152F78E4" w14:textId="77777777" w:rsidTr="00A538F6">
        <w:trPr>
          <w:trHeight w:val="256"/>
        </w:trPr>
        <w:tc>
          <w:tcPr>
            <w:tcW w:w="1276" w:type="dxa"/>
            <w:tcBorders>
              <w:top w:val="nil"/>
              <w:left w:val="nil"/>
              <w:bottom w:val="nil"/>
              <w:right w:val="nil"/>
            </w:tcBorders>
            <w:vAlign w:val="center"/>
          </w:tcPr>
          <w:p w14:paraId="77D512C2"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276" w:type="dxa"/>
            <w:tcBorders>
              <w:top w:val="nil"/>
              <w:left w:val="nil"/>
              <w:bottom w:val="nil"/>
              <w:right w:val="nil"/>
            </w:tcBorders>
            <w:vAlign w:val="center"/>
          </w:tcPr>
          <w:p w14:paraId="443D985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3474" w:type="dxa"/>
            <w:tcBorders>
              <w:top w:val="nil"/>
              <w:left w:val="nil"/>
              <w:bottom w:val="nil"/>
              <w:right w:val="nil"/>
            </w:tcBorders>
            <w:vAlign w:val="center"/>
            <w:hideMark/>
          </w:tcPr>
          <w:p w14:paraId="0A09D876"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United Kingdom</w:t>
            </w:r>
          </w:p>
        </w:tc>
        <w:tc>
          <w:tcPr>
            <w:tcW w:w="1001" w:type="dxa"/>
            <w:tcBorders>
              <w:top w:val="nil"/>
              <w:left w:val="nil"/>
              <w:bottom w:val="nil"/>
              <w:right w:val="nil"/>
            </w:tcBorders>
            <w:vAlign w:val="center"/>
          </w:tcPr>
          <w:p w14:paraId="36C1E9B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2.00</w:t>
            </w:r>
          </w:p>
        </w:tc>
        <w:tc>
          <w:tcPr>
            <w:tcW w:w="1392" w:type="dxa"/>
            <w:tcBorders>
              <w:top w:val="nil"/>
              <w:left w:val="nil"/>
              <w:bottom w:val="nil"/>
              <w:right w:val="nil"/>
            </w:tcBorders>
            <w:vAlign w:val="center"/>
          </w:tcPr>
          <w:p w14:paraId="482F79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c>
          <w:tcPr>
            <w:tcW w:w="1362" w:type="dxa"/>
            <w:tcBorders>
              <w:top w:val="nil"/>
              <w:left w:val="nil"/>
              <w:bottom w:val="nil"/>
              <w:right w:val="nil"/>
            </w:tcBorders>
            <w:vAlign w:val="center"/>
          </w:tcPr>
          <w:p w14:paraId="6046BF8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107,282</w:t>
            </w:r>
          </w:p>
        </w:tc>
      </w:tr>
      <w:tr w:rsidR="00B65EDC" w:rsidRPr="00912A85" w14:paraId="44C5A731" w14:textId="77777777" w:rsidTr="00A538F6">
        <w:trPr>
          <w:trHeight w:val="256"/>
        </w:trPr>
        <w:tc>
          <w:tcPr>
            <w:tcW w:w="1276" w:type="dxa"/>
            <w:tcBorders>
              <w:top w:val="nil"/>
              <w:left w:val="nil"/>
              <w:bottom w:val="nil"/>
              <w:right w:val="nil"/>
            </w:tcBorders>
            <w:vAlign w:val="center"/>
          </w:tcPr>
          <w:p w14:paraId="593D6F2F"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24DF4C4C"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257EBA81"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United Republic of Tanzania</w:t>
            </w:r>
          </w:p>
        </w:tc>
        <w:tc>
          <w:tcPr>
            <w:tcW w:w="1001" w:type="dxa"/>
            <w:tcBorders>
              <w:top w:val="nil"/>
              <w:left w:val="nil"/>
              <w:bottom w:val="nil"/>
              <w:right w:val="nil"/>
            </w:tcBorders>
            <w:vAlign w:val="center"/>
          </w:tcPr>
          <w:p w14:paraId="09C5B7D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012B5A5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7734EF1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32F2A8F" w14:textId="77777777" w:rsidTr="00A538F6">
        <w:trPr>
          <w:trHeight w:val="256"/>
        </w:trPr>
        <w:tc>
          <w:tcPr>
            <w:tcW w:w="1276" w:type="dxa"/>
            <w:tcBorders>
              <w:top w:val="nil"/>
              <w:left w:val="nil"/>
              <w:bottom w:val="nil"/>
              <w:right w:val="nil"/>
            </w:tcBorders>
            <w:vAlign w:val="center"/>
          </w:tcPr>
          <w:p w14:paraId="6DABD3A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276" w:type="dxa"/>
            <w:tcBorders>
              <w:top w:val="nil"/>
              <w:left w:val="nil"/>
              <w:bottom w:val="nil"/>
              <w:right w:val="nil"/>
            </w:tcBorders>
            <w:vAlign w:val="center"/>
          </w:tcPr>
          <w:p w14:paraId="73E360C4"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3474" w:type="dxa"/>
            <w:tcBorders>
              <w:top w:val="nil"/>
              <w:left w:val="nil"/>
              <w:bottom w:val="nil"/>
              <w:right w:val="nil"/>
            </w:tcBorders>
            <w:vAlign w:val="center"/>
            <w:hideMark/>
          </w:tcPr>
          <w:p w14:paraId="75043AE8"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United States of America</w:t>
            </w:r>
          </w:p>
        </w:tc>
        <w:tc>
          <w:tcPr>
            <w:tcW w:w="1001" w:type="dxa"/>
            <w:tcBorders>
              <w:top w:val="nil"/>
              <w:left w:val="nil"/>
              <w:bottom w:val="nil"/>
              <w:right w:val="nil"/>
            </w:tcBorders>
            <w:vAlign w:val="center"/>
          </w:tcPr>
          <w:p w14:paraId="3E54D24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5.00</w:t>
            </w:r>
          </w:p>
        </w:tc>
        <w:tc>
          <w:tcPr>
            <w:tcW w:w="1392" w:type="dxa"/>
            <w:tcBorders>
              <w:top w:val="nil"/>
              <w:left w:val="nil"/>
              <w:bottom w:val="nil"/>
              <w:right w:val="nil"/>
            </w:tcBorders>
            <w:vAlign w:val="center"/>
          </w:tcPr>
          <w:p w14:paraId="57142C0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c>
          <w:tcPr>
            <w:tcW w:w="1362" w:type="dxa"/>
            <w:tcBorders>
              <w:top w:val="nil"/>
              <w:left w:val="nil"/>
              <w:bottom w:val="nil"/>
              <w:right w:val="nil"/>
            </w:tcBorders>
            <w:vAlign w:val="center"/>
          </w:tcPr>
          <w:p w14:paraId="3BEA363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268,205</w:t>
            </w:r>
          </w:p>
        </w:tc>
      </w:tr>
      <w:tr w:rsidR="00B65EDC" w:rsidRPr="00912A85" w14:paraId="03474BD5" w14:textId="77777777" w:rsidTr="00A538F6">
        <w:trPr>
          <w:trHeight w:val="256"/>
        </w:trPr>
        <w:tc>
          <w:tcPr>
            <w:tcW w:w="1276" w:type="dxa"/>
            <w:tcBorders>
              <w:top w:val="nil"/>
              <w:left w:val="nil"/>
              <w:bottom w:val="nil"/>
              <w:right w:val="nil"/>
            </w:tcBorders>
            <w:vAlign w:val="center"/>
          </w:tcPr>
          <w:p w14:paraId="63808178"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53F3CA6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hideMark/>
          </w:tcPr>
          <w:p w14:paraId="4AA8F49D"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Uruguay</w:t>
            </w:r>
          </w:p>
        </w:tc>
        <w:tc>
          <w:tcPr>
            <w:tcW w:w="1001" w:type="dxa"/>
            <w:tcBorders>
              <w:top w:val="nil"/>
              <w:left w:val="nil"/>
              <w:bottom w:val="nil"/>
              <w:right w:val="nil"/>
            </w:tcBorders>
            <w:vAlign w:val="center"/>
          </w:tcPr>
          <w:p w14:paraId="4EBCF60A"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4237B0A7"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D80DA6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302599D4" w14:textId="77777777" w:rsidTr="00A538F6">
        <w:trPr>
          <w:trHeight w:val="256"/>
        </w:trPr>
        <w:tc>
          <w:tcPr>
            <w:tcW w:w="1276" w:type="dxa"/>
            <w:tcBorders>
              <w:top w:val="nil"/>
              <w:left w:val="nil"/>
              <w:bottom w:val="nil"/>
              <w:right w:val="nil"/>
            </w:tcBorders>
            <w:vAlign w:val="center"/>
          </w:tcPr>
          <w:p w14:paraId="6134D6A9"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nil"/>
              <w:right w:val="nil"/>
            </w:tcBorders>
            <w:vAlign w:val="center"/>
          </w:tcPr>
          <w:p w14:paraId="431BF8A6"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nil"/>
              <w:right w:val="nil"/>
            </w:tcBorders>
            <w:vAlign w:val="center"/>
          </w:tcPr>
          <w:p w14:paraId="231ECE53"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Uzbekistan</w:t>
            </w:r>
          </w:p>
        </w:tc>
        <w:tc>
          <w:tcPr>
            <w:tcW w:w="1001" w:type="dxa"/>
            <w:tcBorders>
              <w:top w:val="nil"/>
              <w:left w:val="nil"/>
              <w:bottom w:val="nil"/>
              <w:right w:val="nil"/>
            </w:tcBorders>
            <w:vAlign w:val="center"/>
          </w:tcPr>
          <w:p w14:paraId="6FDE0DB5"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nil"/>
              <w:right w:val="nil"/>
            </w:tcBorders>
            <w:vAlign w:val="center"/>
          </w:tcPr>
          <w:p w14:paraId="34C0C48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nil"/>
              <w:right w:val="nil"/>
            </w:tcBorders>
            <w:vAlign w:val="center"/>
          </w:tcPr>
          <w:p w14:paraId="623F442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7BB57A1C" w14:textId="77777777" w:rsidTr="00A538F6">
        <w:trPr>
          <w:trHeight w:val="256"/>
        </w:trPr>
        <w:tc>
          <w:tcPr>
            <w:tcW w:w="1276" w:type="dxa"/>
            <w:tcBorders>
              <w:top w:val="nil"/>
              <w:left w:val="nil"/>
              <w:bottom w:val="single" w:sz="8" w:space="0" w:color="BFBFBF"/>
              <w:right w:val="nil"/>
            </w:tcBorders>
            <w:vAlign w:val="center"/>
          </w:tcPr>
          <w:p w14:paraId="2D8B2CD0"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276" w:type="dxa"/>
            <w:tcBorders>
              <w:top w:val="nil"/>
              <w:left w:val="nil"/>
              <w:bottom w:val="single" w:sz="8" w:space="0" w:color="BFBFBF"/>
              <w:right w:val="nil"/>
            </w:tcBorders>
            <w:vAlign w:val="center"/>
          </w:tcPr>
          <w:p w14:paraId="4F42F663"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3474" w:type="dxa"/>
            <w:tcBorders>
              <w:top w:val="nil"/>
              <w:left w:val="nil"/>
              <w:bottom w:val="single" w:sz="8" w:space="0" w:color="BFBFBF"/>
              <w:right w:val="nil"/>
            </w:tcBorders>
            <w:vAlign w:val="center"/>
          </w:tcPr>
          <w:p w14:paraId="56F3111A" w14:textId="77777777" w:rsidR="00B65EDC" w:rsidRPr="00912A85" w:rsidRDefault="00B65EDC">
            <w:pPr>
              <w:jc w:val="left"/>
              <w:rPr>
                <w:rFonts w:ascii="Arial Narrow" w:hAnsi="Arial Narrow" w:cs="Arial"/>
                <w:color w:val="000000"/>
                <w:sz w:val="18"/>
                <w:szCs w:val="18"/>
              </w:rPr>
            </w:pPr>
            <w:r w:rsidRPr="00912A85">
              <w:rPr>
                <w:rFonts w:ascii="Arial Narrow" w:hAnsi="Arial Narrow" w:cs="Arial"/>
                <w:color w:val="000000"/>
                <w:sz w:val="18"/>
                <w:szCs w:val="18"/>
              </w:rPr>
              <w:t>Viet Nam</w:t>
            </w:r>
          </w:p>
        </w:tc>
        <w:tc>
          <w:tcPr>
            <w:tcW w:w="1001" w:type="dxa"/>
            <w:tcBorders>
              <w:top w:val="nil"/>
              <w:left w:val="nil"/>
              <w:bottom w:val="single" w:sz="8" w:space="0" w:color="BFBFBF"/>
              <w:right w:val="nil"/>
            </w:tcBorders>
            <w:vAlign w:val="center"/>
          </w:tcPr>
          <w:p w14:paraId="45E3E3D1"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0.20</w:t>
            </w:r>
          </w:p>
        </w:tc>
        <w:tc>
          <w:tcPr>
            <w:tcW w:w="1392" w:type="dxa"/>
            <w:tcBorders>
              <w:top w:val="nil"/>
              <w:left w:val="nil"/>
              <w:bottom w:val="single" w:sz="8" w:space="0" w:color="BFBFBF"/>
              <w:right w:val="nil"/>
            </w:tcBorders>
            <w:vAlign w:val="center"/>
          </w:tcPr>
          <w:p w14:paraId="52A7ACCE"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c>
          <w:tcPr>
            <w:tcW w:w="1362" w:type="dxa"/>
            <w:tcBorders>
              <w:top w:val="nil"/>
              <w:left w:val="nil"/>
              <w:bottom w:val="single" w:sz="8" w:space="0" w:color="BFBFBF"/>
              <w:right w:val="nil"/>
            </w:tcBorders>
            <w:vAlign w:val="center"/>
          </w:tcPr>
          <w:p w14:paraId="059D398D" w14:textId="77777777" w:rsidR="00B65EDC" w:rsidRPr="00912A85" w:rsidRDefault="00B65EDC">
            <w:pPr>
              <w:jc w:val="right"/>
              <w:rPr>
                <w:rFonts w:ascii="Arial Narrow" w:hAnsi="Arial Narrow" w:cs="Arial"/>
                <w:color w:val="000000"/>
                <w:sz w:val="18"/>
                <w:szCs w:val="18"/>
              </w:rPr>
            </w:pPr>
            <w:r w:rsidRPr="00912A85">
              <w:rPr>
                <w:rFonts w:ascii="Arial Narrow" w:hAnsi="Arial Narrow" w:cs="Arial"/>
                <w:color w:val="000000"/>
                <w:sz w:val="18"/>
                <w:szCs w:val="18"/>
              </w:rPr>
              <w:t>10,728</w:t>
            </w:r>
          </w:p>
        </w:tc>
      </w:tr>
      <w:tr w:rsidR="00B65EDC" w:rsidRPr="00912A85" w14:paraId="24867323" w14:textId="77777777" w:rsidTr="00A538F6">
        <w:trPr>
          <w:trHeight w:val="275"/>
        </w:trPr>
        <w:tc>
          <w:tcPr>
            <w:tcW w:w="1276" w:type="dxa"/>
            <w:tcBorders>
              <w:top w:val="nil"/>
              <w:left w:val="nil"/>
              <w:bottom w:val="single" w:sz="8" w:space="0" w:color="BFBFBF"/>
              <w:right w:val="nil"/>
            </w:tcBorders>
            <w:vAlign w:val="center"/>
            <w:hideMark/>
          </w:tcPr>
          <w:p w14:paraId="7C1A8498"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3,569,798</w:t>
            </w:r>
          </w:p>
        </w:tc>
        <w:tc>
          <w:tcPr>
            <w:tcW w:w="1276" w:type="dxa"/>
            <w:tcBorders>
              <w:top w:val="nil"/>
              <w:left w:val="nil"/>
              <w:bottom w:val="single" w:sz="8" w:space="0" w:color="BFBFBF"/>
              <w:right w:val="nil"/>
            </w:tcBorders>
            <w:vAlign w:val="center"/>
            <w:hideMark/>
          </w:tcPr>
          <w:p w14:paraId="205DC850"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3,580,526</w:t>
            </w:r>
          </w:p>
        </w:tc>
        <w:tc>
          <w:tcPr>
            <w:tcW w:w="3474" w:type="dxa"/>
            <w:tcBorders>
              <w:top w:val="nil"/>
              <w:left w:val="nil"/>
              <w:bottom w:val="single" w:sz="8" w:space="0" w:color="BFBFBF"/>
              <w:right w:val="nil"/>
            </w:tcBorders>
            <w:vAlign w:val="center"/>
            <w:hideMark/>
          </w:tcPr>
          <w:p w14:paraId="48DA59BD" w14:textId="77777777" w:rsidR="00B65EDC" w:rsidRPr="00912A85" w:rsidRDefault="00B65EDC">
            <w:pPr>
              <w:jc w:val="left"/>
              <w:rPr>
                <w:rFonts w:ascii="Arial Narrow" w:hAnsi="Arial Narrow" w:cs="Arial"/>
                <w:b/>
                <w:bCs/>
                <w:color w:val="000000"/>
                <w:sz w:val="18"/>
                <w:szCs w:val="18"/>
              </w:rPr>
            </w:pPr>
          </w:p>
        </w:tc>
        <w:tc>
          <w:tcPr>
            <w:tcW w:w="1001" w:type="dxa"/>
            <w:tcBorders>
              <w:top w:val="nil"/>
              <w:left w:val="nil"/>
              <w:bottom w:val="single" w:sz="8" w:space="0" w:color="BFBFBF"/>
              <w:right w:val="nil"/>
            </w:tcBorders>
            <w:vAlign w:val="center"/>
            <w:hideMark/>
          </w:tcPr>
          <w:p w14:paraId="7BB175BB"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66.45</w:t>
            </w:r>
          </w:p>
        </w:tc>
        <w:tc>
          <w:tcPr>
            <w:tcW w:w="1392" w:type="dxa"/>
            <w:tcBorders>
              <w:top w:val="nil"/>
              <w:left w:val="nil"/>
              <w:bottom w:val="single" w:sz="8" w:space="0" w:color="BFBFBF"/>
              <w:right w:val="nil"/>
            </w:tcBorders>
            <w:vAlign w:val="center"/>
            <w:hideMark/>
          </w:tcPr>
          <w:p w14:paraId="61FE9179"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3,564,433</w:t>
            </w:r>
          </w:p>
        </w:tc>
        <w:tc>
          <w:tcPr>
            <w:tcW w:w="1362" w:type="dxa"/>
            <w:tcBorders>
              <w:top w:val="nil"/>
              <w:left w:val="nil"/>
              <w:bottom w:val="single" w:sz="8" w:space="0" w:color="BFBFBF"/>
              <w:right w:val="nil"/>
            </w:tcBorders>
            <w:vAlign w:val="center"/>
            <w:hideMark/>
          </w:tcPr>
          <w:p w14:paraId="7E1FC99C" w14:textId="77777777" w:rsidR="00B65EDC" w:rsidRPr="00912A85" w:rsidRDefault="00B65EDC">
            <w:pPr>
              <w:jc w:val="right"/>
              <w:rPr>
                <w:rFonts w:ascii="Arial Narrow" w:hAnsi="Arial Narrow" w:cs="Arial"/>
                <w:b/>
                <w:bCs/>
                <w:color w:val="000000"/>
                <w:sz w:val="18"/>
                <w:szCs w:val="18"/>
              </w:rPr>
            </w:pPr>
            <w:r w:rsidRPr="00912A85">
              <w:rPr>
                <w:rFonts w:ascii="Arial Narrow" w:hAnsi="Arial Narrow" w:cs="Arial"/>
                <w:b/>
                <w:bCs/>
                <w:color w:val="000000"/>
                <w:sz w:val="18"/>
                <w:szCs w:val="18"/>
              </w:rPr>
              <w:t>3,564,433</w:t>
            </w:r>
          </w:p>
        </w:tc>
      </w:tr>
    </w:tbl>
    <w:p w14:paraId="54FBDD28" w14:textId="77777777" w:rsidR="00B65EDC" w:rsidRPr="00912A85" w:rsidRDefault="00B65EDC" w:rsidP="00B65EDC"/>
    <w:p w14:paraId="5D602065" w14:textId="77777777" w:rsidR="00B65EDC" w:rsidRPr="00912A85" w:rsidRDefault="00B65EDC" w:rsidP="00B65EDC">
      <w:pPr>
        <w:ind w:left="284" w:hanging="284"/>
        <w:rPr>
          <w:rFonts w:ascii="Arial Narrow" w:hAnsi="Arial Narrow"/>
          <w:sz w:val="18"/>
          <w:szCs w:val="18"/>
        </w:rPr>
      </w:pPr>
      <w:r w:rsidRPr="00912A85">
        <w:rPr>
          <w:rFonts w:ascii="Arial Narrow" w:hAnsi="Arial Narrow"/>
          <w:sz w:val="18"/>
          <w:szCs w:val="18"/>
          <w:vertAlign w:val="superscript"/>
        </w:rPr>
        <w:t>1</w:t>
      </w:r>
      <w:r w:rsidRPr="00912A85">
        <w:rPr>
          <w:rFonts w:ascii="Arial Narrow" w:hAnsi="Arial Narrow"/>
          <w:sz w:val="18"/>
          <w:szCs w:val="18"/>
        </w:rPr>
        <w:tab/>
        <w:t>Armenia:  new member from March 2, 2024</w:t>
      </w:r>
    </w:p>
    <w:p w14:paraId="4BC7ACDD" w14:textId="77777777" w:rsidR="00B65EDC" w:rsidRPr="00912A85" w:rsidRDefault="00B65EDC" w:rsidP="00B65EDC">
      <w:pPr>
        <w:ind w:left="284" w:hanging="284"/>
        <w:rPr>
          <w:rFonts w:ascii="Arial Narrow" w:hAnsi="Arial Narrow"/>
          <w:sz w:val="18"/>
          <w:szCs w:val="18"/>
        </w:rPr>
      </w:pPr>
      <w:r w:rsidRPr="00912A85">
        <w:rPr>
          <w:rFonts w:ascii="Arial Narrow" w:hAnsi="Arial Narrow"/>
          <w:sz w:val="18"/>
          <w:szCs w:val="18"/>
          <w:vertAlign w:val="superscript"/>
        </w:rPr>
        <w:t>2</w:t>
      </w:r>
      <w:r w:rsidRPr="00912A85">
        <w:rPr>
          <w:rFonts w:ascii="Arial Narrow" w:hAnsi="Arial Narrow"/>
          <w:sz w:val="18"/>
          <w:szCs w:val="18"/>
        </w:rPr>
        <w:t xml:space="preserve"> </w:t>
      </w:r>
      <w:r w:rsidRPr="00912A85">
        <w:rPr>
          <w:rFonts w:ascii="Arial Narrow" w:hAnsi="Arial Narrow"/>
          <w:sz w:val="18"/>
          <w:szCs w:val="18"/>
        </w:rPr>
        <w:tab/>
        <w:t>Sweden decreased the number of contribution units from January 2026</w:t>
      </w:r>
    </w:p>
    <w:p w14:paraId="463F82E3" w14:textId="77777777" w:rsidR="00B65EDC" w:rsidRPr="00912A85" w:rsidRDefault="00B65EDC" w:rsidP="00B65EDC">
      <w:pPr>
        <w:ind w:left="284" w:hanging="284"/>
        <w:rPr>
          <w:rFonts w:ascii="Arial Narrow" w:hAnsi="Arial Narrow"/>
          <w:sz w:val="18"/>
          <w:szCs w:val="18"/>
        </w:rPr>
      </w:pPr>
      <w:r w:rsidRPr="00912A85">
        <w:rPr>
          <w:rFonts w:ascii="Arial Narrow" w:hAnsi="Arial Narrow"/>
          <w:sz w:val="18"/>
          <w:szCs w:val="18"/>
          <w:vertAlign w:val="superscript"/>
        </w:rPr>
        <w:t>3</w:t>
      </w:r>
      <w:r w:rsidRPr="00912A85">
        <w:rPr>
          <w:rFonts w:ascii="Arial Narrow" w:hAnsi="Arial Narrow"/>
          <w:sz w:val="18"/>
          <w:szCs w:val="18"/>
        </w:rPr>
        <w:t xml:space="preserve"> </w:t>
      </w:r>
      <w:r w:rsidRPr="00912A85">
        <w:rPr>
          <w:rFonts w:ascii="Arial Narrow" w:hAnsi="Arial Narrow"/>
          <w:sz w:val="18"/>
          <w:szCs w:val="18"/>
        </w:rPr>
        <w:tab/>
        <w:t>Nigeria: new member from March 27, 2025.</w:t>
      </w:r>
    </w:p>
    <w:p w14:paraId="0D8D07D3" w14:textId="77777777" w:rsidR="00B65EDC" w:rsidRPr="00912A85" w:rsidRDefault="00B65EDC" w:rsidP="00B65EDC"/>
    <w:p w14:paraId="7671D675" w14:textId="77777777" w:rsidR="00B65EDC" w:rsidRPr="00912A85" w:rsidRDefault="00B65EDC" w:rsidP="00B65EDC"/>
    <w:p w14:paraId="083D382D" w14:textId="77777777" w:rsidR="00B65EDC" w:rsidRPr="00912A85" w:rsidRDefault="00B65EDC" w:rsidP="00B65EDC"/>
    <w:p w14:paraId="2FA0B897" w14:textId="77777777" w:rsidR="00B65EDC" w:rsidRPr="00912A85" w:rsidRDefault="00B65EDC" w:rsidP="00B65EDC">
      <w:pPr>
        <w:pStyle w:val="Endofdocument"/>
        <w:tabs>
          <w:tab w:val="decimal" w:pos="9071"/>
        </w:tabs>
        <w:ind w:right="-1"/>
        <w:jc w:val="right"/>
      </w:pPr>
      <w:r w:rsidRPr="00912A85">
        <w:rPr>
          <w:rFonts w:ascii="Arial" w:hAnsi="Arial" w:cs="Arial"/>
          <w:snapToGrid w:val="0"/>
          <w:sz w:val="20"/>
        </w:rPr>
        <w:t>[Appendix III follows]</w:t>
      </w:r>
    </w:p>
    <w:p w14:paraId="43D65312" w14:textId="77777777" w:rsidR="00B65EDC" w:rsidRPr="00912A85" w:rsidRDefault="00B65EDC" w:rsidP="00B65EDC">
      <w:pPr>
        <w:rPr>
          <w:rFonts w:cs="Arial"/>
          <w:b/>
          <w:color w:val="0000FF"/>
        </w:rPr>
        <w:sectPr w:rsidR="00B65EDC" w:rsidRPr="00912A85" w:rsidSect="00B65EDC">
          <w:headerReference w:type="even" r:id="rId42"/>
          <w:headerReference w:type="default" r:id="rId43"/>
          <w:footerReference w:type="even" r:id="rId44"/>
          <w:footerReference w:type="default" r:id="rId45"/>
          <w:headerReference w:type="first" r:id="rId46"/>
          <w:footerReference w:type="first" r:id="rId47"/>
          <w:pgSz w:w="11907" w:h="16840" w:code="9"/>
          <w:pgMar w:top="510" w:right="1134" w:bottom="1134" w:left="1134" w:header="510" w:footer="624" w:gutter="0"/>
          <w:cols w:space="720"/>
          <w:docGrid w:linePitch="272"/>
        </w:sectPr>
      </w:pPr>
      <w:r w:rsidRPr="00912A85">
        <w:rPr>
          <w:rFonts w:cs="Arial"/>
          <w:b/>
          <w:color w:val="0000FF"/>
        </w:rPr>
        <w:t xml:space="preserve"> </w:t>
      </w:r>
    </w:p>
    <w:p w14:paraId="103DA7B1" w14:textId="77777777" w:rsidR="00B65EDC" w:rsidRPr="00912A85" w:rsidRDefault="00B65EDC" w:rsidP="004448C7">
      <w:pPr>
        <w:pStyle w:val="Heading9"/>
      </w:pPr>
      <w:bookmarkStart w:id="530" w:name="_Toc208999661"/>
      <w:r w:rsidRPr="00912A85">
        <w:lastRenderedPageBreak/>
        <w:t>Appendix III</w:t>
      </w:r>
      <w:r w:rsidRPr="00912A85">
        <w:tab/>
        <w:t>Definition of sources of income and cost categories</w:t>
      </w:r>
      <w:bookmarkEnd w:id="530"/>
    </w:p>
    <w:p w14:paraId="2856F616" w14:textId="77777777" w:rsidR="00B65EDC" w:rsidRPr="00912A85" w:rsidRDefault="00B65EDC" w:rsidP="00B65EDC"/>
    <w:p w14:paraId="2B2B7A18" w14:textId="77777777" w:rsidR="00B65EDC" w:rsidRPr="00912A85" w:rsidRDefault="00B65EDC" w:rsidP="00B65EDC">
      <w:pPr>
        <w:rPr>
          <w:color w:val="26724C" w:themeColor="accent1" w:themeShade="BF"/>
          <w:sz w:val="28"/>
        </w:rPr>
      </w:pPr>
      <w:r w:rsidRPr="00912A85">
        <w:rPr>
          <w:color w:val="26724C" w:themeColor="accent1" w:themeShade="BF"/>
          <w:sz w:val="28"/>
          <w:szCs w:val="24"/>
        </w:rPr>
        <w:t>Sources of income</w:t>
      </w:r>
    </w:p>
    <w:p w14:paraId="3DF7A4DD" w14:textId="77777777" w:rsidR="00B65EDC" w:rsidRPr="00912A85" w:rsidRDefault="00B65EDC" w:rsidP="00B65EDC"/>
    <w:p w14:paraId="607C8A53" w14:textId="77777777" w:rsidR="00B65EDC" w:rsidRPr="00912A85" w:rsidRDefault="00B65EDC" w:rsidP="00B65EDC">
      <w:r w:rsidRPr="00912A85">
        <w:t>Contributions: contributions of members of the Union under the UPOV Convention (Article 29 of the 1991 Act and Article 26 of the 1978 Act).</w:t>
      </w:r>
    </w:p>
    <w:p w14:paraId="24D37C67" w14:textId="77777777" w:rsidR="00B65EDC" w:rsidRPr="00912A85" w:rsidRDefault="00B65EDC" w:rsidP="00B65EDC"/>
    <w:p w14:paraId="6058449F" w14:textId="77777777" w:rsidR="00B65EDC" w:rsidRPr="00912A85" w:rsidRDefault="00B65EDC" w:rsidP="00B65EDC">
      <w:pPr>
        <w:keepNext/>
        <w:spacing w:after="40"/>
      </w:pPr>
      <w:r w:rsidRPr="00912A85">
        <w:t>UPOV IT Tools and Services Fees:  fees from UPOV databases, IT tools and services</w:t>
      </w:r>
    </w:p>
    <w:p w14:paraId="354D735C" w14:textId="77777777" w:rsidR="00B65EDC" w:rsidRPr="00912A85" w:rsidRDefault="00B65EDC" w:rsidP="00B65EDC"/>
    <w:p w14:paraId="774F63F7" w14:textId="77777777" w:rsidR="00B65EDC" w:rsidRPr="00912A85" w:rsidRDefault="00B65EDC" w:rsidP="00B65EDC">
      <w:pPr>
        <w:keepNext/>
        <w:spacing w:after="40"/>
      </w:pPr>
      <w:r w:rsidRPr="00912A85">
        <w:t>Miscellaneous Income: accounting adjustments (credits) in respect of prior years, currency adjustments, support charges in respect of extra</w:t>
      </w:r>
      <w:r w:rsidRPr="00912A85">
        <w:noBreakHyphen/>
        <w:t xml:space="preserve">budgetary activities executed by UPOV and financed by trust funds </w:t>
      </w:r>
      <w:r w:rsidRPr="00912A85">
        <w:rPr>
          <w:rFonts w:cs="Arial"/>
          <w:snapToGrid w:val="0"/>
          <w:color w:val="000000"/>
        </w:rPr>
        <w:t>and fees from distance learning programs.</w:t>
      </w:r>
    </w:p>
    <w:p w14:paraId="3BBAE8E0" w14:textId="77777777" w:rsidR="00B65EDC" w:rsidRPr="00912A85" w:rsidRDefault="00B65EDC" w:rsidP="00B65EDC">
      <w:pPr>
        <w:rPr>
          <w:sz w:val="24"/>
        </w:rPr>
      </w:pPr>
    </w:p>
    <w:p w14:paraId="0C84B3D1" w14:textId="77777777" w:rsidR="00B65EDC" w:rsidRPr="00912A85" w:rsidRDefault="00B65EDC" w:rsidP="00B65EDC">
      <w:pPr>
        <w:rPr>
          <w:sz w:val="24"/>
        </w:rPr>
      </w:pPr>
    </w:p>
    <w:p w14:paraId="59F3159E" w14:textId="77777777" w:rsidR="00B65EDC" w:rsidRPr="00912A85" w:rsidRDefault="00B65EDC" w:rsidP="00B65EDC">
      <w:pPr>
        <w:rPr>
          <w:color w:val="26724C" w:themeColor="accent1" w:themeShade="BF"/>
          <w:sz w:val="28"/>
          <w:szCs w:val="24"/>
        </w:rPr>
      </w:pPr>
      <w:r w:rsidRPr="00912A85">
        <w:rPr>
          <w:color w:val="26724C" w:themeColor="accent1" w:themeShade="BF"/>
          <w:sz w:val="28"/>
          <w:szCs w:val="24"/>
        </w:rPr>
        <w:t>Cost categories</w:t>
      </w:r>
    </w:p>
    <w:p w14:paraId="5D912D2E" w14:textId="77777777" w:rsidR="00B65EDC" w:rsidRPr="00912A85" w:rsidRDefault="00B65EDC" w:rsidP="00B65EDC"/>
    <w:p w14:paraId="257F354C" w14:textId="77777777" w:rsidR="00B65EDC" w:rsidRPr="00912A85" w:rsidRDefault="00B65EDC" w:rsidP="00B65EDC">
      <w:pPr>
        <w:rPr>
          <w:b/>
          <w:color w:val="26724C" w:themeColor="accent1" w:themeShade="BF"/>
        </w:rPr>
      </w:pPr>
      <w:r w:rsidRPr="00912A85">
        <w:rPr>
          <w:b/>
          <w:color w:val="26724C" w:themeColor="accent1" w:themeShade="BF"/>
        </w:rPr>
        <w:t>Personnel Resources</w:t>
      </w:r>
    </w:p>
    <w:p w14:paraId="1C2C7A8E" w14:textId="77777777" w:rsidR="00B65EDC" w:rsidRPr="00912A85" w:rsidRDefault="00B65EDC" w:rsidP="00B65EDC"/>
    <w:p w14:paraId="71665A2C" w14:textId="77777777" w:rsidR="00B65EDC" w:rsidRPr="00912A85" w:rsidRDefault="00B65EDC" w:rsidP="00B65EDC">
      <w:pPr>
        <w:keepNext/>
        <w:spacing w:after="40"/>
      </w:pPr>
      <w:r w:rsidRPr="00912A85">
        <w:rPr>
          <w:b/>
        </w:rPr>
        <w:t>Posts:</w:t>
      </w:r>
      <w:r w:rsidRPr="00912A85">
        <w:t xml:space="preserve"> remuneration received by staff members, in particular salaries, post adjustment, dependency allowances, </w:t>
      </w:r>
      <w:r w:rsidRPr="00912A85">
        <w:rPr>
          <w:spacing w:val="-2"/>
        </w:rPr>
        <w:t>language allowances and overtime, non-resident allowances, assignment grant and representation allowances.</w:t>
      </w:r>
    </w:p>
    <w:p w14:paraId="7E9E39D9" w14:textId="77777777" w:rsidR="00B65EDC" w:rsidRPr="00912A85" w:rsidRDefault="00B65EDC" w:rsidP="00B65EDC">
      <w:pPr>
        <w:rPr>
          <w:color w:val="7F7F7F" w:themeColor="text1" w:themeTint="80"/>
        </w:rPr>
      </w:pPr>
    </w:p>
    <w:p w14:paraId="171E4161" w14:textId="77777777" w:rsidR="00B65EDC" w:rsidRPr="00912A85" w:rsidRDefault="00B65EDC" w:rsidP="00B65EDC">
      <w:r w:rsidRPr="00912A85">
        <w:rPr>
          <w:b/>
        </w:rPr>
        <w:t>Temporary Staff</w:t>
      </w:r>
      <w:r w:rsidRPr="00912A85">
        <w:t>: remuneration and allowances paid to professional and general service employees on short-term contracts.</w:t>
      </w:r>
    </w:p>
    <w:p w14:paraId="7EBEF057" w14:textId="77777777" w:rsidR="00B65EDC" w:rsidRPr="00912A85" w:rsidRDefault="00B65EDC" w:rsidP="00B65EDC"/>
    <w:p w14:paraId="7E172C18" w14:textId="77777777" w:rsidR="00B65EDC" w:rsidRPr="00912A85" w:rsidRDefault="00B65EDC" w:rsidP="00B65EDC">
      <w:pPr>
        <w:rPr>
          <w:b/>
          <w:color w:val="26724C" w:themeColor="accent1" w:themeShade="BF"/>
        </w:rPr>
      </w:pPr>
      <w:r w:rsidRPr="00912A85">
        <w:rPr>
          <w:b/>
          <w:color w:val="26724C" w:themeColor="accent1" w:themeShade="BF"/>
        </w:rPr>
        <w:t>Non-Personnel Resources</w:t>
      </w:r>
    </w:p>
    <w:p w14:paraId="5A038389" w14:textId="77777777" w:rsidR="00B65EDC" w:rsidRPr="00912A85" w:rsidRDefault="00B65EDC" w:rsidP="00B65EDC">
      <w:pPr>
        <w:rPr>
          <w:b/>
          <w:color w:val="26724C" w:themeColor="accent1" w:themeShade="BF"/>
        </w:rPr>
      </w:pPr>
    </w:p>
    <w:p w14:paraId="53DA117C" w14:textId="77777777" w:rsidR="00B65EDC" w:rsidRPr="00912A85" w:rsidRDefault="00B65EDC" w:rsidP="00B65EDC">
      <w:pPr>
        <w:rPr>
          <w:rFonts w:cs="Arial"/>
          <w:bCs/>
          <w:i/>
          <w:color w:val="26724C" w:themeColor="accent1" w:themeShade="BF"/>
        </w:rPr>
      </w:pPr>
      <w:r w:rsidRPr="00912A85">
        <w:rPr>
          <w:rFonts w:cs="Arial"/>
          <w:bCs/>
          <w:i/>
          <w:color w:val="26724C" w:themeColor="accent1" w:themeShade="BF"/>
        </w:rPr>
        <w:t>Internships and Fellowships</w:t>
      </w:r>
    </w:p>
    <w:p w14:paraId="6FDD9F68" w14:textId="77777777" w:rsidR="00B65EDC" w:rsidRPr="00912A85" w:rsidRDefault="00B65EDC" w:rsidP="00B65EDC">
      <w:pPr>
        <w:rPr>
          <w:rFonts w:cs="Arial"/>
        </w:rPr>
      </w:pPr>
    </w:p>
    <w:p w14:paraId="24393F0F" w14:textId="77777777" w:rsidR="00B65EDC" w:rsidRPr="00912A85" w:rsidRDefault="00B65EDC" w:rsidP="00B65EDC">
      <w:pPr>
        <w:rPr>
          <w:rFonts w:cs="Arial"/>
        </w:rPr>
      </w:pPr>
      <w:r w:rsidRPr="00912A85">
        <w:rPr>
          <w:rFonts w:cs="Arial"/>
          <w:b/>
          <w:bCs/>
          <w:iCs/>
          <w:color w:val="000000"/>
        </w:rPr>
        <w:t>Internships</w:t>
      </w:r>
      <w:r w:rsidRPr="00912A85">
        <w:rPr>
          <w:rFonts w:cs="Arial"/>
        </w:rPr>
        <w:t xml:space="preserve">: remuneration and allowances paid to interns. </w:t>
      </w:r>
    </w:p>
    <w:p w14:paraId="4334FA0A" w14:textId="77777777" w:rsidR="00B65EDC" w:rsidRPr="00912A85" w:rsidRDefault="00B65EDC" w:rsidP="00B65EDC"/>
    <w:p w14:paraId="6269386F" w14:textId="77777777" w:rsidR="00B65EDC" w:rsidRPr="00912A85" w:rsidRDefault="00B65EDC" w:rsidP="00B65EDC">
      <w:pPr>
        <w:rPr>
          <w:rFonts w:cs="Arial"/>
        </w:rPr>
      </w:pPr>
      <w:r w:rsidRPr="00912A85">
        <w:rPr>
          <w:rFonts w:cs="Arial"/>
          <w:b/>
          <w:bCs/>
          <w:iCs/>
          <w:color w:val="000000"/>
        </w:rPr>
        <w:t>Fellowships</w:t>
      </w:r>
      <w:r w:rsidRPr="00912A85">
        <w:rPr>
          <w:rFonts w:cs="Arial"/>
          <w:bCs/>
          <w:i/>
          <w:iCs/>
          <w:color w:val="000000"/>
        </w:rPr>
        <w:t>:</w:t>
      </w:r>
      <w:r w:rsidRPr="00912A85">
        <w:rPr>
          <w:rFonts w:cs="Arial"/>
          <w:bCs/>
          <w:i/>
          <w:iCs/>
        </w:rPr>
        <w:t xml:space="preserve"> </w:t>
      </w:r>
      <w:r w:rsidRPr="00912A85">
        <w:rPr>
          <w:rFonts w:cs="Arial"/>
          <w:bCs/>
          <w:iCs/>
        </w:rPr>
        <w:t xml:space="preserve">expenses related to a </w:t>
      </w:r>
      <w:r w:rsidRPr="00912A85">
        <w:rPr>
          <w:rFonts w:cs="Arial"/>
        </w:rPr>
        <w:t xml:space="preserve">training activity that provides a monetary grant to qualified individuals for the purpose of fulfilling special learning objectives. </w:t>
      </w:r>
    </w:p>
    <w:p w14:paraId="79A6DC41" w14:textId="77777777" w:rsidR="00B65EDC" w:rsidRPr="00912A85" w:rsidRDefault="00B65EDC" w:rsidP="00B65EDC">
      <w:pPr>
        <w:rPr>
          <w:u w:val="single"/>
        </w:rPr>
      </w:pPr>
    </w:p>
    <w:p w14:paraId="115C92F7" w14:textId="77777777" w:rsidR="00B65EDC" w:rsidRPr="00912A85" w:rsidRDefault="00B65EDC" w:rsidP="00B65EDC">
      <w:pPr>
        <w:rPr>
          <w:rFonts w:cs="Arial"/>
          <w:bCs/>
          <w:i/>
          <w:color w:val="26724C" w:themeColor="accent1" w:themeShade="BF"/>
        </w:rPr>
      </w:pPr>
      <w:r w:rsidRPr="00912A85">
        <w:rPr>
          <w:rFonts w:cs="Arial"/>
          <w:bCs/>
          <w:i/>
          <w:color w:val="26724C" w:themeColor="accent1" w:themeShade="BF"/>
        </w:rPr>
        <w:t xml:space="preserve">Travel, Training and Grants </w:t>
      </w:r>
    </w:p>
    <w:p w14:paraId="277ED032" w14:textId="77777777" w:rsidR="00B65EDC" w:rsidRPr="00912A85" w:rsidRDefault="00B65EDC" w:rsidP="00B65EDC">
      <w:pPr>
        <w:keepNext/>
        <w:rPr>
          <w:u w:val="single"/>
        </w:rPr>
      </w:pPr>
    </w:p>
    <w:p w14:paraId="4705C60F" w14:textId="77777777" w:rsidR="00B65EDC" w:rsidRPr="00912A85" w:rsidRDefault="00B65EDC" w:rsidP="00B65EDC">
      <w:pPr>
        <w:rPr>
          <w:rFonts w:cs="Arial"/>
          <w:color w:val="000000"/>
        </w:rPr>
      </w:pPr>
      <w:r w:rsidRPr="00912A85">
        <w:rPr>
          <w:rFonts w:cs="Arial"/>
          <w:b/>
          <w:bCs/>
          <w:iCs/>
        </w:rPr>
        <w:t>Staff missions</w:t>
      </w:r>
      <w:r w:rsidRPr="00912A85">
        <w:rPr>
          <w:rFonts w:cs="Arial"/>
          <w:b/>
        </w:rPr>
        <w:t>:</w:t>
      </w:r>
      <w:r w:rsidRPr="00912A85">
        <w:rPr>
          <w:rFonts w:cs="Arial"/>
        </w:rPr>
        <w:t xml:space="preserve"> </w:t>
      </w:r>
      <w:r w:rsidRPr="00912A85">
        <w:rPr>
          <w:rFonts w:cs="Arial"/>
          <w:color w:val="000000"/>
        </w:rPr>
        <w:t>travel expenses and daily subsistence allowances for all staff on official travel.</w:t>
      </w:r>
    </w:p>
    <w:p w14:paraId="438C1A9F" w14:textId="77777777" w:rsidR="00B65EDC" w:rsidRPr="00912A85" w:rsidRDefault="00B65EDC" w:rsidP="00B65EDC"/>
    <w:p w14:paraId="70E61230" w14:textId="7D54438C" w:rsidR="00B65EDC" w:rsidRPr="00912A85" w:rsidRDefault="00B65EDC" w:rsidP="00B65EDC">
      <w:pPr>
        <w:rPr>
          <w:rFonts w:cs="Arial"/>
          <w:color w:val="000000"/>
        </w:rPr>
      </w:pPr>
      <w:r w:rsidRPr="00912A85">
        <w:rPr>
          <w:rFonts w:cs="Arial"/>
          <w:b/>
          <w:bCs/>
          <w:iCs/>
          <w:color w:val="000000"/>
        </w:rPr>
        <w:t>Third party travel</w:t>
      </w:r>
      <w:r w:rsidR="00A7468D">
        <w:rPr>
          <w:rFonts w:cs="Arial"/>
          <w:b/>
          <w:bCs/>
          <w:iCs/>
          <w:color w:val="000000"/>
        </w:rPr>
        <w:t xml:space="preserve"> (including travel, training costs and other related travel grants)</w:t>
      </w:r>
      <w:r w:rsidRPr="00912A85">
        <w:rPr>
          <w:rFonts w:cs="Arial"/>
          <w:b/>
          <w:color w:val="000000"/>
        </w:rPr>
        <w:t>:</w:t>
      </w:r>
      <w:r w:rsidRPr="00912A85">
        <w:rPr>
          <w:rFonts w:cs="Arial"/>
          <w:color w:val="000000"/>
        </w:rPr>
        <w:t xml:space="preserve"> travel expenses and daily subsistence allowances</w:t>
      </w:r>
      <w:r w:rsidR="00A7468D">
        <w:rPr>
          <w:rFonts w:cs="Arial"/>
          <w:color w:val="000000"/>
        </w:rPr>
        <w:t>, training costs and other fees</w:t>
      </w:r>
      <w:r w:rsidRPr="00912A85">
        <w:rPr>
          <w:rFonts w:cs="Arial"/>
          <w:color w:val="000000"/>
        </w:rPr>
        <w:t xml:space="preserve"> for all third parties</w:t>
      </w:r>
      <w:r w:rsidRPr="00912A85">
        <w:t>, including</w:t>
      </w:r>
      <w:r w:rsidRPr="00912A85">
        <w:rPr>
          <w:rFonts w:cs="Arial"/>
          <w:color w:val="000000"/>
        </w:rPr>
        <w:t xml:space="preserve"> the travel costs of Government officials, participants and lecturers attending UPOV sponsored meetings</w:t>
      </w:r>
      <w:r w:rsidR="00A7468D">
        <w:rPr>
          <w:rFonts w:cs="Arial"/>
          <w:color w:val="000000"/>
        </w:rPr>
        <w:t>, seminars and training workshops</w:t>
      </w:r>
      <w:r w:rsidRPr="00912A85">
        <w:rPr>
          <w:rFonts w:cs="Arial"/>
          <w:color w:val="000000"/>
        </w:rPr>
        <w:t>.</w:t>
      </w:r>
    </w:p>
    <w:p w14:paraId="45549FC4" w14:textId="77777777" w:rsidR="00B65EDC" w:rsidRPr="00912A85" w:rsidRDefault="00B65EDC" w:rsidP="00B65EDC"/>
    <w:p w14:paraId="48F0F52F" w14:textId="77777777" w:rsidR="00B65EDC" w:rsidRPr="00912A85" w:rsidRDefault="00B65EDC" w:rsidP="00B65EDC"/>
    <w:p w14:paraId="5EFAE443" w14:textId="77777777" w:rsidR="00B65EDC" w:rsidRPr="00912A85" w:rsidRDefault="00B65EDC" w:rsidP="00B65EDC">
      <w:pPr>
        <w:rPr>
          <w:rFonts w:cs="Arial"/>
          <w:bCs/>
          <w:i/>
          <w:color w:val="26724C" w:themeColor="accent1" w:themeShade="BF"/>
        </w:rPr>
      </w:pPr>
      <w:r w:rsidRPr="00912A85">
        <w:rPr>
          <w:rFonts w:cs="Arial"/>
          <w:bCs/>
          <w:i/>
          <w:color w:val="26724C" w:themeColor="accent1" w:themeShade="BF"/>
        </w:rPr>
        <w:t>Contractual Services</w:t>
      </w:r>
    </w:p>
    <w:p w14:paraId="5A13D686" w14:textId="77777777" w:rsidR="00B65EDC" w:rsidRPr="00912A85" w:rsidRDefault="00B65EDC" w:rsidP="00B65EDC">
      <w:pPr>
        <w:keepNext/>
        <w:rPr>
          <w:u w:val="single"/>
        </w:rPr>
      </w:pPr>
    </w:p>
    <w:p w14:paraId="4619BA01" w14:textId="66880C74" w:rsidR="00B65EDC" w:rsidRPr="00912A85" w:rsidRDefault="00B65EDC" w:rsidP="00B65EDC">
      <w:pPr>
        <w:keepNext/>
        <w:keepLines/>
        <w:rPr>
          <w:color w:val="000000"/>
          <w:szCs w:val="22"/>
        </w:rPr>
      </w:pPr>
      <w:r w:rsidRPr="00912A85">
        <w:rPr>
          <w:b/>
          <w:bCs/>
          <w:iCs/>
          <w:color w:val="000000"/>
          <w:szCs w:val="22"/>
        </w:rPr>
        <w:t>Conferences</w:t>
      </w:r>
      <w:r w:rsidRPr="00912A85">
        <w:rPr>
          <w:color w:val="000000"/>
          <w:szCs w:val="22"/>
        </w:rPr>
        <w:t>: remuneration, travel expenses and daily subsistence allowances for interpreters; renting of conference facilities, and interpretation equipment; refreshments and receptions</w:t>
      </w:r>
      <w:r w:rsidR="00A7468D">
        <w:rPr>
          <w:color w:val="000000"/>
          <w:szCs w:val="22"/>
        </w:rPr>
        <w:t xml:space="preserve">; and </w:t>
      </w:r>
      <w:r w:rsidR="0081005D">
        <w:rPr>
          <w:color w:val="000000"/>
          <w:szCs w:val="22"/>
        </w:rPr>
        <w:t>the cost of any other service directly linked to the organization of a conference</w:t>
      </w:r>
      <w:r w:rsidRPr="00912A85">
        <w:rPr>
          <w:color w:val="000000"/>
          <w:szCs w:val="22"/>
        </w:rPr>
        <w:t>.</w:t>
      </w:r>
    </w:p>
    <w:p w14:paraId="6401A4B5" w14:textId="77777777" w:rsidR="00B65EDC" w:rsidRPr="00912A85" w:rsidRDefault="00B65EDC" w:rsidP="00B65EDC"/>
    <w:p w14:paraId="2E18A69F" w14:textId="1E066EAF" w:rsidR="00B65EDC" w:rsidRPr="00912A85" w:rsidRDefault="00B65EDC" w:rsidP="00B65EDC">
      <w:pPr>
        <w:rPr>
          <w:color w:val="000000"/>
          <w:szCs w:val="22"/>
        </w:rPr>
      </w:pPr>
      <w:r w:rsidRPr="00912A85">
        <w:rPr>
          <w:b/>
          <w:bCs/>
          <w:iCs/>
          <w:color w:val="000000"/>
          <w:szCs w:val="22"/>
        </w:rPr>
        <w:t>Publishing</w:t>
      </w:r>
      <w:r w:rsidRPr="00912A85">
        <w:rPr>
          <w:b/>
          <w:color w:val="000000"/>
          <w:szCs w:val="22"/>
        </w:rPr>
        <w:t>:</w:t>
      </w:r>
      <w:r w:rsidRPr="00912A85">
        <w:rPr>
          <w:color w:val="000000"/>
          <w:szCs w:val="22"/>
        </w:rPr>
        <w:t xml:space="preserve"> </w:t>
      </w:r>
      <w:r w:rsidR="0081005D" w:rsidRPr="00912A85">
        <w:rPr>
          <w:color w:val="000000"/>
          <w:szCs w:val="22"/>
        </w:rPr>
        <w:t>outs</w:t>
      </w:r>
      <w:r w:rsidR="0081005D">
        <w:rPr>
          <w:color w:val="000000"/>
          <w:szCs w:val="22"/>
        </w:rPr>
        <w:t>ourced</w:t>
      </w:r>
      <w:r w:rsidR="0081005D" w:rsidRPr="00912A85">
        <w:rPr>
          <w:color w:val="000000"/>
          <w:szCs w:val="22"/>
        </w:rPr>
        <w:t xml:space="preserve"> </w:t>
      </w:r>
      <w:r w:rsidRPr="00912A85">
        <w:rPr>
          <w:color w:val="000000"/>
          <w:szCs w:val="22"/>
        </w:rPr>
        <w:t>printing</w:t>
      </w:r>
      <w:r w:rsidR="0081005D">
        <w:rPr>
          <w:color w:val="000000"/>
          <w:szCs w:val="22"/>
        </w:rPr>
        <w:t xml:space="preserve"> i.e. printing of brochures, treaties, collections of texts, manuals, guides and materials; outsourcing of the production of videos and other forms of electronic publishing. </w:t>
      </w:r>
    </w:p>
    <w:p w14:paraId="02BCE6B3" w14:textId="77777777" w:rsidR="00B65EDC" w:rsidRPr="00912A85" w:rsidRDefault="00B65EDC" w:rsidP="00B65EDC"/>
    <w:p w14:paraId="23EB18B3" w14:textId="4BAF16AB" w:rsidR="00B65EDC" w:rsidRPr="00912A85" w:rsidRDefault="00B65EDC" w:rsidP="00B65EDC">
      <w:pPr>
        <w:keepNext/>
        <w:rPr>
          <w:color w:val="000000"/>
          <w:szCs w:val="22"/>
        </w:rPr>
      </w:pPr>
      <w:r w:rsidRPr="00912A85">
        <w:rPr>
          <w:b/>
          <w:bCs/>
          <w:iCs/>
          <w:color w:val="000000"/>
          <w:szCs w:val="22"/>
        </w:rPr>
        <w:t>Individual Contractual Services</w:t>
      </w:r>
      <w:r w:rsidRPr="00912A85">
        <w:rPr>
          <w:color w:val="000000"/>
          <w:szCs w:val="22"/>
        </w:rPr>
        <w:t>: remuneration paid in respect of individual contractual services.</w:t>
      </w:r>
    </w:p>
    <w:p w14:paraId="0D1F634C" w14:textId="77777777" w:rsidR="00B65EDC" w:rsidRPr="00912A85" w:rsidRDefault="00B65EDC" w:rsidP="00B65EDC">
      <w:pPr>
        <w:keepNext/>
      </w:pPr>
    </w:p>
    <w:p w14:paraId="0831240B" w14:textId="085A35EC" w:rsidR="00B65EDC" w:rsidRPr="00912A85" w:rsidRDefault="00B65EDC" w:rsidP="00B65EDC">
      <w:pPr>
        <w:rPr>
          <w:color w:val="000000"/>
          <w:szCs w:val="22"/>
        </w:rPr>
      </w:pPr>
      <w:r w:rsidRPr="00912A85">
        <w:rPr>
          <w:b/>
          <w:bCs/>
          <w:iCs/>
          <w:color w:val="000000"/>
          <w:spacing w:val="-2"/>
          <w:szCs w:val="22"/>
        </w:rPr>
        <w:t>Other Contractual Services:</w:t>
      </w:r>
      <w:r w:rsidRPr="00912A85">
        <w:rPr>
          <w:bCs/>
          <w:iCs/>
          <w:color w:val="000000"/>
          <w:spacing w:val="-2"/>
          <w:szCs w:val="22"/>
        </w:rPr>
        <w:t xml:space="preserve"> </w:t>
      </w:r>
      <w:r w:rsidRPr="00912A85">
        <w:rPr>
          <w:color w:val="000000"/>
          <w:spacing w:val="-2"/>
          <w:szCs w:val="22"/>
        </w:rPr>
        <w:t>all other contractual services with both commercial and non</w:t>
      </w:r>
      <w:r w:rsidRPr="00912A85">
        <w:rPr>
          <w:color w:val="000000"/>
          <w:spacing w:val="-2"/>
          <w:szCs w:val="22"/>
        </w:rPr>
        <w:noBreakHyphen/>
        <w:t xml:space="preserve">commercial </w:t>
      </w:r>
      <w:r w:rsidRPr="00912A85">
        <w:rPr>
          <w:color w:val="000000"/>
          <w:szCs w:val="22"/>
        </w:rPr>
        <w:t>service providers</w:t>
      </w:r>
      <w:r w:rsidR="0081005D">
        <w:rPr>
          <w:color w:val="000000"/>
          <w:szCs w:val="22"/>
        </w:rPr>
        <w:t xml:space="preserve"> including IT infrastructure hosting (on premise and cloud) and software as a service (SaaS)</w:t>
      </w:r>
      <w:r w:rsidRPr="00912A85">
        <w:rPr>
          <w:color w:val="000000"/>
          <w:szCs w:val="22"/>
        </w:rPr>
        <w:t xml:space="preserve">. </w:t>
      </w:r>
    </w:p>
    <w:p w14:paraId="60406DC5" w14:textId="77777777" w:rsidR="00B65EDC" w:rsidRPr="00912A85" w:rsidRDefault="00B65EDC" w:rsidP="00B65EDC">
      <w:pPr>
        <w:rPr>
          <w:color w:val="000000"/>
          <w:szCs w:val="22"/>
        </w:rPr>
      </w:pPr>
    </w:p>
    <w:p w14:paraId="22C00C1D" w14:textId="77777777" w:rsidR="00B65EDC" w:rsidRPr="00912A85" w:rsidRDefault="00B65EDC" w:rsidP="00B65EDC">
      <w:pPr>
        <w:keepNext/>
        <w:rPr>
          <w:rFonts w:cs="Arial"/>
          <w:bCs/>
          <w:i/>
          <w:color w:val="26724C" w:themeColor="accent1" w:themeShade="BF"/>
        </w:rPr>
      </w:pPr>
      <w:r w:rsidRPr="00912A85">
        <w:rPr>
          <w:rFonts w:cs="Arial"/>
          <w:bCs/>
          <w:i/>
          <w:color w:val="26724C" w:themeColor="accent1" w:themeShade="BF"/>
        </w:rPr>
        <w:lastRenderedPageBreak/>
        <w:t>Operating Expenses</w:t>
      </w:r>
    </w:p>
    <w:p w14:paraId="3C9D7D71" w14:textId="77777777" w:rsidR="00B65EDC" w:rsidRPr="00912A85" w:rsidRDefault="00B65EDC" w:rsidP="00B65EDC">
      <w:pPr>
        <w:keepNext/>
        <w:rPr>
          <w:b/>
          <w:u w:val="single"/>
        </w:rPr>
      </w:pPr>
    </w:p>
    <w:p w14:paraId="673F84FA" w14:textId="77777777" w:rsidR="009B69EB" w:rsidRPr="00BD7E6C" w:rsidRDefault="009B69EB" w:rsidP="009B69EB">
      <w:r w:rsidRPr="00BD7E6C">
        <w:rPr>
          <w:b/>
        </w:rPr>
        <w:t xml:space="preserve">Premises and </w:t>
      </w:r>
      <w:r>
        <w:rPr>
          <w:b/>
        </w:rPr>
        <w:t>M</w:t>
      </w:r>
      <w:r w:rsidRPr="00BD7E6C">
        <w:rPr>
          <w:b/>
        </w:rPr>
        <w:t>aintenance</w:t>
      </w:r>
      <w:r w:rsidRPr="00BD7E6C">
        <w:t>: acquiring, renting, improving</w:t>
      </w:r>
      <w:r w:rsidRPr="3D3F7F94">
        <w:t>,</w:t>
      </w:r>
      <w:r w:rsidRPr="00BD7E6C">
        <w:t xml:space="preserve"> and maintaining office space</w:t>
      </w:r>
      <w:r>
        <w:t>, utilities,</w:t>
      </w:r>
      <w:r w:rsidRPr="00BD7E6C">
        <w:t xml:space="preserve"> renting or maintaining equipment and</w:t>
      </w:r>
      <w:r>
        <w:t xml:space="preserve"> software licenses</w:t>
      </w:r>
      <w:r w:rsidRPr="00BD7E6C">
        <w:t>.</w:t>
      </w:r>
    </w:p>
    <w:p w14:paraId="5DE8447F" w14:textId="77777777" w:rsidR="009B69EB" w:rsidRDefault="009B69EB" w:rsidP="009B69EB">
      <w:pPr>
        <w:rPr>
          <w:b/>
        </w:rPr>
      </w:pPr>
    </w:p>
    <w:p w14:paraId="0ADD548C" w14:textId="5ABB48E4" w:rsidR="009B69EB" w:rsidRPr="00BD7E6C" w:rsidRDefault="009B69EB" w:rsidP="009B69EB">
      <w:r w:rsidRPr="00BD7E6C">
        <w:rPr>
          <w:b/>
        </w:rPr>
        <w:t>Communication</w:t>
      </w:r>
      <w:r w:rsidRPr="00BD7E6C">
        <w:t>: communication expenses such as telephone, internet, mail</w:t>
      </w:r>
      <w:r w:rsidRPr="3D3F7F94">
        <w:t>,</w:t>
      </w:r>
      <w:r w:rsidRPr="00BD7E6C">
        <w:t xml:space="preserve"> </w:t>
      </w:r>
      <w:r>
        <w:t xml:space="preserve">and </w:t>
      </w:r>
      <w:r w:rsidRPr="00BD7E6C">
        <w:t xml:space="preserve">postage. </w:t>
      </w:r>
    </w:p>
    <w:p w14:paraId="242A08F0" w14:textId="77777777" w:rsidR="009B69EB" w:rsidRDefault="009B69EB" w:rsidP="009B69EB">
      <w:pPr>
        <w:rPr>
          <w:b/>
          <w:bCs/>
        </w:rPr>
      </w:pPr>
    </w:p>
    <w:p w14:paraId="68013DA6" w14:textId="7BD48CCA" w:rsidR="009B69EB" w:rsidRPr="00BD7E6C" w:rsidRDefault="009B69EB" w:rsidP="009B69EB">
      <w:r w:rsidRPr="00BD7E6C">
        <w:rPr>
          <w:b/>
          <w:bCs/>
        </w:rPr>
        <w:t>Representation and Other Operating Expenses</w:t>
      </w:r>
      <w:r w:rsidRPr="00BD7E6C">
        <w:t>: official hospitality, WIPO contribution to Staff Association and other operating expenses.</w:t>
      </w:r>
    </w:p>
    <w:p w14:paraId="32E2F355" w14:textId="77777777" w:rsidR="009B69EB" w:rsidRDefault="009B69EB" w:rsidP="009B69EB">
      <w:pPr>
        <w:rPr>
          <w:b/>
        </w:rPr>
      </w:pPr>
    </w:p>
    <w:p w14:paraId="12A6EB64" w14:textId="49E6B60D" w:rsidR="009B69EB" w:rsidRPr="00BD7E6C" w:rsidRDefault="009B69EB" w:rsidP="009B69EB">
      <w:r w:rsidRPr="00BD7E6C">
        <w:rPr>
          <w:b/>
        </w:rPr>
        <w:t>UN Joint Services</w:t>
      </w:r>
      <w:r w:rsidRPr="00BD7E6C">
        <w:t>: medical assistance, contributions to joint administrative activities within the United Nations system, United Nations cost shared activities, Administrative Tribunal.</w:t>
      </w:r>
    </w:p>
    <w:p w14:paraId="00E227C7" w14:textId="157E0A41" w:rsidR="00B65EDC" w:rsidRPr="00912A85" w:rsidRDefault="00B65EDC" w:rsidP="00B65EDC">
      <w:pPr>
        <w:rPr>
          <w:b/>
        </w:rPr>
      </w:pPr>
      <w:r w:rsidRPr="00912A85">
        <w:rPr>
          <w:color w:val="000000"/>
        </w:rPr>
        <w:t>Additionally, all common expenses related to either joint activities with WIPO or services actually rendered by WIPO</w:t>
      </w:r>
      <w:r w:rsidR="00465049">
        <w:rPr>
          <w:color w:val="000000"/>
        </w:rPr>
        <w:t xml:space="preserve"> under the WIPO/UPOV Agreement</w:t>
      </w:r>
      <w:r w:rsidRPr="00912A85">
        <w:rPr>
          <w:color w:val="000000"/>
        </w:rPr>
        <w:t>.</w:t>
      </w:r>
    </w:p>
    <w:p w14:paraId="7F1CBAF5" w14:textId="77777777" w:rsidR="00B65EDC" w:rsidRPr="00912A85" w:rsidRDefault="00B65EDC" w:rsidP="00B65EDC">
      <w:pPr>
        <w:rPr>
          <w:b/>
        </w:rPr>
      </w:pPr>
    </w:p>
    <w:p w14:paraId="0C3D35A8" w14:textId="77777777" w:rsidR="00B65EDC" w:rsidRPr="00912A85" w:rsidRDefault="00B65EDC" w:rsidP="00B65EDC">
      <w:pPr>
        <w:keepNext/>
        <w:rPr>
          <w:rFonts w:cs="Arial"/>
          <w:bCs/>
          <w:i/>
          <w:color w:val="26724C" w:themeColor="accent1" w:themeShade="BF"/>
        </w:rPr>
      </w:pPr>
      <w:r w:rsidRPr="00912A85">
        <w:rPr>
          <w:rFonts w:cs="Arial"/>
          <w:bCs/>
          <w:i/>
          <w:color w:val="26724C" w:themeColor="accent1" w:themeShade="BF"/>
        </w:rPr>
        <w:t>Equipment and Supplies</w:t>
      </w:r>
    </w:p>
    <w:p w14:paraId="23401539" w14:textId="77777777" w:rsidR="00B65EDC" w:rsidRPr="00912A85" w:rsidRDefault="00B65EDC" w:rsidP="00B65EDC">
      <w:pPr>
        <w:rPr>
          <w:rFonts w:cs="Arial"/>
        </w:rPr>
      </w:pPr>
    </w:p>
    <w:p w14:paraId="6C7ADF1B" w14:textId="77777777" w:rsidR="00B65EDC" w:rsidRPr="00912A85" w:rsidRDefault="00B65EDC" w:rsidP="00B65EDC">
      <w:pPr>
        <w:rPr>
          <w:rFonts w:cs="Arial"/>
          <w:color w:val="000000"/>
        </w:rPr>
      </w:pPr>
      <w:r w:rsidRPr="00912A85">
        <w:rPr>
          <w:rFonts w:cs="Arial"/>
          <w:b/>
          <w:bCs/>
          <w:iCs/>
        </w:rPr>
        <w:t>Furniture and equipment</w:t>
      </w:r>
      <w:r w:rsidRPr="00912A85">
        <w:rPr>
          <w:rFonts w:cs="Arial"/>
          <w:b/>
        </w:rPr>
        <w:t>:</w:t>
      </w:r>
      <w:r w:rsidRPr="00912A85">
        <w:rPr>
          <w:rFonts w:cs="Arial"/>
        </w:rPr>
        <w:t xml:space="preserve"> </w:t>
      </w:r>
      <w:r w:rsidRPr="00912A85">
        <w:rPr>
          <w:rFonts w:cs="Arial"/>
          <w:color w:val="000000"/>
        </w:rPr>
        <w:t>purchase of office furniture, office machines, computer equipment (</w:t>
      </w:r>
      <w:proofErr w:type="gramStart"/>
      <w:r w:rsidRPr="00912A85">
        <w:rPr>
          <w:rFonts w:cs="Arial"/>
          <w:color w:val="000000"/>
        </w:rPr>
        <w:t>desktop</w:t>
      </w:r>
      <w:proofErr w:type="gramEnd"/>
      <w:r w:rsidRPr="00912A85">
        <w:rPr>
          <w:rFonts w:cs="Arial"/>
          <w:color w:val="000000"/>
        </w:rPr>
        <w:t>, laptops, printers, servers, etc.), conference servicing equipment, reproduction equipment and transportation equipment.</w:t>
      </w:r>
    </w:p>
    <w:p w14:paraId="40CDFFE0" w14:textId="77777777" w:rsidR="00B65EDC" w:rsidRPr="00912A85" w:rsidRDefault="00B65EDC" w:rsidP="00B65EDC"/>
    <w:p w14:paraId="39DE11F6" w14:textId="68D06A1C" w:rsidR="00B65EDC" w:rsidRPr="00912A85" w:rsidRDefault="00B65EDC" w:rsidP="00B65EDC">
      <w:pPr>
        <w:rPr>
          <w:rFonts w:cs="Arial"/>
          <w:color w:val="000000"/>
        </w:rPr>
      </w:pPr>
      <w:r w:rsidRPr="00912A85">
        <w:rPr>
          <w:rFonts w:cs="Arial"/>
          <w:b/>
          <w:bCs/>
          <w:iCs/>
          <w:color w:val="000000"/>
        </w:rPr>
        <w:t>Supplies and materials</w:t>
      </w:r>
      <w:r w:rsidRPr="00912A85">
        <w:rPr>
          <w:rFonts w:cs="Arial"/>
          <w:color w:val="000000"/>
        </w:rPr>
        <w:t xml:space="preserve">: stationery and office </w:t>
      </w:r>
      <w:proofErr w:type="gramStart"/>
      <w:r w:rsidRPr="00912A85">
        <w:rPr>
          <w:rFonts w:cs="Arial"/>
          <w:color w:val="000000"/>
        </w:rPr>
        <w:t>supplies;;</w:t>
      </w:r>
      <w:proofErr w:type="gramEnd"/>
      <w:r w:rsidRPr="00912A85">
        <w:rPr>
          <w:rFonts w:cs="Arial"/>
          <w:color w:val="000000"/>
        </w:rPr>
        <w:t xml:space="preserve"> library books and subscriptions to reviews and periodicals; uniforms; </w:t>
      </w:r>
      <w:r w:rsidR="00B97877">
        <w:rPr>
          <w:rFonts w:cs="Arial"/>
          <w:color w:val="000000"/>
        </w:rPr>
        <w:t xml:space="preserve">and purchase of </w:t>
      </w:r>
      <w:r w:rsidRPr="00912A85">
        <w:rPr>
          <w:rFonts w:cs="Arial"/>
          <w:color w:val="000000"/>
        </w:rPr>
        <w:t>software.</w:t>
      </w:r>
    </w:p>
    <w:p w14:paraId="1763DF30" w14:textId="77777777" w:rsidR="00B65EDC" w:rsidRPr="00912A85" w:rsidRDefault="00B65EDC" w:rsidP="00B65EDC">
      <w:pPr>
        <w:rPr>
          <w:rFonts w:cs="Arial"/>
          <w:color w:val="000000"/>
        </w:rPr>
      </w:pPr>
    </w:p>
    <w:p w14:paraId="6D75FF97" w14:textId="77777777" w:rsidR="00B65EDC" w:rsidRPr="00912A85" w:rsidRDefault="00B65EDC" w:rsidP="00B65EDC">
      <w:pPr>
        <w:pStyle w:val="endofdoc"/>
        <w:rPr>
          <w:rFonts w:cs="Arial"/>
        </w:rPr>
      </w:pPr>
      <w:r w:rsidRPr="00912A85">
        <w:t>[End of Appendix III and of document]</w:t>
      </w:r>
    </w:p>
    <w:p w14:paraId="62DB24D0" w14:textId="77777777" w:rsidR="00B65EDC" w:rsidRPr="00912A85" w:rsidRDefault="00B65EDC" w:rsidP="00B65EDC">
      <w:pPr>
        <w:jc w:val="left"/>
        <w:rPr>
          <w:snapToGrid w:val="0"/>
        </w:rPr>
      </w:pPr>
    </w:p>
    <w:p w14:paraId="0C201B34" w14:textId="77777777" w:rsidR="00B65EDC" w:rsidRPr="00912A85" w:rsidRDefault="00B65EDC" w:rsidP="00B65EDC">
      <w:pPr>
        <w:jc w:val="left"/>
      </w:pPr>
    </w:p>
    <w:p w14:paraId="46C052FC" w14:textId="77777777" w:rsidR="00B65EDC" w:rsidRPr="00912A85" w:rsidRDefault="00B65EDC" w:rsidP="00B65EDC">
      <w:pPr>
        <w:jc w:val="left"/>
      </w:pPr>
    </w:p>
    <w:p w14:paraId="559758CB" w14:textId="77777777" w:rsidR="00050E16" w:rsidRPr="00912A85" w:rsidRDefault="00050E16" w:rsidP="009B440E">
      <w:pPr>
        <w:jc w:val="left"/>
      </w:pPr>
    </w:p>
    <w:sectPr w:rsidR="00050E16" w:rsidRPr="00912A85" w:rsidSect="00B56FC0">
      <w:headerReference w:type="default" r:id="rId48"/>
      <w:pgSz w:w="11907" w:h="16840" w:code="9"/>
      <w:pgMar w:top="510" w:right="1134" w:bottom="1134"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F029" w14:textId="77777777" w:rsidR="00930CB8" w:rsidRDefault="00930CB8" w:rsidP="006655D3">
      <w:r>
        <w:separator/>
      </w:r>
    </w:p>
    <w:p w14:paraId="619E345A" w14:textId="77777777" w:rsidR="00930CB8" w:rsidRDefault="00930CB8" w:rsidP="006655D3"/>
    <w:p w14:paraId="0D4B4A46" w14:textId="77777777" w:rsidR="00930CB8" w:rsidRDefault="00930CB8" w:rsidP="006655D3"/>
  </w:endnote>
  <w:endnote w:type="continuationSeparator" w:id="0">
    <w:p w14:paraId="1F16847B" w14:textId="77777777" w:rsidR="00930CB8" w:rsidRDefault="00930CB8" w:rsidP="006655D3">
      <w:r>
        <w:separator/>
      </w:r>
    </w:p>
    <w:p w14:paraId="3DE532DB" w14:textId="77777777" w:rsidR="00930CB8" w:rsidRPr="00294751" w:rsidRDefault="00930CB8">
      <w:pPr>
        <w:pStyle w:val="Footer"/>
        <w:spacing w:after="60"/>
        <w:rPr>
          <w:sz w:val="18"/>
          <w:lang w:val="fr-FR"/>
        </w:rPr>
      </w:pPr>
      <w:r w:rsidRPr="00294751">
        <w:rPr>
          <w:sz w:val="18"/>
          <w:lang w:val="fr-FR"/>
        </w:rPr>
        <w:t>[Suite de la note de la page précédente]</w:t>
      </w:r>
    </w:p>
    <w:p w14:paraId="1CDCE309" w14:textId="77777777" w:rsidR="00930CB8" w:rsidRPr="00294751" w:rsidRDefault="00930CB8" w:rsidP="006655D3">
      <w:pPr>
        <w:rPr>
          <w:lang w:val="fr-FR"/>
        </w:rPr>
      </w:pPr>
    </w:p>
    <w:p w14:paraId="60FEA430" w14:textId="77777777" w:rsidR="00930CB8" w:rsidRPr="00294751" w:rsidRDefault="00930CB8" w:rsidP="006655D3">
      <w:pPr>
        <w:rPr>
          <w:lang w:val="fr-FR"/>
        </w:rPr>
      </w:pPr>
    </w:p>
  </w:endnote>
  <w:endnote w:type="continuationNotice" w:id="1">
    <w:p w14:paraId="70881B7E" w14:textId="77777777" w:rsidR="00930CB8" w:rsidRPr="00294751" w:rsidRDefault="00930CB8" w:rsidP="006655D3">
      <w:pPr>
        <w:rPr>
          <w:lang w:val="fr-FR"/>
        </w:rPr>
      </w:pPr>
      <w:r w:rsidRPr="00294751">
        <w:rPr>
          <w:lang w:val="fr-FR"/>
        </w:rPr>
        <w:t>[Suite de la note page suivante]</w:t>
      </w:r>
    </w:p>
    <w:p w14:paraId="3093AE21" w14:textId="77777777" w:rsidR="00930CB8" w:rsidRPr="00294751" w:rsidRDefault="00930CB8" w:rsidP="006655D3">
      <w:pPr>
        <w:rPr>
          <w:lang w:val="fr-FR"/>
        </w:rPr>
      </w:pPr>
    </w:p>
    <w:p w14:paraId="2C8BFD7C" w14:textId="77777777" w:rsidR="00930CB8" w:rsidRPr="00294751" w:rsidRDefault="00930CB8"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995F" w14:textId="5FE80786" w:rsidR="00B65EDC" w:rsidRDefault="001D2573">
    <w:pPr>
      <w:pStyle w:val="Footer"/>
    </w:pPr>
    <w:r>
      <w:rPr>
        <w:noProof/>
      </w:rPr>
      <mc:AlternateContent>
        <mc:Choice Requires="wps">
          <w:drawing>
            <wp:anchor distT="0" distB="0" distL="0" distR="0" simplePos="0" relativeHeight="251658241" behindDoc="0" locked="0" layoutInCell="1" allowOverlap="1" wp14:anchorId="637579BE" wp14:editId="4D7A8A90">
              <wp:simplePos x="635" y="635"/>
              <wp:positionH relativeFrom="page">
                <wp:align>center</wp:align>
              </wp:positionH>
              <wp:positionV relativeFrom="page">
                <wp:align>bottom</wp:align>
              </wp:positionV>
              <wp:extent cx="1564005" cy="345440"/>
              <wp:effectExtent l="0" t="0" r="17145" b="0"/>
              <wp:wrapNone/>
              <wp:docPr id="102380312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5D664F9" w14:textId="7CEC73C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579BE"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5D664F9" w14:textId="7CEC73C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78" w14:textId="60FB84D3" w:rsidR="00B65EDC" w:rsidRDefault="001D2573">
    <w:pPr>
      <w:pStyle w:val="Footer"/>
    </w:pPr>
    <w:r>
      <w:rPr>
        <w:noProof/>
      </w:rPr>
      <mc:AlternateContent>
        <mc:Choice Requires="wps">
          <w:drawing>
            <wp:anchor distT="0" distB="0" distL="0" distR="0" simplePos="0" relativeHeight="251658251" behindDoc="0" locked="0" layoutInCell="1" allowOverlap="1" wp14:anchorId="2C237F26" wp14:editId="3B88CE6A">
              <wp:simplePos x="635" y="635"/>
              <wp:positionH relativeFrom="page">
                <wp:align>center</wp:align>
              </wp:positionH>
              <wp:positionV relativeFrom="page">
                <wp:align>bottom</wp:align>
              </wp:positionV>
              <wp:extent cx="1564005" cy="345440"/>
              <wp:effectExtent l="0" t="0" r="17145" b="0"/>
              <wp:wrapNone/>
              <wp:docPr id="677590677" name="Text Box 1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8B4CC8C" w14:textId="7B180E7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37F26" id="_x0000_t202" coordsize="21600,21600" o:spt="202" path="m,l,21600r21600,l21600,xe">
              <v:stroke joinstyle="miter"/>
              <v:path gradientshapeok="t" o:connecttype="rect"/>
            </v:shapetype>
            <v:shape id="Text Box 12" o:spid="_x0000_s1032" type="#_x0000_t202" alt="WIPO FOR OFFICIAL USE ONLY " style="position:absolute;left:0;text-align:left;margin-left:0;margin-top:0;width:123.15pt;height:27.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68B4CC8C" w14:textId="7B180E7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FC0" w14:textId="5598B796" w:rsidR="00B65EDC" w:rsidRDefault="001D2573">
    <w:pPr>
      <w:pStyle w:val="Footer"/>
    </w:pPr>
    <w:r>
      <w:rPr>
        <w:noProof/>
      </w:rPr>
      <mc:AlternateContent>
        <mc:Choice Requires="wps">
          <w:drawing>
            <wp:anchor distT="0" distB="0" distL="0" distR="0" simplePos="0" relativeHeight="251658249" behindDoc="0" locked="0" layoutInCell="1" allowOverlap="1" wp14:anchorId="5EC7E79B" wp14:editId="3EA81CF9">
              <wp:simplePos x="635" y="635"/>
              <wp:positionH relativeFrom="page">
                <wp:align>center</wp:align>
              </wp:positionH>
              <wp:positionV relativeFrom="page">
                <wp:align>bottom</wp:align>
              </wp:positionV>
              <wp:extent cx="1564005" cy="345440"/>
              <wp:effectExtent l="0" t="0" r="17145" b="0"/>
              <wp:wrapNone/>
              <wp:docPr id="820950805"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F511C30" w14:textId="55B331F5"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7E79B" id="_x0000_t202" coordsize="21600,21600" o:spt="202" path="m,l,21600r21600,l21600,xe">
              <v:stroke joinstyle="miter"/>
              <v:path gradientshapeok="t" o:connecttype="rect"/>
            </v:shapetype>
            <v:shape id="Text Box 10" o:spid="_x0000_s1033" type="#_x0000_t202" alt="WIPO FOR OFFICIAL USE ONLY " style="position:absolute;left:0;text-align:left;margin-left:0;margin-top:0;width:123.15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aYwIWEAIA&#10;AB0EAAAOAAAAAAAAAAAAAAAAAC4CAABkcnMvZTJvRG9jLnhtbFBLAQItABQABgAIAAAAIQA1Jcec&#10;2wAAAAQBAAAPAAAAAAAAAAAAAAAAAGoEAABkcnMvZG93bnJldi54bWxQSwUGAAAAAAQABADzAAAA&#10;cgUAAAAA&#10;" filled="f" stroked="f">
              <v:textbox style="mso-fit-shape-to-text:t" inset="0,0,0,15pt">
                <w:txbxContent>
                  <w:p w14:paraId="2F511C30" w14:textId="55B331F5"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E55" w14:textId="6D39289A" w:rsidR="00B65EDC" w:rsidRDefault="001D2573">
    <w:pPr>
      <w:pStyle w:val="Footer"/>
    </w:pPr>
    <w:r>
      <w:rPr>
        <w:noProof/>
      </w:rPr>
      <mc:AlternateContent>
        <mc:Choice Requires="wps">
          <w:drawing>
            <wp:anchor distT="0" distB="0" distL="0" distR="0" simplePos="0" relativeHeight="251658253" behindDoc="0" locked="0" layoutInCell="1" allowOverlap="1" wp14:anchorId="44D77E8D" wp14:editId="39D32AF6">
              <wp:simplePos x="635" y="635"/>
              <wp:positionH relativeFrom="page">
                <wp:align>center</wp:align>
              </wp:positionH>
              <wp:positionV relativeFrom="page">
                <wp:align>bottom</wp:align>
              </wp:positionV>
              <wp:extent cx="1564005" cy="345440"/>
              <wp:effectExtent l="0" t="0" r="17145" b="0"/>
              <wp:wrapNone/>
              <wp:docPr id="514969573" name="Text Box 1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4F33841" w14:textId="01C1C4F9"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77E8D" id="_x0000_t202" coordsize="21600,21600" o:spt="202" path="m,l,21600r21600,l21600,xe">
              <v:stroke joinstyle="miter"/>
              <v:path gradientshapeok="t" o:connecttype="rect"/>
            </v:shapetype>
            <v:shape id="Text Box 14" o:spid="_x0000_s1034" type="#_x0000_t202" alt="WIPO FOR OFFICIAL USE ONLY " style="position:absolute;left:0;text-align:left;margin-left:0;margin-top:0;width:123.15pt;height:27.2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04F33841" w14:textId="01C1C4F9"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53F" w14:textId="7C9B6046" w:rsidR="00B65EDC" w:rsidRDefault="001D2573">
    <w:pPr>
      <w:pStyle w:val="Footer"/>
    </w:pPr>
    <w:r>
      <w:rPr>
        <w:noProof/>
      </w:rPr>
      <mc:AlternateContent>
        <mc:Choice Requires="wps">
          <w:drawing>
            <wp:anchor distT="0" distB="0" distL="0" distR="0" simplePos="0" relativeHeight="251658254" behindDoc="0" locked="0" layoutInCell="1" allowOverlap="1" wp14:anchorId="6FC94ABF" wp14:editId="65F88D01">
              <wp:simplePos x="635" y="635"/>
              <wp:positionH relativeFrom="page">
                <wp:align>center</wp:align>
              </wp:positionH>
              <wp:positionV relativeFrom="page">
                <wp:align>bottom</wp:align>
              </wp:positionV>
              <wp:extent cx="1564005" cy="345440"/>
              <wp:effectExtent l="0" t="0" r="17145" b="0"/>
              <wp:wrapNone/>
              <wp:docPr id="1601257289" name="Text Box 1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9F2F66E" w14:textId="08E4A71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94ABF" id="_x0000_t202" coordsize="21600,21600" o:spt="202" path="m,l,21600r21600,l21600,xe">
              <v:stroke joinstyle="miter"/>
              <v:path gradientshapeok="t" o:connecttype="rect"/>
            </v:shapetype>
            <v:shape id="Text Box 15" o:spid="_x0000_s1035" type="#_x0000_t202" alt="WIPO FOR OFFICIAL USE ONLY " style="position:absolute;left:0;text-align:left;margin-left:0;margin-top:0;width:123.15pt;height:27.2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49F2F66E" w14:textId="08E4A711"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A917" w14:textId="29904AE5" w:rsidR="00B65EDC" w:rsidRDefault="001D2573">
    <w:pPr>
      <w:pStyle w:val="Footer"/>
    </w:pPr>
    <w:r>
      <w:rPr>
        <w:noProof/>
      </w:rPr>
      <mc:AlternateContent>
        <mc:Choice Requires="wps">
          <w:drawing>
            <wp:anchor distT="0" distB="0" distL="0" distR="0" simplePos="0" relativeHeight="251658252" behindDoc="0" locked="0" layoutInCell="1" allowOverlap="1" wp14:anchorId="1F95E9BE" wp14:editId="1EC7608B">
              <wp:simplePos x="635" y="635"/>
              <wp:positionH relativeFrom="page">
                <wp:align>center</wp:align>
              </wp:positionH>
              <wp:positionV relativeFrom="page">
                <wp:align>bottom</wp:align>
              </wp:positionV>
              <wp:extent cx="1564005" cy="345440"/>
              <wp:effectExtent l="0" t="0" r="17145" b="0"/>
              <wp:wrapNone/>
              <wp:docPr id="2128147520" name="Text Box 1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7A2D41" w14:textId="7C26EB6E"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5E9BE" id="_x0000_t202" coordsize="21600,21600" o:spt="202" path="m,l,21600r21600,l21600,xe">
              <v:stroke joinstyle="miter"/>
              <v:path gradientshapeok="t" o:connecttype="rect"/>
            </v:shapetype>
            <v:shape id="Text Box 13" o:spid="_x0000_s1036" type="#_x0000_t202" alt="WIPO FOR OFFICIAL USE ONLY " style="position:absolute;left:0;text-align:left;margin-left:0;margin-top:0;width:123.15pt;height:27.2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" filled="f" stroked="f">
              <v:textbox style="mso-fit-shape-to-text:t" inset="0,0,0,15pt">
                <w:txbxContent>
                  <w:p w14:paraId="3A7A2D41" w14:textId="7C26EB6E"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27DB" w14:textId="4C499AC5" w:rsidR="00B65EDC" w:rsidRDefault="001D2573">
    <w:pPr>
      <w:pStyle w:val="Footer"/>
    </w:pPr>
    <w:r>
      <w:rPr>
        <w:noProof/>
      </w:rPr>
      <mc:AlternateContent>
        <mc:Choice Requires="wps">
          <w:drawing>
            <wp:anchor distT="0" distB="0" distL="0" distR="0" simplePos="0" relativeHeight="251658256" behindDoc="0" locked="0" layoutInCell="1" allowOverlap="1" wp14:anchorId="3EC34DE2" wp14:editId="7C580F33">
              <wp:simplePos x="635" y="635"/>
              <wp:positionH relativeFrom="page">
                <wp:align>center</wp:align>
              </wp:positionH>
              <wp:positionV relativeFrom="page">
                <wp:align>bottom</wp:align>
              </wp:positionV>
              <wp:extent cx="1564005" cy="345440"/>
              <wp:effectExtent l="0" t="0" r="17145" b="0"/>
              <wp:wrapNone/>
              <wp:docPr id="1425469142" name="Text Box 1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54C591B" w14:textId="5D03124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C34DE2" id="_x0000_t202" coordsize="21600,21600" o:spt="202" path="m,l,21600r21600,l21600,xe">
              <v:stroke joinstyle="miter"/>
              <v:path gradientshapeok="t" o:connecttype="rect"/>
            </v:shapetype>
            <v:shape id="Text Box 17" o:spid="_x0000_s1037" type="#_x0000_t202" alt="WIPO FOR OFFICIAL USE ONLY " style="position:absolute;left:0;text-align:left;margin-left:0;margin-top:0;width:123.15pt;height:27.2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Vu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5zF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CsBtW4PAgAA&#10;HgQAAA4AAAAAAAAAAAAAAAAALgIAAGRycy9lMm9Eb2MueG1sUEsBAi0AFAAGAAgAAAAhADUlx5zb&#10;AAAABAEAAA8AAAAAAAAAAAAAAAAAaQQAAGRycy9kb3ducmV2LnhtbFBLBQYAAAAABAAEAPMAAABx&#10;BQAAAAA=&#10;" filled="f" stroked="f">
              <v:textbox style="mso-fit-shape-to-text:t" inset="0,0,0,15pt">
                <w:txbxContent>
                  <w:p w14:paraId="054C591B" w14:textId="5D03124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339" w14:textId="21E1BEC2" w:rsidR="00B65EDC" w:rsidRPr="00AB1801" w:rsidRDefault="00B65EDC" w:rsidP="00AB180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6BB" w14:textId="252936B9" w:rsidR="00B65EDC" w:rsidRPr="00621F63" w:rsidRDefault="001D2573" w:rsidP="00621F63">
    <w:pPr>
      <w:pStyle w:val="Footer"/>
    </w:pPr>
    <w:r>
      <w:rPr>
        <w:noProof/>
      </w:rPr>
      <mc:AlternateContent>
        <mc:Choice Requires="wps">
          <w:drawing>
            <wp:anchor distT="0" distB="0" distL="0" distR="0" simplePos="0" relativeHeight="251658255" behindDoc="0" locked="0" layoutInCell="1" allowOverlap="1" wp14:anchorId="39250EF4" wp14:editId="1C645B1F">
              <wp:simplePos x="635" y="635"/>
              <wp:positionH relativeFrom="page">
                <wp:align>center</wp:align>
              </wp:positionH>
              <wp:positionV relativeFrom="page">
                <wp:align>bottom</wp:align>
              </wp:positionV>
              <wp:extent cx="1564005" cy="345440"/>
              <wp:effectExtent l="0" t="0" r="17145" b="0"/>
              <wp:wrapNone/>
              <wp:docPr id="964191557" name="Text Box 1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27A0494" w14:textId="3E0E64A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50EF4" id="_x0000_t202" coordsize="21600,21600" o:spt="202" path="m,l,21600r21600,l21600,xe">
              <v:stroke joinstyle="miter"/>
              <v:path gradientshapeok="t" o:connecttype="rect"/>
            </v:shapetype>
            <v:shape id="Text Box 16" o:spid="_x0000_s1038" type="#_x0000_t202" alt="WIPO FOR OFFICIAL USE ONLY " style="position:absolute;left:0;text-align:left;margin-left:0;margin-top:0;width:123.15pt;height:27.2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IoEA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okkmw/xbqI60FsKJce/kqqHea+HDk0CimDYh&#10;2YZHOnQLXcnhbHFWA/56zx/zCXmKctaRZEpuSdOctT8sMRLVNRg4GNtkjL/ms5zidm/ugIQ4pjfh&#10;ZDLJi6EdTI1gXkjQy9iIQsJKalfy7WDehZN26UFItVymJBKSE2FtN07G0hGvCOZz/yLQnREPxNUD&#10;DHoSxSvgT7nxpnfLfSD4EysR2xOQZ8hJhIms84OJKv/zP2Vdn/XiN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CcwGIoEAIA&#10;AB4EAAAOAAAAAAAAAAAAAAAAAC4CAABkcnMvZTJvRG9jLnhtbFBLAQItABQABgAIAAAAIQA1Jcec&#10;2wAAAAQBAAAPAAAAAAAAAAAAAAAAAGoEAABkcnMvZG93bnJldi54bWxQSwUGAAAAAAQABADzAAAA&#10;cgUAAAAA&#10;" filled="f" stroked="f">
              <v:textbox style="mso-fit-shape-to-text:t" inset="0,0,0,15pt">
                <w:txbxContent>
                  <w:p w14:paraId="227A0494" w14:textId="3E0E64AD"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78E" w14:textId="565FD592" w:rsidR="001D2573" w:rsidRDefault="001D2573">
    <w:pPr>
      <w:pStyle w:val="Footer"/>
    </w:pPr>
    <w:r>
      <w:rPr>
        <w:noProof/>
      </w:rPr>
      <mc:AlternateContent>
        <mc:Choice Requires="wps">
          <w:drawing>
            <wp:anchor distT="0" distB="0" distL="0" distR="0" simplePos="0" relativeHeight="251658242" behindDoc="0" locked="0" layoutInCell="1" allowOverlap="1" wp14:anchorId="35912CF6" wp14:editId="22B3A5EF">
              <wp:simplePos x="635" y="635"/>
              <wp:positionH relativeFrom="page">
                <wp:align>center</wp:align>
              </wp:positionH>
              <wp:positionV relativeFrom="page">
                <wp:align>bottom</wp:align>
              </wp:positionV>
              <wp:extent cx="1564005" cy="345440"/>
              <wp:effectExtent l="0" t="0" r="17145" b="0"/>
              <wp:wrapNone/>
              <wp:docPr id="168928746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EEDDC9A" w14:textId="3634FD3A"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12CF6"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6EEDDC9A" w14:textId="3634FD3A"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034" w14:textId="3BE71B33" w:rsidR="00B65EDC" w:rsidRDefault="001D2573">
    <w:pPr>
      <w:pStyle w:val="Footer"/>
    </w:pPr>
    <w:r>
      <w:rPr>
        <w:noProof/>
      </w:rPr>
      <mc:AlternateContent>
        <mc:Choice Requires="wps">
          <w:drawing>
            <wp:anchor distT="0" distB="0" distL="0" distR="0" simplePos="0" relativeHeight="251658244" behindDoc="0" locked="0" layoutInCell="1" allowOverlap="1" wp14:anchorId="2C0B4799" wp14:editId="64006AF7">
              <wp:simplePos x="635" y="635"/>
              <wp:positionH relativeFrom="page">
                <wp:align>center</wp:align>
              </wp:positionH>
              <wp:positionV relativeFrom="page">
                <wp:align>bottom</wp:align>
              </wp:positionV>
              <wp:extent cx="1564005" cy="345440"/>
              <wp:effectExtent l="0" t="0" r="17145" b="0"/>
              <wp:wrapNone/>
              <wp:docPr id="1874105305"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6C6D819" w14:textId="355D0ED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B4799" id="_x0000_t202" coordsize="21600,21600" o:spt="202" path="m,l,21600r21600,l21600,xe">
              <v:stroke joinstyle="miter"/>
              <v:path gradientshapeok="t" o:connecttype="rect"/>
            </v:shapetype>
            <v:shape id="Text Box 5" o:spid="_x0000_s1028" type="#_x0000_t202" alt="WIPO FOR OFFICIAL USE ONLY " style="position:absolute;left:0;text-align:left;margin-left:0;margin-top:0;width:123.1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26C6D819" w14:textId="355D0ED3"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E81" w14:textId="5CEA90A1" w:rsidR="00B65EDC" w:rsidRPr="00AB1801" w:rsidRDefault="00B65EDC" w:rsidP="00AB18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BDC" w14:textId="76F14DB0" w:rsidR="00B65EDC" w:rsidRPr="00AB1801" w:rsidRDefault="00B65EDC" w:rsidP="00AB18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4A6" w14:textId="48E87005" w:rsidR="00B65EDC" w:rsidRDefault="001D2573">
    <w:pPr>
      <w:pStyle w:val="Footer"/>
    </w:pPr>
    <w:r>
      <w:rPr>
        <w:noProof/>
      </w:rPr>
      <mc:AlternateContent>
        <mc:Choice Requires="wps">
          <w:drawing>
            <wp:anchor distT="0" distB="0" distL="0" distR="0" simplePos="0" relativeHeight="251658247" behindDoc="0" locked="0" layoutInCell="1" allowOverlap="1" wp14:anchorId="181E5559" wp14:editId="1ACCA5E0">
              <wp:simplePos x="635" y="635"/>
              <wp:positionH relativeFrom="page">
                <wp:align>center</wp:align>
              </wp:positionH>
              <wp:positionV relativeFrom="page">
                <wp:align>bottom</wp:align>
              </wp:positionV>
              <wp:extent cx="1564005" cy="345440"/>
              <wp:effectExtent l="0" t="0" r="17145" b="0"/>
              <wp:wrapNone/>
              <wp:docPr id="85501014"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13DF0BA" w14:textId="1048CB84"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E5559" id="_x0000_t202" coordsize="21600,21600" o:spt="202" path="m,l,21600r21600,l21600,xe">
              <v:stroke joinstyle="miter"/>
              <v:path gradientshapeok="t" o:connecttype="rect"/>
            </v:shapetype>
            <v:shape id="Text Box 8" o:spid="_x0000_s1029" type="#_x0000_t202" alt="WIPO FOR OFFICIAL USE ONLY " style="position:absolute;left:0;text-align:left;margin-left:0;margin-top:0;width:123.15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113DF0BA" w14:textId="1048CB84"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36E" w14:textId="0DA0D5FF" w:rsidR="00B65EDC" w:rsidRPr="00AB1801" w:rsidRDefault="00B65EDC" w:rsidP="00AB18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A1D" w14:textId="0DC38405" w:rsidR="00B65EDC" w:rsidRDefault="001D2573">
    <w:pPr>
      <w:pStyle w:val="Footer"/>
    </w:pPr>
    <w:r>
      <w:rPr>
        <w:noProof/>
      </w:rPr>
      <mc:AlternateContent>
        <mc:Choice Requires="wps">
          <w:drawing>
            <wp:anchor distT="0" distB="0" distL="0" distR="0" simplePos="0" relativeHeight="251658246" behindDoc="0" locked="0" layoutInCell="1" allowOverlap="1" wp14:anchorId="20AC6126" wp14:editId="2F7F5321">
              <wp:simplePos x="635" y="635"/>
              <wp:positionH relativeFrom="page">
                <wp:align>center</wp:align>
              </wp:positionH>
              <wp:positionV relativeFrom="page">
                <wp:align>bottom</wp:align>
              </wp:positionV>
              <wp:extent cx="1564005" cy="345440"/>
              <wp:effectExtent l="0" t="0" r="17145" b="0"/>
              <wp:wrapNone/>
              <wp:docPr id="1458850937"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ADB1AB9" w14:textId="429D2770"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C6126" id="_x0000_t202" coordsize="21600,21600" o:spt="202" path="m,l,21600r21600,l21600,xe">
              <v:stroke joinstyle="miter"/>
              <v:path gradientshapeok="t" o:connecttype="rect"/>
            </v:shapetype>
            <v:shape id="Text Box 7" o:spid="_x0000_s1030" type="#_x0000_t202" alt="WIPO FOR OFFICIAL USE ONLY " style="position:absolute;left:0;text-align:left;margin-left:0;margin-top:0;width:123.15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7ADB1AB9" w14:textId="429D2770"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0F3" w14:textId="233CDC01" w:rsidR="00B65EDC" w:rsidRDefault="001D2573">
    <w:pPr>
      <w:pStyle w:val="Footer"/>
    </w:pPr>
    <w:r>
      <w:rPr>
        <w:noProof/>
      </w:rPr>
      <mc:AlternateContent>
        <mc:Choice Requires="wps">
          <w:drawing>
            <wp:anchor distT="0" distB="0" distL="0" distR="0" simplePos="0" relativeHeight="251658250" behindDoc="0" locked="0" layoutInCell="1" allowOverlap="1" wp14:anchorId="70D0DEDD" wp14:editId="42C87472">
              <wp:simplePos x="635" y="635"/>
              <wp:positionH relativeFrom="page">
                <wp:align>center</wp:align>
              </wp:positionH>
              <wp:positionV relativeFrom="page">
                <wp:align>bottom</wp:align>
              </wp:positionV>
              <wp:extent cx="1564005" cy="345440"/>
              <wp:effectExtent l="0" t="0" r="17145" b="0"/>
              <wp:wrapNone/>
              <wp:docPr id="820378788" name="Text Box 1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16C52A" w14:textId="1696B487"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0DEDD" id="_x0000_t202" coordsize="21600,21600" o:spt="202" path="m,l,21600r21600,l21600,xe">
              <v:stroke joinstyle="miter"/>
              <v:path gradientshapeok="t" o:connecttype="rect"/>
            </v:shapetype>
            <v:shape id="Text Box 11" o:spid="_x0000_s1031" type="#_x0000_t202" alt="WIPO FOR OFFICIAL USE ONLY " style="position:absolute;left:0;text-align:left;margin-left:0;margin-top:0;width:123.15pt;height:27.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3A16C52A" w14:textId="1696B487" w:rsidR="001D2573" w:rsidRPr="001D2573" w:rsidRDefault="001D2573" w:rsidP="001D2573">
                    <w:pPr>
                      <w:rPr>
                        <w:rFonts w:ascii="Calibri" w:eastAsia="Calibri" w:hAnsi="Calibri" w:cs="Calibri"/>
                        <w:noProof/>
                        <w:color w:val="000000"/>
                      </w:rPr>
                    </w:pPr>
                    <w:r w:rsidRPr="001D2573">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C872" w14:textId="77777777" w:rsidR="00930CB8" w:rsidRDefault="00930CB8" w:rsidP="006655D3">
      <w:r>
        <w:separator/>
      </w:r>
    </w:p>
  </w:footnote>
  <w:footnote w:type="continuationSeparator" w:id="0">
    <w:p w14:paraId="6A6AECD0" w14:textId="77777777" w:rsidR="00930CB8" w:rsidRDefault="00930CB8" w:rsidP="006655D3">
      <w:r>
        <w:separator/>
      </w:r>
    </w:p>
  </w:footnote>
  <w:footnote w:type="continuationNotice" w:id="1">
    <w:p w14:paraId="18E151BC" w14:textId="77777777" w:rsidR="00930CB8" w:rsidRPr="00AB530F" w:rsidRDefault="00930CB8" w:rsidP="00AB530F">
      <w:pPr>
        <w:pStyle w:val="Footer"/>
      </w:pPr>
    </w:p>
  </w:footnote>
  <w:footnote w:id="2">
    <w:p w14:paraId="71BFFEEF" w14:textId="77777777" w:rsidR="00B65EDC" w:rsidRDefault="00B65EDC" w:rsidP="00B104C1">
      <w:pPr>
        <w:pStyle w:val="FootnoteText"/>
      </w:pPr>
      <w:r w:rsidRPr="00D67D64">
        <w:rPr>
          <w:rStyle w:val="FootnoteReference"/>
        </w:rPr>
        <w:footnoteRef/>
      </w:r>
      <w:r w:rsidRPr="00D67D64">
        <w:tab/>
        <w:t xml:space="preserve">The figures in tables 1 to </w:t>
      </w:r>
      <w:r>
        <w:t xml:space="preserve">7 </w:t>
      </w:r>
      <w:r w:rsidRPr="00D67D64">
        <w:t>may not add up due to rounding.</w:t>
      </w:r>
    </w:p>
  </w:footnote>
  <w:footnote w:id="3">
    <w:p w14:paraId="6DA3F9A7" w14:textId="77777777" w:rsidR="00B65EDC" w:rsidRDefault="00B65EDC" w:rsidP="00B104C1">
      <w:pPr>
        <w:pStyle w:val="FootnoteText"/>
      </w:pPr>
      <w:r>
        <w:rPr>
          <w:rStyle w:val="FootnoteReference"/>
        </w:rPr>
        <w:footnoteRef/>
      </w:r>
      <w:r>
        <w:tab/>
      </w:r>
      <w:r w:rsidRPr="0040670D">
        <w:t xml:space="preserve">UPOV/INF/8 </w:t>
      </w:r>
      <w:r>
        <w:t>“</w:t>
      </w:r>
      <w:r w:rsidRPr="0040670D">
        <w:t>Agreement between the World Intellectual Property Organization and the International Union for the Protection of New Varieties of Plants</w:t>
      </w:r>
      <w:r>
        <w:t>”, Article 6(1) states that “For the purpose of this Agreement ‘the staff of the Office of UPOV’ means the Vice Secretary-General of UPOV and any other person exclusively working for UPOV, whereas ‘the Office of UPOV’ means both the Secretary-General of UPOV and the staff of the Office of UPOV.”</w:t>
      </w:r>
    </w:p>
  </w:footnote>
  <w:footnote w:id="4">
    <w:p w14:paraId="5168D235" w14:textId="2C8606C2" w:rsidR="00B104C1" w:rsidRDefault="00B104C1" w:rsidP="00B104C1">
      <w:pPr>
        <w:pStyle w:val="FootnoteText"/>
      </w:pPr>
      <w:r>
        <w:rPr>
          <w:rStyle w:val="FootnoteReference"/>
        </w:rPr>
        <w:footnoteRef/>
      </w:r>
      <w:r w:rsidR="00443835">
        <w:tab/>
      </w:r>
      <w:r w:rsidRPr="00443835">
        <w:t>The methodology for the UPOV’s Executive Program (27 participants) was applied for ARIPO Regional Workshop on Plant Variety Protection for ARIPO Member States (48 participants)</w:t>
      </w:r>
      <w:r w:rsidR="00980A67">
        <w:rPr>
          <w:sz w:val="14"/>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AA88" w14:textId="77777777" w:rsidR="005D2CBA" w:rsidRPr="00766E51" w:rsidRDefault="005D2CBA" w:rsidP="005D2CBA">
    <w:pPr>
      <w:pStyle w:val="Header"/>
      <w:jc w:val="right"/>
      <w:rPr>
        <w:b/>
        <w:color w:val="26724C" w:themeColor="accent1" w:themeShade="BF"/>
        <w:lang w:val="en-US"/>
      </w:rPr>
    </w:pPr>
    <w:r w:rsidRPr="00766E51">
      <w:rPr>
        <w:b/>
        <w:color w:val="26724C" w:themeColor="accent1" w:themeShade="BF"/>
        <w:lang w:val="en-US"/>
      </w:rPr>
      <w:t>UPOV</w:t>
    </w:r>
  </w:p>
  <w:p w14:paraId="271C2423" w14:textId="560BBCB2" w:rsidR="005D2CBA" w:rsidRPr="00766E51" w:rsidRDefault="005D2CBA" w:rsidP="005D2CBA">
    <w:pPr>
      <w:pStyle w:val="Header"/>
      <w:jc w:val="right"/>
      <w:rPr>
        <w:color w:val="26724C" w:themeColor="accent1" w:themeShade="BF"/>
        <w:lang w:val="en-US"/>
      </w:rPr>
    </w:pPr>
    <w:r w:rsidRPr="00766E51">
      <w:rPr>
        <w:color w:val="26724C" w:themeColor="accent1" w:themeShade="BF"/>
        <w:lang w:val="en-US"/>
      </w:rPr>
      <w:t>Program and Budget 202</w:t>
    </w:r>
    <w:r w:rsidR="00766E51">
      <w:rPr>
        <w:color w:val="26724C" w:themeColor="accent1" w:themeShade="BF"/>
        <w:lang w:val="en-US"/>
      </w:rPr>
      <w:t>6</w:t>
    </w:r>
    <w:r w:rsidRPr="00766E51">
      <w:rPr>
        <w:color w:val="26724C" w:themeColor="accent1" w:themeShade="BF"/>
        <w:lang w:val="en-US"/>
      </w:rPr>
      <w:noBreakHyphen/>
      <w:t>202</w:t>
    </w:r>
    <w:r w:rsidR="00766E51">
      <w:rPr>
        <w:color w:val="26724C" w:themeColor="accent1" w:themeShade="BF"/>
        <w:lang w:val="en-US"/>
      </w:rPr>
      <w:t>7</w:t>
    </w:r>
  </w:p>
  <w:p w14:paraId="7DA30896" w14:textId="77777777" w:rsidR="005D2CBA" w:rsidRPr="00766E51" w:rsidRDefault="005D2CBA" w:rsidP="005D2CBA">
    <w:pPr>
      <w:pStyle w:val="Header"/>
      <w:pBdr>
        <w:bottom w:val="single" w:sz="4" w:space="1" w:color="auto"/>
      </w:pBdr>
      <w:jc w:val="right"/>
      <w:rPr>
        <w:color w:val="26724C" w:themeColor="accent1" w:themeShade="BF"/>
        <w:lang w:val="en-US"/>
      </w:rPr>
    </w:pPr>
    <w:r w:rsidRPr="00766E51">
      <w:rPr>
        <w:color w:val="26724C" w:themeColor="accent1" w:themeShade="BF"/>
        <w:lang w:val="en-US"/>
      </w:rPr>
      <w:t xml:space="preserve">page </w:t>
    </w:r>
    <w:sdt>
      <w:sdtPr>
        <w:rPr>
          <w:color w:val="26724C" w:themeColor="accent1" w:themeShade="BF"/>
        </w:rPr>
        <w:id w:val="1569839975"/>
        <w:docPartObj>
          <w:docPartGallery w:val="Page Numbers (Top of Page)"/>
          <w:docPartUnique/>
        </w:docPartObj>
      </w:sdtPr>
      <w:sdtEndPr>
        <w:rPr>
          <w:noProof/>
        </w:rPr>
      </w:sdtEndPr>
      <w:sdtContent>
        <w:r w:rsidRPr="008B40C0">
          <w:rPr>
            <w:color w:val="26724C" w:themeColor="accent1" w:themeShade="BF"/>
          </w:rPr>
          <w:fldChar w:fldCharType="begin"/>
        </w:r>
        <w:r w:rsidRPr="00766E51">
          <w:rPr>
            <w:color w:val="26724C" w:themeColor="accent1" w:themeShade="BF"/>
            <w:lang w:val="en-US"/>
          </w:rPr>
          <w:instrText xml:space="preserve"> PAGE   \* MERGEFORMAT </w:instrText>
        </w:r>
        <w:r w:rsidRPr="008B40C0">
          <w:rPr>
            <w:color w:val="26724C" w:themeColor="accent1" w:themeShade="BF"/>
          </w:rPr>
          <w:fldChar w:fldCharType="separate"/>
        </w:r>
        <w:r w:rsidRPr="00766E51">
          <w:rPr>
            <w:color w:val="26724C" w:themeColor="accent1" w:themeShade="BF"/>
            <w:lang w:val="en-US"/>
          </w:rPr>
          <w:t>2</w:t>
        </w:r>
        <w:r w:rsidRPr="008B40C0">
          <w:rPr>
            <w:noProof/>
            <w:color w:val="26724C" w:themeColor="accent1" w:themeShade="BF"/>
          </w:rPr>
          <w:fldChar w:fldCharType="end"/>
        </w:r>
      </w:sdtContent>
    </w:sdt>
  </w:p>
  <w:p w14:paraId="10151E5A" w14:textId="77777777" w:rsidR="00B65EDC" w:rsidRPr="00766E51" w:rsidRDefault="00B65EDC"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5A" w14:textId="4963F662"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66D1FFE7" w14:textId="77777777" w:rsidR="00B65EDC" w:rsidRPr="00766E51" w:rsidRDefault="00B65EDC">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5DE"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4BA62D59" w14:textId="00FEC6AF"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Preliminary 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41269828" w14:textId="77777777" w:rsidR="00B65EDC" w:rsidRPr="008B40C0" w:rsidRDefault="00B65EDC">
    <w:pPr>
      <w:pStyle w:val="Header"/>
      <w:pBdr>
        <w:bottom w:val="single" w:sz="4" w:space="1" w:color="auto"/>
      </w:pBdr>
      <w:jc w:val="right"/>
      <w:rPr>
        <w:color w:val="26724C" w:themeColor="accent1" w:themeShade="BF"/>
        <w:lang w:val="fr-CH"/>
      </w:rPr>
    </w:pPr>
    <w:r w:rsidRPr="008B40C0">
      <w:rPr>
        <w:color w:val="26724C" w:themeColor="accent1" w:themeShade="BF"/>
        <w:lang w:val="fr-CH"/>
      </w:rPr>
      <w:t>Appendix II</w:t>
    </w:r>
    <w:r>
      <w:rPr>
        <w:color w:val="26724C" w:themeColor="accent1" w:themeShade="BF"/>
        <w:lang w:val="fr-CH"/>
      </w:rPr>
      <w:t>,</w:t>
    </w:r>
    <w:r w:rsidRPr="00495E48">
      <w:rPr>
        <w:lang w:val="fr-CH"/>
      </w:rPr>
      <w:t xml:space="preserve"> </w:t>
    </w:r>
    <w:r w:rsidRPr="008B40C0">
      <w:rPr>
        <w:color w:val="26724C" w:themeColor="accent1" w:themeShade="BF"/>
        <w:lang w:val="fr-CH"/>
      </w:rPr>
      <w:t xml:space="preserve">page </w:t>
    </w:r>
    <w:r w:rsidRPr="008B40C0">
      <w:rPr>
        <w:color w:val="26724C" w:themeColor="accent1" w:themeShade="BF"/>
      </w:rPr>
      <w:fldChar w:fldCharType="begin"/>
    </w:r>
    <w:r w:rsidRPr="008B40C0">
      <w:rPr>
        <w:color w:val="26724C" w:themeColor="accent1" w:themeShade="BF"/>
        <w:lang w:val="fr-CH"/>
      </w:rPr>
      <w:instrText xml:space="preserve"> PAGE   \* MERGEFORMAT </w:instrText>
    </w:r>
    <w:r w:rsidRPr="008B40C0">
      <w:rPr>
        <w:color w:val="26724C" w:themeColor="accent1" w:themeShade="BF"/>
      </w:rPr>
      <w:fldChar w:fldCharType="separate"/>
    </w:r>
    <w:r>
      <w:rPr>
        <w:noProof/>
        <w:color w:val="26724C" w:themeColor="accent1" w:themeShade="BF"/>
        <w:lang w:val="fr-CH"/>
      </w:rPr>
      <w:t>38</w:t>
    </w:r>
    <w:r w:rsidRPr="008B40C0">
      <w:rPr>
        <w:color w:val="26724C" w:themeColor="accent1" w:themeShade="BF"/>
      </w:rPr>
      <w:fldChar w:fldCharType="end"/>
    </w:r>
  </w:p>
  <w:p w14:paraId="00A814CC" w14:textId="77777777" w:rsidR="00B65EDC" w:rsidRPr="00D4705E" w:rsidRDefault="00B65EDC">
    <w:pPr>
      <w:rPr>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203"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5B234CE2" w14:textId="587040B7"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7449543D"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 xml:space="preserve">Appendix </w:t>
    </w:r>
    <w:r>
      <w:rPr>
        <w:color w:val="26724C" w:themeColor="accent1" w:themeShade="BF"/>
      </w:rPr>
      <w:t>I</w:t>
    </w:r>
    <w:r w:rsidRPr="008B40C0">
      <w:rPr>
        <w:color w:val="26724C" w:themeColor="accent1" w:themeShade="BF"/>
      </w:rPr>
      <w:t>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212725565"/>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26</w:t>
        </w:r>
        <w:r w:rsidRPr="008B40C0">
          <w:rPr>
            <w:noProof/>
            <w:color w:val="26724C" w:themeColor="accent1" w:themeShade="BF"/>
          </w:rPr>
          <w:fldChar w:fldCharType="end"/>
        </w:r>
      </w:sdtContent>
    </w:sdt>
  </w:p>
  <w:p w14:paraId="3C3195B5" w14:textId="77777777" w:rsidR="00B65EDC" w:rsidRPr="008B40C0" w:rsidRDefault="00B65EDC">
    <w:pPr>
      <w:pStyle w:val="Header"/>
      <w:jc w:val="right"/>
      <w:rPr>
        <w:color w:val="26724C" w:themeColor="accent1" w:themeShade="BF"/>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292"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27AE4EB2" w14:textId="04863230"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650DCC77" w14:textId="77777777" w:rsidR="00B65EDC" w:rsidRPr="008B40C0" w:rsidRDefault="00B65EDC">
    <w:pPr>
      <w:pStyle w:val="Header"/>
      <w:pBdr>
        <w:bottom w:val="single" w:sz="4" w:space="1" w:color="auto"/>
      </w:pBdr>
      <w:jc w:val="right"/>
      <w:rPr>
        <w:color w:val="26724C" w:themeColor="accent1" w:themeShade="BF"/>
      </w:rPr>
    </w:pPr>
    <w:r w:rsidRPr="00696FB8">
      <w:rPr>
        <w:color w:val="26724C" w:themeColor="accent1" w:themeShade="BF"/>
      </w:rPr>
      <w:t xml:space="preserve">Appendix </w:t>
    </w:r>
    <w:r>
      <w:rPr>
        <w:color w:val="26724C" w:themeColor="accent1" w:themeShade="BF"/>
      </w:rPr>
      <w:t xml:space="preserve">II, </w:t>
    </w:r>
    <w:r w:rsidRPr="008B40C0">
      <w:rPr>
        <w:color w:val="26724C" w:themeColor="accent1" w:themeShade="BF"/>
      </w:rPr>
      <w:t xml:space="preserve">page </w:t>
    </w:r>
    <w:sdt>
      <w:sdtPr>
        <w:rPr>
          <w:color w:val="26724C" w:themeColor="accent1" w:themeShade="BF"/>
        </w:rPr>
        <w:id w:val="-99055898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37</w:t>
        </w:r>
        <w:r w:rsidRPr="008B40C0">
          <w:rPr>
            <w:noProof/>
            <w:color w:val="26724C" w:themeColor="accent1" w:themeShade="BF"/>
          </w:rPr>
          <w:fldChar w:fldCharType="end"/>
        </w:r>
      </w:sdtContent>
    </w:sdt>
  </w:p>
  <w:p w14:paraId="5D69EE36" w14:textId="77777777" w:rsidR="00B65EDC" w:rsidRPr="001522BD" w:rsidRDefault="00B65EDC">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77777777" w:rsidR="00B56FC0" w:rsidRPr="00766E51" w:rsidRDefault="00B56FC0">
    <w:pPr>
      <w:pStyle w:val="Header"/>
      <w:jc w:val="right"/>
      <w:rPr>
        <w:b/>
        <w:color w:val="26724C" w:themeColor="accent1" w:themeShade="BF"/>
        <w:lang w:val="en-US"/>
      </w:rPr>
    </w:pPr>
    <w:r w:rsidRPr="00766E51">
      <w:rPr>
        <w:b/>
        <w:color w:val="26724C" w:themeColor="accent1" w:themeShade="BF"/>
        <w:lang w:val="en-US"/>
      </w:rPr>
      <w:t>UPOV</w:t>
    </w:r>
  </w:p>
  <w:p w14:paraId="66DC7EBA" w14:textId="51894FB3" w:rsidR="00B56FC0" w:rsidRPr="00766E51" w:rsidRDefault="00B56FC0">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33F686D4" w14:textId="60010E7D" w:rsidR="00B56FC0" w:rsidRPr="008B40C0" w:rsidRDefault="00B56FC0">
    <w:pPr>
      <w:pStyle w:val="Header"/>
      <w:pBdr>
        <w:bottom w:val="single" w:sz="4" w:space="1" w:color="auto"/>
      </w:pBdr>
      <w:jc w:val="right"/>
      <w:rPr>
        <w:color w:val="26724C" w:themeColor="accent1" w:themeShade="BF"/>
      </w:rPr>
    </w:pPr>
    <w:r w:rsidRPr="008B40C0">
      <w:rPr>
        <w:color w:val="26724C" w:themeColor="accent1" w:themeShade="BF"/>
      </w:rPr>
      <w:t xml:space="preserve">Appendix </w:t>
    </w:r>
    <w:r>
      <w:rPr>
        <w:color w:val="26724C" w:themeColor="accent1" w:themeShade="BF"/>
      </w:rPr>
      <w:t>II</w:t>
    </w:r>
    <w:r w:rsidRPr="008B40C0">
      <w:rPr>
        <w:color w:val="26724C" w:themeColor="accent1" w:themeShade="BF"/>
      </w:rPr>
      <w:t>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985531583"/>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26</w:t>
        </w:r>
        <w:r w:rsidRPr="008B40C0">
          <w:rPr>
            <w:noProof/>
            <w:color w:val="26724C" w:themeColor="accent1" w:themeShade="BF"/>
          </w:rPr>
          <w:fldChar w:fldCharType="end"/>
        </w:r>
      </w:sdtContent>
    </w:sdt>
  </w:p>
  <w:p w14:paraId="139F4404" w14:textId="77777777" w:rsidR="00B56FC0" w:rsidRPr="008B40C0" w:rsidRDefault="00B56FC0">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6DC"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4E57F92B" w14:textId="6C420447"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r w:rsidRPr="00766E51">
      <w:rPr>
        <w:color w:val="26724C" w:themeColor="accent1" w:themeShade="BF"/>
        <w:lang w:val="en-US"/>
      </w:rPr>
      <w:t> </w:t>
    </w:r>
  </w:p>
  <w:p w14:paraId="1FFEB8E5"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 xml:space="preserve">page </w:t>
    </w:r>
    <w:sdt>
      <w:sdtPr>
        <w:rPr>
          <w:color w:val="26724C" w:themeColor="accent1" w:themeShade="BF"/>
        </w:rPr>
        <w:id w:val="-621460889"/>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18</w:t>
        </w:r>
        <w:r w:rsidRPr="008B40C0">
          <w:rPr>
            <w:noProof/>
            <w:color w:val="26724C" w:themeColor="accent1" w:themeShade="BF"/>
          </w:rPr>
          <w:fldChar w:fldCharType="end"/>
        </w:r>
      </w:sdtContent>
    </w:sdt>
  </w:p>
  <w:p w14:paraId="0A07ED9B" w14:textId="77777777" w:rsidR="00B65EDC" w:rsidRPr="00FE0119" w:rsidRDefault="00B6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204" w14:textId="07BDD176" w:rsidR="005D2CBA" w:rsidRDefault="0034120B">
    <w:pPr>
      <w:pStyle w:val="Header"/>
    </w:pPr>
    <w:r>
      <w:t>C/59/4 Rev.</w:t>
    </w:r>
  </w:p>
  <w:p w14:paraId="1D22E3C9" w14:textId="77777777" w:rsidR="005D2CBA" w:rsidRDefault="005D2CBA">
    <w:pPr>
      <w:pStyle w:val="Header"/>
    </w:pPr>
  </w:p>
  <w:p w14:paraId="56E33BA1" w14:textId="55681CE8" w:rsidR="005D2CBA" w:rsidRDefault="005D2CBA">
    <w:pPr>
      <w:pStyle w:val="Header"/>
    </w:pPr>
    <w:r>
      <w:t>ANNEX</w:t>
    </w:r>
  </w:p>
  <w:p w14:paraId="6015CC93" w14:textId="77777777" w:rsidR="005D2CBA" w:rsidRDefault="005D2CBA">
    <w:pPr>
      <w:pStyle w:val="Header"/>
    </w:pPr>
  </w:p>
  <w:p w14:paraId="61B2DBC1" w14:textId="77777777" w:rsidR="005D2CBA" w:rsidRDefault="005D2C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02E" w14:textId="18194202" w:rsidR="00B65EDC" w:rsidRPr="00766E51" w:rsidRDefault="00B65EDC">
    <w:pPr>
      <w:pStyle w:val="Header"/>
      <w:rPr>
        <w:rStyle w:val="PageNumber"/>
        <w:lang w:val="en-US"/>
      </w:rPr>
    </w:pPr>
    <w:r w:rsidRPr="00766E51">
      <w:rPr>
        <w:lang w:val="en-US"/>
      </w:rPr>
      <w:t xml:space="preserve">Program and Budget for the </w:t>
    </w:r>
    <w:r w:rsidR="00521C0D" w:rsidRPr="00766E51">
      <w:rPr>
        <w:lang w:val="en-US"/>
      </w:rPr>
      <w:t>2026</w:t>
    </w:r>
    <w:r w:rsidR="00521C0D" w:rsidRPr="00766E51">
      <w:rPr>
        <w:lang w:val="en-US"/>
      </w:rPr>
      <w:noBreakHyphen/>
      <w:t>2027</w:t>
    </w:r>
    <w:r w:rsidRPr="00766E51">
      <w:rPr>
        <w:lang w:val="en-US"/>
      </w:rPr>
      <w:t> Biennium</w:t>
    </w:r>
  </w:p>
  <w:p w14:paraId="7C12845A" w14:textId="77777777" w:rsidR="00B65EDC" w:rsidRPr="00FE0119" w:rsidRDefault="00B65EDC">
    <w:pPr>
      <w:pStyle w:val="Header"/>
    </w:pPr>
    <w:r w:rsidRPr="00FE0119">
      <w:t>Annex</w:t>
    </w:r>
    <w:r>
      <w:t xml:space="preserve"> II</w:t>
    </w:r>
    <w:r w:rsidRPr="00FE0119">
      <w:t xml:space="preserve">, page </w:t>
    </w:r>
    <w:sdt>
      <w:sdtPr>
        <w:id w:val="187265039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6D6C6342" w14:textId="77777777" w:rsidR="00B65EDC" w:rsidRPr="00FE0119" w:rsidRDefault="00B65E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974F"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1D196507" w14:textId="0AA73F78"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72458147"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Appendix 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225410642"/>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24</w:t>
        </w:r>
        <w:r w:rsidRPr="008B40C0">
          <w:rPr>
            <w:noProof/>
            <w:color w:val="26724C" w:themeColor="accent1" w:themeShade="BF"/>
          </w:rPr>
          <w:fldChar w:fldCharType="end"/>
        </w:r>
      </w:sdtContent>
    </w:sdt>
  </w:p>
  <w:p w14:paraId="6F7D626C" w14:textId="77777777" w:rsidR="00B65EDC" w:rsidRPr="008B40C0" w:rsidRDefault="00B65EDC">
    <w:pPr>
      <w:pStyle w:val="Header"/>
      <w:jc w:val="right"/>
      <w:rPr>
        <w:color w:val="26724C" w:themeColor="accent1" w:themeShade="B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18F" w14:textId="77777777" w:rsidR="00B65EDC" w:rsidRPr="00766E51" w:rsidRDefault="00B65EDC">
    <w:pPr>
      <w:pStyle w:val="Header"/>
      <w:jc w:val="right"/>
      <w:rPr>
        <w:b/>
        <w:color w:val="26724C" w:themeColor="accent1" w:themeShade="BF"/>
        <w:lang w:val="en-US"/>
      </w:rPr>
    </w:pPr>
    <w:r w:rsidRPr="00766E51">
      <w:rPr>
        <w:b/>
        <w:color w:val="26724C" w:themeColor="accent1" w:themeShade="BF"/>
        <w:lang w:val="en-US"/>
      </w:rPr>
      <w:t>UPOV</w:t>
    </w:r>
  </w:p>
  <w:p w14:paraId="4ED03FA7" w14:textId="59C93C4E" w:rsidR="00B65EDC" w:rsidRPr="00766E51" w:rsidRDefault="00B65EDC">
    <w:pPr>
      <w:pStyle w:val="Header"/>
      <w:jc w:val="right"/>
      <w:rPr>
        <w:color w:val="26724C" w:themeColor="accent1" w:themeShade="BF"/>
        <w:lang w:val="en-US"/>
      </w:rPr>
    </w:pPr>
    <w:r w:rsidRPr="00766E51">
      <w:rPr>
        <w:color w:val="26724C" w:themeColor="accent1" w:themeShade="BF"/>
        <w:lang w:val="en-US"/>
      </w:rPr>
      <w:t xml:space="preserve">Preliminary Draft Program and Budget </w:t>
    </w:r>
    <w:r w:rsidR="00521C0D" w:rsidRPr="00766E51">
      <w:rPr>
        <w:color w:val="26724C" w:themeColor="accent1" w:themeShade="BF"/>
        <w:lang w:val="en-US"/>
      </w:rPr>
      <w:t>2026</w:t>
    </w:r>
    <w:r w:rsidR="00521C0D" w:rsidRPr="00766E51">
      <w:rPr>
        <w:color w:val="26724C" w:themeColor="accent1" w:themeShade="BF"/>
        <w:lang w:val="en-US"/>
      </w:rPr>
      <w:noBreakHyphen/>
      <w:t>2027</w:t>
    </w:r>
  </w:p>
  <w:p w14:paraId="2626C84E" w14:textId="77777777" w:rsidR="00B65EDC" w:rsidRPr="008B40C0" w:rsidRDefault="00B65EDC">
    <w:pPr>
      <w:pStyle w:val="Header"/>
      <w:pBdr>
        <w:bottom w:val="single" w:sz="4" w:space="1" w:color="auto"/>
      </w:pBdr>
      <w:jc w:val="right"/>
      <w:rPr>
        <w:color w:val="26724C" w:themeColor="accent1" w:themeShade="BF"/>
      </w:rPr>
    </w:pPr>
    <w:r w:rsidRPr="008B40C0">
      <w:rPr>
        <w:color w:val="26724C" w:themeColor="accent1" w:themeShade="BF"/>
      </w:rPr>
      <w:t>Appendix I</w:t>
    </w:r>
    <w:r>
      <w:rPr>
        <w:color w:val="26724C" w:themeColor="accent1" w:themeShade="BF"/>
      </w:rPr>
      <w:t xml:space="preserve">, </w:t>
    </w:r>
    <w:r w:rsidRPr="008B40C0">
      <w:rPr>
        <w:color w:val="26724C" w:themeColor="accent1" w:themeShade="BF"/>
      </w:rPr>
      <w:t xml:space="preserve">page </w:t>
    </w:r>
    <w:sdt>
      <w:sdtPr>
        <w:rPr>
          <w:color w:val="26724C" w:themeColor="accent1" w:themeShade="BF"/>
        </w:rPr>
        <w:id w:val="1728342427"/>
        <w:docPartObj>
          <w:docPartGallery w:val="Page Numbers (Top of Page)"/>
          <w:docPartUnique/>
        </w:docPartObj>
      </w:sdtPr>
      <w:sdtEndPr>
        <w:rPr>
          <w:noProof/>
        </w:rPr>
      </w:sdtEndPr>
      <w:sdtContent>
        <w:r w:rsidRPr="008B40C0">
          <w:rPr>
            <w:color w:val="26724C" w:themeColor="accent1" w:themeShade="BF"/>
          </w:rPr>
          <w:fldChar w:fldCharType="begin"/>
        </w:r>
        <w:r w:rsidRPr="008B40C0">
          <w:rPr>
            <w:color w:val="26724C" w:themeColor="accent1" w:themeShade="BF"/>
          </w:rPr>
          <w:instrText xml:space="preserve"> PAGE   \* MERGEFORMAT </w:instrText>
        </w:r>
        <w:r w:rsidRPr="008B40C0">
          <w:rPr>
            <w:color w:val="26724C" w:themeColor="accent1" w:themeShade="BF"/>
          </w:rPr>
          <w:fldChar w:fldCharType="separate"/>
        </w:r>
        <w:r>
          <w:rPr>
            <w:noProof/>
            <w:color w:val="26724C" w:themeColor="accent1" w:themeShade="BF"/>
          </w:rPr>
          <w:t>38</w:t>
        </w:r>
        <w:r w:rsidRPr="008B40C0">
          <w:rPr>
            <w:noProof/>
            <w:color w:val="26724C" w:themeColor="accent1" w:themeShade="BF"/>
          </w:rPr>
          <w:fldChar w:fldCharType="end"/>
        </w:r>
      </w:sdtContent>
    </w:sdt>
  </w:p>
  <w:p w14:paraId="38DF1B9F" w14:textId="77777777" w:rsidR="00B65EDC" w:rsidRPr="008B40C0" w:rsidRDefault="00B65EDC">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672" w14:textId="6FC7FFD9"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5432A9B2" w14:textId="77777777" w:rsidR="00B65EDC" w:rsidRPr="00FE0119" w:rsidRDefault="00B65EDC">
    <w:pPr>
      <w:pStyle w:val="Header"/>
    </w:pPr>
    <w:r w:rsidRPr="00FE0119">
      <w:t>Annex</w:t>
    </w:r>
    <w:r>
      <w:t xml:space="preserve"> II</w:t>
    </w:r>
    <w:r w:rsidRPr="00FE0119">
      <w:t xml:space="preserve">, page </w:t>
    </w:r>
    <w:sdt>
      <w:sdtPr>
        <w:id w:val="-113872334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36A4FA0A" w14:textId="77777777" w:rsidR="00B65EDC" w:rsidRPr="00FE0119" w:rsidRDefault="00B65E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602" w14:textId="668BEB04"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0C263071" w14:textId="77777777" w:rsidR="00B65EDC" w:rsidRPr="00FE0119" w:rsidRDefault="00B65EDC">
    <w:pPr>
      <w:pStyle w:val="Header"/>
    </w:pPr>
    <w:r w:rsidRPr="00FE0119">
      <w:t>Annex</w:t>
    </w:r>
    <w:r>
      <w:t xml:space="preserve"> II</w:t>
    </w:r>
    <w:r w:rsidRPr="00FE0119">
      <w:t xml:space="preserve">, page </w:t>
    </w:r>
    <w:sdt>
      <w:sdtPr>
        <w:id w:val="-2036489505"/>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301D2051" w14:textId="77777777" w:rsidR="00B65EDC" w:rsidRPr="00FE0119" w:rsidRDefault="00B65E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CF" w14:textId="14B1EA0C" w:rsidR="00B65EDC" w:rsidRPr="00766E51" w:rsidRDefault="00B65EDC">
    <w:pPr>
      <w:pStyle w:val="Header"/>
      <w:rPr>
        <w:rStyle w:val="PageNumber"/>
        <w:lang w:val="en-US"/>
      </w:rPr>
    </w:pPr>
    <w:r w:rsidRPr="00766E51">
      <w:rPr>
        <w:lang w:val="en-US"/>
      </w:rPr>
      <w:t xml:space="preserve">Preliminary Draft Program and Budget for the </w:t>
    </w:r>
    <w:r w:rsidR="00521C0D" w:rsidRPr="00766E51">
      <w:rPr>
        <w:lang w:val="en-US"/>
      </w:rPr>
      <w:t>2026</w:t>
    </w:r>
    <w:r w:rsidR="00521C0D" w:rsidRPr="00766E51">
      <w:rPr>
        <w:lang w:val="en-US"/>
      </w:rPr>
      <w:noBreakHyphen/>
      <w:t>2027</w:t>
    </w:r>
    <w:r w:rsidRPr="00766E51">
      <w:rPr>
        <w:lang w:val="en-US"/>
      </w:rPr>
      <w:t> Biennium</w:t>
    </w:r>
  </w:p>
  <w:p w14:paraId="2A2356D9" w14:textId="77777777" w:rsidR="00B65EDC" w:rsidRPr="00FE0119" w:rsidRDefault="00B65EDC">
    <w:pPr>
      <w:pStyle w:val="Header"/>
    </w:pPr>
    <w:r w:rsidRPr="00FE0119">
      <w:t>Annex</w:t>
    </w:r>
    <w:r>
      <w:t xml:space="preserve"> II</w:t>
    </w:r>
    <w:r w:rsidRPr="00FE0119">
      <w:t xml:space="preserve">, page </w:t>
    </w:r>
    <w:sdt>
      <w:sdtPr>
        <w:id w:val="1341588206"/>
        <w:docPartObj>
          <w:docPartGallery w:val="Page Numbers (Top of Page)"/>
          <w:docPartUnique/>
        </w:docPartObj>
      </w:sdtPr>
      <w:sdtEndPr>
        <w:rPr>
          <w:noProof/>
        </w:rPr>
      </w:sdtEndPr>
      <w:sdtContent>
        <w:r w:rsidRPr="00FE0119">
          <w:fldChar w:fldCharType="begin"/>
        </w:r>
        <w:r w:rsidRPr="00FE0119">
          <w:instrText xml:space="preserve"> PAGE   \* MERGEFORMAT </w:instrText>
        </w:r>
        <w:r w:rsidRPr="00FE0119">
          <w:fldChar w:fldCharType="separate"/>
        </w:r>
        <w:r>
          <w:rPr>
            <w:noProof/>
          </w:rPr>
          <w:t>39</w:t>
        </w:r>
        <w:r w:rsidRPr="00FE0119">
          <w:rPr>
            <w:noProof/>
          </w:rPr>
          <w:fldChar w:fldCharType="end"/>
        </w:r>
      </w:sdtContent>
    </w:sdt>
  </w:p>
  <w:p w14:paraId="28C783B9" w14:textId="77777777" w:rsidR="00B65EDC" w:rsidRPr="00FE0119" w:rsidRDefault="00B65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B9DA960C"/>
    <w:lvl w:ilvl="0" w:tplc="CA6C1206">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4"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2"/>
  </w:num>
  <w:num w:numId="2" w16cid:durableId="1078132920">
    <w:abstractNumId w:val="3"/>
  </w:num>
  <w:num w:numId="3" w16cid:durableId="189041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766145">
    <w:abstractNumId w:val="4"/>
  </w:num>
  <w:num w:numId="5" w16cid:durableId="1323196453">
    <w:abstractNumId w:val="0"/>
  </w:num>
  <w:num w:numId="6" w16cid:durableId="1392851706">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049F6"/>
    <w:rsid w:val="0000503E"/>
    <w:rsid w:val="00005852"/>
    <w:rsid w:val="00010CF3"/>
    <w:rsid w:val="00011E27"/>
    <w:rsid w:val="000148BC"/>
    <w:rsid w:val="00014B08"/>
    <w:rsid w:val="00014EC4"/>
    <w:rsid w:val="00024AB8"/>
    <w:rsid w:val="00026B8A"/>
    <w:rsid w:val="00030854"/>
    <w:rsid w:val="00036028"/>
    <w:rsid w:val="00040BDC"/>
    <w:rsid w:val="00044642"/>
    <w:rsid w:val="000446B9"/>
    <w:rsid w:val="00046C63"/>
    <w:rsid w:val="00047E21"/>
    <w:rsid w:val="00050E16"/>
    <w:rsid w:val="00067F90"/>
    <w:rsid w:val="00072276"/>
    <w:rsid w:val="00082A53"/>
    <w:rsid w:val="00083E01"/>
    <w:rsid w:val="00085505"/>
    <w:rsid w:val="0008705F"/>
    <w:rsid w:val="00090431"/>
    <w:rsid w:val="000A2039"/>
    <w:rsid w:val="000A4D10"/>
    <w:rsid w:val="000B6349"/>
    <w:rsid w:val="000C10D9"/>
    <w:rsid w:val="000C1242"/>
    <w:rsid w:val="000C4E25"/>
    <w:rsid w:val="000C7021"/>
    <w:rsid w:val="000C7161"/>
    <w:rsid w:val="000D3AC4"/>
    <w:rsid w:val="000D5653"/>
    <w:rsid w:val="000D6BBC"/>
    <w:rsid w:val="000D7780"/>
    <w:rsid w:val="000E636A"/>
    <w:rsid w:val="000F2F11"/>
    <w:rsid w:val="000F48CF"/>
    <w:rsid w:val="000F738A"/>
    <w:rsid w:val="00105929"/>
    <w:rsid w:val="00110C36"/>
    <w:rsid w:val="001131D5"/>
    <w:rsid w:val="001149F6"/>
    <w:rsid w:val="0012672E"/>
    <w:rsid w:val="00126748"/>
    <w:rsid w:val="00137F11"/>
    <w:rsid w:val="00141CFE"/>
    <w:rsid w:val="00141DB8"/>
    <w:rsid w:val="00162FB4"/>
    <w:rsid w:val="0016697F"/>
    <w:rsid w:val="00172084"/>
    <w:rsid w:val="0017474A"/>
    <w:rsid w:val="001758C6"/>
    <w:rsid w:val="00176543"/>
    <w:rsid w:val="00182B99"/>
    <w:rsid w:val="00192B9F"/>
    <w:rsid w:val="00195D29"/>
    <w:rsid w:val="001A6970"/>
    <w:rsid w:val="001B0B64"/>
    <w:rsid w:val="001B2129"/>
    <w:rsid w:val="001B2385"/>
    <w:rsid w:val="001C1525"/>
    <w:rsid w:val="001C1CDA"/>
    <w:rsid w:val="001D1FB2"/>
    <w:rsid w:val="001D2573"/>
    <w:rsid w:val="001E1BC8"/>
    <w:rsid w:val="0020304B"/>
    <w:rsid w:val="002131F4"/>
    <w:rsid w:val="0021332C"/>
    <w:rsid w:val="00213982"/>
    <w:rsid w:val="002147A0"/>
    <w:rsid w:val="00214C72"/>
    <w:rsid w:val="00216C5D"/>
    <w:rsid w:val="002322DF"/>
    <w:rsid w:val="00233D7A"/>
    <w:rsid w:val="00235400"/>
    <w:rsid w:val="002379B6"/>
    <w:rsid w:val="002416F8"/>
    <w:rsid w:val="0024416D"/>
    <w:rsid w:val="00250B4A"/>
    <w:rsid w:val="00252926"/>
    <w:rsid w:val="00256BFA"/>
    <w:rsid w:val="00260298"/>
    <w:rsid w:val="00263ED5"/>
    <w:rsid w:val="00271911"/>
    <w:rsid w:val="00276234"/>
    <w:rsid w:val="002800A0"/>
    <w:rsid w:val="002801B3"/>
    <w:rsid w:val="00281060"/>
    <w:rsid w:val="00284C14"/>
    <w:rsid w:val="002940E8"/>
    <w:rsid w:val="00294751"/>
    <w:rsid w:val="00295E57"/>
    <w:rsid w:val="002A6E50"/>
    <w:rsid w:val="002B4298"/>
    <w:rsid w:val="002B4437"/>
    <w:rsid w:val="002C256A"/>
    <w:rsid w:val="002C4576"/>
    <w:rsid w:val="002C71FE"/>
    <w:rsid w:val="002E0EFA"/>
    <w:rsid w:val="002E478E"/>
    <w:rsid w:val="002F3A2B"/>
    <w:rsid w:val="00305A7F"/>
    <w:rsid w:val="0031440C"/>
    <w:rsid w:val="003152FE"/>
    <w:rsid w:val="003230AC"/>
    <w:rsid w:val="00327436"/>
    <w:rsid w:val="0034120B"/>
    <w:rsid w:val="003414A6"/>
    <w:rsid w:val="00344BD6"/>
    <w:rsid w:val="0035528D"/>
    <w:rsid w:val="00361821"/>
    <w:rsid w:val="00361E9E"/>
    <w:rsid w:val="00367596"/>
    <w:rsid w:val="00374097"/>
    <w:rsid w:val="00382179"/>
    <w:rsid w:val="003863B8"/>
    <w:rsid w:val="003900D5"/>
    <w:rsid w:val="0039478A"/>
    <w:rsid w:val="0039633A"/>
    <w:rsid w:val="003A212A"/>
    <w:rsid w:val="003A26C8"/>
    <w:rsid w:val="003B40D0"/>
    <w:rsid w:val="003C0635"/>
    <w:rsid w:val="003C7FBE"/>
    <w:rsid w:val="003D227C"/>
    <w:rsid w:val="003D2A75"/>
    <w:rsid w:val="003D2B4D"/>
    <w:rsid w:val="003F1324"/>
    <w:rsid w:val="003F1457"/>
    <w:rsid w:val="003F5F2B"/>
    <w:rsid w:val="003F68BB"/>
    <w:rsid w:val="004028FE"/>
    <w:rsid w:val="00424B9F"/>
    <w:rsid w:val="00430E73"/>
    <w:rsid w:val="00433C83"/>
    <w:rsid w:val="004354C9"/>
    <w:rsid w:val="00435740"/>
    <w:rsid w:val="00437CC2"/>
    <w:rsid w:val="00437FC8"/>
    <w:rsid w:val="00443835"/>
    <w:rsid w:val="0044405F"/>
    <w:rsid w:val="004448C7"/>
    <w:rsid w:val="00444A88"/>
    <w:rsid w:val="0044554D"/>
    <w:rsid w:val="004526C8"/>
    <w:rsid w:val="00453DBD"/>
    <w:rsid w:val="00454F55"/>
    <w:rsid w:val="004647ED"/>
    <w:rsid w:val="00465049"/>
    <w:rsid w:val="004711B2"/>
    <w:rsid w:val="00474DA4"/>
    <w:rsid w:val="00476ACD"/>
    <w:rsid w:val="00476B4D"/>
    <w:rsid w:val="004805FA"/>
    <w:rsid w:val="00483279"/>
    <w:rsid w:val="004935D2"/>
    <w:rsid w:val="004B1215"/>
    <w:rsid w:val="004B4DFC"/>
    <w:rsid w:val="004B5DA7"/>
    <w:rsid w:val="004C0C4B"/>
    <w:rsid w:val="004C500F"/>
    <w:rsid w:val="004D047D"/>
    <w:rsid w:val="004D1507"/>
    <w:rsid w:val="004D7F64"/>
    <w:rsid w:val="004E006E"/>
    <w:rsid w:val="004E11A5"/>
    <w:rsid w:val="004E715B"/>
    <w:rsid w:val="004F1E9E"/>
    <w:rsid w:val="004F2FA5"/>
    <w:rsid w:val="004F305A"/>
    <w:rsid w:val="004F5EE8"/>
    <w:rsid w:val="00500058"/>
    <w:rsid w:val="00503001"/>
    <w:rsid w:val="005053FF"/>
    <w:rsid w:val="0050707B"/>
    <w:rsid w:val="0051059A"/>
    <w:rsid w:val="00512164"/>
    <w:rsid w:val="0051361E"/>
    <w:rsid w:val="00520297"/>
    <w:rsid w:val="00521A13"/>
    <w:rsid w:val="00521C0D"/>
    <w:rsid w:val="0052247A"/>
    <w:rsid w:val="005268B8"/>
    <w:rsid w:val="005338F9"/>
    <w:rsid w:val="005405E0"/>
    <w:rsid w:val="0054281C"/>
    <w:rsid w:val="00543870"/>
    <w:rsid w:val="00544581"/>
    <w:rsid w:val="00547FCF"/>
    <w:rsid w:val="0055268D"/>
    <w:rsid w:val="00563E58"/>
    <w:rsid w:val="00575E00"/>
    <w:rsid w:val="00576BE4"/>
    <w:rsid w:val="005912E2"/>
    <w:rsid w:val="005972FA"/>
    <w:rsid w:val="005A400A"/>
    <w:rsid w:val="005B0358"/>
    <w:rsid w:val="005B7A61"/>
    <w:rsid w:val="005D291B"/>
    <w:rsid w:val="005D2CBA"/>
    <w:rsid w:val="005F7B92"/>
    <w:rsid w:val="00611EFD"/>
    <w:rsid w:val="00612379"/>
    <w:rsid w:val="006153B6"/>
    <w:rsid w:val="0061555F"/>
    <w:rsid w:val="00620794"/>
    <w:rsid w:val="00621AD9"/>
    <w:rsid w:val="00621F63"/>
    <w:rsid w:val="00622454"/>
    <w:rsid w:val="00632CA9"/>
    <w:rsid w:val="00636CA6"/>
    <w:rsid w:val="00641200"/>
    <w:rsid w:val="00642845"/>
    <w:rsid w:val="00645CA8"/>
    <w:rsid w:val="006507E8"/>
    <w:rsid w:val="00652B1A"/>
    <w:rsid w:val="006537FE"/>
    <w:rsid w:val="006655D3"/>
    <w:rsid w:val="00667404"/>
    <w:rsid w:val="0067424F"/>
    <w:rsid w:val="0067770A"/>
    <w:rsid w:val="006814F8"/>
    <w:rsid w:val="00681B2E"/>
    <w:rsid w:val="0068396D"/>
    <w:rsid w:val="00687EB4"/>
    <w:rsid w:val="00695C56"/>
    <w:rsid w:val="006A036F"/>
    <w:rsid w:val="006A5CDE"/>
    <w:rsid w:val="006A644A"/>
    <w:rsid w:val="006A75AA"/>
    <w:rsid w:val="006B17D2"/>
    <w:rsid w:val="006C135F"/>
    <w:rsid w:val="006C224E"/>
    <w:rsid w:val="006C5BB5"/>
    <w:rsid w:val="006D780A"/>
    <w:rsid w:val="006D7C20"/>
    <w:rsid w:val="006E351B"/>
    <w:rsid w:val="006E5C48"/>
    <w:rsid w:val="0070657B"/>
    <w:rsid w:val="0071271E"/>
    <w:rsid w:val="00712998"/>
    <w:rsid w:val="007151CF"/>
    <w:rsid w:val="00715D97"/>
    <w:rsid w:val="0073158F"/>
    <w:rsid w:val="00732DEC"/>
    <w:rsid w:val="00735BD5"/>
    <w:rsid w:val="007451EC"/>
    <w:rsid w:val="00747E51"/>
    <w:rsid w:val="007500BD"/>
    <w:rsid w:val="00751613"/>
    <w:rsid w:val="0075217D"/>
    <w:rsid w:val="007556F6"/>
    <w:rsid w:val="00760A29"/>
    <w:rsid w:val="00760EEF"/>
    <w:rsid w:val="00763682"/>
    <w:rsid w:val="00766E51"/>
    <w:rsid w:val="00777EE5"/>
    <w:rsid w:val="00782255"/>
    <w:rsid w:val="00784836"/>
    <w:rsid w:val="0079023E"/>
    <w:rsid w:val="007A2854"/>
    <w:rsid w:val="007B740F"/>
    <w:rsid w:val="007B7E62"/>
    <w:rsid w:val="007C1D92"/>
    <w:rsid w:val="007C3C19"/>
    <w:rsid w:val="007C4CB9"/>
    <w:rsid w:val="007D0B9D"/>
    <w:rsid w:val="007D19B0"/>
    <w:rsid w:val="007D4635"/>
    <w:rsid w:val="007F06A2"/>
    <w:rsid w:val="007F498F"/>
    <w:rsid w:val="0080679D"/>
    <w:rsid w:val="0081005D"/>
    <w:rsid w:val="008108B0"/>
    <w:rsid w:val="00811B20"/>
    <w:rsid w:val="00815593"/>
    <w:rsid w:val="008211B5"/>
    <w:rsid w:val="0082296E"/>
    <w:rsid w:val="00824099"/>
    <w:rsid w:val="0083359E"/>
    <w:rsid w:val="00846C81"/>
    <w:rsid w:val="00846D7C"/>
    <w:rsid w:val="008548B5"/>
    <w:rsid w:val="008601ED"/>
    <w:rsid w:val="00867AC1"/>
    <w:rsid w:val="00876E55"/>
    <w:rsid w:val="00880868"/>
    <w:rsid w:val="0088452A"/>
    <w:rsid w:val="00884CFD"/>
    <w:rsid w:val="00890DF8"/>
    <w:rsid w:val="008A2BA2"/>
    <w:rsid w:val="008A5BF9"/>
    <w:rsid w:val="008A743F"/>
    <w:rsid w:val="008C0970"/>
    <w:rsid w:val="008C63D3"/>
    <w:rsid w:val="008D0BC5"/>
    <w:rsid w:val="008D2CF7"/>
    <w:rsid w:val="008D623E"/>
    <w:rsid w:val="008D762C"/>
    <w:rsid w:val="008E18F1"/>
    <w:rsid w:val="008F3A5C"/>
    <w:rsid w:val="00900C26"/>
    <w:rsid w:val="0090197F"/>
    <w:rsid w:val="00903264"/>
    <w:rsid w:val="00906DDC"/>
    <w:rsid w:val="00912A85"/>
    <w:rsid w:val="00927740"/>
    <w:rsid w:val="00930CB8"/>
    <w:rsid w:val="00933747"/>
    <w:rsid w:val="00934E09"/>
    <w:rsid w:val="00936253"/>
    <w:rsid w:val="00937051"/>
    <w:rsid w:val="00940D46"/>
    <w:rsid w:val="009412DD"/>
    <w:rsid w:val="00946F92"/>
    <w:rsid w:val="00950A9F"/>
    <w:rsid w:val="00952DD4"/>
    <w:rsid w:val="00953B60"/>
    <w:rsid w:val="009609D8"/>
    <w:rsid w:val="00965AE7"/>
    <w:rsid w:val="00970FED"/>
    <w:rsid w:val="00973B77"/>
    <w:rsid w:val="00980A67"/>
    <w:rsid w:val="00980FB5"/>
    <w:rsid w:val="009863D1"/>
    <w:rsid w:val="00987CB1"/>
    <w:rsid w:val="00992D82"/>
    <w:rsid w:val="00997029"/>
    <w:rsid w:val="009A0A72"/>
    <w:rsid w:val="009A1137"/>
    <w:rsid w:val="009A1402"/>
    <w:rsid w:val="009A7339"/>
    <w:rsid w:val="009A7747"/>
    <w:rsid w:val="009B2740"/>
    <w:rsid w:val="009B440E"/>
    <w:rsid w:val="009B56AE"/>
    <w:rsid w:val="009B69EB"/>
    <w:rsid w:val="009C40AA"/>
    <w:rsid w:val="009D690D"/>
    <w:rsid w:val="009E0FB9"/>
    <w:rsid w:val="009E1454"/>
    <w:rsid w:val="009E65B6"/>
    <w:rsid w:val="009E6C95"/>
    <w:rsid w:val="009F348C"/>
    <w:rsid w:val="009F77CF"/>
    <w:rsid w:val="00A0374E"/>
    <w:rsid w:val="00A227B8"/>
    <w:rsid w:val="00A232F6"/>
    <w:rsid w:val="00A24C10"/>
    <w:rsid w:val="00A3365A"/>
    <w:rsid w:val="00A37635"/>
    <w:rsid w:val="00A41AE7"/>
    <w:rsid w:val="00A42AC3"/>
    <w:rsid w:val="00A430CF"/>
    <w:rsid w:val="00A4696B"/>
    <w:rsid w:val="00A5343A"/>
    <w:rsid w:val="00A538F6"/>
    <w:rsid w:val="00A54309"/>
    <w:rsid w:val="00A566EE"/>
    <w:rsid w:val="00A57ECB"/>
    <w:rsid w:val="00A708B4"/>
    <w:rsid w:val="00A7468D"/>
    <w:rsid w:val="00A90CE6"/>
    <w:rsid w:val="00A92440"/>
    <w:rsid w:val="00A92701"/>
    <w:rsid w:val="00AA207C"/>
    <w:rsid w:val="00AB1801"/>
    <w:rsid w:val="00AB2B93"/>
    <w:rsid w:val="00AB530F"/>
    <w:rsid w:val="00AB7E5B"/>
    <w:rsid w:val="00AC2883"/>
    <w:rsid w:val="00AD6963"/>
    <w:rsid w:val="00AE0EF1"/>
    <w:rsid w:val="00AE1A27"/>
    <w:rsid w:val="00AE2937"/>
    <w:rsid w:val="00AE29CD"/>
    <w:rsid w:val="00B07301"/>
    <w:rsid w:val="00B104C1"/>
    <w:rsid w:val="00B11F3E"/>
    <w:rsid w:val="00B13FD5"/>
    <w:rsid w:val="00B15CDA"/>
    <w:rsid w:val="00B224DE"/>
    <w:rsid w:val="00B306C1"/>
    <w:rsid w:val="00B324D4"/>
    <w:rsid w:val="00B3738C"/>
    <w:rsid w:val="00B37AAA"/>
    <w:rsid w:val="00B37F80"/>
    <w:rsid w:val="00B4286A"/>
    <w:rsid w:val="00B46575"/>
    <w:rsid w:val="00B532C1"/>
    <w:rsid w:val="00B56FC0"/>
    <w:rsid w:val="00B61777"/>
    <w:rsid w:val="00B61E62"/>
    <w:rsid w:val="00B64123"/>
    <w:rsid w:val="00B65EDC"/>
    <w:rsid w:val="00B67831"/>
    <w:rsid w:val="00B7281F"/>
    <w:rsid w:val="00B84BBD"/>
    <w:rsid w:val="00B954BC"/>
    <w:rsid w:val="00B96C7F"/>
    <w:rsid w:val="00B97877"/>
    <w:rsid w:val="00BA43FB"/>
    <w:rsid w:val="00BA4485"/>
    <w:rsid w:val="00BA5B46"/>
    <w:rsid w:val="00BC127D"/>
    <w:rsid w:val="00BC1FE6"/>
    <w:rsid w:val="00BD28FC"/>
    <w:rsid w:val="00BE4C07"/>
    <w:rsid w:val="00BE6E28"/>
    <w:rsid w:val="00C0177A"/>
    <w:rsid w:val="00C01C3B"/>
    <w:rsid w:val="00C02C41"/>
    <w:rsid w:val="00C0361E"/>
    <w:rsid w:val="00C06120"/>
    <w:rsid w:val="00C061B6"/>
    <w:rsid w:val="00C1074F"/>
    <w:rsid w:val="00C1254C"/>
    <w:rsid w:val="00C21BA4"/>
    <w:rsid w:val="00C23910"/>
    <w:rsid w:val="00C2446C"/>
    <w:rsid w:val="00C33293"/>
    <w:rsid w:val="00C36AE5"/>
    <w:rsid w:val="00C41F17"/>
    <w:rsid w:val="00C50DFD"/>
    <w:rsid w:val="00C527A1"/>
    <w:rsid w:val="00C527FA"/>
    <w:rsid w:val="00C5280D"/>
    <w:rsid w:val="00C53EB3"/>
    <w:rsid w:val="00C5791C"/>
    <w:rsid w:val="00C66290"/>
    <w:rsid w:val="00C70C3F"/>
    <w:rsid w:val="00C70DFF"/>
    <w:rsid w:val="00C72B7A"/>
    <w:rsid w:val="00C74C05"/>
    <w:rsid w:val="00C75029"/>
    <w:rsid w:val="00C75A58"/>
    <w:rsid w:val="00C81848"/>
    <w:rsid w:val="00C829F1"/>
    <w:rsid w:val="00C8561D"/>
    <w:rsid w:val="00C91489"/>
    <w:rsid w:val="00C92046"/>
    <w:rsid w:val="00C973F2"/>
    <w:rsid w:val="00CA03BB"/>
    <w:rsid w:val="00CA2147"/>
    <w:rsid w:val="00CA304C"/>
    <w:rsid w:val="00CA5539"/>
    <w:rsid w:val="00CA774A"/>
    <w:rsid w:val="00CA7BA1"/>
    <w:rsid w:val="00CB003B"/>
    <w:rsid w:val="00CB748D"/>
    <w:rsid w:val="00CC11B0"/>
    <w:rsid w:val="00CC2841"/>
    <w:rsid w:val="00CC338F"/>
    <w:rsid w:val="00CE0FD5"/>
    <w:rsid w:val="00CF1330"/>
    <w:rsid w:val="00CF3D8B"/>
    <w:rsid w:val="00CF7E36"/>
    <w:rsid w:val="00D00D09"/>
    <w:rsid w:val="00D00D83"/>
    <w:rsid w:val="00D03722"/>
    <w:rsid w:val="00D03886"/>
    <w:rsid w:val="00D046C5"/>
    <w:rsid w:val="00D14C5A"/>
    <w:rsid w:val="00D36E1C"/>
    <w:rsid w:val="00D3708D"/>
    <w:rsid w:val="00D40426"/>
    <w:rsid w:val="00D427C3"/>
    <w:rsid w:val="00D42F46"/>
    <w:rsid w:val="00D454B1"/>
    <w:rsid w:val="00D506CF"/>
    <w:rsid w:val="00D560A7"/>
    <w:rsid w:val="00D5669D"/>
    <w:rsid w:val="00D57C96"/>
    <w:rsid w:val="00D57D18"/>
    <w:rsid w:val="00D76A6E"/>
    <w:rsid w:val="00D81587"/>
    <w:rsid w:val="00D91203"/>
    <w:rsid w:val="00D95174"/>
    <w:rsid w:val="00D95537"/>
    <w:rsid w:val="00D9763C"/>
    <w:rsid w:val="00DA049F"/>
    <w:rsid w:val="00DA2169"/>
    <w:rsid w:val="00DA4973"/>
    <w:rsid w:val="00DA690A"/>
    <w:rsid w:val="00DA6F36"/>
    <w:rsid w:val="00DA7794"/>
    <w:rsid w:val="00DB323D"/>
    <w:rsid w:val="00DB596E"/>
    <w:rsid w:val="00DB5D67"/>
    <w:rsid w:val="00DB7773"/>
    <w:rsid w:val="00DC00EA"/>
    <w:rsid w:val="00DC17F8"/>
    <w:rsid w:val="00DC3802"/>
    <w:rsid w:val="00DE40FD"/>
    <w:rsid w:val="00DE55B0"/>
    <w:rsid w:val="00DF6507"/>
    <w:rsid w:val="00DF692D"/>
    <w:rsid w:val="00E07D87"/>
    <w:rsid w:val="00E12ED3"/>
    <w:rsid w:val="00E25172"/>
    <w:rsid w:val="00E308CC"/>
    <w:rsid w:val="00E3132D"/>
    <w:rsid w:val="00E32F7E"/>
    <w:rsid w:val="00E364BF"/>
    <w:rsid w:val="00E37B2D"/>
    <w:rsid w:val="00E410C6"/>
    <w:rsid w:val="00E447F7"/>
    <w:rsid w:val="00E5267B"/>
    <w:rsid w:val="00E55365"/>
    <w:rsid w:val="00E623A5"/>
    <w:rsid w:val="00E63C0E"/>
    <w:rsid w:val="00E672CE"/>
    <w:rsid w:val="00E709FD"/>
    <w:rsid w:val="00E72D49"/>
    <w:rsid w:val="00E7593C"/>
    <w:rsid w:val="00E7678A"/>
    <w:rsid w:val="00E935F1"/>
    <w:rsid w:val="00E948F9"/>
    <w:rsid w:val="00E94A81"/>
    <w:rsid w:val="00EA1FFB"/>
    <w:rsid w:val="00EA28EE"/>
    <w:rsid w:val="00EB048E"/>
    <w:rsid w:val="00EB37D1"/>
    <w:rsid w:val="00EB4E9C"/>
    <w:rsid w:val="00EB7ED3"/>
    <w:rsid w:val="00ED7F3E"/>
    <w:rsid w:val="00EE0265"/>
    <w:rsid w:val="00EE34DF"/>
    <w:rsid w:val="00EF196C"/>
    <w:rsid w:val="00EF2F89"/>
    <w:rsid w:val="00F03E98"/>
    <w:rsid w:val="00F05868"/>
    <w:rsid w:val="00F11323"/>
    <w:rsid w:val="00F1237A"/>
    <w:rsid w:val="00F13B88"/>
    <w:rsid w:val="00F22CBD"/>
    <w:rsid w:val="00F23AC7"/>
    <w:rsid w:val="00F272F1"/>
    <w:rsid w:val="00F34B17"/>
    <w:rsid w:val="00F40D70"/>
    <w:rsid w:val="00F44DCF"/>
    <w:rsid w:val="00F45372"/>
    <w:rsid w:val="00F52739"/>
    <w:rsid w:val="00F560F7"/>
    <w:rsid w:val="00F60BE6"/>
    <w:rsid w:val="00F63291"/>
    <w:rsid w:val="00F6334D"/>
    <w:rsid w:val="00F63599"/>
    <w:rsid w:val="00F713A0"/>
    <w:rsid w:val="00F73621"/>
    <w:rsid w:val="00F772F5"/>
    <w:rsid w:val="00FA098D"/>
    <w:rsid w:val="00FA49AB"/>
    <w:rsid w:val="00FB75FA"/>
    <w:rsid w:val="00FC6BF7"/>
    <w:rsid w:val="00FC7FED"/>
    <w:rsid w:val="00FD19F3"/>
    <w:rsid w:val="00FE08DE"/>
    <w:rsid w:val="00FE39C7"/>
    <w:rsid w:val="00FF4D07"/>
    <w:rsid w:val="014F06A8"/>
    <w:rsid w:val="11CD6E8B"/>
    <w:rsid w:val="13CD7880"/>
    <w:rsid w:val="1FBB4A88"/>
    <w:rsid w:val="28A0ABEF"/>
    <w:rsid w:val="2C07D160"/>
    <w:rsid w:val="2EC94AB3"/>
    <w:rsid w:val="360764B0"/>
    <w:rsid w:val="37278B5F"/>
    <w:rsid w:val="46161091"/>
    <w:rsid w:val="52E40541"/>
    <w:rsid w:val="53809F5A"/>
    <w:rsid w:val="57D2630B"/>
    <w:rsid w:val="59DEE1C8"/>
    <w:rsid w:val="5E5402C2"/>
    <w:rsid w:val="63A63388"/>
    <w:rsid w:val="653ADAA8"/>
    <w:rsid w:val="668F05E3"/>
    <w:rsid w:val="67138D89"/>
    <w:rsid w:val="71450992"/>
    <w:rsid w:val="7187E33D"/>
    <w:rsid w:val="7A2B4FBE"/>
    <w:rsid w:val="7AEB7FE9"/>
    <w:rsid w:val="7F398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CB1886E7-0A32-4B4E-B599-128AC82E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FC7FED"/>
    <w:pPr>
      <w:keepNext/>
      <w:pageBreakBefore/>
      <w:numPr>
        <w:numId w:val="5"/>
      </w:numPr>
      <w:outlineLvl w:val="0"/>
    </w:pPr>
    <w:rPr>
      <w:rFonts w:ascii="Arial" w:hAnsi="Arial"/>
      <w:caps/>
      <w:color w:val="26724C" w:themeColor="accent1" w:themeShade="BF"/>
      <w:sz w:val="32"/>
      <w:szCs w:val="24"/>
    </w:rPr>
  </w:style>
  <w:style w:type="paragraph" w:styleId="Heading2">
    <w:name w:val="heading 2"/>
    <w:next w:val="Normal"/>
    <w:qFormat/>
    <w:rsid w:val="004448C7"/>
    <w:pPr>
      <w:keepNext/>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C01C3B"/>
    <w:pPr>
      <w:keepNext/>
      <w:jc w:val="both"/>
      <w:outlineLvl w:val="2"/>
    </w:pPr>
    <w:rPr>
      <w:rFonts w:ascii="Arial" w:hAnsi="Arial"/>
      <w:b/>
      <w:color w:val="26724C" w:themeColor="accent1" w:themeShade="BF"/>
      <w:sz w:val="22"/>
    </w:rPr>
  </w:style>
  <w:style w:type="paragraph" w:styleId="Heading4">
    <w:name w:val="heading 4"/>
    <w:next w:val="Normal"/>
    <w:autoRedefine/>
    <w:qFormat/>
    <w:rsid w:val="00C01C3B"/>
    <w:pPr>
      <w:keepNext/>
      <w:tabs>
        <w:tab w:val="left" w:pos="1418"/>
      </w:tabs>
      <w:ind w:left="567"/>
      <w:jc w:val="both"/>
      <w:outlineLvl w:val="3"/>
    </w:pPr>
    <w:rPr>
      <w:rFonts w:ascii="Arial" w:hAnsi="Arial"/>
      <w:u w:val="single"/>
    </w:rPr>
  </w:style>
  <w:style w:type="paragraph" w:styleId="Heading5">
    <w:name w:val="heading 5"/>
    <w:next w:val="Normal"/>
    <w:autoRedefine/>
    <w:qFormat/>
    <w:rsid w:val="00C01C3B"/>
    <w:pPr>
      <w:keepNext/>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C01C3B"/>
    <w:pPr>
      <w:ind w:left="2127" w:hanging="2127"/>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B104C1"/>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C01C3B"/>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en-US" w:eastAsia="en-US" w:bidi="ar-SA"/>
    </w:rPr>
  </w:style>
  <w:style w:type="character" w:customStyle="1" w:styleId="StyleDoclangBold">
    <w:name w:val="Style Doc_lang + Bold"/>
    <w:basedOn w:val="Doclang"/>
    <w:rsid w:val="00B65EDC"/>
    <w:rPr>
      <w:rFonts w:ascii="Arial" w:hAnsi="Arial"/>
      <w:b/>
      <w:bCs/>
      <w:sz w:val="20"/>
      <w:lang w:val="en-US"/>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B65EDC"/>
    <w:pPr>
      <w:jc w:val="center"/>
    </w:pPr>
    <w:rPr>
      <w:rFonts w:ascii="Times New Roman" w:hAnsi="Times New Roman"/>
      <w:b/>
      <w:caps/>
      <w:color w:val="0000FF"/>
      <w:sz w:val="28"/>
    </w:rPr>
  </w:style>
  <w:style w:type="character" w:customStyle="1" w:styleId="SubtitleChar">
    <w:name w:val="Subtitle Char"/>
    <w:basedOn w:val="DefaultParagraphFont"/>
    <w:link w:val="Subtitle"/>
    <w:rsid w:val="00B65EDC"/>
    <w:rPr>
      <w:b/>
      <w:caps/>
      <w:color w:val="0000FF"/>
      <w:sz w:val="28"/>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B104C1"/>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0C7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pov.int/resource/en/pvp_certificate.html" TargetMode="External"/><Relationship Id="rId26" Type="http://schemas.openxmlformats.org/officeDocument/2006/relationships/header" Target="header4.xml"/><Relationship Id="rId39" Type="http://schemas.openxmlformats.org/officeDocument/2006/relationships/footer" Target="footer13.xml"/><Relationship Id="rId21" Type="http://schemas.openxmlformats.org/officeDocument/2006/relationships/header" Target="header2.xml"/><Relationship Id="rId34" Type="http://schemas.openxmlformats.org/officeDocument/2006/relationships/footer" Target="footer10.xml"/><Relationship Id="rId42" Type="http://schemas.openxmlformats.org/officeDocument/2006/relationships/header" Target="header11.xml"/><Relationship Id="rId47" Type="http://schemas.openxmlformats.org/officeDocument/2006/relationships/footer" Target="footer17.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oter" Target="footer8.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eader" Target="header13.xml"/><Relationship Id="rId20" Type="http://schemas.openxmlformats.org/officeDocument/2006/relationships/image" Target="media/image6.png"/><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C0FE-3CDC-4AD9-A180-A43AE7E121FC}">
  <ds:schemaRefs>
    <ds:schemaRef ds:uri="http://schemas.microsoft.com/office/2006/metadata/properties"/>
    <ds:schemaRef ds:uri="http://schemas.microsoft.com/office/infopath/2007/PartnerControls"/>
    <ds:schemaRef ds:uri="83b1643b-c358-4dde-ba9b-9c054d43d0ac"/>
  </ds:schemaRefs>
</ds:datastoreItem>
</file>

<file path=customXml/itemProps2.xml><?xml version="1.0" encoding="utf-8"?>
<ds:datastoreItem xmlns:ds="http://schemas.openxmlformats.org/officeDocument/2006/customXml" ds:itemID="{A4311F7A-4E72-45CB-A072-2C3E353E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3FCF2-2FBE-41A5-B53D-CC20DFBAD72A}">
  <ds:schemaRefs>
    <ds:schemaRef ds:uri="http://schemas.microsoft.com/sharepoint/v3/contenttype/forms"/>
  </ds:schemaRefs>
</ds:datastoreItem>
</file>

<file path=customXml/itemProps4.xml><?xml version="1.0" encoding="utf-8"?>
<ds:datastoreItem xmlns:ds="http://schemas.openxmlformats.org/officeDocument/2006/customXml" ds:itemID="{4B6D3A4A-C368-4D21-8120-EE922592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11444</Words>
  <Characters>66844</Characters>
  <Application>Microsoft Office Word</Application>
  <DocSecurity>0</DocSecurity>
  <Lines>2475</Lines>
  <Paragraphs>1535</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76753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dc:title>
  <dc:subject/>
  <dc:creator>SANCHEZ VIZCAINO GOMEZ Rosa Maria</dc:creator>
  <cp:keywords/>
  <cp:lastModifiedBy>SANCHEZ VIZCAINO GOMEZ Rosa Maria</cp:lastModifiedBy>
  <cp:revision>5</cp:revision>
  <cp:lastPrinted>2025-09-05T07:14:00Z</cp:lastPrinted>
  <dcterms:created xsi:type="dcterms:W3CDTF">2025-11-03T14:09:00Z</dcterms:created>
  <dcterms:modified xsi:type="dcterms:W3CDTF">2025-11-05T12:15:00Z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5b3bc20a,3d05fef0,64b07b25,2fa97c58,6fb493d9,6c6af7c5,56f44c79,518a456,5bf11c7e,30eeb715,30e5fca4,28633695,7ed8f440,1eb1cfe5,5f713f49,39786545,54f6eed6,79b4bdc2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2025-09-05T08:55:35Z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8ac4455c-d496-4b95-8398-fe4b8ce6a50e</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y fmtid="{D5CDD505-2E9C-101B-9397-08002B2CF9AE}" pid="13" name="ContentTypeId">
    <vt:lpwstr>0x010100301BD4133F28514D8C0E6121C9C63BEE</vt:lpwstr>
  </property>
  <property fmtid="{D5CDD505-2E9C-101B-9397-08002B2CF9AE}" pid="14" name="docLang">
    <vt:lpwstr>en</vt:lpwstr>
  </property>
</Properties>
</file>