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78AE46C5" w14:textId="77777777" w:rsidTr="00EB4E9C">
        <w:tc>
          <w:tcPr>
            <w:tcW w:w="6522" w:type="dxa"/>
          </w:tcPr>
          <w:p w14:paraId="1DC1B137" w14:textId="77777777" w:rsidR="00DC3802" w:rsidRPr="00AC2883" w:rsidRDefault="00CA7BA1" w:rsidP="00AC2883">
            <w:r>
              <w:rPr>
                <w:noProof/>
              </w:rPr>
              <w:drawing>
                <wp:inline distT="0" distB="0" distL="0" distR="0" wp14:anchorId="472137D6" wp14:editId="6067EB86">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2AB83AA3" w14:textId="77777777" w:rsidR="00DC3802" w:rsidRPr="007C1D92" w:rsidRDefault="00DC3802" w:rsidP="00AC2883">
            <w:pPr>
              <w:pStyle w:val="Lettrine"/>
            </w:pPr>
            <w:r w:rsidRPr="00172084">
              <w:t>E</w:t>
            </w:r>
          </w:p>
        </w:tc>
      </w:tr>
      <w:tr w:rsidR="00DC3802" w:rsidRPr="00DA4973" w14:paraId="50FB3724" w14:textId="77777777" w:rsidTr="00645CA8">
        <w:trPr>
          <w:trHeight w:val="219"/>
        </w:trPr>
        <w:tc>
          <w:tcPr>
            <w:tcW w:w="6522" w:type="dxa"/>
          </w:tcPr>
          <w:p w14:paraId="50DDDF50" w14:textId="77777777" w:rsidR="00DC3802" w:rsidRPr="00AC2883" w:rsidRDefault="00DC3802" w:rsidP="00AC2883">
            <w:pPr>
              <w:pStyle w:val="upove"/>
            </w:pPr>
            <w:r w:rsidRPr="00AC2883">
              <w:t>International Union for the Protection of New Varieties of Plants</w:t>
            </w:r>
          </w:p>
        </w:tc>
        <w:tc>
          <w:tcPr>
            <w:tcW w:w="3117" w:type="dxa"/>
          </w:tcPr>
          <w:p w14:paraId="6ACCE1B1" w14:textId="77777777" w:rsidR="00DC3802" w:rsidRPr="00DA4973" w:rsidRDefault="00DC3802" w:rsidP="00DA4973"/>
        </w:tc>
      </w:tr>
    </w:tbl>
    <w:p w14:paraId="507F3306" w14:textId="77777777" w:rsidR="00DC3802" w:rsidRDefault="00DC3802" w:rsidP="00DC3802"/>
    <w:p w14:paraId="3AD549F1"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3D3CE3D1" w14:textId="77777777" w:rsidTr="00EB4E9C">
        <w:tc>
          <w:tcPr>
            <w:tcW w:w="6512" w:type="dxa"/>
          </w:tcPr>
          <w:p w14:paraId="23827772" w14:textId="77777777" w:rsidR="00EB4E9C" w:rsidRPr="00335C94" w:rsidRDefault="00A3365A" w:rsidP="00AC2883">
            <w:pPr>
              <w:pStyle w:val="Sessiontc"/>
              <w:spacing w:line="240" w:lineRule="auto"/>
            </w:pPr>
            <w:r w:rsidRPr="00335C94">
              <w:t>Council</w:t>
            </w:r>
          </w:p>
          <w:p w14:paraId="5F2D2289" w14:textId="77777777" w:rsidR="0083359E" w:rsidRPr="00335C94" w:rsidRDefault="00A3365A" w:rsidP="0051361E">
            <w:pPr>
              <w:pStyle w:val="Sessiontcplacedate"/>
            </w:pPr>
            <w:r w:rsidRPr="00335C94">
              <w:t>Fifty-</w:t>
            </w:r>
            <w:r w:rsidR="00987CB1" w:rsidRPr="00335C94">
              <w:t>Ninth</w:t>
            </w:r>
            <w:r w:rsidR="0020304B" w:rsidRPr="00335C94">
              <w:t xml:space="preserve"> </w:t>
            </w:r>
            <w:r w:rsidRPr="00335C94">
              <w:t xml:space="preserve">Ordinary </w:t>
            </w:r>
            <w:r w:rsidR="00EB4E9C" w:rsidRPr="00335C94">
              <w:t>Session</w:t>
            </w:r>
          </w:p>
          <w:p w14:paraId="6192BE9B" w14:textId="77777777" w:rsidR="00EB4E9C" w:rsidRPr="00335C94" w:rsidRDefault="00EB4E9C" w:rsidP="00E364BF">
            <w:pPr>
              <w:pStyle w:val="Sessiontcplacedate"/>
              <w:rPr>
                <w:sz w:val="22"/>
              </w:rPr>
            </w:pPr>
            <w:r w:rsidRPr="00335C94">
              <w:t xml:space="preserve">Geneva, </w:t>
            </w:r>
            <w:r w:rsidR="0020304B" w:rsidRPr="00335C94">
              <w:t xml:space="preserve">October </w:t>
            </w:r>
            <w:r w:rsidR="00E948F9" w:rsidRPr="00335C94">
              <w:t>2</w:t>
            </w:r>
            <w:r w:rsidR="00987CB1" w:rsidRPr="00335C94">
              <w:t>4</w:t>
            </w:r>
            <w:r w:rsidR="00E364BF" w:rsidRPr="00335C94">
              <w:t>, 202</w:t>
            </w:r>
            <w:r w:rsidR="00987CB1" w:rsidRPr="00335C94">
              <w:t>5</w:t>
            </w:r>
          </w:p>
        </w:tc>
        <w:tc>
          <w:tcPr>
            <w:tcW w:w="3127" w:type="dxa"/>
          </w:tcPr>
          <w:p w14:paraId="55A71C2B" w14:textId="2705C7F5" w:rsidR="00EB4E9C" w:rsidRPr="00335C94" w:rsidRDefault="004B69D6" w:rsidP="003C7FBE">
            <w:pPr>
              <w:pStyle w:val="Doccode"/>
            </w:pPr>
            <w:r w:rsidRPr="00335C94">
              <w:t>C/59/15</w:t>
            </w:r>
          </w:p>
          <w:p w14:paraId="06F091FD" w14:textId="77777777" w:rsidR="00EB4E9C" w:rsidRPr="00335C94" w:rsidRDefault="00EB4E9C" w:rsidP="003C7FBE">
            <w:pPr>
              <w:pStyle w:val="Docoriginal"/>
            </w:pPr>
            <w:r w:rsidRPr="00335C94">
              <w:t>Original:</w:t>
            </w:r>
            <w:r w:rsidRPr="00335C94">
              <w:rPr>
                <w:b w:val="0"/>
                <w:spacing w:val="0"/>
              </w:rPr>
              <w:t xml:space="preserve">  English</w:t>
            </w:r>
          </w:p>
          <w:p w14:paraId="561D4DC2" w14:textId="07A13463" w:rsidR="00EB4E9C" w:rsidRPr="007C1D92" w:rsidRDefault="00EB4E9C" w:rsidP="00E364BF">
            <w:pPr>
              <w:pStyle w:val="Docoriginal"/>
            </w:pPr>
            <w:r w:rsidRPr="00335C94">
              <w:t>Date:</w:t>
            </w:r>
            <w:r w:rsidRPr="00335C94">
              <w:rPr>
                <w:b w:val="0"/>
                <w:spacing w:val="0"/>
              </w:rPr>
              <w:t xml:space="preserve">  </w:t>
            </w:r>
            <w:r w:rsidR="00900455" w:rsidRPr="00335C94">
              <w:rPr>
                <w:b w:val="0"/>
                <w:spacing w:val="0"/>
              </w:rPr>
              <w:t>September 1</w:t>
            </w:r>
            <w:r w:rsidR="00335C94" w:rsidRPr="00335C94">
              <w:rPr>
                <w:b w:val="0"/>
                <w:spacing w:val="0"/>
              </w:rPr>
              <w:t>9</w:t>
            </w:r>
            <w:r w:rsidR="004B69D6" w:rsidRPr="00335C94">
              <w:rPr>
                <w:b w:val="0"/>
                <w:spacing w:val="0"/>
              </w:rPr>
              <w:t>, 2025</w:t>
            </w:r>
          </w:p>
        </w:tc>
      </w:tr>
    </w:tbl>
    <w:p w14:paraId="45BE6E2D" w14:textId="77777777" w:rsidR="004B69D6" w:rsidRPr="006A644A" w:rsidRDefault="004B69D6" w:rsidP="004B69D6">
      <w:pPr>
        <w:pStyle w:val="Titleofdoc0"/>
      </w:pPr>
      <w:r>
        <w:t xml:space="preserve">UPOV </w:t>
      </w:r>
      <w:r w:rsidRPr="0037554D">
        <w:t>RISK APPETITE STATEMENT</w:t>
      </w:r>
    </w:p>
    <w:p w14:paraId="359586C5" w14:textId="77777777" w:rsidR="004B69D6" w:rsidRPr="006A644A" w:rsidRDefault="004B69D6" w:rsidP="004B69D6">
      <w:pPr>
        <w:pStyle w:val="preparedby1"/>
        <w:jc w:val="left"/>
      </w:pPr>
      <w:r w:rsidRPr="000C4E25">
        <w:t>prepared by the Office of the Union</w:t>
      </w:r>
    </w:p>
    <w:p w14:paraId="446005EA" w14:textId="77777777" w:rsidR="004B69D6" w:rsidRPr="006A644A" w:rsidRDefault="004B69D6" w:rsidP="004B69D6">
      <w:pPr>
        <w:pStyle w:val="Disclaimer"/>
      </w:pPr>
      <w:r w:rsidRPr="006A644A">
        <w:t>Disclaimer:  this document does not represent UPOV policies or guidance</w:t>
      </w:r>
    </w:p>
    <w:p w14:paraId="7E026166" w14:textId="0E7E27F8" w:rsidR="004B69D6" w:rsidRDefault="004B69D6" w:rsidP="004B69D6">
      <w:pPr>
        <w:rPr>
          <w:color w:val="000000" w:themeColor="text1"/>
        </w:rPr>
      </w:pPr>
      <w:r>
        <w:rPr>
          <w:color w:val="000000" w:themeColor="text1"/>
        </w:rPr>
        <w:fldChar w:fldCharType="begin"/>
      </w:r>
      <w:r>
        <w:rPr>
          <w:color w:val="000000" w:themeColor="text1"/>
        </w:rPr>
        <w:instrText xml:space="preserve"> AUTONUM  </w:instrText>
      </w:r>
      <w:r>
        <w:rPr>
          <w:color w:val="000000" w:themeColor="text1"/>
        </w:rPr>
        <w:fldChar w:fldCharType="end"/>
      </w:r>
      <w:r>
        <w:rPr>
          <w:color w:val="000000" w:themeColor="text1"/>
        </w:rPr>
        <w:tab/>
      </w:r>
      <w:r w:rsidRPr="7F88F5D3">
        <w:rPr>
          <w:color w:val="000000" w:themeColor="text1"/>
        </w:rPr>
        <w:t>UPOV undertakes a structured approach to risk management, based upon WIPO</w:t>
      </w:r>
      <w:r w:rsidR="004B65F2">
        <w:rPr>
          <w:color w:val="000000" w:themeColor="text1"/>
        </w:rPr>
        <w:t>’</w:t>
      </w:r>
      <w:r w:rsidRPr="7F88F5D3">
        <w:rPr>
          <w:color w:val="000000" w:themeColor="text1"/>
        </w:rPr>
        <w:t xml:space="preserve">s risk management </w:t>
      </w:r>
      <w:r w:rsidRPr="66D3EE40">
        <w:rPr>
          <w:color w:val="000000" w:themeColor="text1"/>
        </w:rPr>
        <w:t>framework and</w:t>
      </w:r>
      <w:r w:rsidRPr="7F88F5D3">
        <w:rPr>
          <w:color w:val="000000" w:themeColor="text1"/>
        </w:rPr>
        <w:t xml:space="preserve"> practices.  </w:t>
      </w:r>
      <w:r>
        <w:t xml:space="preserve">This Risk Appetite Statement sets out how UPOV will manage risks while </w:t>
      </w:r>
      <w:r w:rsidRPr="00BF6DC1">
        <w:t xml:space="preserve">implementing the </w:t>
      </w:r>
      <w:bookmarkStart w:id="0" w:name="_Hlk204010293"/>
      <w:r w:rsidRPr="00BF6DC1">
        <w:t>Strategic Business Plan 2026-2029 (SBP).</w:t>
      </w:r>
    </w:p>
    <w:bookmarkEnd w:id="0"/>
    <w:p w14:paraId="3C5F7194" w14:textId="77777777" w:rsidR="004B69D6" w:rsidRDefault="004B69D6" w:rsidP="004B69D6"/>
    <w:p w14:paraId="3495076B" w14:textId="7EF9E550" w:rsidR="004B69D6" w:rsidRDefault="004B69D6" w:rsidP="004B69D6">
      <w:r>
        <w:fldChar w:fldCharType="begin"/>
      </w:r>
      <w:r>
        <w:instrText xml:space="preserve"> AUTONUM  </w:instrText>
      </w:r>
      <w:r>
        <w:fldChar w:fldCharType="end"/>
      </w:r>
      <w:r>
        <w:tab/>
        <w:t>Aligning an organization</w:t>
      </w:r>
      <w:r w:rsidR="004B65F2">
        <w:t>’</w:t>
      </w:r>
      <w:r>
        <w:t xml:space="preserve">s Risk Appetite Statement to its strategy is </w:t>
      </w:r>
      <w:proofErr w:type="gramStart"/>
      <w:r>
        <w:t>a best practice</w:t>
      </w:r>
      <w:proofErr w:type="gramEnd"/>
      <w:r>
        <w:t xml:space="preserve"> according to the United Nations High Level Committee on Management Risk Management Forum Guidelines on Risk Appetite Statements</w:t>
      </w:r>
      <w:r>
        <w:rPr>
          <w:rStyle w:val="FootnoteReference"/>
        </w:rPr>
        <w:footnoteReference w:id="2"/>
      </w:r>
      <w:r>
        <w:t xml:space="preserve"> and the Committee of Sponsoring Organizations of the Treadway Commission (COSO)</w:t>
      </w:r>
      <w:r>
        <w:rPr>
          <w:rStyle w:val="FootnoteReference"/>
        </w:rPr>
        <w:footnoteReference w:id="3"/>
      </w:r>
      <w:r>
        <w:t xml:space="preserve">.    </w:t>
      </w:r>
    </w:p>
    <w:p w14:paraId="544A66BE" w14:textId="77777777" w:rsidR="004B69D6" w:rsidRDefault="004B69D6" w:rsidP="004B69D6"/>
    <w:p w14:paraId="45545CD1" w14:textId="32D3C5E7" w:rsidR="004B69D6" w:rsidRDefault="004B69D6" w:rsidP="004B69D6">
      <w:r>
        <w:fldChar w:fldCharType="begin"/>
      </w:r>
      <w:r>
        <w:instrText xml:space="preserve"> AUTONUM  </w:instrText>
      </w:r>
      <w:r>
        <w:fldChar w:fldCharType="end"/>
      </w:r>
      <w:r>
        <w:tab/>
        <w:t xml:space="preserve">This Risk Appetite Statement </w:t>
      </w:r>
      <w:r w:rsidRPr="00017F1A">
        <w:t xml:space="preserve">is </w:t>
      </w:r>
      <w:r>
        <w:t xml:space="preserve">therefore </w:t>
      </w:r>
      <w:r w:rsidRPr="00017F1A">
        <w:t xml:space="preserve">structured </w:t>
      </w:r>
      <w:r>
        <w:t xml:space="preserve">by </w:t>
      </w:r>
      <w:r w:rsidRPr="00017F1A">
        <w:t xml:space="preserve">the </w:t>
      </w:r>
      <w:r>
        <w:t>UPOV Strategy House</w:t>
      </w:r>
      <w:r w:rsidR="004B65F2">
        <w:t>’</w:t>
      </w:r>
      <w:r>
        <w:t>s three</w:t>
      </w:r>
      <w:r w:rsidRPr="00017F1A">
        <w:t xml:space="preserve"> </w:t>
      </w:r>
      <w:r>
        <w:t>s</w:t>
      </w:r>
      <w:r w:rsidRPr="00017F1A">
        <w:t xml:space="preserve">trategic </w:t>
      </w:r>
      <w:r>
        <w:t>pillars and f</w:t>
      </w:r>
      <w:r w:rsidRPr="00017F1A">
        <w:t>oundation</w:t>
      </w:r>
      <w:r>
        <w:t xml:space="preserve">.  It defines the risk appetite in pursuit of each Expected Result within the Strategy House.  </w:t>
      </w:r>
    </w:p>
    <w:p w14:paraId="14E49142" w14:textId="77777777" w:rsidR="004B69D6" w:rsidRDefault="004B69D6" w:rsidP="004B69D6"/>
    <w:p w14:paraId="507996F1" w14:textId="6005127E" w:rsidR="004B69D6" w:rsidRPr="004B69D6" w:rsidRDefault="004B69D6" w:rsidP="004B69D6">
      <w:pPr>
        <w:pStyle w:val="DecisionParagraphs"/>
      </w:pPr>
      <w:r>
        <w:fldChar w:fldCharType="begin"/>
      </w:r>
      <w:r>
        <w:instrText xml:space="preserve"> AUTONUM  </w:instrText>
      </w:r>
      <w:r>
        <w:fldChar w:fldCharType="end"/>
      </w:r>
      <w:r>
        <w:tab/>
      </w:r>
      <w:r w:rsidRPr="004B69D6">
        <w:t xml:space="preserve">The Council is invited to take </w:t>
      </w:r>
      <w:proofErr w:type="gramStart"/>
      <w:r w:rsidRPr="004B69D6">
        <w:t>note</w:t>
      </w:r>
      <w:proofErr w:type="gramEnd"/>
      <w:r w:rsidRPr="004B69D6">
        <w:t xml:space="preserve"> of the present document. </w:t>
      </w:r>
    </w:p>
    <w:p w14:paraId="6EF97996" w14:textId="77777777" w:rsidR="00544581" w:rsidRDefault="00544581">
      <w:pPr>
        <w:jc w:val="left"/>
      </w:pPr>
    </w:p>
    <w:p w14:paraId="73BA6068" w14:textId="77777777" w:rsidR="00050E16" w:rsidRDefault="00050E16" w:rsidP="00050E16"/>
    <w:p w14:paraId="316B87F7" w14:textId="77777777" w:rsidR="004B69D6" w:rsidRPr="00C651CE" w:rsidRDefault="004B69D6" w:rsidP="00050E16"/>
    <w:p w14:paraId="50116BCB" w14:textId="03932222" w:rsidR="009B440E" w:rsidRDefault="00050E16" w:rsidP="00050E16">
      <w:pPr>
        <w:jc w:val="right"/>
      </w:pPr>
      <w:r w:rsidRPr="00C5280D">
        <w:t>[</w:t>
      </w:r>
      <w:r w:rsidR="004B69D6">
        <w:t>Annex follows</w:t>
      </w:r>
      <w:r w:rsidRPr="00C5280D">
        <w:t>]</w:t>
      </w:r>
    </w:p>
    <w:p w14:paraId="476127E2" w14:textId="77777777" w:rsidR="00903264" w:rsidRDefault="00903264">
      <w:pPr>
        <w:jc w:val="left"/>
      </w:pPr>
    </w:p>
    <w:p w14:paraId="3E9111AD" w14:textId="77777777" w:rsidR="00F101BE" w:rsidRDefault="00F101BE" w:rsidP="009B440E">
      <w:pPr>
        <w:jc w:val="left"/>
        <w:sectPr w:rsidR="00F101BE" w:rsidSect="00BF6DC1">
          <w:headerReference w:type="default" r:id="rId8"/>
          <w:pgSz w:w="11907" w:h="16840" w:code="9"/>
          <w:pgMar w:top="510" w:right="1134" w:bottom="1134" w:left="1134" w:header="510" w:footer="680" w:gutter="0"/>
          <w:cols w:space="720"/>
          <w:titlePg/>
        </w:sectPr>
      </w:pPr>
    </w:p>
    <w:p w14:paraId="6422ECF9" w14:textId="77777777" w:rsidR="00F101BE" w:rsidRPr="00F101BE" w:rsidRDefault="00F101BE" w:rsidP="00F101BE">
      <w:pPr>
        <w:spacing w:line="276" w:lineRule="auto"/>
        <w:jc w:val="center"/>
        <w:rPr>
          <w:b/>
          <w:color w:val="000000" w:themeColor="text1"/>
        </w:rPr>
      </w:pPr>
      <w:r w:rsidRPr="00F101BE">
        <w:rPr>
          <w:b/>
          <w:color w:val="000000" w:themeColor="text1"/>
        </w:rPr>
        <w:lastRenderedPageBreak/>
        <w:t>INTERNATIONAL UNION FOR THE PROTECTION OF NEW VARIETIES OF PLANTS</w:t>
      </w:r>
    </w:p>
    <w:p w14:paraId="2AEA03F8" w14:textId="77777777" w:rsidR="00F101BE" w:rsidRPr="00F101BE" w:rsidRDefault="00F101BE" w:rsidP="00F101BE">
      <w:pPr>
        <w:spacing w:line="276" w:lineRule="auto"/>
        <w:jc w:val="center"/>
        <w:rPr>
          <w:b/>
          <w:color w:val="000000" w:themeColor="text1"/>
        </w:rPr>
      </w:pPr>
    </w:p>
    <w:p w14:paraId="6EA71011" w14:textId="77777777" w:rsidR="00F101BE" w:rsidRPr="004B65F2" w:rsidRDefault="00F101BE" w:rsidP="00F101BE">
      <w:pPr>
        <w:spacing w:line="360" w:lineRule="auto"/>
        <w:jc w:val="center"/>
        <w:rPr>
          <w:b/>
          <w:color w:val="000000" w:themeColor="text1"/>
        </w:rPr>
      </w:pPr>
      <w:r w:rsidRPr="004B65F2">
        <w:rPr>
          <w:b/>
          <w:color w:val="000000" w:themeColor="text1"/>
        </w:rPr>
        <w:t>Risk Appetite Statement</w:t>
      </w:r>
    </w:p>
    <w:p w14:paraId="1A204740" w14:textId="77777777" w:rsidR="00F101BE" w:rsidRDefault="00F101BE" w:rsidP="00F101BE"/>
    <w:p w14:paraId="13A216C3" w14:textId="77777777" w:rsidR="00F101BE" w:rsidRPr="00F101BE" w:rsidRDefault="00F101BE" w:rsidP="00F101BE"/>
    <w:p w14:paraId="635A2B74" w14:textId="77777777" w:rsidR="00F101BE" w:rsidRPr="00F101BE" w:rsidRDefault="00F101BE" w:rsidP="004B65F2">
      <w:pPr>
        <w:pStyle w:val="Heading1"/>
        <w:rPr>
          <w:b w:val="0"/>
        </w:rPr>
      </w:pPr>
      <w:r w:rsidRPr="00F101BE">
        <w:t xml:space="preserve">INTRODUCTION </w:t>
      </w:r>
    </w:p>
    <w:p w14:paraId="1541ECBE" w14:textId="3F0017BB" w:rsidR="00F101BE" w:rsidRPr="004B65F2" w:rsidRDefault="00F101BE" w:rsidP="004B65F2">
      <w:pPr>
        <w:pStyle w:val="ONUME"/>
      </w:pPr>
      <w:r w:rsidRPr="00F101BE">
        <w:t>WIPO</w:t>
      </w:r>
      <w:r w:rsidR="004B65F2">
        <w:t>’</w:t>
      </w:r>
      <w:r w:rsidRPr="00F101BE">
        <w:t xml:space="preserve">s risk management framework, which includes the Policy on Risk Management and the Risk Handbook, help guide risk management at UPOV in achieving the Expected Results in the Strategic </w:t>
      </w:r>
      <w:r w:rsidRPr="004B65F2">
        <w:t>Business Plan 2026-2029 (SBP).</w:t>
      </w:r>
    </w:p>
    <w:p w14:paraId="7AF6F556" w14:textId="572AE4AE" w:rsidR="00F101BE" w:rsidRDefault="00F101BE" w:rsidP="004B65F2">
      <w:pPr>
        <w:pStyle w:val="ONUME"/>
      </w:pPr>
      <w:r w:rsidRPr="00F101BE">
        <w:t>This Risk Appetite Statement defines UPOV</w:t>
      </w:r>
      <w:r w:rsidR="004B65F2">
        <w:t>’</w:t>
      </w:r>
      <w:r w:rsidRPr="00F101BE">
        <w:t>s risk appetite in pursuing its mission to provide and promote an effective system of plant variety protection, with the aim of encouraging the development of new varieties of plants, for the benefit of society.</w:t>
      </w:r>
    </w:p>
    <w:p w14:paraId="1D23E235" w14:textId="263102C5" w:rsidR="00F101BE" w:rsidRPr="00F101BE" w:rsidRDefault="00F101BE" w:rsidP="004B65F2">
      <w:pPr>
        <w:pStyle w:val="Heading1"/>
      </w:pPr>
      <w:r w:rsidRPr="00F101BE">
        <w:t>GUIDING PRINCIPLES</w:t>
      </w:r>
    </w:p>
    <w:p w14:paraId="04A9D30A" w14:textId="78560AE4" w:rsidR="00F101BE" w:rsidRPr="00F101BE" w:rsidRDefault="00F101BE" w:rsidP="004B65F2">
      <w:pPr>
        <w:pStyle w:val="ONUME"/>
      </w:pPr>
      <w:r w:rsidRPr="00F101BE">
        <w:t>UPOV</w:t>
      </w:r>
      <w:r w:rsidR="004B65F2">
        <w:t>’</w:t>
      </w:r>
      <w:r w:rsidRPr="00F101BE">
        <w:t xml:space="preserve">s approach to risk management is guided by: </w:t>
      </w:r>
    </w:p>
    <w:p w14:paraId="0211DA90" w14:textId="77777777" w:rsidR="00F101BE" w:rsidRPr="00F101BE" w:rsidRDefault="00F101BE" w:rsidP="004B65F2">
      <w:pPr>
        <w:pStyle w:val="ONUME"/>
        <w:numPr>
          <w:ilvl w:val="0"/>
          <w:numId w:val="3"/>
        </w:numPr>
        <w:spacing w:after="120"/>
      </w:pPr>
      <w:r w:rsidRPr="00F101BE">
        <w:t>a structured risk-aware culture</w:t>
      </w:r>
    </w:p>
    <w:p w14:paraId="01FA7512" w14:textId="77777777" w:rsidR="00F101BE" w:rsidRPr="00F101BE" w:rsidRDefault="00F101BE" w:rsidP="004B65F2">
      <w:pPr>
        <w:pStyle w:val="ONUME"/>
        <w:numPr>
          <w:ilvl w:val="0"/>
          <w:numId w:val="3"/>
        </w:numPr>
        <w:spacing w:after="120"/>
      </w:pPr>
      <w:r w:rsidRPr="00F101BE">
        <w:t>shared ownership of risks among Council, UPOV members, and the Office of the Union</w:t>
      </w:r>
    </w:p>
    <w:p w14:paraId="0069F435" w14:textId="77777777" w:rsidR="00F101BE" w:rsidRPr="00F101BE" w:rsidRDefault="00F101BE" w:rsidP="004B65F2">
      <w:pPr>
        <w:pStyle w:val="ONUME"/>
        <w:numPr>
          <w:ilvl w:val="0"/>
          <w:numId w:val="3"/>
        </w:numPr>
        <w:spacing w:after="120"/>
      </w:pPr>
      <w:r w:rsidRPr="00F101BE">
        <w:t>strategic alignment with Expected Results</w:t>
      </w:r>
    </w:p>
    <w:p w14:paraId="7BCA565C" w14:textId="77777777" w:rsidR="00F101BE" w:rsidRPr="00F101BE" w:rsidRDefault="00F101BE" w:rsidP="004B65F2">
      <w:pPr>
        <w:pStyle w:val="ONUME"/>
        <w:numPr>
          <w:ilvl w:val="0"/>
          <w:numId w:val="3"/>
        </w:numPr>
      </w:pPr>
      <w:r w:rsidRPr="00F101BE">
        <w:t>transparent risk informed decision-making and continuous learning</w:t>
      </w:r>
    </w:p>
    <w:p w14:paraId="1C5FFA15" w14:textId="77777777" w:rsidR="00F101BE" w:rsidRPr="00F101BE" w:rsidRDefault="00F101BE" w:rsidP="004B65F2">
      <w:pPr>
        <w:pStyle w:val="Heading1"/>
      </w:pPr>
      <w:r w:rsidRPr="00F101BE">
        <w:t xml:space="preserve">DEFINITIONS </w:t>
      </w:r>
    </w:p>
    <w:p w14:paraId="2909A69C" w14:textId="6E77AC35" w:rsidR="00F101BE" w:rsidRPr="00F101BE" w:rsidRDefault="00F101BE" w:rsidP="004B65F2">
      <w:pPr>
        <w:pStyle w:val="ONUME"/>
      </w:pPr>
      <w:r w:rsidRPr="00F101BE">
        <w:rPr>
          <w:b/>
          <w:bCs/>
        </w:rPr>
        <w:t>Risk</w:t>
      </w:r>
      <w:r w:rsidRPr="00F101BE">
        <w:t xml:space="preserve">: an uncertainty that if </w:t>
      </w:r>
      <w:proofErr w:type="gramStart"/>
      <w:r w:rsidRPr="00F101BE">
        <w:t>occurring</w:t>
      </w:r>
      <w:proofErr w:type="gramEnd"/>
      <w:r w:rsidRPr="00F101BE">
        <w:t xml:space="preserve"> would affect the achievement of UPOV</w:t>
      </w:r>
      <w:r w:rsidR="004B65F2">
        <w:t>’</w:t>
      </w:r>
      <w:r w:rsidRPr="00F101BE">
        <w:t>s strategic, financial or project objectives.</w:t>
      </w:r>
    </w:p>
    <w:p w14:paraId="7249843D" w14:textId="0967815E" w:rsidR="00F101BE" w:rsidRPr="00F101BE" w:rsidRDefault="00F101BE" w:rsidP="004B65F2">
      <w:pPr>
        <w:pStyle w:val="ONUME"/>
      </w:pPr>
      <w:r w:rsidRPr="00F101BE">
        <w:rPr>
          <w:b/>
          <w:bCs/>
        </w:rPr>
        <w:t>Risk management</w:t>
      </w:r>
      <w:r w:rsidRPr="00F101BE">
        <w:t>: a coordinated approach to assessing and responding to all risks</w:t>
      </w:r>
      <w:r w:rsidR="004B65F2">
        <w:t>.</w:t>
      </w:r>
    </w:p>
    <w:p w14:paraId="096302A3" w14:textId="77777777" w:rsidR="00F101BE" w:rsidRPr="00F101BE" w:rsidRDefault="00F101BE" w:rsidP="004B65F2">
      <w:pPr>
        <w:pStyle w:val="ONUME"/>
      </w:pPr>
      <w:r w:rsidRPr="00F101BE">
        <w:rPr>
          <w:b/>
          <w:bCs/>
        </w:rPr>
        <w:t>Risk appetite</w:t>
      </w:r>
      <w:r w:rsidRPr="00F101BE">
        <w:t xml:space="preserve">: the amount of residual risk, on a broad level, that UPOV is willing to take in pursuit of its Expected Results, and accordingly, its Strategic Pillars.  </w:t>
      </w:r>
    </w:p>
    <w:p w14:paraId="3668DF0A" w14:textId="77777777" w:rsidR="00F101BE" w:rsidRPr="00F101BE" w:rsidRDefault="00F101BE" w:rsidP="004B65F2">
      <w:pPr>
        <w:pStyle w:val="ONUME"/>
      </w:pPr>
      <w:r w:rsidRPr="00F101BE">
        <w:rPr>
          <w:b/>
          <w:bCs/>
        </w:rPr>
        <w:t>Risk capacity</w:t>
      </w:r>
      <w:r w:rsidRPr="00F101BE">
        <w:t xml:space="preserve">: the amount of </w:t>
      </w:r>
      <w:r w:rsidRPr="00F101BE">
        <w:rPr>
          <w:i/>
          <w:iCs/>
        </w:rPr>
        <w:t>residual</w:t>
      </w:r>
      <w:r w:rsidRPr="00F101BE">
        <w:t xml:space="preserve"> </w:t>
      </w:r>
      <w:r w:rsidRPr="00F101BE">
        <w:rPr>
          <w:i/>
          <w:iCs/>
        </w:rPr>
        <w:t>risk</w:t>
      </w:r>
      <w:r w:rsidRPr="00F101BE">
        <w:rPr>
          <w:rStyle w:val="FootnoteReference"/>
        </w:rPr>
        <w:footnoteReference w:id="4"/>
      </w:r>
      <w:r w:rsidRPr="00F101BE">
        <w:t xml:space="preserve">, that an organization can cope with, and still meet performance expectations over time.  </w:t>
      </w:r>
    </w:p>
    <w:p w14:paraId="70414278" w14:textId="2A56007E" w:rsidR="00F101BE" w:rsidRDefault="00F101BE" w:rsidP="004B65F2">
      <w:pPr>
        <w:pStyle w:val="ONUME"/>
      </w:pPr>
      <w:r w:rsidRPr="00F101BE">
        <w:rPr>
          <w:b/>
        </w:rPr>
        <w:t>Risk universe:</w:t>
      </w:r>
      <w:r w:rsidRPr="00F101BE">
        <w:t xml:space="preserve"> the reasonable outside limits of possible performance outcomes, if risks arise.  The risk universe is represented by the outside boundaries of possible outcomes, as shown in figure 1.</w:t>
      </w:r>
    </w:p>
    <w:p w14:paraId="4A295170" w14:textId="2D6BE6C8" w:rsidR="00F101BE" w:rsidRDefault="00F101BE" w:rsidP="004B65F2">
      <w:pPr>
        <w:keepNext/>
        <w:spacing w:after="240"/>
        <w:jc w:val="center"/>
      </w:pPr>
      <w:r w:rsidRPr="00F101BE">
        <w:rPr>
          <w:noProof/>
        </w:rPr>
        <mc:AlternateContent>
          <mc:Choice Requires="wps">
            <w:drawing>
              <wp:inline distT="0" distB="0" distL="0" distR="0" wp14:anchorId="1F8156FB" wp14:editId="3FF2AA3C">
                <wp:extent cx="4474800" cy="147600"/>
                <wp:effectExtent l="0" t="0" r="2540" b="6350"/>
                <wp:docPr id="32" name="Text Box 32"/>
                <wp:cNvGraphicFramePr/>
                <a:graphic xmlns:a="http://schemas.openxmlformats.org/drawingml/2006/main">
                  <a:graphicData uri="http://schemas.microsoft.com/office/word/2010/wordprocessingShape">
                    <wps:wsp>
                      <wps:cNvSpPr txBox="1"/>
                      <wps:spPr>
                        <a:xfrm>
                          <a:off x="0" y="0"/>
                          <a:ext cx="4474800" cy="147600"/>
                        </a:xfrm>
                        <a:prstGeom prst="rect">
                          <a:avLst/>
                        </a:prstGeom>
                        <a:solidFill>
                          <a:prstClr val="white"/>
                        </a:solidFill>
                        <a:ln>
                          <a:noFill/>
                        </a:ln>
                      </wps:spPr>
                      <wps:txbx>
                        <w:txbxContent>
                          <w:p w14:paraId="2D017ED8" w14:textId="77777777" w:rsidR="00F101BE" w:rsidRPr="00F101BE" w:rsidRDefault="00F101BE" w:rsidP="00F101BE">
                            <w:pPr>
                              <w:pStyle w:val="Caption"/>
                              <w:jc w:val="center"/>
                              <w:rPr>
                                <w:sz w:val="20"/>
                              </w:rPr>
                            </w:pPr>
                            <w:r w:rsidRPr="00550A95">
                              <w:rPr>
                                <w:sz w:val="20"/>
                              </w:rPr>
                              <w:t xml:space="preserve">Figure </w:t>
                            </w:r>
                            <w:r w:rsidRPr="00550A95">
                              <w:rPr>
                                <w:sz w:val="20"/>
                              </w:rPr>
                              <w:fldChar w:fldCharType="begin"/>
                            </w:r>
                            <w:r w:rsidRPr="00550A95">
                              <w:rPr>
                                <w:sz w:val="20"/>
                              </w:rPr>
                              <w:instrText xml:space="preserve"> SEQ Figure \* ARABIC </w:instrText>
                            </w:r>
                            <w:r w:rsidRPr="00550A95">
                              <w:rPr>
                                <w:sz w:val="20"/>
                              </w:rPr>
                              <w:fldChar w:fldCharType="separate"/>
                            </w:r>
                            <w:r>
                              <w:rPr>
                                <w:noProof/>
                                <w:sz w:val="20"/>
                              </w:rPr>
                              <w:t>1</w:t>
                            </w:r>
                            <w:r w:rsidRPr="00550A95">
                              <w:rPr>
                                <w:sz w:val="20"/>
                              </w:rPr>
                              <w:fldChar w:fldCharType="end"/>
                            </w:r>
                            <w:r w:rsidRPr="00550A95">
                              <w:rPr>
                                <w:sz w:val="20"/>
                              </w:rPr>
                              <w:t xml:space="preserve"> - Risk </w:t>
                            </w:r>
                            <w:r>
                              <w:rPr>
                                <w:sz w:val="20"/>
                              </w:rPr>
                              <w:t>universe</w:t>
                            </w:r>
                            <w:r w:rsidRPr="00550A95">
                              <w:rPr>
                                <w:sz w:val="20"/>
                              </w:rPr>
                              <w:t xml:space="preserve">, </w:t>
                            </w:r>
                            <w:r>
                              <w:rPr>
                                <w:sz w:val="20"/>
                              </w:rPr>
                              <w:t>capacity</w:t>
                            </w:r>
                            <w:r w:rsidRPr="00550A95">
                              <w:rPr>
                                <w:sz w:val="20"/>
                              </w:rPr>
                              <w:t xml:space="preserve"> and </w:t>
                            </w:r>
                            <w:r>
                              <w:rPr>
                                <w:sz w:val="20"/>
                              </w:rPr>
                              <w:t>appetite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1F8156FB" id="_x0000_t202" coordsize="21600,21600" o:spt="202" path="m,l,21600r21600,l21600,xe">
                <v:stroke joinstyle="miter"/>
                <v:path gradientshapeok="t" o:connecttype="rect"/>
              </v:shapetype>
              <v:shape id="Text Box 32" o:spid="_x0000_s1026" type="#_x0000_t202" style="width:352.35pt;height: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N1FwIAADsEAAAOAAAAZHJzL2Uyb0RvYy54bWysU8Fu2zAMvQ/YPwi6L06KoC2MOEWWIsOA&#10;oC2QDj0rshwLkEWNUmJnXz9KtpOt22nYRaZJihTfe1w8dI1hJ4Vegy34bDLlTFkJpbaHgn973Xy6&#10;58wHYUthwKqCn5XnD8uPHxaty9UN1GBKhYyKWJ+3ruB1CC7PMi9r1Qg/AacsBSvARgT6xUNWomip&#10;emOym+n0NmsBS4cglffkfeyDfJnqV5WS4bmqvArMFJzeFtKJ6dzHM1suRH5A4Woth2eIf3hFI7Sl&#10;ppdSjyIIdkT9R6lGSwQPVZhIaDKoKi1VmoGmmU3fTbOrhVNpFgLHuwtM/v+VlU+nnXtBFrrP0BGB&#10;EZDW+dyTM87TVdjEL72UUZwgPF9gU11gkpzz+d38fkohSbHZ/O6WbCqTXW879OGLgoZFo+BItCS0&#10;xGnrQ586psRmHowuN9qY+BMDa4PsJIjCttZBDcV/yzI25lqIt/qC0ZNdR4lW6PbdMN8eyjONjdAr&#10;wju50dRoK3x4EUgSoHFI1uGZjspAW3AYLM5qwB9/88d8YoainLUkqYL770eBijPz1RJnUX+jgaOx&#10;Hw17bNZAI85oYZxMJl3AYEazQmjeSO2r2IVCwkrqVfAwmuvQC5u2RarVKiWRypwIW7tzMpYeAX3t&#10;3gS6gY5ARD7BKDaRv2Olz028uNUxEMSJsghoj+KAMyk0kT5sU1yBX/9T1nXnlz8BAAD//wMAUEsD&#10;BBQABgAIAAAAIQCJ7AIZ3QAAAAQBAAAPAAAAZHJzL2Rvd25yZXYueG1sTI/BbsIwEETvlfgHayv1&#10;UhWHEEGVxkEIlQNcUFMuvZl4idPG68h2IP37ulzay0qjGc28LVaj6dgFnW8tCZhNE2BItVUtNQKO&#10;79unZ2A+SFKys4QCvtHDqpzcFTJX9kpveKlCw2IJ+VwK0CH0Oee+1mikn9oeKXpn64wMUbqGKyev&#10;sdx0PE2SBTeypbigZY8bjfVXNRgBh+zjoB+H8+t+nc3d7jhsFp9NJcTD/bh+ARZwDH9h+MWP6FBG&#10;ppMdSHnWCYiPhNuN3jLJlsBOAtJ5Crws+H/48gcAAP//AwBQSwECLQAUAAYACAAAACEAtoM4kv4A&#10;AADhAQAAEwAAAAAAAAAAAAAAAAAAAAAAW0NvbnRlbnRfVHlwZXNdLnhtbFBLAQItABQABgAIAAAA&#10;IQA4/SH/1gAAAJQBAAALAAAAAAAAAAAAAAAAAC8BAABfcmVscy8ucmVsc1BLAQItABQABgAIAAAA&#10;IQCGfVN1FwIAADsEAAAOAAAAAAAAAAAAAAAAAC4CAABkcnMvZTJvRG9jLnhtbFBLAQItABQABgAI&#10;AAAAIQCJ7AIZ3QAAAAQBAAAPAAAAAAAAAAAAAAAAAHEEAABkcnMvZG93bnJldi54bWxQSwUGAAAA&#10;AAQABADzAAAAewUAAAAA&#10;" stroked="f">
                <v:textbox style="mso-fit-shape-to-text:t" inset="0,0,0,0">
                  <w:txbxContent>
                    <w:p w14:paraId="2D017ED8" w14:textId="77777777" w:rsidR="00F101BE" w:rsidRPr="00F101BE" w:rsidRDefault="00F101BE" w:rsidP="00F101BE">
                      <w:pPr>
                        <w:pStyle w:val="Caption"/>
                        <w:jc w:val="center"/>
                        <w:rPr>
                          <w:sz w:val="20"/>
                        </w:rPr>
                      </w:pPr>
                      <w:r w:rsidRPr="00550A95">
                        <w:rPr>
                          <w:sz w:val="20"/>
                        </w:rPr>
                        <w:t xml:space="preserve">Figure </w:t>
                      </w:r>
                      <w:r w:rsidRPr="00550A95">
                        <w:rPr>
                          <w:sz w:val="20"/>
                        </w:rPr>
                        <w:fldChar w:fldCharType="begin"/>
                      </w:r>
                      <w:r w:rsidRPr="00550A95">
                        <w:rPr>
                          <w:sz w:val="20"/>
                        </w:rPr>
                        <w:instrText xml:space="preserve"> SEQ Figure \* ARABIC </w:instrText>
                      </w:r>
                      <w:r w:rsidRPr="00550A95">
                        <w:rPr>
                          <w:sz w:val="20"/>
                        </w:rPr>
                        <w:fldChar w:fldCharType="separate"/>
                      </w:r>
                      <w:r>
                        <w:rPr>
                          <w:noProof/>
                          <w:sz w:val="20"/>
                        </w:rPr>
                        <w:t>1</w:t>
                      </w:r>
                      <w:r w:rsidRPr="00550A95">
                        <w:rPr>
                          <w:sz w:val="20"/>
                        </w:rPr>
                        <w:fldChar w:fldCharType="end"/>
                      </w:r>
                      <w:r w:rsidRPr="00550A95">
                        <w:rPr>
                          <w:sz w:val="20"/>
                        </w:rPr>
                        <w:t xml:space="preserve"> - Risk </w:t>
                      </w:r>
                      <w:r>
                        <w:rPr>
                          <w:sz w:val="20"/>
                        </w:rPr>
                        <w:t>universe</w:t>
                      </w:r>
                      <w:r w:rsidRPr="00550A95">
                        <w:rPr>
                          <w:sz w:val="20"/>
                        </w:rPr>
                        <w:t xml:space="preserve">, </w:t>
                      </w:r>
                      <w:r>
                        <w:rPr>
                          <w:sz w:val="20"/>
                        </w:rPr>
                        <w:t>capacity</w:t>
                      </w:r>
                      <w:r w:rsidRPr="00550A95">
                        <w:rPr>
                          <w:sz w:val="20"/>
                        </w:rPr>
                        <w:t xml:space="preserve"> and </w:t>
                      </w:r>
                      <w:r>
                        <w:rPr>
                          <w:sz w:val="20"/>
                        </w:rPr>
                        <w:t>appetite</w:t>
                      </w:r>
                    </w:p>
                  </w:txbxContent>
                </v:textbox>
                <w10:anchorlock/>
              </v:shape>
            </w:pict>
          </mc:Fallback>
        </mc:AlternateContent>
      </w:r>
    </w:p>
    <w:p w14:paraId="62643C36" w14:textId="5971D556" w:rsidR="00F101BE" w:rsidRPr="00F101BE" w:rsidRDefault="00F101BE" w:rsidP="00F101BE">
      <w:pPr>
        <w:jc w:val="center"/>
      </w:pPr>
      <w:r w:rsidRPr="00F101BE">
        <w:rPr>
          <w:noProof/>
        </w:rPr>
        <w:drawing>
          <wp:inline distT="0" distB="0" distL="0" distR="0" wp14:anchorId="7F122BDD" wp14:editId="7729C580">
            <wp:extent cx="4654800" cy="1760400"/>
            <wp:effectExtent l="0" t="0" r="0" b="0"/>
            <wp:docPr id="2005662020" name="Picture 2005662020" descr="This figure shows the relationship between the risk universe, risk capacity and risk appetite." title="Risk universe, capacity and appeti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1423" b="32355"/>
                    <a:stretch/>
                  </pic:blipFill>
                  <pic:spPr bwMode="auto">
                    <a:xfrm>
                      <a:off x="0" y="0"/>
                      <a:ext cx="4654800" cy="1760400"/>
                    </a:xfrm>
                    <a:prstGeom prst="rect">
                      <a:avLst/>
                    </a:prstGeom>
                    <a:noFill/>
                    <a:ln>
                      <a:noFill/>
                    </a:ln>
                    <a:extLst>
                      <a:ext uri="{53640926-AAD7-44D8-BBD7-CCE9431645EC}">
                        <a14:shadowObscured xmlns:a14="http://schemas.microsoft.com/office/drawing/2010/main"/>
                      </a:ext>
                    </a:extLst>
                  </pic:spPr>
                </pic:pic>
              </a:graphicData>
            </a:graphic>
          </wp:inline>
        </w:drawing>
      </w:r>
    </w:p>
    <w:p w14:paraId="129FEC82" w14:textId="77777777" w:rsidR="00F101BE" w:rsidRPr="00F101BE" w:rsidRDefault="00F101BE" w:rsidP="00BF6DC1">
      <w:pPr>
        <w:pStyle w:val="ONUME"/>
        <w:keepNext/>
      </w:pPr>
      <w:r w:rsidRPr="00F101BE">
        <w:lastRenderedPageBreak/>
        <w:t xml:space="preserve">The following three appetite </w:t>
      </w:r>
      <w:proofErr w:type="gramStart"/>
      <w:r w:rsidRPr="00F101BE">
        <w:t>levels used</w:t>
      </w:r>
      <w:proofErr w:type="gramEnd"/>
      <w:r w:rsidRPr="00F101BE">
        <w:t xml:space="preserve"> are:</w:t>
      </w:r>
    </w:p>
    <w:p w14:paraId="1C40F4E5" w14:textId="77777777" w:rsidR="00F101BE" w:rsidRPr="00F101BE" w:rsidRDefault="00F101BE" w:rsidP="004B65F2">
      <w:pPr>
        <w:pStyle w:val="ONUME"/>
        <w:numPr>
          <w:ilvl w:val="0"/>
          <w:numId w:val="4"/>
        </w:numPr>
        <w:spacing w:after="120"/>
        <w:ind w:left="924" w:hanging="357"/>
        <w:rPr>
          <w:color w:val="000000" w:themeColor="text1"/>
        </w:rPr>
      </w:pPr>
      <w:r w:rsidRPr="00F101BE">
        <w:rPr>
          <w:b/>
          <w:color w:val="76923C" w:themeColor="accent3" w:themeShade="BF"/>
        </w:rPr>
        <w:t>low</w:t>
      </w:r>
      <w:r w:rsidRPr="00F101BE">
        <w:t xml:space="preserve"> – Expected Result areas where UPOV avoids </w:t>
      </w:r>
      <w:proofErr w:type="gramStart"/>
      <w:r w:rsidRPr="00F101BE">
        <w:t>risk</w:t>
      </w:r>
      <w:r w:rsidRPr="00F101BE">
        <w:rPr>
          <w:color w:val="000000" w:themeColor="text1"/>
        </w:rPr>
        <w:t>,</w:t>
      </w:r>
      <w:r w:rsidRPr="00F101BE">
        <w:t xml:space="preserve"> or</w:t>
      </w:r>
      <w:proofErr w:type="gramEnd"/>
      <w:r w:rsidRPr="00F101BE">
        <w:t xml:space="preserve"> acts to minimize</w:t>
      </w:r>
      <w:r w:rsidRPr="00F101BE">
        <w:rPr>
          <w:color w:val="000000" w:themeColor="text1"/>
        </w:rPr>
        <w:t xml:space="preserve"> or </w:t>
      </w:r>
      <w:r w:rsidRPr="00F101BE">
        <w:t xml:space="preserve">eliminate </w:t>
      </w:r>
      <w:r w:rsidRPr="00F101BE">
        <w:rPr>
          <w:color w:val="000000" w:themeColor="text1"/>
        </w:rPr>
        <w:t xml:space="preserve">the </w:t>
      </w:r>
      <w:r w:rsidRPr="00F101BE">
        <w:t xml:space="preserve">likelihood </w:t>
      </w:r>
      <w:r w:rsidRPr="00F101BE">
        <w:rPr>
          <w:color w:val="000000" w:themeColor="text1"/>
        </w:rPr>
        <w:t>of occurrence due to potential</w:t>
      </w:r>
      <w:r w:rsidRPr="00F101BE">
        <w:t xml:space="preserve"> downside costs and impacts</w:t>
      </w:r>
      <w:r w:rsidRPr="00F101BE">
        <w:rPr>
          <w:color w:val="000000" w:themeColor="text1"/>
        </w:rPr>
        <w:t>.</w:t>
      </w:r>
      <w:r w:rsidRPr="00F101BE" w:rsidDel="00274BF5">
        <w:rPr>
          <w:color w:val="000000" w:themeColor="text1"/>
        </w:rPr>
        <w:t xml:space="preserve"> </w:t>
      </w:r>
    </w:p>
    <w:p w14:paraId="02FFBB7A" w14:textId="300BF567" w:rsidR="00F101BE" w:rsidRPr="00F101BE" w:rsidRDefault="00857124" w:rsidP="004B65F2">
      <w:pPr>
        <w:pStyle w:val="ONUME"/>
        <w:numPr>
          <w:ilvl w:val="0"/>
          <w:numId w:val="4"/>
        </w:numPr>
        <w:spacing w:after="120"/>
        <w:ind w:left="924" w:hanging="357"/>
        <w:rPr>
          <w:color w:val="000000" w:themeColor="text1"/>
        </w:rPr>
      </w:pPr>
      <w:r w:rsidRPr="00F101BE">
        <w:rPr>
          <w:b/>
          <w:color w:val="4BACC6" w:themeColor="accent5"/>
        </w:rPr>
        <w:t>medium</w:t>
      </w:r>
      <w:r w:rsidRPr="00F101BE">
        <w:t xml:space="preserve"> </w:t>
      </w:r>
      <w:r w:rsidR="00F101BE" w:rsidRPr="00F101BE">
        <w:t xml:space="preserve">– Expected Result areas </w:t>
      </w:r>
      <w:r w:rsidR="00F101BE" w:rsidRPr="00F101BE">
        <w:rPr>
          <w:color w:val="000000" w:themeColor="text1"/>
        </w:rPr>
        <w:t xml:space="preserve">requiring constant </w:t>
      </w:r>
      <w:r w:rsidR="00F101BE" w:rsidRPr="00F101BE">
        <w:t xml:space="preserve">balance between potential upside benefits and </w:t>
      </w:r>
      <w:r w:rsidR="00F101BE" w:rsidRPr="00F101BE">
        <w:rPr>
          <w:color w:val="000000" w:themeColor="text1"/>
        </w:rPr>
        <w:t xml:space="preserve">potential </w:t>
      </w:r>
      <w:r w:rsidR="00F101BE" w:rsidRPr="00F101BE">
        <w:t>downside costs</w:t>
      </w:r>
      <w:r w:rsidR="00F101BE" w:rsidRPr="00F101BE">
        <w:rPr>
          <w:color w:val="000000" w:themeColor="text1"/>
        </w:rPr>
        <w:t xml:space="preserve"> or negative impact.</w:t>
      </w:r>
    </w:p>
    <w:p w14:paraId="27C7F955" w14:textId="77777777" w:rsidR="00F101BE" w:rsidRPr="00F101BE" w:rsidRDefault="00F101BE" w:rsidP="004B65F2">
      <w:pPr>
        <w:pStyle w:val="ONUME"/>
        <w:numPr>
          <w:ilvl w:val="0"/>
          <w:numId w:val="4"/>
        </w:numPr>
        <w:rPr>
          <w:b/>
        </w:rPr>
      </w:pPr>
      <w:r w:rsidRPr="00F101BE">
        <w:rPr>
          <w:b/>
          <w:color w:val="5F497A" w:themeColor="accent4" w:themeShade="BF"/>
        </w:rPr>
        <w:t>high</w:t>
      </w:r>
      <w:r w:rsidRPr="00F101BE">
        <w:rPr>
          <w:color w:val="5F497A" w:themeColor="accent4" w:themeShade="BF"/>
        </w:rPr>
        <w:t xml:space="preserve"> </w:t>
      </w:r>
      <w:r w:rsidRPr="00F101BE">
        <w:t xml:space="preserve">– Expected Result areas where UPOV </w:t>
      </w:r>
      <w:proofErr w:type="gramStart"/>
      <w:r w:rsidRPr="00F101BE">
        <w:t>has a preference for</w:t>
      </w:r>
      <w:proofErr w:type="gramEnd"/>
      <w:r w:rsidRPr="00F101BE">
        <w:t xml:space="preserve"> calculated risk-taking because the potential upside benefits outweigh the potential costs or downside impacts. </w:t>
      </w:r>
    </w:p>
    <w:p w14:paraId="3DB50CB2" w14:textId="77777777" w:rsidR="00F101BE" w:rsidRPr="00F101BE" w:rsidRDefault="00F101BE" w:rsidP="004B65F2">
      <w:pPr>
        <w:pStyle w:val="Heading1"/>
      </w:pPr>
      <w:r w:rsidRPr="00F101BE">
        <w:t>STRATEGIC IMPLEMENTATION OF RISK APPETITE IN THE CONTEXT OF THE SBP</w:t>
      </w:r>
    </w:p>
    <w:p w14:paraId="65B4D8D6" w14:textId="76891DCC" w:rsidR="00F101BE" w:rsidRPr="00F101BE" w:rsidRDefault="00F101BE" w:rsidP="004B65F2">
      <w:pPr>
        <w:pStyle w:val="ONUME"/>
      </w:pPr>
      <w:r w:rsidRPr="00F101BE">
        <w:t>The Strategy House defines UPOV</w:t>
      </w:r>
      <w:r w:rsidR="004B65F2">
        <w:t>’</w:t>
      </w:r>
      <w:r w:rsidRPr="00F101BE">
        <w:t xml:space="preserve">s mission, strategic pillars, and Expected Results, with specific risk appetites assigned to each Expected Result (Figure 2). </w:t>
      </w:r>
    </w:p>
    <w:p w14:paraId="65EF7137" w14:textId="60F74807" w:rsidR="00F101BE" w:rsidRPr="00F101BE" w:rsidRDefault="00F101BE" w:rsidP="004B65F2">
      <w:pPr>
        <w:pStyle w:val="ONUME"/>
      </w:pPr>
      <w:r w:rsidRPr="00F101BE">
        <w:t>UPOV</w:t>
      </w:r>
      <w:r w:rsidR="004B65F2">
        <w:t>’</w:t>
      </w:r>
      <w:r w:rsidRPr="00F101BE">
        <w:t xml:space="preserve">s overall appetite is </w:t>
      </w:r>
      <w:r w:rsidRPr="00F101BE">
        <w:rPr>
          <w:b/>
          <w:color w:val="4BACC6" w:themeColor="accent5"/>
        </w:rPr>
        <w:t>medium</w:t>
      </w:r>
      <w:r w:rsidRPr="00F101BE">
        <w:t xml:space="preserve">.  When UPOV undertakes work in pursuit of certain Expected Results, a lower or higher appetite may be sought.  In some cases, the work may contribute to more than one Expected Result; should the appetites be different, the lower appetite would prevail.  </w:t>
      </w:r>
    </w:p>
    <w:p w14:paraId="2DD74544" w14:textId="470745AF" w:rsidR="00F101BE" w:rsidRPr="00F101BE" w:rsidRDefault="00F101BE" w:rsidP="004B65F2">
      <w:pPr>
        <w:pStyle w:val="ONUME"/>
        <w:keepNext/>
        <w:numPr>
          <w:ilvl w:val="0"/>
          <w:numId w:val="0"/>
        </w:numPr>
      </w:pPr>
      <w:r w:rsidRPr="00F101BE">
        <w:rPr>
          <w:noProof/>
          <w:lang w:eastAsia="en-US"/>
        </w:rPr>
        <mc:AlternateContent>
          <mc:Choice Requires="wps">
            <w:drawing>
              <wp:inline distT="0" distB="0" distL="0" distR="0" wp14:anchorId="6B8F7E97" wp14:editId="6E7BC3CA">
                <wp:extent cx="5768975" cy="159354"/>
                <wp:effectExtent l="0" t="0" r="3175" b="0"/>
                <wp:docPr id="5" name="Text Box 5"/>
                <wp:cNvGraphicFramePr/>
                <a:graphic xmlns:a="http://schemas.openxmlformats.org/drawingml/2006/main">
                  <a:graphicData uri="http://schemas.microsoft.com/office/word/2010/wordprocessingShape">
                    <wps:wsp>
                      <wps:cNvSpPr txBox="1"/>
                      <wps:spPr>
                        <a:xfrm>
                          <a:off x="0" y="0"/>
                          <a:ext cx="5768975" cy="159354"/>
                        </a:xfrm>
                        <a:prstGeom prst="rect">
                          <a:avLst/>
                        </a:prstGeom>
                        <a:solidFill>
                          <a:prstClr val="white"/>
                        </a:solidFill>
                        <a:ln>
                          <a:noFill/>
                        </a:ln>
                      </wps:spPr>
                      <wps:txbx>
                        <w:txbxContent>
                          <w:p w14:paraId="16A6FA6C" w14:textId="77777777" w:rsidR="00F101BE" w:rsidRPr="008B46D4" w:rsidRDefault="00F101BE" w:rsidP="00F101BE">
                            <w:pPr>
                              <w:pStyle w:val="Caption"/>
                              <w:jc w:val="center"/>
                              <w:rPr>
                                <w:sz w:val="20"/>
                              </w:rPr>
                            </w:pPr>
                            <w:r w:rsidRPr="008B46D4">
                              <w:rPr>
                                <w:sz w:val="20"/>
                              </w:rPr>
                              <w:t xml:space="preserve">Figure </w:t>
                            </w:r>
                            <w:r>
                              <w:rPr>
                                <w:sz w:val="20"/>
                              </w:rPr>
                              <w:t>2</w:t>
                            </w:r>
                            <w:r w:rsidRPr="008B46D4">
                              <w:rPr>
                                <w:sz w:val="20"/>
                              </w:rPr>
                              <w:t xml:space="preserve"> </w:t>
                            </w:r>
                            <w:r>
                              <w:rPr>
                                <w:sz w:val="20"/>
                              </w:rPr>
                              <w:t>–</w:t>
                            </w:r>
                            <w:r w:rsidRPr="008B46D4">
                              <w:rPr>
                                <w:sz w:val="20"/>
                              </w:rPr>
                              <w:t xml:space="preserve"> </w:t>
                            </w:r>
                            <w:r>
                              <w:rPr>
                                <w:sz w:val="20"/>
                              </w:rPr>
                              <w:t xml:space="preserve">UPOV Strategy House with risk appetites </w:t>
                            </w:r>
                          </w:p>
                          <w:p w14:paraId="1EE1C499" w14:textId="77777777" w:rsidR="00F101BE" w:rsidRPr="00402048" w:rsidRDefault="00F101BE" w:rsidP="00F101BE">
                            <w:pPr>
                              <w:pStyle w:val="Caption"/>
                              <w:rPr>
                                <w:noProof/>
                                <w:sz w:val="8"/>
                                <w:szCs w:val="8"/>
                              </w:rPr>
                            </w:pPr>
                            <w: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6B8F7E97" id="Text Box 5" o:spid="_x0000_s1027" type="#_x0000_t202" style="width:454.25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mqHAIAAEIEAAAOAAAAZHJzL2Uyb0RvYy54bWysU01v2zAMvQ/YfxB0X5x0Sz+MOEWWIsOA&#10;oi2QFj0rshQLkEWNUmJnv36UHSddt9Owi0yTFKn3Hjm7bWvL9gqDAVfwyWjMmXISSuO2BX95Xn26&#10;5ixE4UphwamCH1Tgt/OPH2aNz9UFVGBLhYyKuJA3vuBVjD7PsiArVYswAq8cBTVgLSL94jYrUTRU&#10;vbbZxXh8mTWApUeQKgTy3vVBPu/qa61kfNQ6qMhsweltsTuxOzfpzOYzkW9R+MrI4zPEP7yiFsZR&#10;01OpOxEF26H5o1RtJEIAHUcS6gy0NlJ1GAjNZPwOzboSXnVYiJzgTzSF/1dWPuzX/glZbL9CSwIm&#10;Qhof8kDOhKfVWKcvvZRRnCg8nGhTbWSSnNOry+ubqylnkmKT6c3n6ZdUJjvf9hjiNwU1S0bBkWTp&#10;2BL7+xD71CElNQtgTbky1qafFFhaZHtBEjaViepY/Lcs61Kug3SrL5g82RlKsmK7aZkp38DcQHkg&#10;9Aj9YAQvV4b63YsQnwTSJBBgmu74SIe20BQcjhZnFeDPv/lTPglEUc4amqyChx87gYoz+92RdGkM&#10;BwMHYzMYblcvgZBOaG+87Ey6gNEOpkaoX2noF6kLhYST1KvgcTCXsZ9vWhqpFosuiYbNi3jv1l6m&#10;0gOvz+2rQH9UJZKeDzDMnMjfidPn9iwvdhG06ZRLvPYsHummQe20Py5V2oS3/13WefXnvwAAAP//&#10;AwBQSwMEFAAGAAgAAAAhAOTITcrcAAAABAEAAA8AAABkcnMvZG93bnJldi54bWxMj81OwzAQhO9I&#10;vIO1SFwQdRqpVQlxqv7ArRxaqp638ZJExOvIdpr07XG5wGWl0Yxmvs2Xo2nFhZxvLCuYThIQxKXV&#10;DVcKjp/vzwsQPiBrbC2Tgit5WBb3dzlm2g68p8shVCKWsM9QQR1Cl0npy5oM+ontiKP3ZZ3BEKWr&#10;pHY4xHLTyjRJ5tJgw3Ghxo42NZXfh94omG9dP+x587Q9vu3wo6vS0/p6UurxYVy9ggg0hr8w3PAj&#10;OhSR6Wx71l60CuIj4fdG7yVZzECcFaSzKcgil//hix8AAAD//wMAUEsBAi0AFAAGAAgAAAAhALaD&#10;OJL+AAAA4QEAABMAAAAAAAAAAAAAAAAAAAAAAFtDb250ZW50X1R5cGVzXS54bWxQSwECLQAUAAYA&#10;CAAAACEAOP0h/9YAAACUAQAACwAAAAAAAAAAAAAAAAAvAQAAX3JlbHMvLnJlbHNQSwECLQAUAAYA&#10;CAAAACEAys6pqhwCAABCBAAADgAAAAAAAAAAAAAAAAAuAgAAZHJzL2Uyb0RvYy54bWxQSwECLQAU&#10;AAYACAAAACEA5MhNytwAAAAEAQAADwAAAAAAAAAAAAAAAAB2BAAAZHJzL2Rvd25yZXYueG1sUEsF&#10;BgAAAAAEAAQA8wAAAH8FAAAAAA==&#10;" stroked="f">
                <v:textbox inset="0,0,0,0">
                  <w:txbxContent>
                    <w:p w14:paraId="16A6FA6C" w14:textId="77777777" w:rsidR="00F101BE" w:rsidRPr="008B46D4" w:rsidRDefault="00F101BE" w:rsidP="00F101BE">
                      <w:pPr>
                        <w:pStyle w:val="Caption"/>
                        <w:jc w:val="center"/>
                        <w:rPr>
                          <w:sz w:val="20"/>
                        </w:rPr>
                      </w:pPr>
                      <w:r w:rsidRPr="008B46D4">
                        <w:rPr>
                          <w:sz w:val="20"/>
                        </w:rPr>
                        <w:t xml:space="preserve">Figure </w:t>
                      </w:r>
                      <w:r>
                        <w:rPr>
                          <w:sz w:val="20"/>
                        </w:rPr>
                        <w:t>2</w:t>
                      </w:r>
                      <w:r w:rsidRPr="008B46D4">
                        <w:rPr>
                          <w:sz w:val="20"/>
                        </w:rPr>
                        <w:t xml:space="preserve"> </w:t>
                      </w:r>
                      <w:r>
                        <w:rPr>
                          <w:sz w:val="20"/>
                        </w:rPr>
                        <w:t>–</w:t>
                      </w:r>
                      <w:r w:rsidRPr="008B46D4">
                        <w:rPr>
                          <w:sz w:val="20"/>
                        </w:rPr>
                        <w:t xml:space="preserve"> </w:t>
                      </w:r>
                      <w:r>
                        <w:rPr>
                          <w:sz w:val="20"/>
                        </w:rPr>
                        <w:t xml:space="preserve">UPOV Strategy House with risk appetites </w:t>
                      </w:r>
                    </w:p>
                    <w:p w14:paraId="1EE1C499" w14:textId="77777777" w:rsidR="00F101BE" w:rsidRPr="00402048" w:rsidRDefault="00F101BE" w:rsidP="00F101BE">
                      <w:pPr>
                        <w:pStyle w:val="Caption"/>
                        <w:rPr>
                          <w:noProof/>
                          <w:sz w:val="8"/>
                          <w:szCs w:val="8"/>
                        </w:rPr>
                      </w:pPr>
                      <w:r>
                        <w:br/>
                      </w:r>
                    </w:p>
                  </w:txbxContent>
                </v:textbox>
                <w10:anchorlock/>
              </v:shape>
            </w:pict>
          </mc:Fallback>
        </mc:AlternateContent>
      </w:r>
      <w:r w:rsidR="00DB1740" w:rsidRPr="00DB1740">
        <w:t xml:space="preserve"> </w:t>
      </w:r>
      <w:r w:rsidR="00DB1740" w:rsidRPr="00DB1740">
        <w:rPr>
          <w:noProof/>
        </w:rPr>
        <w:drawing>
          <wp:inline distT="0" distB="0" distL="0" distR="0" wp14:anchorId="0DC28EA0" wp14:editId="4DF8C35F">
            <wp:extent cx="6120765" cy="4141470"/>
            <wp:effectExtent l="0" t="0" r="0" b="0"/>
            <wp:docPr id="1396795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4141470"/>
                    </a:xfrm>
                    <a:prstGeom prst="rect">
                      <a:avLst/>
                    </a:prstGeom>
                    <a:noFill/>
                    <a:ln>
                      <a:noFill/>
                    </a:ln>
                  </pic:spPr>
                </pic:pic>
              </a:graphicData>
            </a:graphic>
          </wp:inline>
        </w:drawing>
      </w:r>
    </w:p>
    <w:p w14:paraId="41B69A6A" w14:textId="38E4E7EC" w:rsidR="00F101BE" w:rsidRPr="00F101BE" w:rsidRDefault="00F101BE" w:rsidP="004B65F2">
      <w:pPr>
        <w:pStyle w:val="ONUME"/>
        <w:rPr>
          <w:lang w:eastAsia="en-US"/>
        </w:rPr>
      </w:pPr>
      <w:r w:rsidRPr="00F101BE">
        <w:t xml:space="preserve">The following examples provide how the risk appetite is implemented in practice: </w:t>
      </w:r>
    </w:p>
    <w:p w14:paraId="154EAB81" w14:textId="38DCD896" w:rsidR="00F101BE" w:rsidRPr="00F101BE" w:rsidRDefault="00F101BE" w:rsidP="004B65F2">
      <w:pPr>
        <w:pStyle w:val="ONUME"/>
        <w:numPr>
          <w:ilvl w:val="0"/>
          <w:numId w:val="5"/>
        </w:numPr>
      </w:pPr>
      <w:r w:rsidRPr="00F101BE">
        <w:rPr>
          <w:b/>
          <w:color w:val="76923C" w:themeColor="accent3" w:themeShade="BF"/>
        </w:rPr>
        <w:t>Low</w:t>
      </w:r>
      <w:r w:rsidRPr="00F101BE">
        <w:t xml:space="preserve"> risk appetite activities (e.g.,</w:t>
      </w:r>
      <w:r w:rsidRPr="00F101BE" w:rsidDel="00CD6E32">
        <w:t xml:space="preserve"> Expected Result </w:t>
      </w:r>
      <w:r w:rsidRPr="00F101BE">
        <w:t>1</w:t>
      </w:r>
      <w:r w:rsidRPr="00F101BE" w:rsidDel="00CD6E32">
        <w:t xml:space="preserve">.1 – </w:t>
      </w:r>
      <w:r w:rsidRPr="00F101BE">
        <w:t>Governance by the UPOV Council and work of UPOV Committees)</w:t>
      </w:r>
      <w:r w:rsidRPr="00F101BE" w:rsidDel="00CD6E32">
        <w:t xml:space="preserve"> </w:t>
      </w:r>
      <w:r w:rsidRPr="00F101BE">
        <w:t>ensure systematic review of the UPOV Office of the Union</w:t>
      </w:r>
      <w:r w:rsidR="004B65F2">
        <w:t>’</w:t>
      </w:r>
      <w:r w:rsidRPr="00F101BE">
        <w:t>s support to the UPOV governance and UPOV Committees, such as assessing meeting frequency and format changes, to maintain effectiveness of the essential role of those committees in guiding UPOV</w:t>
      </w:r>
      <w:r w:rsidR="004B65F2">
        <w:t>’</w:t>
      </w:r>
      <w:r w:rsidRPr="00F101BE">
        <w:t>s strategic direction</w:t>
      </w:r>
      <w:r w:rsidRPr="00F101BE" w:rsidDel="00CD6E32">
        <w:t>.</w:t>
      </w:r>
    </w:p>
    <w:p w14:paraId="061622EC" w14:textId="1F8FBC9A" w:rsidR="00F101BE" w:rsidRPr="004B65F2" w:rsidRDefault="00DE22EE" w:rsidP="004B65F2">
      <w:pPr>
        <w:pStyle w:val="ONUME"/>
        <w:numPr>
          <w:ilvl w:val="0"/>
          <w:numId w:val="5"/>
        </w:numPr>
      </w:pPr>
      <w:r w:rsidRPr="00F101BE">
        <w:rPr>
          <w:b/>
          <w:color w:val="4BACC6" w:themeColor="accent5"/>
        </w:rPr>
        <w:t>Medium</w:t>
      </w:r>
      <w:r w:rsidRPr="00F101BE">
        <w:t xml:space="preserve"> </w:t>
      </w:r>
      <w:r w:rsidR="00F101BE" w:rsidRPr="00F101BE">
        <w:t xml:space="preserve">risk appetite activities (e.g., Expected Result 3.1 – </w:t>
      </w:r>
      <w:r w:rsidR="00F101BE" w:rsidRPr="004B65F2">
        <w:t>Development of UPOV e-PVP services) balance innovative approaches with stability in digital development. This means new UPOV e-PVP modules and cooperation platforms can be introduced while ensuring seamless integration with existing systems. For example, when implementing platforms for cooperation in the examination of distinctness, uniformity and stability (DUS), and extending UPOV</w:t>
      </w:r>
      <w:r w:rsidR="00A42747">
        <w:t> </w:t>
      </w:r>
      <w:r w:rsidR="00F101BE" w:rsidRPr="004B65F2">
        <w:t>PRISMA coverage, changes are coordinated to ensure system reliability.</w:t>
      </w:r>
    </w:p>
    <w:p w14:paraId="1A466DE9" w14:textId="135C247A" w:rsidR="00F101BE" w:rsidRPr="00F101BE" w:rsidRDefault="00F101BE" w:rsidP="004B65F2">
      <w:pPr>
        <w:pStyle w:val="ONUME"/>
        <w:numPr>
          <w:ilvl w:val="0"/>
          <w:numId w:val="5"/>
        </w:numPr>
      </w:pPr>
      <w:r w:rsidRPr="00F101BE">
        <w:rPr>
          <w:b/>
          <w:color w:val="5F497A" w:themeColor="accent4" w:themeShade="BF"/>
        </w:rPr>
        <w:lastRenderedPageBreak/>
        <w:t>High</w:t>
      </w:r>
      <w:r w:rsidRPr="00F101BE">
        <w:rPr>
          <w:color w:val="5F497A" w:themeColor="accent4" w:themeShade="BF"/>
        </w:rPr>
        <w:t xml:space="preserve"> </w:t>
      </w:r>
      <w:r w:rsidRPr="00F101BE">
        <w:t xml:space="preserve">risk appetite activities (e.g. Expected Result 2.1 – Enhanced awareness of the role of the UPOV system), test innovative communication approaches, such as developing engaging videos and social media content, exploring virtual activities for broader outreach, and using machine translation to increase language accessibility, while ensuring accuracy of information. </w:t>
      </w:r>
    </w:p>
    <w:p w14:paraId="1AF343A3" w14:textId="77777777" w:rsidR="00F101BE" w:rsidRPr="00F101BE" w:rsidRDefault="00F101BE" w:rsidP="004B65F2">
      <w:pPr>
        <w:pStyle w:val="ONUME"/>
      </w:pPr>
      <w:r w:rsidRPr="00F101BE">
        <w:t>As UPOV implements its activities and projects, it will be guided by the risk appetite level that corresponds to the Expected Result and will ensure UPOV takes decisions and actions to align with the risk appetite boundaries.</w:t>
      </w:r>
      <w:r w:rsidRPr="00F101BE" w:rsidDel="00B0797A">
        <w:t xml:space="preserve"> </w:t>
      </w:r>
    </w:p>
    <w:p w14:paraId="01767C57" w14:textId="77777777" w:rsidR="00F101BE" w:rsidRPr="00F101BE" w:rsidRDefault="00F101BE" w:rsidP="004B65F2">
      <w:pPr>
        <w:pStyle w:val="Heading1"/>
      </w:pPr>
      <w:r w:rsidRPr="00F101BE">
        <w:t xml:space="preserve">REVIEW </w:t>
      </w:r>
    </w:p>
    <w:p w14:paraId="398CCAF5" w14:textId="77777777" w:rsidR="00F101BE" w:rsidRPr="00F101BE" w:rsidRDefault="00F101BE" w:rsidP="004B65F2">
      <w:pPr>
        <w:pStyle w:val="ONUME"/>
      </w:pPr>
      <w:r w:rsidRPr="00F101BE">
        <w:t>This Statement will be reviewed and updated in alignment with the SBP cycle, with provision for earlier revision if significant changes in context occur.</w:t>
      </w:r>
    </w:p>
    <w:p w14:paraId="7543DA79" w14:textId="77777777" w:rsidR="00050E16" w:rsidRDefault="00050E16" w:rsidP="004B65F2"/>
    <w:p w14:paraId="57241F14" w14:textId="77777777" w:rsidR="00A42747" w:rsidRDefault="00A42747" w:rsidP="004B65F2"/>
    <w:p w14:paraId="244D1341" w14:textId="535BA751" w:rsidR="004B65F2" w:rsidRPr="00F101BE" w:rsidRDefault="004B65F2" w:rsidP="004B65F2">
      <w:pPr>
        <w:jc w:val="right"/>
      </w:pPr>
      <w:r>
        <w:t>[End of Annex and of document]</w:t>
      </w:r>
    </w:p>
    <w:sectPr w:rsidR="004B65F2" w:rsidRPr="00F101BE" w:rsidSect="00BF6DC1">
      <w:headerReference w:type="even" r:id="rId11"/>
      <w:headerReference w:type="default" r:id="rId12"/>
      <w:footerReference w:type="even" r:id="rId13"/>
      <w:footerReference w:type="default" r:id="rId14"/>
      <w:headerReference w:type="first" r:id="rId15"/>
      <w:footerReference w:type="first" r:id="rId16"/>
      <w:pgSz w:w="11907" w:h="16840" w:code="9"/>
      <w:pgMar w:top="510" w:right="1134" w:bottom="851" w:left="1134" w:header="51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BECA" w14:textId="77777777" w:rsidR="004B69D6" w:rsidRDefault="004B69D6" w:rsidP="006655D3">
      <w:r>
        <w:separator/>
      </w:r>
    </w:p>
    <w:p w14:paraId="35941ACF" w14:textId="77777777" w:rsidR="004B69D6" w:rsidRDefault="004B69D6" w:rsidP="006655D3"/>
    <w:p w14:paraId="0DD53F5C" w14:textId="77777777" w:rsidR="004B69D6" w:rsidRDefault="004B69D6" w:rsidP="006655D3"/>
  </w:endnote>
  <w:endnote w:type="continuationSeparator" w:id="0">
    <w:p w14:paraId="2EB1F188" w14:textId="77777777" w:rsidR="004B69D6" w:rsidRDefault="004B69D6" w:rsidP="006655D3">
      <w:r>
        <w:separator/>
      </w:r>
    </w:p>
    <w:p w14:paraId="7B8BB0F0" w14:textId="77777777" w:rsidR="004B69D6" w:rsidRPr="00294751" w:rsidRDefault="004B69D6">
      <w:pPr>
        <w:pStyle w:val="Footer"/>
        <w:spacing w:after="60"/>
        <w:rPr>
          <w:sz w:val="18"/>
          <w:lang w:val="fr-FR"/>
        </w:rPr>
      </w:pPr>
      <w:r w:rsidRPr="00294751">
        <w:rPr>
          <w:sz w:val="18"/>
          <w:lang w:val="fr-FR"/>
        </w:rPr>
        <w:t>[Suite de la note de la page précédente]</w:t>
      </w:r>
    </w:p>
    <w:p w14:paraId="390FF2C8" w14:textId="77777777" w:rsidR="004B69D6" w:rsidRPr="00294751" w:rsidRDefault="004B69D6" w:rsidP="006655D3">
      <w:pPr>
        <w:rPr>
          <w:lang w:val="fr-FR"/>
        </w:rPr>
      </w:pPr>
    </w:p>
    <w:p w14:paraId="33E1A56B" w14:textId="77777777" w:rsidR="004B69D6" w:rsidRPr="00294751" w:rsidRDefault="004B69D6" w:rsidP="006655D3">
      <w:pPr>
        <w:rPr>
          <w:lang w:val="fr-FR"/>
        </w:rPr>
      </w:pPr>
    </w:p>
  </w:endnote>
  <w:endnote w:type="continuationNotice" w:id="1">
    <w:p w14:paraId="2B44E944" w14:textId="77777777" w:rsidR="004B69D6" w:rsidRPr="00294751" w:rsidRDefault="004B69D6" w:rsidP="006655D3">
      <w:pPr>
        <w:rPr>
          <w:lang w:val="fr-FR"/>
        </w:rPr>
      </w:pPr>
      <w:r w:rsidRPr="00294751">
        <w:rPr>
          <w:lang w:val="fr-FR"/>
        </w:rPr>
        <w:t>[Suite de la note page suivante]</w:t>
      </w:r>
    </w:p>
    <w:p w14:paraId="0DB5A3B5" w14:textId="77777777" w:rsidR="004B69D6" w:rsidRPr="00294751" w:rsidRDefault="004B69D6" w:rsidP="006655D3">
      <w:pPr>
        <w:rPr>
          <w:lang w:val="fr-FR"/>
        </w:rPr>
      </w:pPr>
    </w:p>
    <w:p w14:paraId="0C560D9B" w14:textId="77777777" w:rsidR="004B69D6" w:rsidRPr="00294751" w:rsidRDefault="004B69D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8C50" w14:textId="77777777" w:rsidR="00DE22EE" w:rsidRDefault="00DE22EE">
    <w:pPr>
      <w:pStyle w:val="Footer"/>
    </w:pPr>
    <w:r>
      <w:rPr>
        <w:noProof/>
      </w:rPr>
      <mc:AlternateContent>
        <mc:Choice Requires="wps">
          <w:drawing>
            <wp:anchor distT="0" distB="0" distL="0" distR="0" simplePos="0" relativeHeight="251660288" behindDoc="0" locked="0" layoutInCell="1" allowOverlap="1" wp14:anchorId="46C6CB4A" wp14:editId="5371ABC0">
              <wp:simplePos x="635" y="635"/>
              <wp:positionH relativeFrom="page">
                <wp:align>center</wp:align>
              </wp:positionH>
              <wp:positionV relativeFrom="page">
                <wp:align>bottom</wp:align>
              </wp:positionV>
              <wp:extent cx="1090930" cy="345440"/>
              <wp:effectExtent l="0" t="0" r="13970" b="0"/>
              <wp:wrapNone/>
              <wp:docPr id="278920491" name="Text Box 5"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344BB5D1" w14:textId="77777777" w:rsidR="00DE22EE" w:rsidRPr="00242874" w:rsidRDefault="00DE22EE" w:rsidP="00242874">
                          <w:pPr>
                            <w:rPr>
                              <w:rFonts w:ascii="Calibri" w:eastAsia="Calibri" w:hAnsi="Calibri" w:cs="Calibri"/>
                              <w:noProof/>
                              <w:color w:val="FF0000"/>
                            </w:rPr>
                          </w:pPr>
                          <w:r w:rsidRPr="00242874">
                            <w:rPr>
                              <w:rFonts w:ascii="Calibri" w:eastAsia="Calibri" w:hAnsi="Calibri" w:cs="Calibri"/>
                              <w:noProof/>
                              <w:color w:val="FF000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6CB4A" id="_x0000_t202" coordsize="21600,21600" o:spt="202" path="m,l,21600r21600,l21600,xe">
              <v:stroke joinstyle="miter"/>
              <v:path gradientshapeok="t" o:connecttype="rect"/>
            </v:shapetype>
            <v:shape id="_x0000_s1028" type="#_x0000_t202" alt="WIPO CONFIDENTIAL " style="position:absolute;left:0;text-align:left;margin-left:0;margin-top:0;width:85.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SwCgIAABYEAAAOAAAAZHJzL2Uyb0RvYy54bWysU01v2zAMvQ/YfxB0X+y06bAY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Cmf5/NrCkmKXc9uZrOEa3a57dCHbwoMi0bJkWhJaInj&#10;xgfqSKljSmxmYd20baKmtb85KDF6ssuI0Qr9rh/m3kF1onUQzkx7J9cN9dwIH54EErU0Jsk1PNKh&#10;W+hKDoPFWQ3482/+mE+IU5SzjqRSckta5qz9bomJqKrRwNHYJWM6z29yituDuQMS4JTegpPJJC+G&#10;djQ1gnkhIa9iIwoJK6ldyXejeRfOmqWHINVqlZJIQE6Ejd06GUtHnCKIz/2LQDcgHYijBxh1JIp3&#10;gJ9z403vVodAsCc2IqZnIAeoSXyJpOGhRHW//U9Zl+e8/AUAAP//AwBQSwMEFAAGAAgAAAAhAFtj&#10;cQjbAAAABAEAAA8AAABkcnMvZG93bnJldi54bWxMj01PwzAMhu9I/IfISNxYug8+VJpOaBKnIaRt&#10;XLhlidcWGqdq3K3793hc4GLJeq3Hz1ssx9CqI/apiWRgOslAIbnoG6oMfOxe755AJbbkbRsJDZwx&#10;wbK8vips7uOJNnjccqUEQim3BmrmLtc6uRqDTZPYIUl2iH2wLGtfad/bk8BDq2dZ9qCDbUg+1LbD&#10;VY3uezsEA/cbfhveaTf/HGfnr3W3cvPD2hlzezO+PINiHPnvGC76og6lOO3jQD6p1oAU4d95yR6n&#10;UmMv4MUCdFno//LlDwAAAP//AwBQSwECLQAUAAYACAAAACEAtoM4kv4AAADhAQAAEwAAAAAAAAAA&#10;AAAAAAAAAAAAW0NvbnRlbnRfVHlwZXNdLnhtbFBLAQItABQABgAIAAAAIQA4/SH/1gAAAJQBAAAL&#10;AAAAAAAAAAAAAAAAAC8BAABfcmVscy8ucmVsc1BLAQItABQABgAIAAAAIQCQ0hSwCgIAABYEAAAO&#10;AAAAAAAAAAAAAAAAAC4CAABkcnMvZTJvRG9jLnhtbFBLAQItABQABgAIAAAAIQBbY3EI2wAAAAQB&#10;AAAPAAAAAAAAAAAAAAAAAGQEAABkcnMvZG93bnJldi54bWxQSwUGAAAAAAQABADzAAAAbAUAAAAA&#10;" filled="f" stroked="f">
              <v:textbox style="mso-fit-shape-to-text:t" inset="0,0,0,15pt">
                <w:txbxContent>
                  <w:p w14:paraId="344BB5D1" w14:textId="77777777" w:rsidR="00DE22EE" w:rsidRPr="00242874" w:rsidRDefault="00DE22EE" w:rsidP="00242874">
                    <w:pPr>
                      <w:rPr>
                        <w:rFonts w:ascii="Calibri" w:eastAsia="Calibri" w:hAnsi="Calibri" w:cs="Calibri"/>
                        <w:noProof/>
                        <w:color w:val="FF0000"/>
                      </w:rPr>
                    </w:pPr>
                    <w:r w:rsidRPr="00242874">
                      <w:rPr>
                        <w:rFonts w:ascii="Calibri" w:eastAsia="Calibri" w:hAnsi="Calibri" w:cs="Calibri"/>
                        <w:noProof/>
                        <w:color w:val="FF0000"/>
                      </w:rPr>
                      <w:t xml:space="preserve">WIPO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CBF0" w14:textId="7CAC26DE" w:rsidR="00DE22EE" w:rsidRPr="00F101BE" w:rsidRDefault="00DE22EE" w:rsidP="00F1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9536" w14:textId="09485966" w:rsidR="00DE22EE" w:rsidRPr="00F101BE" w:rsidRDefault="00DE22EE" w:rsidP="00F1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E5A6" w14:textId="77777777" w:rsidR="004B69D6" w:rsidRDefault="004B69D6" w:rsidP="006655D3">
      <w:r>
        <w:separator/>
      </w:r>
    </w:p>
  </w:footnote>
  <w:footnote w:type="continuationSeparator" w:id="0">
    <w:p w14:paraId="6D8507B2" w14:textId="77777777" w:rsidR="004B69D6" w:rsidRDefault="004B69D6" w:rsidP="006655D3">
      <w:r>
        <w:separator/>
      </w:r>
    </w:p>
  </w:footnote>
  <w:footnote w:type="continuationNotice" w:id="1">
    <w:p w14:paraId="441426FE" w14:textId="77777777" w:rsidR="004B69D6" w:rsidRPr="00AB530F" w:rsidRDefault="004B69D6" w:rsidP="00AB530F">
      <w:pPr>
        <w:pStyle w:val="Footer"/>
      </w:pPr>
    </w:p>
  </w:footnote>
  <w:footnote w:id="2">
    <w:p w14:paraId="63A06D4C" w14:textId="270BE7B4" w:rsidR="004B69D6" w:rsidRDefault="004B69D6" w:rsidP="00F101BE">
      <w:pPr>
        <w:pStyle w:val="FootnoteText"/>
      </w:pPr>
      <w:r>
        <w:rPr>
          <w:rStyle w:val="FootnoteReference"/>
        </w:rPr>
        <w:footnoteRef/>
      </w:r>
      <w:r w:rsidR="001429BE">
        <w:tab/>
      </w:r>
      <w:r w:rsidRPr="00BC5F85">
        <w:t xml:space="preserve">Available at https://unsceb.org/rmtf. </w:t>
      </w:r>
    </w:p>
  </w:footnote>
  <w:footnote w:id="3">
    <w:p w14:paraId="1C8DDCF8" w14:textId="27FFE5F1" w:rsidR="004B69D6" w:rsidRDefault="004B69D6" w:rsidP="00F101BE">
      <w:pPr>
        <w:pStyle w:val="FootnoteText"/>
      </w:pPr>
      <w:r>
        <w:rPr>
          <w:rStyle w:val="FootnoteReference"/>
        </w:rPr>
        <w:footnoteRef/>
      </w:r>
      <w:r w:rsidR="001429BE">
        <w:tab/>
      </w:r>
      <w:r w:rsidRPr="00B06FCB">
        <w:t>COSO: Enterprise Risk Management Integrating with Strategy and Performance</w:t>
      </w:r>
    </w:p>
  </w:footnote>
  <w:footnote w:id="4">
    <w:p w14:paraId="66AA74B2" w14:textId="6198BAB5" w:rsidR="00F101BE" w:rsidRDefault="00F101BE" w:rsidP="00F101BE">
      <w:pPr>
        <w:pStyle w:val="FootnoteText"/>
      </w:pPr>
      <w:r>
        <w:rPr>
          <w:rStyle w:val="FootnoteReference"/>
        </w:rPr>
        <w:footnoteRef/>
      </w:r>
      <w:r>
        <w:tab/>
        <w:t>R</w:t>
      </w:r>
      <w:r w:rsidRPr="009E6745">
        <w:t xml:space="preserve">esidual risk is the risk recorded that remains after relevant </w:t>
      </w:r>
      <w:r>
        <w:t>response</w:t>
      </w:r>
      <w:r w:rsidRPr="009E6745">
        <w:t xml:space="preserve"> actions and controls currently implemented are taken into consideration.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C147" w14:textId="36A40EEB" w:rsidR="00182B99" w:rsidRPr="00C5280D" w:rsidRDefault="004B69D6" w:rsidP="00EB048E">
    <w:pPr>
      <w:pStyle w:val="Header"/>
      <w:rPr>
        <w:rStyle w:val="PageNumber"/>
        <w:lang w:val="en-US"/>
      </w:rPr>
    </w:pPr>
    <w:r>
      <w:rPr>
        <w:rStyle w:val="PageNumber"/>
        <w:lang w:val="en-US"/>
      </w:rPr>
      <w:t>C/59/15</w:t>
    </w:r>
  </w:p>
  <w:p w14:paraId="12E49FE1"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03264">
      <w:rPr>
        <w:rStyle w:val="PageNumber"/>
        <w:noProof/>
        <w:lang w:val="en-US"/>
      </w:rPr>
      <w:t>2</w:t>
    </w:r>
    <w:r w:rsidRPr="00C5280D">
      <w:rPr>
        <w:rStyle w:val="PageNumber"/>
        <w:lang w:val="en-US"/>
      </w:rPr>
      <w:fldChar w:fldCharType="end"/>
    </w:r>
  </w:p>
  <w:p w14:paraId="67D64178"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95E8" w14:textId="77777777" w:rsidR="00DE22EE" w:rsidRDefault="00DE2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036E" w14:textId="77777777" w:rsidR="00DE22EE" w:rsidRPr="000643F3" w:rsidRDefault="00DE22EE" w:rsidP="002806CD">
    <w:pPr>
      <w:jc w:val="center"/>
      <w:rPr>
        <w:lang w:val="de-CH"/>
      </w:rPr>
    </w:pPr>
    <w:r>
      <w:rPr>
        <w:lang w:val="de-CH"/>
      </w:rPr>
      <w:t>C/59/15</w:t>
    </w:r>
  </w:p>
  <w:p w14:paraId="457F7830" w14:textId="77777777" w:rsidR="00DE22EE" w:rsidRDefault="00DE22EE" w:rsidP="002806CD">
    <w:pPr>
      <w:jc w:val="center"/>
      <w:rPr>
        <w:lang w:val="de-CH"/>
      </w:rPr>
    </w:pPr>
    <w:r>
      <w:rPr>
        <w:lang w:val="de-CH"/>
      </w:rPr>
      <w:t xml:space="preserve">Annex, page </w:t>
    </w:r>
    <w:r w:rsidRPr="00811D9C">
      <w:rPr>
        <w:lang w:val="de-CH"/>
      </w:rPr>
      <w:fldChar w:fldCharType="begin"/>
    </w:r>
    <w:r w:rsidRPr="00811D9C">
      <w:rPr>
        <w:lang w:val="de-CH"/>
      </w:rPr>
      <w:instrText xml:space="preserve"> PAGE   \* MERGEFORMAT </w:instrText>
    </w:r>
    <w:r w:rsidRPr="00811D9C">
      <w:rPr>
        <w:lang w:val="de-CH"/>
      </w:rPr>
      <w:fldChar w:fldCharType="separate"/>
    </w:r>
    <w:r>
      <w:rPr>
        <w:noProof/>
        <w:lang w:val="de-CH"/>
      </w:rPr>
      <w:t>12</w:t>
    </w:r>
    <w:r w:rsidRPr="00811D9C">
      <w:rPr>
        <w:noProof/>
        <w:lang w:val="de-CH"/>
      </w:rPr>
      <w:fldChar w:fldCharType="end"/>
    </w:r>
  </w:p>
  <w:p w14:paraId="4632B290" w14:textId="77777777" w:rsidR="00DE22EE" w:rsidRPr="000643F3" w:rsidRDefault="00DE22EE">
    <w:pPr>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5381" w14:textId="003AA03C" w:rsidR="00F101BE" w:rsidRDefault="00F101BE" w:rsidP="002806CD">
    <w:pPr>
      <w:ind w:right="85"/>
      <w:jc w:val="center"/>
      <w:rPr>
        <w:lang w:val="de-CH"/>
      </w:rPr>
    </w:pPr>
    <w:r>
      <w:rPr>
        <w:lang w:val="de-CH"/>
      </w:rPr>
      <w:t>C/59/15</w:t>
    </w:r>
  </w:p>
  <w:p w14:paraId="544FCE43" w14:textId="77777777" w:rsidR="00F101BE" w:rsidRDefault="00F101BE" w:rsidP="002806CD">
    <w:pPr>
      <w:ind w:right="85"/>
      <w:jc w:val="center"/>
      <w:rPr>
        <w:lang w:val="de-CH"/>
      </w:rPr>
    </w:pPr>
  </w:p>
  <w:p w14:paraId="27DAC9B1" w14:textId="5D4C546D" w:rsidR="00DE22EE" w:rsidRPr="000643F3" w:rsidRDefault="00DE22EE" w:rsidP="002806CD">
    <w:pPr>
      <w:ind w:right="85"/>
      <w:jc w:val="center"/>
      <w:rPr>
        <w:lang w:val="de-CH"/>
      </w:rPr>
    </w:pPr>
    <w:r>
      <w:rPr>
        <w:lang w:val="de-CH"/>
      </w:rPr>
      <w:t>ANNEX</w:t>
    </w:r>
  </w:p>
  <w:p w14:paraId="0F78478C" w14:textId="77777777" w:rsidR="00DE22EE" w:rsidRDefault="00DE22EE">
    <w:pPr>
      <w:pStyle w:val="Header"/>
      <w:rPr>
        <w:lang w:val="de-CH"/>
      </w:rPr>
    </w:pPr>
  </w:p>
  <w:p w14:paraId="145D7AD6" w14:textId="77777777" w:rsidR="00DE22EE" w:rsidRPr="000643F3" w:rsidRDefault="00DE22EE">
    <w:pPr>
      <w:pStyle w:val="Heade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E81"/>
    <w:multiLevelType w:val="multilevel"/>
    <w:tmpl w:val="D7B27EF2"/>
    <w:lvl w:ilvl="0">
      <w:start w:val="1"/>
      <w:numFmt w:val="bullet"/>
      <w:lvlText w:val="o"/>
      <w:lvlJc w:val="left"/>
      <w:pPr>
        <w:tabs>
          <w:tab w:val="num" w:pos="1134"/>
        </w:tabs>
        <w:ind w:left="567" w:firstLine="0"/>
      </w:pPr>
      <w:rPr>
        <w:rFonts w:ascii="Courier New" w:hAnsi="Courier New" w:cs="Courier New" w:hint="default"/>
        <w:b w:val="0"/>
        <w:sz w:val="22"/>
      </w:rPr>
    </w:lvl>
    <w:lvl w:ilvl="1">
      <w:start w:val="1"/>
      <w:numFmt w:val="bullet"/>
      <w:lvlText w:val=""/>
      <w:lvlJc w:val="left"/>
      <w:pPr>
        <w:tabs>
          <w:tab w:val="num" w:pos="1611"/>
        </w:tabs>
        <w:ind w:left="1044" w:firstLine="0"/>
      </w:pPr>
      <w:rPr>
        <w:rFonts w:ascii="Symbol" w:hAnsi="Symbol" w:hint="default"/>
      </w:rPr>
    </w:lvl>
    <w:lvl w:ilvl="2">
      <w:start w:val="1"/>
      <w:numFmt w:val="bullet"/>
      <w:lvlText w:val=""/>
      <w:lvlJc w:val="left"/>
      <w:pPr>
        <w:tabs>
          <w:tab w:val="num" w:pos="2178"/>
        </w:tabs>
        <w:ind w:left="1611" w:firstLine="0"/>
      </w:pPr>
      <w:rPr>
        <w:rFonts w:ascii="Symbol" w:hAnsi="Symbol" w:hint="default"/>
      </w:rPr>
    </w:lvl>
    <w:lvl w:ilvl="3">
      <w:start w:val="1"/>
      <w:numFmt w:val="bullet"/>
      <w:lvlText w:val=""/>
      <w:lvlJc w:val="left"/>
      <w:pPr>
        <w:tabs>
          <w:tab w:val="num" w:pos="2745"/>
        </w:tabs>
        <w:ind w:left="2178" w:firstLine="0"/>
      </w:pPr>
      <w:rPr>
        <w:rFonts w:hint="default"/>
      </w:rPr>
    </w:lvl>
    <w:lvl w:ilvl="4">
      <w:start w:val="1"/>
      <w:numFmt w:val="bullet"/>
      <w:lvlText w:val=""/>
      <w:lvlJc w:val="left"/>
      <w:pPr>
        <w:tabs>
          <w:tab w:val="num" w:pos="3312"/>
        </w:tabs>
        <w:ind w:left="2745" w:firstLine="0"/>
      </w:pPr>
      <w:rPr>
        <w:rFonts w:hint="default"/>
      </w:rPr>
    </w:lvl>
    <w:lvl w:ilvl="5">
      <w:start w:val="1"/>
      <w:numFmt w:val="bullet"/>
      <w:lvlText w:val=""/>
      <w:lvlJc w:val="left"/>
      <w:pPr>
        <w:tabs>
          <w:tab w:val="num" w:pos="3879"/>
        </w:tabs>
        <w:ind w:left="3312" w:firstLine="0"/>
      </w:pPr>
      <w:rPr>
        <w:rFonts w:hint="default"/>
      </w:rPr>
    </w:lvl>
    <w:lvl w:ilvl="6">
      <w:start w:val="1"/>
      <w:numFmt w:val="bullet"/>
      <w:lvlText w:val=""/>
      <w:lvlJc w:val="left"/>
      <w:pPr>
        <w:tabs>
          <w:tab w:val="num" w:pos="4446"/>
        </w:tabs>
        <w:ind w:left="3879" w:firstLine="0"/>
      </w:pPr>
      <w:rPr>
        <w:rFonts w:hint="default"/>
      </w:rPr>
    </w:lvl>
    <w:lvl w:ilvl="7">
      <w:start w:val="1"/>
      <w:numFmt w:val="bullet"/>
      <w:lvlText w:val=""/>
      <w:lvlJc w:val="left"/>
      <w:pPr>
        <w:tabs>
          <w:tab w:val="num" w:pos="5012"/>
        </w:tabs>
        <w:ind w:left="4446" w:firstLine="0"/>
      </w:pPr>
      <w:rPr>
        <w:rFonts w:hint="default"/>
      </w:rPr>
    </w:lvl>
    <w:lvl w:ilvl="8">
      <w:start w:val="1"/>
      <w:numFmt w:val="bullet"/>
      <w:lvlText w:val=""/>
      <w:lvlJc w:val="left"/>
      <w:pPr>
        <w:tabs>
          <w:tab w:val="num" w:pos="5579"/>
        </w:tabs>
        <w:ind w:left="5012" w:firstLine="0"/>
      </w:pPr>
      <w:rPr>
        <w:rFonts w:hint="default"/>
      </w:rPr>
    </w:lvl>
  </w:abstractNum>
  <w:abstractNum w:abstractNumId="1" w15:restartNumberingAfterBreak="0">
    <w:nsid w:val="06CD29E3"/>
    <w:multiLevelType w:val="multilevel"/>
    <w:tmpl w:val="C7DE0C72"/>
    <w:lvl w:ilvl="0">
      <w:start w:val="1"/>
      <w:numFmt w:val="decimal"/>
      <w:pStyle w:val="ONUME"/>
      <w:lvlText w:val="%1."/>
      <w:lvlJc w:val="left"/>
      <w:pPr>
        <w:tabs>
          <w:tab w:val="num" w:pos="567"/>
        </w:tabs>
        <w:ind w:left="0" w:firstLine="0"/>
      </w:pPr>
      <w:rPr>
        <w:rFonts w:hint="default"/>
        <w:b w:val="0"/>
        <w:i w:val="0"/>
        <w:iCs w:val="0"/>
        <w:sz w:val="20"/>
      </w:rPr>
    </w:lvl>
    <w:lvl w:ilvl="1">
      <w:start w:val="1"/>
      <w:numFmt w:val="bullet"/>
      <w:lvlText w:val=""/>
      <w:lvlJc w:val="left"/>
      <w:pPr>
        <w:tabs>
          <w:tab w:val="num" w:pos="1044"/>
        </w:tabs>
        <w:ind w:left="477" w:firstLine="0"/>
      </w:pPr>
      <w:rPr>
        <w:rFonts w:ascii="Symbol" w:hAnsi="Symbol" w:hint="default"/>
      </w:rPr>
    </w:lvl>
    <w:lvl w:ilvl="2">
      <w:start w:val="1"/>
      <w:numFmt w:val="bullet"/>
      <w:lvlText w:val=""/>
      <w:lvlJc w:val="left"/>
      <w:pPr>
        <w:tabs>
          <w:tab w:val="num" w:pos="1611"/>
        </w:tabs>
        <w:ind w:left="1044" w:firstLine="0"/>
      </w:pPr>
      <w:rPr>
        <w:rFonts w:ascii="Symbol" w:hAnsi="Symbol" w:hint="default"/>
      </w:rPr>
    </w:lvl>
    <w:lvl w:ilvl="3">
      <w:start w:val="1"/>
      <w:numFmt w:val="bullet"/>
      <w:lvlText w:val=""/>
      <w:lvlJc w:val="left"/>
      <w:pPr>
        <w:tabs>
          <w:tab w:val="num" w:pos="2178"/>
        </w:tabs>
        <w:ind w:left="1611" w:firstLine="0"/>
      </w:pPr>
      <w:rPr>
        <w:rFonts w:hint="default"/>
      </w:rPr>
    </w:lvl>
    <w:lvl w:ilvl="4">
      <w:start w:val="1"/>
      <w:numFmt w:val="bullet"/>
      <w:lvlText w:val=""/>
      <w:lvlJc w:val="left"/>
      <w:pPr>
        <w:tabs>
          <w:tab w:val="num" w:pos="2745"/>
        </w:tabs>
        <w:ind w:left="2178" w:firstLine="0"/>
      </w:pPr>
      <w:rPr>
        <w:rFonts w:hint="default"/>
      </w:rPr>
    </w:lvl>
    <w:lvl w:ilvl="5">
      <w:start w:val="1"/>
      <w:numFmt w:val="bullet"/>
      <w:lvlText w:val=""/>
      <w:lvlJc w:val="left"/>
      <w:pPr>
        <w:tabs>
          <w:tab w:val="num" w:pos="3312"/>
        </w:tabs>
        <w:ind w:left="2745" w:firstLine="0"/>
      </w:pPr>
      <w:rPr>
        <w:rFonts w:hint="default"/>
      </w:rPr>
    </w:lvl>
    <w:lvl w:ilvl="6">
      <w:start w:val="1"/>
      <w:numFmt w:val="bullet"/>
      <w:lvlText w:val=""/>
      <w:lvlJc w:val="left"/>
      <w:pPr>
        <w:tabs>
          <w:tab w:val="num" w:pos="3879"/>
        </w:tabs>
        <w:ind w:left="3312" w:firstLine="0"/>
      </w:pPr>
      <w:rPr>
        <w:rFonts w:hint="default"/>
      </w:rPr>
    </w:lvl>
    <w:lvl w:ilvl="7">
      <w:start w:val="1"/>
      <w:numFmt w:val="bullet"/>
      <w:lvlText w:val=""/>
      <w:lvlJc w:val="left"/>
      <w:pPr>
        <w:tabs>
          <w:tab w:val="num" w:pos="4445"/>
        </w:tabs>
        <w:ind w:left="3879" w:firstLine="0"/>
      </w:pPr>
      <w:rPr>
        <w:rFonts w:hint="default"/>
      </w:rPr>
    </w:lvl>
    <w:lvl w:ilvl="8">
      <w:start w:val="1"/>
      <w:numFmt w:val="bullet"/>
      <w:lvlText w:val=""/>
      <w:lvlJc w:val="left"/>
      <w:pPr>
        <w:tabs>
          <w:tab w:val="num" w:pos="5012"/>
        </w:tabs>
        <w:ind w:left="4445" w:firstLine="0"/>
      </w:pPr>
      <w:rPr>
        <w:rFonts w:hint="default"/>
      </w:rPr>
    </w:lvl>
  </w:abstractNum>
  <w:abstractNum w:abstractNumId="2" w15:restartNumberingAfterBreak="0">
    <w:nsid w:val="0B461E41"/>
    <w:multiLevelType w:val="hybridMultilevel"/>
    <w:tmpl w:val="CD7C8BC8"/>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35D514A"/>
    <w:multiLevelType w:val="hybridMultilevel"/>
    <w:tmpl w:val="356E07DA"/>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90291063">
    <w:abstractNumId w:val="1"/>
  </w:num>
  <w:num w:numId="2" w16cid:durableId="2050062078">
    <w:abstractNumId w:val="1"/>
  </w:num>
  <w:num w:numId="3" w16cid:durableId="699664359">
    <w:abstractNumId w:val="0"/>
  </w:num>
  <w:num w:numId="4" w16cid:durableId="1737972082">
    <w:abstractNumId w:val="3"/>
  </w:num>
  <w:num w:numId="5" w16cid:durableId="578715619">
    <w:abstractNumId w:val="2"/>
  </w:num>
  <w:num w:numId="6" w16cid:durableId="1637225120">
    <w:abstractNumId w:val="1"/>
  </w:num>
  <w:num w:numId="7" w16cid:durableId="187970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010CF3"/>
    <w:rsid w:val="00011E27"/>
    <w:rsid w:val="000148BC"/>
    <w:rsid w:val="00024AB8"/>
    <w:rsid w:val="00030854"/>
    <w:rsid w:val="00036028"/>
    <w:rsid w:val="00044642"/>
    <w:rsid w:val="000446B9"/>
    <w:rsid w:val="00047E21"/>
    <w:rsid w:val="00050E16"/>
    <w:rsid w:val="00085505"/>
    <w:rsid w:val="000C4E25"/>
    <w:rsid w:val="000C7021"/>
    <w:rsid w:val="000D6BBC"/>
    <w:rsid w:val="000D7780"/>
    <w:rsid w:val="000E636A"/>
    <w:rsid w:val="000F2F11"/>
    <w:rsid w:val="00105929"/>
    <w:rsid w:val="00110C36"/>
    <w:rsid w:val="001131D5"/>
    <w:rsid w:val="00141DB8"/>
    <w:rsid w:val="001429BE"/>
    <w:rsid w:val="00172084"/>
    <w:rsid w:val="0017474A"/>
    <w:rsid w:val="001758C6"/>
    <w:rsid w:val="00182B99"/>
    <w:rsid w:val="001C1525"/>
    <w:rsid w:val="001E308F"/>
    <w:rsid w:val="001E537D"/>
    <w:rsid w:val="0020304B"/>
    <w:rsid w:val="0021332C"/>
    <w:rsid w:val="00213982"/>
    <w:rsid w:val="00214C72"/>
    <w:rsid w:val="0024416D"/>
    <w:rsid w:val="00256BFA"/>
    <w:rsid w:val="00271911"/>
    <w:rsid w:val="002800A0"/>
    <w:rsid w:val="002801B3"/>
    <w:rsid w:val="00281060"/>
    <w:rsid w:val="002940E8"/>
    <w:rsid w:val="00294751"/>
    <w:rsid w:val="002A6E50"/>
    <w:rsid w:val="002B4298"/>
    <w:rsid w:val="002C256A"/>
    <w:rsid w:val="00305A7F"/>
    <w:rsid w:val="003152FE"/>
    <w:rsid w:val="00327436"/>
    <w:rsid w:val="00335C94"/>
    <w:rsid w:val="00344BD6"/>
    <w:rsid w:val="003532C2"/>
    <w:rsid w:val="0035528D"/>
    <w:rsid w:val="00361821"/>
    <w:rsid w:val="00361E9E"/>
    <w:rsid w:val="003900D5"/>
    <w:rsid w:val="0039633A"/>
    <w:rsid w:val="003C7FBE"/>
    <w:rsid w:val="003D227C"/>
    <w:rsid w:val="003D2B4D"/>
    <w:rsid w:val="003F5F2B"/>
    <w:rsid w:val="00444A88"/>
    <w:rsid w:val="00474DA4"/>
    <w:rsid w:val="00476B4D"/>
    <w:rsid w:val="004805FA"/>
    <w:rsid w:val="004935D2"/>
    <w:rsid w:val="004B1215"/>
    <w:rsid w:val="004B65F2"/>
    <w:rsid w:val="004B69D6"/>
    <w:rsid w:val="004D047D"/>
    <w:rsid w:val="004F1E9E"/>
    <w:rsid w:val="004F305A"/>
    <w:rsid w:val="00512164"/>
    <w:rsid w:val="0051361E"/>
    <w:rsid w:val="00520297"/>
    <w:rsid w:val="005338F9"/>
    <w:rsid w:val="0054281C"/>
    <w:rsid w:val="00544581"/>
    <w:rsid w:val="00547FCF"/>
    <w:rsid w:val="0055268D"/>
    <w:rsid w:val="00576BE4"/>
    <w:rsid w:val="005A400A"/>
    <w:rsid w:val="005B7A61"/>
    <w:rsid w:val="005C3FB3"/>
    <w:rsid w:val="005F7B92"/>
    <w:rsid w:val="00612379"/>
    <w:rsid w:val="006153B6"/>
    <w:rsid w:val="0061555F"/>
    <w:rsid w:val="00636CA6"/>
    <w:rsid w:val="00641200"/>
    <w:rsid w:val="00645CA8"/>
    <w:rsid w:val="006655D3"/>
    <w:rsid w:val="00667404"/>
    <w:rsid w:val="00687EB4"/>
    <w:rsid w:val="00695C56"/>
    <w:rsid w:val="006A5CDE"/>
    <w:rsid w:val="006A644A"/>
    <w:rsid w:val="006B17D2"/>
    <w:rsid w:val="006C224E"/>
    <w:rsid w:val="006D780A"/>
    <w:rsid w:val="006E3E51"/>
    <w:rsid w:val="0071271E"/>
    <w:rsid w:val="00732DEC"/>
    <w:rsid w:val="00735BD5"/>
    <w:rsid w:val="007451EC"/>
    <w:rsid w:val="00751613"/>
    <w:rsid w:val="007556F6"/>
    <w:rsid w:val="00760EEF"/>
    <w:rsid w:val="00777EE5"/>
    <w:rsid w:val="00782255"/>
    <w:rsid w:val="00784836"/>
    <w:rsid w:val="0079023E"/>
    <w:rsid w:val="007A2854"/>
    <w:rsid w:val="007C1D92"/>
    <w:rsid w:val="007C3C19"/>
    <w:rsid w:val="007C4CB9"/>
    <w:rsid w:val="007D0B9D"/>
    <w:rsid w:val="007D19B0"/>
    <w:rsid w:val="007D4635"/>
    <w:rsid w:val="007F498F"/>
    <w:rsid w:val="0080679D"/>
    <w:rsid w:val="008108B0"/>
    <w:rsid w:val="00811B20"/>
    <w:rsid w:val="008211B5"/>
    <w:rsid w:val="0082296E"/>
    <w:rsid w:val="00824099"/>
    <w:rsid w:val="0083359E"/>
    <w:rsid w:val="00846D7C"/>
    <w:rsid w:val="00857124"/>
    <w:rsid w:val="00867AC1"/>
    <w:rsid w:val="00884181"/>
    <w:rsid w:val="00890DF8"/>
    <w:rsid w:val="008A743F"/>
    <w:rsid w:val="008B03AE"/>
    <w:rsid w:val="008C0970"/>
    <w:rsid w:val="008D0BC5"/>
    <w:rsid w:val="008D2CF7"/>
    <w:rsid w:val="00900455"/>
    <w:rsid w:val="00900C26"/>
    <w:rsid w:val="0090197F"/>
    <w:rsid w:val="00903264"/>
    <w:rsid w:val="00906DDC"/>
    <w:rsid w:val="00934E09"/>
    <w:rsid w:val="00936253"/>
    <w:rsid w:val="00940977"/>
    <w:rsid w:val="00940D46"/>
    <w:rsid w:val="00952DD4"/>
    <w:rsid w:val="00965AE7"/>
    <w:rsid w:val="00970FED"/>
    <w:rsid w:val="00987CB1"/>
    <w:rsid w:val="00992D82"/>
    <w:rsid w:val="00997029"/>
    <w:rsid w:val="009A7339"/>
    <w:rsid w:val="009B440E"/>
    <w:rsid w:val="009D690D"/>
    <w:rsid w:val="009E65B6"/>
    <w:rsid w:val="009F77CF"/>
    <w:rsid w:val="00A24C10"/>
    <w:rsid w:val="00A3365A"/>
    <w:rsid w:val="00A40AAC"/>
    <w:rsid w:val="00A42747"/>
    <w:rsid w:val="00A42AC3"/>
    <w:rsid w:val="00A430CF"/>
    <w:rsid w:val="00A54309"/>
    <w:rsid w:val="00A90DB8"/>
    <w:rsid w:val="00AB2B93"/>
    <w:rsid w:val="00AB530F"/>
    <w:rsid w:val="00AB7E5B"/>
    <w:rsid w:val="00AC2883"/>
    <w:rsid w:val="00AE0EF1"/>
    <w:rsid w:val="00AE2937"/>
    <w:rsid w:val="00B07301"/>
    <w:rsid w:val="00B11F3E"/>
    <w:rsid w:val="00B224DE"/>
    <w:rsid w:val="00B324D4"/>
    <w:rsid w:val="00B46575"/>
    <w:rsid w:val="00B61777"/>
    <w:rsid w:val="00B84BBD"/>
    <w:rsid w:val="00BA43FB"/>
    <w:rsid w:val="00BC127D"/>
    <w:rsid w:val="00BC1FE6"/>
    <w:rsid w:val="00BF6DC1"/>
    <w:rsid w:val="00C0361E"/>
    <w:rsid w:val="00C061B6"/>
    <w:rsid w:val="00C2446C"/>
    <w:rsid w:val="00C36AE5"/>
    <w:rsid w:val="00C41F17"/>
    <w:rsid w:val="00C527FA"/>
    <w:rsid w:val="00C5280D"/>
    <w:rsid w:val="00C53EB3"/>
    <w:rsid w:val="00C5791C"/>
    <w:rsid w:val="00C66290"/>
    <w:rsid w:val="00C72B7A"/>
    <w:rsid w:val="00C75A58"/>
    <w:rsid w:val="00C92046"/>
    <w:rsid w:val="00C973F2"/>
    <w:rsid w:val="00CA2147"/>
    <w:rsid w:val="00CA304C"/>
    <w:rsid w:val="00CA774A"/>
    <w:rsid w:val="00CA7BA1"/>
    <w:rsid w:val="00CC11B0"/>
    <w:rsid w:val="00CC2841"/>
    <w:rsid w:val="00CF1330"/>
    <w:rsid w:val="00CF7E36"/>
    <w:rsid w:val="00D3708D"/>
    <w:rsid w:val="00D40426"/>
    <w:rsid w:val="00D57C96"/>
    <w:rsid w:val="00D57D18"/>
    <w:rsid w:val="00D76A6E"/>
    <w:rsid w:val="00D91203"/>
    <w:rsid w:val="00D95174"/>
    <w:rsid w:val="00DA4973"/>
    <w:rsid w:val="00DA6F36"/>
    <w:rsid w:val="00DB1740"/>
    <w:rsid w:val="00DB323D"/>
    <w:rsid w:val="00DB4A96"/>
    <w:rsid w:val="00DB596E"/>
    <w:rsid w:val="00DB7773"/>
    <w:rsid w:val="00DC00EA"/>
    <w:rsid w:val="00DC3802"/>
    <w:rsid w:val="00DE22EE"/>
    <w:rsid w:val="00E07D87"/>
    <w:rsid w:val="00E32F7E"/>
    <w:rsid w:val="00E364BF"/>
    <w:rsid w:val="00E5267B"/>
    <w:rsid w:val="00E63C0E"/>
    <w:rsid w:val="00E672CE"/>
    <w:rsid w:val="00E72D49"/>
    <w:rsid w:val="00E7593C"/>
    <w:rsid w:val="00E7678A"/>
    <w:rsid w:val="00E935F1"/>
    <w:rsid w:val="00E948F9"/>
    <w:rsid w:val="00E94A81"/>
    <w:rsid w:val="00EA1FFB"/>
    <w:rsid w:val="00EB048E"/>
    <w:rsid w:val="00EB4E9C"/>
    <w:rsid w:val="00EE34DF"/>
    <w:rsid w:val="00EF2F89"/>
    <w:rsid w:val="00F03E98"/>
    <w:rsid w:val="00F101BE"/>
    <w:rsid w:val="00F1237A"/>
    <w:rsid w:val="00F22CBD"/>
    <w:rsid w:val="00F272F1"/>
    <w:rsid w:val="00F45372"/>
    <w:rsid w:val="00F560F7"/>
    <w:rsid w:val="00F6334D"/>
    <w:rsid w:val="00F63599"/>
    <w:rsid w:val="00FA49A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22350"/>
  <w15:docId w15:val="{83BFB4A3-EE8F-4CC5-BBE5-83908DA7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autoRedefine/>
    <w:qFormat/>
    <w:rsid w:val="004B65F2"/>
    <w:pPr>
      <w:keepNext/>
      <w:spacing w:after="240"/>
      <w:jc w:val="both"/>
      <w:outlineLvl w:val="0"/>
    </w:pPr>
    <w:rPr>
      <w:rFonts w:ascii="Arial" w:hAnsi="Arial"/>
      <w:b/>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uiPriority w:val="99"/>
    <w:rsid w:val="00F101BE"/>
    <w:pPr>
      <w:spacing w:before="60"/>
      <w:ind w:left="284" w:hanging="284"/>
      <w:jc w:val="both"/>
    </w:pPr>
    <w:rPr>
      <w:rFonts w:ascii="Arial" w:hAnsi="Arial"/>
      <w:sz w:val="16"/>
    </w:rPr>
  </w:style>
  <w:style w:type="character" w:styleId="FootnoteReference">
    <w:name w:val="footnote reference"/>
    <w:basedOn w:val="DefaultParagraphFont"/>
    <w:uiPriority w:val="99"/>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customStyle="1" w:styleId="ONUME">
    <w:name w:val="ONUM E"/>
    <w:basedOn w:val="BodyText"/>
    <w:rsid w:val="004B65F2"/>
    <w:pPr>
      <w:numPr>
        <w:numId w:val="2"/>
      </w:numPr>
      <w:spacing w:after="240"/>
    </w:pPr>
    <w:rPr>
      <w:rFonts w:eastAsia="SimSun" w:cs="Arial"/>
      <w:lang w:eastAsia="zh-CN"/>
    </w:rPr>
  </w:style>
  <w:style w:type="character" w:customStyle="1" w:styleId="FootnoteTextChar">
    <w:name w:val="Footnote Text Char"/>
    <w:basedOn w:val="DefaultParagraphFont"/>
    <w:link w:val="FootnoteText"/>
    <w:uiPriority w:val="99"/>
    <w:rsid w:val="00F101BE"/>
    <w:rPr>
      <w:rFonts w:ascii="Arial" w:hAnsi="Arial"/>
      <w:sz w:val="16"/>
    </w:rPr>
  </w:style>
  <w:style w:type="paragraph" w:styleId="Caption">
    <w:name w:val="caption"/>
    <w:basedOn w:val="Normal"/>
    <w:next w:val="Normal"/>
    <w:qFormat/>
    <w:rsid w:val="00F101BE"/>
    <w:pPr>
      <w:jc w:val="left"/>
    </w:pPr>
    <w:rPr>
      <w:rFonts w:eastAsia="SimSun"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c_59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c_59_EN.dotx</Template>
  <TotalTime>0</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C/59/15</vt:lpstr>
    </vt:vector>
  </TitlesOfParts>
  <Company>UPOV</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C/59/15</dc:title>
  <dc:creator>SANCHEZ VIZCAINO GOMEZ Rosa Maria</dc:creator>
  <cp:lastModifiedBy>SANCHEZ VIZCAINO GOMEZ Rosa Maria</cp:lastModifiedBy>
  <cp:revision>3</cp:revision>
  <cp:lastPrinted>2016-11-22T15:41:00Z</cp:lastPrinted>
  <dcterms:created xsi:type="dcterms:W3CDTF">2025-09-19T12:15:00Z</dcterms:created>
  <dcterms:modified xsi:type="dcterms:W3CDTF">2025-09-19T12:15:00Z</dcterms:modified>
</cp:coreProperties>
</file>