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652D0E">
        <w:tc>
          <w:tcPr>
            <w:tcW w:w="6512" w:type="dxa"/>
            <w:tcBorders>
              <w:bottom w:val="single" w:sz="4" w:space="0" w:color="auto"/>
            </w:tcBorders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B96EDD" w:rsidRPr="002B6ED2" w:rsidRDefault="00C05249" w:rsidP="003C7FBE">
            <w:pPr>
              <w:pStyle w:val="Doccode"/>
            </w:pPr>
            <w:r>
              <w:t>UPOV/INF-EXN/16 Draft 1</w:t>
            </w:r>
          </w:p>
          <w:p w:rsidR="00EB4E9C" w:rsidRPr="00237042" w:rsidRDefault="00EB4E9C" w:rsidP="003C7FBE">
            <w:pPr>
              <w:pStyle w:val="Docoriginal"/>
            </w:pPr>
            <w:r w:rsidRPr="002B6ED2">
              <w:t>Original:</w:t>
            </w:r>
            <w:r w:rsidRPr="002B6ED2">
              <w:rPr>
                <w:b w:val="0"/>
                <w:spacing w:val="0"/>
              </w:rPr>
              <w:t xml:space="preserve">  English</w:t>
            </w:r>
          </w:p>
          <w:p w:rsidR="00EB4E9C" w:rsidRPr="00DA273F" w:rsidRDefault="00EB4E9C" w:rsidP="00A11DD4">
            <w:pPr>
              <w:pStyle w:val="Docoriginal"/>
              <w:rPr>
                <w:b w:val="0"/>
                <w:spacing w:val="-2"/>
              </w:rPr>
            </w:pPr>
            <w:r w:rsidRPr="00DA273F">
              <w:rPr>
                <w:spacing w:val="-2"/>
              </w:rPr>
              <w:t>Date</w:t>
            </w:r>
            <w:r w:rsidRPr="003017DC">
              <w:rPr>
                <w:spacing w:val="-2"/>
              </w:rPr>
              <w:t>:</w:t>
            </w:r>
            <w:r w:rsidRPr="003017DC">
              <w:rPr>
                <w:b w:val="0"/>
                <w:spacing w:val="-2"/>
              </w:rPr>
              <w:t xml:space="preserve">  </w:t>
            </w:r>
            <w:r w:rsidR="00A11DD4">
              <w:rPr>
                <w:b w:val="0"/>
                <w:spacing w:val="-2"/>
              </w:rPr>
              <w:t>July 25</w:t>
            </w:r>
            <w:r w:rsidR="00652D0E" w:rsidRPr="003017DC">
              <w:rPr>
                <w:b w:val="0"/>
                <w:spacing w:val="-2"/>
              </w:rPr>
              <w:t xml:space="preserve">, </w:t>
            </w:r>
            <w:r w:rsidR="00A11DD4" w:rsidRPr="003017DC">
              <w:rPr>
                <w:b w:val="0"/>
                <w:spacing w:val="-2"/>
              </w:rPr>
              <w:t>202</w:t>
            </w:r>
            <w:r w:rsidR="00A11DD4">
              <w:rPr>
                <w:b w:val="0"/>
                <w:spacing w:val="-2"/>
              </w:rPr>
              <w:t>2</w:t>
            </w:r>
          </w:p>
        </w:tc>
      </w:tr>
    </w:tbl>
    <w:p w:rsidR="00652D0E" w:rsidRDefault="00652D0E" w:rsidP="00652D0E">
      <w:bookmarkStart w:id="1" w:name="TitleOfDoc"/>
      <w:bookmarkEnd w:id="1"/>
    </w:p>
    <w:p w:rsidR="00652D0E" w:rsidRDefault="00652D0E" w:rsidP="00652D0E"/>
    <w:p w:rsidR="00652D0E" w:rsidRDefault="00652D0E" w:rsidP="00652D0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52D0E" w:rsidRPr="00C5280D" w:rsidTr="004F096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2D0E" w:rsidRDefault="00652D0E" w:rsidP="004F0967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652D0E" w:rsidRPr="007C1D92" w:rsidRDefault="00652D0E" w:rsidP="004F0967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652D0E" w:rsidRPr="006A644A" w:rsidRDefault="00652D0E" w:rsidP="00652D0E">
      <w:pPr>
        <w:pStyle w:val="Titleofdoc0"/>
      </w:pPr>
      <w:r w:rsidRPr="00EF7BD1">
        <w:t>List of UPOV/INF-EXN Documents and Latest Issue Dates</w:t>
      </w:r>
    </w:p>
    <w:p w:rsidR="00652D0E" w:rsidRPr="002B6ED2" w:rsidRDefault="00652D0E" w:rsidP="00652D0E">
      <w:pPr>
        <w:pStyle w:val="preparedby1"/>
      </w:pPr>
      <w:bookmarkStart w:id="2" w:name="Prepared"/>
      <w:bookmarkEnd w:id="2"/>
      <w:r w:rsidRPr="000C4E25">
        <w:t xml:space="preserve">Document prepared by the Office </w:t>
      </w:r>
      <w:r w:rsidRPr="002B6ED2">
        <w:t>of the Union</w:t>
      </w:r>
    </w:p>
    <w:p w:rsidR="00652D0E" w:rsidRPr="002B6ED2" w:rsidRDefault="00652D0E" w:rsidP="00652D0E">
      <w:pPr>
        <w:pStyle w:val="preparedby1"/>
      </w:pPr>
    </w:p>
    <w:p w:rsidR="00652D0E" w:rsidRDefault="00652D0E" w:rsidP="00652D0E">
      <w:pPr>
        <w:pStyle w:val="preparedby1"/>
      </w:pPr>
      <w:r w:rsidRPr="002B6ED2">
        <w:t xml:space="preserve">to be considered by the Council </w:t>
      </w:r>
      <w:r w:rsidR="00A438BB" w:rsidRPr="002B6ED2">
        <w:t>in 202</w:t>
      </w:r>
      <w:r w:rsidR="00C05249">
        <w:t>2</w:t>
      </w:r>
    </w:p>
    <w:p w:rsidR="00652D0E" w:rsidRDefault="00652D0E" w:rsidP="00652D0E">
      <w:pPr>
        <w:pStyle w:val="preparedby1"/>
      </w:pPr>
    </w:p>
    <w:p w:rsidR="00652D0E" w:rsidRPr="00EA0D21" w:rsidRDefault="00652D0E" w:rsidP="00652D0E">
      <w:pPr>
        <w:pStyle w:val="preparedby1"/>
      </w:pPr>
    </w:p>
    <w:p w:rsidR="00652D0E" w:rsidRPr="006A644A" w:rsidRDefault="00652D0E" w:rsidP="00652D0E">
      <w:pPr>
        <w:pStyle w:val="Disclaimer"/>
        <w:spacing w:after="1200"/>
      </w:pPr>
      <w:r w:rsidRPr="006A644A">
        <w:t>Disclaimer:  this document does not represent UPOV policies or guidance</w:t>
      </w: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DB5A3F" w:rsidTr="004E3B36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2B6ED2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UPOV/INF-EXN</w:t>
            </w:r>
          </w:p>
        </w:tc>
        <w:tc>
          <w:tcPr>
            <w:tcW w:w="839" w:type="dxa"/>
          </w:tcPr>
          <w:p w:rsidR="00372890" w:rsidRPr="002B6ED2" w:rsidRDefault="006E5F1F" w:rsidP="00C05249">
            <w:pPr>
              <w:spacing w:before="60" w:after="60"/>
              <w:jc w:val="left"/>
            </w:pPr>
            <w:r w:rsidRPr="002B6ED2">
              <w:t>/</w:t>
            </w:r>
            <w:r w:rsidR="00C05249" w:rsidRPr="002B6ED2">
              <w:t>1</w:t>
            </w:r>
            <w:r w:rsidR="00C05249">
              <w:t>6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List of UPOV/INF-EXN Documents and Latest Issue Dates</w:t>
            </w:r>
          </w:p>
        </w:tc>
        <w:tc>
          <w:tcPr>
            <w:tcW w:w="1956" w:type="dxa"/>
          </w:tcPr>
          <w:p w:rsidR="00372890" w:rsidRPr="002B6ED2" w:rsidRDefault="00652D0E">
            <w:pPr>
              <w:spacing w:before="60" w:after="60"/>
              <w:jc w:val="left"/>
            </w:pPr>
            <w:r w:rsidRPr="002B6ED2">
              <w:t xml:space="preserve">October </w:t>
            </w:r>
            <w:r w:rsidR="00C05249">
              <w:t>28</w:t>
            </w:r>
            <w:r w:rsidRPr="002B6ED2">
              <w:t xml:space="preserve">, </w:t>
            </w:r>
            <w:r w:rsidR="00C05249" w:rsidRPr="002B6ED2">
              <w:t>202</w:t>
            </w:r>
            <w:r w:rsidR="00C05249">
              <w:t>2</w:t>
            </w:r>
          </w:p>
        </w:tc>
      </w:tr>
    </w:tbl>
    <w:p w:rsidR="00BD5D8B" w:rsidRPr="002B6ED2" w:rsidRDefault="00BD5D8B">
      <w:pPr>
        <w:jc w:val="left"/>
        <w:rPr>
          <w:snapToGrid w:val="0"/>
        </w:rPr>
      </w:pPr>
    </w:p>
    <w:p w:rsidR="00372890" w:rsidRPr="00284D41" w:rsidRDefault="00372890" w:rsidP="00372890">
      <w:pPr>
        <w:rPr>
          <w:snapToGrid w:val="0"/>
          <w:szCs w:val="24"/>
        </w:rPr>
      </w:pPr>
      <w:r w:rsidRPr="002B6ED2">
        <w:rPr>
          <w:snapToGrid w:val="0"/>
          <w:szCs w:val="24"/>
        </w:rPr>
        <w:t>(a)</w:t>
      </w:r>
      <w:r w:rsidRPr="002B6ED2">
        <w:rPr>
          <w:snapToGrid w:val="0"/>
          <w:szCs w:val="24"/>
        </w:rPr>
        <w:tab/>
      </w:r>
      <w:r w:rsidRPr="002B6ED2">
        <w:rPr>
          <w:snapToGrid w:val="0"/>
          <w:szCs w:val="24"/>
          <w:u w:val="single"/>
        </w:rPr>
        <w:t>UPOV/INF document series</w:t>
      </w:r>
    </w:p>
    <w:p w:rsidR="00372890" w:rsidRPr="00284D41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284D41" w:rsidTr="004E3B36">
        <w:tc>
          <w:tcPr>
            <w:tcW w:w="2262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 date</w:t>
            </w:r>
          </w:p>
        </w:tc>
      </w:tr>
      <w:tr w:rsidR="00372890" w:rsidRPr="00A81163" w:rsidTr="004E3B36">
        <w:tc>
          <w:tcPr>
            <w:tcW w:w="2262" w:type="dxa"/>
          </w:tcPr>
          <w:p w:rsidR="00372890" w:rsidRPr="00A5440A" w:rsidRDefault="00372890" w:rsidP="00CE3814">
            <w:pPr>
              <w:spacing w:before="60" w:after="60"/>
              <w:jc w:val="left"/>
            </w:pPr>
            <w:r w:rsidRPr="00A5440A">
              <w:t>UPOV/INF/4</w:t>
            </w:r>
          </w:p>
        </w:tc>
        <w:tc>
          <w:tcPr>
            <w:tcW w:w="839" w:type="dxa"/>
          </w:tcPr>
          <w:p w:rsidR="00372890" w:rsidRPr="00A5440A" w:rsidRDefault="00372890" w:rsidP="00A5440A">
            <w:pPr>
              <w:spacing w:before="60" w:after="60"/>
              <w:jc w:val="left"/>
            </w:pPr>
            <w:r w:rsidRPr="00A5440A">
              <w:t>/</w:t>
            </w:r>
            <w:r w:rsidR="00012BB7" w:rsidRPr="00A5440A">
              <w:t>6</w:t>
            </w:r>
          </w:p>
        </w:tc>
        <w:tc>
          <w:tcPr>
            <w:tcW w:w="5008" w:type="dxa"/>
          </w:tcPr>
          <w:p w:rsidR="00372890" w:rsidRPr="00A5440A" w:rsidRDefault="00372890" w:rsidP="00CE3814">
            <w:pPr>
              <w:spacing w:before="60" w:after="60"/>
              <w:jc w:val="left"/>
            </w:pPr>
            <w:r w:rsidRPr="00A5440A">
              <w:t>Financial Regulations and Rules of UPOV</w:t>
            </w:r>
          </w:p>
        </w:tc>
        <w:tc>
          <w:tcPr>
            <w:tcW w:w="1938" w:type="dxa"/>
          </w:tcPr>
          <w:p w:rsidR="00372890" w:rsidRPr="00A5440A" w:rsidRDefault="008D2758" w:rsidP="00A81163">
            <w:pPr>
              <w:spacing w:before="60" w:after="60"/>
              <w:jc w:val="left"/>
            </w:pPr>
            <w:r w:rsidRPr="00A5440A">
              <w:t xml:space="preserve">October </w:t>
            </w:r>
            <w:r w:rsidR="00A81163" w:rsidRPr="00A5440A">
              <w:t>25</w:t>
            </w:r>
            <w:r w:rsidRPr="00A5440A">
              <w:t>, 2020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UPOV/INF/5</w:t>
            </w:r>
          </w:p>
        </w:tc>
        <w:tc>
          <w:tcPr>
            <w:tcW w:w="839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/2</w:t>
            </w:r>
          </w:p>
        </w:tc>
        <w:tc>
          <w:tcPr>
            <w:tcW w:w="5008" w:type="dxa"/>
          </w:tcPr>
          <w:p w:rsidR="00372890" w:rsidRPr="00284D41" w:rsidRDefault="00372890" w:rsidP="00AD53A6">
            <w:pPr>
              <w:spacing w:before="60" w:after="60"/>
              <w:jc w:val="left"/>
            </w:pPr>
            <w:r w:rsidRPr="00284D41">
              <w:t xml:space="preserve">UPOV Model Plant Breeders’ Rights </w:t>
            </w:r>
            <w:r w:rsidR="00AD53A6">
              <w:t>Publication</w:t>
            </w:r>
          </w:p>
        </w:tc>
        <w:tc>
          <w:tcPr>
            <w:tcW w:w="1938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November 1, 2019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UPOV/INF/6</w:t>
            </w:r>
          </w:p>
        </w:tc>
        <w:tc>
          <w:tcPr>
            <w:tcW w:w="839" w:type="dxa"/>
          </w:tcPr>
          <w:p w:rsidR="00372890" w:rsidRPr="002B6ED2" w:rsidRDefault="00C66F0B" w:rsidP="00372890">
            <w:pPr>
              <w:spacing w:before="60" w:after="60"/>
              <w:jc w:val="left"/>
            </w:pPr>
            <w:r w:rsidRPr="002B6ED2">
              <w:t>/6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Guidance for the preparation of laws based on the 1991 Act of the UPOV Convention</w:t>
            </w:r>
          </w:p>
        </w:tc>
        <w:tc>
          <w:tcPr>
            <w:tcW w:w="1938" w:type="dxa"/>
          </w:tcPr>
          <w:p w:rsidR="00372890" w:rsidRPr="002B6ED2" w:rsidRDefault="00876A27" w:rsidP="00C05249">
            <w:pPr>
              <w:spacing w:before="60" w:after="60"/>
              <w:jc w:val="left"/>
            </w:pPr>
            <w:r w:rsidRPr="002B6ED2">
              <w:t xml:space="preserve">September 21, </w:t>
            </w:r>
            <w:r w:rsidRPr="003017DC">
              <w:t>2021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UPOV/INF/7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of Procedure of the Council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15,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for the Protection of New Varieties of Plants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26,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UPOV/INF/9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284D41">
                <w:t>Switzerland</w:t>
              </w:r>
            </w:smartTag>
            <w:r w:rsidRPr="00284D41">
              <w:t xml:space="preserve"> of that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(Headquarters Agreement)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17, 1983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</w:t>
            </w:r>
            <w:r w:rsidR="006E5F1F" w:rsidRPr="00284D41">
              <w:t>/11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Internal Audit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UPOV/INF/13</w:t>
            </w:r>
          </w:p>
        </w:tc>
        <w:tc>
          <w:tcPr>
            <w:tcW w:w="839" w:type="dxa"/>
          </w:tcPr>
          <w:p w:rsidR="00372890" w:rsidRPr="00284D41" w:rsidRDefault="000740DB" w:rsidP="00CE3814">
            <w:pPr>
              <w:spacing w:before="60" w:after="60"/>
              <w:jc w:val="left"/>
            </w:pPr>
            <w:r w:rsidRPr="00284D41">
              <w:t>/2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on how to become a member of UPOV </w:t>
            </w:r>
          </w:p>
        </w:tc>
        <w:tc>
          <w:tcPr>
            <w:tcW w:w="1938" w:type="dxa"/>
          </w:tcPr>
          <w:p w:rsidR="00372890" w:rsidRPr="00284D41" w:rsidRDefault="00372890" w:rsidP="000740DB">
            <w:pPr>
              <w:spacing w:before="60" w:after="60"/>
              <w:jc w:val="left"/>
            </w:pPr>
            <w:r w:rsidRPr="00284D41">
              <w:t>October 2</w:t>
            </w:r>
            <w:r w:rsidR="000740DB" w:rsidRPr="00284D41">
              <w:t>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UPOV/INF/14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22, 2009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UPOV/INF/15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/3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Guidance for members of UPOV</w:t>
            </w:r>
          </w:p>
        </w:tc>
        <w:tc>
          <w:tcPr>
            <w:tcW w:w="193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March 27,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UPOV/INF/16</w:t>
            </w:r>
          </w:p>
        </w:tc>
        <w:tc>
          <w:tcPr>
            <w:tcW w:w="839" w:type="dxa"/>
          </w:tcPr>
          <w:p w:rsidR="00372890" w:rsidRPr="002B6ED2" w:rsidRDefault="00CC57BA" w:rsidP="00C05249">
            <w:pPr>
              <w:spacing w:before="60" w:after="60"/>
              <w:jc w:val="left"/>
            </w:pPr>
            <w:r w:rsidRPr="002B6ED2">
              <w:t>/</w:t>
            </w:r>
            <w:r w:rsidR="00C05249" w:rsidRPr="002B6ED2">
              <w:t>1</w:t>
            </w:r>
            <w:r w:rsidR="00C05249">
              <w:t>1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Exchangeable Software</w:t>
            </w:r>
          </w:p>
        </w:tc>
        <w:tc>
          <w:tcPr>
            <w:tcW w:w="1938" w:type="dxa"/>
          </w:tcPr>
          <w:p w:rsidR="00372890" w:rsidRPr="003017DC" w:rsidRDefault="00C05249">
            <w:pPr>
              <w:spacing w:before="60" w:after="60"/>
              <w:jc w:val="left"/>
            </w:pPr>
            <w:r>
              <w:t>October 28, 2022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UPOV/INF/17</w:t>
            </w:r>
          </w:p>
        </w:tc>
        <w:tc>
          <w:tcPr>
            <w:tcW w:w="839" w:type="dxa"/>
          </w:tcPr>
          <w:p w:rsidR="00372890" w:rsidRPr="002B6ED2" w:rsidRDefault="00C66F0B" w:rsidP="00CE3814">
            <w:pPr>
              <w:spacing w:before="60" w:after="60"/>
              <w:jc w:val="left"/>
            </w:pPr>
            <w:r w:rsidRPr="002B6ED2">
              <w:t>/2</w:t>
            </w:r>
          </w:p>
        </w:tc>
        <w:tc>
          <w:tcPr>
            <w:tcW w:w="5008" w:type="dxa"/>
          </w:tcPr>
          <w:p w:rsidR="00372890" w:rsidRPr="002B6ED2" w:rsidRDefault="00372890" w:rsidP="00CE3814">
            <w:pPr>
              <w:spacing w:before="60" w:after="60"/>
              <w:jc w:val="left"/>
            </w:pPr>
            <w:r w:rsidRPr="002B6ED2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:rsidR="00372890" w:rsidRPr="003017DC" w:rsidRDefault="00876A27" w:rsidP="00CE3814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October 20, 2011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UPOV/INF/19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UPOV/INF/20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access to UPOV documents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UPOV/INF/21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/1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 xml:space="preserve">Alternative dispute settlement mechanisms </w:t>
            </w:r>
          </w:p>
        </w:tc>
        <w:tc>
          <w:tcPr>
            <w:tcW w:w="1938" w:type="dxa"/>
          </w:tcPr>
          <w:p w:rsidR="00372890" w:rsidRPr="003017DC" w:rsidRDefault="00372890" w:rsidP="00CE3814">
            <w:pPr>
              <w:spacing w:before="60" w:after="60"/>
              <w:jc w:val="left"/>
            </w:pPr>
            <w:r w:rsidRPr="003017DC">
              <w:t>November 1, 2012</w:t>
            </w:r>
          </w:p>
        </w:tc>
      </w:tr>
      <w:tr w:rsidR="00C66F0B" w:rsidRPr="00284D41" w:rsidTr="004E3B36">
        <w:tc>
          <w:tcPr>
            <w:tcW w:w="2262" w:type="dxa"/>
          </w:tcPr>
          <w:p w:rsidR="00C66F0B" w:rsidRPr="002B6ED2" w:rsidRDefault="00C66F0B" w:rsidP="00C66F0B">
            <w:pPr>
              <w:spacing w:before="60" w:after="60"/>
            </w:pPr>
            <w:r w:rsidRPr="002B6ED2">
              <w:t>UPOV/INF/22</w:t>
            </w:r>
          </w:p>
        </w:tc>
        <w:tc>
          <w:tcPr>
            <w:tcW w:w="839" w:type="dxa"/>
          </w:tcPr>
          <w:p w:rsidR="00C66F0B" w:rsidRPr="002B6ED2" w:rsidRDefault="00C66F0B">
            <w:pPr>
              <w:spacing w:before="60" w:after="60"/>
            </w:pPr>
            <w:r w:rsidRPr="002B6ED2">
              <w:t>/</w:t>
            </w:r>
            <w:r w:rsidR="00C05249">
              <w:t>9</w:t>
            </w:r>
          </w:p>
        </w:tc>
        <w:tc>
          <w:tcPr>
            <w:tcW w:w="5008" w:type="dxa"/>
          </w:tcPr>
          <w:p w:rsidR="00C66F0B" w:rsidRPr="002B6ED2" w:rsidRDefault="00C66F0B" w:rsidP="00C66F0B">
            <w:pPr>
              <w:spacing w:before="60" w:after="60"/>
              <w:jc w:val="left"/>
            </w:pPr>
            <w:r w:rsidRPr="002B6ED2">
              <w:t>Software</w:t>
            </w:r>
            <w:r w:rsidRPr="002B6ED2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:rsidR="00C66F0B" w:rsidRPr="003017DC" w:rsidRDefault="00C05249" w:rsidP="00C66F0B">
            <w:pPr>
              <w:spacing w:before="60" w:after="60"/>
              <w:jc w:val="left"/>
            </w:pPr>
            <w:r>
              <w:t>October 28, 2022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B6ED2" w:rsidRDefault="00C66F0B" w:rsidP="00CE3814">
            <w:pPr>
              <w:spacing w:before="60" w:after="60"/>
            </w:pPr>
            <w:r w:rsidRPr="002B6ED2">
              <w:t>UPOV/INF/23</w:t>
            </w:r>
          </w:p>
        </w:tc>
        <w:tc>
          <w:tcPr>
            <w:tcW w:w="839" w:type="dxa"/>
          </w:tcPr>
          <w:p w:rsidR="00372890" w:rsidRPr="002B6ED2" w:rsidRDefault="00C66F0B" w:rsidP="00CE3814">
            <w:pPr>
              <w:spacing w:before="60" w:after="60"/>
            </w:pPr>
            <w:r w:rsidRPr="002B6ED2">
              <w:t>/1</w:t>
            </w:r>
          </w:p>
        </w:tc>
        <w:tc>
          <w:tcPr>
            <w:tcW w:w="5008" w:type="dxa"/>
          </w:tcPr>
          <w:p w:rsidR="00372890" w:rsidRPr="002B6ED2" w:rsidRDefault="00876A27" w:rsidP="00CE3814">
            <w:pPr>
              <w:spacing w:before="60" w:after="60"/>
              <w:jc w:val="left"/>
            </w:pPr>
            <w:r w:rsidRPr="002B6ED2">
              <w:t xml:space="preserve">Guide to the </w:t>
            </w:r>
            <w:r w:rsidR="00C66F0B" w:rsidRPr="002B6ED2">
              <w:t>UPOV Code System</w:t>
            </w:r>
          </w:p>
        </w:tc>
        <w:tc>
          <w:tcPr>
            <w:tcW w:w="1938" w:type="dxa"/>
          </w:tcPr>
          <w:p w:rsidR="00372890" w:rsidRPr="003017DC" w:rsidRDefault="00876A27" w:rsidP="00A5440A">
            <w:pPr>
              <w:spacing w:before="60" w:after="60"/>
              <w:jc w:val="left"/>
            </w:pPr>
            <w:r w:rsidRPr="003017DC">
              <w:t>September 21, 2021</w:t>
            </w:r>
            <w:r w:rsidR="000E4A6D" w:rsidRPr="003017DC">
              <w:rPr>
                <w:b/>
                <w:vertAlign w:val="superscript"/>
              </w:rPr>
              <w:t>a</w:t>
            </w:r>
          </w:p>
        </w:tc>
      </w:tr>
      <w:tr w:rsidR="00DC540F" w:rsidRPr="00DB5A3F" w:rsidTr="004E3B36">
        <w:tc>
          <w:tcPr>
            <w:tcW w:w="2262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C(Extr.)/19/2 Rev.</w:t>
            </w:r>
          </w:p>
        </w:tc>
        <w:tc>
          <w:tcPr>
            <w:tcW w:w="839" w:type="dxa"/>
          </w:tcPr>
          <w:p w:rsidR="00DC540F" w:rsidRPr="00284D41" w:rsidRDefault="00DC540F" w:rsidP="00DC540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The Notion of Breeder and Common Knowledge</w:t>
            </w:r>
          </w:p>
        </w:tc>
        <w:tc>
          <w:tcPr>
            <w:tcW w:w="1938" w:type="dxa"/>
          </w:tcPr>
          <w:p w:rsidR="00DC540F" w:rsidRPr="00DB5A3F" w:rsidRDefault="00DC540F" w:rsidP="00DC540F">
            <w:pPr>
              <w:spacing w:before="60" w:after="60"/>
              <w:jc w:val="left"/>
            </w:pPr>
            <w:r w:rsidRPr="00284D41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C66F0B" w:rsidRPr="00DB5A3F" w:rsidTr="00EA5216">
        <w:trPr>
          <w:cantSplit/>
        </w:trPr>
        <w:tc>
          <w:tcPr>
            <w:tcW w:w="2261" w:type="dxa"/>
          </w:tcPr>
          <w:p w:rsidR="00C66F0B" w:rsidRPr="002B6ED2" w:rsidRDefault="00C66F0B" w:rsidP="00C66F0B">
            <w:pPr>
              <w:jc w:val="left"/>
            </w:pPr>
            <w:r w:rsidRPr="002B6ED2">
              <w:t>UPOV/EXN/DEN</w:t>
            </w:r>
          </w:p>
        </w:tc>
        <w:tc>
          <w:tcPr>
            <w:tcW w:w="837" w:type="dxa"/>
          </w:tcPr>
          <w:p w:rsidR="00C66F0B" w:rsidRPr="002B6ED2" w:rsidRDefault="00C66F0B">
            <w:pPr>
              <w:jc w:val="left"/>
            </w:pPr>
            <w:r w:rsidRPr="002B6ED2">
              <w:t>/</w:t>
            </w:r>
            <w:r w:rsidR="00B8572A">
              <w:t>2</w:t>
            </w:r>
          </w:p>
        </w:tc>
        <w:tc>
          <w:tcPr>
            <w:tcW w:w="4946" w:type="dxa"/>
          </w:tcPr>
          <w:p w:rsidR="00C66F0B" w:rsidRPr="002B6ED2" w:rsidRDefault="00C66F0B" w:rsidP="00C66F0B">
            <w:pPr>
              <w:jc w:val="left"/>
            </w:pPr>
            <w:r w:rsidRPr="002B6ED2">
              <w:t>Explanatory Notes on Variety Denominations under the UPOV Convention</w:t>
            </w:r>
          </w:p>
        </w:tc>
        <w:tc>
          <w:tcPr>
            <w:tcW w:w="1879" w:type="dxa"/>
          </w:tcPr>
          <w:p w:rsidR="00C66F0B" w:rsidRPr="002B6ED2" w:rsidRDefault="00C66F0B">
            <w:pPr>
              <w:jc w:val="left"/>
            </w:pPr>
            <w:r w:rsidRPr="002B6ED2">
              <w:t xml:space="preserve">October </w:t>
            </w:r>
            <w:r w:rsidR="00B8572A" w:rsidRPr="002B6ED2">
              <w:t>2</w:t>
            </w:r>
            <w:r w:rsidR="00B8572A">
              <w:t>8</w:t>
            </w:r>
            <w:r w:rsidRPr="002B6ED2">
              <w:t xml:space="preserve">, </w:t>
            </w:r>
            <w:r w:rsidR="00B8572A" w:rsidRPr="002B6ED2">
              <w:t>202</w:t>
            </w:r>
            <w:r w:rsidR="00B8572A">
              <w:t>2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2B6ED2" w:rsidRDefault="000F4D2C" w:rsidP="00EA5216">
            <w:pPr>
              <w:jc w:val="left"/>
            </w:pPr>
            <w:r w:rsidRPr="002B6ED2">
              <w:t>UPOV/EXN/EDV</w:t>
            </w:r>
          </w:p>
        </w:tc>
        <w:tc>
          <w:tcPr>
            <w:tcW w:w="837" w:type="dxa"/>
          </w:tcPr>
          <w:p w:rsidR="000F4D2C" w:rsidRPr="002B6ED2" w:rsidRDefault="000F4D2C">
            <w:pPr>
              <w:jc w:val="left"/>
            </w:pPr>
            <w:r w:rsidRPr="002B6ED2">
              <w:t>/</w:t>
            </w:r>
            <w:r w:rsidR="00B8572A">
              <w:t>3</w:t>
            </w:r>
          </w:p>
        </w:tc>
        <w:tc>
          <w:tcPr>
            <w:tcW w:w="4946" w:type="dxa"/>
          </w:tcPr>
          <w:p w:rsidR="000F4D2C" w:rsidRPr="002B6ED2" w:rsidRDefault="000F4D2C" w:rsidP="00EA5216">
            <w:pPr>
              <w:jc w:val="left"/>
            </w:pPr>
            <w:r w:rsidRPr="002B6ED2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2B6ED2" w:rsidRDefault="00B8572A" w:rsidP="00EA5216">
            <w:pPr>
              <w:jc w:val="left"/>
            </w:pPr>
            <w:r w:rsidRPr="002B6ED2">
              <w:t>October 2</w:t>
            </w:r>
            <w:r>
              <w:t>8</w:t>
            </w:r>
            <w:r w:rsidRPr="002B6ED2">
              <w:t>, 202</w:t>
            </w:r>
            <w:r>
              <w:t>2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D51E9B">
      <w:pPr>
        <w:pStyle w:val="endofdoc"/>
        <w:spacing w:before="240"/>
        <w:ind w:left="562" w:hanging="562"/>
      </w:pPr>
      <w:r w:rsidRPr="00DB5A3F">
        <w:t>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E" w:rsidRDefault="0043379E" w:rsidP="006655D3">
      <w:r>
        <w:separator/>
      </w:r>
    </w:p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9E" w:rsidRPr="00A81163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652D0E">
      <w:rPr>
        <w:rStyle w:val="PageNumber"/>
        <w:lang w:val="en-US"/>
      </w:rPr>
      <w:t>EXN</w:t>
    </w:r>
    <w:r w:rsidR="00652D0E" w:rsidRPr="002B6ED2">
      <w:rPr>
        <w:rStyle w:val="PageNumber"/>
        <w:lang w:val="en-US"/>
      </w:rPr>
      <w:t>/</w:t>
    </w:r>
    <w:r w:rsidR="00C05249" w:rsidRPr="002B6ED2">
      <w:rPr>
        <w:rStyle w:val="PageNumber"/>
        <w:lang w:val="en-US"/>
      </w:rPr>
      <w:t>1</w:t>
    </w:r>
    <w:r w:rsidR="00C05249">
      <w:rPr>
        <w:rStyle w:val="PageNumber"/>
        <w:lang w:val="en-US"/>
      </w:rPr>
      <w:t>6</w:t>
    </w:r>
    <w:r w:rsidR="00C05249" w:rsidRPr="002B6ED2">
      <w:rPr>
        <w:rStyle w:val="PageNumber"/>
        <w:lang w:val="en-US"/>
      </w:rPr>
      <w:t xml:space="preserve"> </w:t>
    </w:r>
    <w:r w:rsidR="00652D0E" w:rsidRPr="002B6ED2">
      <w:rPr>
        <w:rStyle w:val="PageNumber"/>
        <w:lang w:val="en-US"/>
      </w:rPr>
      <w:t>Draft 1</w:t>
    </w:r>
  </w:p>
  <w:p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797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C"/>
    <w:rsid w:val="00010CF3"/>
    <w:rsid w:val="00011E27"/>
    <w:rsid w:val="00012BB7"/>
    <w:rsid w:val="000148BC"/>
    <w:rsid w:val="00024AB8"/>
    <w:rsid w:val="00030854"/>
    <w:rsid w:val="00036028"/>
    <w:rsid w:val="00044642"/>
    <w:rsid w:val="000446B9"/>
    <w:rsid w:val="00047E21"/>
    <w:rsid w:val="00050E16"/>
    <w:rsid w:val="00062592"/>
    <w:rsid w:val="000740DB"/>
    <w:rsid w:val="00085505"/>
    <w:rsid w:val="00085F71"/>
    <w:rsid w:val="000A08F9"/>
    <w:rsid w:val="000A23FC"/>
    <w:rsid w:val="000C4E25"/>
    <w:rsid w:val="000C7021"/>
    <w:rsid w:val="000D6BBC"/>
    <w:rsid w:val="000D7780"/>
    <w:rsid w:val="000E4A6D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37042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B6ED2"/>
    <w:rsid w:val="002C256A"/>
    <w:rsid w:val="002D4A9C"/>
    <w:rsid w:val="003017D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83E70"/>
    <w:rsid w:val="003A118A"/>
    <w:rsid w:val="003C7FBE"/>
    <w:rsid w:val="003D227C"/>
    <w:rsid w:val="003D2B4D"/>
    <w:rsid w:val="003E02C6"/>
    <w:rsid w:val="003E6123"/>
    <w:rsid w:val="003F2197"/>
    <w:rsid w:val="00432DE0"/>
    <w:rsid w:val="0043379E"/>
    <w:rsid w:val="00436811"/>
    <w:rsid w:val="004437E2"/>
    <w:rsid w:val="00444A88"/>
    <w:rsid w:val="00455A54"/>
    <w:rsid w:val="00474DA4"/>
    <w:rsid w:val="00476B4D"/>
    <w:rsid w:val="004805FA"/>
    <w:rsid w:val="004935D2"/>
    <w:rsid w:val="004B1215"/>
    <w:rsid w:val="004D047D"/>
    <w:rsid w:val="004E3B36"/>
    <w:rsid w:val="004F1E9E"/>
    <w:rsid w:val="004F305A"/>
    <w:rsid w:val="00512164"/>
    <w:rsid w:val="00520297"/>
    <w:rsid w:val="0052145D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52D0E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0A58"/>
    <w:rsid w:val="00784836"/>
    <w:rsid w:val="0079023E"/>
    <w:rsid w:val="0079341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554AC"/>
    <w:rsid w:val="00866F0A"/>
    <w:rsid w:val="00867AC1"/>
    <w:rsid w:val="00876A27"/>
    <w:rsid w:val="00890DF8"/>
    <w:rsid w:val="008A743F"/>
    <w:rsid w:val="008C0970"/>
    <w:rsid w:val="008C0DA8"/>
    <w:rsid w:val="008D0BC5"/>
    <w:rsid w:val="008D2758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071D2"/>
    <w:rsid w:val="00A11DD4"/>
    <w:rsid w:val="00A222E1"/>
    <w:rsid w:val="00A24C10"/>
    <w:rsid w:val="00A42AC3"/>
    <w:rsid w:val="00A430CF"/>
    <w:rsid w:val="00A438BB"/>
    <w:rsid w:val="00A54309"/>
    <w:rsid w:val="00A5440A"/>
    <w:rsid w:val="00A75909"/>
    <w:rsid w:val="00A81163"/>
    <w:rsid w:val="00AB2B93"/>
    <w:rsid w:val="00AB530F"/>
    <w:rsid w:val="00AB7E5B"/>
    <w:rsid w:val="00AC2883"/>
    <w:rsid w:val="00AD53A6"/>
    <w:rsid w:val="00AD6412"/>
    <w:rsid w:val="00AE0EF1"/>
    <w:rsid w:val="00AE2937"/>
    <w:rsid w:val="00AF1483"/>
    <w:rsid w:val="00B07301"/>
    <w:rsid w:val="00B11F3E"/>
    <w:rsid w:val="00B224DE"/>
    <w:rsid w:val="00B324D4"/>
    <w:rsid w:val="00B46575"/>
    <w:rsid w:val="00B5055B"/>
    <w:rsid w:val="00B61777"/>
    <w:rsid w:val="00B638FE"/>
    <w:rsid w:val="00B84BBD"/>
    <w:rsid w:val="00B8572A"/>
    <w:rsid w:val="00B96EDD"/>
    <w:rsid w:val="00BA43FB"/>
    <w:rsid w:val="00BC127D"/>
    <w:rsid w:val="00BC1FE6"/>
    <w:rsid w:val="00BD5D8B"/>
    <w:rsid w:val="00BE6AB3"/>
    <w:rsid w:val="00C0524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6F0B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1E9B"/>
    <w:rsid w:val="00D5546C"/>
    <w:rsid w:val="00D57C96"/>
    <w:rsid w:val="00D57D18"/>
    <w:rsid w:val="00D67973"/>
    <w:rsid w:val="00D91203"/>
    <w:rsid w:val="00D95174"/>
    <w:rsid w:val="00DA273F"/>
    <w:rsid w:val="00DA4973"/>
    <w:rsid w:val="00DA6F36"/>
    <w:rsid w:val="00DB596E"/>
    <w:rsid w:val="00DB7773"/>
    <w:rsid w:val="00DC00EA"/>
    <w:rsid w:val="00DC3802"/>
    <w:rsid w:val="00DC540F"/>
    <w:rsid w:val="00DC7A19"/>
    <w:rsid w:val="00DD6102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A5A8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C6974"/>
    <w:rsid w:val="00FE39C7"/>
    <w:rsid w:val="00FF4D0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8065"/>
    <o:shapelayout v:ext="edit">
      <o:idmap v:ext="edit" data="1"/>
    </o:shapelayout>
  </w:shapeDefaults>
  <w:decimalSymbol w:val="."/>
  <w:listSeparator w:val=",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017DC"/>
    <w:pPr>
      <w:spacing w:before="60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017DC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8D62-BC5F-4A2A-9F76-8D77825E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3882</Characters>
  <Application>Microsoft Office Word</Application>
  <DocSecurity>0</DocSecurity>
  <Lines>242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UPOV/INF-EXN/16 Draft 1</dc:title>
  <dc:creator>SANCHEZ VIZCAINO GOMEZ Rosa Maria</dc:creator>
  <cp:lastModifiedBy>NICOLO Laurianne</cp:lastModifiedBy>
  <cp:revision>7</cp:revision>
  <cp:lastPrinted>2017-09-25T16:43:00Z</cp:lastPrinted>
  <dcterms:created xsi:type="dcterms:W3CDTF">2022-07-18T15:36:00Z</dcterms:created>
  <dcterms:modified xsi:type="dcterms:W3CDTF">2022-07-29T17:14:00Z</dcterms:modified>
</cp:coreProperties>
</file>