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1D736D" w:rsidRPr="00365DC1" w:rsidRDefault="001D736D" w:rsidP="001D736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C5280D" w:rsidTr="00731C96">
        <w:tc>
          <w:tcPr>
            <w:tcW w:w="6512" w:type="dxa"/>
          </w:tcPr>
          <w:p w:rsidR="001D736D" w:rsidRPr="00A57E90" w:rsidRDefault="001D736D" w:rsidP="00731C96">
            <w:pPr>
              <w:pStyle w:val="Sessiontc"/>
              <w:spacing w:line="240" w:lineRule="auto"/>
            </w:pPr>
            <w:r w:rsidRPr="00A57E90">
              <w:t>Council</w:t>
            </w:r>
          </w:p>
          <w:p w:rsidR="007546B2" w:rsidRPr="00A57E90" w:rsidRDefault="001D736D" w:rsidP="00EF6D30">
            <w:pPr>
              <w:pStyle w:val="Sessiontcplacedate"/>
            </w:pPr>
            <w:r w:rsidRPr="00A57E90">
              <w:t>Fifty-</w:t>
            </w:r>
            <w:r w:rsidR="00EF6D30" w:rsidRPr="00A57E90">
              <w:t>Six</w:t>
            </w:r>
            <w:r w:rsidRPr="00A57E90">
              <w:t>th Ordinary Session</w:t>
            </w:r>
          </w:p>
          <w:p w:rsidR="001D736D" w:rsidRPr="00A57E90" w:rsidRDefault="001D736D" w:rsidP="00EF6D30">
            <w:pPr>
              <w:pStyle w:val="Sessiontcplacedate"/>
              <w:rPr>
                <w:sz w:val="22"/>
              </w:rPr>
            </w:pPr>
            <w:r w:rsidRPr="00A57E90">
              <w:t>Geneva, October 2</w:t>
            </w:r>
            <w:r w:rsidR="00EF6D30" w:rsidRPr="00A57E90">
              <w:t>8, 2022</w:t>
            </w:r>
          </w:p>
        </w:tc>
        <w:tc>
          <w:tcPr>
            <w:tcW w:w="3127" w:type="dxa"/>
          </w:tcPr>
          <w:p w:rsidR="001D736D" w:rsidRPr="00A57E90" w:rsidRDefault="00567C6E" w:rsidP="00731C96">
            <w:pPr>
              <w:pStyle w:val="Doccode"/>
            </w:pPr>
            <w:r w:rsidRPr="00A57E90">
              <w:t>C/56/1</w:t>
            </w:r>
            <w:r w:rsidR="00731C96" w:rsidRPr="00A57E90">
              <w:t>0</w:t>
            </w:r>
          </w:p>
          <w:p w:rsidR="001D736D" w:rsidRPr="00A57E90" w:rsidRDefault="001D736D" w:rsidP="00731C96">
            <w:pPr>
              <w:pStyle w:val="Docoriginal"/>
            </w:pPr>
            <w:r w:rsidRPr="00A57E90">
              <w:t>Original:</w:t>
            </w:r>
            <w:r w:rsidRPr="00A57E90">
              <w:rPr>
                <w:b w:val="0"/>
                <w:spacing w:val="0"/>
              </w:rPr>
              <w:t xml:space="preserve">  English</w:t>
            </w:r>
          </w:p>
          <w:p w:rsidR="001D736D" w:rsidRPr="007C1D92" w:rsidRDefault="001D736D" w:rsidP="00822FAE">
            <w:pPr>
              <w:pStyle w:val="Docoriginal"/>
            </w:pPr>
            <w:r w:rsidRPr="00A57E90">
              <w:t>Date:</w:t>
            </w:r>
            <w:r w:rsidRPr="00A57E90">
              <w:rPr>
                <w:b w:val="0"/>
                <w:spacing w:val="0"/>
              </w:rPr>
              <w:t xml:space="preserve">  </w:t>
            </w:r>
            <w:r w:rsidR="00822FAE" w:rsidRPr="00A57E90">
              <w:rPr>
                <w:b w:val="0"/>
                <w:spacing w:val="0"/>
              </w:rPr>
              <w:t>October 28</w:t>
            </w:r>
            <w:r w:rsidRPr="00A57E90">
              <w:rPr>
                <w:b w:val="0"/>
                <w:spacing w:val="0"/>
              </w:rPr>
              <w:t>, 202</w:t>
            </w:r>
            <w:r w:rsidR="00EF6D30" w:rsidRPr="00A57E90">
              <w:rPr>
                <w:b w:val="0"/>
                <w:spacing w:val="0"/>
              </w:rPr>
              <w:t>2</w:t>
            </w:r>
          </w:p>
        </w:tc>
      </w:tr>
    </w:tbl>
    <w:p w:rsidR="001D736D" w:rsidRPr="006A644A" w:rsidRDefault="00731C96" w:rsidP="001D736D">
      <w:pPr>
        <w:pStyle w:val="Titleofdoc0"/>
      </w:pPr>
      <w:r>
        <w:rPr>
          <w:rFonts w:cs="Arial"/>
        </w:rPr>
        <w:t>Strategic Business Plan 2023-2027</w:t>
      </w:r>
    </w:p>
    <w:p w:rsidR="001D736D" w:rsidRPr="006A644A" w:rsidRDefault="00B14301" w:rsidP="001D736D">
      <w:pPr>
        <w:pStyle w:val="preparedby1"/>
        <w:jc w:val="left"/>
      </w:pPr>
      <w:r>
        <w:t xml:space="preserve">prepared by the </w:t>
      </w:r>
      <w:r w:rsidRPr="00F41032">
        <w:t>Office of the Union</w:t>
      </w:r>
    </w:p>
    <w:p w:rsidR="001D736D" w:rsidRPr="006A644A" w:rsidRDefault="001D736D" w:rsidP="001D736D">
      <w:pPr>
        <w:pStyle w:val="Disclaimer"/>
      </w:pPr>
      <w:r w:rsidRPr="006A644A">
        <w:t>Disclaimer:  this document does not represent UPOV policies or guidance</w:t>
      </w:r>
    </w:p>
    <w:p w:rsidR="00822FAE" w:rsidRDefault="006F5BEC">
      <w:r>
        <w:t>1.</w:t>
      </w:r>
      <w:r w:rsidR="00754A78">
        <w:tab/>
      </w:r>
      <w:r w:rsidR="00822FAE">
        <w:t xml:space="preserve">The Consultative Committee, </w:t>
      </w:r>
      <w:r w:rsidR="00822FAE" w:rsidRPr="00C51717">
        <w:t>at its ninety-ninth session</w:t>
      </w:r>
      <w:r w:rsidR="00822FAE">
        <w:t>, held on October 27 and </w:t>
      </w:r>
      <w:r w:rsidR="00822FAE" w:rsidRPr="00F223C9">
        <w:t>2</w:t>
      </w:r>
      <w:r w:rsidR="00822FAE">
        <w:t xml:space="preserve">8, 2022, </w:t>
      </w:r>
      <w:r w:rsidR="00822FAE" w:rsidRPr="00C51717">
        <w:t xml:space="preserve">agreed that the Strategic Business Plan 2023-2027, as </w:t>
      </w:r>
      <w:r w:rsidR="006730FF">
        <w:t>presented in the Annex to this document</w:t>
      </w:r>
      <w:r w:rsidR="00822FAE" w:rsidRPr="00C51717">
        <w:t xml:space="preserve">, be proposed for adoption by the Council at its fifty-sixth </w:t>
      </w:r>
      <w:r w:rsidR="00822FAE">
        <w:t xml:space="preserve">ordinary </w:t>
      </w:r>
      <w:r w:rsidR="00DB5B81">
        <w:t>session on October </w:t>
      </w:r>
      <w:r w:rsidR="00822FAE" w:rsidRPr="00C51717">
        <w:t>28,</w:t>
      </w:r>
      <w:r w:rsidR="00DB5B81">
        <w:t xml:space="preserve"> 2022</w:t>
      </w:r>
      <w:r w:rsidR="00754A78">
        <w:t xml:space="preserve"> </w:t>
      </w:r>
      <w:r w:rsidR="006730FF">
        <w:t xml:space="preserve">(see </w:t>
      </w:r>
      <w:r w:rsidR="00DB5B81">
        <w:t>document </w:t>
      </w:r>
      <w:r w:rsidR="00DB5B81" w:rsidRPr="00C51717">
        <w:t xml:space="preserve">C/56/13 </w:t>
      </w:r>
      <w:r w:rsidR="00DB5B81">
        <w:t>“</w:t>
      </w:r>
      <w:r w:rsidR="00DB5B81" w:rsidRPr="00C51717">
        <w:t>Report by the President on the work of the ninety-ninth session of the Consultative Committee; adoption of recommendations, if any, prepared by that Committee</w:t>
      </w:r>
      <w:r w:rsidR="00DB5B81">
        <w:t>”</w:t>
      </w:r>
      <w:r w:rsidR="006730FF">
        <w:t>)</w:t>
      </w:r>
      <w:r w:rsidR="00DB5B81">
        <w:t>.</w:t>
      </w:r>
    </w:p>
    <w:p w:rsidR="00822FAE" w:rsidRDefault="00822FAE" w:rsidP="00822FAE"/>
    <w:p w:rsidR="00754A78" w:rsidRDefault="006F5BEC" w:rsidP="00754A78">
      <w:pPr>
        <w:pStyle w:val="DecisionParagraphs"/>
      </w:pPr>
      <w:r>
        <w:t>2.</w:t>
      </w:r>
      <w:r w:rsidR="00754A78">
        <w:tab/>
        <w:t xml:space="preserve">The Council is invited to adopt the </w:t>
      </w:r>
      <w:r w:rsidR="00754A78" w:rsidRPr="00C51717">
        <w:t xml:space="preserve">Strategic Business Plan 2023-2027, as </w:t>
      </w:r>
      <w:r w:rsidR="00754A78">
        <w:t>presented in the Annex to this document.</w:t>
      </w:r>
    </w:p>
    <w:p w:rsidR="00544581" w:rsidRDefault="00544581">
      <w:pPr>
        <w:jc w:val="left"/>
      </w:pPr>
    </w:p>
    <w:p w:rsidR="00050E16" w:rsidRDefault="00050E16" w:rsidP="00050E16"/>
    <w:p w:rsidR="00DB5B81" w:rsidRPr="00C651CE" w:rsidRDefault="00DB5B81" w:rsidP="00050E16"/>
    <w:p w:rsidR="009B440E" w:rsidRDefault="00050E16" w:rsidP="00050E16">
      <w:pPr>
        <w:jc w:val="right"/>
      </w:pPr>
      <w:r w:rsidRPr="00C5280D">
        <w:t>[</w:t>
      </w:r>
      <w:r w:rsidR="00731C96">
        <w:t>Annex foll</w:t>
      </w:r>
      <w:r w:rsidR="001A4601">
        <w:t>ows</w:t>
      </w:r>
      <w:r w:rsidRPr="00C5280D">
        <w:t>]</w:t>
      </w:r>
    </w:p>
    <w:p w:rsidR="00731C96" w:rsidRDefault="00731C96" w:rsidP="00050E16">
      <w:pPr>
        <w:jc w:val="right"/>
        <w:sectPr w:rsidR="00731C96" w:rsidSect="0004198B">
          <w:headerReference w:type="default" r:id="rId9"/>
          <w:headerReference w:type="first" r:id="rId10"/>
          <w:pgSz w:w="11907" w:h="16840" w:code="9"/>
          <w:pgMar w:top="510" w:right="1134" w:bottom="1134" w:left="1134" w:header="510" w:footer="680" w:gutter="0"/>
          <w:pgNumType w:start="1"/>
          <w:cols w:space="720"/>
          <w:titlePg/>
        </w:sectPr>
      </w:pPr>
    </w:p>
    <w:p w:rsidR="00731C96" w:rsidRDefault="00731C96" w:rsidP="00731C96">
      <w:pPr>
        <w:jc w:val="center"/>
      </w:pPr>
    </w:p>
    <w:p w:rsidR="00DB5B81" w:rsidRDefault="00DB5B81" w:rsidP="00731C96">
      <w:pPr>
        <w:jc w:val="center"/>
      </w:pPr>
    </w:p>
    <w:p w:rsidR="00DB5B81" w:rsidRDefault="00731C96" w:rsidP="00731C96">
      <w:pPr>
        <w:jc w:val="center"/>
        <w:rPr>
          <w:b/>
        </w:rPr>
      </w:pPr>
      <w:r w:rsidRPr="002A0D3A">
        <w:rPr>
          <w:b/>
        </w:rPr>
        <w:t>STRATEGIC BUSINESS PLAN 2023-2027</w:t>
      </w:r>
    </w:p>
    <w:p w:rsidR="00731C96" w:rsidRDefault="00731C96" w:rsidP="00731C96"/>
    <w:p w:rsidR="00DB5B81" w:rsidRDefault="00DB5B81" w:rsidP="00731C96"/>
    <w:p w:rsidR="00A57E90" w:rsidRDefault="00A92D13">
      <w:pPr>
        <w:pStyle w:val="TOC1"/>
        <w:rPr>
          <w:rFonts w:asciiTheme="minorHAnsi" w:eastAsiaTheme="minorEastAsia" w:hAnsiTheme="minorHAnsi" w:cstheme="minorBidi"/>
          <w:b w:val="0"/>
          <w:caps w:val="0"/>
          <w:sz w:val="22"/>
          <w:szCs w:val="22"/>
        </w:rPr>
      </w:pPr>
      <w:r>
        <w:rPr>
          <w:b w:val="0"/>
          <w:caps w:val="0"/>
        </w:rPr>
        <w:fldChar w:fldCharType="begin"/>
      </w:r>
      <w:r>
        <w:rPr>
          <w:b w:val="0"/>
          <w:caps w:val="0"/>
        </w:rPr>
        <w:instrText xml:space="preserve"> TOC \o "1-6" \u </w:instrText>
      </w:r>
      <w:r>
        <w:rPr>
          <w:b w:val="0"/>
          <w:caps w:val="0"/>
        </w:rPr>
        <w:fldChar w:fldCharType="separate"/>
      </w:r>
      <w:r w:rsidR="00A57E90">
        <w:t>I.</w:t>
      </w:r>
      <w:r w:rsidR="00A57E90">
        <w:rPr>
          <w:rFonts w:asciiTheme="minorHAnsi" w:eastAsiaTheme="minorEastAsia" w:hAnsiTheme="minorHAnsi" w:cstheme="minorBidi"/>
          <w:b w:val="0"/>
          <w:caps w:val="0"/>
          <w:sz w:val="22"/>
          <w:szCs w:val="22"/>
        </w:rPr>
        <w:tab/>
      </w:r>
      <w:r w:rsidR="00A57E90">
        <w:t>INTRODUCTION</w:t>
      </w:r>
      <w:r w:rsidR="00A57E90">
        <w:tab/>
      </w:r>
      <w:r w:rsidR="00A57E90">
        <w:fldChar w:fldCharType="begin"/>
      </w:r>
      <w:r w:rsidR="00A57E90">
        <w:instrText xml:space="preserve"> PAGEREF _Toc117798877 \h </w:instrText>
      </w:r>
      <w:r w:rsidR="00A57E90">
        <w:fldChar w:fldCharType="separate"/>
      </w:r>
      <w:r w:rsidR="00A57E90">
        <w:t>2</w:t>
      </w:r>
      <w:r w:rsidR="00A57E90">
        <w:fldChar w:fldCharType="end"/>
      </w:r>
    </w:p>
    <w:p w:rsidR="00A57E90" w:rsidRDefault="00A57E90">
      <w:pPr>
        <w:pStyle w:val="TOC1"/>
        <w:rPr>
          <w:rFonts w:asciiTheme="minorHAnsi" w:eastAsiaTheme="minorEastAsia" w:hAnsiTheme="minorHAnsi" w:cstheme="minorBidi"/>
          <w:b w:val="0"/>
          <w:caps w:val="0"/>
          <w:sz w:val="22"/>
          <w:szCs w:val="22"/>
        </w:rPr>
      </w:pPr>
      <w:r>
        <w:t>II.</w:t>
      </w:r>
      <w:r>
        <w:rPr>
          <w:rFonts w:asciiTheme="minorHAnsi" w:eastAsiaTheme="minorEastAsia" w:hAnsiTheme="minorHAnsi" w:cstheme="minorBidi"/>
          <w:b w:val="0"/>
          <w:caps w:val="0"/>
          <w:sz w:val="22"/>
          <w:szCs w:val="22"/>
        </w:rPr>
        <w:tab/>
      </w:r>
      <w:r>
        <w:t>LANDSCAPE</w:t>
      </w:r>
      <w:r>
        <w:tab/>
      </w:r>
      <w:r>
        <w:fldChar w:fldCharType="begin"/>
      </w:r>
      <w:r>
        <w:instrText xml:space="preserve"> PAGEREF _Toc117798878 \h </w:instrText>
      </w:r>
      <w:r>
        <w:fldChar w:fldCharType="separate"/>
      </w:r>
      <w:r>
        <w:t>2</w:t>
      </w:r>
      <w:r>
        <w:fldChar w:fldCharType="end"/>
      </w:r>
    </w:p>
    <w:p w:rsidR="00A57E90" w:rsidRDefault="00A57E90">
      <w:pPr>
        <w:pStyle w:val="TOC1"/>
        <w:rPr>
          <w:rFonts w:asciiTheme="minorHAnsi" w:eastAsiaTheme="minorEastAsia" w:hAnsiTheme="minorHAnsi" w:cstheme="minorBidi"/>
          <w:b w:val="0"/>
          <w:caps w:val="0"/>
          <w:sz w:val="22"/>
          <w:szCs w:val="22"/>
        </w:rPr>
      </w:pPr>
      <w:r>
        <w:t>III.</w:t>
      </w:r>
      <w:r>
        <w:rPr>
          <w:rFonts w:asciiTheme="minorHAnsi" w:eastAsiaTheme="minorEastAsia" w:hAnsiTheme="minorHAnsi" w:cstheme="minorBidi"/>
          <w:b w:val="0"/>
          <w:caps w:val="0"/>
          <w:sz w:val="22"/>
          <w:szCs w:val="22"/>
        </w:rPr>
        <w:tab/>
      </w:r>
      <w:r>
        <w:t>STRATEGY HOUSE</w:t>
      </w:r>
      <w:r>
        <w:tab/>
      </w:r>
      <w:r>
        <w:fldChar w:fldCharType="begin"/>
      </w:r>
      <w:r>
        <w:instrText xml:space="preserve"> PAGEREF _Toc117798879 \h </w:instrText>
      </w:r>
      <w:r>
        <w:fldChar w:fldCharType="separate"/>
      </w:r>
      <w:r>
        <w:t>3</w:t>
      </w:r>
      <w:r>
        <w:fldChar w:fldCharType="end"/>
      </w:r>
    </w:p>
    <w:p w:rsidR="00A57E90" w:rsidRDefault="00A57E90">
      <w:pPr>
        <w:pStyle w:val="TOC2"/>
        <w:rPr>
          <w:rFonts w:asciiTheme="minorHAnsi" w:eastAsiaTheme="minorEastAsia" w:hAnsiTheme="minorHAnsi" w:cstheme="minorBidi"/>
          <w:smallCaps w:val="0"/>
          <w:sz w:val="22"/>
          <w:szCs w:val="22"/>
        </w:rPr>
      </w:pPr>
      <w:r>
        <w:t>THE MISSION</w:t>
      </w:r>
      <w:r>
        <w:tab/>
      </w:r>
      <w:r>
        <w:fldChar w:fldCharType="begin"/>
      </w:r>
      <w:r>
        <w:instrText xml:space="preserve"> PAGEREF _Toc117798880 \h </w:instrText>
      </w:r>
      <w:r>
        <w:fldChar w:fldCharType="separate"/>
      </w:r>
      <w:r>
        <w:t>3</w:t>
      </w:r>
      <w:r>
        <w:fldChar w:fldCharType="end"/>
      </w:r>
    </w:p>
    <w:p w:rsidR="00A57E90" w:rsidRDefault="00A57E90">
      <w:pPr>
        <w:pStyle w:val="TOC2"/>
        <w:rPr>
          <w:rFonts w:asciiTheme="minorHAnsi" w:eastAsiaTheme="minorEastAsia" w:hAnsiTheme="minorHAnsi" w:cstheme="minorBidi"/>
          <w:smallCaps w:val="0"/>
          <w:sz w:val="22"/>
          <w:szCs w:val="22"/>
        </w:rPr>
      </w:pPr>
      <w:r>
        <w:t>THE THREE STRATEGIC PILLARS AND FOUNDATION</w:t>
      </w:r>
      <w:r>
        <w:tab/>
      </w:r>
      <w:r>
        <w:fldChar w:fldCharType="begin"/>
      </w:r>
      <w:r>
        <w:instrText xml:space="preserve"> PAGEREF _Toc117798881 \h </w:instrText>
      </w:r>
      <w:r>
        <w:fldChar w:fldCharType="separate"/>
      </w:r>
      <w:r>
        <w:t>4</w:t>
      </w:r>
      <w:r>
        <w:fldChar w:fldCharType="end"/>
      </w:r>
    </w:p>
    <w:p w:rsidR="00A57E90" w:rsidRDefault="00A57E90">
      <w:pPr>
        <w:pStyle w:val="TOC3"/>
        <w:rPr>
          <w:rFonts w:asciiTheme="minorHAnsi" w:eastAsiaTheme="minorEastAsia" w:hAnsiTheme="minorHAnsi" w:cstheme="minorBidi"/>
          <w:i w:val="0"/>
          <w:sz w:val="22"/>
          <w:szCs w:val="22"/>
          <w:lang w:val="en-US"/>
        </w:rPr>
      </w:pPr>
      <w:r>
        <w:t>Pillar 1: Bring together stakeholders to help shape the UPOV system</w:t>
      </w:r>
      <w:r>
        <w:tab/>
      </w:r>
      <w:r>
        <w:fldChar w:fldCharType="begin"/>
      </w:r>
      <w:r>
        <w:instrText xml:space="preserve"> PAGEREF _Toc117798882 \h </w:instrText>
      </w:r>
      <w:r>
        <w:fldChar w:fldCharType="separate"/>
      </w:r>
      <w:r>
        <w:t>4</w:t>
      </w:r>
      <w:r>
        <w:fldChar w:fldCharType="end"/>
      </w:r>
    </w:p>
    <w:p w:rsidR="00A57E90" w:rsidRDefault="00A57E90">
      <w:pPr>
        <w:pStyle w:val="TOC4"/>
        <w:rPr>
          <w:rFonts w:asciiTheme="minorHAnsi" w:eastAsiaTheme="minorEastAsia" w:hAnsiTheme="minorHAnsi" w:cstheme="minorBidi"/>
          <w:sz w:val="22"/>
          <w:szCs w:val="22"/>
        </w:rPr>
      </w:pPr>
      <w:r w:rsidRPr="00E74689">
        <w:t>Background</w:t>
      </w:r>
      <w:r>
        <w:tab/>
      </w:r>
      <w:r>
        <w:fldChar w:fldCharType="begin"/>
      </w:r>
      <w:r>
        <w:instrText xml:space="preserve"> PAGEREF _Toc117798883 \h </w:instrText>
      </w:r>
      <w:r>
        <w:fldChar w:fldCharType="separate"/>
      </w:r>
      <w:r>
        <w:t>4</w:t>
      </w:r>
      <w:r>
        <w:fldChar w:fldCharType="end"/>
      </w:r>
    </w:p>
    <w:p w:rsidR="00A57E90" w:rsidRDefault="00A57E90">
      <w:pPr>
        <w:pStyle w:val="TOC4"/>
        <w:rPr>
          <w:rFonts w:asciiTheme="minorHAnsi" w:eastAsiaTheme="minorEastAsia" w:hAnsiTheme="minorHAnsi" w:cstheme="minorBidi"/>
          <w:sz w:val="22"/>
          <w:szCs w:val="22"/>
        </w:rPr>
      </w:pPr>
      <w:r w:rsidRPr="00E74689">
        <w:t>Future Direction</w:t>
      </w:r>
      <w:r>
        <w:tab/>
      </w:r>
      <w:r>
        <w:fldChar w:fldCharType="begin"/>
      </w:r>
      <w:r>
        <w:instrText xml:space="preserve"> PAGEREF _Toc117798884 \h </w:instrText>
      </w:r>
      <w:r>
        <w:fldChar w:fldCharType="separate"/>
      </w:r>
      <w:r>
        <w:t>4</w:t>
      </w:r>
      <w:r>
        <w:fldChar w:fldCharType="end"/>
      </w:r>
    </w:p>
    <w:p w:rsidR="00A57E90" w:rsidRDefault="00A57E90">
      <w:pPr>
        <w:pStyle w:val="TOC5"/>
        <w:tabs>
          <w:tab w:val="left" w:pos="1701"/>
        </w:tabs>
        <w:rPr>
          <w:rFonts w:asciiTheme="minorHAnsi" w:eastAsiaTheme="minorEastAsia" w:hAnsiTheme="minorHAnsi" w:cstheme="minorBidi"/>
          <w:sz w:val="22"/>
          <w:szCs w:val="22"/>
          <w:lang w:val="en-US"/>
        </w:rPr>
      </w:pPr>
      <w:r>
        <w:t>1.1</w:t>
      </w:r>
      <w:r>
        <w:rPr>
          <w:rFonts w:asciiTheme="minorHAnsi" w:eastAsiaTheme="minorEastAsia" w:hAnsiTheme="minorHAnsi" w:cstheme="minorBidi"/>
          <w:sz w:val="22"/>
          <w:szCs w:val="22"/>
          <w:lang w:val="en-US"/>
        </w:rPr>
        <w:tab/>
      </w:r>
      <w:r>
        <w:t>Governance by the UPOV Council and work of UPOV Committees and other bodies</w:t>
      </w:r>
      <w:r>
        <w:tab/>
      </w:r>
      <w:r>
        <w:fldChar w:fldCharType="begin"/>
      </w:r>
      <w:r>
        <w:instrText xml:space="preserve"> PAGEREF _Toc117798885 \h </w:instrText>
      </w:r>
      <w:r>
        <w:fldChar w:fldCharType="separate"/>
      </w:r>
      <w:r>
        <w:t>4</w:t>
      </w:r>
      <w:r>
        <w:fldChar w:fldCharType="end"/>
      </w:r>
    </w:p>
    <w:p w:rsidR="00A57E90" w:rsidRDefault="00A57E90">
      <w:pPr>
        <w:pStyle w:val="TOC5"/>
        <w:tabs>
          <w:tab w:val="left" w:pos="1701"/>
        </w:tabs>
        <w:rPr>
          <w:rFonts w:asciiTheme="minorHAnsi" w:eastAsiaTheme="minorEastAsia" w:hAnsiTheme="minorHAnsi" w:cstheme="minorBidi"/>
          <w:sz w:val="22"/>
          <w:szCs w:val="22"/>
          <w:lang w:val="en-US"/>
        </w:rPr>
      </w:pPr>
      <w:r>
        <w:t>1.2</w:t>
      </w:r>
      <w:r>
        <w:rPr>
          <w:rFonts w:asciiTheme="minorHAnsi" w:eastAsiaTheme="minorEastAsia" w:hAnsiTheme="minorHAnsi" w:cstheme="minorBidi"/>
          <w:sz w:val="22"/>
          <w:szCs w:val="22"/>
          <w:lang w:val="en-US"/>
        </w:rPr>
        <w:tab/>
      </w:r>
      <w:r>
        <w:t>Development of legislation on plant variety protection in accordance with the 1991 Act of the UPOV Convention</w:t>
      </w:r>
      <w:r>
        <w:tab/>
      </w:r>
      <w:r>
        <w:fldChar w:fldCharType="begin"/>
      </w:r>
      <w:r>
        <w:instrText xml:space="preserve"> PAGEREF _Toc117798886 \h </w:instrText>
      </w:r>
      <w:r>
        <w:fldChar w:fldCharType="separate"/>
      </w:r>
      <w:r>
        <w:t>5</w:t>
      </w:r>
      <w:r>
        <w:fldChar w:fldCharType="end"/>
      </w:r>
    </w:p>
    <w:p w:rsidR="00A57E90" w:rsidRDefault="00A57E90">
      <w:pPr>
        <w:pStyle w:val="TOC3"/>
        <w:rPr>
          <w:rFonts w:asciiTheme="minorHAnsi" w:eastAsiaTheme="minorEastAsia" w:hAnsiTheme="minorHAnsi" w:cstheme="minorBidi"/>
          <w:i w:val="0"/>
          <w:sz w:val="22"/>
          <w:szCs w:val="22"/>
          <w:lang w:val="en-US"/>
        </w:rPr>
      </w:pPr>
      <w:r>
        <w:t>Pillar 2: Provide guidance and assistance and facilitate cooperation for implementing the UPOV system</w:t>
      </w:r>
      <w:r>
        <w:tab/>
      </w:r>
      <w:r>
        <w:fldChar w:fldCharType="begin"/>
      </w:r>
      <w:r>
        <w:instrText xml:space="preserve"> PAGEREF _Toc117798887 \h </w:instrText>
      </w:r>
      <w:r>
        <w:fldChar w:fldCharType="separate"/>
      </w:r>
      <w:r>
        <w:t>5</w:t>
      </w:r>
      <w:r>
        <w:fldChar w:fldCharType="end"/>
      </w:r>
    </w:p>
    <w:p w:rsidR="00A57E90" w:rsidRDefault="00A57E90">
      <w:pPr>
        <w:pStyle w:val="TOC4"/>
        <w:rPr>
          <w:rFonts w:asciiTheme="minorHAnsi" w:eastAsiaTheme="minorEastAsia" w:hAnsiTheme="minorHAnsi" w:cstheme="minorBidi"/>
          <w:sz w:val="22"/>
          <w:szCs w:val="22"/>
        </w:rPr>
      </w:pPr>
      <w:r w:rsidRPr="00E74689">
        <w:t>Background</w:t>
      </w:r>
      <w:r>
        <w:tab/>
      </w:r>
      <w:r>
        <w:fldChar w:fldCharType="begin"/>
      </w:r>
      <w:r>
        <w:instrText xml:space="preserve"> PAGEREF _Toc117798888 \h </w:instrText>
      </w:r>
      <w:r>
        <w:fldChar w:fldCharType="separate"/>
      </w:r>
      <w:r>
        <w:t>5</w:t>
      </w:r>
      <w:r>
        <w:fldChar w:fldCharType="end"/>
      </w:r>
    </w:p>
    <w:p w:rsidR="00A57E90" w:rsidRDefault="00A57E90">
      <w:pPr>
        <w:pStyle w:val="TOC4"/>
        <w:rPr>
          <w:rFonts w:asciiTheme="minorHAnsi" w:eastAsiaTheme="minorEastAsia" w:hAnsiTheme="minorHAnsi" w:cstheme="minorBidi"/>
          <w:sz w:val="22"/>
          <w:szCs w:val="22"/>
        </w:rPr>
      </w:pPr>
      <w:r w:rsidRPr="00E74689">
        <w:t>Future Direction</w:t>
      </w:r>
      <w:r>
        <w:tab/>
      </w:r>
      <w:r>
        <w:fldChar w:fldCharType="begin"/>
      </w:r>
      <w:r>
        <w:instrText xml:space="preserve"> PAGEREF _Toc117798889 \h </w:instrText>
      </w:r>
      <w:r>
        <w:fldChar w:fldCharType="separate"/>
      </w:r>
      <w:r>
        <w:t>5</w:t>
      </w:r>
      <w:r>
        <w:fldChar w:fldCharType="end"/>
      </w:r>
    </w:p>
    <w:p w:rsidR="00A57E90" w:rsidRDefault="00A57E90">
      <w:pPr>
        <w:pStyle w:val="TOC5"/>
        <w:tabs>
          <w:tab w:val="left" w:pos="1701"/>
        </w:tabs>
        <w:rPr>
          <w:rFonts w:asciiTheme="minorHAnsi" w:eastAsiaTheme="minorEastAsia" w:hAnsiTheme="minorHAnsi" w:cstheme="minorBidi"/>
          <w:sz w:val="22"/>
          <w:szCs w:val="22"/>
          <w:lang w:val="en-US"/>
        </w:rPr>
      </w:pPr>
      <w:r>
        <w:t>2.1</w:t>
      </w:r>
      <w:r>
        <w:rPr>
          <w:rFonts w:asciiTheme="minorHAnsi" w:eastAsiaTheme="minorEastAsia" w:hAnsiTheme="minorHAnsi" w:cstheme="minorBidi"/>
          <w:sz w:val="22"/>
          <w:szCs w:val="22"/>
          <w:lang w:val="en-US"/>
        </w:rPr>
        <w:tab/>
      </w:r>
      <w:r>
        <w:t>Enhanced awareness of the role of the UPOV system</w:t>
      </w:r>
      <w:r>
        <w:tab/>
      </w:r>
      <w:r>
        <w:fldChar w:fldCharType="begin"/>
      </w:r>
      <w:r>
        <w:instrText xml:space="preserve"> PAGEREF _Toc117798890 \h </w:instrText>
      </w:r>
      <w:r>
        <w:fldChar w:fldCharType="separate"/>
      </w:r>
      <w:r>
        <w:t>5</w:t>
      </w:r>
      <w:r>
        <w:fldChar w:fldCharType="end"/>
      </w:r>
    </w:p>
    <w:p w:rsidR="00A57E90" w:rsidRDefault="00A57E90">
      <w:pPr>
        <w:pStyle w:val="TOC5"/>
        <w:tabs>
          <w:tab w:val="left" w:pos="1701"/>
        </w:tabs>
        <w:rPr>
          <w:rFonts w:asciiTheme="minorHAnsi" w:eastAsiaTheme="minorEastAsia" w:hAnsiTheme="minorHAnsi" w:cstheme="minorBidi"/>
          <w:sz w:val="22"/>
          <w:szCs w:val="22"/>
          <w:lang w:val="en-US"/>
        </w:rPr>
      </w:pPr>
      <w:r>
        <w:t>2.2</w:t>
      </w:r>
      <w:r>
        <w:rPr>
          <w:rFonts w:asciiTheme="minorHAnsi" w:eastAsiaTheme="minorEastAsia" w:hAnsiTheme="minorHAnsi" w:cstheme="minorBidi"/>
          <w:sz w:val="22"/>
          <w:szCs w:val="22"/>
          <w:lang w:val="en-US"/>
        </w:rPr>
        <w:tab/>
      </w:r>
      <w:r>
        <w:t>Guidance and assistance on the UPOV Convention and its implementation</w:t>
      </w:r>
      <w:r>
        <w:tab/>
      </w:r>
      <w:r>
        <w:fldChar w:fldCharType="begin"/>
      </w:r>
      <w:r>
        <w:instrText xml:space="preserve"> PAGEREF _Toc117798891 \h </w:instrText>
      </w:r>
      <w:r>
        <w:fldChar w:fldCharType="separate"/>
      </w:r>
      <w:r>
        <w:t>6</w:t>
      </w:r>
      <w:r>
        <w:fldChar w:fldCharType="end"/>
      </w:r>
    </w:p>
    <w:p w:rsidR="00A57E90" w:rsidRDefault="00A57E90">
      <w:pPr>
        <w:pStyle w:val="TOC6"/>
        <w:rPr>
          <w:rFonts w:asciiTheme="minorHAnsi" w:eastAsiaTheme="minorEastAsia" w:hAnsiTheme="minorHAnsi" w:cstheme="minorBidi"/>
          <w:i w:val="0"/>
          <w:sz w:val="22"/>
          <w:szCs w:val="22"/>
        </w:rPr>
      </w:pPr>
      <w:r>
        <w:t>Guidance and information material</w:t>
      </w:r>
      <w:r>
        <w:tab/>
      </w:r>
      <w:r>
        <w:fldChar w:fldCharType="begin"/>
      </w:r>
      <w:r>
        <w:instrText xml:space="preserve"> PAGEREF _Toc117798892 \h </w:instrText>
      </w:r>
      <w:r>
        <w:fldChar w:fldCharType="separate"/>
      </w:r>
      <w:r>
        <w:t>6</w:t>
      </w:r>
      <w:r>
        <w:fldChar w:fldCharType="end"/>
      </w:r>
    </w:p>
    <w:p w:rsidR="00A57E90" w:rsidRDefault="00A57E90">
      <w:pPr>
        <w:pStyle w:val="TOC6"/>
        <w:rPr>
          <w:rFonts w:asciiTheme="minorHAnsi" w:eastAsiaTheme="minorEastAsia" w:hAnsiTheme="minorHAnsi" w:cstheme="minorBidi"/>
          <w:i w:val="0"/>
          <w:sz w:val="22"/>
          <w:szCs w:val="22"/>
        </w:rPr>
      </w:pPr>
      <w:r>
        <w:t>Training and assistance</w:t>
      </w:r>
      <w:r>
        <w:tab/>
      </w:r>
      <w:r>
        <w:fldChar w:fldCharType="begin"/>
      </w:r>
      <w:r>
        <w:instrText xml:space="preserve"> PAGEREF _Toc117798893 \h </w:instrText>
      </w:r>
      <w:r>
        <w:fldChar w:fldCharType="separate"/>
      </w:r>
      <w:r>
        <w:t>6</w:t>
      </w:r>
      <w:r>
        <w:fldChar w:fldCharType="end"/>
      </w:r>
    </w:p>
    <w:p w:rsidR="00A57E90" w:rsidRDefault="00A57E90">
      <w:pPr>
        <w:pStyle w:val="TOC5"/>
        <w:tabs>
          <w:tab w:val="left" w:pos="1701"/>
        </w:tabs>
        <w:rPr>
          <w:rFonts w:asciiTheme="minorHAnsi" w:eastAsiaTheme="minorEastAsia" w:hAnsiTheme="minorHAnsi" w:cstheme="minorBidi"/>
          <w:sz w:val="22"/>
          <w:szCs w:val="22"/>
          <w:lang w:val="en-US"/>
        </w:rPr>
      </w:pPr>
      <w:r>
        <w:t>2.3</w:t>
      </w:r>
      <w:r>
        <w:rPr>
          <w:rFonts w:asciiTheme="minorHAnsi" w:eastAsiaTheme="minorEastAsia" w:hAnsiTheme="minorHAnsi" w:cstheme="minorBidi"/>
          <w:sz w:val="22"/>
          <w:szCs w:val="22"/>
          <w:lang w:val="en-US"/>
        </w:rPr>
        <w:tab/>
      </w:r>
      <w:r>
        <w:t>Enhanced harmonization and cooperation in examination</w:t>
      </w:r>
      <w:r>
        <w:tab/>
      </w:r>
      <w:r>
        <w:fldChar w:fldCharType="begin"/>
      </w:r>
      <w:r>
        <w:instrText xml:space="preserve"> PAGEREF _Toc117798894 \h </w:instrText>
      </w:r>
      <w:r>
        <w:fldChar w:fldCharType="separate"/>
      </w:r>
      <w:r>
        <w:t>6</w:t>
      </w:r>
      <w:r>
        <w:fldChar w:fldCharType="end"/>
      </w:r>
    </w:p>
    <w:p w:rsidR="00A57E90" w:rsidRDefault="00A57E90">
      <w:pPr>
        <w:pStyle w:val="TOC6"/>
        <w:rPr>
          <w:rFonts w:asciiTheme="minorHAnsi" w:eastAsiaTheme="minorEastAsia" w:hAnsiTheme="minorHAnsi" w:cstheme="minorBidi"/>
          <w:i w:val="0"/>
          <w:sz w:val="22"/>
          <w:szCs w:val="22"/>
        </w:rPr>
      </w:pPr>
      <w:r>
        <w:t>Examination of Distinctness, Uniformity and Stability (“DUS”)</w:t>
      </w:r>
      <w:r>
        <w:tab/>
      </w:r>
      <w:r>
        <w:fldChar w:fldCharType="begin"/>
      </w:r>
      <w:r>
        <w:instrText xml:space="preserve"> PAGEREF _Toc117798895 \h </w:instrText>
      </w:r>
      <w:r>
        <w:fldChar w:fldCharType="separate"/>
      </w:r>
      <w:r>
        <w:t>7</w:t>
      </w:r>
      <w:r>
        <w:fldChar w:fldCharType="end"/>
      </w:r>
    </w:p>
    <w:p w:rsidR="00A57E90" w:rsidRDefault="00A57E90">
      <w:pPr>
        <w:pStyle w:val="TOC6"/>
        <w:rPr>
          <w:rFonts w:asciiTheme="minorHAnsi" w:eastAsiaTheme="minorEastAsia" w:hAnsiTheme="minorHAnsi" w:cstheme="minorBidi"/>
          <w:i w:val="0"/>
          <w:sz w:val="22"/>
          <w:szCs w:val="22"/>
        </w:rPr>
      </w:pPr>
      <w:r>
        <w:t>Examination of variety denominations</w:t>
      </w:r>
      <w:r>
        <w:tab/>
      </w:r>
      <w:r>
        <w:fldChar w:fldCharType="begin"/>
      </w:r>
      <w:r>
        <w:instrText xml:space="preserve"> PAGEREF _Toc117798896 \h </w:instrText>
      </w:r>
      <w:r>
        <w:fldChar w:fldCharType="separate"/>
      </w:r>
      <w:r>
        <w:t>7</w:t>
      </w:r>
      <w:r>
        <w:fldChar w:fldCharType="end"/>
      </w:r>
    </w:p>
    <w:p w:rsidR="00A57E90" w:rsidRDefault="00A57E90">
      <w:pPr>
        <w:pStyle w:val="TOC3"/>
        <w:rPr>
          <w:rFonts w:asciiTheme="minorHAnsi" w:eastAsiaTheme="minorEastAsia" w:hAnsiTheme="minorHAnsi" w:cstheme="minorBidi"/>
          <w:i w:val="0"/>
          <w:sz w:val="22"/>
          <w:szCs w:val="22"/>
          <w:lang w:val="en-US"/>
        </w:rPr>
      </w:pPr>
      <w:r>
        <w:t>Pillar 3: Provide high quality services for UPOV members and users of the UPOV system</w:t>
      </w:r>
      <w:r>
        <w:tab/>
      </w:r>
      <w:r>
        <w:fldChar w:fldCharType="begin"/>
      </w:r>
      <w:r>
        <w:instrText xml:space="preserve"> PAGEREF _Toc117798897 \h </w:instrText>
      </w:r>
      <w:r>
        <w:fldChar w:fldCharType="separate"/>
      </w:r>
      <w:r>
        <w:t>7</w:t>
      </w:r>
      <w:r>
        <w:fldChar w:fldCharType="end"/>
      </w:r>
    </w:p>
    <w:p w:rsidR="00A57E90" w:rsidRDefault="00A57E90">
      <w:pPr>
        <w:pStyle w:val="TOC4"/>
        <w:rPr>
          <w:rFonts w:asciiTheme="minorHAnsi" w:eastAsiaTheme="minorEastAsia" w:hAnsiTheme="minorHAnsi" w:cstheme="minorBidi"/>
          <w:sz w:val="22"/>
          <w:szCs w:val="22"/>
        </w:rPr>
      </w:pPr>
      <w:r w:rsidRPr="00E74689">
        <w:t>Background</w:t>
      </w:r>
      <w:r>
        <w:tab/>
      </w:r>
      <w:r>
        <w:fldChar w:fldCharType="begin"/>
      </w:r>
      <w:r>
        <w:instrText xml:space="preserve"> PAGEREF _Toc117798898 \h </w:instrText>
      </w:r>
      <w:r>
        <w:fldChar w:fldCharType="separate"/>
      </w:r>
      <w:r>
        <w:t>7</w:t>
      </w:r>
      <w:r>
        <w:fldChar w:fldCharType="end"/>
      </w:r>
    </w:p>
    <w:p w:rsidR="00A57E90" w:rsidRDefault="00A57E90">
      <w:pPr>
        <w:pStyle w:val="TOC4"/>
        <w:rPr>
          <w:rFonts w:asciiTheme="minorHAnsi" w:eastAsiaTheme="minorEastAsia" w:hAnsiTheme="minorHAnsi" w:cstheme="minorBidi"/>
          <w:sz w:val="22"/>
          <w:szCs w:val="22"/>
        </w:rPr>
      </w:pPr>
      <w:r w:rsidRPr="00E74689">
        <w:t>Future Direction</w:t>
      </w:r>
      <w:r>
        <w:tab/>
      </w:r>
      <w:r>
        <w:fldChar w:fldCharType="begin"/>
      </w:r>
      <w:r>
        <w:instrText xml:space="preserve"> PAGEREF _Toc117798899 \h </w:instrText>
      </w:r>
      <w:r>
        <w:fldChar w:fldCharType="separate"/>
      </w:r>
      <w:r>
        <w:t>7</w:t>
      </w:r>
      <w:r>
        <w:fldChar w:fldCharType="end"/>
      </w:r>
    </w:p>
    <w:p w:rsidR="00A57E90" w:rsidRDefault="00A57E90">
      <w:pPr>
        <w:pStyle w:val="TOC5"/>
        <w:tabs>
          <w:tab w:val="left" w:pos="1701"/>
        </w:tabs>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Development of e</w:t>
      </w:r>
      <w:r>
        <w:noBreakHyphen/>
        <w:t>PVP services</w:t>
      </w:r>
      <w:r>
        <w:tab/>
      </w:r>
      <w:r>
        <w:fldChar w:fldCharType="begin"/>
      </w:r>
      <w:r>
        <w:instrText xml:space="preserve"> PAGEREF _Toc117798900 \h </w:instrText>
      </w:r>
      <w:r>
        <w:fldChar w:fldCharType="separate"/>
      </w:r>
      <w:r>
        <w:t>7</w:t>
      </w:r>
      <w:r>
        <w:fldChar w:fldCharType="end"/>
      </w:r>
    </w:p>
    <w:p w:rsidR="00A57E90" w:rsidRDefault="00A57E90">
      <w:pPr>
        <w:pStyle w:val="TOC3"/>
        <w:rPr>
          <w:rFonts w:asciiTheme="minorHAnsi" w:eastAsiaTheme="minorEastAsia" w:hAnsiTheme="minorHAnsi" w:cstheme="minorBidi"/>
          <w:i w:val="0"/>
          <w:sz w:val="22"/>
          <w:szCs w:val="22"/>
          <w:lang w:val="en-US"/>
        </w:rPr>
      </w:pPr>
      <w:r>
        <w:t>Foundation: Empower our people to work effectively, collaboratively and innovatively by providing them with the right resources, training and environment</w:t>
      </w:r>
      <w:r>
        <w:tab/>
      </w:r>
      <w:r>
        <w:fldChar w:fldCharType="begin"/>
      </w:r>
      <w:r>
        <w:instrText xml:space="preserve"> PAGEREF _Toc117798901 \h </w:instrText>
      </w:r>
      <w:r>
        <w:fldChar w:fldCharType="separate"/>
      </w:r>
      <w:r>
        <w:t>8</w:t>
      </w:r>
      <w:r>
        <w:fldChar w:fldCharType="end"/>
      </w:r>
    </w:p>
    <w:p w:rsidR="00A57E90" w:rsidRDefault="00A57E90">
      <w:pPr>
        <w:pStyle w:val="TOC4"/>
        <w:rPr>
          <w:rFonts w:asciiTheme="minorHAnsi" w:eastAsiaTheme="minorEastAsia" w:hAnsiTheme="minorHAnsi" w:cstheme="minorBidi"/>
          <w:sz w:val="22"/>
          <w:szCs w:val="22"/>
        </w:rPr>
      </w:pPr>
      <w:r w:rsidRPr="00E74689">
        <w:t>Background</w:t>
      </w:r>
      <w:r>
        <w:tab/>
      </w:r>
      <w:r>
        <w:fldChar w:fldCharType="begin"/>
      </w:r>
      <w:r>
        <w:instrText xml:space="preserve"> PAGEREF _Toc117798902 \h </w:instrText>
      </w:r>
      <w:r>
        <w:fldChar w:fldCharType="separate"/>
      </w:r>
      <w:r>
        <w:t>8</w:t>
      </w:r>
      <w:r>
        <w:fldChar w:fldCharType="end"/>
      </w:r>
    </w:p>
    <w:p w:rsidR="00A57E90" w:rsidRDefault="00A57E90">
      <w:pPr>
        <w:pStyle w:val="TOC4"/>
        <w:rPr>
          <w:rFonts w:asciiTheme="minorHAnsi" w:eastAsiaTheme="minorEastAsia" w:hAnsiTheme="minorHAnsi" w:cstheme="minorBidi"/>
          <w:sz w:val="22"/>
          <w:szCs w:val="22"/>
        </w:rPr>
      </w:pPr>
      <w:r w:rsidRPr="00E74689">
        <w:t>Future direction</w:t>
      </w:r>
      <w:r>
        <w:tab/>
      </w:r>
      <w:r>
        <w:fldChar w:fldCharType="begin"/>
      </w:r>
      <w:r>
        <w:instrText xml:space="preserve"> PAGEREF _Toc117798903 \h </w:instrText>
      </w:r>
      <w:r>
        <w:fldChar w:fldCharType="separate"/>
      </w:r>
      <w:r>
        <w:t>9</w:t>
      </w:r>
      <w:r>
        <w:fldChar w:fldCharType="end"/>
      </w:r>
    </w:p>
    <w:p w:rsidR="00A57E90" w:rsidRDefault="00A57E90">
      <w:pPr>
        <w:pStyle w:val="TOC5"/>
        <w:tabs>
          <w:tab w:val="left" w:pos="1701"/>
        </w:tabs>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Diversification of revenue</w:t>
      </w:r>
      <w:r>
        <w:tab/>
      </w:r>
      <w:r>
        <w:fldChar w:fldCharType="begin"/>
      </w:r>
      <w:r>
        <w:instrText xml:space="preserve"> PAGEREF _Toc117798904 \h </w:instrText>
      </w:r>
      <w:r>
        <w:fldChar w:fldCharType="separate"/>
      </w:r>
      <w:r>
        <w:t>9</w:t>
      </w:r>
      <w:r>
        <w:fldChar w:fldCharType="end"/>
      </w:r>
    </w:p>
    <w:p w:rsidR="00A57E90" w:rsidRDefault="00A57E90">
      <w:pPr>
        <w:pStyle w:val="TOC6"/>
        <w:rPr>
          <w:rFonts w:asciiTheme="minorHAnsi" w:eastAsiaTheme="minorEastAsia" w:hAnsiTheme="minorHAnsi" w:cstheme="minorBidi"/>
          <w:i w:val="0"/>
          <w:sz w:val="22"/>
          <w:szCs w:val="22"/>
        </w:rPr>
      </w:pPr>
      <w:r>
        <w:t>Fee paying services</w:t>
      </w:r>
      <w:r>
        <w:tab/>
      </w:r>
      <w:r>
        <w:fldChar w:fldCharType="begin"/>
      </w:r>
      <w:r>
        <w:instrText xml:space="preserve"> PAGEREF _Toc117798905 \h </w:instrText>
      </w:r>
      <w:r>
        <w:fldChar w:fldCharType="separate"/>
      </w:r>
      <w:r>
        <w:t>10</w:t>
      </w:r>
      <w:r>
        <w:fldChar w:fldCharType="end"/>
      </w:r>
    </w:p>
    <w:p w:rsidR="00A57E90" w:rsidRDefault="00A57E90">
      <w:pPr>
        <w:pStyle w:val="TOC6"/>
        <w:rPr>
          <w:rFonts w:asciiTheme="minorHAnsi" w:eastAsiaTheme="minorEastAsia" w:hAnsiTheme="minorHAnsi" w:cstheme="minorBidi"/>
          <w:i w:val="0"/>
          <w:sz w:val="22"/>
          <w:szCs w:val="22"/>
        </w:rPr>
      </w:pPr>
      <w:r>
        <w:t>Extra-budgetary funds</w:t>
      </w:r>
      <w:r>
        <w:tab/>
      </w:r>
      <w:r>
        <w:fldChar w:fldCharType="begin"/>
      </w:r>
      <w:r>
        <w:instrText xml:space="preserve"> PAGEREF _Toc117798906 \h </w:instrText>
      </w:r>
      <w:r>
        <w:fldChar w:fldCharType="separate"/>
      </w:r>
      <w:r>
        <w:t>10</w:t>
      </w:r>
      <w:r>
        <w:fldChar w:fldCharType="end"/>
      </w:r>
    </w:p>
    <w:p w:rsidR="00A57E90" w:rsidRDefault="00A57E90">
      <w:pPr>
        <w:pStyle w:val="TOC5"/>
        <w:tabs>
          <w:tab w:val="left" w:pos="1701"/>
        </w:tabs>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A Secretariat that is empowered and is provided with the right resources and training to work effectively, collaboratively and innovatively</w:t>
      </w:r>
      <w:r>
        <w:tab/>
      </w:r>
      <w:r>
        <w:fldChar w:fldCharType="begin"/>
      </w:r>
      <w:r>
        <w:instrText xml:space="preserve"> PAGEREF _Toc117798907 \h </w:instrText>
      </w:r>
      <w:r>
        <w:fldChar w:fldCharType="separate"/>
      </w:r>
      <w:r>
        <w:t>11</w:t>
      </w:r>
      <w:r>
        <w:fldChar w:fldCharType="end"/>
      </w:r>
    </w:p>
    <w:p w:rsidR="0099041F" w:rsidRDefault="00A92D13" w:rsidP="00731C96">
      <w:r>
        <w:rPr>
          <w:b/>
          <w:caps/>
          <w:noProof/>
        </w:rPr>
        <w:fldChar w:fldCharType="end"/>
      </w:r>
    </w:p>
    <w:p w:rsidR="0099041F" w:rsidRDefault="0099041F" w:rsidP="00731C96"/>
    <w:p w:rsidR="00731C96" w:rsidRDefault="00731C96" w:rsidP="00731C96">
      <w:pPr>
        <w:jc w:val="left"/>
      </w:pPr>
      <w:r>
        <w:br w:type="page"/>
      </w:r>
    </w:p>
    <w:p w:rsidR="00731C96" w:rsidRDefault="00731C96" w:rsidP="00731C96"/>
    <w:p w:rsidR="00731C96" w:rsidRPr="00D8197B" w:rsidRDefault="00731C96" w:rsidP="00731C96">
      <w:pPr>
        <w:pStyle w:val="Heading1"/>
      </w:pPr>
      <w:bookmarkStart w:id="0" w:name="_Toc107239332"/>
      <w:bookmarkStart w:id="1" w:name="_Toc107239582"/>
      <w:bookmarkStart w:id="2" w:name="_Toc117798877"/>
      <w:r w:rsidRPr="00D8197B">
        <w:t>I.</w:t>
      </w:r>
      <w:r w:rsidRPr="00D8197B">
        <w:tab/>
        <w:t>INTRODUCTION</w:t>
      </w:r>
      <w:bookmarkEnd w:id="0"/>
      <w:bookmarkEnd w:id="1"/>
      <w:bookmarkEnd w:id="2"/>
    </w:p>
    <w:p w:rsidR="00731C96" w:rsidRDefault="00731C96" w:rsidP="00731C96"/>
    <w:p w:rsidR="00731C96" w:rsidRPr="00BC1DC3" w:rsidRDefault="00731C96" w:rsidP="00731C96">
      <w:pPr>
        <w:rPr>
          <w:color w:val="000000" w:themeColor="text1"/>
        </w:rPr>
      </w:pPr>
      <w:r w:rsidRPr="006943E1">
        <w:rPr>
          <w:color w:val="000000" w:themeColor="text1"/>
        </w:rPr>
        <w:fldChar w:fldCharType="begin"/>
      </w:r>
      <w:r w:rsidRPr="006943E1">
        <w:rPr>
          <w:color w:val="000000" w:themeColor="text1"/>
        </w:rPr>
        <w:instrText xml:space="preserve"> AUTONUM  </w:instrText>
      </w:r>
      <w:r w:rsidRPr="006943E1">
        <w:rPr>
          <w:color w:val="000000" w:themeColor="text1"/>
        </w:rPr>
        <w:fldChar w:fldCharType="end"/>
      </w:r>
      <w:r>
        <w:rPr>
          <w:color w:val="000000" w:themeColor="text1"/>
        </w:rPr>
        <w:tab/>
      </w:r>
      <w:r w:rsidRPr="00BC1DC3">
        <w:rPr>
          <w:color w:val="000000" w:themeColor="text1"/>
        </w:rPr>
        <w:t>This document sets out the</w:t>
      </w:r>
      <w:r>
        <w:rPr>
          <w:color w:val="000000" w:themeColor="text1"/>
        </w:rPr>
        <w:t xml:space="preserve"> </w:t>
      </w:r>
      <w:r w:rsidRPr="00BC1DC3">
        <w:rPr>
          <w:color w:val="000000" w:themeColor="text1"/>
        </w:rPr>
        <w:t>Strategic Business Plan</w:t>
      </w:r>
      <w:r>
        <w:rPr>
          <w:color w:val="000000" w:themeColor="text1"/>
        </w:rPr>
        <w:t xml:space="preserve"> (SBP)</w:t>
      </w:r>
      <w:r w:rsidRPr="00BC1DC3">
        <w:rPr>
          <w:color w:val="000000" w:themeColor="text1"/>
        </w:rPr>
        <w:t xml:space="preserve"> for the period </w:t>
      </w:r>
      <w:r>
        <w:rPr>
          <w:color w:val="000000" w:themeColor="text1"/>
        </w:rPr>
        <w:t>2023-2027</w:t>
      </w:r>
      <w:r w:rsidRPr="00BC1DC3">
        <w:rPr>
          <w:color w:val="000000" w:themeColor="text1"/>
        </w:rPr>
        <w:t>.</w:t>
      </w:r>
    </w:p>
    <w:p w:rsidR="00731C96" w:rsidRPr="00BC1DC3" w:rsidRDefault="00731C96" w:rsidP="00731C96">
      <w:pPr>
        <w:rPr>
          <w:color w:val="000000" w:themeColor="text1"/>
        </w:rPr>
      </w:pPr>
    </w:p>
    <w:p w:rsidR="00731C96" w:rsidRDefault="00731C96" w:rsidP="00731C96">
      <w:pPr>
        <w:rPr>
          <w:color w:val="000000" w:themeColor="text1"/>
        </w:rPr>
      </w:pPr>
      <w:r>
        <w:rPr>
          <w:color w:val="000000" w:themeColor="text1"/>
        </w:rPr>
        <w:fldChar w:fldCharType="begin"/>
      </w:r>
      <w:r>
        <w:rPr>
          <w:color w:val="000000" w:themeColor="text1"/>
        </w:rPr>
        <w:instrText xml:space="preserve"> AUTONUM  </w:instrText>
      </w:r>
      <w:r>
        <w:rPr>
          <w:color w:val="000000" w:themeColor="text1"/>
        </w:rPr>
        <w:fldChar w:fldCharType="end"/>
      </w:r>
      <w:r>
        <w:rPr>
          <w:color w:val="000000" w:themeColor="text1"/>
        </w:rPr>
        <w:tab/>
      </w:r>
      <w:r w:rsidRPr="00BC1DC3">
        <w:rPr>
          <w:color w:val="000000" w:themeColor="text1"/>
        </w:rPr>
        <w:t xml:space="preserve">The </w:t>
      </w:r>
      <w:r>
        <w:rPr>
          <w:color w:val="000000" w:themeColor="text1"/>
        </w:rPr>
        <w:t>SBP</w:t>
      </w:r>
      <w:r w:rsidRPr="00BC1DC3">
        <w:rPr>
          <w:color w:val="000000" w:themeColor="text1"/>
        </w:rPr>
        <w:t xml:space="preserve"> outlines </w:t>
      </w:r>
      <w:r>
        <w:rPr>
          <w:color w:val="000000" w:themeColor="text1"/>
        </w:rPr>
        <w:t>UPOV’</w:t>
      </w:r>
      <w:r w:rsidRPr="00BC1DC3">
        <w:rPr>
          <w:color w:val="000000" w:themeColor="text1"/>
        </w:rPr>
        <w:t xml:space="preserve">s strategic direction for the next five years and will serve as a source of inspiration and guidance for the Organization. It will also </w:t>
      </w:r>
      <w:r>
        <w:rPr>
          <w:color w:val="000000" w:themeColor="text1"/>
        </w:rPr>
        <w:t>provide the basis for the preparation of the forthcoming Program and Budgets, which seek</w:t>
      </w:r>
      <w:r w:rsidRPr="00BC1DC3">
        <w:rPr>
          <w:color w:val="000000" w:themeColor="text1"/>
        </w:rPr>
        <w:t xml:space="preserve"> </w:t>
      </w:r>
      <w:r>
        <w:rPr>
          <w:color w:val="000000" w:themeColor="text1"/>
        </w:rPr>
        <w:t>members’</w:t>
      </w:r>
      <w:r w:rsidRPr="00BC1DC3">
        <w:rPr>
          <w:color w:val="000000" w:themeColor="text1"/>
        </w:rPr>
        <w:t xml:space="preserve"> approval for </w:t>
      </w:r>
      <w:r>
        <w:rPr>
          <w:color w:val="000000" w:themeColor="text1"/>
        </w:rPr>
        <w:t xml:space="preserve">work to deliver UPOV’s expected results, </w:t>
      </w:r>
      <w:r w:rsidRPr="00BC1DC3">
        <w:rPr>
          <w:color w:val="000000" w:themeColor="text1"/>
        </w:rPr>
        <w:t xml:space="preserve">key performance indicators </w:t>
      </w:r>
      <w:r>
        <w:rPr>
          <w:color w:val="000000" w:themeColor="text1"/>
        </w:rPr>
        <w:t>and budget for a biennium</w:t>
      </w:r>
      <w:r w:rsidRPr="00BC1DC3">
        <w:rPr>
          <w:color w:val="000000" w:themeColor="text1"/>
        </w:rPr>
        <w:t xml:space="preserve">. </w:t>
      </w:r>
    </w:p>
    <w:p w:rsidR="00731C96" w:rsidRDefault="00731C96" w:rsidP="00731C96">
      <w:pPr>
        <w:rPr>
          <w:color w:val="000000" w:themeColor="text1"/>
        </w:rPr>
      </w:pPr>
    </w:p>
    <w:p w:rsidR="00731C96" w:rsidRDefault="00731C96" w:rsidP="00731C96">
      <w:pPr>
        <w:rPr>
          <w:color w:val="000000" w:themeColor="text1"/>
        </w:rPr>
      </w:pPr>
      <w:r>
        <w:rPr>
          <w:color w:val="000000" w:themeColor="text1"/>
        </w:rPr>
        <w:fldChar w:fldCharType="begin"/>
      </w:r>
      <w:r>
        <w:rPr>
          <w:color w:val="000000" w:themeColor="text1"/>
        </w:rPr>
        <w:instrText xml:space="preserve"> AUTONUM  </w:instrText>
      </w:r>
      <w:r>
        <w:rPr>
          <w:color w:val="000000" w:themeColor="text1"/>
        </w:rPr>
        <w:fldChar w:fldCharType="end"/>
      </w:r>
      <w:r>
        <w:rPr>
          <w:color w:val="000000" w:themeColor="text1"/>
        </w:rPr>
        <w:tab/>
      </w:r>
      <w:r w:rsidRPr="00BC1DC3">
        <w:rPr>
          <w:color w:val="000000" w:themeColor="text1"/>
        </w:rPr>
        <w:t xml:space="preserve">The core elements of the </w:t>
      </w:r>
      <w:r>
        <w:rPr>
          <w:color w:val="000000" w:themeColor="text1"/>
        </w:rPr>
        <w:t>SBP</w:t>
      </w:r>
      <w:r w:rsidRPr="00BC1DC3">
        <w:rPr>
          <w:color w:val="000000" w:themeColor="text1"/>
        </w:rPr>
        <w:t xml:space="preserve"> are represented by a Strategy House, which consists of the Organization</w:t>
      </w:r>
      <w:r>
        <w:rPr>
          <w:color w:val="000000" w:themeColor="text1"/>
        </w:rPr>
        <w:t>’</w:t>
      </w:r>
      <w:r w:rsidRPr="00BC1DC3">
        <w:rPr>
          <w:color w:val="000000" w:themeColor="text1"/>
        </w:rPr>
        <w:t xml:space="preserve">s Mission, Strategic Pillars and Foundation. </w:t>
      </w:r>
    </w:p>
    <w:p w:rsidR="00731C96" w:rsidRDefault="00731C96" w:rsidP="00731C96">
      <w:pPr>
        <w:rPr>
          <w:color w:val="000000" w:themeColor="text1"/>
        </w:rPr>
      </w:pPr>
    </w:p>
    <w:p w:rsidR="00731C96" w:rsidRPr="006943E1" w:rsidRDefault="00731C96" w:rsidP="00731C96">
      <w:r>
        <w:rPr>
          <w:color w:val="000000" w:themeColor="text1"/>
        </w:rPr>
        <w:fldChar w:fldCharType="begin"/>
      </w:r>
      <w:r>
        <w:rPr>
          <w:color w:val="000000" w:themeColor="text1"/>
        </w:rPr>
        <w:instrText xml:space="preserve"> AUTONUM  </w:instrText>
      </w:r>
      <w:r>
        <w:rPr>
          <w:color w:val="000000" w:themeColor="text1"/>
        </w:rPr>
        <w:fldChar w:fldCharType="end"/>
      </w:r>
      <w:r>
        <w:rPr>
          <w:color w:val="000000" w:themeColor="text1"/>
        </w:rPr>
        <w:tab/>
      </w:r>
      <w:r w:rsidRPr="00BC1DC3">
        <w:rPr>
          <w:color w:val="000000" w:themeColor="text1"/>
        </w:rPr>
        <w:t xml:space="preserve">The following overview of the global landscape sets out the broader context in which </w:t>
      </w:r>
      <w:r>
        <w:rPr>
          <w:color w:val="000000" w:themeColor="text1"/>
        </w:rPr>
        <w:t>UPOV</w:t>
      </w:r>
      <w:r w:rsidRPr="00BC1DC3">
        <w:rPr>
          <w:color w:val="000000" w:themeColor="text1"/>
        </w:rPr>
        <w:t xml:space="preserve"> and our </w:t>
      </w:r>
      <w:r w:rsidRPr="006943E1">
        <w:t xml:space="preserve">stakeholders operate. </w:t>
      </w:r>
    </w:p>
    <w:p w:rsidR="00731C96" w:rsidRPr="006943E1" w:rsidRDefault="00731C96" w:rsidP="00731C96"/>
    <w:p w:rsidR="00731C96" w:rsidRPr="006943E1" w:rsidRDefault="00731C96" w:rsidP="00731C96"/>
    <w:p w:rsidR="00731C96" w:rsidRDefault="00731C96" w:rsidP="00731C96">
      <w:pPr>
        <w:pStyle w:val="Heading1"/>
      </w:pPr>
      <w:bookmarkStart w:id="3" w:name="_Toc107239333"/>
      <w:bookmarkStart w:id="4" w:name="_Toc107239583"/>
      <w:bookmarkStart w:id="5" w:name="_Toc117798878"/>
      <w:r>
        <w:t>II.</w:t>
      </w:r>
      <w:r>
        <w:tab/>
        <w:t>LANDSCAPE</w:t>
      </w:r>
      <w:bookmarkEnd w:id="3"/>
      <w:bookmarkEnd w:id="4"/>
      <w:bookmarkEnd w:id="5"/>
    </w:p>
    <w:p w:rsidR="00731C96" w:rsidRDefault="00731C96" w:rsidP="00731C96">
      <w:pPr>
        <w:rPr>
          <w:b/>
          <w:bCs/>
          <w:sz w:val="22"/>
          <w:szCs w:val="22"/>
        </w:rPr>
      </w:pPr>
    </w:p>
    <w:p w:rsidR="00731C96" w:rsidRDefault="00731C96" w:rsidP="00731C96">
      <w:pPr>
        <w:rPr>
          <w:bCs/>
          <w:color w:val="000000" w:themeColor="text1"/>
        </w:rPr>
      </w:pPr>
      <w:r>
        <w:rPr>
          <w:bCs/>
          <w:color w:val="000000" w:themeColor="text1"/>
        </w:rPr>
        <w:fldChar w:fldCharType="begin"/>
      </w:r>
      <w:r>
        <w:rPr>
          <w:bCs/>
          <w:color w:val="000000" w:themeColor="text1"/>
        </w:rPr>
        <w:instrText xml:space="preserve"> AUTONUM  </w:instrText>
      </w:r>
      <w:r>
        <w:rPr>
          <w:bCs/>
          <w:color w:val="000000" w:themeColor="text1"/>
        </w:rPr>
        <w:fldChar w:fldCharType="end"/>
      </w:r>
      <w:r>
        <w:rPr>
          <w:bCs/>
          <w:color w:val="000000" w:themeColor="text1"/>
        </w:rPr>
        <w:tab/>
      </w:r>
      <w:r w:rsidRPr="008E3A75">
        <w:rPr>
          <w:bCs/>
          <w:color w:val="000000" w:themeColor="text1"/>
        </w:rPr>
        <w:t>UPOV</w:t>
      </w:r>
      <w:r>
        <w:rPr>
          <w:bCs/>
          <w:color w:val="000000" w:themeColor="text1"/>
        </w:rPr>
        <w:t>’</w:t>
      </w:r>
      <w:r w:rsidRPr="008E3A75">
        <w:rPr>
          <w:bCs/>
          <w:color w:val="000000" w:themeColor="text1"/>
        </w:rPr>
        <w:t xml:space="preserve">s mission is to provide and promote an effective system of plant variety protection, with the aim of encouraging the development of new varieties of plants, for the benefit of society.  </w:t>
      </w:r>
    </w:p>
    <w:p w:rsidR="00731C96" w:rsidRDefault="00731C96" w:rsidP="00731C96">
      <w:pPr>
        <w:rPr>
          <w:bCs/>
          <w:color w:val="000000" w:themeColor="text1"/>
        </w:rPr>
      </w:pPr>
    </w:p>
    <w:p w:rsidR="00731C96" w:rsidRPr="008E3A75" w:rsidRDefault="00731C96" w:rsidP="00731C96">
      <w:pPr>
        <w:rPr>
          <w:bCs/>
          <w:color w:val="000000" w:themeColor="text1"/>
        </w:rPr>
      </w:pPr>
      <w:r>
        <w:rPr>
          <w:bCs/>
          <w:color w:val="000000" w:themeColor="text1"/>
        </w:rPr>
        <w:fldChar w:fldCharType="begin"/>
      </w:r>
      <w:r>
        <w:rPr>
          <w:bCs/>
          <w:color w:val="000000" w:themeColor="text1"/>
        </w:rPr>
        <w:instrText xml:space="preserve"> AUTONUM  </w:instrText>
      </w:r>
      <w:r>
        <w:rPr>
          <w:bCs/>
          <w:color w:val="000000" w:themeColor="text1"/>
        </w:rPr>
        <w:fldChar w:fldCharType="end"/>
      </w:r>
      <w:r>
        <w:rPr>
          <w:bCs/>
          <w:color w:val="000000" w:themeColor="text1"/>
        </w:rPr>
        <w:tab/>
      </w:r>
      <w:r w:rsidRPr="008E3A75">
        <w:rPr>
          <w:bCs/>
          <w:color w:val="000000" w:themeColor="text1"/>
        </w:rPr>
        <w:t xml:space="preserve">The UPOV system of plant variety protection supports long-term investment in </w:t>
      </w:r>
      <w:r>
        <w:rPr>
          <w:bCs/>
          <w:color w:val="000000" w:themeColor="text1"/>
        </w:rPr>
        <w:t xml:space="preserve">plant </w:t>
      </w:r>
      <w:r w:rsidRPr="008E3A75">
        <w:rPr>
          <w:bCs/>
          <w:color w:val="000000" w:themeColor="text1"/>
        </w:rPr>
        <w:t>breeding and provides a framework for investment in the delivery of seed and other propagating material of varieties suited to farmers</w:t>
      </w:r>
      <w:r>
        <w:rPr>
          <w:bCs/>
          <w:color w:val="000000" w:themeColor="text1"/>
        </w:rPr>
        <w:t>’</w:t>
      </w:r>
      <w:r w:rsidRPr="008E3A75">
        <w:rPr>
          <w:bCs/>
          <w:color w:val="000000" w:themeColor="text1"/>
        </w:rPr>
        <w:t xml:space="preserve"> needs.  UPOV was created in 1961 </w:t>
      </w:r>
      <w:r>
        <w:rPr>
          <w:bCs/>
          <w:color w:val="000000" w:themeColor="text1"/>
        </w:rPr>
        <w:t>and</w:t>
      </w:r>
      <w:r w:rsidRPr="008E3A75">
        <w:rPr>
          <w:bCs/>
          <w:color w:val="000000" w:themeColor="text1"/>
        </w:rPr>
        <w:t xml:space="preserve"> has proven to be an effective system for supporting various types of breeders:  individuals, farmers, SMEs and larger breeding institutes/enterprises, in </w:t>
      </w:r>
      <w:r>
        <w:rPr>
          <w:bCs/>
          <w:color w:val="000000" w:themeColor="text1"/>
        </w:rPr>
        <w:t xml:space="preserve">both </w:t>
      </w:r>
      <w:r w:rsidRPr="008E3A75">
        <w:rPr>
          <w:bCs/>
          <w:color w:val="000000" w:themeColor="text1"/>
        </w:rPr>
        <w:t>the private and public sectors.</w:t>
      </w:r>
      <w:r>
        <w:rPr>
          <w:bCs/>
          <w:color w:val="000000" w:themeColor="text1"/>
        </w:rPr>
        <w:t xml:space="preserve">  It has also provided a basis for collaboration, including public-private partnerships.</w:t>
      </w:r>
      <w:r w:rsidRPr="008E3A75">
        <w:rPr>
          <w:bCs/>
          <w:color w:val="000000" w:themeColor="text1"/>
        </w:rPr>
        <w:t xml:space="preserve">  From the outset, the UPOV system was conceived to deliver greatest progress in plant breeding and, therefore, to sustain greatest advances in agriculture for the benefit of farmers and society as a whole.  This concept is enshrined in the </w:t>
      </w:r>
      <w:r>
        <w:rPr>
          <w:bCs/>
          <w:color w:val="000000" w:themeColor="text1"/>
        </w:rPr>
        <w:t>“</w:t>
      </w:r>
      <w:r w:rsidRPr="008E3A75">
        <w:rPr>
          <w:bCs/>
          <w:color w:val="000000" w:themeColor="text1"/>
        </w:rPr>
        <w:t>breeder</w:t>
      </w:r>
      <w:r>
        <w:rPr>
          <w:bCs/>
          <w:color w:val="000000" w:themeColor="text1"/>
        </w:rPr>
        <w:t>’</w:t>
      </w:r>
      <w:r w:rsidRPr="008E3A75">
        <w:rPr>
          <w:bCs/>
          <w:color w:val="000000" w:themeColor="text1"/>
        </w:rPr>
        <w:t>s exemption</w:t>
      </w:r>
      <w:r>
        <w:rPr>
          <w:bCs/>
          <w:color w:val="000000" w:themeColor="text1"/>
        </w:rPr>
        <w:t>”</w:t>
      </w:r>
      <w:r w:rsidRPr="008E3A75">
        <w:rPr>
          <w:bCs/>
          <w:color w:val="000000" w:themeColor="text1"/>
        </w:rPr>
        <w:t xml:space="preserve">, a key feature of the UPOV system </w:t>
      </w:r>
      <w:r>
        <w:rPr>
          <w:bCs/>
          <w:color w:val="000000" w:themeColor="text1"/>
        </w:rPr>
        <w:t xml:space="preserve">and a unique feature in </w:t>
      </w:r>
      <w:r w:rsidRPr="00506F82">
        <w:rPr>
          <w:bCs/>
          <w:color w:val="000000" w:themeColor="text1"/>
        </w:rPr>
        <w:t>intellectual property</w:t>
      </w:r>
      <w:r>
        <w:rPr>
          <w:bCs/>
          <w:color w:val="000000" w:themeColor="text1"/>
        </w:rPr>
        <w:t xml:space="preserve"> that applies an “open-source” concept.</w:t>
      </w:r>
      <w:r w:rsidRPr="008E3A75">
        <w:rPr>
          <w:bCs/>
          <w:color w:val="000000" w:themeColor="text1"/>
        </w:rPr>
        <w:t xml:space="preserve">  This exemption enables protected plant varieties to be available for further breeding by all </w:t>
      </w:r>
      <w:r>
        <w:rPr>
          <w:bCs/>
          <w:color w:val="000000" w:themeColor="text1"/>
        </w:rPr>
        <w:t xml:space="preserve">plant </w:t>
      </w:r>
      <w:r w:rsidRPr="008E3A75">
        <w:rPr>
          <w:bCs/>
          <w:color w:val="000000" w:themeColor="text1"/>
        </w:rPr>
        <w:t xml:space="preserve">breeders, thus recognizing that access to genetic resources is a prerequisite for any type of </w:t>
      </w:r>
      <w:r w:rsidRPr="00200AE2">
        <w:rPr>
          <w:bCs/>
          <w:color w:val="000000" w:themeColor="text1"/>
        </w:rPr>
        <w:t xml:space="preserve">breeding (see FAQ </w:t>
      </w:r>
      <w:r>
        <w:rPr>
          <w:bCs/>
          <w:color w:val="000000" w:themeColor="text1"/>
        </w:rPr>
        <w:t>“</w:t>
      </w:r>
      <w:hyperlink r:id="rId11" w:anchor="QS11" w:history="1">
        <w:r w:rsidRPr="00200AE2">
          <w:rPr>
            <w:rStyle w:val="Hyperlink"/>
            <w:bCs/>
          </w:rPr>
          <w:t>How does the UPOV system support sustainable development?</w:t>
        </w:r>
      </w:hyperlink>
      <w:r>
        <w:rPr>
          <w:bCs/>
          <w:color w:val="000000" w:themeColor="text1"/>
        </w:rPr>
        <w:t>“</w:t>
      </w:r>
      <w:r w:rsidRPr="00200AE2">
        <w:rPr>
          <w:bCs/>
          <w:color w:val="000000" w:themeColor="text1"/>
        </w:rPr>
        <w:t>)</w:t>
      </w:r>
    </w:p>
    <w:p w:rsidR="00731C96" w:rsidRDefault="00731C96" w:rsidP="00731C96">
      <w:pPr>
        <w:rPr>
          <w:bCs/>
          <w:color w:val="000000" w:themeColor="text1"/>
        </w:rPr>
      </w:pPr>
    </w:p>
    <w:p w:rsidR="00731C96" w:rsidRPr="008E3A75" w:rsidRDefault="00731C96" w:rsidP="00731C96">
      <w:pPr>
        <w:rPr>
          <w:bCs/>
          <w:color w:val="000000" w:themeColor="text1"/>
        </w:rPr>
      </w:pPr>
      <w:r>
        <w:rPr>
          <w:bCs/>
          <w:color w:val="000000" w:themeColor="text1"/>
        </w:rPr>
        <w:fldChar w:fldCharType="begin"/>
      </w:r>
      <w:r>
        <w:rPr>
          <w:bCs/>
          <w:color w:val="000000" w:themeColor="text1"/>
        </w:rPr>
        <w:instrText xml:space="preserve"> AUTONUM  </w:instrText>
      </w:r>
      <w:r>
        <w:rPr>
          <w:bCs/>
          <w:color w:val="000000" w:themeColor="text1"/>
        </w:rPr>
        <w:fldChar w:fldCharType="end"/>
      </w:r>
      <w:r>
        <w:rPr>
          <w:bCs/>
          <w:color w:val="000000" w:themeColor="text1"/>
        </w:rPr>
        <w:tab/>
      </w:r>
      <w:r w:rsidRPr="008E3A75">
        <w:rPr>
          <w:bCs/>
          <w:color w:val="000000" w:themeColor="text1"/>
        </w:rPr>
        <w:t>There is growing awareness of the relevance of UPOV</w:t>
      </w:r>
      <w:r>
        <w:rPr>
          <w:bCs/>
          <w:color w:val="000000" w:themeColor="text1"/>
        </w:rPr>
        <w:t>’</w:t>
      </w:r>
      <w:r w:rsidRPr="008E3A75">
        <w:rPr>
          <w:bCs/>
          <w:color w:val="000000" w:themeColor="text1"/>
        </w:rPr>
        <w:t>s mission and how this benefits society in the context of global developments</w:t>
      </w:r>
      <w:r>
        <w:rPr>
          <w:bCs/>
          <w:color w:val="000000" w:themeColor="text1"/>
        </w:rPr>
        <w:t xml:space="preserve">, which is summarized in </w:t>
      </w:r>
      <w:r w:rsidRPr="008E3A75">
        <w:rPr>
          <w:bCs/>
          <w:color w:val="000000" w:themeColor="text1"/>
        </w:rPr>
        <w:t>UPOV</w:t>
      </w:r>
      <w:r>
        <w:rPr>
          <w:bCs/>
          <w:color w:val="000000" w:themeColor="text1"/>
        </w:rPr>
        <w:t>’</w:t>
      </w:r>
      <w:r w:rsidRPr="008E3A75">
        <w:rPr>
          <w:bCs/>
          <w:color w:val="000000" w:themeColor="text1"/>
        </w:rPr>
        <w:t xml:space="preserve">s </w:t>
      </w:r>
      <w:r>
        <w:rPr>
          <w:bCs/>
          <w:color w:val="000000" w:themeColor="text1"/>
        </w:rPr>
        <w:t>FAQ “</w:t>
      </w:r>
      <w:r w:rsidRPr="008E3A75">
        <w:rPr>
          <w:bCs/>
          <w:color w:val="000000" w:themeColor="text1"/>
        </w:rPr>
        <w:t>What are the benefits of new va</w:t>
      </w:r>
      <w:r>
        <w:rPr>
          <w:bCs/>
          <w:color w:val="000000" w:themeColor="text1"/>
        </w:rPr>
        <w:t>rieties of plants for society?”:</w:t>
      </w:r>
    </w:p>
    <w:p w:rsidR="00731C96" w:rsidRPr="008E3A75" w:rsidRDefault="00731C96" w:rsidP="00731C96">
      <w:pPr>
        <w:rPr>
          <w:bCs/>
          <w:color w:val="000000" w:themeColor="text1"/>
        </w:rPr>
      </w:pPr>
    </w:p>
    <w:p w:rsidR="00731C96" w:rsidRPr="00200AE2" w:rsidRDefault="00731C96" w:rsidP="00731C96">
      <w:pPr>
        <w:ind w:left="567" w:right="567"/>
        <w:rPr>
          <w:bCs/>
          <w:i/>
          <w:color w:val="000000" w:themeColor="text1"/>
          <w:sz w:val="18"/>
        </w:rPr>
      </w:pPr>
      <w:r>
        <w:rPr>
          <w:bCs/>
          <w:i/>
          <w:color w:val="000000" w:themeColor="text1"/>
          <w:sz w:val="18"/>
        </w:rPr>
        <w:t>“</w:t>
      </w:r>
      <w:r w:rsidRPr="00200AE2">
        <w:rPr>
          <w:bCs/>
          <w:i/>
          <w:color w:val="000000" w:themeColor="text1"/>
          <w:sz w:val="18"/>
        </w:rPr>
        <w:t>Feeding the World</w:t>
      </w:r>
    </w:p>
    <w:p w:rsidR="00731C96" w:rsidRPr="00200AE2" w:rsidRDefault="00731C96" w:rsidP="00731C96">
      <w:pPr>
        <w:ind w:left="567" w:right="567"/>
        <w:rPr>
          <w:bCs/>
          <w:i/>
          <w:color w:val="000000" w:themeColor="text1"/>
          <w:sz w:val="18"/>
        </w:rPr>
      </w:pPr>
    </w:p>
    <w:p w:rsidR="00731C96" w:rsidRPr="00200AE2" w:rsidRDefault="00731C96" w:rsidP="00731C96">
      <w:pPr>
        <w:ind w:left="567" w:right="567"/>
        <w:rPr>
          <w:bCs/>
          <w:i/>
          <w:color w:val="000000" w:themeColor="text1"/>
          <w:sz w:val="18"/>
        </w:rPr>
      </w:pPr>
      <w:r>
        <w:rPr>
          <w:bCs/>
          <w:i/>
          <w:color w:val="000000" w:themeColor="text1"/>
          <w:sz w:val="18"/>
        </w:rPr>
        <w:t>“</w:t>
      </w:r>
      <w:r w:rsidRPr="00200AE2">
        <w:rPr>
          <w:bCs/>
          <w:i/>
          <w:color w:val="000000" w:themeColor="text1"/>
          <w:sz w:val="18"/>
        </w:rPr>
        <w:t>New, improved varieties of plants are an important and sustainable means of achieving food security in the context of population growth and climate change. New varieties that are adapted to the environment in which they are grown increase the choice of healthy, tasty and nutritious food while generating a viable income for farmers.</w:t>
      </w:r>
    </w:p>
    <w:p w:rsidR="00731C96" w:rsidRPr="00200AE2" w:rsidRDefault="00731C96" w:rsidP="00731C96">
      <w:pPr>
        <w:ind w:left="567" w:right="567"/>
        <w:rPr>
          <w:bCs/>
          <w:i/>
          <w:color w:val="000000" w:themeColor="text1"/>
          <w:sz w:val="18"/>
        </w:rPr>
      </w:pPr>
    </w:p>
    <w:p w:rsidR="00731C96" w:rsidRPr="00200AE2" w:rsidRDefault="00731C96" w:rsidP="00731C96">
      <w:pPr>
        <w:ind w:left="567" w:right="567"/>
        <w:rPr>
          <w:bCs/>
          <w:i/>
          <w:color w:val="000000" w:themeColor="text1"/>
          <w:sz w:val="18"/>
        </w:rPr>
      </w:pPr>
      <w:r>
        <w:rPr>
          <w:bCs/>
          <w:i/>
          <w:color w:val="000000" w:themeColor="text1"/>
          <w:sz w:val="18"/>
        </w:rPr>
        <w:t>“</w:t>
      </w:r>
      <w:r w:rsidRPr="00200AE2">
        <w:rPr>
          <w:bCs/>
          <w:i/>
          <w:color w:val="000000" w:themeColor="text1"/>
          <w:sz w:val="18"/>
        </w:rPr>
        <w:t>Improving lives in rural and urban areas and providing economic development</w:t>
      </w:r>
    </w:p>
    <w:p w:rsidR="00731C96" w:rsidRPr="00200AE2" w:rsidRDefault="00731C96" w:rsidP="00731C96">
      <w:pPr>
        <w:ind w:left="567" w:right="567"/>
        <w:rPr>
          <w:bCs/>
          <w:i/>
          <w:color w:val="000000" w:themeColor="text1"/>
          <w:sz w:val="18"/>
        </w:rPr>
      </w:pPr>
    </w:p>
    <w:p w:rsidR="00731C96" w:rsidRPr="00200AE2" w:rsidRDefault="00731C96" w:rsidP="00731C96">
      <w:pPr>
        <w:ind w:left="567" w:right="567"/>
        <w:rPr>
          <w:bCs/>
          <w:i/>
          <w:color w:val="000000" w:themeColor="text1"/>
          <w:sz w:val="18"/>
        </w:rPr>
      </w:pPr>
      <w:r>
        <w:rPr>
          <w:bCs/>
          <w:i/>
          <w:color w:val="000000" w:themeColor="text1"/>
          <w:sz w:val="18"/>
        </w:rPr>
        <w:t>“</w:t>
      </w:r>
      <w:r w:rsidRPr="00200AE2">
        <w:rPr>
          <w:bCs/>
          <w:i/>
          <w:color w:val="000000" w:themeColor="text1"/>
          <w:sz w:val="18"/>
        </w:rPr>
        <w:t>Innovation in agriculture and horticulture is important for economic development. Production of diverse, high quality varieties of fruit, vegetables, ornamentals and agricultural crops provides increased income for farmers and employment for millions of people around the world. New varieties can be the key to accessing global markets and improving international trade for developing countries. At the same time, new varieties can support the development of urban agriculture and the growing of ornamental plants, shrubs and trees that contribute to improving the lives of people in the expanding urban environment.</w:t>
      </w:r>
    </w:p>
    <w:p w:rsidR="00731C96" w:rsidRPr="00200AE2" w:rsidRDefault="00731C96" w:rsidP="00731C96">
      <w:pPr>
        <w:ind w:left="567" w:right="567"/>
        <w:rPr>
          <w:bCs/>
          <w:i/>
          <w:color w:val="000000" w:themeColor="text1"/>
          <w:sz w:val="18"/>
        </w:rPr>
      </w:pPr>
    </w:p>
    <w:p w:rsidR="00731C96" w:rsidRPr="00200AE2" w:rsidRDefault="00731C96" w:rsidP="00731C96">
      <w:pPr>
        <w:ind w:left="567" w:right="567"/>
        <w:rPr>
          <w:bCs/>
          <w:i/>
          <w:color w:val="000000" w:themeColor="text1"/>
          <w:sz w:val="18"/>
        </w:rPr>
      </w:pPr>
      <w:r>
        <w:rPr>
          <w:bCs/>
          <w:i/>
          <w:color w:val="000000" w:themeColor="text1"/>
          <w:sz w:val="18"/>
        </w:rPr>
        <w:t>“</w:t>
      </w:r>
      <w:r w:rsidRPr="00200AE2">
        <w:rPr>
          <w:bCs/>
          <w:i/>
          <w:color w:val="000000" w:themeColor="text1"/>
          <w:sz w:val="18"/>
        </w:rPr>
        <w:t>Respecting the natural environment</w:t>
      </w:r>
    </w:p>
    <w:p w:rsidR="00731C96" w:rsidRPr="00200AE2" w:rsidRDefault="00731C96" w:rsidP="00731C96">
      <w:pPr>
        <w:ind w:left="567" w:right="567"/>
        <w:rPr>
          <w:bCs/>
          <w:i/>
          <w:color w:val="000000" w:themeColor="text1"/>
          <w:sz w:val="18"/>
        </w:rPr>
      </w:pPr>
    </w:p>
    <w:p w:rsidR="00731C96" w:rsidRPr="00200AE2" w:rsidRDefault="00731C96" w:rsidP="00731C96">
      <w:pPr>
        <w:ind w:left="567" w:right="567"/>
        <w:rPr>
          <w:bCs/>
          <w:i/>
          <w:color w:val="000000" w:themeColor="text1"/>
          <w:sz w:val="18"/>
        </w:rPr>
      </w:pPr>
      <w:r>
        <w:rPr>
          <w:bCs/>
          <w:i/>
          <w:color w:val="000000" w:themeColor="text1"/>
          <w:sz w:val="18"/>
        </w:rPr>
        <w:t>“</w:t>
      </w:r>
      <w:r w:rsidRPr="00200AE2">
        <w:rPr>
          <w:bCs/>
          <w:i/>
          <w:color w:val="000000" w:themeColor="text1"/>
          <w:sz w:val="18"/>
        </w:rPr>
        <w:t>Increasing productivity whilst respecting the natural environment is a key challenge in the context of population growth and climate change. Breeding plant varieties with improved yield, more efficient use of nutrients, resistance to plant pests and diseases, salt and drought tolerance and better adaptation to climatic stress can sustainably increase productivity and product quality in agriculture, horticulture and forestry, whilst minimizing the pressure on the natural environment.</w:t>
      </w:r>
      <w:r>
        <w:rPr>
          <w:bCs/>
          <w:i/>
          <w:color w:val="000000" w:themeColor="text1"/>
          <w:sz w:val="18"/>
        </w:rPr>
        <w:t>”</w:t>
      </w:r>
    </w:p>
    <w:p w:rsidR="00731C96" w:rsidRDefault="00731C96">
      <w:pPr>
        <w:jc w:val="left"/>
        <w:rPr>
          <w:bCs/>
          <w:color w:val="000000" w:themeColor="text1"/>
        </w:rPr>
      </w:pPr>
      <w:r>
        <w:rPr>
          <w:bCs/>
          <w:color w:val="000000" w:themeColor="text1"/>
        </w:rPr>
        <w:br w:type="page"/>
      </w:r>
    </w:p>
    <w:p w:rsidR="00731C96" w:rsidRDefault="00731C96" w:rsidP="00731C96">
      <w:pPr>
        <w:rPr>
          <w:bCs/>
          <w:color w:val="000000" w:themeColor="text1"/>
        </w:rPr>
      </w:pPr>
      <w:r>
        <w:rPr>
          <w:bCs/>
          <w:color w:val="000000" w:themeColor="text1"/>
        </w:rPr>
        <w:lastRenderedPageBreak/>
        <w:fldChar w:fldCharType="begin"/>
      </w:r>
      <w:r>
        <w:rPr>
          <w:bCs/>
          <w:color w:val="000000" w:themeColor="text1"/>
        </w:rPr>
        <w:instrText xml:space="preserve"> AUTONUM  </w:instrText>
      </w:r>
      <w:r>
        <w:rPr>
          <w:bCs/>
          <w:color w:val="000000" w:themeColor="text1"/>
        </w:rPr>
        <w:fldChar w:fldCharType="end"/>
      </w:r>
      <w:r>
        <w:rPr>
          <w:bCs/>
          <w:color w:val="000000" w:themeColor="text1"/>
        </w:rPr>
        <w:tab/>
      </w:r>
      <w:r w:rsidRPr="008E3A75">
        <w:rPr>
          <w:bCs/>
          <w:color w:val="000000" w:themeColor="text1"/>
        </w:rPr>
        <w:t>The</w:t>
      </w:r>
      <w:r>
        <w:rPr>
          <w:bCs/>
          <w:color w:val="000000" w:themeColor="text1"/>
        </w:rPr>
        <w:t xml:space="preserve"> relevance of this FAQ was endorsed at the “</w:t>
      </w:r>
      <w:r w:rsidRPr="00C46E91">
        <w:rPr>
          <w:bCs/>
          <w:color w:val="000000" w:themeColor="text1"/>
        </w:rPr>
        <w:t>Seminar on strategies that address policies involving plant breeding and plant variety protection</w:t>
      </w:r>
      <w:r>
        <w:rPr>
          <w:bCs/>
          <w:color w:val="000000" w:themeColor="text1"/>
        </w:rPr>
        <w:t xml:space="preserve">”, held on </w:t>
      </w:r>
      <w:r w:rsidRPr="00C46E91">
        <w:rPr>
          <w:bCs/>
          <w:color w:val="000000" w:themeColor="text1"/>
        </w:rPr>
        <w:t>October 20, 2021</w:t>
      </w:r>
      <w:r>
        <w:rPr>
          <w:bCs/>
          <w:color w:val="000000" w:themeColor="text1"/>
        </w:rPr>
        <w:t xml:space="preserve">.  The seminar highlighted the key role that </w:t>
      </w:r>
      <w:r w:rsidRPr="00C46E91">
        <w:rPr>
          <w:bCs/>
          <w:snapToGrid w:val="0"/>
          <w:color w:val="000000" w:themeColor="text1"/>
        </w:rPr>
        <w:t>plant variety protection</w:t>
      </w:r>
      <w:r>
        <w:rPr>
          <w:bCs/>
          <w:color w:val="000000" w:themeColor="text1"/>
        </w:rPr>
        <w:t xml:space="preserve"> has to play in food security, </w:t>
      </w:r>
      <w:r w:rsidRPr="00C46E91">
        <w:rPr>
          <w:bCs/>
          <w:color w:val="000000" w:themeColor="text1"/>
        </w:rPr>
        <w:t>transforming food production in a time of climate change</w:t>
      </w:r>
      <w:r>
        <w:rPr>
          <w:bCs/>
          <w:color w:val="000000" w:themeColor="text1"/>
        </w:rPr>
        <w:t xml:space="preserve">, </w:t>
      </w:r>
      <w:r w:rsidRPr="00C46E91">
        <w:rPr>
          <w:bCs/>
          <w:color w:val="000000" w:themeColor="text1"/>
        </w:rPr>
        <w:t xml:space="preserve">spurring economic development </w:t>
      </w:r>
      <w:r>
        <w:rPr>
          <w:bCs/>
          <w:color w:val="000000" w:themeColor="text1"/>
        </w:rPr>
        <w:t xml:space="preserve">and </w:t>
      </w:r>
      <w:r w:rsidRPr="00C46E91">
        <w:rPr>
          <w:bCs/>
          <w:color w:val="000000" w:themeColor="text1"/>
        </w:rPr>
        <w:t>bringing innovation and technology transfer to farmers.</w:t>
      </w:r>
    </w:p>
    <w:p w:rsidR="00731C96" w:rsidRDefault="00731C96" w:rsidP="00731C96">
      <w:pPr>
        <w:rPr>
          <w:bCs/>
          <w:color w:val="000000" w:themeColor="text1"/>
        </w:rPr>
      </w:pPr>
    </w:p>
    <w:p w:rsidR="00731C96" w:rsidRPr="006943E1" w:rsidRDefault="00731C96" w:rsidP="00731C96"/>
    <w:p w:rsidR="00731C96" w:rsidRDefault="00731C96" w:rsidP="00731C96">
      <w:pPr>
        <w:pStyle w:val="Heading1"/>
      </w:pPr>
      <w:bookmarkStart w:id="6" w:name="_Toc107239334"/>
      <w:bookmarkStart w:id="7" w:name="_Toc107239584"/>
      <w:bookmarkStart w:id="8" w:name="_Toc117798879"/>
      <w:r>
        <w:t>III.</w:t>
      </w:r>
      <w:r>
        <w:tab/>
        <w:t>STRATEGY HOUSE</w:t>
      </w:r>
      <w:bookmarkEnd w:id="6"/>
      <w:bookmarkEnd w:id="7"/>
      <w:bookmarkEnd w:id="8"/>
    </w:p>
    <w:p w:rsidR="00731C96" w:rsidRDefault="00731C96" w:rsidP="00731C96"/>
    <w:p w:rsidR="00731C96" w:rsidRPr="005C73B7" w:rsidRDefault="00731C96" w:rsidP="00731C96">
      <w:pPr>
        <w:rPr>
          <w:color w:val="000000" w:themeColor="text1"/>
        </w:rPr>
      </w:pPr>
      <w:r w:rsidRPr="005C73B7">
        <w:rPr>
          <w:color w:val="000000" w:themeColor="text1"/>
        </w:rPr>
        <w:fldChar w:fldCharType="begin"/>
      </w:r>
      <w:r w:rsidRPr="005C73B7">
        <w:rPr>
          <w:color w:val="000000" w:themeColor="text1"/>
        </w:rPr>
        <w:instrText xml:space="preserve"> AUTONUM  </w:instrText>
      </w:r>
      <w:r w:rsidRPr="005C73B7">
        <w:rPr>
          <w:color w:val="000000" w:themeColor="text1"/>
        </w:rPr>
        <w:fldChar w:fldCharType="end"/>
      </w:r>
      <w:r w:rsidRPr="005C73B7">
        <w:rPr>
          <w:color w:val="000000" w:themeColor="text1"/>
        </w:rPr>
        <w:tab/>
        <w:t xml:space="preserve">The Strategy House outlines </w:t>
      </w:r>
      <w:r>
        <w:rPr>
          <w:color w:val="000000" w:themeColor="text1"/>
        </w:rPr>
        <w:t>UPOV’s M</w:t>
      </w:r>
      <w:r w:rsidRPr="005C73B7">
        <w:rPr>
          <w:color w:val="000000" w:themeColor="text1"/>
        </w:rPr>
        <w:t>ission, Strategic Pillars and Foundation</w:t>
      </w:r>
      <w:r>
        <w:rPr>
          <w:color w:val="000000" w:themeColor="text1"/>
        </w:rPr>
        <w:t>, providing a framework to respond to the need</w:t>
      </w:r>
      <w:r w:rsidRPr="005C73B7">
        <w:rPr>
          <w:color w:val="000000" w:themeColor="text1"/>
        </w:rPr>
        <w:t xml:space="preserve"> </w:t>
      </w:r>
      <w:r>
        <w:rPr>
          <w:color w:val="000000" w:themeColor="text1"/>
        </w:rPr>
        <w:t xml:space="preserve">for an effective system of </w:t>
      </w:r>
      <w:r w:rsidRPr="005C73B7">
        <w:rPr>
          <w:snapToGrid w:val="0"/>
          <w:color w:val="000000" w:themeColor="text1"/>
        </w:rPr>
        <w:t>plant variety protection</w:t>
      </w:r>
      <w:r>
        <w:rPr>
          <w:snapToGrid w:val="0"/>
          <w:color w:val="000000" w:themeColor="text1"/>
        </w:rPr>
        <w:t xml:space="preserve"> that will encourage</w:t>
      </w:r>
      <w:r w:rsidRPr="005C73B7">
        <w:rPr>
          <w:snapToGrid w:val="0"/>
          <w:color w:val="000000" w:themeColor="text1"/>
        </w:rPr>
        <w:t xml:space="preserve"> the development of new varieties of plants, for the benefit of society</w:t>
      </w:r>
      <w:r w:rsidRPr="005C73B7">
        <w:rPr>
          <w:color w:val="000000" w:themeColor="text1"/>
        </w:rPr>
        <w:t>.</w:t>
      </w:r>
    </w:p>
    <w:p w:rsidR="00731C96" w:rsidRPr="006943E1" w:rsidRDefault="00731C96" w:rsidP="00731C96"/>
    <w:p w:rsidR="00731C96" w:rsidRDefault="00731C96" w:rsidP="00731C96">
      <w:pPr>
        <w:rPr>
          <w:color w:val="000000" w:themeColor="text1"/>
        </w:rPr>
      </w:pPr>
      <w:r w:rsidRPr="005C73B7">
        <w:rPr>
          <w:color w:val="000000" w:themeColor="text1"/>
        </w:rPr>
        <w:fldChar w:fldCharType="begin"/>
      </w:r>
      <w:r w:rsidRPr="005C73B7">
        <w:rPr>
          <w:color w:val="000000" w:themeColor="text1"/>
        </w:rPr>
        <w:instrText xml:space="preserve"> AUTONUM  </w:instrText>
      </w:r>
      <w:r w:rsidRPr="005C73B7">
        <w:rPr>
          <w:color w:val="000000" w:themeColor="text1"/>
        </w:rPr>
        <w:fldChar w:fldCharType="end"/>
      </w:r>
      <w:r w:rsidRPr="005C73B7">
        <w:rPr>
          <w:color w:val="000000" w:themeColor="text1"/>
        </w:rPr>
        <w:tab/>
        <w:t>The Strate</w:t>
      </w:r>
      <w:r>
        <w:rPr>
          <w:color w:val="000000" w:themeColor="text1"/>
        </w:rPr>
        <w:t>gy House is rooted in continuous improvement by building</w:t>
      </w:r>
      <w:r w:rsidRPr="005C73B7">
        <w:rPr>
          <w:color w:val="000000" w:themeColor="text1"/>
        </w:rPr>
        <w:t xml:space="preserve"> on </w:t>
      </w:r>
      <w:r>
        <w:rPr>
          <w:color w:val="000000" w:themeColor="text1"/>
        </w:rPr>
        <w:t>UPOV’s</w:t>
      </w:r>
      <w:r w:rsidRPr="005C73B7">
        <w:rPr>
          <w:color w:val="000000" w:themeColor="text1"/>
        </w:rPr>
        <w:t xml:space="preserve"> strengths</w:t>
      </w:r>
      <w:r>
        <w:rPr>
          <w:color w:val="000000" w:themeColor="text1"/>
        </w:rPr>
        <w:t xml:space="preserve"> while </w:t>
      </w:r>
      <w:r w:rsidRPr="005C73B7">
        <w:rPr>
          <w:color w:val="000000" w:themeColor="text1"/>
        </w:rPr>
        <w:t xml:space="preserve">charting a future course with </w:t>
      </w:r>
      <w:r>
        <w:rPr>
          <w:color w:val="000000" w:themeColor="text1"/>
        </w:rPr>
        <w:t>a new</w:t>
      </w:r>
      <w:r w:rsidRPr="005C73B7">
        <w:rPr>
          <w:color w:val="000000" w:themeColor="text1"/>
        </w:rPr>
        <w:t xml:space="preserve"> focus where </w:t>
      </w:r>
      <w:r>
        <w:rPr>
          <w:color w:val="000000" w:themeColor="text1"/>
        </w:rPr>
        <w:t>relevant</w:t>
      </w:r>
      <w:r w:rsidRPr="005C73B7">
        <w:rPr>
          <w:color w:val="000000" w:themeColor="text1"/>
        </w:rPr>
        <w:t>.</w:t>
      </w:r>
    </w:p>
    <w:p w:rsidR="00731C96" w:rsidRDefault="00731C96" w:rsidP="00731C96">
      <w:pPr>
        <w:rPr>
          <w:color w:val="000000" w:themeColor="text1"/>
        </w:rPr>
      </w:pPr>
    </w:p>
    <w:tbl>
      <w:tblPr>
        <w:tblStyle w:val="TableGrid"/>
        <w:tblW w:w="0" w:type="auto"/>
        <w:tblInd w:w="0" w:type="dxa"/>
        <w:tblLook w:val="04A0" w:firstRow="1" w:lastRow="0" w:firstColumn="1" w:lastColumn="0" w:noHBand="0" w:noVBand="1"/>
      </w:tblPr>
      <w:tblGrid>
        <w:gridCol w:w="9639"/>
      </w:tblGrid>
      <w:tr w:rsidR="006C59F6" w:rsidTr="00731C96">
        <w:tc>
          <w:tcPr>
            <w:tcW w:w="9639" w:type="dxa"/>
            <w:tcBorders>
              <w:top w:val="nil"/>
              <w:left w:val="nil"/>
              <w:bottom w:val="nil"/>
              <w:right w:val="nil"/>
            </w:tcBorders>
          </w:tcPr>
          <w:p w:rsidR="006C59F6" w:rsidRDefault="006C59F6" w:rsidP="00731C96">
            <w:pPr>
              <w:rPr>
                <w:noProof/>
                <w:color w:val="000000" w:themeColor="text1"/>
              </w:rPr>
            </w:pPr>
            <w:r w:rsidRPr="006C59F6">
              <w:rPr>
                <w:noProof/>
                <w:color w:val="000000" w:themeColor="text1"/>
              </w:rPr>
              <w:drawing>
                <wp:inline distT="0" distB="0" distL="0" distR="0">
                  <wp:extent cx="5907600" cy="3884400"/>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7600" cy="3884400"/>
                          </a:xfrm>
                          <a:prstGeom prst="rect">
                            <a:avLst/>
                          </a:prstGeom>
                          <a:noFill/>
                          <a:ln>
                            <a:noFill/>
                          </a:ln>
                        </pic:spPr>
                      </pic:pic>
                    </a:graphicData>
                  </a:graphic>
                </wp:inline>
              </w:drawing>
            </w:r>
          </w:p>
        </w:tc>
      </w:tr>
    </w:tbl>
    <w:p w:rsidR="00731C96" w:rsidRPr="006943E1" w:rsidRDefault="00731C96" w:rsidP="00731C96"/>
    <w:p w:rsidR="00731C96" w:rsidRDefault="00731C96" w:rsidP="00731C96"/>
    <w:p w:rsidR="00731C96" w:rsidRPr="00E24B64" w:rsidRDefault="00731C96" w:rsidP="00731C96">
      <w:pPr>
        <w:pStyle w:val="Heading2"/>
      </w:pPr>
      <w:bookmarkStart w:id="9" w:name="_Toc107239335"/>
      <w:bookmarkStart w:id="10" w:name="_Toc107239585"/>
      <w:bookmarkStart w:id="11" w:name="_Toc117798880"/>
      <w:r w:rsidRPr="00E24B64">
        <w:t>THE MISSION</w:t>
      </w:r>
      <w:bookmarkEnd w:id="9"/>
      <w:bookmarkEnd w:id="10"/>
      <w:bookmarkEnd w:id="11"/>
    </w:p>
    <w:p w:rsidR="00731C96" w:rsidRDefault="00731C96" w:rsidP="00731C96"/>
    <w:p w:rsidR="00731C96" w:rsidRPr="00C62D2E" w:rsidRDefault="00731C96" w:rsidP="00731C96">
      <w:pPr>
        <w:ind w:left="567" w:right="567"/>
        <w:rPr>
          <w:i/>
        </w:rPr>
      </w:pPr>
      <w:r w:rsidRPr="00C62D2E">
        <w:rPr>
          <w:i/>
        </w:rPr>
        <w:t>UPOV</w:t>
      </w:r>
      <w:r>
        <w:rPr>
          <w:i/>
        </w:rPr>
        <w:t>’</w:t>
      </w:r>
      <w:r w:rsidRPr="00C62D2E">
        <w:rPr>
          <w:i/>
        </w:rPr>
        <w:t>s mission is to provide and promote an effective system of plant variety protection, with the aim of encouraging the development of new varieties of plants, for the benefit of society.</w:t>
      </w:r>
    </w:p>
    <w:p w:rsidR="00731C96" w:rsidRDefault="00731C96" w:rsidP="00731C96"/>
    <w:p w:rsidR="00731C96" w:rsidRDefault="00731C96" w:rsidP="00731C96">
      <w:pPr>
        <w:rPr>
          <w:bCs/>
          <w:color w:val="000000" w:themeColor="text1"/>
        </w:rPr>
      </w:pPr>
      <w:r>
        <w:rPr>
          <w:bCs/>
          <w:color w:val="000000" w:themeColor="text1"/>
        </w:rPr>
        <w:fldChar w:fldCharType="begin"/>
      </w:r>
      <w:r>
        <w:rPr>
          <w:bCs/>
          <w:color w:val="000000" w:themeColor="text1"/>
        </w:rPr>
        <w:instrText xml:space="preserve"> AUTONUM  </w:instrText>
      </w:r>
      <w:r>
        <w:rPr>
          <w:bCs/>
          <w:color w:val="000000" w:themeColor="text1"/>
        </w:rPr>
        <w:fldChar w:fldCharType="end"/>
      </w:r>
      <w:r>
        <w:rPr>
          <w:bCs/>
          <w:color w:val="000000" w:themeColor="text1"/>
        </w:rPr>
        <w:tab/>
        <w:t xml:space="preserve">UPOV’s mission statement identifies the importance of new </w:t>
      </w:r>
      <w:r w:rsidRPr="001D5689">
        <w:rPr>
          <w:bCs/>
          <w:color w:val="000000" w:themeColor="text1"/>
        </w:rPr>
        <w:t>varieties</w:t>
      </w:r>
      <w:r>
        <w:rPr>
          <w:bCs/>
          <w:color w:val="000000" w:themeColor="text1"/>
        </w:rPr>
        <w:t xml:space="preserve"> of plants as a means for farmers and growers to provide benefits to society.  As explained in the FAQ “</w:t>
      </w:r>
      <w:r w:rsidRPr="00690BE5">
        <w:rPr>
          <w:bCs/>
          <w:color w:val="000000" w:themeColor="text1"/>
        </w:rPr>
        <w:t>What are the benefits of new varieties of plants for society?</w:t>
      </w:r>
      <w:r>
        <w:rPr>
          <w:bCs/>
          <w:color w:val="000000" w:themeColor="text1"/>
        </w:rPr>
        <w:t xml:space="preserve">” (see above), </w:t>
      </w:r>
      <w:r w:rsidRPr="00690BE5">
        <w:rPr>
          <w:bCs/>
          <w:color w:val="000000" w:themeColor="text1"/>
        </w:rPr>
        <w:t xml:space="preserve">new varieties of plants </w:t>
      </w:r>
      <w:r>
        <w:rPr>
          <w:bCs/>
          <w:color w:val="000000" w:themeColor="text1"/>
        </w:rPr>
        <w:t xml:space="preserve">are a key element for farmers and growers to provide </w:t>
      </w:r>
      <w:r w:rsidRPr="00690BE5">
        <w:rPr>
          <w:bCs/>
          <w:color w:val="000000" w:themeColor="text1"/>
        </w:rPr>
        <w:t>food security in the context of population growth and climate change</w:t>
      </w:r>
      <w:r>
        <w:rPr>
          <w:bCs/>
          <w:color w:val="000000" w:themeColor="text1"/>
        </w:rPr>
        <w:t xml:space="preserve">, providing people with a </w:t>
      </w:r>
      <w:r w:rsidRPr="00690BE5">
        <w:rPr>
          <w:bCs/>
          <w:color w:val="000000" w:themeColor="text1"/>
        </w:rPr>
        <w:t>choice of healthy, tasty and nutritious food while generating a viable income for farmers.</w:t>
      </w:r>
      <w:r>
        <w:rPr>
          <w:bCs/>
          <w:color w:val="000000" w:themeColor="text1"/>
        </w:rPr>
        <w:t xml:space="preserve">  H</w:t>
      </w:r>
      <w:r w:rsidRPr="00B73D70">
        <w:rPr>
          <w:bCs/>
          <w:color w:val="000000" w:themeColor="text1"/>
        </w:rPr>
        <w:t xml:space="preserve">igh quality varieties of fruit, vegetables, ornamentals and agricultural crops </w:t>
      </w:r>
      <w:r>
        <w:rPr>
          <w:bCs/>
          <w:color w:val="000000" w:themeColor="text1"/>
        </w:rPr>
        <w:t>also provide</w:t>
      </w:r>
      <w:r w:rsidRPr="00B73D70">
        <w:rPr>
          <w:bCs/>
          <w:color w:val="000000" w:themeColor="text1"/>
        </w:rPr>
        <w:t xml:space="preserve"> </w:t>
      </w:r>
      <w:r>
        <w:rPr>
          <w:bCs/>
          <w:color w:val="000000" w:themeColor="text1"/>
        </w:rPr>
        <w:t xml:space="preserve">economic development and </w:t>
      </w:r>
      <w:r w:rsidRPr="00B73D70">
        <w:rPr>
          <w:bCs/>
          <w:color w:val="000000" w:themeColor="text1"/>
        </w:rPr>
        <w:t>employment for millions of people around the world</w:t>
      </w:r>
      <w:r>
        <w:rPr>
          <w:bCs/>
          <w:color w:val="000000" w:themeColor="text1"/>
        </w:rPr>
        <w:t xml:space="preserve"> by meeting the needs and desires of society.</w:t>
      </w:r>
    </w:p>
    <w:p w:rsidR="00731C96" w:rsidRDefault="00731C96" w:rsidP="00731C96">
      <w:pPr>
        <w:rPr>
          <w:bCs/>
          <w:color w:val="000000" w:themeColor="text1"/>
        </w:rPr>
      </w:pPr>
    </w:p>
    <w:p w:rsidR="00731C96" w:rsidRPr="00690BE5" w:rsidRDefault="00731C96" w:rsidP="00731C96">
      <w:pPr>
        <w:rPr>
          <w:bCs/>
          <w:color w:val="000000" w:themeColor="text1"/>
        </w:rPr>
      </w:pPr>
      <w:r>
        <w:rPr>
          <w:bCs/>
          <w:color w:val="000000" w:themeColor="text1"/>
        </w:rPr>
        <w:fldChar w:fldCharType="begin"/>
      </w:r>
      <w:r>
        <w:rPr>
          <w:bCs/>
          <w:color w:val="000000" w:themeColor="text1"/>
        </w:rPr>
        <w:instrText xml:space="preserve"> AUTONUM  </w:instrText>
      </w:r>
      <w:r>
        <w:rPr>
          <w:bCs/>
          <w:color w:val="000000" w:themeColor="text1"/>
        </w:rPr>
        <w:fldChar w:fldCharType="end"/>
      </w:r>
      <w:r>
        <w:rPr>
          <w:bCs/>
          <w:color w:val="000000" w:themeColor="text1"/>
        </w:rPr>
        <w:tab/>
        <w:t xml:space="preserve">The mission statement recognizes UPOV’s role in providing an effective system of </w:t>
      </w:r>
      <w:r w:rsidRPr="00690BE5">
        <w:rPr>
          <w:bCs/>
          <w:snapToGrid w:val="0"/>
          <w:color w:val="000000" w:themeColor="text1"/>
        </w:rPr>
        <w:t>plant variety protection</w:t>
      </w:r>
      <w:r>
        <w:rPr>
          <w:bCs/>
          <w:color w:val="000000" w:themeColor="text1"/>
        </w:rPr>
        <w:t xml:space="preserve"> that is necessary to support the development of new plant varieties.</w:t>
      </w:r>
    </w:p>
    <w:p w:rsidR="00731C96" w:rsidRDefault="00731C96">
      <w:pPr>
        <w:jc w:val="left"/>
        <w:rPr>
          <w:bCs/>
          <w:color w:val="000000" w:themeColor="text1"/>
        </w:rPr>
      </w:pPr>
      <w:r>
        <w:rPr>
          <w:bCs/>
          <w:color w:val="000000" w:themeColor="text1"/>
        </w:rPr>
        <w:br w:type="page"/>
      </w:r>
    </w:p>
    <w:p w:rsidR="00731C96" w:rsidRDefault="00731C96" w:rsidP="00731C96">
      <w:pPr>
        <w:pStyle w:val="Heading2"/>
      </w:pPr>
      <w:bookmarkStart w:id="12" w:name="_Toc107239336"/>
      <w:bookmarkStart w:id="13" w:name="_Toc107239586"/>
      <w:bookmarkStart w:id="14" w:name="_Toc117798881"/>
      <w:r>
        <w:lastRenderedPageBreak/>
        <w:t>THE THREE STRATEGIC PILLARS AND FOUNDATION</w:t>
      </w:r>
      <w:bookmarkEnd w:id="12"/>
      <w:bookmarkEnd w:id="13"/>
      <w:bookmarkEnd w:id="14"/>
    </w:p>
    <w:p w:rsidR="00731C96" w:rsidRDefault="00731C96" w:rsidP="00731C96">
      <w:pPr>
        <w:rPr>
          <w:b/>
          <w:bCs/>
          <w:sz w:val="22"/>
          <w:szCs w:val="22"/>
        </w:rPr>
      </w:pPr>
    </w:p>
    <w:p w:rsidR="00731C96" w:rsidRDefault="00731C96" w:rsidP="00731C96">
      <w:pPr>
        <w:rPr>
          <w:bCs/>
        </w:rPr>
      </w:pPr>
      <w:r>
        <w:rPr>
          <w:bCs/>
        </w:rPr>
        <w:fldChar w:fldCharType="begin"/>
      </w:r>
      <w:r>
        <w:rPr>
          <w:bCs/>
        </w:rPr>
        <w:instrText xml:space="preserve"> AUTONUM  </w:instrText>
      </w:r>
      <w:r>
        <w:rPr>
          <w:bCs/>
        </w:rPr>
        <w:fldChar w:fldCharType="end"/>
      </w:r>
      <w:r>
        <w:rPr>
          <w:bCs/>
        </w:rPr>
        <w:tab/>
        <w:t>The three</w:t>
      </w:r>
      <w:r w:rsidRPr="002A321D">
        <w:rPr>
          <w:bCs/>
        </w:rPr>
        <w:t xml:space="preserve"> Strategic Pillars underpin </w:t>
      </w:r>
      <w:r>
        <w:rPr>
          <w:bCs/>
        </w:rPr>
        <w:t>UPOV’s</w:t>
      </w:r>
      <w:r w:rsidRPr="002A321D">
        <w:rPr>
          <w:bCs/>
        </w:rPr>
        <w:t xml:space="preserve"> </w:t>
      </w:r>
      <w:r>
        <w:rPr>
          <w:bCs/>
        </w:rPr>
        <w:t>Mission. They represent UPOV’s broad areas of strategic focus</w:t>
      </w:r>
      <w:r w:rsidRPr="002A321D">
        <w:rPr>
          <w:bCs/>
        </w:rPr>
        <w:t xml:space="preserve"> which, in turn, are cascaded into Expected Results, and then specific programs and activities. The Foundation is the bedrock of </w:t>
      </w:r>
      <w:r>
        <w:rPr>
          <w:bCs/>
        </w:rPr>
        <w:t>the</w:t>
      </w:r>
      <w:r w:rsidRPr="002A321D">
        <w:rPr>
          <w:bCs/>
        </w:rPr>
        <w:t xml:space="preserve"> Strategy House. It encapsulates </w:t>
      </w:r>
      <w:r>
        <w:rPr>
          <w:bCs/>
        </w:rPr>
        <w:t>the basis</w:t>
      </w:r>
      <w:r w:rsidRPr="002A321D">
        <w:rPr>
          <w:bCs/>
        </w:rPr>
        <w:t xml:space="preserve"> to provide the right type of resources, environment and culture for </w:t>
      </w:r>
      <w:r>
        <w:rPr>
          <w:bCs/>
        </w:rPr>
        <w:t>UPOV</w:t>
      </w:r>
      <w:r w:rsidRPr="002A321D">
        <w:rPr>
          <w:bCs/>
        </w:rPr>
        <w:t xml:space="preserve"> to work well. The Strategic Pillars should not be seen in isolation; they are dynamically interconnected and supported by the Foundation.</w:t>
      </w:r>
    </w:p>
    <w:p w:rsidR="00731C96" w:rsidRPr="002A321D" w:rsidRDefault="00731C96" w:rsidP="00731C96">
      <w:pPr>
        <w:rPr>
          <w:bCs/>
        </w:rPr>
      </w:pPr>
    </w:p>
    <w:p w:rsidR="00731C96" w:rsidRDefault="00731C96" w:rsidP="00731C96">
      <w:pPr>
        <w:rPr>
          <w:bCs/>
        </w:rPr>
      </w:pPr>
      <w:r>
        <w:rPr>
          <w:bCs/>
        </w:rPr>
        <w:fldChar w:fldCharType="begin"/>
      </w:r>
      <w:r>
        <w:rPr>
          <w:bCs/>
        </w:rPr>
        <w:instrText xml:space="preserve"> AUTONUM  </w:instrText>
      </w:r>
      <w:r>
        <w:rPr>
          <w:bCs/>
        </w:rPr>
        <w:fldChar w:fldCharType="end"/>
      </w:r>
      <w:r>
        <w:rPr>
          <w:bCs/>
        </w:rPr>
        <w:tab/>
        <w:t>T</w:t>
      </w:r>
      <w:r w:rsidRPr="002A321D">
        <w:rPr>
          <w:bCs/>
        </w:rPr>
        <w:t>he following sections</w:t>
      </w:r>
      <w:r>
        <w:rPr>
          <w:bCs/>
        </w:rPr>
        <w:t xml:space="preserve"> elaborate on each of the three</w:t>
      </w:r>
      <w:r w:rsidRPr="002A321D">
        <w:rPr>
          <w:bCs/>
        </w:rPr>
        <w:t xml:space="preserve"> Strategic Pillars and the Foundation, as well as their respective Expected Results.</w:t>
      </w:r>
    </w:p>
    <w:p w:rsidR="00731C96" w:rsidRDefault="00731C96" w:rsidP="00731C96">
      <w:pPr>
        <w:rPr>
          <w:bCs/>
        </w:rPr>
      </w:pPr>
    </w:p>
    <w:tbl>
      <w:tblPr>
        <w:tblStyle w:val="TableGrid"/>
        <w:tblW w:w="0" w:type="auto"/>
        <w:tblInd w:w="0" w:type="dxa"/>
        <w:tblLook w:val="04A0" w:firstRow="1" w:lastRow="0" w:firstColumn="1" w:lastColumn="0" w:noHBand="0" w:noVBand="1"/>
      </w:tblPr>
      <w:tblGrid>
        <w:gridCol w:w="9639"/>
      </w:tblGrid>
      <w:tr w:rsidR="00731C96" w:rsidTr="00731C96">
        <w:trPr>
          <w:trHeight w:val="5401"/>
        </w:trPr>
        <w:tc>
          <w:tcPr>
            <w:tcW w:w="9639" w:type="dxa"/>
            <w:tcBorders>
              <w:top w:val="nil"/>
              <w:left w:val="nil"/>
              <w:bottom w:val="nil"/>
              <w:right w:val="nil"/>
            </w:tcBorders>
          </w:tcPr>
          <w:p w:rsidR="00731C96" w:rsidRDefault="00FB3919" w:rsidP="00731C96">
            <w:pPr>
              <w:rPr>
                <w:bCs/>
              </w:rPr>
            </w:pPr>
            <w:r w:rsidRPr="00FB3919">
              <w:rPr>
                <w:bCs/>
                <w:noProof/>
              </w:rPr>
              <w:drawing>
                <wp:inline distT="0" distB="0" distL="0" distR="0">
                  <wp:extent cx="6012000" cy="3924000"/>
                  <wp:effectExtent l="0" t="0" r="825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12000" cy="3924000"/>
                          </a:xfrm>
                          <a:prstGeom prst="rect">
                            <a:avLst/>
                          </a:prstGeom>
                          <a:noFill/>
                          <a:ln>
                            <a:noFill/>
                          </a:ln>
                        </pic:spPr>
                      </pic:pic>
                    </a:graphicData>
                  </a:graphic>
                </wp:inline>
              </w:drawing>
            </w:r>
          </w:p>
        </w:tc>
      </w:tr>
    </w:tbl>
    <w:p w:rsidR="00731C96" w:rsidRDefault="00731C96" w:rsidP="00731C96">
      <w:pPr>
        <w:rPr>
          <w:bCs/>
        </w:rPr>
      </w:pPr>
    </w:p>
    <w:p w:rsidR="00731C96" w:rsidRDefault="00731C96" w:rsidP="00731C96">
      <w:pPr>
        <w:rPr>
          <w:b/>
          <w:bCs/>
          <w:sz w:val="22"/>
          <w:szCs w:val="22"/>
        </w:rPr>
      </w:pPr>
    </w:p>
    <w:p w:rsidR="00731C96" w:rsidRDefault="00731C96" w:rsidP="00731C96">
      <w:pPr>
        <w:pStyle w:val="Heading3"/>
      </w:pPr>
      <w:bookmarkStart w:id="15" w:name="_Toc107239337"/>
      <w:bookmarkStart w:id="16" w:name="_Toc107239587"/>
      <w:bookmarkStart w:id="17" w:name="_Toc117798882"/>
      <w:r>
        <w:t xml:space="preserve">Pillar 1: </w:t>
      </w:r>
      <w:r w:rsidRPr="00207F64">
        <w:t xml:space="preserve">Bring together stakeholders to </w:t>
      </w:r>
      <w:r w:rsidR="0089232A">
        <w:t xml:space="preserve">help </w:t>
      </w:r>
      <w:r w:rsidRPr="00207F64">
        <w:t>shape the UPOV system</w:t>
      </w:r>
      <w:bookmarkEnd w:id="15"/>
      <w:bookmarkEnd w:id="16"/>
      <w:bookmarkEnd w:id="17"/>
    </w:p>
    <w:p w:rsidR="00731C96" w:rsidRDefault="00731C96" w:rsidP="00731C96">
      <w:pPr>
        <w:rPr>
          <w:b/>
          <w:bCs/>
          <w:sz w:val="22"/>
          <w:szCs w:val="22"/>
        </w:rPr>
      </w:pPr>
    </w:p>
    <w:p w:rsidR="00731C96" w:rsidRPr="0038143C" w:rsidRDefault="00731C96" w:rsidP="00731C96">
      <w:pPr>
        <w:pStyle w:val="Heading4"/>
        <w:rPr>
          <w:lang w:val="en-US"/>
        </w:rPr>
      </w:pPr>
      <w:bookmarkStart w:id="18" w:name="_Toc107239338"/>
      <w:bookmarkStart w:id="19" w:name="_Toc107239588"/>
      <w:bookmarkStart w:id="20" w:name="_Toc117798883"/>
      <w:r w:rsidRPr="0038143C">
        <w:rPr>
          <w:lang w:val="en-US"/>
        </w:rPr>
        <w:t>Background</w:t>
      </w:r>
      <w:bookmarkEnd w:id="18"/>
      <w:bookmarkEnd w:id="19"/>
      <w:bookmarkEnd w:id="20"/>
    </w:p>
    <w:p w:rsidR="00731C96" w:rsidRDefault="00731C96" w:rsidP="00731C96">
      <w:pPr>
        <w:rPr>
          <w:b/>
          <w:bCs/>
          <w:sz w:val="22"/>
          <w:szCs w:val="22"/>
        </w:rPr>
      </w:pPr>
    </w:p>
    <w:p w:rsidR="00731C96" w:rsidRPr="002A0D3A" w:rsidRDefault="00731C96" w:rsidP="00731C96">
      <w:pPr>
        <w:rPr>
          <w:bCs/>
        </w:rPr>
      </w:pPr>
      <w:r w:rsidRPr="002A0D3A">
        <w:rPr>
          <w:bCs/>
        </w:rPr>
        <w:fldChar w:fldCharType="begin"/>
      </w:r>
      <w:r w:rsidRPr="002A0D3A">
        <w:rPr>
          <w:bCs/>
        </w:rPr>
        <w:instrText xml:space="preserve"> AUTONUM  </w:instrText>
      </w:r>
      <w:r w:rsidRPr="002A0D3A">
        <w:rPr>
          <w:bCs/>
        </w:rPr>
        <w:fldChar w:fldCharType="end"/>
      </w:r>
      <w:r w:rsidRPr="002A0D3A">
        <w:rPr>
          <w:bCs/>
        </w:rPr>
        <w:tab/>
        <w:t>This Strategic Pillar focuses on UPOV</w:t>
      </w:r>
      <w:r>
        <w:rPr>
          <w:bCs/>
        </w:rPr>
        <w:t>’</w:t>
      </w:r>
      <w:r w:rsidRPr="002A0D3A">
        <w:rPr>
          <w:bCs/>
        </w:rPr>
        <w:t xml:space="preserve">s role as convener to bring together </w:t>
      </w:r>
      <w:r>
        <w:rPr>
          <w:bCs/>
        </w:rPr>
        <w:t>members of the Union</w:t>
      </w:r>
      <w:r w:rsidRPr="002A0D3A">
        <w:rPr>
          <w:bCs/>
        </w:rPr>
        <w:t xml:space="preserve"> to oversee and coordinate UPOV</w:t>
      </w:r>
      <w:r>
        <w:rPr>
          <w:bCs/>
        </w:rPr>
        <w:t>’</w:t>
      </w:r>
      <w:r w:rsidRPr="002A0D3A">
        <w:rPr>
          <w:bCs/>
        </w:rPr>
        <w:t xml:space="preserve">s work and to </w:t>
      </w:r>
      <w:r w:rsidR="006F5BEC" w:rsidRPr="006F5BEC">
        <w:rPr>
          <w:bCs/>
        </w:rPr>
        <w:t xml:space="preserve">engage with stakeholders to help </w:t>
      </w:r>
      <w:r w:rsidR="00CB693D">
        <w:rPr>
          <w:bCs/>
        </w:rPr>
        <w:t>shape the future of the UPOV </w:t>
      </w:r>
      <w:r w:rsidRPr="002A0D3A">
        <w:rPr>
          <w:bCs/>
        </w:rPr>
        <w:t>system.</w:t>
      </w:r>
    </w:p>
    <w:p w:rsidR="00731C96" w:rsidRDefault="00731C96" w:rsidP="00731C96">
      <w:pPr>
        <w:rPr>
          <w:b/>
          <w:bCs/>
          <w:sz w:val="22"/>
          <w:szCs w:val="22"/>
        </w:rPr>
      </w:pPr>
    </w:p>
    <w:p w:rsidR="00731C96" w:rsidRPr="0038143C" w:rsidRDefault="00731C96" w:rsidP="00731C96">
      <w:pPr>
        <w:pStyle w:val="Heading4"/>
        <w:rPr>
          <w:lang w:val="en-US"/>
        </w:rPr>
      </w:pPr>
      <w:bookmarkStart w:id="21" w:name="_Toc107239339"/>
      <w:bookmarkStart w:id="22" w:name="_Toc107239589"/>
      <w:bookmarkStart w:id="23" w:name="_Toc117798884"/>
      <w:r w:rsidRPr="0038143C">
        <w:rPr>
          <w:lang w:val="en-US"/>
        </w:rPr>
        <w:t>Future Direction</w:t>
      </w:r>
      <w:bookmarkEnd w:id="21"/>
      <w:bookmarkEnd w:id="22"/>
      <w:bookmarkEnd w:id="23"/>
    </w:p>
    <w:p w:rsidR="00731C96" w:rsidRDefault="00731C96" w:rsidP="00731C96">
      <w:pPr>
        <w:rPr>
          <w:b/>
          <w:bCs/>
          <w:sz w:val="22"/>
          <w:szCs w:val="22"/>
        </w:rPr>
      </w:pPr>
    </w:p>
    <w:p w:rsidR="00731C96" w:rsidRDefault="00731C96" w:rsidP="00731C96">
      <w:pPr>
        <w:pStyle w:val="Heading5"/>
      </w:pPr>
      <w:bookmarkStart w:id="24" w:name="_Toc107239340"/>
      <w:bookmarkStart w:id="25" w:name="_Toc107239590"/>
      <w:bookmarkStart w:id="26" w:name="_Toc117798885"/>
      <w:r>
        <w:t>1.1</w:t>
      </w:r>
      <w:r>
        <w:tab/>
      </w:r>
      <w:r w:rsidRPr="00FE0273">
        <w:t>Governance by the UPOV Council and work of UPOV Committees</w:t>
      </w:r>
      <w:r>
        <w:t xml:space="preserve"> and other bodies</w:t>
      </w:r>
      <w:bookmarkEnd w:id="24"/>
      <w:bookmarkEnd w:id="25"/>
      <w:bookmarkEnd w:id="26"/>
    </w:p>
    <w:p w:rsidR="00731C96" w:rsidRDefault="00731C96" w:rsidP="00731C96">
      <w:pPr>
        <w:rPr>
          <w:b/>
          <w:bCs/>
          <w:sz w:val="22"/>
          <w:szCs w:val="22"/>
        </w:rPr>
      </w:pPr>
    </w:p>
    <w:p w:rsidR="00731C96" w:rsidRDefault="00731C96" w:rsidP="00731C96">
      <w:r>
        <w:fldChar w:fldCharType="begin"/>
      </w:r>
      <w:r>
        <w:instrText xml:space="preserve"> AUTONUM  </w:instrText>
      </w:r>
      <w:r>
        <w:fldChar w:fldCharType="end"/>
      </w:r>
      <w:r>
        <w:tab/>
        <w:t xml:space="preserve">The Council, comprising members of the Union and observers, will continue </w:t>
      </w:r>
      <w:r w:rsidRPr="009708D5">
        <w:t>to govern UPOV’s direction</w:t>
      </w:r>
      <w:r>
        <w:t xml:space="preserve">, being guided by the Consultative Committee the Administrative and Legal Committee (CAJ), </w:t>
      </w:r>
      <w:r w:rsidRPr="007930E0">
        <w:t>Technical Committee</w:t>
      </w:r>
      <w:r>
        <w:t>, Technical Working Parties and working groups, as appropriate.</w:t>
      </w:r>
    </w:p>
    <w:p w:rsidR="00731C96" w:rsidRDefault="00731C96" w:rsidP="00731C96"/>
    <w:p w:rsidR="00731C96" w:rsidRDefault="00731C96" w:rsidP="00731C96">
      <w:r>
        <w:fldChar w:fldCharType="begin"/>
      </w:r>
      <w:r>
        <w:instrText xml:space="preserve"> AUTONUM  </w:instrText>
      </w:r>
      <w:r>
        <w:fldChar w:fldCharType="end"/>
      </w:r>
      <w:r>
        <w:tab/>
        <w:t xml:space="preserve">As UPOV evolves, and in the interest of achieving maximum effectiveness, it will be important for the work of the committees to be kept under review.  An example of this was the decision for meetings of the Council, Consultative Committee and CAJ to be reduced from twice per year to annually from 2018.  A review is taking place in the </w:t>
      </w:r>
      <w:r w:rsidRPr="007930E0">
        <w:t>Technical Committee</w:t>
      </w:r>
      <w:r>
        <w:t xml:space="preserve"> to assess opportunities for the work of the </w:t>
      </w:r>
      <w:r w:rsidRPr="007930E0">
        <w:t>Technical Committee</w:t>
      </w:r>
      <w:r>
        <w:t xml:space="preserve"> and Technical Working Parties to be improved, particularly with a view to increasing cooperation as a fundamental benefit of UPOV membership. </w:t>
      </w:r>
    </w:p>
    <w:p w:rsidR="00731C96" w:rsidRDefault="00731C96" w:rsidP="00731C96"/>
    <w:p w:rsidR="00731C96" w:rsidRPr="00421986" w:rsidRDefault="00731C96" w:rsidP="00731C96">
      <w:r>
        <w:fldChar w:fldCharType="begin"/>
      </w:r>
      <w:r>
        <w:instrText xml:space="preserve"> AUTONUM  </w:instrText>
      </w:r>
      <w:r>
        <w:fldChar w:fldCharType="end"/>
      </w:r>
      <w:r>
        <w:tab/>
      </w:r>
      <w:r w:rsidRPr="00421986">
        <w:t xml:space="preserve">In relation to meetings of UPOV bodies, consideration will need to be given to policy on </w:t>
      </w:r>
      <w:r>
        <w:t xml:space="preserve">physical and </w:t>
      </w:r>
      <w:r w:rsidRPr="00421986">
        <w:t>virtual participation with a view to increasing participation and</w:t>
      </w:r>
      <w:r>
        <w:t xml:space="preserve"> increasing the</w:t>
      </w:r>
      <w:r w:rsidRPr="00421986">
        <w:t xml:space="preserve"> effectiveness of meetings. </w:t>
      </w:r>
    </w:p>
    <w:p w:rsidR="00731C96" w:rsidRPr="00421986" w:rsidRDefault="00731C96" w:rsidP="00731C96"/>
    <w:p w:rsidR="00731C96" w:rsidRDefault="00731C96" w:rsidP="00731C96">
      <w:pPr>
        <w:pStyle w:val="Heading5"/>
      </w:pPr>
      <w:bookmarkStart w:id="27" w:name="_Toc107239341"/>
      <w:bookmarkStart w:id="28" w:name="_Toc107239591"/>
      <w:bookmarkStart w:id="29" w:name="_Toc117798886"/>
      <w:r>
        <w:t>1.2</w:t>
      </w:r>
      <w:r>
        <w:tab/>
      </w:r>
      <w:r w:rsidRPr="00946458">
        <w:t xml:space="preserve">Development of legislation on plant variety protection in accordance with the </w:t>
      </w:r>
      <w:r>
        <w:t>1991 Act</w:t>
      </w:r>
      <w:r w:rsidRPr="00946458">
        <w:t xml:space="preserve"> of the </w:t>
      </w:r>
      <w:r>
        <w:t>UPOV Convention</w:t>
      </w:r>
      <w:bookmarkEnd w:id="27"/>
      <w:bookmarkEnd w:id="28"/>
      <w:bookmarkEnd w:id="29"/>
    </w:p>
    <w:p w:rsidR="00731C96" w:rsidRDefault="00731C96" w:rsidP="00731C96"/>
    <w:p w:rsidR="00731C96" w:rsidRPr="00981407" w:rsidRDefault="00731C96" w:rsidP="00731C96">
      <w:pPr>
        <w:rPr>
          <w:bCs/>
        </w:rPr>
      </w:pPr>
      <w:r>
        <w:rPr>
          <w:bCs/>
        </w:rPr>
        <w:fldChar w:fldCharType="begin"/>
      </w:r>
      <w:r>
        <w:rPr>
          <w:bCs/>
        </w:rPr>
        <w:instrText xml:space="preserve"> AUTONUM  </w:instrText>
      </w:r>
      <w:r>
        <w:rPr>
          <w:bCs/>
        </w:rPr>
        <w:fldChar w:fldCharType="end"/>
      </w:r>
      <w:r>
        <w:rPr>
          <w:bCs/>
        </w:rPr>
        <w:tab/>
      </w:r>
      <w:r w:rsidRPr="00981407">
        <w:rPr>
          <w:bCs/>
        </w:rPr>
        <w:t>Any State or intergovernmental organization wishing to become a m</w:t>
      </w:r>
      <w:r>
        <w:rPr>
          <w:bCs/>
        </w:rPr>
        <w:t>ember of UPOV needs to obtain a </w:t>
      </w:r>
      <w:r w:rsidRPr="00981407">
        <w:rPr>
          <w:bCs/>
        </w:rPr>
        <w:t xml:space="preserve">positive advice of the Council of UPOV on the conformity of its laws </w:t>
      </w:r>
      <w:r>
        <w:rPr>
          <w:bCs/>
        </w:rPr>
        <w:t>with the provisions of the UPOV Convention</w:t>
      </w:r>
      <w:r w:rsidRPr="00981407">
        <w:rPr>
          <w:bCs/>
        </w:rPr>
        <w:t xml:space="preserve"> prior to depositing its instrument of accession.  A key part of UPOV</w:t>
      </w:r>
      <w:r>
        <w:rPr>
          <w:bCs/>
        </w:rPr>
        <w:t>’</w:t>
      </w:r>
      <w:r w:rsidRPr="00981407">
        <w:rPr>
          <w:bCs/>
        </w:rPr>
        <w:t xml:space="preserve">s work is to provide guidance </w:t>
      </w:r>
      <w:r>
        <w:rPr>
          <w:bCs/>
        </w:rPr>
        <w:t>for</w:t>
      </w:r>
      <w:r w:rsidRPr="00981407">
        <w:rPr>
          <w:bCs/>
        </w:rPr>
        <w:t xml:space="preserve"> States/ intergovernmental organizations wishing to draft a law in accordanc</w:t>
      </w:r>
      <w:r>
        <w:rPr>
          <w:bCs/>
        </w:rPr>
        <w:t>e with the 1991 Act of the UPOV Convention</w:t>
      </w:r>
      <w:r w:rsidRPr="00981407">
        <w:rPr>
          <w:bCs/>
        </w:rPr>
        <w:t xml:space="preserve">.  </w:t>
      </w:r>
    </w:p>
    <w:p w:rsidR="00731C96" w:rsidRDefault="00731C96" w:rsidP="00731C96">
      <w:pPr>
        <w:rPr>
          <w:b/>
          <w:bCs/>
        </w:rPr>
      </w:pPr>
    </w:p>
    <w:p w:rsidR="00731C96" w:rsidRPr="00981407" w:rsidRDefault="00731C96" w:rsidP="00731C96">
      <w:pPr>
        <w:rPr>
          <w:b/>
          <w:bCs/>
        </w:rPr>
      </w:pPr>
    </w:p>
    <w:p w:rsidR="00731C96" w:rsidRDefault="00731C96" w:rsidP="00731C96">
      <w:pPr>
        <w:pStyle w:val="Heading3"/>
      </w:pPr>
      <w:bookmarkStart w:id="30" w:name="_Toc107239342"/>
      <w:bookmarkStart w:id="31" w:name="_Toc107239592"/>
      <w:bookmarkStart w:id="32" w:name="_Toc117798887"/>
      <w:r>
        <w:t>Pillar 2: Provide guidance and assistance and facilitate</w:t>
      </w:r>
      <w:r w:rsidRPr="00224065">
        <w:t xml:space="preserve"> cooperation </w:t>
      </w:r>
      <w:r>
        <w:t>for implementing the UPOV system</w:t>
      </w:r>
      <w:bookmarkEnd w:id="30"/>
      <w:bookmarkEnd w:id="31"/>
      <w:bookmarkEnd w:id="32"/>
      <w:r w:rsidRPr="00224065">
        <w:t xml:space="preserve"> </w:t>
      </w:r>
    </w:p>
    <w:p w:rsidR="00731C96" w:rsidRDefault="00731C96" w:rsidP="00731C96">
      <w:pPr>
        <w:rPr>
          <w:b/>
          <w:bCs/>
          <w:sz w:val="22"/>
          <w:szCs w:val="22"/>
        </w:rPr>
      </w:pPr>
    </w:p>
    <w:p w:rsidR="00731C96" w:rsidRPr="0038143C" w:rsidRDefault="00731C96" w:rsidP="00731C96">
      <w:pPr>
        <w:pStyle w:val="Heading4"/>
        <w:rPr>
          <w:lang w:val="en-US"/>
        </w:rPr>
      </w:pPr>
      <w:bookmarkStart w:id="33" w:name="_Toc107239343"/>
      <w:bookmarkStart w:id="34" w:name="_Toc107239593"/>
      <w:bookmarkStart w:id="35" w:name="_Toc117798888"/>
      <w:r w:rsidRPr="0038143C">
        <w:rPr>
          <w:lang w:val="en-US"/>
        </w:rPr>
        <w:t>Background</w:t>
      </w:r>
      <w:bookmarkEnd w:id="33"/>
      <w:bookmarkEnd w:id="34"/>
      <w:bookmarkEnd w:id="35"/>
    </w:p>
    <w:p w:rsidR="00731C96" w:rsidRDefault="00731C96" w:rsidP="00731C96"/>
    <w:p w:rsidR="00731C96" w:rsidRDefault="00731C96" w:rsidP="00731C96">
      <w:pPr>
        <w:rPr>
          <w:color w:val="000000" w:themeColor="text1"/>
        </w:rPr>
      </w:pPr>
      <w:r>
        <w:rPr>
          <w:color w:val="000000" w:themeColor="text1"/>
        </w:rPr>
        <w:fldChar w:fldCharType="begin"/>
      </w:r>
      <w:r>
        <w:rPr>
          <w:color w:val="000000" w:themeColor="text1"/>
        </w:rPr>
        <w:instrText xml:space="preserve"> AUTONUM  </w:instrText>
      </w:r>
      <w:r>
        <w:rPr>
          <w:color w:val="000000" w:themeColor="text1"/>
        </w:rPr>
        <w:fldChar w:fldCharType="end"/>
      </w:r>
      <w:r>
        <w:rPr>
          <w:color w:val="000000" w:themeColor="text1"/>
        </w:rPr>
        <w:tab/>
        <w:t xml:space="preserve">This Strategic Pillar covers UPOV’s work on </w:t>
      </w:r>
      <w:r w:rsidRPr="007B37B6">
        <w:rPr>
          <w:color w:val="000000" w:themeColor="text1"/>
        </w:rPr>
        <w:t>explain</w:t>
      </w:r>
      <w:r>
        <w:rPr>
          <w:color w:val="000000" w:themeColor="text1"/>
        </w:rPr>
        <w:t>ing how the UPOV </w:t>
      </w:r>
      <w:r w:rsidRPr="007B37B6">
        <w:rPr>
          <w:color w:val="000000" w:themeColor="text1"/>
        </w:rPr>
        <w:t>system encourages the development of new varieties of plants, how new varieties</w:t>
      </w:r>
      <w:r>
        <w:rPr>
          <w:color w:val="000000" w:themeColor="text1"/>
        </w:rPr>
        <w:t xml:space="preserve"> provide</w:t>
      </w:r>
      <w:r w:rsidRPr="007B37B6">
        <w:rPr>
          <w:color w:val="000000" w:themeColor="text1"/>
        </w:rPr>
        <w:t xml:space="preserve"> benefit</w:t>
      </w:r>
      <w:r>
        <w:rPr>
          <w:color w:val="000000" w:themeColor="text1"/>
        </w:rPr>
        <w:t>s</w:t>
      </w:r>
      <w:r w:rsidRPr="007B37B6">
        <w:rPr>
          <w:color w:val="000000" w:themeColor="text1"/>
        </w:rPr>
        <w:t xml:space="preserve"> </w:t>
      </w:r>
      <w:r>
        <w:rPr>
          <w:color w:val="000000" w:themeColor="text1"/>
        </w:rPr>
        <w:t xml:space="preserve">for </w:t>
      </w:r>
      <w:r w:rsidRPr="007B37B6">
        <w:rPr>
          <w:color w:val="000000" w:themeColor="text1"/>
        </w:rPr>
        <w:t>s</w:t>
      </w:r>
      <w:r>
        <w:rPr>
          <w:color w:val="000000" w:themeColor="text1"/>
        </w:rPr>
        <w:t>ociety and the role of the UPOV </w:t>
      </w:r>
      <w:r w:rsidRPr="007B37B6">
        <w:rPr>
          <w:color w:val="000000" w:themeColor="text1"/>
        </w:rPr>
        <w:t>system in relation to agriculture and economic development in the rural sector.</w:t>
      </w:r>
      <w:r>
        <w:rPr>
          <w:color w:val="000000" w:themeColor="text1"/>
        </w:rPr>
        <w:t xml:space="preserve">  </w:t>
      </w:r>
      <w:r w:rsidRPr="007B37B6">
        <w:rPr>
          <w:color w:val="000000" w:themeColor="text1"/>
        </w:rPr>
        <w:t xml:space="preserve">A particular objective is to raise awareness of the benefits of plant variety protection according to the </w:t>
      </w:r>
      <w:r>
        <w:rPr>
          <w:color w:val="000000" w:themeColor="text1"/>
        </w:rPr>
        <w:t>UPOV Convention and UPOV </w:t>
      </w:r>
      <w:r w:rsidRPr="007B37B6">
        <w:rPr>
          <w:color w:val="000000" w:themeColor="text1"/>
        </w:rPr>
        <w:t xml:space="preserve">membership for States and intergovernmental organizations that are not members of </w:t>
      </w:r>
      <w:r>
        <w:rPr>
          <w:color w:val="000000" w:themeColor="text1"/>
        </w:rPr>
        <w:t>the Union</w:t>
      </w:r>
      <w:r w:rsidRPr="007B37B6">
        <w:rPr>
          <w:color w:val="000000" w:themeColor="text1"/>
        </w:rPr>
        <w:t>.</w:t>
      </w:r>
      <w:r>
        <w:rPr>
          <w:color w:val="000000" w:themeColor="text1"/>
        </w:rPr>
        <w:t xml:space="preserve">  </w:t>
      </w:r>
      <w:r w:rsidRPr="00421986">
        <w:rPr>
          <w:color w:val="000000" w:themeColor="text1"/>
        </w:rPr>
        <w:t xml:space="preserve">This </w:t>
      </w:r>
      <w:r w:rsidRPr="00725FA9">
        <w:rPr>
          <w:color w:val="000000" w:themeColor="text1"/>
        </w:rPr>
        <w:t xml:space="preserve">Strategic Pillar </w:t>
      </w:r>
      <w:r>
        <w:rPr>
          <w:color w:val="000000" w:themeColor="text1"/>
        </w:rPr>
        <w:t xml:space="preserve">also </w:t>
      </w:r>
      <w:r w:rsidRPr="00421986">
        <w:rPr>
          <w:color w:val="000000" w:themeColor="text1"/>
        </w:rPr>
        <w:t>c</w:t>
      </w:r>
      <w:r>
        <w:rPr>
          <w:color w:val="000000" w:themeColor="text1"/>
        </w:rPr>
        <w:t>overs the provision of guidance and</w:t>
      </w:r>
      <w:r w:rsidRPr="00421986">
        <w:rPr>
          <w:color w:val="000000" w:themeColor="text1"/>
        </w:rPr>
        <w:t xml:space="preserve"> information </w:t>
      </w:r>
      <w:r>
        <w:rPr>
          <w:color w:val="000000" w:themeColor="text1"/>
        </w:rPr>
        <w:t>for the operation of the UPOV </w:t>
      </w:r>
      <w:r w:rsidRPr="00421986">
        <w:rPr>
          <w:color w:val="000000" w:themeColor="text1"/>
        </w:rPr>
        <w:t xml:space="preserve">system of </w:t>
      </w:r>
      <w:r w:rsidRPr="00421986">
        <w:rPr>
          <w:snapToGrid w:val="0"/>
          <w:color w:val="000000" w:themeColor="text1"/>
        </w:rPr>
        <w:t>plant variety protection</w:t>
      </w:r>
      <w:r w:rsidRPr="00421986">
        <w:rPr>
          <w:color w:val="000000" w:themeColor="text1"/>
        </w:rPr>
        <w:t xml:space="preserve">, </w:t>
      </w:r>
      <w:r>
        <w:rPr>
          <w:color w:val="000000" w:themeColor="text1"/>
        </w:rPr>
        <w:t xml:space="preserve">and </w:t>
      </w:r>
      <w:r w:rsidRPr="00421986">
        <w:rPr>
          <w:color w:val="000000" w:themeColor="text1"/>
        </w:rPr>
        <w:t xml:space="preserve">support for cooperation between members of </w:t>
      </w:r>
      <w:r>
        <w:rPr>
          <w:color w:val="000000" w:themeColor="text1"/>
        </w:rPr>
        <w:t>the Union, including work on harmonization</w:t>
      </w:r>
      <w:r w:rsidRPr="00421986">
        <w:rPr>
          <w:color w:val="000000" w:themeColor="text1"/>
        </w:rPr>
        <w:t>.</w:t>
      </w:r>
    </w:p>
    <w:p w:rsidR="00731C96" w:rsidRDefault="00731C96" w:rsidP="00731C96">
      <w:pPr>
        <w:rPr>
          <w:color w:val="000000" w:themeColor="text1"/>
        </w:rPr>
      </w:pPr>
    </w:p>
    <w:p w:rsidR="00731C96" w:rsidRDefault="00731C96" w:rsidP="00731C96">
      <w:pPr>
        <w:rPr>
          <w:color w:val="000000" w:themeColor="text1"/>
        </w:rPr>
      </w:pPr>
      <w:r>
        <w:rPr>
          <w:color w:val="000000" w:themeColor="text1"/>
        </w:rPr>
        <w:fldChar w:fldCharType="begin"/>
      </w:r>
      <w:r>
        <w:rPr>
          <w:color w:val="000000" w:themeColor="text1"/>
        </w:rPr>
        <w:instrText xml:space="preserve"> AUTONUM  </w:instrText>
      </w:r>
      <w:r>
        <w:rPr>
          <w:color w:val="000000" w:themeColor="text1"/>
        </w:rPr>
        <w:fldChar w:fldCharType="end"/>
      </w:r>
      <w:r>
        <w:rPr>
          <w:color w:val="000000" w:themeColor="text1"/>
        </w:rPr>
        <w:tab/>
      </w:r>
      <w:r w:rsidRPr="00151DB5">
        <w:rPr>
          <w:color w:val="000000" w:themeColor="text1"/>
        </w:rPr>
        <w:t>UPOV</w:t>
      </w:r>
      <w:r>
        <w:rPr>
          <w:color w:val="000000" w:themeColor="text1"/>
        </w:rPr>
        <w:t>’</w:t>
      </w:r>
      <w:r w:rsidRPr="00151DB5">
        <w:rPr>
          <w:color w:val="000000" w:themeColor="text1"/>
        </w:rPr>
        <w:t>s Communication Strategy</w:t>
      </w:r>
      <w:r>
        <w:rPr>
          <w:color w:val="000000" w:themeColor="text1"/>
        </w:rPr>
        <w:t xml:space="preserve"> and Training and Assistance Strategy underpin this Strategic Pillar</w:t>
      </w:r>
      <w:r w:rsidRPr="00151DB5">
        <w:rPr>
          <w:color w:val="000000" w:themeColor="text1"/>
        </w:rPr>
        <w:t>.</w:t>
      </w:r>
    </w:p>
    <w:p w:rsidR="00731C96" w:rsidRDefault="00731C96" w:rsidP="00731C96">
      <w:pPr>
        <w:tabs>
          <w:tab w:val="left" w:pos="851"/>
        </w:tabs>
        <w:rPr>
          <w:color w:val="000000" w:themeColor="text1"/>
        </w:rPr>
      </w:pPr>
    </w:p>
    <w:p w:rsidR="00731C96" w:rsidRPr="0038143C" w:rsidRDefault="00731C96" w:rsidP="00731C96">
      <w:pPr>
        <w:pStyle w:val="Heading4"/>
        <w:rPr>
          <w:lang w:val="en-US"/>
        </w:rPr>
      </w:pPr>
      <w:bookmarkStart w:id="36" w:name="_Toc107239344"/>
      <w:bookmarkStart w:id="37" w:name="_Toc107239594"/>
      <w:bookmarkStart w:id="38" w:name="_Toc117798889"/>
      <w:r w:rsidRPr="0038143C">
        <w:rPr>
          <w:lang w:val="en-US"/>
        </w:rPr>
        <w:t>Future Direction</w:t>
      </w:r>
      <w:bookmarkEnd w:id="36"/>
      <w:bookmarkEnd w:id="37"/>
      <w:bookmarkEnd w:id="38"/>
    </w:p>
    <w:p w:rsidR="00731C96" w:rsidRDefault="00731C96" w:rsidP="00731C96">
      <w:pPr>
        <w:tabs>
          <w:tab w:val="left" w:pos="567"/>
        </w:tabs>
        <w:rPr>
          <w:color w:val="000000" w:themeColor="text1"/>
        </w:rPr>
      </w:pPr>
    </w:p>
    <w:p w:rsidR="00731C96" w:rsidRPr="00D52905" w:rsidRDefault="00731C96" w:rsidP="00731C96">
      <w:pPr>
        <w:pStyle w:val="Heading5"/>
      </w:pPr>
      <w:bookmarkStart w:id="39" w:name="_Toc107239345"/>
      <w:bookmarkStart w:id="40" w:name="_Toc107239595"/>
      <w:bookmarkStart w:id="41" w:name="_Toc117798890"/>
      <w:r>
        <w:t>2</w:t>
      </w:r>
      <w:r w:rsidRPr="00D52905">
        <w:t>.1</w:t>
      </w:r>
      <w:r w:rsidRPr="00D52905">
        <w:tab/>
      </w:r>
      <w:r w:rsidRPr="00151DB5">
        <w:t>Enhance</w:t>
      </w:r>
      <w:r>
        <w:t>d</w:t>
      </w:r>
      <w:r w:rsidRPr="00151DB5">
        <w:t xml:space="preserve"> awareness of the role of the UPOV </w:t>
      </w:r>
      <w:r>
        <w:t>system</w:t>
      </w:r>
      <w:bookmarkEnd w:id="39"/>
      <w:bookmarkEnd w:id="40"/>
      <w:bookmarkEnd w:id="41"/>
    </w:p>
    <w:p w:rsidR="00731C96" w:rsidRDefault="00731C96" w:rsidP="00731C96">
      <w:pPr>
        <w:pStyle w:val="Heading5"/>
      </w:pPr>
    </w:p>
    <w:p w:rsidR="00731C96" w:rsidRPr="00151DB5" w:rsidRDefault="00731C96" w:rsidP="00731C96">
      <w:r w:rsidRPr="00151DB5">
        <w:fldChar w:fldCharType="begin"/>
      </w:r>
      <w:r w:rsidRPr="00151DB5">
        <w:instrText xml:space="preserve"> AUTONUM  </w:instrText>
      </w:r>
      <w:r w:rsidRPr="00151DB5">
        <w:fldChar w:fldCharType="end"/>
      </w:r>
      <w:r w:rsidRPr="00151DB5">
        <w:tab/>
        <w:t xml:space="preserve">The focus will be on the development of information concerning the benefits of plant variety protection and UPOV membership.  The Office of </w:t>
      </w:r>
      <w:r>
        <w:t>the Union</w:t>
      </w:r>
      <w:r w:rsidRPr="00151DB5">
        <w:t xml:space="preserve"> will work with members of </w:t>
      </w:r>
      <w:r>
        <w:t>the Union</w:t>
      </w:r>
      <w:r w:rsidRPr="00151DB5">
        <w:t xml:space="preserve"> to develop illustrative examples, case studies and data that communicate the benefits of the UPOV system in an engaging way, such as in the form of videos, study tours and impact studies.</w:t>
      </w:r>
    </w:p>
    <w:p w:rsidR="00731C96" w:rsidRPr="00151DB5" w:rsidRDefault="00731C96" w:rsidP="00731C96"/>
    <w:p w:rsidR="00731C96" w:rsidRPr="00151DB5" w:rsidRDefault="00731C96" w:rsidP="00731C96">
      <w:r w:rsidRPr="00151DB5">
        <w:fldChar w:fldCharType="begin"/>
      </w:r>
      <w:r w:rsidRPr="00151DB5">
        <w:instrText xml:space="preserve"> AUTONUM  </w:instrText>
      </w:r>
      <w:r w:rsidRPr="00151DB5">
        <w:fldChar w:fldCharType="end"/>
      </w:r>
      <w:r w:rsidRPr="00151DB5">
        <w:tab/>
        <w:t xml:space="preserve">Work on FAQs and infographics will continue to play an important role in communicating key aspects of the UPOV system and in addressing misinformation.  UPOV will actively participate in meetings and events of relevant organizations and the Office of </w:t>
      </w:r>
      <w:r>
        <w:t>the Union</w:t>
      </w:r>
      <w:r w:rsidRPr="00151DB5">
        <w:t xml:space="preserve"> will seek to work closely with the secretariats of other organizations to increase awareness and understanding of UPOV</w:t>
      </w:r>
      <w:r>
        <w:t>’</w:t>
      </w:r>
      <w:r w:rsidRPr="00151DB5">
        <w:t xml:space="preserve">s mission. </w:t>
      </w:r>
    </w:p>
    <w:p w:rsidR="00731C96" w:rsidRPr="00151DB5" w:rsidRDefault="00731C96" w:rsidP="00731C96"/>
    <w:p w:rsidR="00731C96" w:rsidRPr="00151DB5" w:rsidRDefault="00731C96" w:rsidP="00731C96">
      <w:pPr>
        <w:rPr>
          <w:color w:val="000000" w:themeColor="text1"/>
        </w:rPr>
      </w:pPr>
      <w:r w:rsidRPr="00151DB5">
        <w:fldChar w:fldCharType="begin"/>
      </w:r>
      <w:r w:rsidRPr="00151DB5">
        <w:instrText xml:space="preserve"> AUTONUM  </w:instrText>
      </w:r>
      <w:r w:rsidRPr="00151DB5">
        <w:fldChar w:fldCharType="end"/>
      </w:r>
      <w:r w:rsidRPr="00151DB5">
        <w:tab/>
        <w:t>Traditional events and a</w:t>
      </w:r>
      <w:r w:rsidRPr="00151DB5">
        <w:rPr>
          <w:color w:val="000000" w:themeColor="text1"/>
        </w:rPr>
        <w:t xml:space="preserve">ctivities, such as seminars and workshops, will continue to play a key role in outreach.  However, greater emphasis will be made on the use of virtual activities to increase outreach, achieve greater impact, reduce cost and reduce the impact of the Office of </w:t>
      </w:r>
      <w:r>
        <w:rPr>
          <w:color w:val="000000" w:themeColor="text1"/>
        </w:rPr>
        <w:t>the Union’</w:t>
      </w:r>
      <w:r w:rsidRPr="00151DB5">
        <w:rPr>
          <w:color w:val="000000" w:themeColor="text1"/>
        </w:rPr>
        <w:t>s work on the environment.</w:t>
      </w:r>
    </w:p>
    <w:p w:rsidR="00731C96" w:rsidRPr="00151DB5" w:rsidRDefault="00731C96" w:rsidP="00731C96">
      <w:pPr>
        <w:rPr>
          <w:color w:val="000000" w:themeColor="text1"/>
        </w:rPr>
      </w:pPr>
    </w:p>
    <w:p w:rsidR="00731C96" w:rsidRPr="00151DB5" w:rsidRDefault="00731C96" w:rsidP="00731C96">
      <w:r w:rsidRPr="00151DB5">
        <w:fldChar w:fldCharType="begin"/>
      </w:r>
      <w:r w:rsidRPr="00151DB5">
        <w:instrText xml:space="preserve"> AUTONUM  </w:instrText>
      </w:r>
      <w:r w:rsidRPr="00151DB5">
        <w:fldChar w:fldCharType="end"/>
      </w:r>
      <w:r w:rsidRPr="00151DB5">
        <w:tab/>
        <w:t>Social media will play an increasingly important role in communicating information.</w:t>
      </w:r>
    </w:p>
    <w:p w:rsidR="00731C96" w:rsidRPr="00151DB5" w:rsidRDefault="00731C96" w:rsidP="00731C96"/>
    <w:p w:rsidR="00731C96" w:rsidRDefault="00731C96" w:rsidP="00731C96">
      <w:r w:rsidRPr="00151DB5">
        <w:fldChar w:fldCharType="begin"/>
      </w:r>
      <w:r w:rsidRPr="00151DB5">
        <w:instrText xml:space="preserve"> AUTONUM  </w:instrText>
      </w:r>
      <w:r w:rsidRPr="00151DB5">
        <w:fldChar w:fldCharType="end"/>
      </w:r>
      <w:r w:rsidRPr="00151DB5">
        <w:tab/>
        <w:t>UPOV</w:t>
      </w:r>
      <w:r>
        <w:t>’</w:t>
      </w:r>
      <w:r w:rsidRPr="00151DB5">
        <w:t xml:space="preserve">s </w:t>
      </w:r>
      <w:r>
        <w:t xml:space="preserve">translation </w:t>
      </w:r>
      <w:r w:rsidRPr="00151DB5">
        <w:t>policy is aimed at using machine translation to increase the availability of UPOV</w:t>
      </w:r>
      <w:r>
        <w:t>’</w:t>
      </w:r>
      <w:r w:rsidRPr="00151DB5">
        <w:t xml:space="preserve">s material in a range of languages </w:t>
      </w:r>
      <w:r>
        <w:t>by</w:t>
      </w:r>
      <w:r w:rsidRPr="00151DB5">
        <w:t xml:space="preserve"> </w:t>
      </w:r>
      <w:r>
        <w:t xml:space="preserve">increasingly cost-effective </w:t>
      </w:r>
      <w:r w:rsidRPr="00151DB5">
        <w:t>translation.</w:t>
      </w:r>
    </w:p>
    <w:p w:rsidR="00731C96" w:rsidRDefault="00731C96" w:rsidP="00731C96">
      <w:pPr>
        <w:jc w:val="left"/>
        <w:rPr>
          <w:bCs/>
        </w:rPr>
      </w:pPr>
      <w:r>
        <w:rPr>
          <w:bCs/>
        </w:rPr>
        <w:br w:type="page"/>
      </w:r>
    </w:p>
    <w:p w:rsidR="00731C96" w:rsidRDefault="00731C96" w:rsidP="00731C96">
      <w:pPr>
        <w:pStyle w:val="Heading5"/>
      </w:pPr>
    </w:p>
    <w:p w:rsidR="00731C96" w:rsidRDefault="00731C96" w:rsidP="00731C96">
      <w:pPr>
        <w:pStyle w:val="Heading5"/>
      </w:pPr>
      <w:bookmarkStart w:id="42" w:name="_Toc107239346"/>
      <w:bookmarkStart w:id="43" w:name="_Toc107239596"/>
      <w:bookmarkStart w:id="44" w:name="_Toc117798891"/>
      <w:r>
        <w:t>2.2</w:t>
      </w:r>
      <w:r w:rsidRPr="00D52905">
        <w:tab/>
        <w:t>Guidance</w:t>
      </w:r>
      <w:r>
        <w:t xml:space="preserve"> and assistance</w:t>
      </w:r>
      <w:r w:rsidRPr="00D52905">
        <w:t xml:space="preserve"> on the </w:t>
      </w:r>
      <w:r>
        <w:t>UPOV Convention</w:t>
      </w:r>
      <w:r w:rsidRPr="00D52905">
        <w:t xml:space="preserve"> and its implementation</w:t>
      </w:r>
      <w:bookmarkEnd w:id="42"/>
      <w:bookmarkEnd w:id="43"/>
      <w:bookmarkEnd w:id="44"/>
    </w:p>
    <w:p w:rsidR="00731C96" w:rsidRPr="00255FF1" w:rsidRDefault="00731C96" w:rsidP="00731C96">
      <w:pPr>
        <w:keepNext/>
      </w:pPr>
    </w:p>
    <w:p w:rsidR="00731C96" w:rsidRPr="00981407" w:rsidRDefault="00731C96" w:rsidP="00731C96">
      <w:pPr>
        <w:pStyle w:val="Heading6"/>
      </w:pPr>
      <w:bookmarkStart w:id="45" w:name="_Toc107239347"/>
      <w:bookmarkStart w:id="46" w:name="_Toc107239597"/>
      <w:bookmarkStart w:id="47" w:name="_Toc117798892"/>
      <w:r w:rsidRPr="00981407">
        <w:t>Guidance and information material</w:t>
      </w:r>
      <w:bookmarkEnd w:id="45"/>
      <w:bookmarkEnd w:id="46"/>
      <w:bookmarkEnd w:id="47"/>
    </w:p>
    <w:p w:rsidR="00731C96" w:rsidRDefault="00731C96" w:rsidP="00731C96"/>
    <w:p w:rsidR="00731C96" w:rsidRDefault="00731C96" w:rsidP="00731C96">
      <w:r>
        <w:fldChar w:fldCharType="begin"/>
      </w:r>
      <w:r>
        <w:instrText xml:space="preserve"> AUTONUM  </w:instrText>
      </w:r>
      <w:r>
        <w:fldChar w:fldCharType="end"/>
      </w:r>
      <w:r>
        <w:tab/>
      </w:r>
      <w:r w:rsidRPr="00421986">
        <w:t>The effectiveness of the UPOV system is enhanced by the provision of guidance and information materials such as Explanatory Notes (</w:t>
      </w:r>
      <w:r>
        <w:t>“</w:t>
      </w:r>
      <w:r w:rsidRPr="00421986">
        <w:t>UPOV/EXN</w:t>
      </w:r>
      <w:r>
        <w:t>” series) and</w:t>
      </w:r>
      <w:r w:rsidRPr="00421986">
        <w:t xml:space="preserve"> Information Documents (</w:t>
      </w:r>
      <w:r>
        <w:t>“</w:t>
      </w:r>
      <w:r w:rsidRPr="00421986">
        <w:t>UPOV/INF</w:t>
      </w:r>
      <w:r>
        <w:t>”</w:t>
      </w:r>
      <w:r w:rsidRPr="00421986">
        <w:t xml:space="preserve"> series)</w:t>
      </w:r>
      <w:r>
        <w:t xml:space="preserve">. UPOV will continue to update and develop new guidance material in accordance with the work programs of the UPOV bodies concerned. </w:t>
      </w:r>
    </w:p>
    <w:p w:rsidR="00731C96" w:rsidRDefault="00731C96" w:rsidP="00731C96"/>
    <w:p w:rsidR="00731C96" w:rsidRDefault="00731C96" w:rsidP="00731C96">
      <w:r>
        <w:fldChar w:fldCharType="begin"/>
      </w:r>
      <w:r>
        <w:instrText xml:space="preserve"> AUTONUM  </w:instrText>
      </w:r>
      <w:r>
        <w:fldChar w:fldCharType="end"/>
      </w:r>
      <w:r>
        <w:tab/>
      </w:r>
      <w:r w:rsidRPr="00421986">
        <w:t>UPOV materials and resources are made available in English, French, German and Spanish.  However, as UPOV expands and interest in UPOV membership increases, there are im</w:t>
      </w:r>
      <w:r>
        <w:t>portant benefits in making UPOV </w:t>
      </w:r>
      <w:r w:rsidRPr="00421986">
        <w:t xml:space="preserve">material and resources available in a wider range of languages.  Providing translations of materials and making material available in a range of languages has substantial resource implications and success in this objective will require a range of measures involving cooperation with interested members of </w:t>
      </w:r>
      <w:r>
        <w:t>the Union</w:t>
      </w:r>
      <w:r w:rsidRPr="00421986">
        <w:t xml:space="preserve">.  However, rapid advances in machine translation technology provide new opportunities, which will be pursued as a matter of priority to reduce translation costs for UPOV documents in </w:t>
      </w:r>
      <w:r>
        <w:t>UPOV languages and to make UPOV </w:t>
      </w:r>
      <w:r w:rsidRPr="00421986">
        <w:t>materials in a wider range of languages</w:t>
      </w:r>
      <w:r>
        <w:t xml:space="preserve">.  </w:t>
      </w:r>
    </w:p>
    <w:p w:rsidR="00731C96" w:rsidRPr="00421986" w:rsidRDefault="00731C96" w:rsidP="00731C96">
      <w:pPr>
        <w:tabs>
          <w:tab w:val="left" w:pos="851"/>
        </w:tabs>
      </w:pPr>
    </w:p>
    <w:p w:rsidR="00731C96" w:rsidRPr="00981407" w:rsidRDefault="00731C96" w:rsidP="00731C96">
      <w:pPr>
        <w:pStyle w:val="Heading6"/>
      </w:pPr>
      <w:bookmarkStart w:id="48" w:name="_Toc107239348"/>
      <w:bookmarkStart w:id="49" w:name="_Toc107239598"/>
      <w:bookmarkStart w:id="50" w:name="_Toc117798893"/>
      <w:r w:rsidRPr="00981407">
        <w:t>Training and assistance</w:t>
      </w:r>
      <w:bookmarkEnd w:id="48"/>
      <w:bookmarkEnd w:id="49"/>
      <w:bookmarkEnd w:id="50"/>
    </w:p>
    <w:p w:rsidR="00731C96" w:rsidRDefault="00731C96" w:rsidP="00731C96">
      <w:pPr>
        <w:tabs>
          <w:tab w:val="left" w:pos="851"/>
        </w:tabs>
        <w:rPr>
          <w:color w:val="000000" w:themeColor="text1"/>
        </w:rPr>
      </w:pPr>
    </w:p>
    <w:p w:rsidR="00731C96" w:rsidRPr="00981407" w:rsidRDefault="00731C96" w:rsidP="00731C96">
      <w:r w:rsidRPr="00981407">
        <w:fldChar w:fldCharType="begin"/>
      </w:r>
      <w:r w:rsidRPr="00981407">
        <w:instrText xml:space="preserve"> AUTONUM  </w:instrText>
      </w:r>
      <w:r w:rsidRPr="00981407">
        <w:fldChar w:fldCharType="end"/>
      </w:r>
      <w:r w:rsidRPr="00981407">
        <w:tab/>
        <w:t>UPOV</w:t>
      </w:r>
      <w:r>
        <w:t>’</w:t>
      </w:r>
      <w:r w:rsidRPr="00981407">
        <w:t>s Training and Assistance Strategy underpins the UPOV</w:t>
      </w:r>
      <w:r>
        <w:t>’</w:t>
      </w:r>
      <w:r w:rsidRPr="00981407">
        <w:t xml:space="preserve">s training and assistance </w:t>
      </w:r>
      <w:r>
        <w:t>activities</w:t>
      </w:r>
      <w:r w:rsidRPr="00981407">
        <w:t>.</w:t>
      </w:r>
    </w:p>
    <w:p w:rsidR="00731C96" w:rsidRPr="00981407" w:rsidRDefault="00731C96" w:rsidP="00731C96"/>
    <w:p w:rsidR="00731C96" w:rsidRPr="00981407" w:rsidRDefault="00731C96" w:rsidP="00731C96">
      <w:r>
        <w:fldChar w:fldCharType="begin"/>
      </w:r>
      <w:r>
        <w:instrText xml:space="preserve"> AUTONUM  </w:instrText>
      </w:r>
      <w:r>
        <w:fldChar w:fldCharType="end"/>
      </w:r>
      <w:r>
        <w:tab/>
      </w:r>
      <w:r w:rsidRPr="00981407">
        <w:t>Satisfying the demand for assistance in the introduction and implementation of the UPOV system within available resources relies on the use of distance-learning courses, the prioritizat</w:t>
      </w:r>
      <w:r>
        <w:t>ion of assistance by the Office </w:t>
      </w:r>
      <w:r w:rsidRPr="00981407">
        <w:t xml:space="preserve">of </w:t>
      </w:r>
      <w:r>
        <w:t>the Union</w:t>
      </w:r>
      <w:r w:rsidRPr="00981407">
        <w:t xml:space="preserve">, support by members of </w:t>
      </w:r>
      <w:r>
        <w:t>the Union</w:t>
      </w:r>
      <w:r w:rsidRPr="00981407">
        <w:t xml:space="preserve"> and partnerships with other providers of assistance.  This Thematic Pillar is supported by the regular budget, but </w:t>
      </w:r>
      <w:proofErr w:type="spellStart"/>
      <w:r w:rsidRPr="00981407">
        <w:t>extrabudgetary</w:t>
      </w:r>
      <w:proofErr w:type="spellEnd"/>
      <w:r w:rsidRPr="00981407">
        <w:t xml:space="preserve"> funds and support in kind provide a substantial proportion of the resources deployed for assistance.  In order to utilize the available resources in the most effective way, the Office of </w:t>
      </w:r>
      <w:r>
        <w:t>the Union</w:t>
      </w:r>
      <w:r w:rsidRPr="00981407">
        <w:t xml:space="preserve"> will continue to prioritize its activities and to explore synergies in its activities with members of </w:t>
      </w:r>
      <w:r>
        <w:t>the Union</w:t>
      </w:r>
      <w:r w:rsidRPr="00981407">
        <w:t xml:space="preserve"> and other partners.</w:t>
      </w:r>
    </w:p>
    <w:p w:rsidR="00731C96" w:rsidRPr="00981407" w:rsidRDefault="00731C96" w:rsidP="00731C96"/>
    <w:p w:rsidR="00731C96" w:rsidRPr="00981407" w:rsidRDefault="00731C96" w:rsidP="00731C96">
      <w:pPr>
        <w:rPr>
          <w:color w:val="000000" w:themeColor="text1"/>
        </w:rPr>
      </w:pPr>
      <w:r>
        <w:rPr>
          <w:color w:val="000000" w:themeColor="text1"/>
        </w:rPr>
        <w:fldChar w:fldCharType="begin"/>
      </w:r>
      <w:r>
        <w:rPr>
          <w:color w:val="000000" w:themeColor="text1"/>
        </w:rPr>
        <w:instrText xml:space="preserve"> AUTONUM  </w:instrText>
      </w:r>
      <w:r>
        <w:rPr>
          <w:color w:val="000000" w:themeColor="text1"/>
        </w:rPr>
        <w:fldChar w:fldCharType="end"/>
      </w:r>
      <w:r>
        <w:rPr>
          <w:color w:val="000000" w:themeColor="text1"/>
        </w:rPr>
        <w:tab/>
      </w:r>
      <w:r w:rsidRPr="00981407">
        <w:rPr>
          <w:color w:val="000000" w:themeColor="text1"/>
        </w:rPr>
        <w:t xml:space="preserve">The priority for providing assistance by the Office of </w:t>
      </w:r>
      <w:r>
        <w:rPr>
          <w:color w:val="000000" w:themeColor="text1"/>
        </w:rPr>
        <w:t>the Union</w:t>
      </w:r>
      <w:r w:rsidRPr="00981407">
        <w:rPr>
          <w:color w:val="000000" w:themeColor="text1"/>
        </w:rPr>
        <w:t xml:space="preserve"> will continue to be as follows:</w:t>
      </w:r>
    </w:p>
    <w:p w:rsidR="00731C96" w:rsidRPr="00981407" w:rsidRDefault="00731C96" w:rsidP="00731C96">
      <w:pPr>
        <w:keepNext/>
        <w:rPr>
          <w:color w:val="000000" w:themeColor="text1"/>
        </w:rPr>
      </w:pPr>
    </w:p>
    <w:p w:rsidR="00731C96" w:rsidRPr="00981407" w:rsidRDefault="00731C96" w:rsidP="00731C96">
      <w:pPr>
        <w:keepNext/>
        <w:spacing w:after="120"/>
        <w:ind w:left="567"/>
        <w:rPr>
          <w:color w:val="000000" w:themeColor="text1"/>
        </w:rPr>
      </w:pPr>
      <w:r w:rsidRPr="00981407">
        <w:rPr>
          <w:color w:val="000000" w:themeColor="text1"/>
        </w:rPr>
        <w:t>(</w:t>
      </w:r>
      <w:proofErr w:type="spellStart"/>
      <w:r w:rsidRPr="00981407">
        <w:rPr>
          <w:color w:val="000000" w:themeColor="text1"/>
        </w:rPr>
        <w:t>i</w:t>
      </w:r>
      <w:proofErr w:type="spellEnd"/>
      <w:r w:rsidRPr="00981407">
        <w:rPr>
          <w:color w:val="000000" w:themeColor="text1"/>
        </w:rPr>
        <w:t>)</w:t>
      </w:r>
      <w:r w:rsidRPr="00981407">
        <w:rPr>
          <w:color w:val="000000" w:themeColor="text1"/>
        </w:rPr>
        <w:tab/>
        <w:t xml:space="preserve">assistance to existing members of </w:t>
      </w:r>
      <w:r>
        <w:rPr>
          <w:color w:val="000000" w:themeColor="text1"/>
        </w:rPr>
        <w:t>the Union</w:t>
      </w:r>
      <w:r w:rsidRPr="00981407">
        <w:rPr>
          <w:color w:val="000000" w:themeColor="text1"/>
        </w:rPr>
        <w:t>;</w:t>
      </w:r>
    </w:p>
    <w:p w:rsidR="00731C96" w:rsidRPr="00981407" w:rsidRDefault="00731C96" w:rsidP="00731C96">
      <w:pPr>
        <w:spacing w:after="120"/>
        <w:ind w:left="1134" w:hanging="567"/>
        <w:rPr>
          <w:color w:val="000000" w:themeColor="text1"/>
        </w:rPr>
      </w:pPr>
      <w:r w:rsidRPr="00981407">
        <w:rPr>
          <w:color w:val="000000" w:themeColor="text1"/>
        </w:rPr>
        <w:t>(ii)</w:t>
      </w:r>
      <w:r w:rsidRPr="00981407">
        <w:rPr>
          <w:color w:val="000000" w:themeColor="text1"/>
        </w:rPr>
        <w:tab/>
        <w:t xml:space="preserve">assistance to States and certain organizations that are not members of </w:t>
      </w:r>
      <w:r>
        <w:rPr>
          <w:color w:val="000000" w:themeColor="text1"/>
        </w:rPr>
        <w:t>the Union</w:t>
      </w:r>
      <w:r w:rsidRPr="00981407">
        <w:rPr>
          <w:color w:val="000000" w:themeColor="text1"/>
        </w:rPr>
        <w:t xml:space="preserve">, particularly governments of developing countries and countries in transition to a market economy, in the development of legislation in line with the </w:t>
      </w:r>
      <w:r>
        <w:rPr>
          <w:color w:val="000000" w:themeColor="text1"/>
        </w:rPr>
        <w:t>1991 Act</w:t>
      </w:r>
      <w:r w:rsidRPr="00981407">
        <w:rPr>
          <w:color w:val="000000" w:themeColor="text1"/>
        </w:rPr>
        <w:t xml:space="preserve"> of the </w:t>
      </w:r>
      <w:r>
        <w:rPr>
          <w:color w:val="000000" w:themeColor="text1"/>
        </w:rPr>
        <w:t>UPOV Convention</w:t>
      </w:r>
      <w:r w:rsidRPr="00981407">
        <w:rPr>
          <w:color w:val="000000" w:themeColor="text1"/>
        </w:rPr>
        <w:t xml:space="preserve"> and their accession to the </w:t>
      </w:r>
      <w:r>
        <w:rPr>
          <w:color w:val="000000" w:themeColor="text1"/>
        </w:rPr>
        <w:t>UPOV Convention</w:t>
      </w:r>
      <w:r w:rsidRPr="00981407">
        <w:rPr>
          <w:color w:val="000000" w:themeColor="text1"/>
        </w:rPr>
        <w:t>;  and</w:t>
      </w:r>
    </w:p>
    <w:p w:rsidR="00731C96" w:rsidRPr="00981407" w:rsidRDefault="00731C96" w:rsidP="00731C96">
      <w:pPr>
        <w:tabs>
          <w:tab w:val="left" w:pos="567"/>
        </w:tabs>
        <w:ind w:left="1134" w:hanging="567"/>
        <w:rPr>
          <w:color w:val="000000" w:themeColor="text1"/>
        </w:rPr>
      </w:pPr>
      <w:r w:rsidRPr="00981407">
        <w:rPr>
          <w:color w:val="000000" w:themeColor="text1"/>
        </w:rPr>
        <w:t>(iii)</w:t>
      </w:r>
      <w:r w:rsidRPr="00981407">
        <w:rPr>
          <w:color w:val="000000" w:themeColor="text1"/>
        </w:rPr>
        <w:tab/>
        <w:t xml:space="preserve">assistance to States and certain organizations that are not members of </w:t>
      </w:r>
      <w:r>
        <w:rPr>
          <w:color w:val="000000" w:themeColor="text1"/>
        </w:rPr>
        <w:t>the Union</w:t>
      </w:r>
      <w:r w:rsidRPr="00981407">
        <w:rPr>
          <w:color w:val="000000" w:themeColor="text1"/>
        </w:rPr>
        <w:t xml:space="preserve">, in the implementation of legislation that has received a positive decision of the Council, according to their commitment to accede to the </w:t>
      </w:r>
      <w:r>
        <w:rPr>
          <w:color w:val="000000" w:themeColor="text1"/>
        </w:rPr>
        <w:t>UPOV Convention</w:t>
      </w:r>
      <w:r w:rsidRPr="00981407">
        <w:rPr>
          <w:color w:val="000000" w:themeColor="text1"/>
        </w:rPr>
        <w:t>.</w:t>
      </w:r>
    </w:p>
    <w:p w:rsidR="00731C96" w:rsidRPr="00981407" w:rsidRDefault="00731C96" w:rsidP="00731C96">
      <w:pPr>
        <w:tabs>
          <w:tab w:val="left" w:pos="851"/>
        </w:tabs>
        <w:rPr>
          <w:color w:val="000000" w:themeColor="text1"/>
        </w:rPr>
      </w:pPr>
    </w:p>
    <w:p w:rsidR="00731C96" w:rsidRPr="00981407" w:rsidRDefault="00731C96" w:rsidP="00731C96">
      <w:r>
        <w:rPr>
          <w:bCs/>
        </w:rPr>
        <w:fldChar w:fldCharType="begin"/>
      </w:r>
      <w:r>
        <w:rPr>
          <w:bCs/>
        </w:rPr>
        <w:instrText xml:space="preserve"> AUTONUM  </w:instrText>
      </w:r>
      <w:r>
        <w:rPr>
          <w:bCs/>
        </w:rPr>
        <w:fldChar w:fldCharType="end"/>
      </w:r>
      <w:r>
        <w:rPr>
          <w:bCs/>
        </w:rPr>
        <w:tab/>
        <w:t>E</w:t>
      </w:r>
      <w:r w:rsidRPr="00981407">
        <w:rPr>
          <w:bCs/>
        </w:rPr>
        <w:t>vents and a</w:t>
      </w:r>
      <w:r w:rsidRPr="00981407">
        <w:t>ctivities, such as meetings, seminars</w:t>
      </w:r>
      <w:r>
        <w:t>,</w:t>
      </w:r>
      <w:r w:rsidRPr="00981407">
        <w:t xml:space="preserve"> workshops</w:t>
      </w:r>
      <w:r>
        <w:t xml:space="preserve"> and training events</w:t>
      </w:r>
      <w:r w:rsidRPr="00981407">
        <w:t xml:space="preserve">, will continue to play a key role in assistance.  However, greater emphasis will be made on the use of virtual activities to increase outreach, achieve greater impact, reduce cost and reduce the impact of the Office of </w:t>
      </w:r>
      <w:r>
        <w:t>the Union’</w:t>
      </w:r>
      <w:r w:rsidRPr="00981407">
        <w:t xml:space="preserve">s work on the environment.  </w:t>
      </w:r>
      <w:r w:rsidRPr="0067240D">
        <w:t xml:space="preserve">The </w:t>
      </w:r>
      <w:r>
        <w:t>e</w:t>
      </w:r>
      <w:r>
        <w:noBreakHyphen/>
        <w:t>PVP</w:t>
      </w:r>
      <w:r w:rsidRPr="0067240D">
        <w:t xml:space="preserve"> system (see Section 3.1) </w:t>
      </w:r>
      <w:r>
        <w:t>is also expected to</w:t>
      </w:r>
      <w:r w:rsidRPr="0067240D">
        <w:t xml:space="preserve"> </w:t>
      </w:r>
      <w:r>
        <w:t>complement</w:t>
      </w:r>
      <w:r w:rsidRPr="0067240D">
        <w:t xml:space="preserve"> </w:t>
      </w:r>
      <w:r>
        <w:t xml:space="preserve">UPOV’s training and capacity-building work by providing practical assistance to </w:t>
      </w:r>
      <w:r w:rsidRPr="003D0F2F">
        <w:t xml:space="preserve">members of </w:t>
      </w:r>
      <w:r>
        <w:t xml:space="preserve">the Union in the implementation of the </w:t>
      </w:r>
      <w:r w:rsidRPr="003D0F2F">
        <w:rPr>
          <w:snapToGrid w:val="0"/>
        </w:rPr>
        <w:t>plant variety protection</w:t>
      </w:r>
      <w:r>
        <w:t xml:space="preserve"> system</w:t>
      </w:r>
      <w:r w:rsidRPr="0067240D">
        <w:t>.</w:t>
      </w:r>
      <w:r w:rsidRPr="00981407">
        <w:t xml:space="preserve"> </w:t>
      </w:r>
    </w:p>
    <w:p w:rsidR="00731C96" w:rsidRPr="00981407" w:rsidRDefault="00731C96" w:rsidP="00731C96"/>
    <w:p w:rsidR="00731C96" w:rsidRPr="00981407" w:rsidRDefault="00731C96" w:rsidP="00731C96">
      <w:r>
        <w:fldChar w:fldCharType="begin"/>
      </w:r>
      <w:r>
        <w:instrText xml:space="preserve"> AUTONUM  </w:instrText>
      </w:r>
      <w:r>
        <w:fldChar w:fldCharType="end"/>
      </w:r>
      <w:r>
        <w:tab/>
      </w:r>
      <w:r w:rsidRPr="00981407">
        <w:t xml:space="preserve">In order to harness the various training initiatives provided by UPOV and its members, UPOV will develop an </w:t>
      </w:r>
      <w:r>
        <w:t>“</w:t>
      </w:r>
      <w:r w:rsidRPr="00981407">
        <w:t>International certificate on plant variety protection</w:t>
      </w:r>
      <w:r>
        <w:t>”</w:t>
      </w:r>
      <w:r w:rsidRPr="00981407">
        <w:t>.</w:t>
      </w:r>
    </w:p>
    <w:p w:rsidR="00731C96" w:rsidRDefault="00731C96" w:rsidP="00731C96">
      <w:pPr>
        <w:tabs>
          <w:tab w:val="left" w:pos="851"/>
        </w:tabs>
        <w:rPr>
          <w:color w:val="000000" w:themeColor="text1"/>
        </w:rPr>
      </w:pPr>
    </w:p>
    <w:p w:rsidR="00731C96" w:rsidRPr="0067240D" w:rsidRDefault="00731C96" w:rsidP="00731C96">
      <w:pPr>
        <w:pStyle w:val="Heading5"/>
      </w:pPr>
      <w:bookmarkStart w:id="51" w:name="_Toc107239349"/>
      <w:bookmarkStart w:id="52" w:name="_Toc107239599"/>
      <w:bookmarkStart w:id="53" w:name="_Toc117798894"/>
      <w:r w:rsidRPr="0067240D">
        <w:t>2.3</w:t>
      </w:r>
      <w:r w:rsidRPr="0067240D">
        <w:tab/>
        <w:t>Enhanced harmonization and cooperation in examination</w:t>
      </w:r>
      <w:bookmarkEnd w:id="51"/>
      <w:bookmarkEnd w:id="52"/>
      <w:bookmarkEnd w:id="53"/>
    </w:p>
    <w:p w:rsidR="00731C96" w:rsidRPr="0067240D" w:rsidRDefault="00731C96" w:rsidP="00731C96">
      <w:pPr>
        <w:tabs>
          <w:tab w:val="left" w:pos="851"/>
        </w:tabs>
        <w:rPr>
          <w:color w:val="000000" w:themeColor="text1"/>
        </w:rPr>
      </w:pPr>
    </w:p>
    <w:p w:rsidR="00731C96" w:rsidRDefault="00731C96" w:rsidP="00731C96">
      <w:pPr>
        <w:tabs>
          <w:tab w:val="left" w:pos="851"/>
        </w:tabs>
        <w:rPr>
          <w:bCs/>
          <w:color w:val="000000" w:themeColor="text1"/>
          <w:szCs w:val="24"/>
        </w:rPr>
      </w:pPr>
      <w:r w:rsidRPr="0067240D">
        <w:rPr>
          <w:bCs/>
          <w:color w:val="000000" w:themeColor="text1"/>
          <w:szCs w:val="24"/>
        </w:rPr>
        <w:fldChar w:fldCharType="begin"/>
      </w:r>
      <w:r w:rsidRPr="0067240D">
        <w:rPr>
          <w:bCs/>
          <w:color w:val="000000" w:themeColor="text1"/>
          <w:szCs w:val="24"/>
        </w:rPr>
        <w:instrText xml:space="preserve"> AUTONUM  </w:instrText>
      </w:r>
      <w:r w:rsidRPr="0067240D">
        <w:rPr>
          <w:bCs/>
          <w:color w:val="000000" w:themeColor="text1"/>
          <w:szCs w:val="24"/>
        </w:rPr>
        <w:fldChar w:fldCharType="end"/>
      </w:r>
      <w:r w:rsidRPr="0067240D">
        <w:rPr>
          <w:bCs/>
          <w:color w:val="000000" w:themeColor="text1"/>
          <w:szCs w:val="24"/>
        </w:rPr>
        <w:tab/>
        <w:t xml:space="preserve">Cooperation between members of </w:t>
      </w:r>
      <w:r>
        <w:rPr>
          <w:bCs/>
          <w:color w:val="000000" w:themeColor="text1"/>
          <w:szCs w:val="24"/>
        </w:rPr>
        <w:t>the Union</w:t>
      </w:r>
      <w:r w:rsidRPr="0067240D">
        <w:rPr>
          <w:bCs/>
          <w:color w:val="000000" w:themeColor="text1"/>
          <w:szCs w:val="24"/>
        </w:rPr>
        <w:t xml:space="preserve"> is a key feature of the UPOV system and is the basis for an efficient system resulting in more rapid availability of new varieties and lower costs for breeders. </w:t>
      </w:r>
      <w:r>
        <w:rPr>
          <w:bCs/>
          <w:color w:val="000000" w:themeColor="text1"/>
          <w:szCs w:val="24"/>
        </w:rPr>
        <w:t xml:space="preserve"> In </w:t>
      </w:r>
      <w:r w:rsidRPr="0067240D">
        <w:rPr>
          <w:bCs/>
          <w:color w:val="000000" w:themeColor="text1"/>
          <w:szCs w:val="24"/>
        </w:rPr>
        <w:t xml:space="preserve">order to respond to the challenges facing agriculture, notably in relation to climate change and food security, priority and urgency should be given to increased cooperation that will increase the availability of new plant varieties.  Therefore, work in UPOV bodies will continue to identify measures and tools that can facilitate cooperation on a voluntary basis. </w:t>
      </w:r>
    </w:p>
    <w:p w:rsidR="00731C96" w:rsidRPr="0067240D" w:rsidRDefault="00731C96" w:rsidP="00731C96">
      <w:pPr>
        <w:tabs>
          <w:tab w:val="left" w:pos="851"/>
        </w:tabs>
        <w:rPr>
          <w:bCs/>
          <w:color w:val="000000" w:themeColor="text1"/>
          <w:szCs w:val="24"/>
        </w:rPr>
      </w:pPr>
    </w:p>
    <w:p w:rsidR="00731C96" w:rsidRPr="006C374D" w:rsidRDefault="00731C96" w:rsidP="00731C96">
      <w:pPr>
        <w:pStyle w:val="Heading6"/>
      </w:pPr>
      <w:bookmarkStart w:id="54" w:name="_Toc107239350"/>
      <w:bookmarkStart w:id="55" w:name="_Toc107239600"/>
      <w:bookmarkStart w:id="56" w:name="_Toc117798895"/>
      <w:r w:rsidRPr="006C374D">
        <w:lastRenderedPageBreak/>
        <w:t>Examination of Distinctness, Uniformity and Stability (</w:t>
      </w:r>
      <w:r>
        <w:t>“</w:t>
      </w:r>
      <w:r w:rsidRPr="006C374D">
        <w:t>DUS</w:t>
      </w:r>
      <w:r>
        <w:t>”</w:t>
      </w:r>
      <w:r w:rsidRPr="006C374D">
        <w:t>)</w:t>
      </w:r>
      <w:bookmarkEnd w:id="54"/>
      <w:bookmarkEnd w:id="55"/>
      <w:bookmarkEnd w:id="56"/>
    </w:p>
    <w:p w:rsidR="00731C96" w:rsidRPr="0067240D" w:rsidRDefault="00731C96" w:rsidP="00731C96">
      <w:pPr>
        <w:keepNext/>
        <w:tabs>
          <w:tab w:val="left" w:pos="851"/>
        </w:tabs>
        <w:rPr>
          <w:bCs/>
          <w:color w:val="000000" w:themeColor="text1"/>
          <w:szCs w:val="24"/>
        </w:rPr>
      </w:pPr>
    </w:p>
    <w:p w:rsidR="00731C96" w:rsidRPr="0067240D" w:rsidRDefault="00731C96" w:rsidP="00731C96">
      <w:r w:rsidRPr="0067240D">
        <w:fldChar w:fldCharType="begin"/>
      </w:r>
      <w:r w:rsidRPr="0067240D">
        <w:instrText xml:space="preserve"> AUTONUM  </w:instrText>
      </w:r>
      <w:r w:rsidRPr="0067240D">
        <w:fldChar w:fldCharType="end"/>
      </w:r>
      <w:r w:rsidRPr="0067240D">
        <w:tab/>
        <w:t xml:space="preserve">The </w:t>
      </w:r>
      <w:r>
        <w:t>“</w:t>
      </w:r>
      <w:r w:rsidRPr="0067240D">
        <w:t>General Introduction to the Examination of Distinctness, Uniformity and Stability and the Development of Harmonized Descriptions of New Varieties of Plants</w:t>
      </w:r>
      <w:r>
        <w:t>”</w:t>
      </w:r>
      <w:r w:rsidRPr="0067240D">
        <w:t xml:space="preserve"> (General Introduction), with its associated TGP documents, and Test Guidelines provide the basis for harmonization and cooperation in the examination of Distinctness, Uniformity and Stability (</w:t>
      </w:r>
      <w:r>
        <w:t>“</w:t>
      </w:r>
      <w:r w:rsidRPr="0067240D">
        <w:t>DUS</w:t>
      </w:r>
      <w:r>
        <w:t>”</w:t>
      </w:r>
      <w:r w:rsidRPr="0067240D">
        <w:t>).  Work will continue on reviewing and updating the General Introduction, associated TGP documents and Test Guidelines</w:t>
      </w:r>
      <w:r>
        <w:t>, with greater emphasis on measures to enhance cooperation.</w:t>
      </w:r>
    </w:p>
    <w:p w:rsidR="00731C96" w:rsidRPr="0067240D" w:rsidRDefault="00731C96" w:rsidP="00731C96"/>
    <w:p w:rsidR="00731C96" w:rsidRDefault="00731C96" w:rsidP="00731C96">
      <w:pPr>
        <w:rPr>
          <w:bCs/>
          <w:szCs w:val="24"/>
        </w:rPr>
      </w:pPr>
      <w:r w:rsidRPr="0067240D">
        <w:rPr>
          <w:bCs/>
          <w:szCs w:val="24"/>
        </w:rPr>
        <w:fldChar w:fldCharType="begin"/>
      </w:r>
      <w:r w:rsidRPr="0067240D">
        <w:rPr>
          <w:bCs/>
          <w:szCs w:val="24"/>
        </w:rPr>
        <w:instrText xml:space="preserve"> AUTONUM  </w:instrText>
      </w:r>
      <w:r w:rsidRPr="0067240D">
        <w:rPr>
          <w:bCs/>
          <w:szCs w:val="24"/>
        </w:rPr>
        <w:fldChar w:fldCharType="end"/>
      </w:r>
      <w:r w:rsidRPr="0067240D">
        <w:rPr>
          <w:bCs/>
          <w:szCs w:val="24"/>
        </w:rPr>
        <w:tab/>
        <w:t xml:space="preserve">The </w:t>
      </w:r>
      <w:r w:rsidRPr="0067240D">
        <w:rPr>
          <w:bCs/>
        </w:rPr>
        <w:t>Technical Committee</w:t>
      </w:r>
      <w:r w:rsidRPr="0067240D">
        <w:rPr>
          <w:bCs/>
          <w:szCs w:val="24"/>
        </w:rPr>
        <w:t xml:space="preserve"> has identified a number of technical, administrative, policy and legal issues that may be obstacles to further cooperation in DUS examination.  A key aim in the medium term </w:t>
      </w:r>
      <w:r>
        <w:rPr>
          <w:bCs/>
          <w:szCs w:val="24"/>
        </w:rPr>
        <w:t>will</w:t>
      </w:r>
      <w:r w:rsidRPr="0067240D">
        <w:rPr>
          <w:bCs/>
          <w:szCs w:val="24"/>
        </w:rPr>
        <w:t xml:space="preserve"> be to address these potential obstacles in order to increase cooperation and thereby increase the efficiency of </w:t>
      </w:r>
      <w:r>
        <w:rPr>
          <w:bCs/>
          <w:szCs w:val="24"/>
        </w:rPr>
        <w:t>DUS </w:t>
      </w:r>
      <w:r w:rsidRPr="0067240D">
        <w:rPr>
          <w:bCs/>
          <w:szCs w:val="24"/>
        </w:rPr>
        <w:t>examination.</w:t>
      </w:r>
    </w:p>
    <w:p w:rsidR="00731C96" w:rsidRPr="0067240D" w:rsidRDefault="00731C96" w:rsidP="00731C96">
      <w:pPr>
        <w:rPr>
          <w:bCs/>
          <w:szCs w:val="24"/>
        </w:rPr>
      </w:pPr>
    </w:p>
    <w:p w:rsidR="00731C96" w:rsidRPr="006C374D" w:rsidRDefault="00731C96" w:rsidP="00731C96">
      <w:pPr>
        <w:pStyle w:val="Heading6"/>
      </w:pPr>
      <w:bookmarkStart w:id="57" w:name="_Toc107239351"/>
      <w:bookmarkStart w:id="58" w:name="_Toc107239601"/>
      <w:bookmarkStart w:id="59" w:name="_Toc117798896"/>
      <w:r w:rsidRPr="006C374D">
        <w:t>Examination of variety denominations</w:t>
      </w:r>
      <w:bookmarkEnd w:id="57"/>
      <w:bookmarkEnd w:id="58"/>
      <w:bookmarkEnd w:id="59"/>
    </w:p>
    <w:p w:rsidR="00731C96" w:rsidRPr="0067240D" w:rsidRDefault="00731C96" w:rsidP="00731C96">
      <w:pPr>
        <w:keepNext/>
      </w:pPr>
    </w:p>
    <w:p w:rsidR="00731C96" w:rsidRPr="0067240D" w:rsidRDefault="00731C96" w:rsidP="00731C96">
      <w:r w:rsidRPr="0067240D">
        <w:fldChar w:fldCharType="begin"/>
      </w:r>
      <w:r w:rsidRPr="0067240D">
        <w:instrText xml:space="preserve"> AUTONUM  </w:instrText>
      </w:r>
      <w:r w:rsidRPr="0067240D">
        <w:fldChar w:fldCharType="end"/>
      </w:r>
      <w:r w:rsidRPr="0067240D">
        <w:tab/>
        <w:t>The main purpose of the Explanatory Notes on Variety Denominations is to ensure that, as far as possible</w:t>
      </w:r>
      <w:r>
        <w:t>:</w:t>
      </w:r>
      <w:r w:rsidRPr="0067240D">
        <w:t xml:space="preserve"> protected varieties are designated in all members of </w:t>
      </w:r>
      <w:r>
        <w:t>the Union</w:t>
      </w:r>
      <w:r w:rsidRPr="0067240D">
        <w:t xml:space="preserve"> by the same </w:t>
      </w:r>
      <w:r>
        <w:t>variety denomination for the same variety;</w:t>
      </w:r>
      <w:r w:rsidRPr="0067240D">
        <w:t xml:space="preserve"> the approved variety denominations establish themselves as the generic designations</w:t>
      </w:r>
      <w:r>
        <w:t>;</w:t>
      </w:r>
      <w:r w:rsidRPr="0067240D">
        <w:t xml:space="preserve"> and they are used in the offering for sale or marketing of propagating material of the variety, even after the expiration of the breeder</w:t>
      </w:r>
      <w:r>
        <w:t>’</w:t>
      </w:r>
      <w:r w:rsidRPr="0067240D">
        <w:t xml:space="preserve">s right.  The </w:t>
      </w:r>
      <w:r>
        <w:t>“</w:t>
      </w:r>
      <w:r w:rsidRPr="0067240D">
        <w:t xml:space="preserve">Explanatory Notes on Variety Denominations under the </w:t>
      </w:r>
      <w:r>
        <w:t>UPOV Convention”</w:t>
      </w:r>
      <w:r w:rsidRPr="0067240D">
        <w:t xml:space="preserve"> (document UPOV/EXN/DEN) will need to be kept under review to ensure that UPOV</w:t>
      </w:r>
      <w:r>
        <w:t>’</w:t>
      </w:r>
      <w:r w:rsidRPr="0067240D">
        <w:t>s guidance can be closely follow</w:t>
      </w:r>
      <w:r>
        <w:t>ed by all members of the Union.</w:t>
      </w:r>
    </w:p>
    <w:p w:rsidR="00731C96" w:rsidRPr="0067240D" w:rsidRDefault="00731C96" w:rsidP="00731C96"/>
    <w:p w:rsidR="00731C96" w:rsidRPr="00981407" w:rsidRDefault="00731C96" w:rsidP="00731C96">
      <w:r w:rsidRPr="0067240D">
        <w:fldChar w:fldCharType="begin"/>
      </w:r>
      <w:r w:rsidRPr="0067240D">
        <w:instrText xml:space="preserve"> AUTONUM  </w:instrText>
      </w:r>
      <w:r w:rsidRPr="0067240D">
        <w:fldChar w:fldCharType="end"/>
      </w:r>
      <w:r w:rsidRPr="0067240D">
        <w:tab/>
        <w:t>In order to enhance harmonization</w:t>
      </w:r>
      <w:r>
        <w:t xml:space="preserve"> in</w:t>
      </w:r>
      <w:r w:rsidRPr="0067240D">
        <w:t xml:space="preserve"> the examination of variety denominations, work will continue on the development of proposals for a UPOV similarity search tool for variety denomination purposes, according to the guidance</w:t>
      </w:r>
      <w:r>
        <w:t xml:space="preserve"> in the “</w:t>
      </w:r>
      <w:r w:rsidRPr="000C1799">
        <w:t xml:space="preserve">Explanatory Notes on Variety Denominations under the </w:t>
      </w:r>
      <w:r>
        <w:t>UPOV Convention” (document UPOV/EXN/DEN)</w:t>
      </w:r>
      <w:r w:rsidRPr="0067240D">
        <w:t>.</w:t>
      </w:r>
    </w:p>
    <w:p w:rsidR="00731C96" w:rsidRPr="00255FF1" w:rsidRDefault="00731C96" w:rsidP="00731C96"/>
    <w:p w:rsidR="00731C96" w:rsidRPr="00255FF1" w:rsidRDefault="00731C96" w:rsidP="00731C96"/>
    <w:p w:rsidR="00731C96" w:rsidRDefault="00731C96" w:rsidP="00731C96">
      <w:pPr>
        <w:pStyle w:val="Heading3"/>
      </w:pPr>
      <w:bookmarkStart w:id="60" w:name="_Toc107239352"/>
      <w:bookmarkStart w:id="61" w:name="_Toc107239602"/>
      <w:bookmarkStart w:id="62" w:name="_Toc117798897"/>
      <w:r>
        <w:t xml:space="preserve">Pillar 3: </w:t>
      </w:r>
      <w:r w:rsidRPr="005E4692">
        <w:t>Provide high quality services for UPOV</w:t>
      </w:r>
      <w:r>
        <w:t xml:space="preserve"> members and users of the UPOV </w:t>
      </w:r>
      <w:r w:rsidRPr="005E4692">
        <w:t>system</w:t>
      </w:r>
      <w:bookmarkEnd w:id="60"/>
      <w:bookmarkEnd w:id="61"/>
      <w:bookmarkEnd w:id="62"/>
      <w:r w:rsidRPr="005E4692">
        <w:t xml:space="preserve"> </w:t>
      </w:r>
    </w:p>
    <w:p w:rsidR="00731C96" w:rsidRDefault="00731C96" w:rsidP="00731C96">
      <w:pPr>
        <w:keepNext/>
        <w:rPr>
          <w:b/>
          <w:bCs/>
          <w:sz w:val="22"/>
          <w:szCs w:val="22"/>
        </w:rPr>
      </w:pPr>
    </w:p>
    <w:p w:rsidR="00731C96" w:rsidRPr="0038143C" w:rsidRDefault="00731C96" w:rsidP="00731C96">
      <w:pPr>
        <w:pStyle w:val="Heading4"/>
        <w:rPr>
          <w:lang w:val="en-US"/>
        </w:rPr>
      </w:pPr>
      <w:bookmarkStart w:id="63" w:name="_Toc107239353"/>
      <w:bookmarkStart w:id="64" w:name="_Toc107239603"/>
      <w:bookmarkStart w:id="65" w:name="_Toc117798898"/>
      <w:r w:rsidRPr="0038143C">
        <w:rPr>
          <w:lang w:val="en-US"/>
        </w:rPr>
        <w:t>Background</w:t>
      </w:r>
      <w:bookmarkEnd w:id="63"/>
      <w:bookmarkEnd w:id="64"/>
      <w:bookmarkEnd w:id="65"/>
    </w:p>
    <w:p w:rsidR="00731C96" w:rsidRDefault="00731C96" w:rsidP="00731C96">
      <w:pPr>
        <w:keepNext/>
        <w:rPr>
          <w:b/>
          <w:bCs/>
          <w:sz w:val="22"/>
          <w:szCs w:val="22"/>
        </w:rPr>
      </w:pPr>
    </w:p>
    <w:p w:rsidR="00731C96" w:rsidRPr="00981407" w:rsidRDefault="00731C96" w:rsidP="00731C96">
      <w:r>
        <w:rPr>
          <w:bCs/>
        </w:rPr>
        <w:fldChar w:fldCharType="begin"/>
      </w:r>
      <w:r>
        <w:rPr>
          <w:bCs/>
        </w:rPr>
        <w:instrText xml:space="preserve"> AUTONUM  </w:instrText>
      </w:r>
      <w:r>
        <w:rPr>
          <w:bCs/>
        </w:rPr>
        <w:fldChar w:fldCharType="end"/>
      </w:r>
      <w:r>
        <w:rPr>
          <w:bCs/>
        </w:rPr>
        <w:tab/>
        <w:t>Historically, i</w:t>
      </w:r>
      <w:r w:rsidRPr="00981407">
        <w:rPr>
          <w:bCs/>
        </w:rPr>
        <w:t xml:space="preserve">n recognition of its limited resources, UPOV has focused its efforts on providing guidance, information and training rather than </w:t>
      </w:r>
      <w:r>
        <w:rPr>
          <w:bCs/>
        </w:rPr>
        <w:t>developing</w:t>
      </w:r>
      <w:r w:rsidRPr="00981407">
        <w:rPr>
          <w:bCs/>
        </w:rPr>
        <w:t xml:space="preserve"> </w:t>
      </w:r>
      <w:r>
        <w:rPr>
          <w:bCs/>
        </w:rPr>
        <w:t xml:space="preserve">practical </w:t>
      </w:r>
      <w:r w:rsidRPr="00981407">
        <w:rPr>
          <w:bCs/>
        </w:rPr>
        <w:t xml:space="preserve">tools to assist members of </w:t>
      </w:r>
      <w:r>
        <w:rPr>
          <w:bCs/>
        </w:rPr>
        <w:t>the Union</w:t>
      </w:r>
      <w:r w:rsidRPr="00981407">
        <w:rPr>
          <w:bCs/>
        </w:rPr>
        <w:t xml:space="preserve"> in the implementation of the UPOV system.  This approach has played an important role in enabling new members of </w:t>
      </w:r>
      <w:r>
        <w:rPr>
          <w:bCs/>
        </w:rPr>
        <w:t>the Union</w:t>
      </w:r>
      <w:r w:rsidRPr="00981407">
        <w:rPr>
          <w:bCs/>
        </w:rPr>
        <w:t xml:space="preserve"> to set up and operate a PVP office.  However, this approach has resulted in divergences in implementation (e.g. application forms) that </w:t>
      </w:r>
      <w:r>
        <w:rPr>
          <w:bCs/>
        </w:rPr>
        <w:t>are not always based on</w:t>
      </w:r>
      <w:r w:rsidRPr="00981407">
        <w:rPr>
          <w:bCs/>
        </w:rPr>
        <w:t xml:space="preserve"> strong policy </w:t>
      </w:r>
      <w:r>
        <w:rPr>
          <w:bCs/>
        </w:rPr>
        <w:t>drivers and often</w:t>
      </w:r>
      <w:r w:rsidRPr="00981407">
        <w:rPr>
          <w:bCs/>
        </w:rPr>
        <w:t xml:space="preserve"> result from a vacuum of practical support.  Furthermore, </w:t>
      </w:r>
      <w:r>
        <w:rPr>
          <w:bCs/>
        </w:rPr>
        <w:t xml:space="preserve">some </w:t>
      </w:r>
      <w:r w:rsidRPr="00981407">
        <w:rPr>
          <w:bCs/>
        </w:rPr>
        <w:t xml:space="preserve">members of </w:t>
      </w:r>
      <w:r>
        <w:rPr>
          <w:bCs/>
        </w:rPr>
        <w:t>the Union</w:t>
      </w:r>
      <w:r w:rsidRPr="00981407">
        <w:rPr>
          <w:bCs/>
        </w:rPr>
        <w:t xml:space="preserve"> have </w:t>
      </w:r>
      <w:r>
        <w:rPr>
          <w:bCs/>
        </w:rPr>
        <w:t xml:space="preserve">had the resources to </w:t>
      </w:r>
      <w:r w:rsidRPr="00981407">
        <w:rPr>
          <w:bCs/>
        </w:rPr>
        <w:t xml:space="preserve">be able to develop very efficient systems (e.g. electronic application </w:t>
      </w:r>
      <w:r>
        <w:rPr>
          <w:bCs/>
        </w:rPr>
        <w:t>systems</w:t>
      </w:r>
      <w:r w:rsidRPr="00981407">
        <w:rPr>
          <w:bCs/>
        </w:rPr>
        <w:t xml:space="preserve">) while </w:t>
      </w:r>
      <w:r>
        <w:rPr>
          <w:bCs/>
        </w:rPr>
        <w:t xml:space="preserve">some other </w:t>
      </w:r>
      <w:r w:rsidRPr="00981407">
        <w:rPr>
          <w:bCs/>
        </w:rPr>
        <w:t xml:space="preserve">members of </w:t>
      </w:r>
      <w:r>
        <w:rPr>
          <w:bCs/>
        </w:rPr>
        <w:t>the Union</w:t>
      </w:r>
      <w:r w:rsidRPr="00981407">
        <w:rPr>
          <w:bCs/>
        </w:rPr>
        <w:t xml:space="preserve"> without </w:t>
      </w:r>
      <w:r>
        <w:rPr>
          <w:bCs/>
        </w:rPr>
        <w:t>the necessary</w:t>
      </w:r>
      <w:r w:rsidRPr="00981407">
        <w:rPr>
          <w:bCs/>
        </w:rPr>
        <w:t xml:space="preserve"> resources</w:t>
      </w:r>
      <w:r>
        <w:rPr>
          <w:bCs/>
        </w:rPr>
        <w:t xml:space="preserve"> </w:t>
      </w:r>
      <w:r w:rsidRPr="00981407">
        <w:rPr>
          <w:bCs/>
        </w:rPr>
        <w:t>have been unable to develop such systems.  Recent d</w:t>
      </w:r>
      <w:r w:rsidRPr="00981407">
        <w:t>evelopments in IT, combined with the establishment of the post of UPOV IT Officer, have</w:t>
      </w:r>
      <w:r>
        <w:t xml:space="preserve"> enabled UPOV to develop the e</w:t>
      </w:r>
      <w:r>
        <w:noBreakHyphen/>
        <w:t>PVP initiative (see below).  E-PVP</w:t>
      </w:r>
      <w:r w:rsidRPr="00981407">
        <w:t xml:space="preserve"> present</w:t>
      </w:r>
      <w:r>
        <w:t>s</w:t>
      </w:r>
      <w:r w:rsidRPr="00981407">
        <w:t xml:space="preserve"> </w:t>
      </w:r>
      <w:r>
        <w:t>an opportunity</w:t>
      </w:r>
      <w:r w:rsidRPr="00981407">
        <w:t xml:space="preserve"> to </w:t>
      </w:r>
      <w:r>
        <w:t xml:space="preserve">provide services to members of the Union </w:t>
      </w:r>
      <w:r w:rsidRPr="00981407">
        <w:t xml:space="preserve">in a </w:t>
      </w:r>
      <w:r>
        <w:t>way which will improve the effici</w:t>
      </w:r>
      <w:r w:rsidRPr="00981407">
        <w:t xml:space="preserve">ency of the global UPOV system and achieve a </w:t>
      </w:r>
      <w:r>
        <w:t>“</w:t>
      </w:r>
      <w:r w:rsidRPr="00981407">
        <w:t>leveling-up</w:t>
      </w:r>
      <w:r>
        <w:t>”</w:t>
      </w:r>
      <w:r w:rsidRPr="00981407">
        <w:t xml:space="preserve"> across UPOV.  </w:t>
      </w:r>
    </w:p>
    <w:p w:rsidR="00731C96" w:rsidRPr="00421986" w:rsidRDefault="00731C96" w:rsidP="00731C96">
      <w:pPr>
        <w:pStyle w:val="ListParagraph"/>
        <w:ind w:left="0"/>
        <w:contextualSpacing w:val="0"/>
      </w:pPr>
    </w:p>
    <w:p w:rsidR="00731C96" w:rsidRPr="0038143C" w:rsidRDefault="00731C96" w:rsidP="00731C96">
      <w:pPr>
        <w:pStyle w:val="Heading4"/>
        <w:rPr>
          <w:lang w:val="en-US"/>
        </w:rPr>
      </w:pPr>
      <w:bookmarkStart w:id="66" w:name="_Toc107239354"/>
      <w:bookmarkStart w:id="67" w:name="_Toc107239604"/>
      <w:bookmarkStart w:id="68" w:name="_Toc117798899"/>
      <w:r w:rsidRPr="0038143C">
        <w:rPr>
          <w:lang w:val="en-US"/>
        </w:rPr>
        <w:t>Future Direction</w:t>
      </w:r>
      <w:bookmarkEnd w:id="66"/>
      <w:bookmarkEnd w:id="67"/>
      <w:bookmarkEnd w:id="68"/>
    </w:p>
    <w:p w:rsidR="00731C96" w:rsidRDefault="00731C96" w:rsidP="00731C96">
      <w:pPr>
        <w:rPr>
          <w:b/>
          <w:bCs/>
          <w:sz w:val="22"/>
          <w:szCs w:val="22"/>
        </w:rPr>
      </w:pPr>
    </w:p>
    <w:p w:rsidR="00731C96" w:rsidRDefault="00731C96" w:rsidP="00731C96">
      <w:pPr>
        <w:pStyle w:val="Heading5"/>
      </w:pPr>
      <w:bookmarkStart w:id="69" w:name="_Toc107239355"/>
      <w:bookmarkStart w:id="70" w:name="_Toc107239605"/>
      <w:bookmarkStart w:id="71" w:name="_Toc117798900"/>
      <w:r>
        <w:t>3.1</w:t>
      </w:r>
      <w:r>
        <w:tab/>
        <w:t>Development of e</w:t>
      </w:r>
      <w:r>
        <w:noBreakHyphen/>
        <w:t>PVP services</w:t>
      </w:r>
      <w:bookmarkEnd w:id="69"/>
      <w:bookmarkEnd w:id="70"/>
      <w:bookmarkEnd w:id="71"/>
    </w:p>
    <w:p w:rsidR="00731C96" w:rsidRDefault="00731C96" w:rsidP="00731C96">
      <w:pPr>
        <w:pStyle w:val="Heading5"/>
        <w:rPr>
          <w:snapToGrid w:val="0"/>
        </w:rPr>
      </w:pPr>
    </w:p>
    <w:p w:rsidR="00731C96" w:rsidRPr="00421986" w:rsidRDefault="00731C96" w:rsidP="00731C96">
      <w:pPr>
        <w:pStyle w:val="ListParagraph"/>
        <w:tabs>
          <w:tab w:val="left" w:pos="851"/>
        </w:tabs>
        <w:ind w:left="0"/>
        <w:contextualSpacing w:val="0"/>
      </w:pPr>
      <w:r>
        <w:fldChar w:fldCharType="begin"/>
      </w:r>
      <w:r>
        <w:instrText xml:space="preserve"> AUTONUM  </w:instrText>
      </w:r>
      <w:r>
        <w:fldChar w:fldCharType="end"/>
      </w:r>
      <w:r>
        <w:tab/>
        <w:t xml:space="preserve">E-PVP </w:t>
      </w:r>
      <w:r w:rsidRPr="00421986">
        <w:t>will provide coherent and comprehensive assistance in</w:t>
      </w:r>
      <w:r>
        <w:t xml:space="preserve"> the implementation of the UPOV </w:t>
      </w:r>
      <w:r w:rsidRPr="00421986">
        <w:t xml:space="preserve">system of plant variety protection, some or all of </w:t>
      </w:r>
      <w:r>
        <w:t xml:space="preserve">the components of </w:t>
      </w:r>
      <w:r w:rsidRPr="00421986">
        <w:t xml:space="preserve">which could be used by </w:t>
      </w:r>
      <w:r>
        <w:t>members of the Union</w:t>
      </w:r>
      <w:r w:rsidRPr="00421986">
        <w:t>, as considered appropriate</w:t>
      </w:r>
      <w:r>
        <w:t>.  E-PVP, which comprises the</w:t>
      </w:r>
      <w:r w:rsidRPr="00421986">
        <w:t xml:space="preserve"> following package of compatible tools</w:t>
      </w:r>
      <w:r>
        <w:t>, will continue to be developed as indicated</w:t>
      </w:r>
      <w:r w:rsidRPr="00421986">
        <w:t>:</w:t>
      </w:r>
    </w:p>
    <w:p w:rsidR="00731C96" w:rsidRPr="00421986" w:rsidRDefault="00731C96" w:rsidP="00731C96"/>
    <w:p w:rsidR="00731C96" w:rsidRPr="00421986" w:rsidRDefault="00731C96" w:rsidP="00731C96">
      <w:pPr>
        <w:pStyle w:val="ListParagraph"/>
        <w:numPr>
          <w:ilvl w:val="0"/>
          <w:numId w:val="16"/>
        </w:numPr>
        <w:spacing w:after="120"/>
        <w:ind w:hanging="357"/>
        <w:contextualSpacing w:val="0"/>
      </w:pPr>
      <w:r w:rsidRPr="00421986">
        <w:t>Applying for PVP</w:t>
      </w:r>
    </w:p>
    <w:p w:rsidR="00731C96" w:rsidRPr="00722D24" w:rsidRDefault="00731C96" w:rsidP="00731C96">
      <w:pPr>
        <w:pStyle w:val="ListParagraph"/>
        <w:numPr>
          <w:ilvl w:val="1"/>
          <w:numId w:val="16"/>
        </w:numPr>
        <w:spacing w:after="40"/>
        <w:ind w:hanging="357"/>
        <w:contextualSpacing w:val="0"/>
        <w:rPr>
          <w:color w:val="000000" w:themeColor="text1"/>
        </w:rPr>
      </w:pPr>
      <w:r w:rsidRPr="00421986">
        <w:t xml:space="preserve">Extending coverage of </w:t>
      </w:r>
      <w:r>
        <w:t>UPOV PRISMA</w:t>
      </w:r>
      <w:r w:rsidRPr="00421986">
        <w:t xml:space="preserve"> to more </w:t>
      </w:r>
      <w:r>
        <w:t>members of the Union</w:t>
      </w:r>
      <w:r w:rsidRPr="00421986">
        <w:t xml:space="preserve"> and more crops/species</w:t>
      </w:r>
    </w:p>
    <w:p w:rsidR="00731C96" w:rsidRPr="00722D24" w:rsidRDefault="00731C96" w:rsidP="00731C96">
      <w:pPr>
        <w:pStyle w:val="ListParagraph"/>
        <w:numPr>
          <w:ilvl w:val="1"/>
          <w:numId w:val="16"/>
        </w:numPr>
        <w:spacing w:after="40"/>
        <w:ind w:hanging="357"/>
        <w:contextualSpacing w:val="0"/>
        <w:rPr>
          <w:color w:val="000000" w:themeColor="text1"/>
        </w:rPr>
      </w:pPr>
      <w:r w:rsidRPr="00421986">
        <w:rPr>
          <w:color w:val="000000" w:themeColor="text1"/>
        </w:rPr>
        <w:t xml:space="preserve">Tool to provide information to PVP applicants on cooperation in DUS examination between </w:t>
      </w:r>
      <w:r>
        <w:rPr>
          <w:color w:val="000000" w:themeColor="text1"/>
        </w:rPr>
        <w:t>members of the Union</w:t>
      </w:r>
      <w:r w:rsidRPr="00421986">
        <w:rPr>
          <w:color w:val="000000" w:themeColor="text1"/>
        </w:rPr>
        <w:t xml:space="preserve"> in a user-friendly form</w:t>
      </w:r>
      <w:r>
        <w:rPr>
          <w:color w:val="000000" w:themeColor="text1"/>
        </w:rPr>
        <w:t xml:space="preserve"> (DART – DUS Arrangement Tool)</w:t>
      </w:r>
      <w:r w:rsidRPr="00421986">
        <w:rPr>
          <w:color w:val="000000" w:themeColor="text1"/>
        </w:rPr>
        <w:t xml:space="preserve"> </w:t>
      </w:r>
    </w:p>
    <w:p w:rsidR="00731C96" w:rsidRPr="00421986" w:rsidRDefault="00731C96" w:rsidP="00731C96">
      <w:pPr>
        <w:pStyle w:val="ListParagraph"/>
        <w:keepNext/>
        <w:numPr>
          <w:ilvl w:val="0"/>
          <w:numId w:val="16"/>
        </w:numPr>
        <w:spacing w:before="120" w:after="120"/>
        <w:ind w:left="930" w:hanging="357"/>
        <w:contextualSpacing w:val="0"/>
      </w:pPr>
      <w:r>
        <w:lastRenderedPageBreak/>
        <w:t xml:space="preserve">PVP Office </w:t>
      </w:r>
      <w:r w:rsidRPr="00421986">
        <w:t>Administration</w:t>
      </w:r>
    </w:p>
    <w:p w:rsidR="00731C96" w:rsidRPr="00421986" w:rsidRDefault="00731C96" w:rsidP="00731C96">
      <w:pPr>
        <w:pStyle w:val="ListParagraph"/>
        <w:numPr>
          <w:ilvl w:val="1"/>
          <w:numId w:val="16"/>
        </w:numPr>
        <w:spacing w:after="40"/>
        <w:ind w:hanging="357"/>
        <w:contextualSpacing w:val="0"/>
      </w:pPr>
      <w:r w:rsidRPr="00421986">
        <w:t xml:space="preserve">Electronic PVP administration module for </w:t>
      </w:r>
      <w:r>
        <w:t>members of the Union</w:t>
      </w:r>
      <w:r w:rsidRPr="00421986">
        <w:t xml:space="preserve"> to </w:t>
      </w:r>
      <w:r>
        <w:t>manage and publish PVP </w:t>
      </w:r>
      <w:r w:rsidRPr="00421986">
        <w:t>applications</w:t>
      </w:r>
      <w:r>
        <w:t xml:space="preserve">, including transmission of data to the </w:t>
      </w:r>
      <w:r w:rsidRPr="00421986">
        <w:t>PLUTO database</w:t>
      </w:r>
    </w:p>
    <w:p w:rsidR="00731C96" w:rsidRPr="00421986" w:rsidRDefault="00731C96" w:rsidP="00731C96">
      <w:pPr>
        <w:pStyle w:val="ListParagraph"/>
        <w:numPr>
          <w:ilvl w:val="1"/>
          <w:numId w:val="16"/>
        </w:numPr>
        <w:spacing w:after="40"/>
        <w:ind w:hanging="357"/>
        <w:contextualSpacing w:val="0"/>
      </w:pPr>
      <w:r w:rsidRPr="009E2EF9">
        <w:rPr>
          <w:rFonts w:cs="Arial"/>
          <w:snapToGrid w:val="0"/>
          <w:color w:val="000000"/>
        </w:rPr>
        <w:t xml:space="preserve">UPOV similarity search tool for variety denomination purposes </w:t>
      </w:r>
      <w:r w:rsidRPr="00421986">
        <w:t xml:space="preserve">based on UPOV agreed algorithm running on data in the PLUTO database </w:t>
      </w:r>
    </w:p>
    <w:p w:rsidR="00731C96" w:rsidRPr="00421986" w:rsidRDefault="00731C96" w:rsidP="00731C96">
      <w:pPr>
        <w:pStyle w:val="ListParagraph"/>
        <w:numPr>
          <w:ilvl w:val="0"/>
          <w:numId w:val="16"/>
        </w:numPr>
        <w:spacing w:before="120" w:after="120"/>
        <w:ind w:left="930" w:hanging="357"/>
        <w:contextualSpacing w:val="0"/>
      </w:pPr>
      <w:r>
        <w:t>Facilitating cooperation</w:t>
      </w:r>
    </w:p>
    <w:p w:rsidR="00731C96" w:rsidRPr="00421986" w:rsidRDefault="00731C96" w:rsidP="00731C96">
      <w:pPr>
        <w:pStyle w:val="ListParagraph"/>
        <w:numPr>
          <w:ilvl w:val="1"/>
          <w:numId w:val="16"/>
        </w:numPr>
        <w:spacing w:after="40"/>
        <w:ind w:hanging="357"/>
        <w:contextualSpacing w:val="0"/>
      </w:pPr>
      <w:r w:rsidRPr="00421986">
        <w:t xml:space="preserve">UPOV member cooperation platforms (e.g. </w:t>
      </w:r>
      <w:r>
        <w:t>e-PVP Asia</w:t>
      </w:r>
      <w:r w:rsidRPr="00421986">
        <w:t>) to cooperate in the administration and examination of applications</w:t>
      </w:r>
    </w:p>
    <w:p w:rsidR="00731C96" w:rsidRPr="00421986" w:rsidRDefault="00731C96" w:rsidP="00731C96">
      <w:pPr>
        <w:pStyle w:val="ListParagraph"/>
        <w:numPr>
          <w:ilvl w:val="1"/>
          <w:numId w:val="16"/>
        </w:numPr>
        <w:spacing w:after="40"/>
        <w:ind w:hanging="357"/>
        <w:contextualSpacing w:val="0"/>
        <w:rPr>
          <w:color w:val="000000" w:themeColor="text1"/>
        </w:rPr>
      </w:pPr>
      <w:r w:rsidRPr="00421986">
        <w:rPr>
          <w:color w:val="000000" w:themeColor="text1"/>
        </w:rPr>
        <w:t xml:space="preserve">Platform for exchange of existing DUS reports </w:t>
      </w:r>
    </w:p>
    <w:p w:rsidR="00731C96" w:rsidRPr="00421986" w:rsidRDefault="00731C96" w:rsidP="00731C96">
      <w:pPr>
        <w:pStyle w:val="ListParagraph"/>
        <w:numPr>
          <w:ilvl w:val="1"/>
          <w:numId w:val="16"/>
        </w:numPr>
        <w:spacing w:after="40"/>
        <w:ind w:hanging="357"/>
        <w:contextualSpacing w:val="0"/>
        <w:rPr>
          <w:color w:val="000000" w:themeColor="text1"/>
        </w:rPr>
      </w:pPr>
      <w:r w:rsidRPr="00421986">
        <w:rPr>
          <w:color w:val="000000" w:themeColor="text1"/>
        </w:rPr>
        <w:t xml:space="preserve">Platform for </w:t>
      </w:r>
      <w:r>
        <w:rPr>
          <w:color w:val="000000" w:themeColor="text1"/>
        </w:rPr>
        <w:t>members of the Union</w:t>
      </w:r>
      <w:r w:rsidRPr="00421986">
        <w:rPr>
          <w:color w:val="000000" w:themeColor="text1"/>
        </w:rPr>
        <w:t xml:space="preserve"> to make their documented DUS procedures and information on their quality management systems available to other members of </w:t>
      </w:r>
      <w:r>
        <w:rPr>
          <w:color w:val="000000" w:themeColor="text1"/>
        </w:rPr>
        <w:t>the Union</w:t>
      </w:r>
      <w:r w:rsidRPr="00421986">
        <w:rPr>
          <w:color w:val="000000" w:themeColor="text1"/>
        </w:rPr>
        <w:t xml:space="preserve"> </w:t>
      </w:r>
    </w:p>
    <w:p w:rsidR="00731C96" w:rsidRPr="00421986" w:rsidRDefault="00731C96" w:rsidP="00731C96">
      <w:pPr>
        <w:pStyle w:val="ListParagraph"/>
        <w:numPr>
          <w:ilvl w:val="1"/>
          <w:numId w:val="16"/>
        </w:numPr>
        <w:spacing w:after="40"/>
        <w:ind w:hanging="357"/>
        <w:contextualSpacing w:val="0"/>
      </w:pPr>
      <w:r w:rsidRPr="00421986">
        <w:t xml:space="preserve">Module for </w:t>
      </w:r>
      <w:r>
        <w:t>members of the Union</w:t>
      </w:r>
      <w:r w:rsidRPr="00421986">
        <w:t xml:space="preserve"> to use the web-based TG Template and database of characteristics to develop individual authorities</w:t>
      </w:r>
      <w:r>
        <w:t>’</w:t>
      </w:r>
      <w:r w:rsidRPr="00421986">
        <w:t xml:space="preserve"> test guidelines (IATG) in their language </w:t>
      </w:r>
    </w:p>
    <w:p w:rsidR="00731C96" w:rsidRPr="00421986" w:rsidRDefault="00731C96" w:rsidP="00731C96">
      <w:pPr>
        <w:pStyle w:val="ListParagraph"/>
        <w:numPr>
          <w:ilvl w:val="1"/>
          <w:numId w:val="16"/>
        </w:numPr>
        <w:spacing w:after="40"/>
        <w:ind w:hanging="357"/>
        <w:contextualSpacing w:val="0"/>
      </w:pPr>
      <w:r w:rsidRPr="00421986">
        <w:t>Platform/portal for UPOV member databases containing variety description information</w:t>
      </w:r>
      <w:r>
        <w:t xml:space="preserve"> (e.g. PLUTO database)</w:t>
      </w:r>
    </w:p>
    <w:p w:rsidR="00731C96" w:rsidRPr="00421986" w:rsidRDefault="00731C96" w:rsidP="00731C96"/>
    <w:p w:rsidR="00731C96" w:rsidRDefault="00731C96" w:rsidP="00731C96">
      <w:r>
        <w:fldChar w:fldCharType="begin"/>
      </w:r>
      <w:r>
        <w:instrText xml:space="preserve"> AUTONUM  </w:instrText>
      </w:r>
      <w:r>
        <w:fldChar w:fldCharType="end"/>
      </w:r>
      <w:r>
        <w:tab/>
        <w:t xml:space="preserve">The following </w:t>
      </w:r>
      <w:r w:rsidRPr="00421986">
        <w:t xml:space="preserve">graphic </w:t>
      </w:r>
      <w:r>
        <w:t xml:space="preserve">provides an </w:t>
      </w:r>
      <w:r w:rsidRPr="00421986">
        <w:t xml:space="preserve">overview of how </w:t>
      </w:r>
      <w:r>
        <w:t>e</w:t>
      </w:r>
      <w:r>
        <w:noBreakHyphen/>
        <w:t>PVP</w:t>
      </w:r>
      <w:r w:rsidRPr="00421986">
        <w:t xml:space="preserve"> </w:t>
      </w:r>
      <w:r>
        <w:t xml:space="preserve">relates </w:t>
      </w:r>
      <w:r w:rsidRPr="00421986">
        <w:t xml:space="preserve">to the </w:t>
      </w:r>
      <w:r>
        <w:t>“</w:t>
      </w:r>
      <w:r w:rsidRPr="00421986">
        <w:t>Functions and structure of a PBR Office</w:t>
      </w:r>
      <w:r>
        <w:t>”</w:t>
      </w:r>
      <w:r w:rsidRPr="00421986">
        <w:t xml:space="preserve"> as identified in document </w:t>
      </w:r>
      <w:hyperlink r:id="rId14" w:history="1">
        <w:r w:rsidRPr="006C75D7">
          <w:rPr>
            <w:rStyle w:val="Hyperlink"/>
          </w:rPr>
          <w:t>UPOV/INF/15</w:t>
        </w:r>
      </w:hyperlink>
      <w:r w:rsidRPr="00421986">
        <w:t xml:space="preserve"> </w:t>
      </w:r>
      <w:r>
        <w:t>“</w:t>
      </w:r>
      <w:r w:rsidRPr="00421986">
        <w:t>Guidance for Members of UPOV</w:t>
      </w:r>
      <w:r>
        <w:t>”</w:t>
      </w:r>
      <w:r w:rsidRPr="00421986">
        <w:t>.</w:t>
      </w:r>
    </w:p>
    <w:p w:rsidR="00731C96" w:rsidRPr="009B6462" w:rsidRDefault="00731C96" w:rsidP="00731C96">
      <w:pPr>
        <w:tabs>
          <w:tab w:val="left" w:pos="851"/>
        </w:tabs>
      </w:pPr>
    </w:p>
    <w:tbl>
      <w:tblPr>
        <w:tblStyle w:val="TableGrid"/>
        <w:tblW w:w="0" w:type="auto"/>
        <w:jc w:val="center"/>
        <w:tblInd w:w="0" w:type="dxa"/>
        <w:tblLook w:val="04A0" w:firstRow="1" w:lastRow="0" w:firstColumn="1" w:lastColumn="0" w:noHBand="0" w:noVBand="1"/>
      </w:tblPr>
      <w:tblGrid>
        <w:gridCol w:w="9278"/>
      </w:tblGrid>
      <w:tr w:rsidR="00731C96" w:rsidTr="00731C96">
        <w:trPr>
          <w:trHeight w:val="5669"/>
          <w:jc w:val="center"/>
        </w:trPr>
        <w:tc>
          <w:tcPr>
            <w:tcW w:w="9278" w:type="dxa"/>
            <w:tcBorders>
              <w:top w:val="nil"/>
              <w:left w:val="nil"/>
              <w:bottom w:val="nil"/>
              <w:right w:val="nil"/>
            </w:tcBorders>
          </w:tcPr>
          <w:p w:rsidR="00731C96" w:rsidRDefault="00731C96" w:rsidP="00731C96">
            <w:r>
              <w:rPr>
                <w:noProof/>
              </w:rPr>
              <w:drawing>
                <wp:inline distT="0" distB="0" distL="0" distR="0" wp14:anchorId="0649209D" wp14:editId="3E74E946">
                  <wp:extent cx="5753100" cy="3577605"/>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2664" cy="3589771"/>
                          </a:xfrm>
                          <a:prstGeom prst="rect">
                            <a:avLst/>
                          </a:prstGeom>
                          <a:noFill/>
                        </pic:spPr>
                      </pic:pic>
                    </a:graphicData>
                  </a:graphic>
                </wp:inline>
              </w:drawing>
            </w:r>
          </w:p>
        </w:tc>
      </w:tr>
    </w:tbl>
    <w:p w:rsidR="00731C96" w:rsidRPr="00421986" w:rsidRDefault="00731C96" w:rsidP="00731C96"/>
    <w:p w:rsidR="00731C96" w:rsidRDefault="00731C96" w:rsidP="00731C96">
      <w:pPr>
        <w:rPr>
          <w:b/>
          <w:bCs/>
          <w:sz w:val="22"/>
          <w:szCs w:val="22"/>
        </w:rPr>
      </w:pPr>
    </w:p>
    <w:p w:rsidR="00731C96" w:rsidRDefault="00731C96" w:rsidP="00731C96">
      <w:pPr>
        <w:rPr>
          <w:b/>
          <w:bCs/>
          <w:sz w:val="22"/>
          <w:szCs w:val="22"/>
        </w:rPr>
      </w:pPr>
    </w:p>
    <w:p w:rsidR="00731C96" w:rsidRDefault="00731C96" w:rsidP="00731C96">
      <w:pPr>
        <w:pStyle w:val="Heading3"/>
      </w:pPr>
      <w:bookmarkStart w:id="72" w:name="_Toc107239356"/>
      <w:bookmarkStart w:id="73" w:name="_Toc107239606"/>
      <w:bookmarkStart w:id="74" w:name="_Toc117798901"/>
      <w:r>
        <w:t xml:space="preserve">Foundation: </w:t>
      </w:r>
      <w:r w:rsidRPr="00693305">
        <w:t xml:space="preserve">Empower our people to work effectively, collaboratively and </w:t>
      </w:r>
      <w:r w:rsidRPr="00166F48">
        <w:t>innovatively</w:t>
      </w:r>
      <w:r w:rsidRPr="00693305">
        <w:t xml:space="preserve"> by providing them with the right resources, training and environment</w:t>
      </w:r>
      <w:bookmarkEnd w:id="72"/>
      <w:bookmarkEnd w:id="73"/>
      <w:bookmarkEnd w:id="74"/>
    </w:p>
    <w:p w:rsidR="00731C96" w:rsidRDefault="00731C96" w:rsidP="00731C96">
      <w:pPr>
        <w:keepNext/>
        <w:rPr>
          <w:b/>
          <w:bCs/>
          <w:sz w:val="22"/>
          <w:szCs w:val="22"/>
        </w:rPr>
      </w:pPr>
    </w:p>
    <w:p w:rsidR="00731C96" w:rsidRPr="0038143C" w:rsidRDefault="00731C96" w:rsidP="00731C96">
      <w:pPr>
        <w:pStyle w:val="Heading4"/>
        <w:rPr>
          <w:lang w:val="en-US"/>
        </w:rPr>
      </w:pPr>
      <w:bookmarkStart w:id="75" w:name="_Toc107239357"/>
      <w:bookmarkStart w:id="76" w:name="_Toc107239607"/>
      <w:bookmarkStart w:id="77" w:name="_Toc117798902"/>
      <w:r w:rsidRPr="0038143C">
        <w:rPr>
          <w:lang w:val="en-US"/>
        </w:rPr>
        <w:t>Background</w:t>
      </w:r>
      <w:bookmarkEnd w:id="75"/>
      <w:bookmarkEnd w:id="76"/>
      <w:bookmarkEnd w:id="77"/>
    </w:p>
    <w:p w:rsidR="00731C96" w:rsidRDefault="00731C96" w:rsidP="00731C96">
      <w:pPr>
        <w:pStyle w:val="Default"/>
        <w:keepNext/>
        <w:rPr>
          <w:b/>
          <w:bCs/>
          <w:sz w:val="22"/>
          <w:szCs w:val="22"/>
        </w:rPr>
      </w:pPr>
    </w:p>
    <w:p w:rsidR="00731C96" w:rsidRPr="00981407" w:rsidRDefault="00731C96" w:rsidP="00731C96">
      <w:pPr>
        <w:pStyle w:val="Default"/>
        <w:jc w:val="both"/>
        <w:rPr>
          <w:bCs/>
          <w:sz w:val="20"/>
          <w:szCs w:val="20"/>
        </w:rPr>
      </w:pPr>
      <w:r>
        <w:rPr>
          <w:bCs/>
          <w:sz w:val="20"/>
          <w:szCs w:val="20"/>
        </w:rPr>
        <w:fldChar w:fldCharType="begin"/>
      </w:r>
      <w:r>
        <w:rPr>
          <w:bCs/>
          <w:sz w:val="20"/>
          <w:szCs w:val="20"/>
        </w:rPr>
        <w:instrText xml:space="preserve"> AUTONUM  </w:instrText>
      </w:r>
      <w:r>
        <w:rPr>
          <w:bCs/>
          <w:sz w:val="20"/>
          <w:szCs w:val="20"/>
        </w:rPr>
        <w:fldChar w:fldCharType="end"/>
      </w:r>
      <w:r>
        <w:rPr>
          <w:bCs/>
          <w:sz w:val="20"/>
          <w:szCs w:val="20"/>
        </w:rPr>
        <w:tab/>
      </w:r>
      <w:r w:rsidRPr="00981407">
        <w:rPr>
          <w:bCs/>
          <w:sz w:val="20"/>
          <w:szCs w:val="20"/>
        </w:rPr>
        <w:t>The success of UPOV</w:t>
      </w:r>
      <w:r>
        <w:rPr>
          <w:bCs/>
          <w:sz w:val="20"/>
          <w:szCs w:val="20"/>
        </w:rPr>
        <w:t>’</w:t>
      </w:r>
      <w:r w:rsidRPr="00981407">
        <w:rPr>
          <w:bCs/>
          <w:sz w:val="20"/>
          <w:szCs w:val="20"/>
        </w:rPr>
        <w:t xml:space="preserve">s strategic plan depends on a strong Foundation, which constitutes the management and administrative functions of UPOV and its organizational culture. This Foundation, in turn, </w:t>
      </w:r>
      <w:r>
        <w:rPr>
          <w:bCs/>
          <w:sz w:val="20"/>
          <w:szCs w:val="20"/>
        </w:rPr>
        <w:t>needs</w:t>
      </w:r>
      <w:r w:rsidRPr="00981407">
        <w:rPr>
          <w:bCs/>
          <w:sz w:val="20"/>
          <w:szCs w:val="20"/>
        </w:rPr>
        <w:t xml:space="preserve"> to evolve to provide the best working environment for staff to deliver the Expected Results.</w:t>
      </w:r>
    </w:p>
    <w:p w:rsidR="00731C96" w:rsidRPr="00981407" w:rsidRDefault="00731C96" w:rsidP="00731C96">
      <w:pPr>
        <w:pStyle w:val="Default"/>
        <w:jc w:val="both"/>
        <w:rPr>
          <w:bCs/>
          <w:sz w:val="20"/>
          <w:szCs w:val="20"/>
        </w:rPr>
      </w:pPr>
    </w:p>
    <w:p w:rsidR="00731C96" w:rsidRPr="00D370B0" w:rsidRDefault="00731C96" w:rsidP="00731C96">
      <w:pPr>
        <w:pStyle w:val="Default"/>
        <w:jc w:val="both"/>
        <w:rPr>
          <w:bCs/>
          <w:sz w:val="20"/>
          <w:szCs w:val="20"/>
        </w:rPr>
      </w:pPr>
      <w:r>
        <w:rPr>
          <w:bCs/>
          <w:sz w:val="20"/>
          <w:szCs w:val="20"/>
        </w:rPr>
        <w:fldChar w:fldCharType="begin"/>
      </w:r>
      <w:r>
        <w:rPr>
          <w:bCs/>
          <w:sz w:val="20"/>
          <w:szCs w:val="20"/>
        </w:rPr>
        <w:instrText xml:space="preserve"> AUTONUM  </w:instrText>
      </w:r>
      <w:r>
        <w:rPr>
          <w:bCs/>
          <w:sz w:val="20"/>
          <w:szCs w:val="20"/>
        </w:rPr>
        <w:fldChar w:fldCharType="end"/>
      </w:r>
      <w:r>
        <w:rPr>
          <w:bCs/>
          <w:sz w:val="20"/>
          <w:szCs w:val="20"/>
        </w:rPr>
        <w:tab/>
      </w:r>
      <w:r w:rsidRPr="00D370B0">
        <w:rPr>
          <w:bCs/>
          <w:sz w:val="20"/>
          <w:szCs w:val="20"/>
        </w:rPr>
        <w:t xml:space="preserve">Under the WIPO-UPOV Agreement (document UPOV/INF/8), WIPO satisfies the requirements of UPOV with regard to provision of space, personnel administration, financial administration, procurement services and other administrative support. UPOV indemnifies WIPO for the cost of such services in accordance with the </w:t>
      </w:r>
      <w:r w:rsidRPr="00D370B0">
        <w:rPr>
          <w:bCs/>
          <w:sz w:val="20"/>
          <w:szCs w:val="20"/>
        </w:rPr>
        <w:lastRenderedPageBreak/>
        <w:t xml:space="preserve">terms of the agreement.  Therefore, UPOV’s financial management, governance and oversight are closely </w:t>
      </w:r>
      <w:r w:rsidRPr="004A20E8">
        <w:rPr>
          <w:bCs/>
          <w:sz w:val="20"/>
          <w:szCs w:val="20"/>
        </w:rPr>
        <w:t xml:space="preserve">aligned to </w:t>
      </w:r>
      <w:r>
        <w:rPr>
          <w:bCs/>
          <w:sz w:val="20"/>
          <w:szCs w:val="20"/>
        </w:rPr>
        <w:t>that the mechanisms in place at</w:t>
      </w:r>
      <w:r w:rsidRPr="00D370B0">
        <w:rPr>
          <w:bCs/>
          <w:sz w:val="20"/>
          <w:szCs w:val="20"/>
        </w:rPr>
        <w:t xml:space="preserve"> WIPO.</w:t>
      </w:r>
    </w:p>
    <w:p w:rsidR="00731C96" w:rsidRPr="00D370B0" w:rsidRDefault="00731C96" w:rsidP="00731C96">
      <w:pPr>
        <w:pStyle w:val="Default"/>
        <w:jc w:val="both"/>
        <w:rPr>
          <w:bCs/>
          <w:sz w:val="20"/>
          <w:szCs w:val="20"/>
        </w:rPr>
      </w:pPr>
    </w:p>
    <w:p w:rsidR="00731C96" w:rsidRPr="00981407" w:rsidRDefault="00731C96" w:rsidP="00731C96">
      <w:pPr>
        <w:pStyle w:val="Default"/>
        <w:jc w:val="both"/>
        <w:rPr>
          <w:bCs/>
          <w:sz w:val="20"/>
          <w:szCs w:val="20"/>
        </w:rPr>
      </w:pPr>
      <w:r w:rsidRPr="00D370B0">
        <w:rPr>
          <w:bCs/>
          <w:sz w:val="20"/>
          <w:szCs w:val="20"/>
        </w:rPr>
        <w:fldChar w:fldCharType="begin"/>
      </w:r>
      <w:r w:rsidRPr="00D370B0">
        <w:rPr>
          <w:bCs/>
          <w:sz w:val="20"/>
          <w:szCs w:val="20"/>
        </w:rPr>
        <w:instrText xml:space="preserve"> AUTONUM  </w:instrText>
      </w:r>
      <w:r w:rsidRPr="00D370B0">
        <w:rPr>
          <w:bCs/>
          <w:sz w:val="20"/>
          <w:szCs w:val="20"/>
        </w:rPr>
        <w:fldChar w:fldCharType="end"/>
      </w:r>
      <w:r w:rsidRPr="00D370B0">
        <w:rPr>
          <w:bCs/>
          <w:sz w:val="20"/>
          <w:szCs w:val="20"/>
        </w:rPr>
        <w:tab/>
        <w:t>As with all other organizations, the COVID-19 pandemic resulted in major changes to the way UPOV works. WIPO’s automation of end-to-end administrative and management business processes enabled UPOV to adapt remarkably quickly to the additional demands arising from the pandemic. The adoption of new models for UPOV body meetings, delivery and implementation of technical assistance and the uninterrupted provision of services are evidence of this.</w:t>
      </w:r>
      <w:r w:rsidRPr="00981407">
        <w:rPr>
          <w:bCs/>
          <w:sz w:val="20"/>
          <w:szCs w:val="20"/>
        </w:rPr>
        <w:t xml:space="preserve"> </w:t>
      </w:r>
    </w:p>
    <w:p w:rsidR="00731C96" w:rsidRDefault="00731C96" w:rsidP="00731C96"/>
    <w:p w:rsidR="00731C96" w:rsidRPr="0038143C" w:rsidRDefault="00731C96" w:rsidP="00731C96">
      <w:pPr>
        <w:pStyle w:val="Heading4"/>
        <w:rPr>
          <w:lang w:val="en-US"/>
        </w:rPr>
      </w:pPr>
      <w:bookmarkStart w:id="78" w:name="_Toc107239358"/>
      <w:bookmarkStart w:id="79" w:name="_Toc107239608"/>
      <w:bookmarkStart w:id="80" w:name="_Toc117798903"/>
      <w:r w:rsidRPr="0038143C">
        <w:rPr>
          <w:lang w:val="en-US"/>
        </w:rPr>
        <w:t>Future direction</w:t>
      </w:r>
      <w:bookmarkEnd w:id="78"/>
      <w:bookmarkEnd w:id="79"/>
      <w:bookmarkEnd w:id="80"/>
    </w:p>
    <w:p w:rsidR="00731C96" w:rsidRDefault="00731C96" w:rsidP="00731C96">
      <w:pPr>
        <w:keepNext/>
      </w:pPr>
    </w:p>
    <w:p w:rsidR="00731C96" w:rsidRDefault="00731C96" w:rsidP="00731C96">
      <w:pPr>
        <w:pStyle w:val="Heading5"/>
      </w:pPr>
      <w:bookmarkStart w:id="81" w:name="_Toc107239359"/>
      <w:bookmarkStart w:id="82" w:name="_Toc107239609"/>
      <w:bookmarkStart w:id="83" w:name="_Toc117798904"/>
      <w:r>
        <w:t>4.1</w:t>
      </w:r>
      <w:r>
        <w:tab/>
        <w:t>Diversification of revenue</w:t>
      </w:r>
      <w:bookmarkEnd w:id="81"/>
      <w:bookmarkEnd w:id="82"/>
      <w:bookmarkEnd w:id="83"/>
    </w:p>
    <w:p w:rsidR="00731C96" w:rsidRDefault="00731C96" w:rsidP="00731C96"/>
    <w:p w:rsidR="00731C96" w:rsidRDefault="00731C96" w:rsidP="00731C96">
      <w:pPr>
        <w:pStyle w:val="ListParagraph"/>
        <w:ind w:left="0"/>
      </w:pPr>
      <w:r w:rsidRPr="00960778">
        <w:fldChar w:fldCharType="begin"/>
      </w:r>
      <w:r w:rsidRPr="00960778">
        <w:instrText xml:space="preserve"> AUTONUM  </w:instrText>
      </w:r>
      <w:r w:rsidRPr="00960778">
        <w:fldChar w:fldCharType="end"/>
      </w:r>
      <w:r w:rsidRPr="00960778">
        <w:tab/>
      </w:r>
      <w:r>
        <w:t>WIPO’s</w:t>
      </w:r>
      <w:r w:rsidRPr="00960778">
        <w:t xml:space="preserve"> Internal Oversight Division (IOD) </w:t>
      </w:r>
      <w:r>
        <w:t>“</w:t>
      </w:r>
      <w:r w:rsidRPr="00960778">
        <w:t xml:space="preserve">Evaluation of the International </w:t>
      </w:r>
      <w:r>
        <w:t>Union for the Protection of New </w:t>
      </w:r>
      <w:r w:rsidRPr="00960778">
        <w:t>Varieties of Plants (UPOV)</w:t>
      </w:r>
      <w:r>
        <w:t>”</w:t>
      </w:r>
      <w:r w:rsidRPr="00960778">
        <w:t>, conducted in 2016</w:t>
      </w:r>
      <w:r>
        <w:t xml:space="preserve">, </w:t>
      </w:r>
      <w:r w:rsidRPr="00960778">
        <w:t>recommended that UPOV consider developing a Strategic Business Plan to diversify its revenue portfolio to maintain and enhance the sustainability of existing activities and services.</w:t>
      </w:r>
      <w:r>
        <w:t xml:space="preserve">  </w:t>
      </w:r>
      <w:r w:rsidRPr="00960778">
        <w:t>The</w:t>
      </w:r>
      <w:r>
        <w:t xml:space="preserve"> </w:t>
      </w:r>
      <w:r w:rsidRPr="00960778">
        <w:t>measures</w:t>
      </w:r>
      <w:r>
        <w:t xml:space="preserve"> to diversify UPOV’s revenue portfolio have focused on generating income from UPOV PRISMA and the PLUTO database.  The </w:t>
      </w:r>
      <w:r w:rsidRPr="00960778">
        <w:t xml:space="preserve">proportion of income other than from contributions of members of </w:t>
      </w:r>
      <w:r>
        <w:t xml:space="preserve">the Union increased from 1.3% in 2018 to 7.3 % in 2021. </w:t>
      </w:r>
      <w:r w:rsidRPr="00960778">
        <w:t xml:space="preserve"> </w:t>
      </w:r>
      <w:r>
        <w:t xml:space="preserve">Alongside this increase, income from </w:t>
      </w:r>
      <w:r w:rsidRPr="00960778">
        <w:t xml:space="preserve">contributions of members of </w:t>
      </w:r>
      <w:r>
        <w:t xml:space="preserve">the Union increased by 5.1% in the same period, meaning that income has increased by 11.2% between 2018 and 2021. </w:t>
      </w:r>
    </w:p>
    <w:p w:rsidR="00731C96" w:rsidRPr="00960778" w:rsidRDefault="00731C96" w:rsidP="00731C96">
      <w:pPr>
        <w:pStyle w:val="ListParagraph"/>
        <w:ind w:left="0"/>
      </w:pPr>
    </w:p>
    <w:tbl>
      <w:tblPr>
        <w:tblStyle w:val="TableGrid"/>
        <w:tblW w:w="0" w:type="auto"/>
        <w:tblInd w:w="0" w:type="dxa"/>
        <w:tblLook w:val="04A0" w:firstRow="1" w:lastRow="0" w:firstColumn="1" w:lastColumn="0" w:noHBand="0" w:noVBand="1"/>
      </w:tblPr>
      <w:tblGrid>
        <w:gridCol w:w="9636"/>
      </w:tblGrid>
      <w:tr w:rsidR="00731C96" w:rsidRPr="00166F48" w:rsidTr="00731C96">
        <w:tc>
          <w:tcPr>
            <w:tcW w:w="9629" w:type="dxa"/>
            <w:tcBorders>
              <w:top w:val="nil"/>
              <w:left w:val="nil"/>
              <w:bottom w:val="nil"/>
              <w:right w:val="nil"/>
            </w:tcBorders>
          </w:tcPr>
          <w:p w:rsidR="00731C96" w:rsidRPr="00166F48" w:rsidRDefault="00731C96" w:rsidP="00731C96">
            <w:pPr>
              <w:pStyle w:val="Default"/>
              <w:jc w:val="center"/>
              <w:rPr>
                <w:rFonts w:cs="Times New Roman"/>
                <w:b/>
                <w:color w:val="auto"/>
                <w:sz w:val="18"/>
                <w:szCs w:val="20"/>
              </w:rPr>
            </w:pPr>
            <w:r w:rsidRPr="00166F48">
              <w:rPr>
                <w:rFonts w:cs="Times New Roman"/>
                <w:b/>
                <w:color w:val="auto"/>
                <w:sz w:val="18"/>
                <w:szCs w:val="20"/>
              </w:rPr>
              <w:t>Figure 1.  UPOV Income</w:t>
            </w:r>
          </w:p>
        </w:tc>
      </w:tr>
      <w:tr w:rsidR="00731C96" w:rsidTr="00731C96">
        <w:tc>
          <w:tcPr>
            <w:tcW w:w="9629" w:type="dxa"/>
            <w:tcBorders>
              <w:top w:val="nil"/>
              <w:left w:val="nil"/>
              <w:bottom w:val="nil"/>
              <w:right w:val="nil"/>
            </w:tcBorders>
          </w:tcPr>
          <w:p w:rsidR="00731C96" w:rsidRDefault="00731C96" w:rsidP="00731C96">
            <w:pPr>
              <w:pStyle w:val="Default"/>
              <w:jc w:val="center"/>
              <w:rPr>
                <w:rFonts w:cs="Times New Roman"/>
                <w:color w:val="auto"/>
                <w:sz w:val="20"/>
                <w:szCs w:val="20"/>
              </w:rPr>
            </w:pPr>
            <w:r w:rsidRPr="000839EB">
              <w:rPr>
                <w:noProof/>
                <w:spacing w:val="-2"/>
              </w:rPr>
              <w:drawing>
                <wp:inline distT="0" distB="0" distL="0" distR="0" wp14:anchorId="2625EBC9" wp14:editId="17D35131">
                  <wp:extent cx="5981700" cy="40064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18280" cy="4030935"/>
                          </a:xfrm>
                          <a:prstGeom prst="rect">
                            <a:avLst/>
                          </a:prstGeom>
                          <a:noFill/>
                          <a:ln>
                            <a:noFill/>
                          </a:ln>
                        </pic:spPr>
                      </pic:pic>
                    </a:graphicData>
                  </a:graphic>
                </wp:inline>
              </w:drawing>
            </w:r>
          </w:p>
        </w:tc>
      </w:tr>
    </w:tbl>
    <w:p w:rsidR="00731C96" w:rsidRPr="000839EB" w:rsidRDefault="00731C96" w:rsidP="00731C96">
      <w:pPr>
        <w:pStyle w:val="Default"/>
        <w:rPr>
          <w:rFonts w:cs="Times New Roman"/>
          <w:color w:val="auto"/>
          <w:sz w:val="20"/>
          <w:szCs w:val="20"/>
        </w:rPr>
      </w:pPr>
    </w:p>
    <w:p w:rsidR="00731C96" w:rsidRPr="00960778" w:rsidRDefault="00731C96" w:rsidP="00731C96"/>
    <w:p w:rsidR="00731C96" w:rsidRDefault="00731C96" w:rsidP="00731C96">
      <w:pPr>
        <w:pStyle w:val="ListParagraph"/>
        <w:ind w:left="0"/>
      </w:pPr>
      <w:r w:rsidRPr="00960778">
        <w:fldChar w:fldCharType="begin"/>
      </w:r>
      <w:r w:rsidRPr="00960778">
        <w:instrText xml:space="preserve"> AUTONUM  </w:instrText>
      </w:r>
      <w:r w:rsidRPr="00960778">
        <w:fldChar w:fldCharType="end"/>
      </w:r>
      <w:r w:rsidRPr="00960778">
        <w:tab/>
      </w:r>
      <w:r>
        <w:t xml:space="preserve">Although measures will be taken to diversify income, </w:t>
      </w:r>
      <w:r w:rsidRPr="00960778">
        <w:t xml:space="preserve">contributions of members of </w:t>
      </w:r>
      <w:r>
        <w:t xml:space="preserve">the Union </w:t>
      </w:r>
      <w:r w:rsidRPr="00960778">
        <w:t xml:space="preserve">will continue to provide the major source of income in the foreseeable future. </w:t>
      </w:r>
    </w:p>
    <w:p w:rsidR="00731C96" w:rsidRPr="00960778" w:rsidRDefault="00731C96" w:rsidP="00731C96"/>
    <w:p w:rsidR="00731C96" w:rsidRPr="00960778" w:rsidRDefault="00731C96" w:rsidP="00731C96">
      <w:pPr>
        <w:pStyle w:val="ListParagraph"/>
        <w:ind w:left="0"/>
      </w:pPr>
      <w:r w:rsidRPr="00960778">
        <w:fldChar w:fldCharType="begin"/>
      </w:r>
      <w:r w:rsidRPr="00960778">
        <w:instrText xml:space="preserve"> AUTONUM  </w:instrText>
      </w:r>
      <w:r w:rsidRPr="00960778">
        <w:fldChar w:fldCharType="end"/>
      </w:r>
      <w:r w:rsidRPr="00960778">
        <w:tab/>
        <w:t xml:space="preserve">Increasing income from increasing the value of a contribution unit is not foreseen in the term of this Strategic Business Plan.  Although new members of </w:t>
      </w:r>
      <w:r>
        <w:t>the Union</w:t>
      </w:r>
      <w:r w:rsidRPr="00960778">
        <w:t xml:space="preserve"> provide additional units of contribution, they are typically developing countries that are not in a position to contribute above the minimum number of contribution units (</w:t>
      </w:r>
      <w:r>
        <w:t>one-fifth of a contribution unit</w:t>
      </w:r>
      <w:r w:rsidRPr="00960778">
        <w:t xml:space="preserve">), </w:t>
      </w:r>
      <w:r>
        <w:t xml:space="preserve">currently </w:t>
      </w:r>
      <w:r w:rsidRPr="00960778">
        <w:t>representing 10,728</w:t>
      </w:r>
      <w:r>
        <w:t xml:space="preserve"> Swiss francs</w:t>
      </w:r>
      <w:r w:rsidRPr="00960778">
        <w:t xml:space="preserve">/annum, and should be anticipated to be net receivers of assistance as they seek to implement </w:t>
      </w:r>
      <w:r>
        <w:t xml:space="preserve">the </w:t>
      </w:r>
      <w:r w:rsidRPr="00960778">
        <w:t>PVP</w:t>
      </w:r>
      <w:r>
        <w:t xml:space="preserve"> system</w:t>
      </w:r>
      <w:r w:rsidRPr="00960778">
        <w:t xml:space="preserve">. </w:t>
      </w:r>
    </w:p>
    <w:p w:rsidR="00731C96" w:rsidRPr="00960778" w:rsidRDefault="00731C96" w:rsidP="00731C96"/>
    <w:p w:rsidR="00731C96" w:rsidRPr="00960778" w:rsidRDefault="00731C96" w:rsidP="00731C96">
      <w:pPr>
        <w:pStyle w:val="ListParagraph"/>
        <w:ind w:left="0"/>
      </w:pPr>
      <w:r w:rsidRPr="00960778">
        <w:lastRenderedPageBreak/>
        <w:fldChar w:fldCharType="begin"/>
      </w:r>
      <w:r w:rsidRPr="00960778">
        <w:instrText xml:space="preserve"> AUTONUM  </w:instrText>
      </w:r>
      <w:r w:rsidRPr="00960778">
        <w:fldChar w:fldCharType="end"/>
      </w:r>
      <w:r w:rsidRPr="00960778">
        <w:tab/>
        <w:t xml:space="preserve">However, the domestic economic or PVP situation and/or enhanced services that UPOV provides in the future may encourage some members of </w:t>
      </w:r>
      <w:r>
        <w:t>the Union</w:t>
      </w:r>
      <w:r w:rsidRPr="00960778">
        <w:t xml:space="preserve"> to increase their number of contribution units, which could provide additional resources for additional services.  </w:t>
      </w:r>
    </w:p>
    <w:p w:rsidR="00731C96" w:rsidRPr="00960778" w:rsidRDefault="00731C96" w:rsidP="00731C96"/>
    <w:p w:rsidR="00731C96" w:rsidRDefault="00731C96" w:rsidP="00731C96">
      <w:pPr>
        <w:pStyle w:val="ListParagraph"/>
        <w:ind w:left="0"/>
      </w:pPr>
      <w:r>
        <w:fldChar w:fldCharType="begin"/>
      </w:r>
      <w:r>
        <w:instrText xml:space="preserve"> AUTONUM  </w:instrText>
      </w:r>
      <w:r>
        <w:fldChar w:fldCharType="end"/>
      </w:r>
      <w:r>
        <w:tab/>
        <w:t>O</w:t>
      </w:r>
      <w:r w:rsidRPr="004E37CF">
        <w:t xml:space="preserve">ver the medium term, </w:t>
      </w:r>
      <w:r>
        <w:t xml:space="preserve">UPOV </w:t>
      </w:r>
      <w:r w:rsidRPr="004E37CF">
        <w:t xml:space="preserve">will </w:t>
      </w:r>
      <w:r>
        <w:t xml:space="preserve">need to assess the impact of </w:t>
      </w:r>
      <w:r w:rsidRPr="00936E53">
        <w:t xml:space="preserve">after-service health insurance </w:t>
      </w:r>
      <w:r>
        <w:t>(</w:t>
      </w:r>
      <w:r w:rsidRPr="004E37CF">
        <w:t>ASHI</w:t>
      </w:r>
      <w:r>
        <w:t>)</w:t>
      </w:r>
      <w:r w:rsidRPr="004E37CF">
        <w:t xml:space="preserve"> liabilities on the financial result</w:t>
      </w:r>
      <w:r>
        <w:t>s and any measures that it may take to respond to that impact.</w:t>
      </w:r>
    </w:p>
    <w:p w:rsidR="00731C96" w:rsidRDefault="00731C96" w:rsidP="00731C96">
      <w:pPr>
        <w:pStyle w:val="ListParagraph"/>
        <w:ind w:left="0"/>
      </w:pPr>
    </w:p>
    <w:p w:rsidR="00731C96" w:rsidRDefault="00731C96" w:rsidP="00731C96">
      <w:pPr>
        <w:pStyle w:val="ListParagraph"/>
        <w:ind w:left="0"/>
      </w:pPr>
      <w:r w:rsidRPr="00960778">
        <w:fldChar w:fldCharType="begin"/>
      </w:r>
      <w:r w:rsidRPr="00960778">
        <w:instrText xml:space="preserve"> AUTONUM  </w:instrText>
      </w:r>
      <w:r w:rsidRPr="00960778">
        <w:fldChar w:fldCharType="end"/>
      </w:r>
      <w:r w:rsidRPr="00960778">
        <w:tab/>
      </w:r>
      <w:r w:rsidRPr="00167412">
        <w:t xml:space="preserve">The following sections consider additional sources of funding to complement the income from contributions from members of </w:t>
      </w:r>
      <w:r>
        <w:t>the Union</w:t>
      </w:r>
      <w:r w:rsidRPr="00167412">
        <w:t xml:space="preserve">.  The estimated income from other sources than contributions from members of </w:t>
      </w:r>
      <w:r>
        <w:t>the Union</w:t>
      </w:r>
      <w:r w:rsidRPr="00167412">
        <w:t xml:space="preserve"> </w:t>
      </w:r>
      <w:r>
        <w:t>amounts</w:t>
      </w:r>
      <w:r w:rsidRPr="00167412">
        <w:t xml:space="preserve"> to 505,</w:t>
      </w:r>
      <w:r w:rsidRPr="00166F48">
        <w:t>632 Swiss francs, or</w:t>
      </w:r>
      <w:r w:rsidRPr="00167412">
        <w:t xml:space="preserve"> 6.6% of total income in the Program and Budget for the 2022-2023 Biennium.  It is proposed that sources of income other than contributions of members of </w:t>
      </w:r>
      <w:r>
        <w:t>the Union</w:t>
      </w:r>
      <w:r w:rsidRPr="00167412">
        <w:t xml:space="preserve"> should be targeted to reach </w:t>
      </w:r>
      <w:r>
        <w:t>10</w:t>
      </w:r>
      <w:r w:rsidRPr="00167412">
        <w:t>% of UPOV</w:t>
      </w:r>
      <w:r>
        <w:t>’</w:t>
      </w:r>
      <w:r w:rsidRPr="00167412">
        <w:t>s income by</w:t>
      </w:r>
      <w:r>
        <w:t xml:space="preserve"> 2027</w:t>
      </w:r>
      <w:r w:rsidRPr="00167412">
        <w:t xml:space="preserve">.  </w:t>
      </w:r>
    </w:p>
    <w:p w:rsidR="00731C96" w:rsidRPr="00167412" w:rsidRDefault="00731C96" w:rsidP="00731C96">
      <w:pPr>
        <w:pStyle w:val="ListParagraph"/>
        <w:ind w:left="0"/>
      </w:pPr>
    </w:p>
    <w:p w:rsidR="00731C96" w:rsidRPr="00BA710F" w:rsidRDefault="00731C96" w:rsidP="00731C96">
      <w:pPr>
        <w:pStyle w:val="Heading6"/>
      </w:pPr>
      <w:bookmarkStart w:id="84" w:name="_Toc107239360"/>
      <w:bookmarkStart w:id="85" w:name="_Toc107239610"/>
      <w:bookmarkStart w:id="86" w:name="_Toc117798905"/>
      <w:r w:rsidRPr="00BA710F">
        <w:t>Fee paying services</w:t>
      </w:r>
      <w:bookmarkEnd w:id="84"/>
      <w:bookmarkEnd w:id="85"/>
      <w:bookmarkEnd w:id="86"/>
    </w:p>
    <w:p w:rsidR="00731C96" w:rsidRDefault="00731C96" w:rsidP="00731C96">
      <w:pPr>
        <w:pStyle w:val="ListParagraph"/>
        <w:ind w:left="0"/>
      </w:pPr>
    </w:p>
    <w:p w:rsidR="00731C96" w:rsidRDefault="00731C96" w:rsidP="00731C96">
      <w:pPr>
        <w:pStyle w:val="ListParagraph"/>
        <w:ind w:left="0"/>
      </w:pPr>
      <w:r>
        <w:fldChar w:fldCharType="begin"/>
      </w:r>
      <w:r>
        <w:instrText xml:space="preserve"> AUTONUM  </w:instrText>
      </w:r>
      <w:r>
        <w:fldChar w:fldCharType="end"/>
      </w:r>
      <w:r>
        <w:tab/>
        <w:t xml:space="preserve">A key basis for diversifying income is to generate income from services provided to users of the UPOV system while making services available to PVP offices without charge.  This will allow UPOV to develop and maintain high quality services for applicants and PVP offices.  A further important benefit is that this approach will connect UPOV with the users of the UPOV system and enhance service orientation within UPOV.  </w:t>
      </w:r>
    </w:p>
    <w:p w:rsidR="00731C96" w:rsidRDefault="00731C96" w:rsidP="00731C96">
      <w:pPr>
        <w:pStyle w:val="ListParagraph"/>
        <w:ind w:left="0"/>
      </w:pPr>
    </w:p>
    <w:p w:rsidR="00731C96" w:rsidRDefault="00731C96" w:rsidP="00731C96">
      <w:pPr>
        <w:pStyle w:val="ListParagraph"/>
        <w:ind w:left="0"/>
      </w:pPr>
      <w:r>
        <w:fldChar w:fldCharType="begin"/>
      </w:r>
      <w:r>
        <w:instrText xml:space="preserve"> AUTONUM  </w:instrText>
      </w:r>
      <w:r>
        <w:fldChar w:fldCharType="end"/>
      </w:r>
      <w:r>
        <w:tab/>
        <w:t xml:space="preserve">The UPOV PRISMA online </w:t>
      </w:r>
      <w:r>
        <w:rPr>
          <w:snapToGrid w:val="0"/>
        </w:rPr>
        <w:t>plant variety protection</w:t>
      </w:r>
      <w:r>
        <w:t xml:space="preserve"> application tool was introduced in 2017 on the basis that fees from applicants would ultimately cover the costs of the service.  Similarly, </w:t>
      </w:r>
      <w:r w:rsidRPr="009019FF">
        <w:t xml:space="preserve">the </w:t>
      </w:r>
      <w:r>
        <w:t>new fee</w:t>
      </w:r>
      <w:r>
        <w:noBreakHyphen/>
        <w:t xml:space="preserve">paying Premium Service of the </w:t>
      </w:r>
      <w:r w:rsidRPr="009019FF">
        <w:t xml:space="preserve">PLUTO database is expected to provide a source of income that will enable maintenance and improvement </w:t>
      </w:r>
      <w:r>
        <w:t>of</w:t>
      </w:r>
      <w:r w:rsidRPr="009019FF">
        <w:t xml:space="preserve"> the PLUTO database</w:t>
      </w:r>
      <w:r>
        <w:t xml:space="preserve">, while providing a new premium service to members of the Union without charge.  UPOV distance learning courses also have a fee paying category for students from the private sector, while officials from members of the Union can participate at no cost.   </w:t>
      </w:r>
    </w:p>
    <w:p w:rsidR="00731C96" w:rsidRDefault="00731C96" w:rsidP="00731C96">
      <w:pPr>
        <w:pStyle w:val="ListParagraph"/>
        <w:ind w:left="0"/>
      </w:pPr>
    </w:p>
    <w:p w:rsidR="00731C96" w:rsidRDefault="00731C96" w:rsidP="00731C96">
      <w:pPr>
        <w:pStyle w:val="ListParagraph"/>
        <w:ind w:left="0"/>
      </w:pPr>
      <w:r>
        <w:fldChar w:fldCharType="begin"/>
      </w:r>
      <w:r>
        <w:instrText xml:space="preserve"> AUTONUM  </w:instrText>
      </w:r>
      <w:r>
        <w:fldChar w:fldCharType="end"/>
      </w:r>
      <w:r>
        <w:tab/>
        <w:t xml:space="preserve">For this approach to be most effective, the services provided by UPOV will need to be strongly supported by members of the Union.  In particular, income from UPOV PRISMA will be determined by the number of members of the Union that participate in UPOV PRISMA for all crops/species and enable UPOV PRISMA to have an efficient and seamless interface with their application procedures.  Similarly, the attractiveness of the PLUTO database Premium Service will rely on members of the Union providing complete and updated data on a regular basis.  </w:t>
      </w:r>
    </w:p>
    <w:p w:rsidR="00731C96" w:rsidRDefault="00731C96" w:rsidP="00731C96">
      <w:pPr>
        <w:pStyle w:val="ListParagraph"/>
        <w:ind w:left="0"/>
      </w:pPr>
    </w:p>
    <w:p w:rsidR="00731C96" w:rsidRPr="00BA710F" w:rsidRDefault="00731C96" w:rsidP="00731C96">
      <w:pPr>
        <w:pStyle w:val="Heading6"/>
      </w:pPr>
      <w:bookmarkStart w:id="87" w:name="_Toc42703049"/>
      <w:bookmarkStart w:id="88" w:name="_Toc107239361"/>
      <w:bookmarkStart w:id="89" w:name="_Toc107239611"/>
      <w:bookmarkStart w:id="90" w:name="_Toc117798906"/>
      <w:r w:rsidRPr="00BA710F">
        <w:t>Extra-budgetary funds</w:t>
      </w:r>
      <w:bookmarkEnd w:id="87"/>
      <w:bookmarkEnd w:id="88"/>
      <w:bookmarkEnd w:id="89"/>
      <w:bookmarkEnd w:id="90"/>
    </w:p>
    <w:p w:rsidR="00731C96" w:rsidRPr="00166F48" w:rsidRDefault="00731C96" w:rsidP="00731C96"/>
    <w:p w:rsidR="00731C96" w:rsidRDefault="00731C96" w:rsidP="00731C96">
      <w:pPr>
        <w:pStyle w:val="ListParagraph"/>
        <w:ind w:left="0"/>
      </w:pPr>
      <w:r>
        <w:fldChar w:fldCharType="begin"/>
      </w:r>
      <w:r>
        <w:instrText xml:space="preserve"> AUTONUM  </w:instrText>
      </w:r>
      <w:r>
        <w:fldChar w:fldCharType="end"/>
      </w:r>
      <w:r>
        <w:tab/>
        <w:t xml:space="preserve">UPOV has greatly benefited from extra-budgetary funds provided by members of the Union, for example in the form of Funds-in-Trust. In recognition of the costs of the Office of the Union involved in the administration of such Funds-in-Trust, a charge is included for administrative support costs, which is treated as income. </w:t>
      </w:r>
    </w:p>
    <w:p w:rsidR="00731C96" w:rsidRDefault="00731C96" w:rsidP="00731C96">
      <w:pPr>
        <w:pStyle w:val="ListParagraph"/>
        <w:ind w:left="0"/>
      </w:pPr>
    </w:p>
    <w:tbl>
      <w:tblPr>
        <w:tblStyle w:val="TableGrid"/>
        <w:tblW w:w="0" w:type="auto"/>
        <w:tblInd w:w="0" w:type="dxa"/>
        <w:tblLook w:val="04A0" w:firstRow="1" w:lastRow="0" w:firstColumn="1" w:lastColumn="0" w:noHBand="0" w:noVBand="1"/>
      </w:tblPr>
      <w:tblGrid>
        <w:gridCol w:w="9639"/>
      </w:tblGrid>
      <w:tr w:rsidR="00731C96" w:rsidRPr="00B80D29" w:rsidTr="00731C96">
        <w:tc>
          <w:tcPr>
            <w:tcW w:w="9629" w:type="dxa"/>
            <w:tcBorders>
              <w:top w:val="nil"/>
              <w:left w:val="nil"/>
              <w:bottom w:val="nil"/>
              <w:right w:val="nil"/>
            </w:tcBorders>
          </w:tcPr>
          <w:p w:rsidR="00731C96" w:rsidRPr="00B80D29" w:rsidRDefault="00731C96" w:rsidP="00731C96">
            <w:pPr>
              <w:keepNext/>
              <w:tabs>
                <w:tab w:val="left" w:pos="567"/>
              </w:tabs>
              <w:jc w:val="center"/>
              <w:rPr>
                <w:b/>
                <w:spacing w:val="-2"/>
                <w:sz w:val="18"/>
                <w:szCs w:val="18"/>
              </w:rPr>
            </w:pPr>
            <w:r w:rsidRPr="00B80D29">
              <w:rPr>
                <w:b/>
                <w:spacing w:val="-2"/>
                <w:sz w:val="18"/>
                <w:szCs w:val="18"/>
              </w:rPr>
              <w:lastRenderedPageBreak/>
              <w:t xml:space="preserve">Figure 2.  Evolution of </w:t>
            </w:r>
            <w:proofErr w:type="spellStart"/>
            <w:r w:rsidRPr="00B80D29">
              <w:rPr>
                <w:b/>
                <w:spacing w:val="-2"/>
                <w:sz w:val="18"/>
                <w:szCs w:val="18"/>
              </w:rPr>
              <w:t>extrabudgetary</w:t>
            </w:r>
            <w:proofErr w:type="spellEnd"/>
            <w:r w:rsidRPr="00B80D29">
              <w:rPr>
                <w:b/>
                <w:spacing w:val="-2"/>
                <w:sz w:val="18"/>
                <w:szCs w:val="18"/>
              </w:rPr>
              <w:t xml:space="preserve"> funds since 2010</w:t>
            </w:r>
          </w:p>
        </w:tc>
      </w:tr>
      <w:tr w:rsidR="00731C96" w:rsidTr="00731C96">
        <w:tc>
          <w:tcPr>
            <w:tcW w:w="9629" w:type="dxa"/>
            <w:tcBorders>
              <w:top w:val="nil"/>
              <w:left w:val="nil"/>
              <w:bottom w:val="nil"/>
              <w:right w:val="nil"/>
            </w:tcBorders>
          </w:tcPr>
          <w:p w:rsidR="00731C96" w:rsidRDefault="00731C96" w:rsidP="00731C96">
            <w:pPr>
              <w:pStyle w:val="ListParagraph"/>
              <w:ind w:left="0"/>
            </w:pPr>
            <w:r w:rsidRPr="000839EB">
              <w:rPr>
                <w:noProof/>
              </w:rPr>
              <w:drawing>
                <wp:inline distT="0" distB="0" distL="0" distR="0" wp14:anchorId="20DE901B" wp14:editId="154B2458">
                  <wp:extent cx="6032782" cy="419100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6070" cy="4214125"/>
                          </a:xfrm>
                          <a:prstGeom prst="rect">
                            <a:avLst/>
                          </a:prstGeom>
                          <a:noFill/>
                          <a:ln>
                            <a:noFill/>
                          </a:ln>
                        </pic:spPr>
                      </pic:pic>
                    </a:graphicData>
                  </a:graphic>
                </wp:inline>
              </w:drawing>
            </w:r>
          </w:p>
        </w:tc>
      </w:tr>
    </w:tbl>
    <w:p w:rsidR="00731C96" w:rsidRDefault="00731C96" w:rsidP="00731C96"/>
    <w:p w:rsidR="00731C96" w:rsidRPr="00B80D29" w:rsidRDefault="00731C96" w:rsidP="00731C96">
      <w:pPr>
        <w:ind w:left="720" w:right="567"/>
        <w:rPr>
          <w:sz w:val="18"/>
          <w:szCs w:val="18"/>
        </w:rPr>
      </w:pPr>
      <w:r w:rsidRPr="00B80D29">
        <w:rPr>
          <w:sz w:val="18"/>
          <w:szCs w:val="18"/>
        </w:rPr>
        <w:t>*</w:t>
      </w:r>
      <w:r>
        <w:rPr>
          <w:sz w:val="18"/>
          <w:szCs w:val="18"/>
        </w:rPr>
        <w:t xml:space="preserve"> </w:t>
      </w:r>
      <w:r w:rsidRPr="00B80D29">
        <w:rPr>
          <w:sz w:val="18"/>
          <w:szCs w:val="18"/>
        </w:rPr>
        <w:t xml:space="preserve">The Japan FIT funds for 2015 and 2016 were both received in 2016 but have been split between 2015 and 2016 for the purposes of this graph. </w:t>
      </w:r>
    </w:p>
    <w:p w:rsidR="00731C96" w:rsidRDefault="00731C96" w:rsidP="00731C96">
      <w:pPr>
        <w:pStyle w:val="ListParagraph"/>
        <w:ind w:left="0"/>
      </w:pPr>
    </w:p>
    <w:p w:rsidR="00731C96" w:rsidRDefault="00731C96" w:rsidP="00731C96">
      <w:pPr>
        <w:pStyle w:val="ListParagraph"/>
        <w:ind w:left="0"/>
      </w:pPr>
    </w:p>
    <w:p w:rsidR="00731C96" w:rsidRDefault="00731C96" w:rsidP="00731C96">
      <w:pPr>
        <w:pStyle w:val="ListParagraph"/>
        <w:ind w:left="0"/>
      </w:pPr>
      <w:r>
        <w:fldChar w:fldCharType="begin"/>
      </w:r>
      <w:r>
        <w:instrText xml:space="preserve"> AUTONUM  </w:instrText>
      </w:r>
      <w:r>
        <w:fldChar w:fldCharType="end"/>
      </w:r>
      <w:r>
        <w:tab/>
        <w:t xml:space="preserve">Extra-budgetary funds will be important for the future and efforts will be made to ensure that the existing funds continue and that other members of the Union are encouraged to establish such funds.  </w:t>
      </w:r>
    </w:p>
    <w:p w:rsidR="00731C96" w:rsidRDefault="00731C96" w:rsidP="00731C96"/>
    <w:p w:rsidR="00731C96" w:rsidRDefault="00731C96" w:rsidP="00731C96">
      <w:pPr>
        <w:pStyle w:val="ListParagraph"/>
        <w:ind w:left="0"/>
        <w:rPr>
          <w:rFonts w:cs="Arial"/>
          <w:sz w:val="19"/>
          <w:szCs w:val="19"/>
        </w:rPr>
      </w:pPr>
      <w:r>
        <w:fldChar w:fldCharType="begin"/>
      </w:r>
      <w:r>
        <w:instrText xml:space="preserve"> AUTONUM  </w:instrText>
      </w:r>
      <w:r>
        <w:fldChar w:fldCharType="end"/>
      </w:r>
      <w:r>
        <w:tab/>
        <w:t xml:space="preserve">In addition, UPOV will work with members of the Union and potential recipient States and organizations to assist them to instigate and lead requests for funds from donor agencies. </w:t>
      </w:r>
    </w:p>
    <w:p w:rsidR="00731C96" w:rsidRPr="00F20BF5" w:rsidRDefault="00731C96" w:rsidP="00731C96"/>
    <w:p w:rsidR="00731C96" w:rsidRDefault="00731C96" w:rsidP="00731C96">
      <w:pPr>
        <w:pStyle w:val="Heading5"/>
      </w:pPr>
      <w:bookmarkStart w:id="91" w:name="_Toc107239362"/>
      <w:bookmarkStart w:id="92" w:name="_Toc107239612"/>
      <w:bookmarkStart w:id="93" w:name="_Toc117798907"/>
      <w:r>
        <w:t>4.2</w:t>
      </w:r>
      <w:r>
        <w:tab/>
      </w:r>
      <w:r w:rsidRPr="00693305">
        <w:t>A Secretariat that is empowered and is provided with the right resources and training to work effectively, collaboratively and innovatively</w:t>
      </w:r>
      <w:bookmarkEnd w:id="91"/>
      <w:bookmarkEnd w:id="92"/>
      <w:bookmarkEnd w:id="93"/>
    </w:p>
    <w:p w:rsidR="00731C96" w:rsidRPr="00B80D29" w:rsidRDefault="00731C96" w:rsidP="00731C96">
      <w:bookmarkStart w:id="94" w:name="_Toc42703050"/>
    </w:p>
    <w:bookmarkEnd w:id="94"/>
    <w:p w:rsidR="00731C96" w:rsidRDefault="00731C96" w:rsidP="00731C96">
      <w:pPr>
        <w:pStyle w:val="ListParagraph"/>
        <w:ind w:left="0"/>
        <w:rPr>
          <w:spacing w:val="-2"/>
        </w:rPr>
      </w:pPr>
      <w:r>
        <w:rPr>
          <w:spacing w:val="-2"/>
        </w:rPr>
        <w:fldChar w:fldCharType="begin"/>
      </w:r>
      <w:r>
        <w:rPr>
          <w:spacing w:val="-2"/>
        </w:rPr>
        <w:instrText xml:space="preserve"> AUTONUM  </w:instrText>
      </w:r>
      <w:r>
        <w:rPr>
          <w:spacing w:val="-2"/>
        </w:rPr>
        <w:fldChar w:fldCharType="end"/>
      </w:r>
      <w:r>
        <w:rPr>
          <w:spacing w:val="-2"/>
        </w:rPr>
        <w:tab/>
        <w:t xml:space="preserve">The nature of UPOV’s work will continue to evolve, with an ongoing commitment to </w:t>
      </w:r>
      <w:r w:rsidRPr="00467F7D">
        <w:rPr>
          <w:spacing w:val="-2"/>
        </w:rPr>
        <w:t>continuous improvement</w:t>
      </w:r>
      <w:r>
        <w:rPr>
          <w:spacing w:val="-2"/>
        </w:rPr>
        <w:t xml:space="preserve">.  In order to ensure that the UPOV team has the skill sets required to adapt to changes and continuously improve, </w:t>
      </w:r>
      <w:r>
        <w:t>emphasis will be placed on developing systematic and coherent staff training programs.</w:t>
      </w:r>
    </w:p>
    <w:p w:rsidR="00731C96" w:rsidRDefault="00731C96" w:rsidP="00731C96">
      <w:pPr>
        <w:pStyle w:val="ListParagraph"/>
        <w:ind w:left="0"/>
        <w:rPr>
          <w:spacing w:val="-2"/>
        </w:rPr>
      </w:pPr>
    </w:p>
    <w:p w:rsidR="00731C96" w:rsidRDefault="00731C96" w:rsidP="00731C96">
      <w:pPr>
        <w:pStyle w:val="ListParagraph"/>
        <w:ind w:left="0"/>
        <w:rPr>
          <w:spacing w:val="-2"/>
        </w:rPr>
      </w:pPr>
      <w:r>
        <w:rPr>
          <w:spacing w:val="-2"/>
        </w:rPr>
        <w:fldChar w:fldCharType="begin"/>
      </w:r>
      <w:r>
        <w:rPr>
          <w:spacing w:val="-2"/>
        </w:rPr>
        <w:instrText xml:space="preserve"> AUTONUM  </w:instrText>
      </w:r>
      <w:r>
        <w:rPr>
          <w:spacing w:val="-2"/>
        </w:rPr>
        <w:fldChar w:fldCharType="end"/>
      </w:r>
      <w:r>
        <w:rPr>
          <w:spacing w:val="-2"/>
        </w:rPr>
        <w:tab/>
        <w:t xml:space="preserve">The expansion of UPOV’s work in relation to Strategic </w:t>
      </w:r>
      <w:r>
        <w:t>Pillar 3</w:t>
      </w:r>
      <w:r w:rsidRPr="00467F7D">
        <w:t xml:space="preserve"> </w:t>
      </w:r>
      <w:r>
        <w:t>“</w:t>
      </w:r>
      <w:r w:rsidRPr="00467F7D">
        <w:t xml:space="preserve">Provide high quality services for </w:t>
      </w:r>
      <w:r>
        <w:t>members of the Union</w:t>
      </w:r>
      <w:r w:rsidRPr="00467F7D">
        <w:t xml:space="preserve"> and users of the UPOV system</w:t>
      </w:r>
      <w:r>
        <w:t xml:space="preserve">” has placed a new emphasis on out-sourced projects and </w:t>
      </w:r>
      <w:r w:rsidRPr="00485F7F">
        <w:t>greater reliance on contract workers</w:t>
      </w:r>
      <w:r>
        <w:t xml:space="preserve">, </w:t>
      </w:r>
      <w:r w:rsidRPr="00485F7F">
        <w:t>service providers</w:t>
      </w:r>
      <w:r>
        <w:t xml:space="preserve">, fellows and interns.  This approach necessitates strong management skills, which be included in training programs for professional staff. </w:t>
      </w:r>
    </w:p>
    <w:p w:rsidR="00731C96" w:rsidRDefault="00731C96" w:rsidP="00731C96">
      <w:pPr>
        <w:tabs>
          <w:tab w:val="left" w:pos="567"/>
        </w:tabs>
        <w:rPr>
          <w:spacing w:val="-2"/>
        </w:rPr>
      </w:pPr>
    </w:p>
    <w:p w:rsidR="00731C96" w:rsidRDefault="00731C96" w:rsidP="00731C96">
      <w:r>
        <w:fldChar w:fldCharType="begin"/>
      </w:r>
      <w:r>
        <w:instrText xml:space="preserve"> AUTONUM  </w:instrText>
      </w:r>
      <w:r>
        <w:fldChar w:fldCharType="end"/>
      </w:r>
      <w:r>
        <w:tab/>
        <w:t xml:space="preserve">A particular focus will be placed on training all team members in excellent customer service.  This will be essential for the expansion of work under </w:t>
      </w:r>
      <w:r>
        <w:rPr>
          <w:spacing w:val="-2"/>
        </w:rPr>
        <w:t xml:space="preserve">Strategic </w:t>
      </w:r>
      <w:r>
        <w:t>Pillar 3, while also recognizing that all areas of UPOV’s work involve service delivery at the core.</w:t>
      </w:r>
    </w:p>
    <w:p w:rsidR="00731C96" w:rsidRDefault="00731C96" w:rsidP="00731C96">
      <w:pPr>
        <w:pStyle w:val="ListParagraph"/>
        <w:ind w:left="0"/>
        <w:rPr>
          <w:spacing w:val="-2"/>
        </w:rPr>
      </w:pPr>
    </w:p>
    <w:p w:rsidR="00731C96" w:rsidRDefault="00731C96" w:rsidP="00731C96">
      <w:pPr>
        <w:tabs>
          <w:tab w:val="left" w:pos="567"/>
        </w:tabs>
        <w:rPr>
          <w:spacing w:val="-2"/>
        </w:rPr>
      </w:pPr>
      <w:r w:rsidRPr="00721E4E">
        <w:rPr>
          <w:spacing w:val="-2"/>
        </w:rPr>
        <w:fldChar w:fldCharType="begin"/>
      </w:r>
      <w:r w:rsidRPr="00721E4E">
        <w:rPr>
          <w:spacing w:val="-2"/>
        </w:rPr>
        <w:instrText xml:space="preserve"> AUTONUM  </w:instrText>
      </w:r>
      <w:r w:rsidRPr="00721E4E">
        <w:rPr>
          <w:spacing w:val="-2"/>
        </w:rPr>
        <w:fldChar w:fldCharType="end"/>
      </w:r>
      <w:r w:rsidRPr="00721E4E">
        <w:rPr>
          <w:spacing w:val="-2"/>
        </w:rPr>
        <w:tab/>
        <w:t xml:space="preserve">The number of members of </w:t>
      </w:r>
      <w:r>
        <w:rPr>
          <w:spacing w:val="-2"/>
        </w:rPr>
        <w:t>the Union</w:t>
      </w:r>
      <w:r w:rsidRPr="00721E4E">
        <w:rPr>
          <w:spacing w:val="-2"/>
        </w:rPr>
        <w:t xml:space="preserve"> and States covered by the </w:t>
      </w:r>
      <w:r>
        <w:rPr>
          <w:spacing w:val="-2"/>
        </w:rPr>
        <w:t>UPOV Convention</w:t>
      </w:r>
      <w:r w:rsidRPr="00721E4E">
        <w:rPr>
          <w:spacing w:val="-2"/>
        </w:rPr>
        <w:t xml:space="preserve"> has continued to increase, also accompanied in recent years by an increased number of States and organizations seeking advice on laws.  This has been accompanied by an increase in the portfolio of services that are being administered by the Office of </w:t>
      </w:r>
      <w:r>
        <w:rPr>
          <w:spacing w:val="-2"/>
        </w:rPr>
        <w:t>the Union</w:t>
      </w:r>
      <w:r w:rsidRPr="00721E4E">
        <w:rPr>
          <w:spacing w:val="-2"/>
        </w:rPr>
        <w:t xml:space="preserve">, notably </w:t>
      </w:r>
      <w:r>
        <w:rPr>
          <w:spacing w:val="-2"/>
        </w:rPr>
        <w:t>UPOV PRISMA</w:t>
      </w:r>
      <w:r w:rsidRPr="00721E4E">
        <w:rPr>
          <w:spacing w:val="-2"/>
        </w:rPr>
        <w:t>, PLUTO database and new distance learning courses.</w:t>
      </w:r>
    </w:p>
    <w:p w:rsidR="00731C96" w:rsidRDefault="00731C96" w:rsidP="00731C96">
      <w:pPr>
        <w:tabs>
          <w:tab w:val="left" w:pos="567"/>
        </w:tabs>
        <w:rPr>
          <w:spacing w:val="-2"/>
        </w:rPr>
      </w:pPr>
    </w:p>
    <w:p w:rsidR="00731C96" w:rsidRDefault="00731C96" w:rsidP="00731C96">
      <w:pPr>
        <w:tabs>
          <w:tab w:val="left" w:pos="567"/>
        </w:tabs>
        <w:rPr>
          <w:spacing w:val="-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31C96" w:rsidTr="00731C96">
        <w:tc>
          <w:tcPr>
            <w:tcW w:w="9629" w:type="dxa"/>
          </w:tcPr>
          <w:p w:rsidR="00731C96" w:rsidRPr="00B80D29" w:rsidRDefault="00731C96" w:rsidP="00731C96">
            <w:pPr>
              <w:keepNext/>
              <w:tabs>
                <w:tab w:val="left" w:pos="567"/>
              </w:tabs>
              <w:jc w:val="center"/>
              <w:rPr>
                <w:b/>
                <w:spacing w:val="-2"/>
                <w:sz w:val="18"/>
                <w:szCs w:val="18"/>
              </w:rPr>
            </w:pPr>
            <w:r w:rsidRPr="00B80D29">
              <w:rPr>
                <w:b/>
                <w:spacing w:val="-2"/>
                <w:sz w:val="18"/>
                <w:szCs w:val="18"/>
              </w:rPr>
              <w:lastRenderedPageBreak/>
              <w:t>Figure 3.  Increase in UPOV membership and coverage</w:t>
            </w:r>
          </w:p>
        </w:tc>
      </w:tr>
      <w:tr w:rsidR="00731C96" w:rsidTr="00731C96">
        <w:tc>
          <w:tcPr>
            <w:tcW w:w="9629" w:type="dxa"/>
          </w:tcPr>
          <w:p w:rsidR="00731C96" w:rsidRDefault="00731C96" w:rsidP="00731C96">
            <w:pPr>
              <w:tabs>
                <w:tab w:val="left" w:pos="567"/>
              </w:tabs>
              <w:jc w:val="center"/>
              <w:rPr>
                <w:spacing w:val="-2"/>
              </w:rPr>
            </w:pPr>
            <w:r w:rsidRPr="000839EB">
              <w:rPr>
                <w:noProof/>
              </w:rPr>
              <w:drawing>
                <wp:inline distT="0" distB="0" distL="0" distR="0" wp14:anchorId="7EBDF0D9" wp14:editId="57CDAD77">
                  <wp:extent cx="5481281" cy="4867275"/>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81281" cy="4867275"/>
                          </a:xfrm>
                          <a:prstGeom prst="rect">
                            <a:avLst/>
                          </a:prstGeom>
                          <a:noFill/>
                          <a:ln>
                            <a:noFill/>
                          </a:ln>
                        </pic:spPr>
                      </pic:pic>
                    </a:graphicData>
                  </a:graphic>
                </wp:inline>
              </w:drawing>
            </w:r>
          </w:p>
        </w:tc>
      </w:tr>
    </w:tbl>
    <w:p w:rsidR="00731C96" w:rsidRDefault="00731C96" w:rsidP="00731C96">
      <w:pPr>
        <w:tabs>
          <w:tab w:val="left" w:pos="567"/>
        </w:tabs>
        <w:rPr>
          <w:spacing w:val="-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731C96" w:rsidRPr="00B80D29" w:rsidTr="00731C96">
        <w:tc>
          <w:tcPr>
            <w:tcW w:w="9629" w:type="dxa"/>
          </w:tcPr>
          <w:p w:rsidR="00731C96" w:rsidRPr="00B80D29" w:rsidRDefault="00731C96" w:rsidP="00731C96">
            <w:pPr>
              <w:keepNext/>
              <w:tabs>
                <w:tab w:val="left" w:pos="567"/>
              </w:tabs>
              <w:spacing w:after="120"/>
              <w:jc w:val="center"/>
              <w:rPr>
                <w:b/>
                <w:spacing w:val="-2"/>
                <w:sz w:val="18"/>
                <w:szCs w:val="18"/>
              </w:rPr>
            </w:pPr>
            <w:r>
              <w:rPr>
                <w:b/>
                <w:spacing w:val="-2"/>
                <w:sz w:val="18"/>
                <w:szCs w:val="18"/>
              </w:rPr>
              <w:t xml:space="preserve">Figure 4.  </w:t>
            </w:r>
            <w:r w:rsidRPr="00B80D29">
              <w:rPr>
                <w:b/>
                <w:spacing w:val="-2"/>
                <w:sz w:val="18"/>
                <w:szCs w:val="18"/>
              </w:rPr>
              <w:t>Development of PVP laws</w:t>
            </w:r>
          </w:p>
        </w:tc>
      </w:tr>
      <w:tr w:rsidR="00731C96" w:rsidTr="00731C96">
        <w:tc>
          <w:tcPr>
            <w:tcW w:w="9629" w:type="dxa"/>
          </w:tcPr>
          <w:p w:rsidR="00731C96" w:rsidRDefault="00731C96" w:rsidP="00731C96">
            <w:pPr>
              <w:tabs>
                <w:tab w:val="left" w:pos="567"/>
              </w:tabs>
              <w:jc w:val="center"/>
              <w:rPr>
                <w:spacing w:val="-2"/>
              </w:rPr>
            </w:pPr>
            <w:r>
              <w:rPr>
                <w:noProof/>
                <w:spacing w:val="-2"/>
              </w:rPr>
              <w:drawing>
                <wp:inline distT="0" distB="0" distL="0" distR="0" wp14:anchorId="08849928" wp14:editId="61F44EB9">
                  <wp:extent cx="5357084" cy="3611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6985" cy="3625298"/>
                          </a:xfrm>
                          <a:prstGeom prst="rect">
                            <a:avLst/>
                          </a:prstGeom>
                          <a:noFill/>
                        </pic:spPr>
                      </pic:pic>
                    </a:graphicData>
                  </a:graphic>
                </wp:inline>
              </w:drawing>
            </w:r>
          </w:p>
        </w:tc>
      </w:tr>
    </w:tbl>
    <w:p w:rsidR="00731C96" w:rsidRDefault="00731C96" w:rsidP="00731C96">
      <w:pPr>
        <w:tabs>
          <w:tab w:val="left" w:pos="567"/>
        </w:tabs>
        <w:rPr>
          <w:spacing w:val="-2"/>
        </w:rPr>
      </w:pPr>
    </w:p>
    <w:p w:rsidR="00731C96" w:rsidRPr="00C20F3E" w:rsidRDefault="00731C96" w:rsidP="00731C96">
      <w:pPr>
        <w:tabs>
          <w:tab w:val="left" w:pos="567"/>
        </w:tabs>
      </w:pPr>
      <w:r>
        <w:rPr>
          <w:spacing w:val="-2"/>
        </w:rPr>
        <w:lastRenderedPageBreak/>
        <w:fldChar w:fldCharType="begin"/>
      </w:r>
      <w:r>
        <w:rPr>
          <w:spacing w:val="-2"/>
        </w:rPr>
        <w:instrText xml:space="preserve"> AUTONUM  </w:instrText>
      </w:r>
      <w:r>
        <w:rPr>
          <w:spacing w:val="-2"/>
        </w:rPr>
        <w:fldChar w:fldCharType="end"/>
      </w:r>
      <w:r>
        <w:rPr>
          <w:spacing w:val="-2"/>
        </w:rPr>
        <w:tab/>
        <w:t xml:space="preserve">To cover the increase in workload, additional support has been provided by 3 agency workers since 2018.  </w:t>
      </w:r>
      <w:r w:rsidRPr="00A51D01">
        <w:rPr>
          <w:spacing w:val="-2"/>
        </w:rPr>
        <w:t>The tasks currently being performed by the three agency workers have become a core part of UPOV</w:t>
      </w:r>
      <w:r>
        <w:rPr>
          <w:spacing w:val="-2"/>
        </w:rPr>
        <w:t>’</w:t>
      </w:r>
      <w:r w:rsidRPr="00A51D01">
        <w:rPr>
          <w:spacing w:val="-2"/>
        </w:rPr>
        <w:t>s work and should be transformed into posts in order to ensure continuity and stability in UPOV</w:t>
      </w:r>
      <w:r>
        <w:rPr>
          <w:spacing w:val="-2"/>
        </w:rPr>
        <w:t>’</w:t>
      </w:r>
      <w:r w:rsidRPr="00A51D01">
        <w:rPr>
          <w:spacing w:val="-2"/>
        </w:rPr>
        <w:t xml:space="preserve">s work, subject to sufficient and reliable income to justify such a commitment. </w:t>
      </w:r>
      <w:r w:rsidRPr="003732FA">
        <w:rPr>
          <w:spacing w:val="-2"/>
        </w:rPr>
        <w:t xml:space="preserve">The Program and Budget for the </w:t>
      </w:r>
      <w:r>
        <w:rPr>
          <w:snapToGrid w:val="0"/>
          <w:spacing w:val="-2"/>
          <w:szCs w:val="24"/>
        </w:rPr>
        <w:t>2022</w:t>
      </w:r>
      <w:r>
        <w:rPr>
          <w:snapToGrid w:val="0"/>
          <w:spacing w:val="-2"/>
          <w:szCs w:val="24"/>
        </w:rPr>
        <w:noBreakHyphen/>
        <w:t>2023</w:t>
      </w:r>
      <w:r w:rsidRPr="003732FA">
        <w:rPr>
          <w:snapToGrid w:val="0"/>
          <w:spacing w:val="-2"/>
          <w:szCs w:val="24"/>
        </w:rPr>
        <w:t xml:space="preserve"> </w:t>
      </w:r>
      <w:r w:rsidRPr="003732FA">
        <w:rPr>
          <w:spacing w:val="-2"/>
        </w:rPr>
        <w:t xml:space="preserve">Biennium </w:t>
      </w:r>
      <w:r>
        <w:rPr>
          <w:spacing w:val="-2"/>
        </w:rPr>
        <w:t>made provision</w:t>
      </w:r>
      <w:r w:rsidRPr="003732FA">
        <w:rPr>
          <w:spacing w:val="-2"/>
        </w:rPr>
        <w:t xml:space="preserve"> </w:t>
      </w:r>
      <w:r>
        <w:rPr>
          <w:spacing w:val="-2"/>
        </w:rPr>
        <w:t xml:space="preserve">for </w:t>
      </w:r>
      <w:r w:rsidRPr="003732FA">
        <w:rPr>
          <w:spacing w:val="-2"/>
        </w:rPr>
        <w:t xml:space="preserve">an additional post </w:t>
      </w:r>
      <w:r>
        <w:rPr>
          <w:spacing w:val="-2"/>
        </w:rPr>
        <w:t>to reduce the need for one agency worker.</w:t>
      </w:r>
      <w:r w:rsidRPr="003732FA">
        <w:rPr>
          <w:spacing w:val="-2"/>
        </w:rPr>
        <w:t xml:space="preserve"> </w:t>
      </w:r>
    </w:p>
    <w:p w:rsidR="00731C96" w:rsidRDefault="00731C96" w:rsidP="00731C96">
      <w:pPr>
        <w:tabs>
          <w:tab w:val="left" w:pos="567"/>
        </w:tabs>
        <w:rPr>
          <w:spacing w:val="-2"/>
        </w:rPr>
      </w:pPr>
    </w:p>
    <w:p w:rsidR="00731C96" w:rsidRDefault="00731C96" w:rsidP="00731C96">
      <w:pPr>
        <w:pStyle w:val="ListParagraph"/>
        <w:ind w:left="0"/>
        <w:rPr>
          <w:spacing w:val="-2"/>
        </w:rPr>
      </w:pPr>
      <w:r>
        <w:rPr>
          <w:spacing w:val="-2"/>
        </w:rPr>
        <w:fldChar w:fldCharType="begin"/>
      </w:r>
      <w:r>
        <w:rPr>
          <w:spacing w:val="-2"/>
        </w:rPr>
        <w:instrText xml:space="preserve"> AUTONUM  </w:instrText>
      </w:r>
      <w:r>
        <w:rPr>
          <w:spacing w:val="-2"/>
        </w:rPr>
        <w:fldChar w:fldCharType="end"/>
      </w:r>
      <w:r>
        <w:rPr>
          <w:spacing w:val="-2"/>
        </w:rPr>
        <w:tab/>
        <w:t>UPOV has received valuable support from the fellowship program in the form of a succession of talented experts being seconded from members of the Union, notably in relation to UPOV PRISMA, PLUTO database, GENIE database and maintenance of the UPOV code.  The COVID-19 pandemic has made it difficult to continue the fellowship program but this will be re-introduced and extended as soon as circumstances allow.</w:t>
      </w:r>
    </w:p>
    <w:p w:rsidR="00731C96" w:rsidRDefault="00731C96" w:rsidP="00731C96">
      <w:pPr>
        <w:pStyle w:val="ListParagraph"/>
        <w:ind w:left="0"/>
        <w:rPr>
          <w:spacing w:val="-2"/>
        </w:rPr>
      </w:pPr>
    </w:p>
    <w:p w:rsidR="00731C96" w:rsidRDefault="00731C96" w:rsidP="00731C96">
      <w:pPr>
        <w:pStyle w:val="ListParagraph"/>
        <w:ind w:left="0"/>
        <w:rPr>
          <w:spacing w:val="-2"/>
        </w:rPr>
      </w:pPr>
      <w:r>
        <w:rPr>
          <w:spacing w:val="-2"/>
        </w:rPr>
        <w:fldChar w:fldCharType="begin"/>
      </w:r>
      <w:r>
        <w:rPr>
          <w:spacing w:val="-2"/>
        </w:rPr>
        <w:instrText xml:space="preserve"> AUTONUM  </w:instrText>
      </w:r>
      <w:r>
        <w:rPr>
          <w:spacing w:val="-2"/>
        </w:rPr>
        <w:fldChar w:fldCharType="end"/>
      </w:r>
      <w:r>
        <w:rPr>
          <w:spacing w:val="-2"/>
        </w:rPr>
        <w:tab/>
        <w:t xml:space="preserve">A further area where it is hoped that members of the Union will be able to provide further support for UPOV’s work would be to arrange for </w:t>
      </w:r>
      <w:r>
        <w:t>junior professional officers to be assigned to UPOV.</w:t>
      </w:r>
    </w:p>
    <w:p w:rsidR="00731C96" w:rsidRDefault="00731C96" w:rsidP="00731C96">
      <w:pPr>
        <w:tabs>
          <w:tab w:val="left" w:pos="567"/>
        </w:tabs>
        <w:rPr>
          <w:spacing w:val="-2"/>
        </w:rPr>
      </w:pPr>
    </w:p>
    <w:p w:rsidR="00731C96" w:rsidRDefault="00731C96" w:rsidP="00731C96">
      <w:pPr>
        <w:pStyle w:val="ListParagraph"/>
        <w:ind w:left="0"/>
        <w:rPr>
          <w:spacing w:val="-2"/>
        </w:rPr>
      </w:pPr>
      <w:r>
        <w:rPr>
          <w:spacing w:val="-2"/>
        </w:rPr>
        <w:fldChar w:fldCharType="begin"/>
      </w:r>
      <w:r>
        <w:rPr>
          <w:spacing w:val="-2"/>
        </w:rPr>
        <w:instrText xml:space="preserve"> AUTONUM  </w:instrText>
      </w:r>
      <w:r>
        <w:rPr>
          <w:spacing w:val="-2"/>
        </w:rPr>
        <w:fldChar w:fldCharType="end"/>
      </w:r>
      <w:r>
        <w:rPr>
          <w:spacing w:val="-2"/>
        </w:rPr>
        <w:tab/>
        <w:t xml:space="preserve">On the above basis, it is proposed to evolve the human resourcing as follows, subject to sufficient and reliable income from UPOV’s regular budget: </w:t>
      </w:r>
    </w:p>
    <w:p w:rsidR="00731C96" w:rsidRDefault="00731C96" w:rsidP="00731C96">
      <w:pPr>
        <w:tabs>
          <w:tab w:val="left" w:pos="567"/>
        </w:tabs>
        <w:rPr>
          <w:spacing w:val="-2"/>
        </w:rPr>
      </w:pPr>
    </w:p>
    <w:tbl>
      <w:tblPr>
        <w:tblW w:w="8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1284"/>
        <w:gridCol w:w="1284"/>
        <w:gridCol w:w="1284"/>
      </w:tblGrid>
      <w:tr w:rsidR="00731C96" w:rsidTr="00731C96">
        <w:trPr>
          <w:trHeight w:val="510"/>
          <w:jc w:val="center"/>
        </w:trPr>
        <w:tc>
          <w:tcPr>
            <w:tcW w:w="4440" w:type="dxa"/>
            <w:tcBorders>
              <w:top w:val="single" w:sz="4" w:space="0" w:color="auto"/>
              <w:left w:val="single" w:sz="4" w:space="0" w:color="auto"/>
              <w:bottom w:val="single" w:sz="4" w:space="0" w:color="auto"/>
              <w:right w:val="single" w:sz="4" w:space="0" w:color="auto"/>
            </w:tcBorders>
            <w:vAlign w:val="bottom"/>
            <w:hideMark/>
          </w:tcPr>
          <w:p w:rsidR="00731C96" w:rsidRDefault="00731C96" w:rsidP="00731C96">
            <w:pPr>
              <w:rPr>
                <w:spacing w:val="-2"/>
              </w:rPr>
            </w:pPr>
          </w:p>
        </w:tc>
        <w:tc>
          <w:tcPr>
            <w:tcW w:w="1284" w:type="dxa"/>
            <w:tcBorders>
              <w:top w:val="single" w:sz="4" w:space="0" w:color="auto"/>
              <w:left w:val="single" w:sz="4" w:space="0" w:color="auto"/>
              <w:bottom w:val="single" w:sz="4" w:space="0" w:color="auto"/>
              <w:right w:val="single" w:sz="4" w:space="0" w:color="auto"/>
            </w:tcBorders>
            <w:hideMark/>
          </w:tcPr>
          <w:p w:rsidR="00731C96" w:rsidRDefault="00731C96" w:rsidP="00731C96">
            <w:pPr>
              <w:jc w:val="center"/>
              <w:rPr>
                <w:rFonts w:cs="Arial"/>
                <w:b/>
                <w:bCs/>
                <w:i/>
                <w:iCs/>
              </w:rPr>
            </w:pPr>
            <w:r>
              <w:rPr>
                <w:rFonts w:cs="Arial"/>
                <w:b/>
                <w:bCs/>
                <w:i/>
                <w:iCs/>
              </w:rPr>
              <w:t>2022</w:t>
            </w:r>
            <w:r>
              <w:rPr>
                <w:rFonts w:cs="Arial"/>
                <w:b/>
                <w:bCs/>
                <w:i/>
                <w:iCs/>
              </w:rPr>
              <w:noBreakHyphen/>
              <w:t>2023</w:t>
            </w:r>
          </w:p>
        </w:tc>
        <w:tc>
          <w:tcPr>
            <w:tcW w:w="1284" w:type="dxa"/>
            <w:tcBorders>
              <w:top w:val="single" w:sz="4" w:space="0" w:color="auto"/>
              <w:left w:val="single" w:sz="4" w:space="0" w:color="auto"/>
              <w:bottom w:val="single" w:sz="4" w:space="0" w:color="auto"/>
              <w:right w:val="single" w:sz="4" w:space="0" w:color="auto"/>
            </w:tcBorders>
          </w:tcPr>
          <w:p w:rsidR="00731C96" w:rsidRDefault="00731C96" w:rsidP="00731C96">
            <w:pPr>
              <w:jc w:val="center"/>
              <w:rPr>
                <w:rFonts w:cs="Arial"/>
                <w:b/>
                <w:bCs/>
                <w:i/>
                <w:iCs/>
              </w:rPr>
            </w:pPr>
            <w:r>
              <w:rPr>
                <w:rFonts w:cs="Arial"/>
                <w:b/>
                <w:bCs/>
                <w:i/>
                <w:iCs/>
              </w:rPr>
              <w:t>2024-2025</w:t>
            </w:r>
          </w:p>
        </w:tc>
        <w:tc>
          <w:tcPr>
            <w:tcW w:w="1284" w:type="dxa"/>
            <w:tcBorders>
              <w:top w:val="single" w:sz="4" w:space="0" w:color="auto"/>
              <w:left w:val="single" w:sz="4" w:space="0" w:color="auto"/>
              <w:bottom w:val="single" w:sz="4" w:space="0" w:color="auto"/>
              <w:right w:val="single" w:sz="4" w:space="0" w:color="auto"/>
            </w:tcBorders>
          </w:tcPr>
          <w:p w:rsidR="00731C96" w:rsidRDefault="00731C96" w:rsidP="00731C96">
            <w:pPr>
              <w:jc w:val="center"/>
              <w:rPr>
                <w:rFonts w:cs="Arial"/>
                <w:b/>
                <w:bCs/>
                <w:i/>
                <w:iCs/>
              </w:rPr>
            </w:pPr>
            <w:r>
              <w:rPr>
                <w:rFonts w:cs="Arial"/>
                <w:b/>
                <w:bCs/>
                <w:i/>
                <w:iCs/>
              </w:rPr>
              <w:t>2026-2027</w:t>
            </w:r>
          </w:p>
        </w:tc>
      </w:tr>
      <w:tr w:rsidR="00731C96" w:rsidTr="00731C96">
        <w:trPr>
          <w:trHeight w:val="367"/>
          <w:jc w:val="center"/>
        </w:trPr>
        <w:tc>
          <w:tcPr>
            <w:tcW w:w="4440" w:type="dxa"/>
            <w:tcBorders>
              <w:top w:val="single" w:sz="4" w:space="0" w:color="auto"/>
              <w:left w:val="single" w:sz="4" w:space="0" w:color="auto"/>
              <w:bottom w:val="single" w:sz="4" w:space="0" w:color="auto"/>
              <w:right w:val="single" w:sz="4" w:space="0" w:color="auto"/>
            </w:tcBorders>
            <w:vAlign w:val="bottom"/>
            <w:hideMark/>
          </w:tcPr>
          <w:p w:rsidR="00731C96" w:rsidRDefault="00731C96" w:rsidP="00731C96">
            <w:pPr>
              <w:jc w:val="left"/>
              <w:rPr>
                <w:rFonts w:cs="Arial"/>
                <w:b/>
              </w:rPr>
            </w:pPr>
            <w:r>
              <w:rPr>
                <w:rFonts w:cs="Arial"/>
                <w:b/>
              </w:rPr>
              <w:t>Posts</w:t>
            </w:r>
          </w:p>
        </w:tc>
        <w:tc>
          <w:tcPr>
            <w:tcW w:w="1284" w:type="dxa"/>
            <w:tcBorders>
              <w:top w:val="single" w:sz="4" w:space="0" w:color="auto"/>
              <w:left w:val="single" w:sz="4" w:space="0" w:color="auto"/>
              <w:bottom w:val="single" w:sz="4" w:space="0" w:color="auto"/>
              <w:right w:val="single" w:sz="4" w:space="0" w:color="auto"/>
            </w:tcBorders>
            <w:vAlign w:val="bottom"/>
          </w:tcPr>
          <w:p w:rsidR="00731C96" w:rsidRDefault="00731C96" w:rsidP="00731C96">
            <w:pPr>
              <w:jc w:val="center"/>
              <w:rPr>
                <w:rFonts w:cs="Arial"/>
              </w:rPr>
            </w:pPr>
          </w:p>
        </w:tc>
        <w:tc>
          <w:tcPr>
            <w:tcW w:w="1284" w:type="dxa"/>
            <w:tcBorders>
              <w:top w:val="single" w:sz="4" w:space="0" w:color="auto"/>
              <w:left w:val="single" w:sz="4" w:space="0" w:color="auto"/>
              <w:bottom w:val="single" w:sz="4" w:space="0" w:color="auto"/>
              <w:right w:val="single" w:sz="4" w:space="0" w:color="auto"/>
            </w:tcBorders>
            <w:vAlign w:val="bottom"/>
          </w:tcPr>
          <w:p w:rsidR="00731C96" w:rsidRDefault="00731C96" w:rsidP="00731C96">
            <w:pPr>
              <w:jc w:val="center"/>
              <w:rPr>
                <w:rFonts w:cs="Arial"/>
              </w:rPr>
            </w:pPr>
          </w:p>
        </w:tc>
        <w:tc>
          <w:tcPr>
            <w:tcW w:w="1284" w:type="dxa"/>
            <w:tcBorders>
              <w:top w:val="single" w:sz="4" w:space="0" w:color="auto"/>
              <w:left w:val="single" w:sz="4" w:space="0" w:color="auto"/>
              <w:bottom w:val="single" w:sz="4" w:space="0" w:color="auto"/>
              <w:right w:val="single" w:sz="4" w:space="0" w:color="auto"/>
            </w:tcBorders>
            <w:vAlign w:val="bottom"/>
          </w:tcPr>
          <w:p w:rsidR="00731C96" w:rsidRDefault="00731C96" w:rsidP="00731C96">
            <w:pPr>
              <w:jc w:val="center"/>
              <w:rPr>
                <w:rFonts w:cs="Arial"/>
              </w:rPr>
            </w:pPr>
          </w:p>
        </w:tc>
      </w:tr>
      <w:tr w:rsidR="00731C96" w:rsidTr="00731C96">
        <w:trPr>
          <w:trHeight w:val="367"/>
          <w:jc w:val="center"/>
        </w:trPr>
        <w:tc>
          <w:tcPr>
            <w:tcW w:w="4440" w:type="dxa"/>
            <w:tcBorders>
              <w:top w:val="single" w:sz="4" w:space="0" w:color="auto"/>
              <w:left w:val="single" w:sz="4" w:space="0" w:color="auto"/>
              <w:bottom w:val="single" w:sz="4" w:space="0" w:color="auto"/>
              <w:right w:val="single" w:sz="4" w:space="0" w:color="auto"/>
            </w:tcBorders>
            <w:vAlign w:val="bottom"/>
            <w:hideMark/>
          </w:tcPr>
          <w:p w:rsidR="00731C96" w:rsidRDefault="00731C96" w:rsidP="00731C96">
            <w:pPr>
              <w:ind w:left="317"/>
              <w:jc w:val="left"/>
              <w:rPr>
                <w:rFonts w:cs="Arial"/>
              </w:rPr>
            </w:pPr>
            <w:r>
              <w:rPr>
                <w:rFonts w:cs="Arial"/>
              </w:rPr>
              <w:t>Directors*</w:t>
            </w:r>
          </w:p>
        </w:tc>
        <w:tc>
          <w:tcPr>
            <w:tcW w:w="1284" w:type="dxa"/>
            <w:tcBorders>
              <w:top w:val="single" w:sz="4" w:space="0" w:color="auto"/>
              <w:left w:val="single" w:sz="4" w:space="0" w:color="auto"/>
              <w:bottom w:val="single" w:sz="4" w:space="0" w:color="auto"/>
              <w:right w:val="single" w:sz="4" w:space="0" w:color="auto"/>
            </w:tcBorders>
            <w:vAlign w:val="bottom"/>
            <w:hideMark/>
          </w:tcPr>
          <w:p w:rsidR="00731C96" w:rsidRDefault="00731C96" w:rsidP="00731C96">
            <w:pPr>
              <w:jc w:val="center"/>
              <w:rPr>
                <w:rFonts w:cs="Arial"/>
              </w:rPr>
            </w:pPr>
            <w:r>
              <w:rPr>
                <w:rFonts w:cs="Arial"/>
              </w:rPr>
              <w:t>3</w:t>
            </w:r>
          </w:p>
        </w:tc>
        <w:tc>
          <w:tcPr>
            <w:tcW w:w="1284" w:type="dxa"/>
            <w:tcBorders>
              <w:top w:val="single" w:sz="4" w:space="0" w:color="auto"/>
              <w:left w:val="single" w:sz="4" w:space="0" w:color="auto"/>
              <w:bottom w:val="single" w:sz="4" w:space="0" w:color="auto"/>
              <w:right w:val="single" w:sz="4" w:space="0" w:color="auto"/>
            </w:tcBorders>
            <w:vAlign w:val="bottom"/>
          </w:tcPr>
          <w:p w:rsidR="00731C96" w:rsidRDefault="00731C96" w:rsidP="00731C96">
            <w:pPr>
              <w:jc w:val="center"/>
              <w:rPr>
                <w:rFonts w:cs="Arial"/>
              </w:rPr>
            </w:pPr>
            <w:r>
              <w:rPr>
                <w:rFonts w:cs="Arial"/>
              </w:rPr>
              <w:t>3</w:t>
            </w:r>
          </w:p>
        </w:tc>
        <w:tc>
          <w:tcPr>
            <w:tcW w:w="1284" w:type="dxa"/>
            <w:tcBorders>
              <w:top w:val="single" w:sz="4" w:space="0" w:color="auto"/>
              <w:left w:val="single" w:sz="4" w:space="0" w:color="auto"/>
              <w:bottom w:val="single" w:sz="4" w:space="0" w:color="auto"/>
              <w:right w:val="single" w:sz="4" w:space="0" w:color="auto"/>
            </w:tcBorders>
            <w:vAlign w:val="bottom"/>
          </w:tcPr>
          <w:p w:rsidR="00731C96" w:rsidRDefault="00731C96" w:rsidP="00731C96">
            <w:pPr>
              <w:jc w:val="center"/>
              <w:rPr>
                <w:rFonts w:cs="Arial"/>
              </w:rPr>
            </w:pPr>
            <w:r>
              <w:rPr>
                <w:rFonts w:cs="Arial"/>
              </w:rPr>
              <w:t>3</w:t>
            </w:r>
          </w:p>
        </w:tc>
      </w:tr>
      <w:tr w:rsidR="00731C96" w:rsidTr="00731C96">
        <w:trPr>
          <w:trHeight w:val="255"/>
          <w:jc w:val="center"/>
        </w:trPr>
        <w:tc>
          <w:tcPr>
            <w:tcW w:w="4440" w:type="dxa"/>
            <w:tcBorders>
              <w:top w:val="single" w:sz="4" w:space="0" w:color="auto"/>
              <w:left w:val="single" w:sz="4" w:space="0" w:color="auto"/>
              <w:bottom w:val="single" w:sz="4" w:space="0" w:color="auto"/>
              <w:right w:val="single" w:sz="4" w:space="0" w:color="auto"/>
            </w:tcBorders>
            <w:hideMark/>
          </w:tcPr>
          <w:p w:rsidR="00731C96" w:rsidRDefault="00731C96" w:rsidP="00731C96">
            <w:pPr>
              <w:ind w:left="317"/>
              <w:jc w:val="left"/>
              <w:rPr>
                <w:rFonts w:cs="Arial"/>
              </w:rPr>
            </w:pPr>
            <w:r>
              <w:rPr>
                <w:rFonts w:cs="Arial"/>
              </w:rPr>
              <w:t xml:space="preserve">Professionals </w:t>
            </w:r>
          </w:p>
        </w:tc>
        <w:tc>
          <w:tcPr>
            <w:tcW w:w="1284" w:type="dxa"/>
            <w:tcBorders>
              <w:top w:val="single" w:sz="4" w:space="0" w:color="auto"/>
              <w:left w:val="single" w:sz="4" w:space="0" w:color="auto"/>
              <w:bottom w:val="single" w:sz="4" w:space="0" w:color="auto"/>
              <w:right w:val="single" w:sz="4" w:space="0" w:color="auto"/>
            </w:tcBorders>
            <w:hideMark/>
          </w:tcPr>
          <w:p w:rsidR="00731C96" w:rsidRDefault="00731C96" w:rsidP="00731C96">
            <w:pPr>
              <w:jc w:val="center"/>
              <w:rPr>
                <w:rFonts w:cs="Arial"/>
              </w:rPr>
            </w:pPr>
            <w:r>
              <w:rPr>
                <w:rFonts w:cs="Arial"/>
              </w:rPr>
              <w:t>6</w:t>
            </w:r>
          </w:p>
        </w:tc>
        <w:tc>
          <w:tcPr>
            <w:tcW w:w="1284" w:type="dxa"/>
            <w:tcBorders>
              <w:top w:val="single" w:sz="4" w:space="0" w:color="auto"/>
              <w:left w:val="single" w:sz="4" w:space="0" w:color="auto"/>
              <w:bottom w:val="single" w:sz="4" w:space="0" w:color="auto"/>
              <w:right w:val="single" w:sz="4" w:space="0" w:color="auto"/>
            </w:tcBorders>
          </w:tcPr>
          <w:p w:rsidR="00731C96" w:rsidRDefault="00731C96" w:rsidP="00731C96">
            <w:pPr>
              <w:jc w:val="center"/>
              <w:rPr>
                <w:rFonts w:cs="Arial"/>
              </w:rPr>
            </w:pPr>
            <w:r>
              <w:rPr>
                <w:rFonts w:cs="Arial"/>
              </w:rPr>
              <w:t>7</w:t>
            </w:r>
          </w:p>
        </w:tc>
        <w:tc>
          <w:tcPr>
            <w:tcW w:w="1284" w:type="dxa"/>
            <w:tcBorders>
              <w:top w:val="single" w:sz="4" w:space="0" w:color="auto"/>
              <w:left w:val="single" w:sz="4" w:space="0" w:color="auto"/>
              <w:bottom w:val="single" w:sz="4" w:space="0" w:color="auto"/>
              <w:right w:val="single" w:sz="4" w:space="0" w:color="auto"/>
            </w:tcBorders>
          </w:tcPr>
          <w:p w:rsidR="00731C96" w:rsidRDefault="00731C96" w:rsidP="00731C96">
            <w:pPr>
              <w:jc w:val="center"/>
              <w:rPr>
                <w:rFonts w:cs="Arial"/>
              </w:rPr>
            </w:pPr>
            <w:r>
              <w:rPr>
                <w:rFonts w:cs="Arial"/>
              </w:rPr>
              <w:t>7</w:t>
            </w:r>
          </w:p>
        </w:tc>
      </w:tr>
      <w:tr w:rsidR="00731C96" w:rsidTr="00731C96">
        <w:trPr>
          <w:trHeight w:val="255"/>
          <w:jc w:val="center"/>
        </w:trPr>
        <w:tc>
          <w:tcPr>
            <w:tcW w:w="4440" w:type="dxa"/>
            <w:tcBorders>
              <w:top w:val="single" w:sz="4" w:space="0" w:color="auto"/>
              <w:left w:val="single" w:sz="4" w:space="0" w:color="auto"/>
              <w:bottom w:val="single" w:sz="4" w:space="0" w:color="auto"/>
              <w:right w:val="single" w:sz="4" w:space="0" w:color="auto"/>
            </w:tcBorders>
            <w:hideMark/>
          </w:tcPr>
          <w:p w:rsidR="00731C96" w:rsidRDefault="00731C96" w:rsidP="00731C96">
            <w:pPr>
              <w:ind w:left="317"/>
              <w:jc w:val="left"/>
              <w:rPr>
                <w:rFonts w:cs="Arial"/>
              </w:rPr>
            </w:pPr>
            <w:r>
              <w:rPr>
                <w:rFonts w:cs="Arial"/>
              </w:rPr>
              <w:t>General Service</w:t>
            </w:r>
          </w:p>
        </w:tc>
        <w:tc>
          <w:tcPr>
            <w:tcW w:w="1284" w:type="dxa"/>
            <w:tcBorders>
              <w:top w:val="single" w:sz="4" w:space="0" w:color="auto"/>
              <w:left w:val="single" w:sz="4" w:space="0" w:color="auto"/>
              <w:bottom w:val="single" w:sz="4" w:space="0" w:color="auto"/>
              <w:right w:val="single" w:sz="4" w:space="0" w:color="auto"/>
            </w:tcBorders>
            <w:hideMark/>
          </w:tcPr>
          <w:p w:rsidR="00731C96" w:rsidRDefault="00731C96" w:rsidP="00731C96">
            <w:pPr>
              <w:jc w:val="center"/>
              <w:rPr>
                <w:rFonts w:cs="Arial"/>
              </w:rPr>
            </w:pPr>
            <w:r>
              <w:rPr>
                <w:rFonts w:cs="Arial"/>
              </w:rPr>
              <w:t>4</w:t>
            </w:r>
          </w:p>
        </w:tc>
        <w:tc>
          <w:tcPr>
            <w:tcW w:w="1284" w:type="dxa"/>
            <w:tcBorders>
              <w:top w:val="single" w:sz="4" w:space="0" w:color="auto"/>
              <w:left w:val="single" w:sz="4" w:space="0" w:color="auto"/>
              <w:bottom w:val="single" w:sz="4" w:space="0" w:color="auto"/>
              <w:right w:val="single" w:sz="4" w:space="0" w:color="auto"/>
            </w:tcBorders>
          </w:tcPr>
          <w:p w:rsidR="00731C96" w:rsidRDefault="00731C96" w:rsidP="00731C96">
            <w:pPr>
              <w:jc w:val="center"/>
              <w:rPr>
                <w:rFonts w:cs="Arial"/>
              </w:rPr>
            </w:pPr>
            <w:r>
              <w:rPr>
                <w:rFonts w:cs="Arial"/>
              </w:rPr>
              <w:t>5</w:t>
            </w:r>
          </w:p>
        </w:tc>
        <w:tc>
          <w:tcPr>
            <w:tcW w:w="1284" w:type="dxa"/>
            <w:tcBorders>
              <w:top w:val="single" w:sz="4" w:space="0" w:color="auto"/>
              <w:left w:val="single" w:sz="4" w:space="0" w:color="auto"/>
              <w:bottom w:val="single" w:sz="4" w:space="0" w:color="auto"/>
              <w:right w:val="single" w:sz="4" w:space="0" w:color="auto"/>
            </w:tcBorders>
          </w:tcPr>
          <w:p w:rsidR="00731C96" w:rsidRDefault="00731C96" w:rsidP="00731C96">
            <w:pPr>
              <w:jc w:val="center"/>
              <w:rPr>
                <w:rFonts w:cs="Arial"/>
              </w:rPr>
            </w:pPr>
            <w:r>
              <w:rPr>
                <w:rFonts w:cs="Arial"/>
              </w:rPr>
              <w:t>5</w:t>
            </w:r>
          </w:p>
        </w:tc>
      </w:tr>
      <w:tr w:rsidR="00731C96" w:rsidTr="00731C96">
        <w:trPr>
          <w:trHeight w:val="255"/>
          <w:jc w:val="center"/>
        </w:trPr>
        <w:tc>
          <w:tcPr>
            <w:tcW w:w="4440" w:type="dxa"/>
            <w:tcBorders>
              <w:top w:val="single" w:sz="4" w:space="0" w:color="auto"/>
              <w:left w:val="single" w:sz="4" w:space="0" w:color="auto"/>
              <w:bottom w:val="single" w:sz="4" w:space="0" w:color="auto"/>
              <w:right w:val="single" w:sz="4" w:space="0" w:color="auto"/>
            </w:tcBorders>
            <w:hideMark/>
          </w:tcPr>
          <w:p w:rsidR="00731C96" w:rsidRDefault="00731C96" w:rsidP="00731C96">
            <w:pPr>
              <w:jc w:val="left"/>
              <w:rPr>
                <w:rFonts w:cs="Arial"/>
                <w:b/>
              </w:rPr>
            </w:pPr>
            <w:r>
              <w:rPr>
                <w:rFonts w:cs="Arial"/>
                <w:b/>
              </w:rPr>
              <w:t>Total</w:t>
            </w:r>
          </w:p>
        </w:tc>
        <w:tc>
          <w:tcPr>
            <w:tcW w:w="1284" w:type="dxa"/>
            <w:tcBorders>
              <w:top w:val="single" w:sz="4" w:space="0" w:color="auto"/>
              <w:left w:val="single" w:sz="4" w:space="0" w:color="auto"/>
              <w:bottom w:val="single" w:sz="4" w:space="0" w:color="auto"/>
              <w:right w:val="single" w:sz="4" w:space="0" w:color="auto"/>
            </w:tcBorders>
            <w:hideMark/>
          </w:tcPr>
          <w:p w:rsidR="00731C96" w:rsidRDefault="00731C96" w:rsidP="00731C96">
            <w:pPr>
              <w:jc w:val="center"/>
              <w:rPr>
                <w:rFonts w:cs="Arial"/>
                <w:b/>
              </w:rPr>
            </w:pPr>
            <w:r>
              <w:rPr>
                <w:rFonts w:cs="Arial"/>
                <w:b/>
              </w:rPr>
              <w:t>13</w:t>
            </w:r>
          </w:p>
        </w:tc>
        <w:tc>
          <w:tcPr>
            <w:tcW w:w="1284" w:type="dxa"/>
            <w:tcBorders>
              <w:top w:val="single" w:sz="4" w:space="0" w:color="auto"/>
              <w:left w:val="single" w:sz="4" w:space="0" w:color="auto"/>
              <w:bottom w:val="single" w:sz="4" w:space="0" w:color="auto"/>
              <w:right w:val="single" w:sz="4" w:space="0" w:color="auto"/>
            </w:tcBorders>
          </w:tcPr>
          <w:p w:rsidR="00731C96" w:rsidRDefault="00731C96" w:rsidP="00731C96">
            <w:pPr>
              <w:jc w:val="center"/>
              <w:rPr>
                <w:rFonts w:cs="Arial"/>
                <w:b/>
              </w:rPr>
            </w:pPr>
            <w:r>
              <w:rPr>
                <w:rFonts w:cs="Arial"/>
                <w:b/>
              </w:rPr>
              <w:t>15</w:t>
            </w:r>
          </w:p>
        </w:tc>
        <w:tc>
          <w:tcPr>
            <w:tcW w:w="1284" w:type="dxa"/>
            <w:tcBorders>
              <w:top w:val="single" w:sz="4" w:space="0" w:color="auto"/>
              <w:left w:val="single" w:sz="4" w:space="0" w:color="auto"/>
              <w:bottom w:val="single" w:sz="4" w:space="0" w:color="auto"/>
              <w:right w:val="single" w:sz="4" w:space="0" w:color="auto"/>
            </w:tcBorders>
          </w:tcPr>
          <w:p w:rsidR="00731C96" w:rsidRDefault="00731C96" w:rsidP="00731C96">
            <w:pPr>
              <w:jc w:val="center"/>
              <w:rPr>
                <w:rFonts w:cs="Arial"/>
                <w:b/>
              </w:rPr>
            </w:pPr>
            <w:r>
              <w:rPr>
                <w:rFonts w:cs="Arial"/>
                <w:b/>
              </w:rPr>
              <w:t>15</w:t>
            </w:r>
          </w:p>
        </w:tc>
      </w:tr>
      <w:tr w:rsidR="00731C96" w:rsidTr="00731C96">
        <w:trPr>
          <w:trHeight w:val="255"/>
          <w:jc w:val="center"/>
        </w:trPr>
        <w:tc>
          <w:tcPr>
            <w:tcW w:w="4440" w:type="dxa"/>
            <w:tcBorders>
              <w:top w:val="single" w:sz="4" w:space="0" w:color="auto"/>
              <w:left w:val="single" w:sz="4" w:space="0" w:color="auto"/>
              <w:bottom w:val="single" w:sz="4" w:space="0" w:color="auto"/>
              <w:right w:val="single" w:sz="4" w:space="0" w:color="auto"/>
            </w:tcBorders>
          </w:tcPr>
          <w:p w:rsidR="00731C96" w:rsidRDefault="00731C96" w:rsidP="00731C96">
            <w:pPr>
              <w:jc w:val="left"/>
              <w:rPr>
                <w:rFonts w:cs="Arial"/>
              </w:rPr>
            </w:pPr>
          </w:p>
        </w:tc>
        <w:tc>
          <w:tcPr>
            <w:tcW w:w="1284" w:type="dxa"/>
            <w:tcBorders>
              <w:top w:val="single" w:sz="4" w:space="0" w:color="auto"/>
              <w:left w:val="single" w:sz="4" w:space="0" w:color="auto"/>
              <w:bottom w:val="single" w:sz="4" w:space="0" w:color="auto"/>
              <w:right w:val="single" w:sz="4" w:space="0" w:color="auto"/>
            </w:tcBorders>
          </w:tcPr>
          <w:p w:rsidR="00731C96" w:rsidRDefault="00731C96" w:rsidP="00731C96">
            <w:pPr>
              <w:jc w:val="center"/>
              <w:rPr>
                <w:rFonts w:cs="Arial"/>
              </w:rPr>
            </w:pPr>
          </w:p>
        </w:tc>
        <w:tc>
          <w:tcPr>
            <w:tcW w:w="1284" w:type="dxa"/>
            <w:tcBorders>
              <w:top w:val="single" w:sz="4" w:space="0" w:color="auto"/>
              <w:left w:val="single" w:sz="4" w:space="0" w:color="auto"/>
              <w:bottom w:val="single" w:sz="4" w:space="0" w:color="auto"/>
              <w:right w:val="single" w:sz="4" w:space="0" w:color="auto"/>
            </w:tcBorders>
          </w:tcPr>
          <w:p w:rsidR="00731C96" w:rsidRDefault="00731C96" w:rsidP="00731C96">
            <w:pPr>
              <w:jc w:val="center"/>
              <w:rPr>
                <w:rFonts w:cs="Arial"/>
              </w:rPr>
            </w:pPr>
          </w:p>
        </w:tc>
        <w:tc>
          <w:tcPr>
            <w:tcW w:w="1284" w:type="dxa"/>
            <w:tcBorders>
              <w:top w:val="single" w:sz="4" w:space="0" w:color="auto"/>
              <w:left w:val="single" w:sz="4" w:space="0" w:color="auto"/>
              <w:bottom w:val="single" w:sz="4" w:space="0" w:color="auto"/>
              <w:right w:val="single" w:sz="4" w:space="0" w:color="auto"/>
            </w:tcBorders>
          </w:tcPr>
          <w:p w:rsidR="00731C96" w:rsidRDefault="00731C96" w:rsidP="00731C96">
            <w:pPr>
              <w:jc w:val="center"/>
              <w:rPr>
                <w:rFonts w:cs="Arial"/>
              </w:rPr>
            </w:pPr>
          </w:p>
        </w:tc>
      </w:tr>
      <w:tr w:rsidR="00731C96" w:rsidTr="00731C96">
        <w:trPr>
          <w:trHeight w:val="255"/>
          <w:jc w:val="center"/>
        </w:trPr>
        <w:tc>
          <w:tcPr>
            <w:tcW w:w="4440" w:type="dxa"/>
            <w:tcBorders>
              <w:top w:val="single" w:sz="4" w:space="0" w:color="auto"/>
              <w:left w:val="single" w:sz="4" w:space="0" w:color="auto"/>
              <w:bottom w:val="single" w:sz="4" w:space="0" w:color="auto"/>
              <w:right w:val="single" w:sz="4" w:space="0" w:color="auto"/>
            </w:tcBorders>
            <w:hideMark/>
          </w:tcPr>
          <w:p w:rsidR="00731C96" w:rsidRDefault="00731C96" w:rsidP="00731C96">
            <w:pPr>
              <w:jc w:val="left"/>
              <w:rPr>
                <w:rFonts w:cs="Arial"/>
                <w:b/>
              </w:rPr>
            </w:pPr>
            <w:r>
              <w:rPr>
                <w:rFonts w:cs="Arial"/>
                <w:b/>
              </w:rPr>
              <w:t>Other human resources</w:t>
            </w:r>
          </w:p>
        </w:tc>
        <w:tc>
          <w:tcPr>
            <w:tcW w:w="1284" w:type="dxa"/>
            <w:tcBorders>
              <w:top w:val="single" w:sz="4" w:space="0" w:color="auto"/>
              <w:left w:val="single" w:sz="4" w:space="0" w:color="auto"/>
              <w:bottom w:val="single" w:sz="4" w:space="0" w:color="auto"/>
              <w:right w:val="single" w:sz="4" w:space="0" w:color="auto"/>
            </w:tcBorders>
          </w:tcPr>
          <w:p w:rsidR="00731C96" w:rsidRDefault="00731C96" w:rsidP="00731C96">
            <w:pPr>
              <w:jc w:val="center"/>
              <w:rPr>
                <w:rFonts w:cs="Arial"/>
              </w:rPr>
            </w:pPr>
          </w:p>
        </w:tc>
        <w:tc>
          <w:tcPr>
            <w:tcW w:w="1284" w:type="dxa"/>
            <w:tcBorders>
              <w:top w:val="single" w:sz="4" w:space="0" w:color="auto"/>
              <w:left w:val="single" w:sz="4" w:space="0" w:color="auto"/>
              <w:bottom w:val="single" w:sz="4" w:space="0" w:color="auto"/>
              <w:right w:val="single" w:sz="4" w:space="0" w:color="auto"/>
            </w:tcBorders>
          </w:tcPr>
          <w:p w:rsidR="00731C96" w:rsidRDefault="00731C96" w:rsidP="00731C96">
            <w:pPr>
              <w:jc w:val="center"/>
              <w:rPr>
                <w:rFonts w:cs="Arial"/>
              </w:rPr>
            </w:pPr>
          </w:p>
        </w:tc>
        <w:tc>
          <w:tcPr>
            <w:tcW w:w="1284" w:type="dxa"/>
            <w:tcBorders>
              <w:top w:val="single" w:sz="4" w:space="0" w:color="auto"/>
              <w:left w:val="single" w:sz="4" w:space="0" w:color="auto"/>
              <w:bottom w:val="single" w:sz="4" w:space="0" w:color="auto"/>
              <w:right w:val="single" w:sz="4" w:space="0" w:color="auto"/>
            </w:tcBorders>
          </w:tcPr>
          <w:p w:rsidR="00731C96" w:rsidRDefault="00731C96" w:rsidP="00731C96">
            <w:pPr>
              <w:jc w:val="center"/>
              <w:rPr>
                <w:rFonts w:cs="Arial"/>
              </w:rPr>
            </w:pPr>
          </w:p>
        </w:tc>
      </w:tr>
      <w:tr w:rsidR="00731C96" w:rsidTr="00731C96">
        <w:trPr>
          <w:trHeight w:val="255"/>
          <w:jc w:val="center"/>
        </w:trPr>
        <w:tc>
          <w:tcPr>
            <w:tcW w:w="4440" w:type="dxa"/>
            <w:tcBorders>
              <w:top w:val="single" w:sz="4" w:space="0" w:color="auto"/>
              <w:left w:val="single" w:sz="4" w:space="0" w:color="auto"/>
              <w:bottom w:val="single" w:sz="4" w:space="0" w:color="auto"/>
              <w:right w:val="single" w:sz="4" w:space="0" w:color="auto"/>
            </w:tcBorders>
            <w:hideMark/>
          </w:tcPr>
          <w:p w:rsidR="00731C96" w:rsidRDefault="00731C96" w:rsidP="00731C96">
            <w:pPr>
              <w:ind w:left="317"/>
              <w:jc w:val="left"/>
              <w:rPr>
                <w:rFonts w:cs="Arial"/>
              </w:rPr>
            </w:pPr>
            <w:r>
              <w:rPr>
                <w:rFonts w:cs="Arial"/>
              </w:rPr>
              <w:t>Fellows/Interns</w:t>
            </w:r>
          </w:p>
        </w:tc>
        <w:tc>
          <w:tcPr>
            <w:tcW w:w="1284" w:type="dxa"/>
            <w:tcBorders>
              <w:top w:val="single" w:sz="4" w:space="0" w:color="auto"/>
              <w:left w:val="single" w:sz="4" w:space="0" w:color="auto"/>
              <w:bottom w:val="single" w:sz="4" w:space="0" w:color="auto"/>
              <w:right w:val="single" w:sz="4" w:space="0" w:color="auto"/>
            </w:tcBorders>
            <w:hideMark/>
          </w:tcPr>
          <w:p w:rsidR="00731C96" w:rsidRDefault="00731C96" w:rsidP="00731C96">
            <w:pPr>
              <w:jc w:val="center"/>
              <w:rPr>
                <w:rFonts w:cs="Arial"/>
              </w:rPr>
            </w:pPr>
            <w:r>
              <w:rPr>
                <w:rFonts w:cs="Arial"/>
              </w:rPr>
              <w:t>1</w:t>
            </w:r>
          </w:p>
        </w:tc>
        <w:tc>
          <w:tcPr>
            <w:tcW w:w="1284" w:type="dxa"/>
            <w:tcBorders>
              <w:top w:val="single" w:sz="4" w:space="0" w:color="auto"/>
              <w:left w:val="single" w:sz="4" w:space="0" w:color="auto"/>
              <w:bottom w:val="single" w:sz="4" w:space="0" w:color="auto"/>
              <w:right w:val="single" w:sz="4" w:space="0" w:color="auto"/>
            </w:tcBorders>
          </w:tcPr>
          <w:p w:rsidR="00731C96" w:rsidRDefault="00731C96" w:rsidP="00731C96">
            <w:pPr>
              <w:jc w:val="center"/>
              <w:rPr>
                <w:rFonts w:cs="Arial"/>
              </w:rPr>
            </w:pPr>
            <w:r>
              <w:rPr>
                <w:rFonts w:cs="Arial"/>
              </w:rPr>
              <w:t>2</w:t>
            </w:r>
          </w:p>
        </w:tc>
        <w:tc>
          <w:tcPr>
            <w:tcW w:w="1284" w:type="dxa"/>
            <w:tcBorders>
              <w:top w:val="single" w:sz="4" w:space="0" w:color="auto"/>
              <w:left w:val="single" w:sz="4" w:space="0" w:color="auto"/>
              <w:bottom w:val="single" w:sz="4" w:space="0" w:color="auto"/>
              <w:right w:val="single" w:sz="4" w:space="0" w:color="auto"/>
            </w:tcBorders>
          </w:tcPr>
          <w:p w:rsidR="00731C96" w:rsidRDefault="00731C96" w:rsidP="00731C96">
            <w:pPr>
              <w:jc w:val="center"/>
              <w:rPr>
                <w:rFonts w:cs="Arial"/>
              </w:rPr>
            </w:pPr>
            <w:r>
              <w:rPr>
                <w:rFonts w:cs="Arial"/>
              </w:rPr>
              <w:t>2</w:t>
            </w:r>
          </w:p>
        </w:tc>
      </w:tr>
      <w:tr w:rsidR="00731C96" w:rsidTr="00731C96">
        <w:trPr>
          <w:trHeight w:val="255"/>
          <w:jc w:val="center"/>
        </w:trPr>
        <w:tc>
          <w:tcPr>
            <w:tcW w:w="4440" w:type="dxa"/>
            <w:tcBorders>
              <w:top w:val="single" w:sz="4" w:space="0" w:color="auto"/>
              <w:left w:val="single" w:sz="4" w:space="0" w:color="auto"/>
              <w:bottom w:val="single" w:sz="4" w:space="0" w:color="auto"/>
              <w:right w:val="single" w:sz="4" w:space="0" w:color="auto"/>
            </w:tcBorders>
            <w:hideMark/>
          </w:tcPr>
          <w:p w:rsidR="00731C96" w:rsidRDefault="00731C96" w:rsidP="00731C96">
            <w:pPr>
              <w:ind w:left="317"/>
              <w:jc w:val="left"/>
              <w:rPr>
                <w:rFonts w:cs="Arial"/>
              </w:rPr>
            </w:pPr>
            <w:r>
              <w:rPr>
                <w:rFonts w:cs="Arial"/>
              </w:rPr>
              <w:t xml:space="preserve">Agency Workers </w:t>
            </w:r>
          </w:p>
        </w:tc>
        <w:tc>
          <w:tcPr>
            <w:tcW w:w="1284" w:type="dxa"/>
            <w:tcBorders>
              <w:top w:val="single" w:sz="4" w:space="0" w:color="auto"/>
              <w:left w:val="single" w:sz="4" w:space="0" w:color="auto"/>
              <w:bottom w:val="single" w:sz="4" w:space="0" w:color="auto"/>
              <w:right w:val="single" w:sz="4" w:space="0" w:color="auto"/>
            </w:tcBorders>
            <w:hideMark/>
          </w:tcPr>
          <w:p w:rsidR="00731C96" w:rsidRDefault="00731C96" w:rsidP="00731C96">
            <w:pPr>
              <w:jc w:val="center"/>
              <w:rPr>
                <w:rFonts w:cs="Arial"/>
              </w:rPr>
            </w:pPr>
            <w:r>
              <w:rPr>
                <w:rFonts w:cs="Arial"/>
              </w:rPr>
              <w:t>2</w:t>
            </w:r>
          </w:p>
        </w:tc>
        <w:tc>
          <w:tcPr>
            <w:tcW w:w="1284" w:type="dxa"/>
            <w:tcBorders>
              <w:top w:val="single" w:sz="4" w:space="0" w:color="auto"/>
              <w:left w:val="single" w:sz="4" w:space="0" w:color="auto"/>
              <w:bottom w:val="single" w:sz="4" w:space="0" w:color="auto"/>
              <w:right w:val="single" w:sz="4" w:space="0" w:color="auto"/>
            </w:tcBorders>
          </w:tcPr>
          <w:p w:rsidR="00731C96" w:rsidRDefault="00731C96" w:rsidP="00731C96">
            <w:pPr>
              <w:jc w:val="center"/>
              <w:rPr>
                <w:rFonts w:cs="Arial"/>
              </w:rPr>
            </w:pPr>
            <w:r>
              <w:rPr>
                <w:rFonts w:cs="Arial"/>
              </w:rPr>
              <w:t>1</w:t>
            </w:r>
          </w:p>
        </w:tc>
        <w:tc>
          <w:tcPr>
            <w:tcW w:w="1284" w:type="dxa"/>
            <w:tcBorders>
              <w:top w:val="single" w:sz="4" w:space="0" w:color="auto"/>
              <w:left w:val="single" w:sz="4" w:space="0" w:color="auto"/>
              <w:bottom w:val="single" w:sz="4" w:space="0" w:color="auto"/>
              <w:right w:val="single" w:sz="4" w:space="0" w:color="auto"/>
            </w:tcBorders>
          </w:tcPr>
          <w:p w:rsidR="00731C96" w:rsidRDefault="00731C96" w:rsidP="00731C96">
            <w:pPr>
              <w:jc w:val="center"/>
              <w:rPr>
                <w:rFonts w:cs="Arial"/>
              </w:rPr>
            </w:pPr>
            <w:r>
              <w:rPr>
                <w:rFonts w:cs="Arial"/>
              </w:rPr>
              <w:t>1</w:t>
            </w:r>
          </w:p>
        </w:tc>
      </w:tr>
      <w:tr w:rsidR="00731C96" w:rsidTr="00731C96">
        <w:trPr>
          <w:trHeight w:val="255"/>
          <w:jc w:val="center"/>
        </w:trPr>
        <w:tc>
          <w:tcPr>
            <w:tcW w:w="4440" w:type="dxa"/>
            <w:tcBorders>
              <w:top w:val="single" w:sz="4" w:space="0" w:color="auto"/>
              <w:left w:val="single" w:sz="4" w:space="0" w:color="auto"/>
              <w:bottom w:val="single" w:sz="4" w:space="0" w:color="auto"/>
              <w:right w:val="single" w:sz="4" w:space="0" w:color="auto"/>
            </w:tcBorders>
            <w:hideMark/>
          </w:tcPr>
          <w:p w:rsidR="00731C96" w:rsidRDefault="00731C96" w:rsidP="00731C96">
            <w:pPr>
              <w:ind w:left="317"/>
              <w:jc w:val="left"/>
              <w:rPr>
                <w:rFonts w:cs="Arial"/>
              </w:rPr>
            </w:pPr>
            <w:r>
              <w:rPr>
                <w:rFonts w:cs="Arial"/>
              </w:rPr>
              <w:t>Junior Professional Officer</w:t>
            </w:r>
          </w:p>
        </w:tc>
        <w:tc>
          <w:tcPr>
            <w:tcW w:w="1284" w:type="dxa"/>
            <w:tcBorders>
              <w:top w:val="single" w:sz="4" w:space="0" w:color="auto"/>
              <w:left w:val="single" w:sz="4" w:space="0" w:color="auto"/>
              <w:bottom w:val="single" w:sz="4" w:space="0" w:color="auto"/>
              <w:right w:val="single" w:sz="4" w:space="0" w:color="auto"/>
            </w:tcBorders>
            <w:hideMark/>
          </w:tcPr>
          <w:p w:rsidR="00731C96" w:rsidRDefault="00731C96" w:rsidP="00731C96">
            <w:pPr>
              <w:jc w:val="center"/>
              <w:rPr>
                <w:rFonts w:cs="Arial"/>
              </w:rPr>
            </w:pPr>
            <w:r>
              <w:rPr>
                <w:rFonts w:cs="Arial"/>
              </w:rPr>
              <w:t>-</w:t>
            </w:r>
          </w:p>
        </w:tc>
        <w:tc>
          <w:tcPr>
            <w:tcW w:w="1284" w:type="dxa"/>
            <w:tcBorders>
              <w:top w:val="single" w:sz="4" w:space="0" w:color="auto"/>
              <w:left w:val="single" w:sz="4" w:space="0" w:color="auto"/>
              <w:bottom w:val="single" w:sz="4" w:space="0" w:color="auto"/>
              <w:right w:val="single" w:sz="4" w:space="0" w:color="auto"/>
            </w:tcBorders>
          </w:tcPr>
          <w:p w:rsidR="00731C96" w:rsidRDefault="00731C96" w:rsidP="00731C96">
            <w:pPr>
              <w:jc w:val="center"/>
              <w:rPr>
                <w:rFonts w:cs="Arial"/>
              </w:rPr>
            </w:pPr>
            <w:r>
              <w:rPr>
                <w:rFonts w:cs="Arial"/>
              </w:rPr>
              <w:t>2</w:t>
            </w:r>
          </w:p>
        </w:tc>
        <w:tc>
          <w:tcPr>
            <w:tcW w:w="1284" w:type="dxa"/>
            <w:tcBorders>
              <w:top w:val="single" w:sz="4" w:space="0" w:color="auto"/>
              <w:left w:val="single" w:sz="4" w:space="0" w:color="auto"/>
              <w:bottom w:val="single" w:sz="4" w:space="0" w:color="auto"/>
              <w:right w:val="single" w:sz="4" w:space="0" w:color="auto"/>
            </w:tcBorders>
          </w:tcPr>
          <w:p w:rsidR="00731C96" w:rsidRDefault="00731C96" w:rsidP="00731C96">
            <w:pPr>
              <w:jc w:val="center"/>
              <w:rPr>
                <w:rFonts w:cs="Arial"/>
              </w:rPr>
            </w:pPr>
            <w:r>
              <w:rPr>
                <w:rFonts w:cs="Arial"/>
              </w:rPr>
              <w:t>2</w:t>
            </w:r>
          </w:p>
        </w:tc>
      </w:tr>
    </w:tbl>
    <w:p w:rsidR="00731C96" w:rsidRDefault="00731C96" w:rsidP="00731C96">
      <w:pPr>
        <w:ind w:left="1276"/>
        <w:rPr>
          <w:spacing w:val="-2"/>
          <w:sz w:val="18"/>
          <w:szCs w:val="24"/>
        </w:rPr>
      </w:pPr>
    </w:p>
    <w:p w:rsidR="00731C96" w:rsidRPr="003B6C3A" w:rsidRDefault="00731C96" w:rsidP="00731C96">
      <w:pPr>
        <w:ind w:left="1276"/>
        <w:rPr>
          <w:spacing w:val="-2"/>
          <w:sz w:val="18"/>
          <w:szCs w:val="24"/>
        </w:rPr>
      </w:pPr>
      <w:r w:rsidRPr="003B6C3A">
        <w:rPr>
          <w:spacing w:val="-2"/>
          <w:sz w:val="18"/>
          <w:szCs w:val="24"/>
        </w:rPr>
        <w:t>* Including the Secretary</w:t>
      </w:r>
      <w:r>
        <w:rPr>
          <w:spacing w:val="-2"/>
          <w:sz w:val="18"/>
          <w:szCs w:val="24"/>
        </w:rPr>
        <w:t>-</w:t>
      </w:r>
      <w:r w:rsidRPr="003B6C3A">
        <w:rPr>
          <w:spacing w:val="-2"/>
          <w:sz w:val="18"/>
          <w:szCs w:val="24"/>
        </w:rPr>
        <w:t>General.</w:t>
      </w:r>
    </w:p>
    <w:p w:rsidR="00731C96" w:rsidRDefault="00731C96" w:rsidP="00731C96">
      <w:pPr>
        <w:rPr>
          <w:spacing w:val="-2"/>
          <w:szCs w:val="24"/>
        </w:rPr>
      </w:pPr>
    </w:p>
    <w:p w:rsidR="00731C96" w:rsidRDefault="00731C96" w:rsidP="00731C96"/>
    <w:p w:rsidR="00731C96" w:rsidRDefault="00731C96" w:rsidP="00731C96"/>
    <w:p w:rsidR="00731C96" w:rsidRDefault="00731C96" w:rsidP="00731C96">
      <w:pPr>
        <w:jc w:val="right"/>
        <w:rPr>
          <w:b/>
          <w:color w:val="365F91" w:themeColor="accent1" w:themeShade="BF"/>
        </w:rPr>
      </w:pPr>
      <w:r w:rsidRPr="00C5280D">
        <w:t xml:space="preserve">[End of </w:t>
      </w:r>
      <w:r>
        <w:t xml:space="preserve">Annex and of </w:t>
      </w:r>
      <w:r w:rsidRPr="00C5280D">
        <w:t>document]</w:t>
      </w:r>
    </w:p>
    <w:p w:rsidR="00050E16" w:rsidRDefault="00050E16" w:rsidP="009B440E">
      <w:pPr>
        <w:jc w:val="left"/>
      </w:pPr>
    </w:p>
    <w:p w:rsidR="00731C96" w:rsidRDefault="00731C96" w:rsidP="009B440E">
      <w:pPr>
        <w:jc w:val="left"/>
      </w:pPr>
    </w:p>
    <w:p w:rsidR="00731C96" w:rsidRDefault="00731C96" w:rsidP="009B440E">
      <w:pPr>
        <w:jc w:val="left"/>
      </w:pPr>
    </w:p>
    <w:p w:rsidR="00731C96" w:rsidRPr="00C5280D" w:rsidRDefault="00731C96" w:rsidP="009B440E">
      <w:pPr>
        <w:jc w:val="left"/>
      </w:pPr>
      <w:bookmarkStart w:id="95" w:name="_GoBack"/>
      <w:bookmarkEnd w:id="95"/>
    </w:p>
    <w:sectPr w:rsidR="00731C96" w:rsidRPr="00C5280D" w:rsidSect="0004198B">
      <w:headerReference w:type="default" r:id="rId20"/>
      <w:headerReference w:type="first" r:id="rId2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FAE" w:rsidRDefault="00822FAE" w:rsidP="006655D3">
      <w:r>
        <w:separator/>
      </w:r>
    </w:p>
    <w:p w:rsidR="00822FAE" w:rsidRDefault="00822FAE" w:rsidP="006655D3"/>
    <w:p w:rsidR="00822FAE" w:rsidRDefault="00822FAE" w:rsidP="006655D3"/>
  </w:endnote>
  <w:endnote w:type="continuationSeparator" w:id="0">
    <w:p w:rsidR="00822FAE" w:rsidRDefault="00822FAE" w:rsidP="006655D3">
      <w:r>
        <w:separator/>
      </w:r>
    </w:p>
    <w:p w:rsidR="00822FAE" w:rsidRPr="00294751" w:rsidRDefault="00822FAE">
      <w:pPr>
        <w:pStyle w:val="Footer"/>
        <w:spacing w:after="60"/>
        <w:rPr>
          <w:sz w:val="18"/>
          <w:lang w:val="fr-FR"/>
        </w:rPr>
      </w:pPr>
      <w:r w:rsidRPr="00294751">
        <w:rPr>
          <w:sz w:val="18"/>
          <w:lang w:val="fr-FR"/>
        </w:rPr>
        <w:t>[Suite de la note de la page précédente]</w:t>
      </w:r>
    </w:p>
    <w:p w:rsidR="00822FAE" w:rsidRPr="00294751" w:rsidRDefault="00822FAE" w:rsidP="006655D3">
      <w:pPr>
        <w:rPr>
          <w:lang w:val="fr-FR"/>
        </w:rPr>
      </w:pPr>
    </w:p>
    <w:p w:rsidR="00822FAE" w:rsidRPr="00294751" w:rsidRDefault="00822FAE" w:rsidP="006655D3">
      <w:pPr>
        <w:rPr>
          <w:lang w:val="fr-FR"/>
        </w:rPr>
      </w:pPr>
    </w:p>
  </w:endnote>
  <w:endnote w:type="continuationNotice" w:id="1">
    <w:p w:rsidR="00822FAE" w:rsidRPr="00294751" w:rsidRDefault="00822FAE" w:rsidP="006655D3">
      <w:pPr>
        <w:rPr>
          <w:lang w:val="fr-FR"/>
        </w:rPr>
      </w:pPr>
      <w:r w:rsidRPr="00294751">
        <w:rPr>
          <w:lang w:val="fr-FR"/>
        </w:rPr>
        <w:t>[Suite de la note page suivante]</w:t>
      </w:r>
    </w:p>
    <w:p w:rsidR="00822FAE" w:rsidRPr="00294751" w:rsidRDefault="00822FAE" w:rsidP="006655D3">
      <w:pPr>
        <w:rPr>
          <w:lang w:val="fr-FR"/>
        </w:rPr>
      </w:pPr>
    </w:p>
    <w:p w:rsidR="00822FAE" w:rsidRPr="00294751" w:rsidRDefault="00822FA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FAE" w:rsidRDefault="00822FAE" w:rsidP="006655D3">
      <w:r>
        <w:separator/>
      </w:r>
    </w:p>
  </w:footnote>
  <w:footnote w:type="continuationSeparator" w:id="0">
    <w:p w:rsidR="00822FAE" w:rsidRDefault="00822FAE" w:rsidP="006655D3">
      <w:r>
        <w:separator/>
      </w:r>
    </w:p>
  </w:footnote>
  <w:footnote w:type="continuationNotice" w:id="1">
    <w:p w:rsidR="00822FAE" w:rsidRPr="00AB530F" w:rsidRDefault="00822FAE"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FAE" w:rsidRPr="00C5280D" w:rsidRDefault="00822FAE" w:rsidP="00EB048E">
    <w:pPr>
      <w:pStyle w:val="Header"/>
      <w:rPr>
        <w:rStyle w:val="PageNumber"/>
        <w:lang w:val="en-US"/>
      </w:rPr>
    </w:pPr>
    <w:r>
      <w:rPr>
        <w:rStyle w:val="PageNumber"/>
        <w:lang w:val="en-US"/>
      </w:rPr>
      <w:t>C/56/10</w:t>
    </w:r>
  </w:p>
  <w:p w:rsidR="00822FAE" w:rsidRPr="00C5280D" w:rsidRDefault="00822FAE"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822FAE" w:rsidRPr="00C5280D" w:rsidRDefault="00822FAE"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FAE" w:rsidRPr="00731C96" w:rsidRDefault="00822FAE" w:rsidP="0004198B">
    <w:pPr>
      <w:pStyle w:val="Heade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FAE" w:rsidRPr="00C5280D" w:rsidRDefault="00822FAE" w:rsidP="00EB048E">
    <w:pPr>
      <w:pStyle w:val="Header"/>
      <w:rPr>
        <w:rStyle w:val="PageNumber"/>
        <w:lang w:val="en-US"/>
      </w:rPr>
    </w:pPr>
    <w:r>
      <w:rPr>
        <w:rStyle w:val="PageNumber"/>
        <w:lang w:val="en-US"/>
      </w:rPr>
      <w:t>C/56/10</w:t>
    </w:r>
  </w:p>
  <w:p w:rsidR="00822FAE" w:rsidRPr="00C5280D" w:rsidRDefault="00822FAE"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57E90">
      <w:rPr>
        <w:rStyle w:val="PageNumber"/>
        <w:noProof/>
        <w:lang w:val="en-US"/>
      </w:rPr>
      <w:t>13</w:t>
    </w:r>
    <w:r w:rsidRPr="00C5280D">
      <w:rPr>
        <w:rStyle w:val="PageNumber"/>
        <w:lang w:val="en-US"/>
      </w:rPr>
      <w:fldChar w:fldCharType="end"/>
    </w:r>
  </w:p>
  <w:p w:rsidR="00822FAE" w:rsidRPr="00C5280D" w:rsidRDefault="00822FAE"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FAE" w:rsidRDefault="00822FAE" w:rsidP="00731C96">
    <w:pPr>
      <w:pStyle w:val="Header"/>
      <w:rPr>
        <w:lang w:val="fr-CH"/>
      </w:rPr>
    </w:pPr>
    <w:r>
      <w:rPr>
        <w:lang w:val="fr-CH"/>
      </w:rPr>
      <w:t>C/56/10</w:t>
    </w:r>
    <w:r>
      <w:rPr>
        <w:lang w:val="fr-CH"/>
      </w:rPr>
      <w:br/>
    </w:r>
  </w:p>
  <w:p w:rsidR="00822FAE" w:rsidRPr="00731C96" w:rsidRDefault="00822FAE" w:rsidP="0004198B">
    <w:pPr>
      <w:pStyle w:val="Header"/>
      <w:rPr>
        <w:lang w:val="fr-CH"/>
      </w:rPr>
    </w:pPr>
    <w:r>
      <w:rPr>
        <w:lang w:val="fr-CH"/>
      </w:rPr>
      <w:t>ANNEX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76DB"/>
    <w:multiLevelType w:val="hybridMultilevel"/>
    <w:tmpl w:val="82568C08"/>
    <w:lvl w:ilvl="0" w:tplc="BF9ECC74">
      <w:start w:val="1"/>
      <w:numFmt w:val="decimal"/>
      <w:lvlText w:val="%1."/>
      <w:lvlJc w:val="center"/>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E338E"/>
    <w:multiLevelType w:val="multilevel"/>
    <w:tmpl w:val="09E04FBC"/>
    <w:lvl w:ilvl="0">
      <w:start w:val="1"/>
      <w:numFmt w:val="decimal"/>
      <w:lvlText w:val="%1)"/>
      <w:lvlJc w:val="left"/>
      <w:pPr>
        <w:ind w:left="927" w:hanging="360"/>
      </w:pPr>
    </w:lvl>
    <w:lvl w:ilvl="1">
      <w:start w:val="1"/>
      <w:numFmt w:val="lowerLetter"/>
      <w:lvlText w:val="(%2)"/>
      <w:lvlJc w:val="left"/>
      <w:pPr>
        <w:ind w:left="1287" w:hanging="360"/>
      </w:pPr>
      <w:rPr>
        <w:rFonts w:hint="default"/>
      </w:r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0C95704B"/>
    <w:multiLevelType w:val="hybridMultilevel"/>
    <w:tmpl w:val="D6FADDD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431FE"/>
    <w:multiLevelType w:val="hybridMultilevel"/>
    <w:tmpl w:val="573E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17BA0"/>
    <w:multiLevelType w:val="hybridMultilevel"/>
    <w:tmpl w:val="4EDEF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26D59"/>
    <w:multiLevelType w:val="hybridMultilevel"/>
    <w:tmpl w:val="99F6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A3B4A"/>
    <w:multiLevelType w:val="hybridMultilevel"/>
    <w:tmpl w:val="82568C08"/>
    <w:lvl w:ilvl="0" w:tplc="BF9ECC74">
      <w:start w:val="1"/>
      <w:numFmt w:val="decimal"/>
      <w:lvlText w:val="%1."/>
      <w:lvlJc w:val="center"/>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8417A"/>
    <w:multiLevelType w:val="hybridMultilevel"/>
    <w:tmpl w:val="70AA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71B01"/>
    <w:multiLevelType w:val="hybridMultilevel"/>
    <w:tmpl w:val="57EE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F68D5"/>
    <w:multiLevelType w:val="multilevel"/>
    <w:tmpl w:val="17FA35B6"/>
    <w:lvl w:ilvl="0">
      <w:start w:val="1"/>
      <w:numFmt w:val="decimal"/>
      <w:lvlText w:val="%1)"/>
      <w:lvlJc w:val="left"/>
      <w:pPr>
        <w:ind w:left="927" w:hanging="360"/>
      </w:pPr>
    </w:lvl>
    <w:lvl w:ilvl="1">
      <w:start w:val="1"/>
      <w:numFmt w:val="lowerLetter"/>
      <w:lvlText w:val="(%2)"/>
      <w:lvlJc w:val="left"/>
      <w:pPr>
        <w:ind w:left="1287" w:hanging="360"/>
      </w:pPr>
      <w:rPr>
        <w:rFonts w:hint="default"/>
      </w:r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0" w15:restartNumberingAfterBreak="0">
    <w:nsid w:val="2A215CB8"/>
    <w:multiLevelType w:val="hybridMultilevel"/>
    <w:tmpl w:val="DA78BD98"/>
    <w:lvl w:ilvl="0" w:tplc="0E228124">
      <w:start w:val="1"/>
      <w:numFmt w:val="decimal"/>
      <w:lvlText w:val="%1."/>
      <w:lvlJc w:val="left"/>
      <w:pPr>
        <w:ind w:left="990" w:hanging="360"/>
      </w:pPr>
      <w:rPr>
        <w:rFonts w:ascii="Arial" w:hAnsi="Arial" w:cs="Times New Roman" w:hint="default"/>
        <w:b w:val="0"/>
        <w:i w:val="0"/>
        <w:sz w:val="2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1" w15:restartNumberingAfterBreak="0">
    <w:nsid w:val="2BCD230D"/>
    <w:multiLevelType w:val="hybridMultilevel"/>
    <w:tmpl w:val="EC2CFED0"/>
    <w:lvl w:ilvl="0" w:tplc="E31C5C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50675"/>
    <w:multiLevelType w:val="hybridMultilevel"/>
    <w:tmpl w:val="B05ADDA6"/>
    <w:lvl w:ilvl="0" w:tplc="71F06C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46977"/>
    <w:multiLevelType w:val="hybridMultilevel"/>
    <w:tmpl w:val="6D7A5DDE"/>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344BB1"/>
    <w:multiLevelType w:val="hybridMultilevel"/>
    <w:tmpl w:val="EA5419C0"/>
    <w:lvl w:ilvl="0" w:tplc="94CCC94C">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B731019"/>
    <w:multiLevelType w:val="multilevel"/>
    <w:tmpl w:val="74B8144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D82988"/>
    <w:multiLevelType w:val="hybridMultilevel"/>
    <w:tmpl w:val="F124BCB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6A272FD0"/>
    <w:multiLevelType w:val="hybridMultilevel"/>
    <w:tmpl w:val="28661D1A"/>
    <w:lvl w:ilvl="0" w:tplc="E9864D12">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8" w15:restartNumberingAfterBreak="0">
    <w:nsid w:val="7B507067"/>
    <w:multiLevelType w:val="hybridMultilevel"/>
    <w:tmpl w:val="EB581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15"/>
  </w:num>
  <w:num w:numId="4">
    <w:abstractNumId w:val="16"/>
  </w:num>
  <w:num w:numId="5">
    <w:abstractNumId w:val="18"/>
  </w:num>
  <w:num w:numId="6">
    <w:abstractNumId w:val="5"/>
  </w:num>
  <w:num w:numId="7">
    <w:abstractNumId w:val="3"/>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num>
  <w:num w:numId="12">
    <w:abstractNumId w:val="6"/>
  </w:num>
  <w:num w:numId="13">
    <w:abstractNumId w:val="0"/>
  </w:num>
  <w:num w:numId="14">
    <w:abstractNumId w:val="13"/>
  </w:num>
  <w:num w:numId="15">
    <w:abstractNumId w:val="12"/>
  </w:num>
  <w:num w:numId="16">
    <w:abstractNumId w:val="1"/>
  </w:num>
  <w:num w:numId="17">
    <w:abstractNumId w:val="17"/>
  </w:num>
  <w:num w:numId="18">
    <w:abstractNumId w:val="11"/>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34"/>
    <w:rsid w:val="00010CF3"/>
    <w:rsid w:val="00011E27"/>
    <w:rsid w:val="000148BC"/>
    <w:rsid w:val="000231D6"/>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A4601"/>
    <w:rsid w:val="001C1525"/>
    <w:rsid w:val="001D736D"/>
    <w:rsid w:val="001E7310"/>
    <w:rsid w:val="0021332C"/>
    <w:rsid w:val="00213982"/>
    <w:rsid w:val="0024416D"/>
    <w:rsid w:val="00271911"/>
    <w:rsid w:val="00273187"/>
    <w:rsid w:val="002800A0"/>
    <w:rsid w:val="002801B3"/>
    <w:rsid w:val="00281060"/>
    <w:rsid w:val="00285BD0"/>
    <w:rsid w:val="002940E8"/>
    <w:rsid w:val="00294751"/>
    <w:rsid w:val="002A6E50"/>
    <w:rsid w:val="002B4298"/>
    <w:rsid w:val="002B7A36"/>
    <w:rsid w:val="002C256A"/>
    <w:rsid w:val="002D5226"/>
    <w:rsid w:val="002F01D5"/>
    <w:rsid w:val="00305A7F"/>
    <w:rsid w:val="003152FE"/>
    <w:rsid w:val="00327436"/>
    <w:rsid w:val="00344BD6"/>
    <w:rsid w:val="0035528D"/>
    <w:rsid w:val="00361821"/>
    <w:rsid w:val="00361E9E"/>
    <w:rsid w:val="003753EE"/>
    <w:rsid w:val="003A0835"/>
    <w:rsid w:val="003A5AAF"/>
    <w:rsid w:val="003B700A"/>
    <w:rsid w:val="003C7FBE"/>
    <w:rsid w:val="003D227C"/>
    <w:rsid w:val="003D2B4D"/>
    <w:rsid w:val="003F37F5"/>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67C6E"/>
    <w:rsid w:val="00572934"/>
    <w:rsid w:val="00575DE2"/>
    <w:rsid w:val="00576BE4"/>
    <w:rsid w:val="005779DB"/>
    <w:rsid w:val="005A400A"/>
    <w:rsid w:val="005B269D"/>
    <w:rsid w:val="005F7B92"/>
    <w:rsid w:val="00612379"/>
    <w:rsid w:val="006153B6"/>
    <w:rsid w:val="0061555F"/>
    <w:rsid w:val="006245ED"/>
    <w:rsid w:val="00636CA6"/>
    <w:rsid w:val="00641200"/>
    <w:rsid w:val="00645CA8"/>
    <w:rsid w:val="006655D3"/>
    <w:rsid w:val="00667404"/>
    <w:rsid w:val="006730FF"/>
    <w:rsid w:val="00676EFE"/>
    <w:rsid w:val="006868F8"/>
    <w:rsid w:val="00687EB4"/>
    <w:rsid w:val="00695C56"/>
    <w:rsid w:val="006A5CDE"/>
    <w:rsid w:val="006A644A"/>
    <w:rsid w:val="006B17D2"/>
    <w:rsid w:val="006C224E"/>
    <w:rsid w:val="006C59F6"/>
    <w:rsid w:val="006D2371"/>
    <w:rsid w:val="006D780A"/>
    <w:rsid w:val="006F5BEC"/>
    <w:rsid w:val="0071271E"/>
    <w:rsid w:val="00731C96"/>
    <w:rsid w:val="00732DEC"/>
    <w:rsid w:val="00735BD5"/>
    <w:rsid w:val="007451EC"/>
    <w:rsid w:val="00751613"/>
    <w:rsid w:val="00753EE9"/>
    <w:rsid w:val="007546B2"/>
    <w:rsid w:val="00754A78"/>
    <w:rsid w:val="007556F6"/>
    <w:rsid w:val="00760EEF"/>
    <w:rsid w:val="00777EE5"/>
    <w:rsid w:val="00784836"/>
    <w:rsid w:val="0079023E"/>
    <w:rsid w:val="007A2854"/>
    <w:rsid w:val="007C1D92"/>
    <w:rsid w:val="007C4CB9"/>
    <w:rsid w:val="007D0B9D"/>
    <w:rsid w:val="007D19B0"/>
    <w:rsid w:val="007F498F"/>
    <w:rsid w:val="007F7776"/>
    <w:rsid w:val="0080679D"/>
    <w:rsid w:val="008108B0"/>
    <w:rsid w:val="00811B20"/>
    <w:rsid w:val="00812609"/>
    <w:rsid w:val="008211B5"/>
    <w:rsid w:val="0082296E"/>
    <w:rsid w:val="00822FAE"/>
    <w:rsid w:val="00824099"/>
    <w:rsid w:val="00846D7C"/>
    <w:rsid w:val="00867AC1"/>
    <w:rsid w:val="008751DE"/>
    <w:rsid w:val="00890DF8"/>
    <w:rsid w:val="0089232A"/>
    <w:rsid w:val="008A0ADE"/>
    <w:rsid w:val="008A743F"/>
    <w:rsid w:val="008C0970"/>
    <w:rsid w:val="008D0BC5"/>
    <w:rsid w:val="008D2CF7"/>
    <w:rsid w:val="00900C26"/>
    <w:rsid w:val="0090197F"/>
    <w:rsid w:val="00903264"/>
    <w:rsid w:val="00906DDC"/>
    <w:rsid w:val="00934E09"/>
    <w:rsid w:val="00936253"/>
    <w:rsid w:val="00940D46"/>
    <w:rsid w:val="009413F1"/>
    <w:rsid w:val="00952DD4"/>
    <w:rsid w:val="009561F4"/>
    <w:rsid w:val="00965AE7"/>
    <w:rsid w:val="00970FED"/>
    <w:rsid w:val="0099041F"/>
    <w:rsid w:val="00992D82"/>
    <w:rsid w:val="00997029"/>
    <w:rsid w:val="009A7339"/>
    <w:rsid w:val="009B440E"/>
    <w:rsid w:val="009D690D"/>
    <w:rsid w:val="009E65B6"/>
    <w:rsid w:val="009F0A51"/>
    <w:rsid w:val="009F77CF"/>
    <w:rsid w:val="00A24C10"/>
    <w:rsid w:val="00A42AC3"/>
    <w:rsid w:val="00A430CF"/>
    <w:rsid w:val="00A54309"/>
    <w:rsid w:val="00A54A47"/>
    <w:rsid w:val="00A57E90"/>
    <w:rsid w:val="00A610A9"/>
    <w:rsid w:val="00A80F2A"/>
    <w:rsid w:val="00A92D13"/>
    <w:rsid w:val="00A96C33"/>
    <w:rsid w:val="00AA13A2"/>
    <w:rsid w:val="00AB2B93"/>
    <w:rsid w:val="00AB530F"/>
    <w:rsid w:val="00AB7E5B"/>
    <w:rsid w:val="00AC2883"/>
    <w:rsid w:val="00AE0EF1"/>
    <w:rsid w:val="00AE2937"/>
    <w:rsid w:val="00B07301"/>
    <w:rsid w:val="00B11F3E"/>
    <w:rsid w:val="00B14301"/>
    <w:rsid w:val="00B224DE"/>
    <w:rsid w:val="00B27234"/>
    <w:rsid w:val="00B324D4"/>
    <w:rsid w:val="00B46575"/>
    <w:rsid w:val="00B61777"/>
    <w:rsid w:val="00B622E6"/>
    <w:rsid w:val="00B83E82"/>
    <w:rsid w:val="00B84BBD"/>
    <w:rsid w:val="00BA43FB"/>
    <w:rsid w:val="00BC127D"/>
    <w:rsid w:val="00BC1FE6"/>
    <w:rsid w:val="00BD619A"/>
    <w:rsid w:val="00C061B6"/>
    <w:rsid w:val="00C23D1F"/>
    <w:rsid w:val="00C2446C"/>
    <w:rsid w:val="00C36AE5"/>
    <w:rsid w:val="00C41F17"/>
    <w:rsid w:val="00C527FA"/>
    <w:rsid w:val="00C5280D"/>
    <w:rsid w:val="00C53EB3"/>
    <w:rsid w:val="00C5791C"/>
    <w:rsid w:val="00C66290"/>
    <w:rsid w:val="00C72B7A"/>
    <w:rsid w:val="00C973F2"/>
    <w:rsid w:val="00CA304C"/>
    <w:rsid w:val="00CA774A"/>
    <w:rsid w:val="00CA7B7A"/>
    <w:rsid w:val="00CB4921"/>
    <w:rsid w:val="00CB693D"/>
    <w:rsid w:val="00CC11B0"/>
    <w:rsid w:val="00CC2841"/>
    <w:rsid w:val="00CF1330"/>
    <w:rsid w:val="00CF7E36"/>
    <w:rsid w:val="00D3708D"/>
    <w:rsid w:val="00D40426"/>
    <w:rsid w:val="00D52F5C"/>
    <w:rsid w:val="00D57C96"/>
    <w:rsid w:val="00D57D18"/>
    <w:rsid w:val="00D70E65"/>
    <w:rsid w:val="00D91203"/>
    <w:rsid w:val="00D95174"/>
    <w:rsid w:val="00DA4973"/>
    <w:rsid w:val="00DA6F36"/>
    <w:rsid w:val="00DB596E"/>
    <w:rsid w:val="00DB5B81"/>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E34DF"/>
    <w:rsid w:val="00EF2F89"/>
    <w:rsid w:val="00EF6D30"/>
    <w:rsid w:val="00F03E98"/>
    <w:rsid w:val="00F1237A"/>
    <w:rsid w:val="00F22CBD"/>
    <w:rsid w:val="00F272F1"/>
    <w:rsid w:val="00F31412"/>
    <w:rsid w:val="00F45372"/>
    <w:rsid w:val="00F560F7"/>
    <w:rsid w:val="00F6334D"/>
    <w:rsid w:val="00F63599"/>
    <w:rsid w:val="00F71781"/>
    <w:rsid w:val="00F929F5"/>
    <w:rsid w:val="00FA49AB"/>
    <w:rsid w:val="00FB3919"/>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D5F1204-87AF-40BA-9A30-B439CDF8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unhideWhenUsed/>
    <w:qFormat/>
    <w:rsid w:val="002F01D5"/>
    <w:pPr>
      <w:keepNext/>
      <w:keepLines/>
      <w:ind w:left="567"/>
      <w:outlineLvl w:val="5"/>
    </w:pPr>
    <w:rPr>
      <w:rFonts w:eastAsiaTheme="majorEastAsia" w:cstheme="majorBid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1E7310"/>
    <w:pPr>
      <w:tabs>
        <w:tab w:val="right" w:leader="dot" w:pos="9639"/>
      </w:tabs>
      <w:spacing w:before="120" w:after="120"/>
      <w:ind w:left="567" w:right="851" w:hanging="284"/>
    </w:pPr>
    <w:rPr>
      <w:rFonts w:ascii="Arial" w:hAnsi="Arial"/>
      <w:smallCaps/>
      <w:noProof/>
    </w:rPr>
  </w:style>
  <w:style w:type="paragraph" w:styleId="TOC3">
    <w:name w:val="toc 3"/>
    <w:next w:val="Normal"/>
    <w:autoRedefine/>
    <w:uiPriority w:val="39"/>
    <w:rsid w:val="0099041F"/>
    <w:pPr>
      <w:tabs>
        <w:tab w:val="right" w:leader="dot" w:pos="9639"/>
      </w:tabs>
      <w:spacing w:after="120"/>
      <w:ind w:left="567" w:right="851"/>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99041F"/>
    <w:pPr>
      <w:tabs>
        <w:tab w:val="right" w:leader="dot" w:pos="9639"/>
      </w:tabs>
      <w:spacing w:after="120"/>
      <w:ind w:left="1135" w:right="851" w:hanging="284"/>
      <w:contextualSpacing/>
    </w:pPr>
    <w:rPr>
      <w:rFonts w:ascii="Arial" w:hAnsi="Arial"/>
      <w:noProof/>
      <w:sz w:val="18"/>
    </w:rPr>
  </w:style>
  <w:style w:type="paragraph" w:styleId="TOC1">
    <w:name w:val="toc 1"/>
    <w:next w:val="Normal"/>
    <w:autoRedefine/>
    <w:uiPriority w:val="39"/>
    <w:rsid w:val="0099041F"/>
    <w:pPr>
      <w:tabs>
        <w:tab w:val="right" w:leader="dot" w:pos="9639"/>
      </w:tabs>
      <w:spacing w:before="120" w:after="240"/>
      <w:ind w:left="567" w:hanging="567"/>
    </w:pPr>
    <w:rPr>
      <w:rFonts w:ascii="Arial" w:hAnsi="Arial"/>
      <w:b/>
      <w:caps/>
      <w:noProof/>
    </w:rPr>
  </w:style>
  <w:style w:type="paragraph" w:styleId="TOC5">
    <w:name w:val="toc 5"/>
    <w:next w:val="Normal"/>
    <w:autoRedefine/>
    <w:uiPriority w:val="39"/>
    <w:rsid w:val="0099041F"/>
    <w:pPr>
      <w:tabs>
        <w:tab w:val="right" w:leader="dot" w:pos="9639"/>
      </w:tabs>
      <w:spacing w:after="120"/>
      <w:ind w:left="1701" w:right="851" w:hanging="567"/>
      <w:contextualSpacing/>
      <w:jc w:val="both"/>
    </w:pPr>
    <w:rPr>
      <w:rFonts w:ascii="Arial" w:hAnsi="Arial"/>
      <w:noProof/>
      <w:sz w:val="18"/>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2F01D5"/>
    <w:rPr>
      <w:rFonts w:ascii="Arial" w:eastAsiaTheme="majorEastAsia" w:hAnsi="Arial" w:cstheme="majorBidi"/>
    </w:rPr>
  </w:style>
  <w:style w:type="paragraph" w:styleId="TOC6">
    <w:name w:val="toc 6"/>
    <w:basedOn w:val="Normal"/>
    <w:next w:val="Normal"/>
    <w:autoRedefine/>
    <w:uiPriority w:val="39"/>
    <w:unhideWhenUsed/>
    <w:rsid w:val="00A92D13"/>
    <w:pPr>
      <w:tabs>
        <w:tab w:val="right" w:leader="dot" w:pos="9629"/>
      </w:tabs>
      <w:spacing w:after="120"/>
      <w:ind w:left="1701"/>
      <w:contextualSpacing/>
    </w:pPr>
    <w:rPr>
      <w:i/>
      <w:noProof/>
      <w:sz w:val="18"/>
    </w:rPr>
  </w:style>
  <w:style w:type="character" w:customStyle="1" w:styleId="Heading1Char">
    <w:name w:val="Heading 1 Char"/>
    <w:basedOn w:val="DefaultParagraphFont"/>
    <w:link w:val="Heading1"/>
    <w:rsid w:val="00731C96"/>
    <w:rPr>
      <w:rFonts w:ascii="Arial" w:hAnsi="Arial"/>
      <w:caps/>
    </w:rPr>
  </w:style>
  <w:style w:type="character" w:customStyle="1" w:styleId="Heading2Char">
    <w:name w:val="Heading 2 Char"/>
    <w:basedOn w:val="DefaultParagraphFont"/>
    <w:link w:val="Heading2"/>
    <w:rsid w:val="00731C96"/>
    <w:rPr>
      <w:rFonts w:ascii="Arial" w:hAnsi="Arial"/>
      <w:u w:val="single"/>
    </w:rPr>
  </w:style>
  <w:style w:type="character" w:customStyle="1" w:styleId="Heading3Char">
    <w:name w:val="Heading 3 Char"/>
    <w:basedOn w:val="DefaultParagraphFont"/>
    <w:link w:val="Heading3"/>
    <w:rsid w:val="00731C96"/>
    <w:rPr>
      <w:rFonts w:ascii="Arial" w:hAnsi="Arial"/>
      <w:i/>
    </w:rPr>
  </w:style>
  <w:style w:type="character" w:customStyle="1" w:styleId="Heading4Char">
    <w:name w:val="Heading 4 Char"/>
    <w:basedOn w:val="DefaultParagraphFont"/>
    <w:link w:val="Heading4"/>
    <w:rsid w:val="00731C96"/>
    <w:rPr>
      <w:rFonts w:ascii="Arial" w:hAnsi="Arial"/>
      <w:u w:val="single"/>
      <w:lang w:val="fr-FR"/>
    </w:rPr>
  </w:style>
  <w:style w:type="character" w:customStyle="1" w:styleId="Heading5Char">
    <w:name w:val="Heading 5 Char"/>
    <w:basedOn w:val="DefaultParagraphFont"/>
    <w:link w:val="Heading5"/>
    <w:rsid w:val="00731C96"/>
    <w:rPr>
      <w:rFonts w:ascii="Arial" w:hAnsi="Arial"/>
      <w:i/>
    </w:rPr>
  </w:style>
  <w:style w:type="character" w:customStyle="1" w:styleId="Heading9Char">
    <w:name w:val="Heading 9 Char"/>
    <w:basedOn w:val="DefaultParagraphFont"/>
    <w:link w:val="Heading9"/>
    <w:rsid w:val="00731C96"/>
    <w:rPr>
      <w:rFonts w:ascii="Arial" w:hAnsi="Arial"/>
      <w:i/>
      <w:sz w:val="18"/>
    </w:rPr>
  </w:style>
  <w:style w:type="character" w:customStyle="1" w:styleId="HeaderChar">
    <w:name w:val="Header Char"/>
    <w:basedOn w:val="DefaultParagraphFont"/>
    <w:link w:val="Header"/>
    <w:rsid w:val="00731C96"/>
    <w:rPr>
      <w:rFonts w:ascii="Arial" w:hAnsi="Arial"/>
      <w:lang w:val="fr-FR"/>
    </w:rPr>
  </w:style>
  <w:style w:type="character" w:customStyle="1" w:styleId="FooterChar">
    <w:name w:val="Footer Char"/>
    <w:aliases w:val="doc_path_name Char"/>
    <w:basedOn w:val="DefaultParagraphFont"/>
    <w:link w:val="Footer"/>
    <w:rsid w:val="00731C96"/>
    <w:rPr>
      <w:rFonts w:ascii="Arial" w:hAnsi="Arial"/>
      <w:sz w:val="14"/>
    </w:rPr>
  </w:style>
  <w:style w:type="character" w:customStyle="1" w:styleId="TitleChar">
    <w:name w:val="Title Char"/>
    <w:basedOn w:val="DefaultParagraphFont"/>
    <w:link w:val="Title"/>
    <w:rsid w:val="00731C96"/>
    <w:rPr>
      <w:rFonts w:ascii="Arial" w:hAnsi="Arial"/>
      <w:b/>
      <w:caps/>
      <w:kern w:val="28"/>
      <w:sz w:val="30"/>
    </w:rPr>
  </w:style>
  <w:style w:type="character" w:customStyle="1" w:styleId="FootnoteTextChar">
    <w:name w:val="Footnote Text Char"/>
    <w:basedOn w:val="DefaultParagraphFont"/>
    <w:link w:val="FootnoteText"/>
    <w:rsid w:val="00731C96"/>
    <w:rPr>
      <w:rFonts w:ascii="Arial" w:hAnsi="Arial"/>
      <w:sz w:val="16"/>
    </w:rPr>
  </w:style>
  <w:style w:type="character" w:customStyle="1" w:styleId="ClosingChar">
    <w:name w:val="Closing Char"/>
    <w:basedOn w:val="DefaultParagraphFont"/>
    <w:link w:val="Closing"/>
    <w:rsid w:val="00731C96"/>
    <w:rPr>
      <w:rFonts w:ascii="Arial" w:hAnsi="Arial"/>
    </w:rPr>
  </w:style>
  <w:style w:type="character" w:customStyle="1" w:styleId="MacroTextChar">
    <w:name w:val="Macro Text Char"/>
    <w:basedOn w:val="DefaultParagraphFont"/>
    <w:link w:val="MacroText"/>
    <w:semiHidden/>
    <w:rsid w:val="00731C96"/>
    <w:rPr>
      <w:rFonts w:ascii="Courier New" w:hAnsi="Courier New"/>
      <w:sz w:val="16"/>
    </w:rPr>
  </w:style>
  <w:style w:type="character" w:customStyle="1" w:styleId="SignatureChar">
    <w:name w:val="Signature Char"/>
    <w:basedOn w:val="DefaultParagraphFont"/>
    <w:link w:val="Signature"/>
    <w:rsid w:val="00731C96"/>
    <w:rPr>
      <w:rFonts w:ascii="Arial" w:hAnsi="Arial"/>
    </w:rPr>
  </w:style>
  <w:style w:type="character" w:customStyle="1" w:styleId="BodyTextChar">
    <w:name w:val="Body Text Char"/>
    <w:basedOn w:val="DefaultParagraphFont"/>
    <w:link w:val="BodyText"/>
    <w:rsid w:val="00731C96"/>
    <w:rPr>
      <w:rFonts w:ascii="Arial" w:hAnsi="Arial"/>
    </w:rPr>
  </w:style>
  <w:style w:type="character" w:customStyle="1" w:styleId="EndnoteTextChar">
    <w:name w:val="Endnote Text Char"/>
    <w:basedOn w:val="DefaultParagraphFont"/>
    <w:link w:val="EndnoteText"/>
    <w:semiHidden/>
    <w:rsid w:val="00731C96"/>
    <w:rPr>
      <w:rFonts w:ascii="Arial" w:hAnsi="Arial"/>
    </w:rPr>
  </w:style>
  <w:style w:type="character" w:customStyle="1" w:styleId="DateChar">
    <w:name w:val="Date Char"/>
    <w:basedOn w:val="DefaultParagraphFont"/>
    <w:link w:val="Date"/>
    <w:semiHidden/>
    <w:rsid w:val="00731C96"/>
    <w:rPr>
      <w:rFonts w:ascii="Arial" w:hAnsi="Arial"/>
      <w:b/>
      <w:sz w:val="22"/>
    </w:rPr>
  </w:style>
  <w:style w:type="table" w:styleId="TableGrid">
    <w:name w:val="Table Grid"/>
    <w:basedOn w:val="TableNormal"/>
    <w:rsid w:val="00731C96"/>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1C96"/>
    <w:pPr>
      <w:ind w:left="720"/>
      <w:contextualSpacing/>
    </w:pPr>
  </w:style>
  <w:style w:type="paragraph" w:customStyle="1" w:styleId="Default">
    <w:name w:val="Default"/>
    <w:rsid w:val="00731C96"/>
    <w:pPr>
      <w:autoSpaceDE w:val="0"/>
      <w:autoSpaceDN w:val="0"/>
      <w:adjustRightInd w:val="0"/>
    </w:pPr>
    <w:rPr>
      <w:rFonts w:ascii="Arial" w:hAnsi="Arial" w:cs="Arial"/>
      <w:color w:val="000000"/>
      <w:sz w:val="24"/>
      <w:szCs w:val="24"/>
    </w:rPr>
  </w:style>
  <w:style w:type="paragraph" w:customStyle="1" w:styleId="annexiparanumbered">
    <w:name w:val="annex_i_para_numbered"/>
    <w:basedOn w:val="ListParagraph"/>
    <w:qFormat/>
    <w:rsid w:val="00731C96"/>
    <w:pPr>
      <w:numPr>
        <w:numId w:val="14"/>
      </w:numPr>
    </w:pPr>
  </w:style>
  <w:style w:type="paragraph" w:styleId="TOCHeading">
    <w:name w:val="TOC Heading"/>
    <w:basedOn w:val="Heading1"/>
    <w:next w:val="Normal"/>
    <w:uiPriority w:val="39"/>
    <w:unhideWhenUsed/>
    <w:qFormat/>
    <w:rsid w:val="00731C96"/>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paragraph" w:styleId="TOC9">
    <w:name w:val="toc 9"/>
    <w:basedOn w:val="Normal"/>
    <w:next w:val="Normal"/>
    <w:autoRedefine/>
    <w:uiPriority w:val="39"/>
    <w:unhideWhenUsed/>
    <w:rsid w:val="00731C96"/>
    <w:pPr>
      <w:ind w:left="1600"/>
      <w:jc w:val="left"/>
    </w:pPr>
    <w:rPr>
      <w:rFonts w:asciiTheme="minorHAnsi" w:hAnsiTheme="minorHAnsi" w:cstheme="minorHAnsi"/>
      <w:sz w:val="18"/>
      <w:szCs w:val="18"/>
    </w:rPr>
  </w:style>
  <w:style w:type="paragraph" w:styleId="TOC7">
    <w:name w:val="toc 7"/>
    <w:basedOn w:val="Normal"/>
    <w:next w:val="Normal"/>
    <w:autoRedefine/>
    <w:unhideWhenUsed/>
    <w:rsid w:val="00731C96"/>
    <w:pPr>
      <w:ind w:left="1200"/>
      <w:jc w:val="left"/>
    </w:pPr>
    <w:rPr>
      <w:rFonts w:asciiTheme="minorHAnsi" w:hAnsiTheme="minorHAnsi" w:cstheme="minorHAnsi"/>
      <w:sz w:val="18"/>
      <w:szCs w:val="18"/>
    </w:rPr>
  </w:style>
  <w:style w:type="paragraph" w:styleId="TOC8">
    <w:name w:val="toc 8"/>
    <w:basedOn w:val="Normal"/>
    <w:next w:val="Normal"/>
    <w:autoRedefine/>
    <w:unhideWhenUsed/>
    <w:rsid w:val="00731C96"/>
    <w:pPr>
      <w:ind w:left="1400"/>
      <w:jc w:val="left"/>
    </w:pPr>
    <w:rPr>
      <w:rFonts w:asciiTheme="minorHAnsi" w:hAnsiTheme="minorHAnsi" w:cstheme="minorHAnsi"/>
      <w:sz w:val="18"/>
      <w:szCs w:val="18"/>
    </w:rPr>
  </w:style>
  <w:style w:type="character" w:styleId="CommentReference">
    <w:name w:val="annotation reference"/>
    <w:basedOn w:val="DefaultParagraphFont"/>
    <w:semiHidden/>
    <w:unhideWhenUsed/>
    <w:rsid w:val="00731C96"/>
    <w:rPr>
      <w:sz w:val="16"/>
      <w:szCs w:val="16"/>
    </w:rPr>
  </w:style>
  <w:style w:type="paragraph" w:styleId="CommentText">
    <w:name w:val="annotation text"/>
    <w:basedOn w:val="Normal"/>
    <w:link w:val="CommentTextChar"/>
    <w:semiHidden/>
    <w:unhideWhenUsed/>
    <w:rsid w:val="00731C96"/>
  </w:style>
  <w:style w:type="character" w:customStyle="1" w:styleId="CommentTextChar">
    <w:name w:val="Comment Text Char"/>
    <w:basedOn w:val="DefaultParagraphFont"/>
    <w:link w:val="CommentText"/>
    <w:semiHidden/>
    <w:rsid w:val="00731C96"/>
    <w:rPr>
      <w:rFonts w:ascii="Arial" w:hAnsi="Arial"/>
    </w:rPr>
  </w:style>
  <w:style w:type="character" w:styleId="FollowedHyperlink">
    <w:name w:val="FollowedHyperlink"/>
    <w:basedOn w:val="DefaultParagraphFont"/>
    <w:semiHidden/>
    <w:unhideWhenUsed/>
    <w:rsid w:val="00731C96"/>
    <w:rPr>
      <w:color w:val="800080" w:themeColor="followedHyperlink"/>
      <w:u w:val="single"/>
    </w:rPr>
  </w:style>
  <w:style w:type="paragraph" w:styleId="Revision">
    <w:name w:val="Revision"/>
    <w:hidden/>
    <w:uiPriority w:val="99"/>
    <w:semiHidden/>
    <w:rsid w:val="00731C96"/>
    <w:rPr>
      <w:rFonts w:ascii="Arial" w:hAnsi="Arial"/>
    </w:rPr>
  </w:style>
  <w:style w:type="paragraph" w:styleId="CommentSubject">
    <w:name w:val="annotation subject"/>
    <w:basedOn w:val="CommentText"/>
    <w:next w:val="CommentText"/>
    <w:link w:val="CommentSubjectChar"/>
    <w:semiHidden/>
    <w:unhideWhenUsed/>
    <w:rsid w:val="00731C96"/>
    <w:rPr>
      <w:b/>
      <w:bCs/>
    </w:rPr>
  </w:style>
  <w:style w:type="character" w:customStyle="1" w:styleId="CommentSubjectChar">
    <w:name w:val="Comment Subject Char"/>
    <w:basedOn w:val="CommentTextChar"/>
    <w:link w:val="CommentSubject"/>
    <w:semiHidden/>
    <w:rsid w:val="00731C9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about/en/faq.html"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pov.int/edocs/infdocs/en/upov_inf_15.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6%20(2022)\templates\routing_slip_with_doc_c_5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15DDF-041F-4EA4-A8AA-91F93F7B8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routing_slip_with_doc_c_56.dotm</Template>
  <TotalTime>62</TotalTime>
  <Pages>14</Pages>
  <Words>5004</Words>
  <Characters>29129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C/56/10</vt:lpstr>
    </vt:vector>
  </TitlesOfParts>
  <Company>UPOV</Company>
  <LinksUpToDate>false</LinksUpToDate>
  <CharactersWithSpaces>34065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C/56/10</dc:title>
  <dc:creator>SANCHEZ VIZCAINO GOMEZ Rosa Maria</dc:creator>
  <cp:lastModifiedBy>SANCHEZ VIZCAINO GOMEZ Rosa Maria</cp:lastModifiedBy>
  <cp:revision>12</cp:revision>
  <cp:lastPrinted>2016-11-22T15:41:00Z</cp:lastPrinted>
  <dcterms:created xsi:type="dcterms:W3CDTF">2022-10-24T09:03:00Z</dcterms:created>
  <dcterms:modified xsi:type="dcterms:W3CDTF">2022-10-27T19:35:00Z</dcterms:modified>
</cp:coreProperties>
</file>