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BF627CE" w14:textId="77777777" w:rsidTr="00EB4E9C">
        <w:tc>
          <w:tcPr>
            <w:tcW w:w="6522" w:type="dxa"/>
          </w:tcPr>
          <w:p w14:paraId="7A548C0F" w14:textId="77777777"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88E08D9" w14:textId="77777777" w:rsidR="00DC3802" w:rsidRPr="007C1D92" w:rsidRDefault="00DC3802" w:rsidP="00AC2883">
            <w:pPr>
              <w:pStyle w:val="Lettrine"/>
            </w:pPr>
            <w:r w:rsidRPr="00172084">
              <w:t>E</w:t>
            </w:r>
          </w:p>
        </w:tc>
      </w:tr>
      <w:tr w:rsidR="00DC3802" w:rsidRPr="00DA4973" w14:paraId="4A25E96B" w14:textId="77777777" w:rsidTr="00645CA8">
        <w:trPr>
          <w:trHeight w:val="219"/>
        </w:trPr>
        <w:tc>
          <w:tcPr>
            <w:tcW w:w="6522" w:type="dxa"/>
          </w:tcPr>
          <w:p w14:paraId="4D61BB70" w14:textId="77777777" w:rsidR="00DC3802" w:rsidRPr="00AC2883" w:rsidRDefault="00DC3802" w:rsidP="00AC2883">
            <w:pPr>
              <w:pStyle w:val="upove"/>
            </w:pPr>
            <w:r w:rsidRPr="00AC2883">
              <w:t>International Union for the Protection of New Varieties of Plants</w:t>
            </w:r>
          </w:p>
        </w:tc>
        <w:tc>
          <w:tcPr>
            <w:tcW w:w="3117" w:type="dxa"/>
          </w:tcPr>
          <w:p w14:paraId="39609AF8" w14:textId="77777777" w:rsidR="00DC3802" w:rsidRPr="00DA4973" w:rsidRDefault="00DC3802" w:rsidP="00DA4973"/>
        </w:tc>
      </w:tr>
    </w:tbl>
    <w:p w14:paraId="2B789918" w14:textId="77777777" w:rsidR="00DC3802" w:rsidRDefault="00DC3802" w:rsidP="00DC3802"/>
    <w:p w14:paraId="4C9604C9" w14:textId="77777777"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14:paraId="23EEEF3D" w14:textId="77777777" w:rsidTr="00E03390">
        <w:tc>
          <w:tcPr>
            <w:tcW w:w="6512" w:type="dxa"/>
            <w:tcBorders>
              <w:bottom w:val="single" w:sz="4" w:space="0" w:color="auto"/>
            </w:tcBorders>
          </w:tcPr>
          <w:p w14:paraId="32426F68" w14:textId="6EEB9240" w:rsidR="001D736D" w:rsidRPr="00E6080D" w:rsidRDefault="001D736D" w:rsidP="008F07B7">
            <w:pPr>
              <w:pStyle w:val="Sessiontc"/>
              <w:spacing w:line="240" w:lineRule="auto"/>
            </w:pPr>
            <w:r w:rsidRPr="00E6080D">
              <w:t>Council</w:t>
            </w:r>
          </w:p>
          <w:p w14:paraId="39B8C133" w14:textId="77777777" w:rsidR="001D736D" w:rsidRPr="00E6080D" w:rsidRDefault="001D736D" w:rsidP="008F07B7">
            <w:pPr>
              <w:pStyle w:val="Sessiontcplacedate"/>
              <w:rPr>
                <w:sz w:val="22"/>
              </w:rPr>
            </w:pPr>
            <w:r w:rsidRPr="00E6080D">
              <w:t>Fifty-Fifth Ordinary Session</w:t>
            </w:r>
            <w:r w:rsidRPr="00E6080D">
              <w:br/>
              <w:t>Geneva, October 29, 2021</w:t>
            </w:r>
          </w:p>
        </w:tc>
        <w:tc>
          <w:tcPr>
            <w:tcW w:w="3127" w:type="dxa"/>
            <w:tcBorders>
              <w:bottom w:val="single" w:sz="4" w:space="0" w:color="auto"/>
            </w:tcBorders>
          </w:tcPr>
          <w:p w14:paraId="7FD881E3" w14:textId="6D5A6D18" w:rsidR="001D736D" w:rsidRPr="00E6080D" w:rsidRDefault="006E3EDA" w:rsidP="008F07B7">
            <w:pPr>
              <w:pStyle w:val="Doccode"/>
            </w:pPr>
            <w:r>
              <w:t>C/55/4 Rev.</w:t>
            </w:r>
          </w:p>
          <w:p w14:paraId="2FFBE2CB" w14:textId="77777777" w:rsidR="001D736D" w:rsidRPr="00E6080D" w:rsidRDefault="001D736D" w:rsidP="008F07B7">
            <w:pPr>
              <w:pStyle w:val="Docoriginal"/>
            </w:pPr>
            <w:r w:rsidRPr="00E6080D">
              <w:t>Original:</w:t>
            </w:r>
            <w:r w:rsidRPr="00E6080D">
              <w:rPr>
                <w:b w:val="0"/>
                <w:spacing w:val="0"/>
              </w:rPr>
              <w:t xml:space="preserve">  English</w:t>
            </w:r>
          </w:p>
          <w:p w14:paraId="6D384D00" w14:textId="25F56B5F" w:rsidR="001D736D" w:rsidRPr="007C1D92" w:rsidRDefault="001D736D">
            <w:pPr>
              <w:pStyle w:val="Docoriginal"/>
            </w:pPr>
            <w:r w:rsidRPr="00E6080D">
              <w:t>Date:</w:t>
            </w:r>
            <w:r w:rsidRPr="00E6080D">
              <w:rPr>
                <w:b w:val="0"/>
                <w:spacing w:val="0"/>
              </w:rPr>
              <w:t xml:space="preserve">  </w:t>
            </w:r>
            <w:r w:rsidR="006E3EDA">
              <w:rPr>
                <w:b w:val="0"/>
                <w:spacing w:val="0"/>
              </w:rPr>
              <w:t>September 21</w:t>
            </w:r>
            <w:r w:rsidRPr="00E6080D">
              <w:rPr>
                <w:b w:val="0"/>
                <w:spacing w:val="0"/>
              </w:rPr>
              <w:t>, 20</w:t>
            </w:r>
            <w:r w:rsidR="00E6080D" w:rsidRPr="00E6080D">
              <w:rPr>
                <w:b w:val="0"/>
                <w:spacing w:val="0"/>
              </w:rPr>
              <w:t>21</w:t>
            </w:r>
          </w:p>
        </w:tc>
      </w:tr>
    </w:tbl>
    <w:p w14:paraId="205CC2EA" w14:textId="7ACB4A05" w:rsidR="001D736D" w:rsidRPr="006A644A" w:rsidRDefault="004C4FC6" w:rsidP="001D736D">
      <w:pPr>
        <w:pStyle w:val="Titleofdoc0"/>
      </w:pPr>
      <w:r w:rsidRPr="004C4FC6">
        <w:t>Program and Budget for the 2022-2023 Biennium</w:t>
      </w:r>
    </w:p>
    <w:p w14:paraId="21AE56FD" w14:textId="42A53734" w:rsidR="001D736D" w:rsidRDefault="006E3EDA" w:rsidP="001D736D">
      <w:pPr>
        <w:pStyle w:val="preparedby1"/>
        <w:jc w:val="left"/>
      </w:pPr>
      <w:r>
        <w:t>adopted by the Council by correspondence</w:t>
      </w:r>
    </w:p>
    <w:p w14:paraId="57439371" w14:textId="77777777" w:rsidR="00A45684" w:rsidRPr="006A644A" w:rsidRDefault="00A45684" w:rsidP="001D736D">
      <w:pPr>
        <w:pStyle w:val="preparedby1"/>
        <w:jc w:val="left"/>
      </w:pPr>
    </w:p>
    <w:p w14:paraId="7B4B7828" w14:textId="5CF992C7" w:rsidR="006E3EDA" w:rsidRDefault="006E3EDA" w:rsidP="006E3EDA">
      <w:r>
        <w:fldChar w:fldCharType="begin"/>
      </w:r>
      <w:r>
        <w:instrText xml:space="preserve"> AUTONUM  </w:instrText>
      </w:r>
      <w:r>
        <w:fldChar w:fldCharType="end"/>
      </w:r>
      <w:r>
        <w:tab/>
        <w:t xml:space="preserve">On September 21, 2021, </w:t>
      </w:r>
      <w:r w:rsidRPr="006E3EDA">
        <w:t>in accordance with the procedure</w:t>
      </w:r>
      <w:r>
        <w:t xml:space="preserve"> adopted by the Council in 2021, the Council adopted by correspondence the proposals contained in the Draft Program and Budget for the 2022-2023 Biennium, as presented in the Annex to document C/55/4, including the amount of contributions from members of the Union, the proposed maximum ceiling of expenditure in the regular budget, and the total number of posts for the Office of the Union (see document C/55/12 “Outcome of the consideration of documents by correspondence</w:t>
      </w:r>
      <w:r w:rsidR="00F96120">
        <w:t>”</w:t>
      </w:r>
      <w:r>
        <w:t>, paragraphs 11and 29).</w:t>
      </w:r>
    </w:p>
    <w:p w14:paraId="194D88F3" w14:textId="77777777" w:rsidR="006E3EDA" w:rsidRDefault="006E3EDA" w:rsidP="006E3EDA"/>
    <w:p w14:paraId="4E8B93D7" w14:textId="7C3EA5C8" w:rsidR="006E3EDA" w:rsidRPr="00DD6106" w:rsidRDefault="006E3EDA" w:rsidP="006E3EDA">
      <w:r>
        <w:fldChar w:fldCharType="begin"/>
      </w:r>
      <w:r>
        <w:instrText xml:space="preserve"> AUTONUM  </w:instrText>
      </w:r>
      <w:r>
        <w:fldChar w:fldCharType="end"/>
      </w:r>
      <w:r>
        <w:tab/>
        <w:t>The Annex to this document contains the Program and Budget for the 2022-2023 Biennium, as adopted by the Council.</w:t>
      </w:r>
    </w:p>
    <w:p w14:paraId="693483E4" w14:textId="3A97746F" w:rsidR="0090485B" w:rsidRDefault="0090485B" w:rsidP="0090485B">
      <w:pPr>
        <w:autoSpaceDE w:val="0"/>
        <w:autoSpaceDN w:val="0"/>
        <w:adjustRightInd w:val="0"/>
        <w:rPr>
          <w:rFonts w:cs="Arial"/>
          <w:szCs w:val="19"/>
        </w:rPr>
      </w:pPr>
    </w:p>
    <w:p w14:paraId="5F5AA063" w14:textId="77777777" w:rsidR="00E6080D" w:rsidRDefault="00E6080D" w:rsidP="0090485B">
      <w:pPr>
        <w:autoSpaceDE w:val="0"/>
        <w:autoSpaceDN w:val="0"/>
        <w:adjustRightInd w:val="0"/>
        <w:rPr>
          <w:rFonts w:cs="Arial"/>
          <w:szCs w:val="19"/>
        </w:rPr>
      </w:pPr>
    </w:p>
    <w:p w14:paraId="601C5F86" w14:textId="0227EB97" w:rsidR="00E6080D" w:rsidRDefault="00E6080D" w:rsidP="0090485B">
      <w:pPr>
        <w:autoSpaceDE w:val="0"/>
        <w:autoSpaceDN w:val="0"/>
        <w:adjustRightInd w:val="0"/>
        <w:rPr>
          <w:rFonts w:cs="Arial"/>
          <w:szCs w:val="19"/>
        </w:rPr>
      </w:pPr>
    </w:p>
    <w:p w14:paraId="5085A9D1" w14:textId="2A5B198A" w:rsidR="00E6080D" w:rsidRDefault="00E6080D" w:rsidP="00E6080D">
      <w:pPr>
        <w:autoSpaceDE w:val="0"/>
        <w:autoSpaceDN w:val="0"/>
        <w:adjustRightInd w:val="0"/>
        <w:jc w:val="right"/>
        <w:rPr>
          <w:rFonts w:cs="Arial"/>
          <w:szCs w:val="19"/>
        </w:rPr>
      </w:pPr>
      <w:r>
        <w:rPr>
          <w:rFonts w:cs="Arial"/>
          <w:szCs w:val="19"/>
        </w:rPr>
        <w:t>[Annex follows]</w:t>
      </w:r>
    </w:p>
    <w:p w14:paraId="1482213E" w14:textId="77777777" w:rsidR="0090485B" w:rsidRPr="00421986" w:rsidRDefault="0090485B" w:rsidP="0090485B"/>
    <w:p w14:paraId="7FFF4F69" w14:textId="77777777" w:rsidR="0090485B" w:rsidRPr="00421986" w:rsidRDefault="0090485B" w:rsidP="0090485B">
      <w:pPr>
        <w:jc w:val="left"/>
        <w:sectPr w:rsidR="0090485B" w:rsidRPr="00421986" w:rsidSect="009651FA">
          <w:headerReference w:type="default" r:id="rId9"/>
          <w:pgSz w:w="11907" w:h="16840" w:code="9"/>
          <w:pgMar w:top="510" w:right="1134" w:bottom="1134" w:left="1134" w:header="510" w:footer="680" w:gutter="0"/>
          <w:pgNumType w:start="1"/>
          <w:cols w:space="720"/>
          <w:titlePg/>
          <w:docGrid w:linePitch="272"/>
        </w:sectPr>
      </w:pPr>
    </w:p>
    <w:p w14:paraId="2CB2B7E1" w14:textId="1D640413" w:rsidR="0090485B" w:rsidRPr="008B40C0" w:rsidRDefault="0090485B" w:rsidP="00E6080D">
      <w:pPr>
        <w:pStyle w:val="Titleofdoc0"/>
        <w:spacing w:before="0" w:after="0"/>
        <w:jc w:val="center"/>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8B40C0">
        <w:rPr>
          <w:caps w:val="0"/>
          <w:color w:val="194C33" w:themeColor="accent1" w:themeShade="80"/>
          <w:sz w:val="32"/>
          <w:szCs w:val="32"/>
        </w:rPr>
        <w:lastRenderedPageBreak/>
        <w:t xml:space="preserve">Program and Budget </w:t>
      </w:r>
      <w:r>
        <w:rPr>
          <w:caps w:val="0"/>
          <w:color w:val="194C33" w:themeColor="accent1" w:themeShade="80"/>
          <w:sz w:val="32"/>
          <w:szCs w:val="32"/>
        </w:rPr>
        <w:t>2022</w:t>
      </w:r>
      <w:r>
        <w:rPr>
          <w:caps w:val="0"/>
          <w:color w:val="194C33" w:themeColor="accent1" w:themeShade="80"/>
          <w:sz w:val="32"/>
          <w:szCs w:val="32"/>
        </w:rPr>
        <w:noBreakHyphen/>
        <w:t>2023</w:t>
      </w:r>
    </w:p>
    <w:p w14:paraId="5F44EE4E" w14:textId="77777777" w:rsidR="0090485B" w:rsidRDefault="0090485B" w:rsidP="0090485B">
      <w:pPr>
        <w:jc w:val="left"/>
      </w:pPr>
    </w:p>
    <w:sdt>
      <w:sdtPr>
        <w:rPr>
          <w:b/>
          <w:bCs/>
        </w:rPr>
        <w:id w:val="-1719118402"/>
        <w:docPartObj>
          <w:docPartGallery w:val="Table of Contents"/>
          <w:docPartUnique/>
        </w:docPartObj>
      </w:sdtPr>
      <w:sdtEndPr>
        <w:rPr>
          <w:b w:val="0"/>
          <w:bCs w:val="0"/>
          <w:noProof/>
        </w:rPr>
      </w:sdtEndPr>
      <w:sdtContent>
        <w:p w14:paraId="72770FAF" w14:textId="77777777" w:rsidR="0090485B" w:rsidRPr="00BD2F48" w:rsidRDefault="0090485B" w:rsidP="0090485B">
          <w:pPr>
            <w:rPr>
              <w:b/>
              <w:color w:val="26724C" w:themeColor="accent1" w:themeShade="BF"/>
            </w:rPr>
          </w:pPr>
          <w:r w:rsidRPr="00BD2F48">
            <w:rPr>
              <w:b/>
              <w:color w:val="26724C" w:themeColor="accent1" w:themeShade="BF"/>
            </w:rPr>
            <w:t>Contents</w:t>
          </w:r>
        </w:p>
        <w:p w14:paraId="6AE4C2F8" w14:textId="36996872" w:rsidR="00F4198D" w:rsidRDefault="0090485B">
          <w:pPr>
            <w:pStyle w:val="TOC1"/>
            <w:rPr>
              <w:rFonts w:asciiTheme="minorHAnsi" w:eastAsiaTheme="minorEastAsia" w:hAnsiTheme="minorHAnsi" w:cstheme="minorBidi"/>
              <w:bCs w:val="0"/>
              <w:sz w:val="22"/>
              <w:szCs w:val="22"/>
            </w:rPr>
          </w:pPr>
          <w:r>
            <w:fldChar w:fldCharType="begin"/>
          </w:r>
          <w:r>
            <w:instrText xml:space="preserve"> TOC \o "1-3" \u \t "Heading 9,4" </w:instrText>
          </w:r>
          <w:r>
            <w:fldChar w:fldCharType="separate"/>
          </w:r>
          <w:r w:rsidR="00F4198D">
            <w:t>I.</w:t>
          </w:r>
          <w:r w:rsidR="00F4198D">
            <w:rPr>
              <w:rFonts w:asciiTheme="minorHAnsi" w:eastAsiaTheme="minorEastAsia" w:hAnsiTheme="minorHAnsi" w:cstheme="minorBidi"/>
              <w:bCs w:val="0"/>
              <w:sz w:val="22"/>
              <w:szCs w:val="22"/>
            </w:rPr>
            <w:tab/>
          </w:r>
          <w:r w:rsidR="00F4198D">
            <w:t>INTRODUCTION</w:t>
          </w:r>
          <w:r w:rsidR="00F4198D">
            <w:tab/>
          </w:r>
          <w:r w:rsidR="00F4198D">
            <w:fldChar w:fldCharType="begin"/>
          </w:r>
          <w:r w:rsidR="00F4198D">
            <w:instrText xml:space="preserve"> PAGEREF _Toc77931023 \h </w:instrText>
          </w:r>
          <w:r w:rsidR="00F4198D">
            <w:fldChar w:fldCharType="separate"/>
          </w:r>
          <w:r w:rsidR="00E6080D">
            <w:t>2</w:t>
          </w:r>
          <w:r w:rsidR="00F4198D">
            <w:fldChar w:fldCharType="end"/>
          </w:r>
        </w:p>
        <w:p w14:paraId="65189635" w14:textId="1AE8159D" w:rsidR="00F4198D" w:rsidRDefault="00F4198D">
          <w:pPr>
            <w:pStyle w:val="TOC2"/>
            <w:rPr>
              <w:rFonts w:asciiTheme="minorHAnsi" w:eastAsiaTheme="minorEastAsia" w:hAnsiTheme="minorHAnsi" w:cstheme="minorBidi"/>
              <w:iCs w:val="0"/>
              <w:sz w:val="22"/>
              <w:szCs w:val="22"/>
            </w:rPr>
          </w:pPr>
          <w:r>
            <w:t>Overall context</w:t>
          </w:r>
          <w:r>
            <w:tab/>
          </w:r>
          <w:r>
            <w:fldChar w:fldCharType="begin"/>
          </w:r>
          <w:r>
            <w:instrText xml:space="preserve"> PAGEREF _Toc77931024 \h </w:instrText>
          </w:r>
          <w:r>
            <w:fldChar w:fldCharType="separate"/>
          </w:r>
          <w:r w:rsidR="00E6080D">
            <w:t>2</w:t>
          </w:r>
          <w:r>
            <w:fldChar w:fldCharType="end"/>
          </w:r>
        </w:p>
        <w:p w14:paraId="7B4761AB" w14:textId="7A79A3F1" w:rsidR="00F4198D" w:rsidRDefault="00F4198D">
          <w:pPr>
            <w:pStyle w:val="TOC2"/>
            <w:rPr>
              <w:rFonts w:asciiTheme="minorHAnsi" w:eastAsiaTheme="minorEastAsia" w:hAnsiTheme="minorHAnsi" w:cstheme="minorBidi"/>
              <w:iCs w:val="0"/>
              <w:sz w:val="22"/>
              <w:szCs w:val="22"/>
            </w:rPr>
          </w:pPr>
          <w:r>
            <w:t>Developments in UPOV</w:t>
          </w:r>
          <w:r>
            <w:tab/>
          </w:r>
          <w:r>
            <w:fldChar w:fldCharType="begin"/>
          </w:r>
          <w:r>
            <w:instrText xml:space="preserve"> PAGEREF _Toc77931025 \h </w:instrText>
          </w:r>
          <w:r>
            <w:fldChar w:fldCharType="separate"/>
          </w:r>
          <w:r w:rsidR="00E6080D">
            <w:t>3</w:t>
          </w:r>
          <w:r>
            <w:fldChar w:fldCharType="end"/>
          </w:r>
        </w:p>
        <w:p w14:paraId="7C7AC4F8" w14:textId="569DCA86" w:rsidR="00F4198D" w:rsidRDefault="00F4198D">
          <w:pPr>
            <w:pStyle w:val="TOC2"/>
            <w:rPr>
              <w:rFonts w:asciiTheme="minorHAnsi" w:eastAsiaTheme="minorEastAsia" w:hAnsiTheme="minorHAnsi" w:cstheme="minorBidi"/>
              <w:iCs w:val="0"/>
              <w:sz w:val="22"/>
              <w:szCs w:val="22"/>
            </w:rPr>
          </w:pPr>
          <w:r>
            <w:t>Direction for the 2022</w:t>
          </w:r>
          <w:r>
            <w:noBreakHyphen/>
            <w:t>2023 Biennium</w:t>
          </w:r>
          <w:r>
            <w:tab/>
          </w:r>
          <w:r>
            <w:fldChar w:fldCharType="begin"/>
          </w:r>
          <w:r>
            <w:instrText xml:space="preserve"> PAGEREF _Toc77931026 \h </w:instrText>
          </w:r>
          <w:r>
            <w:fldChar w:fldCharType="separate"/>
          </w:r>
          <w:r w:rsidR="00E6080D">
            <w:t>7</w:t>
          </w:r>
          <w:r>
            <w:fldChar w:fldCharType="end"/>
          </w:r>
        </w:p>
        <w:p w14:paraId="0CE35502" w14:textId="0E70FB80" w:rsidR="00F4198D" w:rsidRDefault="00F4198D">
          <w:pPr>
            <w:pStyle w:val="TOC3"/>
            <w:rPr>
              <w:rFonts w:asciiTheme="minorHAnsi" w:eastAsiaTheme="minorEastAsia" w:hAnsiTheme="minorHAnsi" w:cstheme="minorBidi"/>
              <w:i w:val="0"/>
              <w:sz w:val="22"/>
              <w:szCs w:val="22"/>
            </w:rPr>
          </w:pPr>
          <w:r>
            <w:t>Introduction</w:t>
          </w:r>
          <w:r>
            <w:tab/>
          </w:r>
          <w:r>
            <w:fldChar w:fldCharType="begin"/>
          </w:r>
          <w:r>
            <w:instrText xml:space="preserve"> PAGEREF _Toc77931027 \h </w:instrText>
          </w:r>
          <w:r>
            <w:fldChar w:fldCharType="separate"/>
          </w:r>
          <w:r w:rsidR="00E6080D">
            <w:t>7</w:t>
          </w:r>
          <w:r>
            <w:fldChar w:fldCharType="end"/>
          </w:r>
        </w:p>
        <w:p w14:paraId="0840EB65" w14:textId="395BB406" w:rsidR="00F4198D" w:rsidRDefault="00F4198D">
          <w:pPr>
            <w:pStyle w:val="TOC3"/>
            <w:rPr>
              <w:rFonts w:asciiTheme="minorHAnsi" w:eastAsiaTheme="minorEastAsia" w:hAnsiTheme="minorHAnsi" w:cstheme="minorBidi"/>
              <w:i w:val="0"/>
              <w:sz w:val="22"/>
              <w:szCs w:val="22"/>
            </w:rPr>
          </w:pPr>
          <w:r>
            <w:t>Providing an effective system of plant variety protection</w:t>
          </w:r>
          <w:r>
            <w:tab/>
          </w:r>
          <w:r>
            <w:fldChar w:fldCharType="begin"/>
          </w:r>
          <w:r>
            <w:instrText xml:space="preserve"> PAGEREF _Toc77931028 \h </w:instrText>
          </w:r>
          <w:r>
            <w:fldChar w:fldCharType="separate"/>
          </w:r>
          <w:r w:rsidR="00E6080D">
            <w:t>7</w:t>
          </w:r>
          <w:r>
            <w:fldChar w:fldCharType="end"/>
          </w:r>
        </w:p>
        <w:p w14:paraId="3D9347FA" w14:textId="00B039AB" w:rsidR="00F4198D" w:rsidRDefault="00F4198D">
          <w:pPr>
            <w:pStyle w:val="TOC3"/>
            <w:rPr>
              <w:rFonts w:asciiTheme="minorHAnsi" w:eastAsiaTheme="minorEastAsia" w:hAnsiTheme="minorHAnsi" w:cstheme="minorBidi"/>
              <w:i w:val="0"/>
              <w:sz w:val="22"/>
              <w:szCs w:val="22"/>
            </w:rPr>
          </w:pPr>
          <w:r>
            <w:t>Promoting an effective system of plant variety protection</w:t>
          </w:r>
          <w:r>
            <w:tab/>
          </w:r>
          <w:r>
            <w:fldChar w:fldCharType="begin"/>
          </w:r>
          <w:r>
            <w:instrText xml:space="preserve"> PAGEREF _Toc77931029 \h </w:instrText>
          </w:r>
          <w:r>
            <w:fldChar w:fldCharType="separate"/>
          </w:r>
          <w:r w:rsidR="00E6080D">
            <w:t>10</w:t>
          </w:r>
          <w:r>
            <w:fldChar w:fldCharType="end"/>
          </w:r>
        </w:p>
        <w:p w14:paraId="563D03D5" w14:textId="525DF811" w:rsidR="00F4198D" w:rsidRDefault="00F4198D">
          <w:pPr>
            <w:pStyle w:val="TOC1"/>
            <w:rPr>
              <w:rFonts w:asciiTheme="minorHAnsi" w:eastAsiaTheme="minorEastAsia" w:hAnsiTheme="minorHAnsi" w:cstheme="minorBidi"/>
              <w:bCs w:val="0"/>
              <w:sz w:val="22"/>
              <w:szCs w:val="22"/>
            </w:rPr>
          </w:pPr>
          <w:r w:rsidRPr="00B96666">
            <w:rPr>
              <w:spacing w:val="-2"/>
            </w:rPr>
            <w:t>II.</w:t>
          </w:r>
          <w:r>
            <w:rPr>
              <w:rFonts w:asciiTheme="minorHAnsi" w:eastAsiaTheme="minorEastAsia" w:hAnsiTheme="minorHAnsi" w:cstheme="minorBidi"/>
              <w:bCs w:val="0"/>
              <w:sz w:val="22"/>
              <w:szCs w:val="22"/>
            </w:rPr>
            <w:tab/>
          </w:r>
          <w:r w:rsidRPr="00B96666">
            <w:rPr>
              <w:spacing w:val="-2"/>
            </w:rPr>
            <w:t>OBJECTIVES AND EXPECTED RESULTS BY SUB</w:t>
          </w:r>
          <w:r w:rsidRPr="00B96666">
            <w:rPr>
              <w:spacing w:val="-2"/>
            </w:rPr>
            <w:noBreakHyphen/>
            <w:t>PROGRAM</w:t>
          </w:r>
          <w:r>
            <w:tab/>
          </w:r>
          <w:r>
            <w:fldChar w:fldCharType="begin"/>
          </w:r>
          <w:r>
            <w:instrText xml:space="preserve"> PAGEREF _Toc77931030 \h </w:instrText>
          </w:r>
          <w:r>
            <w:fldChar w:fldCharType="separate"/>
          </w:r>
          <w:r w:rsidR="00E6080D">
            <w:t>11</w:t>
          </w:r>
          <w:r>
            <w:fldChar w:fldCharType="end"/>
          </w:r>
        </w:p>
        <w:p w14:paraId="7DC8DD30" w14:textId="4E1D4269" w:rsidR="00F4198D" w:rsidRDefault="00F4198D">
          <w:pPr>
            <w:pStyle w:val="TOC2"/>
            <w:rPr>
              <w:rFonts w:asciiTheme="minorHAnsi" w:eastAsiaTheme="minorEastAsia" w:hAnsiTheme="minorHAnsi" w:cstheme="minorBidi"/>
              <w:iCs w:val="0"/>
              <w:sz w:val="22"/>
              <w:szCs w:val="22"/>
            </w:rPr>
          </w:pPr>
          <w:r>
            <w:t>Sub-program UV.1:  Overall Policy on Plant Variety Protection</w:t>
          </w:r>
          <w:r>
            <w:tab/>
          </w:r>
          <w:r>
            <w:fldChar w:fldCharType="begin"/>
          </w:r>
          <w:r>
            <w:instrText xml:space="preserve"> PAGEREF _Toc77931031 \h </w:instrText>
          </w:r>
          <w:r>
            <w:fldChar w:fldCharType="separate"/>
          </w:r>
          <w:r w:rsidR="00E6080D">
            <w:t>11</w:t>
          </w:r>
          <w:r>
            <w:fldChar w:fldCharType="end"/>
          </w:r>
        </w:p>
        <w:p w14:paraId="1DDA8056" w14:textId="5D54A003" w:rsidR="00F4198D" w:rsidRDefault="00F4198D">
          <w:pPr>
            <w:pStyle w:val="TOC3"/>
            <w:rPr>
              <w:rFonts w:asciiTheme="minorHAnsi" w:eastAsiaTheme="minorEastAsia" w:hAnsiTheme="minorHAnsi" w:cstheme="minorBidi"/>
              <w:i w:val="0"/>
              <w:sz w:val="22"/>
              <w:szCs w:val="22"/>
            </w:rPr>
          </w:pPr>
          <w:r>
            <w:t>Objectives</w:t>
          </w:r>
          <w:r>
            <w:tab/>
          </w:r>
          <w:r>
            <w:fldChar w:fldCharType="begin"/>
          </w:r>
          <w:r>
            <w:instrText xml:space="preserve"> PAGEREF _Toc77931032 \h </w:instrText>
          </w:r>
          <w:r>
            <w:fldChar w:fldCharType="separate"/>
          </w:r>
          <w:r w:rsidR="00E6080D">
            <w:t>11</w:t>
          </w:r>
          <w:r>
            <w:fldChar w:fldCharType="end"/>
          </w:r>
        </w:p>
        <w:p w14:paraId="627A2D7F" w14:textId="0E344637" w:rsidR="00F4198D" w:rsidRDefault="00F4198D">
          <w:pPr>
            <w:pStyle w:val="TOC3"/>
            <w:rPr>
              <w:rFonts w:asciiTheme="minorHAnsi" w:eastAsiaTheme="minorEastAsia" w:hAnsiTheme="minorHAnsi" w:cstheme="minorBidi"/>
              <w:i w:val="0"/>
              <w:sz w:val="22"/>
              <w:szCs w:val="22"/>
            </w:rPr>
          </w:pPr>
          <w:r>
            <w:t>Narrative</w:t>
          </w:r>
          <w:r>
            <w:tab/>
          </w:r>
          <w:r>
            <w:fldChar w:fldCharType="begin"/>
          </w:r>
          <w:r>
            <w:instrText xml:space="preserve"> PAGEREF _Toc77931033 \h </w:instrText>
          </w:r>
          <w:r>
            <w:fldChar w:fldCharType="separate"/>
          </w:r>
          <w:r w:rsidR="00E6080D">
            <w:t>11</w:t>
          </w:r>
          <w:r>
            <w:fldChar w:fldCharType="end"/>
          </w:r>
        </w:p>
        <w:p w14:paraId="04303B34" w14:textId="093B3A85" w:rsidR="00F4198D" w:rsidRDefault="00F4198D">
          <w:pPr>
            <w:pStyle w:val="TOC3"/>
            <w:rPr>
              <w:rFonts w:asciiTheme="minorHAnsi" w:eastAsiaTheme="minorEastAsia" w:hAnsiTheme="minorHAnsi" w:cstheme="minorBidi"/>
              <w:i w:val="0"/>
              <w:sz w:val="22"/>
              <w:szCs w:val="22"/>
            </w:rPr>
          </w:pPr>
          <w:r>
            <w:t>Activities</w:t>
          </w:r>
          <w:r>
            <w:tab/>
          </w:r>
          <w:r>
            <w:fldChar w:fldCharType="begin"/>
          </w:r>
          <w:r>
            <w:instrText xml:space="preserve"> PAGEREF _Toc77931034 \h </w:instrText>
          </w:r>
          <w:r>
            <w:fldChar w:fldCharType="separate"/>
          </w:r>
          <w:r w:rsidR="00E6080D">
            <w:t>11</w:t>
          </w:r>
          <w:r>
            <w:fldChar w:fldCharType="end"/>
          </w:r>
        </w:p>
        <w:p w14:paraId="495BFA1B" w14:textId="0E63773B" w:rsidR="00F4198D" w:rsidRDefault="00F4198D">
          <w:pPr>
            <w:pStyle w:val="TOC3"/>
            <w:rPr>
              <w:rFonts w:asciiTheme="minorHAnsi" w:eastAsiaTheme="minorEastAsia" w:hAnsiTheme="minorHAnsi" w:cstheme="minorBidi"/>
              <w:i w:val="0"/>
              <w:sz w:val="22"/>
              <w:szCs w:val="22"/>
            </w:rPr>
          </w:pPr>
          <w:r>
            <w:t>Expected Results and Performance Indicators</w:t>
          </w:r>
          <w:r>
            <w:tab/>
          </w:r>
          <w:r>
            <w:fldChar w:fldCharType="begin"/>
          </w:r>
          <w:r>
            <w:instrText xml:space="preserve"> PAGEREF _Toc77931035 \h </w:instrText>
          </w:r>
          <w:r>
            <w:fldChar w:fldCharType="separate"/>
          </w:r>
          <w:r w:rsidR="00E6080D">
            <w:t>12</w:t>
          </w:r>
          <w:r>
            <w:fldChar w:fldCharType="end"/>
          </w:r>
        </w:p>
        <w:p w14:paraId="6896AAD5" w14:textId="28A04B40" w:rsidR="00F4198D" w:rsidRDefault="00F4198D">
          <w:pPr>
            <w:pStyle w:val="TOC2"/>
            <w:rPr>
              <w:rFonts w:asciiTheme="minorHAnsi" w:eastAsiaTheme="minorEastAsia" w:hAnsiTheme="minorHAnsi" w:cstheme="minorBidi"/>
              <w:iCs w:val="0"/>
              <w:sz w:val="22"/>
              <w:szCs w:val="22"/>
            </w:rPr>
          </w:pPr>
          <w:r>
            <w:t>Sub-program UV.2:  Services to the Union for Enhancing the Effectiveness of the UPOV System</w:t>
          </w:r>
          <w:r>
            <w:tab/>
          </w:r>
          <w:r>
            <w:fldChar w:fldCharType="begin"/>
          </w:r>
          <w:r>
            <w:instrText xml:space="preserve"> PAGEREF _Toc77931036 \h </w:instrText>
          </w:r>
          <w:r>
            <w:fldChar w:fldCharType="separate"/>
          </w:r>
          <w:r w:rsidR="00E6080D">
            <w:t>13</w:t>
          </w:r>
          <w:r>
            <w:fldChar w:fldCharType="end"/>
          </w:r>
        </w:p>
        <w:p w14:paraId="7724A317" w14:textId="75042464" w:rsidR="00F4198D" w:rsidRDefault="00F4198D">
          <w:pPr>
            <w:pStyle w:val="TOC3"/>
            <w:rPr>
              <w:rFonts w:asciiTheme="minorHAnsi" w:eastAsiaTheme="minorEastAsia" w:hAnsiTheme="minorHAnsi" w:cstheme="minorBidi"/>
              <w:i w:val="0"/>
              <w:sz w:val="22"/>
              <w:szCs w:val="22"/>
            </w:rPr>
          </w:pPr>
          <w:r>
            <w:t>Objectives</w:t>
          </w:r>
          <w:r>
            <w:tab/>
          </w:r>
          <w:r>
            <w:fldChar w:fldCharType="begin"/>
          </w:r>
          <w:r>
            <w:instrText xml:space="preserve"> PAGEREF _Toc77931037 \h </w:instrText>
          </w:r>
          <w:r>
            <w:fldChar w:fldCharType="separate"/>
          </w:r>
          <w:r w:rsidR="00E6080D">
            <w:t>13</w:t>
          </w:r>
          <w:r>
            <w:fldChar w:fldCharType="end"/>
          </w:r>
        </w:p>
        <w:p w14:paraId="539190E8" w14:textId="6779784A" w:rsidR="00F4198D" w:rsidRDefault="00F4198D">
          <w:pPr>
            <w:pStyle w:val="TOC3"/>
            <w:rPr>
              <w:rFonts w:asciiTheme="minorHAnsi" w:eastAsiaTheme="minorEastAsia" w:hAnsiTheme="minorHAnsi" w:cstheme="minorBidi"/>
              <w:i w:val="0"/>
              <w:sz w:val="22"/>
              <w:szCs w:val="22"/>
            </w:rPr>
          </w:pPr>
          <w:r>
            <w:t>Narrative</w:t>
          </w:r>
          <w:r>
            <w:tab/>
          </w:r>
          <w:r>
            <w:fldChar w:fldCharType="begin"/>
          </w:r>
          <w:r>
            <w:instrText xml:space="preserve"> PAGEREF _Toc77931038 \h </w:instrText>
          </w:r>
          <w:r>
            <w:fldChar w:fldCharType="separate"/>
          </w:r>
          <w:r w:rsidR="00E6080D">
            <w:t>13</w:t>
          </w:r>
          <w:r>
            <w:fldChar w:fldCharType="end"/>
          </w:r>
        </w:p>
        <w:p w14:paraId="1270EF52" w14:textId="7549892D" w:rsidR="00F4198D" w:rsidRDefault="00F4198D">
          <w:pPr>
            <w:pStyle w:val="TOC3"/>
            <w:rPr>
              <w:rFonts w:asciiTheme="minorHAnsi" w:eastAsiaTheme="minorEastAsia" w:hAnsiTheme="minorHAnsi" w:cstheme="minorBidi"/>
              <w:i w:val="0"/>
              <w:sz w:val="22"/>
              <w:szCs w:val="22"/>
            </w:rPr>
          </w:pPr>
          <w:r>
            <w:t>Activities</w:t>
          </w:r>
          <w:r>
            <w:tab/>
          </w:r>
          <w:r>
            <w:fldChar w:fldCharType="begin"/>
          </w:r>
          <w:r>
            <w:instrText xml:space="preserve"> PAGEREF _Toc77931039 \h </w:instrText>
          </w:r>
          <w:r>
            <w:fldChar w:fldCharType="separate"/>
          </w:r>
          <w:r w:rsidR="00E6080D">
            <w:t>15</w:t>
          </w:r>
          <w:r>
            <w:fldChar w:fldCharType="end"/>
          </w:r>
        </w:p>
        <w:p w14:paraId="1199EADE" w14:textId="76FEEE6B" w:rsidR="00F4198D" w:rsidRDefault="00F4198D">
          <w:pPr>
            <w:pStyle w:val="TOC3"/>
            <w:rPr>
              <w:rFonts w:asciiTheme="minorHAnsi" w:eastAsiaTheme="minorEastAsia" w:hAnsiTheme="minorHAnsi" w:cstheme="minorBidi"/>
              <w:i w:val="0"/>
              <w:sz w:val="22"/>
              <w:szCs w:val="22"/>
            </w:rPr>
          </w:pPr>
          <w:r>
            <w:t>Expected Results and Performance Indicators</w:t>
          </w:r>
          <w:r>
            <w:tab/>
          </w:r>
          <w:r>
            <w:fldChar w:fldCharType="begin"/>
          </w:r>
          <w:r>
            <w:instrText xml:space="preserve"> PAGEREF _Toc77931040 \h </w:instrText>
          </w:r>
          <w:r>
            <w:fldChar w:fldCharType="separate"/>
          </w:r>
          <w:r w:rsidR="00E6080D">
            <w:t>16</w:t>
          </w:r>
          <w:r>
            <w:fldChar w:fldCharType="end"/>
          </w:r>
        </w:p>
        <w:p w14:paraId="58D40477" w14:textId="785DFE67" w:rsidR="00F4198D" w:rsidRDefault="00F4198D">
          <w:pPr>
            <w:pStyle w:val="TOC2"/>
            <w:rPr>
              <w:rFonts w:asciiTheme="minorHAnsi" w:eastAsiaTheme="minorEastAsia" w:hAnsiTheme="minorHAnsi" w:cstheme="minorBidi"/>
              <w:iCs w:val="0"/>
              <w:sz w:val="22"/>
              <w:szCs w:val="22"/>
            </w:rPr>
          </w:pPr>
          <w:r>
            <w:t>Sub-program UV.3:  Raising Awareness and Assistance in the Introduction  and Implementation of the UPOV System</w:t>
          </w:r>
          <w:r>
            <w:tab/>
          </w:r>
          <w:r>
            <w:fldChar w:fldCharType="begin"/>
          </w:r>
          <w:r>
            <w:instrText xml:space="preserve"> PAGEREF _Toc77931041 \h </w:instrText>
          </w:r>
          <w:r>
            <w:fldChar w:fldCharType="separate"/>
          </w:r>
          <w:r w:rsidR="00E6080D">
            <w:t>17</w:t>
          </w:r>
          <w:r>
            <w:fldChar w:fldCharType="end"/>
          </w:r>
        </w:p>
        <w:p w14:paraId="58BC1D73" w14:textId="1678F8C0" w:rsidR="00F4198D" w:rsidRDefault="00F4198D">
          <w:pPr>
            <w:pStyle w:val="TOC3"/>
            <w:rPr>
              <w:rFonts w:asciiTheme="minorHAnsi" w:eastAsiaTheme="minorEastAsia" w:hAnsiTheme="minorHAnsi" w:cstheme="minorBidi"/>
              <w:i w:val="0"/>
              <w:sz w:val="22"/>
              <w:szCs w:val="22"/>
            </w:rPr>
          </w:pPr>
          <w:r>
            <w:t>Objectives</w:t>
          </w:r>
          <w:r>
            <w:tab/>
          </w:r>
          <w:r>
            <w:fldChar w:fldCharType="begin"/>
          </w:r>
          <w:r>
            <w:instrText xml:space="preserve"> PAGEREF _Toc77931042 \h </w:instrText>
          </w:r>
          <w:r>
            <w:fldChar w:fldCharType="separate"/>
          </w:r>
          <w:r w:rsidR="00E6080D">
            <w:t>17</w:t>
          </w:r>
          <w:r>
            <w:fldChar w:fldCharType="end"/>
          </w:r>
        </w:p>
        <w:p w14:paraId="43C2A4E9" w14:textId="1C5D592F" w:rsidR="00F4198D" w:rsidRDefault="00F4198D">
          <w:pPr>
            <w:pStyle w:val="TOC3"/>
            <w:rPr>
              <w:rFonts w:asciiTheme="minorHAnsi" w:eastAsiaTheme="minorEastAsia" w:hAnsiTheme="minorHAnsi" w:cstheme="minorBidi"/>
              <w:i w:val="0"/>
              <w:sz w:val="22"/>
              <w:szCs w:val="22"/>
            </w:rPr>
          </w:pPr>
          <w:r>
            <w:t>Narrative</w:t>
          </w:r>
          <w:r>
            <w:tab/>
          </w:r>
          <w:r>
            <w:fldChar w:fldCharType="begin"/>
          </w:r>
          <w:r>
            <w:instrText xml:space="preserve"> PAGEREF _Toc77931043 \h </w:instrText>
          </w:r>
          <w:r>
            <w:fldChar w:fldCharType="separate"/>
          </w:r>
          <w:r w:rsidR="00E6080D">
            <w:t>17</w:t>
          </w:r>
          <w:r>
            <w:fldChar w:fldCharType="end"/>
          </w:r>
        </w:p>
        <w:p w14:paraId="1D3D5A36" w14:textId="7B4782ED" w:rsidR="00F4198D" w:rsidRDefault="00F4198D">
          <w:pPr>
            <w:pStyle w:val="TOC3"/>
            <w:rPr>
              <w:rFonts w:asciiTheme="minorHAnsi" w:eastAsiaTheme="minorEastAsia" w:hAnsiTheme="minorHAnsi" w:cstheme="minorBidi"/>
              <w:i w:val="0"/>
              <w:sz w:val="22"/>
              <w:szCs w:val="22"/>
            </w:rPr>
          </w:pPr>
          <w:r>
            <w:t>Activities</w:t>
          </w:r>
          <w:r>
            <w:tab/>
          </w:r>
          <w:r>
            <w:fldChar w:fldCharType="begin"/>
          </w:r>
          <w:r>
            <w:instrText xml:space="preserve"> PAGEREF _Toc77931044 \h </w:instrText>
          </w:r>
          <w:r>
            <w:fldChar w:fldCharType="separate"/>
          </w:r>
          <w:r w:rsidR="00E6080D">
            <w:t>19</w:t>
          </w:r>
          <w:r>
            <w:fldChar w:fldCharType="end"/>
          </w:r>
        </w:p>
        <w:p w14:paraId="55BA7BBE" w14:textId="455AEBAE" w:rsidR="00F4198D" w:rsidRDefault="00F4198D">
          <w:pPr>
            <w:pStyle w:val="TOC3"/>
            <w:rPr>
              <w:rFonts w:asciiTheme="minorHAnsi" w:eastAsiaTheme="minorEastAsia" w:hAnsiTheme="minorHAnsi" w:cstheme="minorBidi"/>
              <w:i w:val="0"/>
              <w:sz w:val="22"/>
              <w:szCs w:val="22"/>
            </w:rPr>
          </w:pPr>
          <w:r>
            <w:t>Expected Results and Performance Indicators</w:t>
          </w:r>
          <w:r>
            <w:tab/>
          </w:r>
          <w:r>
            <w:fldChar w:fldCharType="begin"/>
          </w:r>
          <w:r>
            <w:instrText xml:space="preserve"> PAGEREF _Toc77931045 \h </w:instrText>
          </w:r>
          <w:r>
            <w:fldChar w:fldCharType="separate"/>
          </w:r>
          <w:r w:rsidR="00E6080D">
            <w:t>20</w:t>
          </w:r>
          <w:r>
            <w:fldChar w:fldCharType="end"/>
          </w:r>
        </w:p>
        <w:p w14:paraId="6E2A15B7" w14:textId="28288D06" w:rsidR="00F4198D" w:rsidRDefault="00F4198D">
          <w:pPr>
            <w:pStyle w:val="TOC2"/>
            <w:rPr>
              <w:rFonts w:asciiTheme="minorHAnsi" w:eastAsiaTheme="minorEastAsia" w:hAnsiTheme="minorHAnsi" w:cstheme="minorBidi"/>
              <w:iCs w:val="0"/>
              <w:sz w:val="22"/>
              <w:szCs w:val="22"/>
            </w:rPr>
          </w:pPr>
          <w:r>
            <w:t>Sub-program UV.4:  External Relations</w:t>
          </w:r>
          <w:r>
            <w:tab/>
          </w:r>
          <w:r>
            <w:fldChar w:fldCharType="begin"/>
          </w:r>
          <w:r>
            <w:instrText xml:space="preserve"> PAGEREF _Toc77931046 \h </w:instrText>
          </w:r>
          <w:r>
            <w:fldChar w:fldCharType="separate"/>
          </w:r>
          <w:r w:rsidR="00E6080D">
            <w:t>21</w:t>
          </w:r>
          <w:r>
            <w:fldChar w:fldCharType="end"/>
          </w:r>
        </w:p>
        <w:p w14:paraId="5F900AAF" w14:textId="2306574D" w:rsidR="00F4198D" w:rsidRDefault="00F4198D">
          <w:pPr>
            <w:pStyle w:val="TOC3"/>
            <w:rPr>
              <w:rFonts w:asciiTheme="minorHAnsi" w:eastAsiaTheme="minorEastAsia" w:hAnsiTheme="minorHAnsi" w:cstheme="minorBidi"/>
              <w:i w:val="0"/>
              <w:sz w:val="22"/>
              <w:szCs w:val="22"/>
            </w:rPr>
          </w:pPr>
          <w:r>
            <w:t>Objectives</w:t>
          </w:r>
          <w:r>
            <w:tab/>
          </w:r>
          <w:r>
            <w:fldChar w:fldCharType="begin"/>
          </w:r>
          <w:r>
            <w:instrText xml:space="preserve"> PAGEREF _Toc77931047 \h </w:instrText>
          </w:r>
          <w:r>
            <w:fldChar w:fldCharType="separate"/>
          </w:r>
          <w:r w:rsidR="00E6080D">
            <w:t>21</w:t>
          </w:r>
          <w:r>
            <w:fldChar w:fldCharType="end"/>
          </w:r>
        </w:p>
        <w:p w14:paraId="33F6C97F" w14:textId="28AA4657" w:rsidR="00F4198D" w:rsidRDefault="00F4198D">
          <w:pPr>
            <w:pStyle w:val="TOC3"/>
            <w:rPr>
              <w:rFonts w:asciiTheme="minorHAnsi" w:eastAsiaTheme="minorEastAsia" w:hAnsiTheme="minorHAnsi" w:cstheme="minorBidi"/>
              <w:i w:val="0"/>
              <w:sz w:val="22"/>
              <w:szCs w:val="22"/>
            </w:rPr>
          </w:pPr>
          <w:r>
            <w:t>Narrative</w:t>
          </w:r>
          <w:r>
            <w:tab/>
          </w:r>
          <w:r>
            <w:fldChar w:fldCharType="begin"/>
          </w:r>
          <w:r>
            <w:instrText xml:space="preserve"> PAGEREF _Toc77931048 \h </w:instrText>
          </w:r>
          <w:r>
            <w:fldChar w:fldCharType="separate"/>
          </w:r>
          <w:r w:rsidR="00E6080D">
            <w:t>21</w:t>
          </w:r>
          <w:r>
            <w:fldChar w:fldCharType="end"/>
          </w:r>
        </w:p>
        <w:p w14:paraId="1D9CD286" w14:textId="261830CC" w:rsidR="00F4198D" w:rsidRDefault="00F4198D">
          <w:pPr>
            <w:pStyle w:val="TOC3"/>
            <w:rPr>
              <w:rFonts w:asciiTheme="minorHAnsi" w:eastAsiaTheme="minorEastAsia" w:hAnsiTheme="minorHAnsi" w:cstheme="minorBidi"/>
              <w:i w:val="0"/>
              <w:sz w:val="22"/>
              <w:szCs w:val="22"/>
            </w:rPr>
          </w:pPr>
          <w:r>
            <w:t>Activities</w:t>
          </w:r>
          <w:r>
            <w:tab/>
          </w:r>
          <w:r>
            <w:fldChar w:fldCharType="begin"/>
          </w:r>
          <w:r>
            <w:instrText xml:space="preserve"> PAGEREF _Toc77931049 \h </w:instrText>
          </w:r>
          <w:r>
            <w:fldChar w:fldCharType="separate"/>
          </w:r>
          <w:r w:rsidR="00E6080D">
            <w:t>22</w:t>
          </w:r>
          <w:r>
            <w:fldChar w:fldCharType="end"/>
          </w:r>
        </w:p>
        <w:p w14:paraId="244519CD" w14:textId="7F5555CF" w:rsidR="00F4198D" w:rsidRDefault="00F4198D">
          <w:pPr>
            <w:pStyle w:val="TOC3"/>
            <w:rPr>
              <w:rFonts w:asciiTheme="minorHAnsi" w:eastAsiaTheme="minorEastAsia" w:hAnsiTheme="minorHAnsi" w:cstheme="minorBidi"/>
              <w:i w:val="0"/>
              <w:sz w:val="22"/>
              <w:szCs w:val="22"/>
            </w:rPr>
          </w:pPr>
          <w:r>
            <w:t>Expected Results and Performance Indicators</w:t>
          </w:r>
          <w:r>
            <w:tab/>
          </w:r>
          <w:r>
            <w:fldChar w:fldCharType="begin"/>
          </w:r>
          <w:r>
            <w:instrText xml:space="preserve"> PAGEREF _Toc77931050 \h </w:instrText>
          </w:r>
          <w:r>
            <w:fldChar w:fldCharType="separate"/>
          </w:r>
          <w:r w:rsidR="00E6080D">
            <w:t>22</w:t>
          </w:r>
          <w:r>
            <w:fldChar w:fldCharType="end"/>
          </w:r>
        </w:p>
        <w:p w14:paraId="09FB8D04" w14:textId="67AA0E63" w:rsidR="00F4198D" w:rsidRDefault="00F4198D">
          <w:pPr>
            <w:pStyle w:val="TOC1"/>
            <w:rPr>
              <w:rFonts w:asciiTheme="minorHAnsi" w:eastAsiaTheme="minorEastAsia" w:hAnsiTheme="minorHAnsi" w:cstheme="minorBidi"/>
              <w:bCs w:val="0"/>
              <w:sz w:val="22"/>
              <w:szCs w:val="22"/>
            </w:rPr>
          </w:pPr>
          <w:r>
            <w:t>III.</w:t>
          </w:r>
          <w:r>
            <w:rPr>
              <w:rFonts w:asciiTheme="minorHAnsi" w:eastAsiaTheme="minorEastAsia" w:hAnsiTheme="minorHAnsi" w:cstheme="minorBidi"/>
              <w:bCs w:val="0"/>
              <w:sz w:val="22"/>
              <w:szCs w:val="22"/>
            </w:rPr>
            <w:tab/>
          </w:r>
          <w:r>
            <w:t>PROPOSED BUDGET</w:t>
          </w:r>
          <w:r>
            <w:tab/>
          </w:r>
          <w:r>
            <w:fldChar w:fldCharType="begin"/>
          </w:r>
          <w:r>
            <w:instrText xml:space="preserve"> PAGEREF _Toc77931051 \h </w:instrText>
          </w:r>
          <w:r>
            <w:fldChar w:fldCharType="separate"/>
          </w:r>
          <w:r w:rsidR="00E6080D">
            <w:t>23</w:t>
          </w:r>
          <w:r>
            <w:fldChar w:fldCharType="end"/>
          </w:r>
        </w:p>
        <w:p w14:paraId="125D8721" w14:textId="76147EB7" w:rsidR="00F4198D" w:rsidRDefault="00F4198D">
          <w:pPr>
            <w:pStyle w:val="TOC2"/>
            <w:rPr>
              <w:rFonts w:asciiTheme="minorHAnsi" w:eastAsiaTheme="minorEastAsia" w:hAnsiTheme="minorHAnsi" w:cstheme="minorBidi"/>
              <w:iCs w:val="0"/>
              <w:sz w:val="22"/>
              <w:szCs w:val="22"/>
            </w:rPr>
          </w:pPr>
          <w:r>
            <w:t>Financial context</w:t>
          </w:r>
          <w:r>
            <w:tab/>
          </w:r>
          <w:r>
            <w:fldChar w:fldCharType="begin"/>
          </w:r>
          <w:r>
            <w:instrText xml:space="preserve"> PAGEREF _Toc77931052 \h </w:instrText>
          </w:r>
          <w:r>
            <w:fldChar w:fldCharType="separate"/>
          </w:r>
          <w:r w:rsidR="00E6080D">
            <w:t>23</w:t>
          </w:r>
          <w:r>
            <w:fldChar w:fldCharType="end"/>
          </w:r>
        </w:p>
        <w:p w14:paraId="2915CB11" w14:textId="5282663F" w:rsidR="00F4198D" w:rsidRDefault="00F4198D">
          <w:pPr>
            <w:pStyle w:val="TOC2"/>
            <w:rPr>
              <w:rFonts w:asciiTheme="minorHAnsi" w:eastAsiaTheme="minorEastAsia" w:hAnsiTheme="minorHAnsi" w:cstheme="minorBidi"/>
              <w:iCs w:val="0"/>
              <w:sz w:val="22"/>
              <w:szCs w:val="22"/>
            </w:rPr>
          </w:pPr>
          <w:r>
            <w:t>Proposed budget 2022</w:t>
          </w:r>
          <w:r>
            <w:noBreakHyphen/>
            <w:t>2023</w:t>
          </w:r>
          <w:r>
            <w:tab/>
          </w:r>
          <w:r>
            <w:fldChar w:fldCharType="begin"/>
          </w:r>
          <w:r>
            <w:instrText xml:space="preserve"> PAGEREF _Toc77931053 \h </w:instrText>
          </w:r>
          <w:r>
            <w:fldChar w:fldCharType="separate"/>
          </w:r>
          <w:r w:rsidR="00E6080D">
            <w:t>24</w:t>
          </w:r>
          <w:r>
            <w:fldChar w:fldCharType="end"/>
          </w:r>
        </w:p>
        <w:p w14:paraId="441C08FE" w14:textId="684410DF" w:rsidR="00F4198D" w:rsidRDefault="00F4198D">
          <w:pPr>
            <w:pStyle w:val="TOC3"/>
            <w:rPr>
              <w:rFonts w:asciiTheme="minorHAnsi" w:eastAsiaTheme="minorEastAsia" w:hAnsiTheme="minorHAnsi" w:cstheme="minorBidi"/>
              <w:i w:val="0"/>
              <w:sz w:val="22"/>
              <w:szCs w:val="22"/>
            </w:rPr>
          </w:pPr>
          <w:r>
            <w:t>Income</w:t>
          </w:r>
          <w:r>
            <w:tab/>
          </w:r>
          <w:r>
            <w:fldChar w:fldCharType="begin"/>
          </w:r>
          <w:r>
            <w:instrText xml:space="preserve"> PAGEREF _Toc77931054 \h </w:instrText>
          </w:r>
          <w:r>
            <w:fldChar w:fldCharType="separate"/>
          </w:r>
          <w:r w:rsidR="00E6080D">
            <w:t>25</w:t>
          </w:r>
          <w:r>
            <w:fldChar w:fldCharType="end"/>
          </w:r>
        </w:p>
        <w:p w14:paraId="0291CC7F" w14:textId="6837AB23" w:rsidR="00F4198D" w:rsidRDefault="00F4198D">
          <w:pPr>
            <w:pStyle w:val="TOC3"/>
            <w:rPr>
              <w:rFonts w:asciiTheme="minorHAnsi" w:eastAsiaTheme="minorEastAsia" w:hAnsiTheme="minorHAnsi" w:cstheme="minorBidi"/>
              <w:i w:val="0"/>
              <w:sz w:val="22"/>
              <w:szCs w:val="22"/>
            </w:rPr>
          </w:pPr>
          <w:r>
            <w:t>Resource Plan</w:t>
          </w:r>
          <w:r>
            <w:tab/>
          </w:r>
          <w:r>
            <w:fldChar w:fldCharType="begin"/>
          </w:r>
          <w:r>
            <w:instrText xml:space="preserve"> PAGEREF _Toc77931055 \h </w:instrText>
          </w:r>
          <w:r>
            <w:fldChar w:fldCharType="separate"/>
          </w:r>
          <w:r w:rsidR="00E6080D">
            <w:t>26</w:t>
          </w:r>
          <w:r>
            <w:fldChar w:fldCharType="end"/>
          </w:r>
        </w:p>
        <w:p w14:paraId="2E5EDDE8" w14:textId="27A295ED" w:rsidR="00F4198D" w:rsidRDefault="00F4198D">
          <w:pPr>
            <w:pStyle w:val="TOC3"/>
            <w:rPr>
              <w:rFonts w:asciiTheme="minorHAnsi" w:eastAsiaTheme="minorEastAsia" w:hAnsiTheme="minorHAnsi" w:cstheme="minorBidi"/>
              <w:i w:val="0"/>
              <w:sz w:val="22"/>
              <w:szCs w:val="22"/>
            </w:rPr>
          </w:pPr>
          <w:r>
            <w:t>Expenditure</w:t>
          </w:r>
          <w:r>
            <w:tab/>
          </w:r>
          <w:r>
            <w:fldChar w:fldCharType="begin"/>
          </w:r>
          <w:r>
            <w:instrText xml:space="preserve"> PAGEREF _Toc77931056 \h </w:instrText>
          </w:r>
          <w:r>
            <w:fldChar w:fldCharType="separate"/>
          </w:r>
          <w:r w:rsidR="00E6080D">
            <w:t>27</w:t>
          </w:r>
          <w:r>
            <w:fldChar w:fldCharType="end"/>
          </w:r>
        </w:p>
        <w:p w14:paraId="0873E8DA" w14:textId="76AF431B" w:rsidR="00F4198D" w:rsidRDefault="00F4198D">
          <w:pPr>
            <w:pStyle w:val="TOC2"/>
            <w:rPr>
              <w:rFonts w:asciiTheme="minorHAnsi" w:eastAsiaTheme="minorEastAsia" w:hAnsiTheme="minorHAnsi" w:cstheme="minorBidi"/>
              <w:iCs w:val="0"/>
              <w:sz w:val="22"/>
              <w:szCs w:val="22"/>
            </w:rPr>
          </w:pPr>
          <w:r>
            <w:t>Staff resourcing</w:t>
          </w:r>
          <w:r>
            <w:tab/>
          </w:r>
          <w:r>
            <w:fldChar w:fldCharType="begin"/>
          </w:r>
          <w:r>
            <w:instrText xml:space="preserve"> PAGEREF _Toc77931057 \h </w:instrText>
          </w:r>
          <w:r>
            <w:fldChar w:fldCharType="separate"/>
          </w:r>
          <w:r w:rsidR="00E6080D">
            <w:t>28</w:t>
          </w:r>
          <w:r>
            <w:fldChar w:fldCharType="end"/>
          </w:r>
        </w:p>
        <w:p w14:paraId="61B895F6" w14:textId="0592A473" w:rsidR="00F4198D" w:rsidRDefault="00F4198D">
          <w:pPr>
            <w:pStyle w:val="TOC2"/>
            <w:rPr>
              <w:rFonts w:asciiTheme="minorHAnsi" w:eastAsiaTheme="minorEastAsia" w:hAnsiTheme="minorHAnsi" w:cstheme="minorBidi"/>
              <w:iCs w:val="0"/>
              <w:sz w:val="22"/>
              <w:szCs w:val="22"/>
            </w:rPr>
          </w:pPr>
          <w:r>
            <w:t>Allocation of Expenditure by Sub-program</w:t>
          </w:r>
          <w:r>
            <w:tab/>
          </w:r>
          <w:r>
            <w:fldChar w:fldCharType="begin"/>
          </w:r>
          <w:r>
            <w:instrText xml:space="preserve"> PAGEREF _Toc77931058 \h </w:instrText>
          </w:r>
          <w:r>
            <w:fldChar w:fldCharType="separate"/>
          </w:r>
          <w:r w:rsidR="00E6080D">
            <w:t>30</w:t>
          </w:r>
          <w:r>
            <w:fldChar w:fldCharType="end"/>
          </w:r>
        </w:p>
        <w:p w14:paraId="015DE300" w14:textId="65148CE1" w:rsidR="00F4198D" w:rsidRDefault="00F4198D">
          <w:pPr>
            <w:pStyle w:val="TOC1"/>
            <w:rPr>
              <w:rFonts w:asciiTheme="minorHAnsi" w:eastAsiaTheme="minorEastAsia" w:hAnsiTheme="minorHAnsi" w:cstheme="minorBidi"/>
              <w:bCs w:val="0"/>
              <w:sz w:val="22"/>
              <w:szCs w:val="22"/>
            </w:rPr>
          </w:pPr>
          <w:r>
            <w:t>IV.</w:t>
          </w:r>
          <w:r>
            <w:rPr>
              <w:rFonts w:asciiTheme="minorHAnsi" w:eastAsiaTheme="minorEastAsia" w:hAnsiTheme="minorHAnsi" w:cstheme="minorBidi"/>
              <w:bCs w:val="0"/>
              <w:sz w:val="22"/>
              <w:szCs w:val="22"/>
            </w:rPr>
            <w:tab/>
          </w:r>
          <w:r>
            <w:t>FINANCIAL INDICATORS 2016-2025</w:t>
          </w:r>
          <w:r>
            <w:tab/>
          </w:r>
          <w:r>
            <w:fldChar w:fldCharType="begin"/>
          </w:r>
          <w:r>
            <w:instrText xml:space="preserve"> PAGEREF _Toc77931059 \h </w:instrText>
          </w:r>
          <w:r>
            <w:fldChar w:fldCharType="separate"/>
          </w:r>
          <w:r w:rsidR="00E6080D">
            <w:t>32</w:t>
          </w:r>
          <w:r>
            <w:fldChar w:fldCharType="end"/>
          </w:r>
        </w:p>
        <w:p w14:paraId="09DA284E" w14:textId="63C09987" w:rsidR="00F4198D" w:rsidRDefault="00F4198D">
          <w:pPr>
            <w:pStyle w:val="TOC1"/>
            <w:rPr>
              <w:rFonts w:asciiTheme="minorHAnsi" w:eastAsiaTheme="minorEastAsia" w:hAnsiTheme="minorHAnsi" w:cstheme="minorBidi"/>
              <w:bCs w:val="0"/>
              <w:sz w:val="22"/>
              <w:szCs w:val="22"/>
            </w:rPr>
          </w:pPr>
          <w:r>
            <w:t>V.</w:t>
          </w:r>
          <w:r>
            <w:rPr>
              <w:rFonts w:asciiTheme="minorHAnsi" w:eastAsiaTheme="minorEastAsia" w:hAnsiTheme="minorHAnsi" w:cstheme="minorBidi"/>
              <w:bCs w:val="0"/>
              <w:sz w:val="22"/>
              <w:szCs w:val="22"/>
            </w:rPr>
            <w:tab/>
          </w:r>
          <w:r>
            <w:t>APPENDICES</w:t>
          </w:r>
          <w:r>
            <w:tab/>
          </w:r>
          <w:r>
            <w:fldChar w:fldCharType="begin"/>
          </w:r>
          <w:r>
            <w:instrText xml:space="preserve"> PAGEREF _Toc77931060 \h </w:instrText>
          </w:r>
          <w:r>
            <w:fldChar w:fldCharType="separate"/>
          </w:r>
          <w:r w:rsidR="00E6080D">
            <w:t>33</w:t>
          </w:r>
          <w:r>
            <w:fldChar w:fldCharType="end"/>
          </w:r>
        </w:p>
        <w:p w14:paraId="1148FFBF" w14:textId="0B26DFF5" w:rsidR="00F4198D" w:rsidRDefault="00F4198D">
          <w:pPr>
            <w:pStyle w:val="TOC4"/>
            <w:rPr>
              <w:rFonts w:eastAsiaTheme="minorEastAsia" w:cstheme="minorBidi"/>
              <w:noProof/>
              <w:sz w:val="22"/>
              <w:szCs w:val="22"/>
            </w:rPr>
          </w:pPr>
          <w:r>
            <w:rPr>
              <w:noProof/>
            </w:rPr>
            <w:t>APPENDIX I</w:t>
          </w:r>
          <w:r>
            <w:rPr>
              <w:rFonts w:eastAsiaTheme="minorEastAsia" w:cstheme="minorBidi"/>
              <w:noProof/>
              <w:sz w:val="22"/>
              <w:szCs w:val="22"/>
            </w:rPr>
            <w:tab/>
          </w:r>
          <w:r>
            <w:rPr>
              <w:noProof/>
            </w:rPr>
            <w:t>Status in relation to the International Union for the Protection of New Varieties of Plants (UPOV) as of March 31, 2021</w:t>
          </w:r>
          <w:r>
            <w:rPr>
              <w:noProof/>
            </w:rPr>
            <w:tab/>
          </w:r>
          <w:r>
            <w:rPr>
              <w:noProof/>
            </w:rPr>
            <w:fldChar w:fldCharType="begin"/>
          </w:r>
          <w:r>
            <w:rPr>
              <w:noProof/>
            </w:rPr>
            <w:instrText xml:space="preserve"> PAGEREF _Toc77931061 \h </w:instrText>
          </w:r>
          <w:r>
            <w:rPr>
              <w:noProof/>
            </w:rPr>
          </w:r>
          <w:r>
            <w:rPr>
              <w:noProof/>
            </w:rPr>
            <w:fldChar w:fldCharType="separate"/>
          </w:r>
          <w:r w:rsidR="00E6080D">
            <w:rPr>
              <w:noProof/>
            </w:rPr>
            <w:t>33</w:t>
          </w:r>
          <w:r>
            <w:rPr>
              <w:noProof/>
            </w:rPr>
            <w:fldChar w:fldCharType="end"/>
          </w:r>
        </w:p>
        <w:p w14:paraId="38880556" w14:textId="25366D88" w:rsidR="00F4198D" w:rsidRDefault="00F4198D">
          <w:pPr>
            <w:pStyle w:val="TOC4"/>
            <w:rPr>
              <w:rFonts w:eastAsiaTheme="minorEastAsia" w:cstheme="minorBidi"/>
              <w:noProof/>
              <w:sz w:val="22"/>
              <w:szCs w:val="22"/>
            </w:rPr>
          </w:pPr>
          <w:r>
            <w:rPr>
              <w:noProof/>
            </w:rPr>
            <w:t>APPENDIX II</w:t>
          </w:r>
          <w:r>
            <w:rPr>
              <w:rFonts w:eastAsiaTheme="minorEastAsia" w:cstheme="minorBidi"/>
              <w:noProof/>
              <w:sz w:val="22"/>
              <w:szCs w:val="22"/>
            </w:rPr>
            <w:tab/>
          </w:r>
          <w:r>
            <w:rPr>
              <w:noProof/>
            </w:rPr>
            <w:t>Contributions of members as of March 31, 2021</w:t>
          </w:r>
          <w:r>
            <w:rPr>
              <w:noProof/>
            </w:rPr>
            <w:tab/>
          </w:r>
          <w:r>
            <w:rPr>
              <w:noProof/>
            </w:rPr>
            <w:fldChar w:fldCharType="begin"/>
          </w:r>
          <w:r>
            <w:rPr>
              <w:noProof/>
            </w:rPr>
            <w:instrText xml:space="preserve"> PAGEREF _Toc77931062 \h </w:instrText>
          </w:r>
          <w:r>
            <w:rPr>
              <w:noProof/>
            </w:rPr>
          </w:r>
          <w:r>
            <w:rPr>
              <w:noProof/>
            </w:rPr>
            <w:fldChar w:fldCharType="separate"/>
          </w:r>
          <w:r w:rsidR="00E6080D">
            <w:rPr>
              <w:noProof/>
            </w:rPr>
            <w:t>34</w:t>
          </w:r>
          <w:r>
            <w:rPr>
              <w:noProof/>
            </w:rPr>
            <w:fldChar w:fldCharType="end"/>
          </w:r>
        </w:p>
        <w:p w14:paraId="55418640" w14:textId="1CAF571D" w:rsidR="00F4198D" w:rsidRDefault="00F4198D">
          <w:pPr>
            <w:pStyle w:val="TOC4"/>
            <w:rPr>
              <w:rFonts w:eastAsiaTheme="minorEastAsia" w:cstheme="minorBidi"/>
              <w:noProof/>
              <w:sz w:val="22"/>
              <w:szCs w:val="22"/>
            </w:rPr>
          </w:pPr>
          <w:r>
            <w:rPr>
              <w:noProof/>
            </w:rPr>
            <w:t>APPENDIX III</w:t>
          </w:r>
          <w:r>
            <w:rPr>
              <w:rFonts w:eastAsiaTheme="minorEastAsia" w:cstheme="minorBidi"/>
              <w:noProof/>
              <w:sz w:val="22"/>
              <w:szCs w:val="22"/>
            </w:rPr>
            <w:tab/>
          </w:r>
          <w:r>
            <w:rPr>
              <w:noProof/>
            </w:rPr>
            <w:t>Definition of sources of income and cost categories</w:t>
          </w:r>
          <w:r>
            <w:rPr>
              <w:noProof/>
            </w:rPr>
            <w:tab/>
          </w:r>
          <w:r>
            <w:rPr>
              <w:noProof/>
            </w:rPr>
            <w:fldChar w:fldCharType="begin"/>
          </w:r>
          <w:r>
            <w:rPr>
              <w:noProof/>
            </w:rPr>
            <w:instrText xml:space="preserve"> PAGEREF _Toc77931063 \h </w:instrText>
          </w:r>
          <w:r>
            <w:rPr>
              <w:noProof/>
            </w:rPr>
          </w:r>
          <w:r>
            <w:rPr>
              <w:noProof/>
            </w:rPr>
            <w:fldChar w:fldCharType="separate"/>
          </w:r>
          <w:r w:rsidR="00E6080D">
            <w:rPr>
              <w:noProof/>
            </w:rPr>
            <w:t>36</w:t>
          </w:r>
          <w:r>
            <w:rPr>
              <w:noProof/>
            </w:rPr>
            <w:fldChar w:fldCharType="end"/>
          </w:r>
        </w:p>
        <w:p w14:paraId="2DE666B2" w14:textId="60D51DCA" w:rsidR="0090485B" w:rsidRDefault="0090485B" w:rsidP="0090485B">
          <w:r>
            <w:rPr>
              <w:rFonts w:cstheme="minorHAnsi"/>
              <w:bCs/>
              <w:noProof/>
            </w:rPr>
            <w:lastRenderedPageBreak/>
            <w:fldChar w:fldCharType="end"/>
          </w:r>
        </w:p>
      </w:sdtContent>
    </w:sdt>
    <w:p w14:paraId="7AFE8F68" w14:textId="77777777" w:rsidR="0090485B" w:rsidRPr="0059654E" w:rsidRDefault="0090485B" w:rsidP="0090485B">
      <w:pPr>
        <w:pStyle w:val="Heading1"/>
        <w:numPr>
          <w:ilvl w:val="0"/>
          <w:numId w:val="12"/>
        </w:numPr>
        <w:ind w:left="567" w:hanging="567"/>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61532292"/>
      <w:bookmarkStart w:id="432" w:name="_Toc61533687"/>
      <w:bookmarkStart w:id="433" w:name="_Toc7793102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7C4FB7">
        <w:t>INTRODUCTION</w:t>
      </w:r>
      <w:bookmarkEnd w:id="431"/>
      <w:bookmarkEnd w:id="432"/>
      <w:bookmarkEnd w:id="433"/>
    </w:p>
    <w:p w14:paraId="12D07355" w14:textId="77777777" w:rsidR="0090485B" w:rsidRPr="008B40C0" w:rsidRDefault="0090485B" w:rsidP="0090485B">
      <w:pPr>
        <w:rPr>
          <w:b/>
          <w:color w:val="26724C" w:themeColor="accent1" w:themeShade="BF"/>
        </w:rPr>
      </w:pPr>
    </w:p>
    <w:p w14:paraId="61E542BE" w14:textId="77777777" w:rsidR="0090485B" w:rsidRPr="00421986" w:rsidRDefault="0090485B" w:rsidP="0090485B">
      <w:pPr>
        <w:pStyle w:val="Heading2"/>
      </w:pPr>
      <w:bookmarkStart w:id="434" w:name="_Toc61532293"/>
      <w:bookmarkStart w:id="435" w:name="_Toc61533688"/>
      <w:bookmarkStart w:id="436" w:name="_Toc77931024"/>
      <w:r w:rsidRPr="00421986">
        <w:t>Overall context</w:t>
      </w:r>
      <w:bookmarkEnd w:id="434"/>
      <w:bookmarkEnd w:id="435"/>
      <w:bookmarkEnd w:id="436"/>
    </w:p>
    <w:p w14:paraId="333E5C13" w14:textId="77777777" w:rsidR="0090485B" w:rsidRPr="00421986" w:rsidRDefault="0090485B" w:rsidP="0090485B"/>
    <w:p w14:paraId="7A5F11B3" w14:textId="77777777" w:rsidR="0090485B" w:rsidRPr="00421986" w:rsidRDefault="0090485B" w:rsidP="0090485B">
      <w:r w:rsidRPr="00421986">
        <w:t>UPOV</w:t>
      </w:r>
      <w:r>
        <w:t>’</w:t>
      </w:r>
      <w:r w:rsidRPr="00421986">
        <w:t>s mission is to provide and promote an effective system of plant variety protection, with the aim of encouraging the development of new varieties of plants, for the benefit of society.  There is growing awareness of the relevance of UPOV</w:t>
      </w:r>
      <w:r>
        <w:t>’</w:t>
      </w:r>
      <w:r w:rsidRPr="00421986">
        <w:t>s mission and how this benefits society in the context of global developments.  UPOV</w:t>
      </w:r>
      <w:r>
        <w:t>’</w:t>
      </w:r>
      <w:r w:rsidRPr="00421986">
        <w:t>s recently adopted FAQ</w:t>
      </w:r>
      <w:r w:rsidRPr="00421986">
        <w:rPr>
          <w:rStyle w:val="FootnoteReference"/>
        </w:rPr>
        <w:footnoteReference w:id="2"/>
      </w:r>
      <w:r w:rsidRPr="00421986">
        <w:t xml:space="preserve"> </w:t>
      </w:r>
      <w:r>
        <w:t>“</w:t>
      </w:r>
      <w:r w:rsidRPr="00421986">
        <w:t>What are the benefits of new varieties of plants for society?</w:t>
      </w:r>
      <w:r>
        <w:t>”</w:t>
      </w:r>
      <w:r w:rsidRPr="00421986">
        <w:t xml:space="preserve"> provides a summary in that regard:</w:t>
      </w:r>
    </w:p>
    <w:p w14:paraId="2C370733" w14:textId="77777777" w:rsidR="0090485B" w:rsidRPr="00421986" w:rsidRDefault="0090485B" w:rsidP="0090485B"/>
    <w:p w14:paraId="561BFD14" w14:textId="77777777" w:rsidR="0090485B" w:rsidRPr="00421986" w:rsidRDefault="0090485B" w:rsidP="0090485B">
      <w:pPr>
        <w:ind w:left="567"/>
        <w:rPr>
          <w:i/>
          <w:sz w:val="18"/>
          <w:szCs w:val="18"/>
        </w:rPr>
      </w:pPr>
      <w:r w:rsidRPr="00421986">
        <w:rPr>
          <w:i/>
          <w:sz w:val="18"/>
          <w:szCs w:val="18"/>
        </w:rPr>
        <w:t>Feeding the World</w:t>
      </w:r>
    </w:p>
    <w:p w14:paraId="0AC8C209" w14:textId="77777777" w:rsidR="0090485B" w:rsidRPr="00421986" w:rsidRDefault="0090485B" w:rsidP="0090485B">
      <w:pPr>
        <w:ind w:left="567"/>
        <w:rPr>
          <w:sz w:val="18"/>
          <w:szCs w:val="18"/>
        </w:rPr>
      </w:pPr>
    </w:p>
    <w:p w14:paraId="52C8779C" w14:textId="77777777" w:rsidR="0090485B" w:rsidRPr="00421986" w:rsidRDefault="0090485B" w:rsidP="0090485B">
      <w:pPr>
        <w:ind w:left="567"/>
        <w:rPr>
          <w:sz w:val="18"/>
          <w:szCs w:val="18"/>
        </w:rPr>
      </w:pPr>
      <w:r w:rsidRPr="00421986">
        <w:rPr>
          <w:sz w:val="18"/>
          <w:szCs w:val="18"/>
        </w:rPr>
        <w:t>New, improved varieties of plants are an important and sustainable means of achieving food security in the context of population growth and climate change. New varieties that are adapted to the environment in which they are grown increase the choice of healthy, tasty and nutritious food while generating a viable income for farmers.</w:t>
      </w:r>
    </w:p>
    <w:p w14:paraId="6FA1792E" w14:textId="77777777" w:rsidR="0090485B" w:rsidRPr="00421986" w:rsidRDefault="0090485B" w:rsidP="0090485B">
      <w:pPr>
        <w:ind w:left="567"/>
        <w:rPr>
          <w:sz w:val="18"/>
          <w:szCs w:val="18"/>
        </w:rPr>
      </w:pPr>
    </w:p>
    <w:p w14:paraId="20B2CDED" w14:textId="77777777" w:rsidR="0090485B" w:rsidRPr="00421986" w:rsidRDefault="0090485B" w:rsidP="0090485B">
      <w:pPr>
        <w:ind w:left="567"/>
        <w:rPr>
          <w:i/>
          <w:sz w:val="18"/>
          <w:szCs w:val="18"/>
        </w:rPr>
      </w:pPr>
      <w:r w:rsidRPr="00421986">
        <w:rPr>
          <w:i/>
          <w:sz w:val="18"/>
          <w:szCs w:val="18"/>
        </w:rPr>
        <w:t>Improving lives in rural and urban areas and providing economic development</w:t>
      </w:r>
    </w:p>
    <w:p w14:paraId="0692CC73" w14:textId="77777777" w:rsidR="0090485B" w:rsidRPr="00421986" w:rsidRDefault="0090485B" w:rsidP="0090485B">
      <w:pPr>
        <w:ind w:left="567"/>
        <w:rPr>
          <w:sz w:val="18"/>
          <w:szCs w:val="18"/>
        </w:rPr>
      </w:pPr>
    </w:p>
    <w:p w14:paraId="48BA18F7" w14:textId="77777777" w:rsidR="0090485B" w:rsidRPr="00421986" w:rsidRDefault="0090485B" w:rsidP="0090485B">
      <w:pPr>
        <w:ind w:left="567"/>
        <w:rPr>
          <w:sz w:val="18"/>
          <w:szCs w:val="18"/>
        </w:rPr>
      </w:pPr>
      <w:r w:rsidRPr="00421986">
        <w:rPr>
          <w:sz w:val="18"/>
          <w:szCs w:val="18"/>
        </w:rPr>
        <w:t>Innovation in agriculture and horticulture is important for economic development. Production of diverse, high quality varieties of fruit, vegetables, ornamentals and agricultural crops provides increased income for farmers and employment for millions of people around the world. New varieties can be the key to accessing global markets and improving international trade for developing countries. At the same time, new varieties can support the development of urban agriculture and the growing of ornamental plants, shrubs and trees that contribute to improving the lives of people in the expanding urban environment.</w:t>
      </w:r>
    </w:p>
    <w:p w14:paraId="265C969F" w14:textId="77777777" w:rsidR="0090485B" w:rsidRPr="00421986" w:rsidRDefault="0090485B" w:rsidP="0090485B">
      <w:pPr>
        <w:ind w:left="567"/>
        <w:rPr>
          <w:sz w:val="18"/>
          <w:szCs w:val="18"/>
        </w:rPr>
      </w:pPr>
    </w:p>
    <w:p w14:paraId="490B11E6" w14:textId="77777777" w:rsidR="0090485B" w:rsidRPr="00421986" w:rsidRDefault="0090485B" w:rsidP="0090485B">
      <w:pPr>
        <w:ind w:left="567"/>
        <w:rPr>
          <w:i/>
          <w:sz w:val="18"/>
          <w:szCs w:val="18"/>
        </w:rPr>
      </w:pPr>
      <w:r w:rsidRPr="00421986">
        <w:rPr>
          <w:i/>
          <w:sz w:val="18"/>
          <w:szCs w:val="18"/>
        </w:rPr>
        <w:t>Respecting the natural environment</w:t>
      </w:r>
    </w:p>
    <w:p w14:paraId="48BA90FA" w14:textId="77777777" w:rsidR="0090485B" w:rsidRPr="00421986" w:rsidRDefault="0090485B" w:rsidP="0090485B">
      <w:pPr>
        <w:ind w:left="567"/>
        <w:rPr>
          <w:sz w:val="18"/>
          <w:szCs w:val="18"/>
        </w:rPr>
      </w:pPr>
    </w:p>
    <w:p w14:paraId="38589A4B" w14:textId="77777777" w:rsidR="0090485B" w:rsidRPr="00421986" w:rsidRDefault="0090485B" w:rsidP="0090485B">
      <w:pPr>
        <w:ind w:left="567"/>
        <w:rPr>
          <w:sz w:val="18"/>
          <w:szCs w:val="18"/>
        </w:rPr>
      </w:pPr>
      <w:r w:rsidRPr="00421986">
        <w:rPr>
          <w:sz w:val="18"/>
          <w:szCs w:val="18"/>
        </w:rPr>
        <w:t>Increasing productivity whilst respecting the natural environment is a key challenge in the context of population growth and climate change. Breeding plant varieties with improved yield, more efficient use of nutrients, resistance to plant pests and diseases, salt and drought tolerance and better adaptation to climatic stress can sustainably increase productivity and product quality in agriculture, horticulture and forestry, whilst minimizing the pressure on the natural environment.</w:t>
      </w:r>
    </w:p>
    <w:p w14:paraId="3A23F00F" w14:textId="77777777" w:rsidR="0090485B" w:rsidRPr="00421986" w:rsidRDefault="0090485B" w:rsidP="0090485B"/>
    <w:p w14:paraId="0FBD4DDD" w14:textId="77777777" w:rsidR="0090485B" w:rsidRPr="00421986" w:rsidRDefault="0090485B" w:rsidP="0090485B">
      <w:r w:rsidRPr="00421986">
        <w:t>The UPOV system of plant variety protection supports long-term investment in breeding and provides a framework for investment in the delivery of seed and other propagating material of varieties suited to farmers</w:t>
      </w:r>
      <w:r>
        <w:t>’</w:t>
      </w:r>
      <w:r w:rsidRPr="00421986">
        <w:t xml:space="preserve"> needs. </w:t>
      </w:r>
      <w:r>
        <w:t xml:space="preserve"> </w:t>
      </w:r>
      <w:r w:rsidRPr="00421986">
        <w:t xml:space="preserve">UPOV was created in 1961 for the development of agriculture and, since that time, has proven to be an effective system for supporting various types of breeders: </w:t>
      </w:r>
      <w:r>
        <w:t xml:space="preserve"> </w:t>
      </w:r>
      <w:r w:rsidRPr="00421986">
        <w:t xml:space="preserve">individuals, farmers, SMEs and larger breeding institutes/enterprises, in the private and public sectors.  From the outset, the UPOV system was conceived to deliver greatest progress in plant breeding and, therefore, to sustain greatest advances in agriculture for the benefit of farmers and society as a whole. </w:t>
      </w:r>
      <w:r>
        <w:t xml:space="preserve"> </w:t>
      </w:r>
      <w:r w:rsidRPr="00421986">
        <w:t xml:space="preserve">This concept is enshrined in the </w:t>
      </w:r>
      <w:r>
        <w:t>“</w:t>
      </w:r>
      <w:r w:rsidRPr="00421986">
        <w:t>breeder</w:t>
      </w:r>
      <w:r>
        <w:t>’</w:t>
      </w:r>
      <w:r w:rsidRPr="00421986">
        <w:t>s exemption</w:t>
      </w:r>
      <w:r>
        <w:t>”</w:t>
      </w:r>
      <w:r w:rsidRPr="00421986">
        <w:t xml:space="preserve">, a key feature of the UPOV system since its creation. </w:t>
      </w:r>
      <w:r>
        <w:t xml:space="preserve"> </w:t>
      </w:r>
      <w:r w:rsidRPr="00421986">
        <w:t>This exemption enables protected plant varieties to be available for further breeding by all types of breeders, thus recognizing that access to genetic resources is a prerequisite for any type of breeding (see FAQ</w:t>
      </w:r>
      <w:r w:rsidRPr="00421986">
        <w:rPr>
          <w:rStyle w:val="FootnoteReference"/>
        </w:rPr>
        <w:footnoteReference w:id="3"/>
      </w:r>
      <w:r w:rsidRPr="00421986">
        <w:t xml:space="preserve"> </w:t>
      </w:r>
      <w:r>
        <w:t>“</w:t>
      </w:r>
      <w:r w:rsidRPr="00421986">
        <w:t>How does the UPOV system support sustainable development?</w:t>
      </w:r>
      <w:r>
        <w:t>”</w:t>
      </w:r>
      <w:r w:rsidRPr="00421986">
        <w:t>).</w:t>
      </w:r>
    </w:p>
    <w:p w14:paraId="6C60C5AA" w14:textId="77777777" w:rsidR="0090485B" w:rsidRPr="00421986" w:rsidRDefault="0090485B" w:rsidP="0090485B"/>
    <w:p w14:paraId="578BF54E" w14:textId="77777777" w:rsidR="0090485B" w:rsidRPr="00421986" w:rsidRDefault="0090485B" w:rsidP="0090485B">
      <w:r w:rsidRPr="00421986">
        <w:t>The decision of the Council to organize a seminar in 2021 to exchange information and experiences on strategies involving plant breeding and plant variety protection that address broad policy issues is a demonstration of increased awareness of UPOV</w:t>
      </w:r>
      <w:r>
        <w:t>’</w:t>
      </w:r>
      <w:r w:rsidRPr="00421986">
        <w:t>s role.</w:t>
      </w:r>
    </w:p>
    <w:p w14:paraId="2F4E9691" w14:textId="77777777" w:rsidR="0090485B" w:rsidRPr="00421986" w:rsidRDefault="0090485B" w:rsidP="0090485B"/>
    <w:p w14:paraId="74F2FB5C" w14:textId="77777777" w:rsidR="0090485B" w:rsidRPr="00421986" w:rsidRDefault="0090485B" w:rsidP="0090485B"/>
    <w:p w14:paraId="28A1EB97" w14:textId="77777777" w:rsidR="0090485B" w:rsidRPr="00421986" w:rsidRDefault="0090485B" w:rsidP="0090485B">
      <w:pPr>
        <w:jc w:val="left"/>
      </w:pPr>
      <w:bookmarkStart w:id="437" w:name="_Toc61532294"/>
      <w:bookmarkStart w:id="438" w:name="_Toc61533689"/>
      <w:r w:rsidRPr="00421986">
        <w:br w:type="page"/>
      </w:r>
    </w:p>
    <w:p w14:paraId="66D7BA5F" w14:textId="77777777" w:rsidR="0090485B" w:rsidRPr="00421986" w:rsidRDefault="0090485B" w:rsidP="0090485B">
      <w:pPr>
        <w:pStyle w:val="Heading2"/>
      </w:pPr>
      <w:bookmarkStart w:id="439" w:name="_Toc77931025"/>
      <w:r w:rsidRPr="00421986">
        <w:lastRenderedPageBreak/>
        <w:t>Developments in UPOV</w:t>
      </w:r>
      <w:bookmarkEnd w:id="437"/>
      <w:bookmarkEnd w:id="438"/>
      <w:bookmarkEnd w:id="439"/>
    </w:p>
    <w:p w14:paraId="7D15C964" w14:textId="77777777" w:rsidR="0090485B" w:rsidRPr="00421986" w:rsidRDefault="0090485B" w:rsidP="0090485B"/>
    <w:p w14:paraId="47DBFD56" w14:textId="77777777" w:rsidR="0090485B" w:rsidRPr="00421986" w:rsidRDefault="0090485B" w:rsidP="0090485B">
      <w:r w:rsidRPr="00421986">
        <w:t xml:space="preserve">At the end of 2020, UPOV comprised 76 members covering 95 States (see Figure 1 </w:t>
      </w:r>
      <w:r>
        <w:t>“</w:t>
      </w:r>
      <w:r w:rsidRPr="00421986">
        <w:t>UPOV membership at December 31, 2020</w:t>
      </w:r>
      <w:r>
        <w:t>”</w:t>
      </w:r>
      <w:r w:rsidRPr="00421986">
        <w:t>).</w:t>
      </w:r>
    </w:p>
    <w:p w14:paraId="5D929765" w14:textId="77777777" w:rsidR="0090485B" w:rsidRPr="00421986" w:rsidRDefault="0090485B" w:rsidP="00904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90485B" w:rsidRPr="00421986" w14:paraId="14AC7A45" w14:textId="77777777" w:rsidTr="008F07B7">
        <w:trPr>
          <w:cantSplit/>
        </w:trPr>
        <w:tc>
          <w:tcPr>
            <w:tcW w:w="9855" w:type="dxa"/>
          </w:tcPr>
          <w:p w14:paraId="5BC6DEA6" w14:textId="77777777" w:rsidR="0090485B" w:rsidRDefault="0090485B" w:rsidP="008F07B7">
            <w:pPr>
              <w:keepNext/>
              <w:jc w:val="center"/>
              <w:rPr>
                <w:i/>
                <w:color w:val="26724C" w:themeColor="accent1" w:themeShade="BF"/>
                <w:sz w:val="18"/>
              </w:rPr>
            </w:pPr>
            <w:r w:rsidRPr="009B5431">
              <w:rPr>
                <w:i/>
                <w:color w:val="26724C" w:themeColor="accent1" w:themeShade="BF"/>
                <w:sz w:val="18"/>
              </w:rPr>
              <w:t>Figure 1.  UPOV membership at December 31, 2020 [territories of UPOV members shown in green]</w:t>
            </w:r>
          </w:p>
          <w:p w14:paraId="775861CA" w14:textId="77777777" w:rsidR="0090485B" w:rsidRPr="009B5431" w:rsidRDefault="0090485B" w:rsidP="008F07B7">
            <w:pPr>
              <w:keepNext/>
              <w:jc w:val="center"/>
              <w:rPr>
                <w:i/>
                <w:color w:val="26724C" w:themeColor="accent1" w:themeShade="BF"/>
              </w:rPr>
            </w:pPr>
          </w:p>
        </w:tc>
      </w:tr>
      <w:tr w:rsidR="0090485B" w:rsidRPr="00421986" w14:paraId="7911E8C8" w14:textId="77777777" w:rsidTr="008F07B7">
        <w:trPr>
          <w:cantSplit/>
        </w:trPr>
        <w:tc>
          <w:tcPr>
            <w:tcW w:w="9855" w:type="dxa"/>
          </w:tcPr>
          <w:p w14:paraId="37DB7485" w14:textId="77777777" w:rsidR="0090485B" w:rsidRPr="00421986" w:rsidRDefault="0090485B" w:rsidP="008F07B7">
            <w:pPr>
              <w:keepNext/>
              <w:jc w:val="center"/>
              <w:rPr>
                <w:sz w:val="14"/>
                <w:szCs w:val="14"/>
              </w:rPr>
            </w:pPr>
            <w:r w:rsidRPr="00421986">
              <w:rPr>
                <w:noProof/>
                <w:sz w:val="14"/>
                <w:szCs w:val="14"/>
              </w:rPr>
              <w:drawing>
                <wp:inline distT="0" distB="0" distL="0" distR="0" wp14:anchorId="32518264" wp14:editId="7C040586">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90485B" w:rsidRPr="00421986" w14:paraId="37B7E347" w14:textId="77777777" w:rsidTr="008F07B7">
        <w:trPr>
          <w:cantSplit/>
        </w:trPr>
        <w:tc>
          <w:tcPr>
            <w:tcW w:w="9855" w:type="dxa"/>
          </w:tcPr>
          <w:p w14:paraId="3F1C3206" w14:textId="77777777" w:rsidR="0090485B" w:rsidRPr="00421986" w:rsidRDefault="0090485B" w:rsidP="008F07B7">
            <w:pPr>
              <w:keepNext/>
            </w:pPr>
            <w:r w:rsidRPr="00421986">
              <w:rPr>
                <w:sz w:val="14"/>
                <w:szCs w:val="14"/>
              </w:rPr>
              <w:t>The boundaries shown on this map do not imply the expression of any opinion whatsoever on the part of UPOV concerning the legal status of any country or territory.</w:t>
            </w:r>
          </w:p>
        </w:tc>
      </w:tr>
    </w:tbl>
    <w:p w14:paraId="2496DF21" w14:textId="77777777" w:rsidR="0090485B" w:rsidRPr="00421986" w:rsidRDefault="0090485B" w:rsidP="0090485B"/>
    <w:p w14:paraId="4AFAC1A4" w14:textId="77777777" w:rsidR="0090485B" w:rsidRPr="00421986" w:rsidRDefault="0090485B" w:rsidP="0090485B"/>
    <w:p w14:paraId="10E38374" w14:textId="77777777" w:rsidR="0090485B" w:rsidRDefault="0090485B" w:rsidP="0090485B">
      <w:pPr>
        <w:spacing w:after="60"/>
      </w:pPr>
      <w:r>
        <w:t>T</w:t>
      </w:r>
      <w:r w:rsidRPr="00421986">
        <w:t>he evolution of UPOV membership</w:t>
      </w:r>
      <w:r>
        <w:t xml:space="preserve"> is illustrated in Figure 2.</w:t>
      </w:r>
    </w:p>
    <w:p w14:paraId="0336A893" w14:textId="77777777" w:rsidR="0090485B" w:rsidRDefault="0090485B" w:rsidP="0090485B">
      <w:pPr>
        <w:spacing w:after="60"/>
      </w:pPr>
    </w:p>
    <w:p w14:paraId="62EDC20D" w14:textId="77777777" w:rsidR="0090485B" w:rsidRPr="009B5431" w:rsidRDefault="0090485B" w:rsidP="0090485B">
      <w:pPr>
        <w:keepNext/>
        <w:jc w:val="center"/>
        <w:rPr>
          <w:i/>
          <w:color w:val="26724C" w:themeColor="accent1" w:themeShade="BF"/>
          <w:sz w:val="18"/>
        </w:rPr>
      </w:pPr>
      <w:r w:rsidRPr="009B5431">
        <w:rPr>
          <w:i/>
          <w:color w:val="26724C" w:themeColor="accent1" w:themeShade="BF"/>
          <w:sz w:val="18"/>
        </w:rPr>
        <w:t>Figure 2.  Development of UPOV membership</w:t>
      </w:r>
    </w:p>
    <w:p w14:paraId="563A64D6" w14:textId="77777777" w:rsidR="0090485B" w:rsidRPr="00C147C9" w:rsidRDefault="0090485B" w:rsidP="0090485B">
      <w:pPr>
        <w:jc w:val="center"/>
        <w:rPr>
          <w:rFonts w:eastAsia="MS Mincho"/>
          <w:lang w:eastAsia="ja-JP"/>
        </w:rPr>
      </w:pPr>
      <w:r w:rsidRPr="0059123B">
        <w:rPr>
          <w:rFonts w:eastAsia="MS Mincho"/>
          <w:noProof/>
        </w:rPr>
        <w:drawing>
          <wp:inline distT="0" distB="0" distL="0" distR="0" wp14:anchorId="4154E5A8" wp14:editId="70FB4129">
            <wp:extent cx="5645428" cy="346065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019" cy="3462240"/>
                    </a:xfrm>
                    <a:prstGeom prst="rect">
                      <a:avLst/>
                    </a:prstGeom>
                    <a:noFill/>
                    <a:ln>
                      <a:noFill/>
                    </a:ln>
                  </pic:spPr>
                </pic:pic>
              </a:graphicData>
            </a:graphic>
          </wp:inline>
        </w:drawing>
      </w:r>
    </w:p>
    <w:p w14:paraId="193B36BE" w14:textId="77777777" w:rsidR="0090485B" w:rsidRPr="00421986" w:rsidRDefault="0090485B" w:rsidP="0090485B">
      <w:pPr>
        <w:rPr>
          <w:rFonts w:eastAsia="MS Mincho"/>
          <w:lang w:eastAsia="ja-JP"/>
        </w:rPr>
      </w:pPr>
    </w:p>
    <w:p w14:paraId="0FAFD811" w14:textId="77777777" w:rsidR="0090485B" w:rsidRPr="00421986" w:rsidRDefault="0090485B" w:rsidP="0090485B">
      <w:pPr>
        <w:rPr>
          <w:i/>
        </w:rPr>
      </w:pPr>
    </w:p>
    <w:p w14:paraId="6800AAC3" w14:textId="77777777" w:rsidR="0090485B" w:rsidRPr="00421986" w:rsidRDefault="0090485B" w:rsidP="0090485B">
      <w:pPr>
        <w:keepNext/>
        <w:tabs>
          <w:tab w:val="left" w:pos="851"/>
        </w:tabs>
      </w:pPr>
      <w:r w:rsidRPr="00421986">
        <w:lastRenderedPageBreak/>
        <w:t>The following map (figure 3) provides a graphic overview of developments concerning the status in relation to UPOV during the three-year period 2018</w:t>
      </w:r>
      <w:r w:rsidRPr="00421986">
        <w:noBreakHyphen/>
        <w:t>2020.</w:t>
      </w:r>
    </w:p>
    <w:p w14:paraId="7CA3E995" w14:textId="77777777" w:rsidR="0090485B" w:rsidRPr="00421986" w:rsidRDefault="0090485B" w:rsidP="0090485B">
      <w:pPr>
        <w:keepNext/>
        <w:jc w:val="left"/>
        <w:rPr>
          <w:szCs w:val="18"/>
        </w:rPr>
      </w:pPr>
    </w:p>
    <w:p w14:paraId="3744E4CD" w14:textId="77777777" w:rsidR="0090485B" w:rsidRDefault="0090485B" w:rsidP="0090485B">
      <w:pPr>
        <w:keepNext/>
        <w:jc w:val="center"/>
        <w:rPr>
          <w:i/>
          <w:color w:val="26724C" w:themeColor="accent1" w:themeShade="BF"/>
          <w:sz w:val="18"/>
        </w:rPr>
      </w:pPr>
      <w:bookmarkStart w:id="440" w:name="_Toc524595643"/>
      <w:r w:rsidRPr="009B5431">
        <w:rPr>
          <w:i/>
          <w:color w:val="26724C" w:themeColor="accent1" w:themeShade="BF"/>
          <w:sz w:val="18"/>
        </w:rPr>
        <w:t>Figure 3.  Changes of status in relation to UPOV during the period 2018-20</w:t>
      </w:r>
      <w:bookmarkEnd w:id="440"/>
      <w:r w:rsidRPr="009B5431">
        <w:rPr>
          <w:i/>
          <w:color w:val="26724C" w:themeColor="accent1" w:themeShade="BF"/>
          <w:sz w:val="18"/>
        </w:rPr>
        <w:t>20</w:t>
      </w:r>
    </w:p>
    <w:p w14:paraId="690A670F" w14:textId="77777777" w:rsidR="0090485B" w:rsidRPr="009B5431" w:rsidRDefault="0090485B" w:rsidP="0090485B">
      <w:pPr>
        <w:keepNext/>
        <w:jc w:val="center"/>
        <w:rPr>
          <w:i/>
          <w:color w:val="26724C" w:themeColor="accent1" w:themeShade="BF"/>
          <w:sz w:val="18"/>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90485B" w:rsidRPr="00421986" w14:paraId="30F81498" w14:textId="77777777" w:rsidTr="008F07B7">
        <w:trPr>
          <w:cantSplit/>
        </w:trPr>
        <w:tc>
          <w:tcPr>
            <w:tcW w:w="9660" w:type="dxa"/>
          </w:tcPr>
          <w:p w14:paraId="4F209B71" w14:textId="77777777" w:rsidR="0090485B" w:rsidRPr="00421986" w:rsidRDefault="0090485B" w:rsidP="008F07B7">
            <w:pPr>
              <w:keepNext/>
              <w:rPr>
                <w:sz w:val="14"/>
                <w:szCs w:val="14"/>
              </w:rPr>
            </w:pPr>
            <w:r w:rsidRPr="00DC4BD1">
              <w:rPr>
                <w:noProof/>
              </w:rPr>
              <w:drawing>
                <wp:inline distT="0" distB="0" distL="0" distR="0" wp14:anchorId="71FFA7A5" wp14:editId="77CF588D">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90485B" w:rsidRPr="00E2374F" w14:paraId="45446FB3" w14:textId="77777777" w:rsidTr="008F07B7">
        <w:trPr>
          <w:cantSplit/>
        </w:trPr>
        <w:tc>
          <w:tcPr>
            <w:tcW w:w="9660" w:type="dxa"/>
          </w:tcPr>
          <w:p w14:paraId="383ADD31" w14:textId="77777777" w:rsidR="0090485B" w:rsidRPr="00C20F3E" w:rsidRDefault="0090485B" w:rsidP="008F07B7">
            <w:pPr>
              <w:keepNext/>
              <w:rPr>
                <w:i/>
                <w:sz w:val="14"/>
              </w:rPr>
            </w:pPr>
            <w:r w:rsidRPr="00C20F3E">
              <w:rPr>
                <w:i/>
                <w:sz w:val="14"/>
                <w:szCs w:val="14"/>
              </w:rPr>
              <w:t>The boundaries shown on this map do not imply the expression of any opinion whatsoever on the part of UPOV concerning the legal status of any country or territory.</w:t>
            </w:r>
          </w:p>
        </w:tc>
      </w:tr>
    </w:tbl>
    <w:p w14:paraId="6D7E0A21" w14:textId="77777777" w:rsidR="0090485B" w:rsidRPr="00421986" w:rsidRDefault="0090485B" w:rsidP="0090485B">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90485B" w:rsidRPr="004358F3" w14:paraId="795C7695" w14:textId="77777777" w:rsidTr="008F07B7">
        <w:tc>
          <w:tcPr>
            <w:tcW w:w="426" w:type="dxa"/>
          </w:tcPr>
          <w:p w14:paraId="1757879B" w14:textId="77777777" w:rsidR="0090485B" w:rsidRPr="004358F3" w:rsidRDefault="0090485B" w:rsidP="008F07B7">
            <w:pPr>
              <w:keepNext/>
              <w:spacing w:after="60"/>
              <w:jc w:val="left"/>
              <w:rPr>
                <w:sz w:val="16"/>
                <w:szCs w:val="16"/>
              </w:rPr>
            </w:pPr>
            <w:r w:rsidRPr="004358F3">
              <w:rPr>
                <w:noProof/>
                <w:sz w:val="16"/>
                <w:szCs w:val="16"/>
              </w:rPr>
              <w:drawing>
                <wp:inline distT="0" distB="0" distL="0" distR="0" wp14:anchorId="688523EA" wp14:editId="56BFAA3D">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3FA0347" w14:textId="77777777" w:rsidR="0090485B" w:rsidRPr="004358F3" w:rsidRDefault="0090485B" w:rsidP="008F07B7">
            <w:pPr>
              <w:keepNext/>
              <w:spacing w:before="60" w:after="60"/>
              <w:jc w:val="left"/>
              <w:rPr>
                <w:sz w:val="16"/>
                <w:szCs w:val="16"/>
              </w:rPr>
            </w:pPr>
            <w:r w:rsidRPr="004358F3">
              <w:rPr>
                <w:rFonts w:cs="Arial"/>
                <w:sz w:val="16"/>
                <w:szCs w:val="16"/>
              </w:rPr>
              <w:t xml:space="preserve">States and organizations that became members of </w:t>
            </w:r>
            <w:r>
              <w:rPr>
                <w:rFonts w:cs="Arial"/>
                <w:sz w:val="16"/>
                <w:szCs w:val="16"/>
              </w:rPr>
              <w:t>the Union</w:t>
            </w:r>
            <w:r w:rsidRPr="004358F3">
              <w:rPr>
                <w:rFonts w:cs="Arial"/>
                <w:sz w:val="16"/>
                <w:szCs w:val="16"/>
              </w:rPr>
              <w:t xml:space="preserve"> during 2018-2020 </w:t>
            </w:r>
            <w:r w:rsidRPr="004358F3">
              <w:rPr>
                <w:rFonts w:cs="Arial"/>
                <w:sz w:val="16"/>
                <w:szCs w:val="16"/>
              </w:rPr>
              <w:br/>
              <w:t>(Egypt)</w:t>
            </w:r>
          </w:p>
        </w:tc>
      </w:tr>
      <w:tr w:rsidR="0090485B" w:rsidRPr="004358F3" w14:paraId="7819F166" w14:textId="77777777" w:rsidTr="008F07B7">
        <w:tc>
          <w:tcPr>
            <w:tcW w:w="426" w:type="dxa"/>
          </w:tcPr>
          <w:p w14:paraId="6B3E3061" w14:textId="77777777" w:rsidR="0090485B" w:rsidRPr="004358F3" w:rsidRDefault="0090485B" w:rsidP="008F07B7">
            <w:pPr>
              <w:keepNext/>
              <w:spacing w:after="60"/>
              <w:jc w:val="left"/>
              <w:rPr>
                <w:sz w:val="16"/>
                <w:szCs w:val="16"/>
              </w:rPr>
            </w:pPr>
            <w:r w:rsidRPr="004358F3">
              <w:rPr>
                <w:rFonts w:cs="Arial"/>
                <w:noProof/>
                <w:sz w:val="16"/>
                <w:szCs w:val="16"/>
              </w:rPr>
              <w:drawing>
                <wp:inline distT="0" distB="0" distL="0" distR="0" wp14:anchorId="11F2C506" wp14:editId="297D2902">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4BD2FBFD" w14:textId="77777777" w:rsidR="0090485B" w:rsidRPr="004358F3" w:rsidRDefault="0090485B" w:rsidP="008F07B7">
            <w:pPr>
              <w:keepNext/>
              <w:spacing w:before="60" w:after="60"/>
              <w:jc w:val="left"/>
              <w:rPr>
                <w:sz w:val="16"/>
                <w:szCs w:val="16"/>
              </w:rPr>
            </w:pPr>
            <w:r w:rsidRPr="004358F3">
              <w:rPr>
                <w:rFonts w:cs="Arial"/>
                <w:sz w:val="16"/>
                <w:szCs w:val="16"/>
              </w:rPr>
              <w:t xml:space="preserve">States and organizations that acceded or ratified the 1991 Act of the </w:t>
            </w:r>
            <w:r>
              <w:rPr>
                <w:rFonts w:cs="Arial"/>
                <w:sz w:val="16"/>
                <w:szCs w:val="16"/>
              </w:rPr>
              <w:t>UPOV Convention</w:t>
            </w:r>
            <w:r w:rsidRPr="004358F3">
              <w:rPr>
                <w:rFonts w:cs="Arial"/>
                <w:sz w:val="16"/>
                <w:szCs w:val="16"/>
              </w:rPr>
              <w:t xml:space="preserve"> during 2018-2020</w:t>
            </w:r>
            <w:r w:rsidRPr="004358F3">
              <w:rPr>
                <w:rFonts w:cs="Arial"/>
                <w:sz w:val="16"/>
                <w:szCs w:val="16"/>
              </w:rPr>
              <w:br/>
              <w:t>(Belgium)</w:t>
            </w:r>
          </w:p>
        </w:tc>
      </w:tr>
      <w:tr w:rsidR="0090485B" w:rsidRPr="004358F3" w14:paraId="4D3755B3" w14:textId="77777777" w:rsidTr="008F07B7">
        <w:tc>
          <w:tcPr>
            <w:tcW w:w="426" w:type="dxa"/>
          </w:tcPr>
          <w:p w14:paraId="164EC3C1" w14:textId="77777777" w:rsidR="0090485B" w:rsidRPr="004358F3" w:rsidRDefault="0090485B" w:rsidP="008F07B7">
            <w:pPr>
              <w:keepNext/>
              <w:spacing w:after="60"/>
              <w:jc w:val="left"/>
              <w:rPr>
                <w:sz w:val="16"/>
                <w:szCs w:val="16"/>
              </w:rPr>
            </w:pPr>
            <w:r w:rsidRPr="004358F3">
              <w:rPr>
                <w:noProof/>
              </w:rPr>
              <w:drawing>
                <wp:inline distT="0" distB="0" distL="0" distR="0" wp14:anchorId="419B038C" wp14:editId="72E3F92F">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14:paraId="66B87397" w14:textId="77777777" w:rsidR="0090485B" w:rsidRPr="004358F3" w:rsidRDefault="0090485B" w:rsidP="008F07B7">
            <w:pPr>
              <w:keepNext/>
              <w:spacing w:before="60" w:after="60"/>
              <w:jc w:val="left"/>
              <w:rPr>
                <w:sz w:val="16"/>
                <w:szCs w:val="16"/>
              </w:rPr>
            </w:pPr>
            <w:r w:rsidRPr="004358F3">
              <w:rPr>
                <w:rFonts w:cs="Arial"/>
                <w:sz w:val="16"/>
                <w:szCs w:val="16"/>
              </w:rPr>
              <w:t xml:space="preserve">Members that contacted the Office of </w:t>
            </w:r>
            <w:r>
              <w:rPr>
                <w:rFonts w:cs="Arial"/>
                <w:sz w:val="16"/>
                <w:szCs w:val="16"/>
              </w:rPr>
              <w:t>the Union</w:t>
            </w:r>
            <w:r w:rsidRPr="004358F3">
              <w:rPr>
                <w:rFonts w:cs="Arial"/>
                <w:sz w:val="16"/>
                <w:szCs w:val="16"/>
              </w:rPr>
              <w:t xml:space="preserve"> for assistance in the development of legislation according to the 1991 Act of the </w:t>
            </w:r>
            <w:r>
              <w:rPr>
                <w:rFonts w:cs="Arial"/>
                <w:sz w:val="16"/>
                <w:szCs w:val="16"/>
              </w:rPr>
              <w:t>UPOV Convention</w:t>
            </w:r>
            <w:r w:rsidRPr="004358F3">
              <w:rPr>
                <w:rFonts w:cs="Arial"/>
                <w:sz w:val="16"/>
                <w:szCs w:val="16"/>
              </w:rPr>
              <w:t xml:space="preserve"> during 2018-2020</w:t>
            </w:r>
            <w:r w:rsidRPr="004358F3">
              <w:rPr>
                <w:rFonts w:cs="Arial"/>
                <w:sz w:val="16"/>
                <w:szCs w:val="16"/>
              </w:rPr>
              <w:br/>
              <w:t>(Colombia, Ecuador, Mexico, New Zealand, Paraguay, Trinidad and Tobago)</w:t>
            </w:r>
          </w:p>
        </w:tc>
      </w:tr>
      <w:tr w:rsidR="0090485B" w:rsidRPr="004358F3" w14:paraId="71E23A36" w14:textId="77777777" w:rsidTr="008F07B7">
        <w:tc>
          <w:tcPr>
            <w:tcW w:w="426" w:type="dxa"/>
          </w:tcPr>
          <w:p w14:paraId="5EDF98CE" w14:textId="77777777" w:rsidR="0090485B" w:rsidRPr="004358F3" w:rsidRDefault="0090485B" w:rsidP="008F07B7">
            <w:pPr>
              <w:keepNext/>
              <w:spacing w:after="60"/>
              <w:jc w:val="left"/>
              <w:rPr>
                <w:sz w:val="16"/>
                <w:szCs w:val="16"/>
              </w:rPr>
            </w:pPr>
            <w:r w:rsidRPr="004358F3">
              <w:rPr>
                <w:rFonts w:cs="Arial"/>
                <w:noProof/>
                <w:sz w:val="16"/>
                <w:szCs w:val="16"/>
              </w:rPr>
              <w:drawing>
                <wp:inline distT="0" distB="0" distL="0" distR="0" wp14:anchorId="2EDB6C6C" wp14:editId="32DB37E3">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42F5FC70" w14:textId="77777777" w:rsidR="0090485B" w:rsidRPr="004358F3" w:rsidRDefault="0090485B" w:rsidP="008F07B7">
            <w:pPr>
              <w:keepNext/>
              <w:spacing w:before="60" w:after="60"/>
              <w:jc w:val="left"/>
              <w:rPr>
                <w:sz w:val="16"/>
                <w:szCs w:val="16"/>
              </w:rPr>
            </w:pPr>
            <w:r w:rsidRPr="004358F3">
              <w:rPr>
                <w:rFonts w:cs="Arial"/>
                <w:sz w:val="16"/>
                <w:szCs w:val="16"/>
              </w:rPr>
              <w:t xml:space="preserve">States and organizations that initiated with the Council of UPOV the procedure for becoming members of </w:t>
            </w:r>
            <w:r>
              <w:rPr>
                <w:rFonts w:cs="Arial"/>
                <w:sz w:val="16"/>
                <w:szCs w:val="16"/>
              </w:rPr>
              <w:t>the Union</w:t>
            </w:r>
            <w:r w:rsidRPr="004358F3">
              <w:rPr>
                <w:rFonts w:cs="Arial"/>
                <w:sz w:val="16"/>
                <w:szCs w:val="16"/>
              </w:rPr>
              <w:t xml:space="preserve"> </w:t>
            </w:r>
            <w:r w:rsidRPr="004358F3">
              <w:rPr>
                <w:rFonts w:cs="Arial"/>
                <w:sz w:val="16"/>
                <w:szCs w:val="16"/>
              </w:rPr>
              <w:br/>
              <w:t>during 2018-2020</w:t>
            </w:r>
            <w:r w:rsidRPr="004358F3">
              <w:rPr>
                <w:rFonts w:cs="Arial"/>
                <w:sz w:val="16"/>
                <w:szCs w:val="16"/>
              </w:rPr>
              <w:br/>
              <w:t>(Afghanistan, Egypt, Mongolia, Myanmar, Nigeria, Saint Vincent and the Grenadines, United Arab Emirates and Zimbabwe)</w:t>
            </w:r>
          </w:p>
        </w:tc>
      </w:tr>
      <w:tr w:rsidR="0090485B" w:rsidRPr="004358F3" w14:paraId="73BD3B9B" w14:textId="77777777" w:rsidTr="008F07B7">
        <w:tc>
          <w:tcPr>
            <w:tcW w:w="426" w:type="dxa"/>
          </w:tcPr>
          <w:p w14:paraId="0EE02E8B" w14:textId="77777777" w:rsidR="0090485B" w:rsidRPr="004358F3" w:rsidRDefault="0090485B" w:rsidP="008F07B7">
            <w:pPr>
              <w:spacing w:after="60"/>
              <w:jc w:val="left"/>
              <w:rPr>
                <w:sz w:val="16"/>
                <w:szCs w:val="16"/>
              </w:rPr>
            </w:pPr>
            <w:r w:rsidRPr="004358F3">
              <w:rPr>
                <w:noProof/>
              </w:rPr>
              <w:drawing>
                <wp:inline distT="0" distB="0" distL="0" distR="0" wp14:anchorId="1EFBD256" wp14:editId="3DC10309">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14:paraId="496646F7" w14:textId="77777777" w:rsidR="0090485B" w:rsidRPr="004358F3" w:rsidRDefault="0090485B" w:rsidP="008F07B7">
            <w:pPr>
              <w:spacing w:before="60" w:after="60"/>
              <w:jc w:val="left"/>
              <w:rPr>
                <w:sz w:val="16"/>
                <w:szCs w:val="16"/>
              </w:rPr>
            </w:pPr>
            <w:r w:rsidRPr="004358F3">
              <w:rPr>
                <w:rFonts w:cs="Arial"/>
                <w:sz w:val="16"/>
                <w:szCs w:val="16"/>
              </w:rPr>
              <w:t xml:space="preserve">States and organizations that contacted the Office of </w:t>
            </w:r>
            <w:r>
              <w:rPr>
                <w:rFonts w:cs="Arial"/>
                <w:sz w:val="16"/>
                <w:szCs w:val="16"/>
              </w:rPr>
              <w:t>the Union</w:t>
            </w:r>
            <w:r w:rsidRPr="004358F3">
              <w:rPr>
                <w:rFonts w:cs="Arial"/>
                <w:sz w:val="16"/>
                <w:szCs w:val="16"/>
              </w:rPr>
              <w:t xml:space="preserve"> for assistance in the development of legislation according to the 1991 Act of the </w:t>
            </w:r>
            <w:r>
              <w:rPr>
                <w:rFonts w:cs="Arial"/>
                <w:sz w:val="16"/>
                <w:szCs w:val="16"/>
              </w:rPr>
              <w:t>UPOV Convention</w:t>
            </w:r>
            <w:r w:rsidRPr="004358F3">
              <w:rPr>
                <w:rFonts w:cs="Arial"/>
                <w:sz w:val="16"/>
                <w:szCs w:val="16"/>
              </w:rPr>
              <w:t xml:space="preserve"> during 2018-2020</w:t>
            </w:r>
            <w:r w:rsidRPr="004358F3">
              <w:rPr>
                <w:rFonts w:cs="Arial"/>
                <w:sz w:val="16"/>
                <w:szCs w:val="16"/>
              </w:rPr>
              <w:br/>
            </w:r>
            <w:r w:rsidRPr="004358F3">
              <w:rPr>
                <w:rFonts w:cs="Arial"/>
                <w:spacing w:val="-2"/>
                <w:sz w:val="16"/>
                <w:szCs w:val="16"/>
              </w:rPr>
              <w:t xml:space="preserve">(Afghanistan, Algeria, Antigua and Barbuda, Cambodia, Egypt, </w:t>
            </w:r>
            <w:r w:rsidRPr="004358F3">
              <w:rPr>
                <w:rFonts w:cs="Arial"/>
                <w:sz w:val="16"/>
                <w:szCs w:val="16"/>
              </w:rPr>
              <w:t xml:space="preserve">Indonesia, </w:t>
            </w:r>
            <w:r w:rsidRPr="004358F3">
              <w:rPr>
                <w:rFonts w:cs="Arial"/>
                <w:spacing w:val="-2"/>
                <w:sz w:val="16"/>
                <w:szCs w:val="16"/>
              </w:rPr>
              <w:t xml:space="preserve">Iran (Islamic Republic of), </w:t>
            </w:r>
            <w:r w:rsidRPr="004358F3">
              <w:rPr>
                <w:rFonts w:cs="Arial"/>
                <w:sz w:val="16"/>
                <w:szCs w:val="16"/>
              </w:rPr>
              <w:t xml:space="preserve">Iraq, </w:t>
            </w:r>
            <w:r w:rsidRPr="004358F3">
              <w:rPr>
                <w:rFonts w:cs="Arial"/>
                <w:spacing w:val="-2"/>
                <w:sz w:val="16"/>
                <w:szCs w:val="16"/>
              </w:rPr>
              <w:t>Jamaica, Kazakhstan, Lao People</w:t>
            </w:r>
            <w:r>
              <w:rPr>
                <w:rFonts w:cs="Arial"/>
                <w:spacing w:val="-2"/>
                <w:sz w:val="16"/>
                <w:szCs w:val="16"/>
              </w:rPr>
              <w:t>’</w:t>
            </w:r>
            <w:r w:rsidRPr="004358F3">
              <w:rPr>
                <w:rFonts w:cs="Arial"/>
                <w:spacing w:val="-2"/>
                <w:sz w:val="16"/>
                <w:szCs w:val="16"/>
              </w:rPr>
              <w:t>s Democratic Republic, Liechtenstein, Malawi, Malaysia, Mauritius, Mongolia, Myanmar, Nigeria, Saint Vincent and the Grenadines, Saudi Arabia, Thailand, United Arab Emirates</w:t>
            </w:r>
            <w:r w:rsidRPr="004358F3">
              <w:rPr>
                <w:rFonts w:cs="Arial"/>
                <w:sz w:val="16"/>
                <w:szCs w:val="16"/>
              </w:rPr>
              <w:t>, Zambia and Zimbabwe)</w:t>
            </w:r>
          </w:p>
        </w:tc>
      </w:tr>
    </w:tbl>
    <w:p w14:paraId="3DA4AD42" w14:textId="77777777" w:rsidR="0090485B" w:rsidRDefault="0090485B" w:rsidP="0090485B">
      <w:pPr>
        <w:jc w:val="left"/>
      </w:pPr>
    </w:p>
    <w:p w14:paraId="719791DE" w14:textId="77777777" w:rsidR="0090485B" w:rsidRDefault="0090485B" w:rsidP="0090485B">
      <w:pPr>
        <w:jc w:val="left"/>
      </w:pPr>
      <w:r>
        <w:br w:type="page"/>
      </w:r>
    </w:p>
    <w:p w14:paraId="5EC3EA22" w14:textId="77777777" w:rsidR="0090485B" w:rsidRPr="00421986" w:rsidRDefault="0090485B" w:rsidP="0090485B">
      <w:pPr>
        <w:autoSpaceDE w:val="0"/>
        <w:autoSpaceDN w:val="0"/>
        <w:adjustRightInd w:val="0"/>
        <w:rPr>
          <w:rFonts w:cs="Arial"/>
          <w:szCs w:val="19"/>
        </w:rPr>
      </w:pPr>
      <w:r w:rsidRPr="00421986">
        <w:rPr>
          <w:rFonts w:cs="Arial"/>
          <w:szCs w:val="19"/>
        </w:rPr>
        <w:lastRenderedPageBreak/>
        <w:t>The following chart demonstrates increasing interest in UPOV membership in recent years</w:t>
      </w:r>
      <w:r>
        <w:rPr>
          <w:rFonts w:cs="Arial"/>
          <w:szCs w:val="19"/>
        </w:rPr>
        <w:t>, with the reduction in 2020 possibly reflecting the challenges for progress during the COVID-19 pandemic.</w:t>
      </w:r>
    </w:p>
    <w:p w14:paraId="1CF9F731" w14:textId="77777777" w:rsidR="0090485B" w:rsidRPr="00421986" w:rsidRDefault="0090485B" w:rsidP="0090485B">
      <w:pPr>
        <w:autoSpaceDE w:val="0"/>
        <w:autoSpaceDN w:val="0"/>
        <w:adjustRightInd w:val="0"/>
        <w:rPr>
          <w:rFonts w:cs="Arial"/>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0485B" w:rsidRPr="00421986" w14:paraId="19660877" w14:textId="77777777" w:rsidTr="008F07B7">
        <w:tc>
          <w:tcPr>
            <w:tcW w:w="9629" w:type="dxa"/>
          </w:tcPr>
          <w:p w14:paraId="3C8CC84D" w14:textId="77777777" w:rsidR="0090485B" w:rsidRDefault="0090485B" w:rsidP="008F07B7">
            <w:pPr>
              <w:keepNext/>
              <w:jc w:val="center"/>
              <w:rPr>
                <w:i/>
                <w:color w:val="26724C" w:themeColor="accent1" w:themeShade="BF"/>
                <w:sz w:val="18"/>
              </w:rPr>
            </w:pPr>
            <w:r w:rsidRPr="009B5431">
              <w:rPr>
                <w:i/>
                <w:color w:val="26724C" w:themeColor="accent1" w:themeShade="BF"/>
                <w:sz w:val="18"/>
              </w:rPr>
              <w:t>Figure 4. States/organizations provided with comments on laws</w:t>
            </w:r>
          </w:p>
          <w:p w14:paraId="7FECFFF8" w14:textId="77777777" w:rsidR="0090485B" w:rsidRPr="009B5431" w:rsidRDefault="0090485B" w:rsidP="008F07B7">
            <w:pPr>
              <w:keepNext/>
              <w:jc w:val="center"/>
              <w:rPr>
                <w:i/>
                <w:color w:val="26724C" w:themeColor="accent1" w:themeShade="BF"/>
                <w:sz w:val="18"/>
              </w:rPr>
            </w:pPr>
          </w:p>
          <w:p w14:paraId="4224D0AB" w14:textId="77777777" w:rsidR="0090485B" w:rsidRPr="009B5431" w:rsidRDefault="0090485B" w:rsidP="008F07B7">
            <w:pPr>
              <w:keepNext/>
              <w:jc w:val="center"/>
              <w:rPr>
                <w:i/>
                <w:color w:val="26724C" w:themeColor="accent1" w:themeShade="BF"/>
                <w:sz w:val="18"/>
              </w:rPr>
            </w:pPr>
            <w:r w:rsidRPr="009B5431">
              <w:rPr>
                <w:i/>
                <w:color w:val="26724C" w:themeColor="accent1" w:themeShade="BF"/>
                <w:sz w:val="18"/>
              </w:rPr>
              <w:t xml:space="preserve"> </w:t>
            </w:r>
            <w:r w:rsidRPr="009B5431">
              <w:rPr>
                <w:i/>
                <w:noProof/>
                <w:color w:val="26724C" w:themeColor="accent1" w:themeShade="BF"/>
                <w:sz w:val="18"/>
              </w:rPr>
              <w:drawing>
                <wp:inline distT="0" distB="0" distL="0" distR="0" wp14:anchorId="309E4949" wp14:editId="436E4744">
                  <wp:extent cx="5641707" cy="336921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8721" cy="3373401"/>
                          </a:xfrm>
                          <a:prstGeom prst="rect">
                            <a:avLst/>
                          </a:prstGeom>
                          <a:noFill/>
                          <a:ln>
                            <a:noFill/>
                          </a:ln>
                        </pic:spPr>
                      </pic:pic>
                    </a:graphicData>
                  </a:graphic>
                </wp:inline>
              </w:drawing>
            </w:r>
          </w:p>
        </w:tc>
      </w:tr>
    </w:tbl>
    <w:p w14:paraId="7A5F769F" w14:textId="77777777" w:rsidR="0090485B" w:rsidRDefault="0090485B" w:rsidP="0090485B">
      <w:pPr>
        <w:jc w:val="left"/>
      </w:pPr>
    </w:p>
    <w:p w14:paraId="3B56B736" w14:textId="77777777" w:rsidR="0090485B" w:rsidRDefault="0090485B" w:rsidP="0090485B">
      <w:pPr>
        <w:jc w:val="left"/>
      </w:pPr>
    </w:p>
    <w:p w14:paraId="08BF596E" w14:textId="77777777" w:rsidR="0090485B" w:rsidRDefault="0090485B" w:rsidP="0090485B">
      <w:pPr>
        <w:jc w:val="left"/>
      </w:pPr>
      <w:r>
        <w:rPr>
          <w:rFonts w:cs="Arial"/>
          <w:szCs w:val="19"/>
        </w:rPr>
        <w:t xml:space="preserve">Developments in UPOV in relation to the following (see Figures 5-7): </w:t>
      </w:r>
    </w:p>
    <w:p w14:paraId="2FD67707" w14:textId="77777777" w:rsidR="0090485B" w:rsidRPr="00421986" w:rsidRDefault="0090485B" w:rsidP="0090485B">
      <w:pPr>
        <w:jc w:val="left"/>
      </w:pPr>
    </w:p>
    <w:p w14:paraId="51A10582" w14:textId="77777777" w:rsidR="0090485B" w:rsidRDefault="0090485B" w:rsidP="0090485B">
      <w:pPr>
        <w:pStyle w:val="ListParagraph"/>
        <w:numPr>
          <w:ilvl w:val="0"/>
          <w:numId w:val="10"/>
        </w:numPr>
        <w:rPr>
          <w:color w:val="000000" w:themeColor="text1"/>
        </w:rPr>
      </w:pPr>
      <w:r>
        <w:t>E</w:t>
      </w:r>
      <w:r w:rsidRPr="00421986">
        <w:t xml:space="preserve">xpansion in terms of </w:t>
      </w:r>
      <w:r w:rsidRPr="00E50B4D">
        <w:rPr>
          <w:color w:val="000000" w:themeColor="text1"/>
        </w:rPr>
        <w:t>applications, titles granted and titles in force (see Figure 5</w:t>
      </w:r>
      <w:r>
        <w:rPr>
          <w:color w:val="000000" w:themeColor="text1"/>
        </w:rPr>
        <w:t>);</w:t>
      </w:r>
    </w:p>
    <w:p w14:paraId="295D2E62" w14:textId="77777777" w:rsidR="0090485B" w:rsidRDefault="0090485B" w:rsidP="0090485B">
      <w:pPr>
        <w:pStyle w:val="ListParagraph"/>
        <w:numPr>
          <w:ilvl w:val="0"/>
          <w:numId w:val="10"/>
        </w:numPr>
        <w:rPr>
          <w:color w:val="000000" w:themeColor="text1"/>
        </w:rPr>
      </w:pPr>
      <w:r w:rsidRPr="00F31506">
        <w:rPr>
          <w:color w:val="000000" w:themeColor="text1"/>
        </w:rPr>
        <w:t xml:space="preserve">Evolution of offering protection to plant genera and species </w:t>
      </w:r>
      <w:r w:rsidRPr="00E50B4D">
        <w:rPr>
          <w:color w:val="000000" w:themeColor="text1"/>
        </w:rPr>
        <w:t>(see Figure 6)</w:t>
      </w:r>
      <w:r>
        <w:rPr>
          <w:color w:val="000000" w:themeColor="text1"/>
        </w:rPr>
        <w:t>;</w:t>
      </w:r>
      <w:r w:rsidRPr="00E50B4D">
        <w:rPr>
          <w:color w:val="000000" w:themeColor="text1"/>
        </w:rPr>
        <w:t xml:space="preserve"> and</w:t>
      </w:r>
    </w:p>
    <w:p w14:paraId="76C93D7D" w14:textId="77777777" w:rsidR="0090485B" w:rsidRPr="00E50B4D" w:rsidRDefault="0090485B" w:rsidP="0090485B">
      <w:pPr>
        <w:pStyle w:val="ListParagraph"/>
        <w:numPr>
          <w:ilvl w:val="0"/>
          <w:numId w:val="10"/>
        </w:numPr>
        <w:rPr>
          <w:color w:val="000000" w:themeColor="text1"/>
        </w:rPr>
      </w:pPr>
      <w:r>
        <w:rPr>
          <w:color w:val="000000" w:themeColor="text1"/>
        </w:rPr>
        <w:t xml:space="preserve">Increase in number of plant </w:t>
      </w:r>
      <w:r w:rsidRPr="00E50B4D">
        <w:rPr>
          <w:color w:val="000000" w:themeColor="text1"/>
        </w:rPr>
        <w:t>genera</w:t>
      </w:r>
      <w:r>
        <w:rPr>
          <w:color w:val="000000" w:themeColor="text1"/>
        </w:rPr>
        <w:t xml:space="preserve"> and </w:t>
      </w:r>
      <w:r w:rsidRPr="00E50B4D">
        <w:rPr>
          <w:color w:val="000000" w:themeColor="text1"/>
        </w:rPr>
        <w:t xml:space="preserve">species for which protection has been sought within the members of </w:t>
      </w:r>
      <w:r>
        <w:rPr>
          <w:color w:val="000000" w:themeColor="text1"/>
        </w:rPr>
        <w:t>the Union</w:t>
      </w:r>
      <w:r w:rsidRPr="00E50B4D">
        <w:rPr>
          <w:color w:val="000000" w:themeColor="text1"/>
        </w:rPr>
        <w:t xml:space="preserve"> (see Figure 7).</w:t>
      </w:r>
    </w:p>
    <w:p w14:paraId="2148E716" w14:textId="77777777" w:rsidR="0090485B" w:rsidRDefault="0090485B" w:rsidP="0090485B">
      <w:pPr>
        <w:rPr>
          <w:color w:val="000000" w:themeColor="text1"/>
        </w:rPr>
      </w:pPr>
    </w:p>
    <w:p w14:paraId="04D60871" w14:textId="77777777" w:rsidR="0090485B" w:rsidRPr="00421986" w:rsidRDefault="0090485B" w:rsidP="0090485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0485B" w:rsidRPr="00421986" w14:paraId="15ADE10E" w14:textId="77777777" w:rsidTr="008F07B7">
        <w:tc>
          <w:tcPr>
            <w:tcW w:w="9855" w:type="dxa"/>
          </w:tcPr>
          <w:p w14:paraId="220E9B8A" w14:textId="77777777" w:rsidR="0090485B" w:rsidRDefault="0090485B" w:rsidP="008F07B7">
            <w:pPr>
              <w:keepNext/>
              <w:jc w:val="center"/>
              <w:rPr>
                <w:i/>
                <w:color w:val="26724C" w:themeColor="accent1" w:themeShade="BF"/>
                <w:sz w:val="18"/>
              </w:rPr>
            </w:pPr>
            <w:r w:rsidRPr="00755D48">
              <w:rPr>
                <w:i/>
                <w:color w:val="26724C" w:themeColor="accent1" w:themeShade="BF"/>
                <w:sz w:val="18"/>
              </w:rPr>
              <w:t>Figure 5.  Number of applications, titles granted and titles in force in members of the Union</w:t>
            </w:r>
          </w:p>
          <w:p w14:paraId="2571B15C" w14:textId="77777777" w:rsidR="0090485B" w:rsidRPr="00755D48" w:rsidRDefault="0090485B" w:rsidP="008F07B7">
            <w:pPr>
              <w:keepNext/>
              <w:jc w:val="center"/>
              <w:rPr>
                <w:i/>
                <w:color w:val="26724C" w:themeColor="accent1" w:themeShade="BF"/>
                <w:sz w:val="18"/>
              </w:rPr>
            </w:pPr>
          </w:p>
        </w:tc>
      </w:tr>
      <w:tr w:rsidR="0090485B" w:rsidRPr="00421986" w14:paraId="64EEB0AC" w14:textId="77777777" w:rsidTr="008F07B7">
        <w:tc>
          <w:tcPr>
            <w:tcW w:w="9855" w:type="dxa"/>
          </w:tcPr>
          <w:p w14:paraId="4A9F8644" w14:textId="77777777" w:rsidR="0090485B" w:rsidRPr="00421986" w:rsidRDefault="0090485B" w:rsidP="008F07B7">
            <w:pPr>
              <w:jc w:val="center"/>
              <w:rPr>
                <w:color w:val="000000" w:themeColor="text1"/>
              </w:rPr>
            </w:pPr>
            <w:r>
              <w:rPr>
                <w:color w:val="000000" w:themeColor="text1"/>
              </w:rPr>
              <w:t xml:space="preserve"> </w:t>
            </w:r>
            <w:r w:rsidRPr="0014671E">
              <w:rPr>
                <w:noProof/>
                <w:color w:val="000000" w:themeColor="text1"/>
              </w:rPr>
              <w:drawing>
                <wp:inline distT="0" distB="0" distL="0" distR="0" wp14:anchorId="78B0DC0F" wp14:editId="33F71BEB">
                  <wp:extent cx="5190414" cy="316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0414" cy="3168000"/>
                          </a:xfrm>
                          <a:prstGeom prst="rect">
                            <a:avLst/>
                          </a:prstGeom>
                          <a:noFill/>
                          <a:ln>
                            <a:noFill/>
                          </a:ln>
                        </pic:spPr>
                      </pic:pic>
                    </a:graphicData>
                  </a:graphic>
                </wp:inline>
              </w:drawing>
            </w:r>
          </w:p>
        </w:tc>
      </w:tr>
    </w:tbl>
    <w:p w14:paraId="33FCABC0" w14:textId="77777777" w:rsidR="0090485B" w:rsidRPr="00421986" w:rsidRDefault="0090485B" w:rsidP="00904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0485B" w:rsidRPr="00421986" w14:paraId="3A608F82" w14:textId="77777777" w:rsidTr="008F07B7">
        <w:tc>
          <w:tcPr>
            <w:tcW w:w="9639" w:type="dxa"/>
          </w:tcPr>
          <w:p w14:paraId="7F55A27D" w14:textId="77777777" w:rsidR="0090485B" w:rsidRDefault="0090485B" w:rsidP="008F07B7">
            <w:pPr>
              <w:keepNext/>
              <w:jc w:val="center"/>
              <w:rPr>
                <w:i/>
                <w:color w:val="26724C" w:themeColor="accent1" w:themeShade="BF"/>
                <w:sz w:val="18"/>
              </w:rPr>
            </w:pPr>
            <w:r w:rsidRPr="00755D48">
              <w:rPr>
                <w:i/>
                <w:color w:val="26724C" w:themeColor="accent1" w:themeShade="BF"/>
                <w:sz w:val="18"/>
              </w:rPr>
              <w:lastRenderedPageBreak/>
              <w:t>Figure 6.  Evolution of offering protection to plant genera and species</w:t>
            </w:r>
          </w:p>
          <w:p w14:paraId="13478907" w14:textId="77777777" w:rsidR="0090485B" w:rsidRPr="00755D48" w:rsidRDefault="0090485B" w:rsidP="008F07B7">
            <w:pPr>
              <w:keepNext/>
              <w:jc w:val="center"/>
              <w:rPr>
                <w:i/>
                <w:color w:val="26724C" w:themeColor="accent1" w:themeShade="BF"/>
                <w:sz w:val="18"/>
              </w:rPr>
            </w:pPr>
          </w:p>
        </w:tc>
      </w:tr>
      <w:tr w:rsidR="0090485B" w:rsidRPr="00421986" w14:paraId="140E977F" w14:textId="77777777" w:rsidTr="008F07B7">
        <w:tc>
          <w:tcPr>
            <w:tcW w:w="9639" w:type="dxa"/>
          </w:tcPr>
          <w:p w14:paraId="256E5062" w14:textId="77777777" w:rsidR="0090485B" w:rsidRPr="00421986" w:rsidRDefault="0090485B" w:rsidP="008F07B7">
            <w:pPr>
              <w:jc w:val="center"/>
              <w:rPr>
                <w:color w:val="000000" w:themeColor="text1"/>
              </w:rPr>
            </w:pPr>
            <w:r>
              <w:rPr>
                <w:color w:val="000000" w:themeColor="text1"/>
              </w:rPr>
              <w:t xml:space="preserve"> </w:t>
            </w:r>
            <w:r w:rsidRPr="004D01D9">
              <w:rPr>
                <w:noProof/>
                <w:color w:val="000000" w:themeColor="text1"/>
              </w:rPr>
              <w:drawing>
                <wp:inline distT="0" distB="0" distL="0" distR="0" wp14:anchorId="29F6D293" wp14:editId="7CF920D3">
                  <wp:extent cx="5040000" cy="3203524"/>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3203524"/>
                          </a:xfrm>
                          <a:prstGeom prst="rect">
                            <a:avLst/>
                          </a:prstGeom>
                          <a:noFill/>
                          <a:ln>
                            <a:noFill/>
                          </a:ln>
                        </pic:spPr>
                      </pic:pic>
                    </a:graphicData>
                  </a:graphic>
                </wp:inline>
              </w:drawing>
            </w:r>
          </w:p>
        </w:tc>
      </w:tr>
    </w:tbl>
    <w:p w14:paraId="0ED69917" w14:textId="77777777" w:rsidR="0090485B" w:rsidRPr="00421986" w:rsidRDefault="0090485B" w:rsidP="0090485B">
      <w:pPr>
        <w:rPr>
          <w:color w:val="000000" w:themeColor="text1"/>
        </w:rPr>
      </w:pPr>
    </w:p>
    <w:p w14:paraId="59BBB270" w14:textId="77777777" w:rsidR="0090485B" w:rsidRPr="00421986" w:rsidRDefault="0090485B" w:rsidP="0090485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0485B" w:rsidRPr="00421986" w14:paraId="48FA330D" w14:textId="77777777" w:rsidTr="008F07B7">
        <w:tc>
          <w:tcPr>
            <w:tcW w:w="9639" w:type="dxa"/>
          </w:tcPr>
          <w:p w14:paraId="10B95D8A" w14:textId="77777777" w:rsidR="0090485B" w:rsidRDefault="0090485B" w:rsidP="008F07B7">
            <w:pPr>
              <w:keepNext/>
              <w:jc w:val="center"/>
              <w:rPr>
                <w:i/>
                <w:color w:val="26724C" w:themeColor="accent1" w:themeShade="BF"/>
                <w:sz w:val="18"/>
              </w:rPr>
            </w:pPr>
            <w:r w:rsidRPr="002E0951">
              <w:rPr>
                <w:i/>
                <w:color w:val="26724C" w:themeColor="accent1" w:themeShade="BF"/>
                <w:sz w:val="18"/>
              </w:rPr>
              <w:t>Figure 7.  Plant Breeders’ Rights Entries in PLUTO Plant Variety Database</w:t>
            </w:r>
          </w:p>
          <w:p w14:paraId="32462B5C" w14:textId="77777777" w:rsidR="0090485B" w:rsidRPr="00755D48" w:rsidRDefault="0090485B" w:rsidP="008F07B7">
            <w:pPr>
              <w:keepNext/>
              <w:jc w:val="center"/>
              <w:rPr>
                <w:i/>
                <w:color w:val="26724C" w:themeColor="accent1" w:themeShade="BF"/>
                <w:sz w:val="18"/>
              </w:rPr>
            </w:pPr>
          </w:p>
        </w:tc>
      </w:tr>
      <w:tr w:rsidR="0090485B" w:rsidRPr="00421986" w14:paraId="326512AD" w14:textId="77777777" w:rsidTr="008F07B7">
        <w:tc>
          <w:tcPr>
            <w:tcW w:w="9639" w:type="dxa"/>
          </w:tcPr>
          <w:p w14:paraId="41855044" w14:textId="77777777" w:rsidR="0090485B" w:rsidRPr="00421986" w:rsidRDefault="0090485B" w:rsidP="008F07B7">
            <w:pPr>
              <w:jc w:val="center"/>
              <w:rPr>
                <w:color w:val="000000" w:themeColor="text1"/>
              </w:rPr>
            </w:pPr>
            <w:r>
              <w:rPr>
                <w:noProof/>
                <w:color w:val="000000" w:themeColor="text1"/>
              </w:rPr>
              <w:drawing>
                <wp:inline distT="0" distB="0" distL="0" distR="0" wp14:anchorId="7C6D2D2B" wp14:editId="036AC7D5">
                  <wp:extent cx="5515200" cy="34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5200" cy="3452400"/>
                          </a:xfrm>
                          <a:prstGeom prst="rect">
                            <a:avLst/>
                          </a:prstGeom>
                          <a:noFill/>
                        </pic:spPr>
                      </pic:pic>
                    </a:graphicData>
                  </a:graphic>
                </wp:inline>
              </w:drawing>
            </w:r>
          </w:p>
        </w:tc>
      </w:tr>
    </w:tbl>
    <w:p w14:paraId="6A8A45BF" w14:textId="77777777" w:rsidR="0090485B" w:rsidRPr="00421986" w:rsidRDefault="0090485B" w:rsidP="0090485B">
      <w:pPr>
        <w:rPr>
          <w:color w:val="000000" w:themeColor="text1"/>
        </w:rPr>
      </w:pPr>
    </w:p>
    <w:p w14:paraId="55A2947D" w14:textId="77777777" w:rsidR="0090485B" w:rsidRPr="00421986" w:rsidRDefault="0090485B" w:rsidP="0090485B"/>
    <w:p w14:paraId="59277306" w14:textId="77777777" w:rsidR="0090485B" w:rsidRDefault="0090485B" w:rsidP="0090485B">
      <w:pPr>
        <w:jc w:val="left"/>
        <w:rPr>
          <w:color w:val="26724C" w:themeColor="accent1" w:themeShade="BF"/>
          <w:sz w:val="28"/>
        </w:rPr>
      </w:pPr>
      <w:bookmarkStart w:id="441" w:name="_Toc61532295"/>
      <w:bookmarkStart w:id="442" w:name="_Toc61533690"/>
      <w:r>
        <w:br w:type="page"/>
      </w:r>
    </w:p>
    <w:p w14:paraId="5974916F" w14:textId="77777777" w:rsidR="0090485B" w:rsidRPr="008B40C0" w:rsidRDefault="0090485B" w:rsidP="0090485B">
      <w:pPr>
        <w:pStyle w:val="Heading2"/>
      </w:pPr>
      <w:bookmarkStart w:id="443" w:name="_Toc77931026"/>
      <w:r w:rsidRPr="008B40C0">
        <w:lastRenderedPageBreak/>
        <w:t xml:space="preserve">Direction for the </w:t>
      </w:r>
      <w:r>
        <w:t>2022</w:t>
      </w:r>
      <w:r>
        <w:noBreakHyphen/>
        <w:t>2023</w:t>
      </w:r>
      <w:r w:rsidRPr="008B40C0">
        <w:t xml:space="preserve"> Biennium</w:t>
      </w:r>
      <w:bookmarkEnd w:id="441"/>
      <w:bookmarkEnd w:id="442"/>
      <w:bookmarkEnd w:id="443"/>
    </w:p>
    <w:p w14:paraId="67FC2A83" w14:textId="77777777" w:rsidR="0090485B" w:rsidRPr="00421986" w:rsidRDefault="0090485B" w:rsidP="0090485B">
      <w:pPr>
        <w:keepNext/>
      </w:pPr>
    </w:p>
    <w:p w14:paraId="4FF7BF9A" w14:textId="77777777" w:rsidR="0090485B" w:rsidRPr="00F77273" w:rsidRDefault="0090485B" w:rsidP="0090485B">
      <w:pPr>
        <w:pStyle w:val="Heading3"/>
        <w:rPr>
          <w:sz w:val="24"/>
        </w:rPr>
      </w:pPr>
      <w:bookmarkStart w:id="444" w:name="_Toc61532296"/>
      <w:bookmarkStart w:id="445" w:name="_Toc61533691"/>
      <w:bookmarkStart w:id="446" w:name="_Toc77931027"/>
      <w:r w:rsidRPr="00F77273">
        <w:t>Introduction</w:t>
      </w:r>
      <w:bookmarkEnd w:id="444"/>
      <w:bookmarkEnd w:id="445"/>
      <w:bookmarkEnd w:id="446"/>
    </w:p>
    <w:p w14:paraId="6E7E52E1" w14:textId="77777777" w:rsidR="0090485B" w:rsidRPr="00421986" w:rsidRDefault="0090485B" w:rsidP="0090485B"/>
    <w:p w14:paraId="7F3E7D11" w14:textId="45A073B5" w:rsidR="0090485B" w:rsidRPr="00421986" w:rsidRDefault="0090485B" w:rsidP="0090485B">
      <w:pPr>
        <w:tabs>
          <w:tab w:val="left" w:pos="851"/>
        </w:tabs>
        <w:rPr>
          <w:rFonts w:cs="Arial"/>
          <w:szCs w:val="19"/>
        </w:rPr>
      </w:pPr>
      <w:r>
        <w:t>T</w:t>
      </w:r>
      <w:r w:rsidRPr="00421986">
        <w:t xml:space="preserve">his Program and Budget for the </w:t>
      </w:r>
      <w:r>
        <w:t>2022</w:t>
      </w:r>
      <w:r>
        <w:noBreakHyphen/>
        <w:t>2023</w:t>
      </w:r>
      <w:r w:rsidRPr="00421986">
        <w:t xml:space="preserve"> Biennium has been prepared in the context of the Strategic Business Plan 2021-2025 approved by the Consultative Committee by corres</w:t>
      </w:r>
      <w:r w:rsidR="00D314EE">
        <w:t>pondence, in accordance with the procedure adopted by the Council in 2020</w:t>
      </w:r>
      <w:r w:rsidR="00D314EE">
        <w:rPr>
          <w:rStyle w:val="FootnoteReference"/>
        </w:rPr>
        <w:footnoteReference w:id="4"/>
      </w:r>
      <w:r w:rsidRPr="00421986">
        <w:rPr>
          <w:rFonts w:cs="Arial"/>
          <w:szCs w:val="19"/>
        </w:rPr>
        <w:t>.</w:t>
      </w:r>
    </w:p>
    <w:p w14:paraId="1B50F4C8" w14:textId="77777777" w:rsidR="0090485B" w:rsidRPr="00421986" w:rsidRDefault="0090485B" w:rsidP="0090485B">
      <w:pPr>
        <w:rPr>
          <w:rFonts w:cs="Arial"/>
          <w:szCs w:val="19"/>
        </w:rPr>
      </w:pPr>
    </w:p>
    <w:p w14:paraId="0BCB5D06" w14:textId="77777777" w:rsidR="0090485B" w:rsidRPr="00421986" w:rsidRDefault="0090485B" w:rsidP="0090485B">
      <w:pPr>
        <w:tabs>
          <w:tab w:val="left" w:pos="851"/>
        </w:tabs>
      </w:pPr>
      <w:r w:rsidRPr="00421986">
        <w:t>UPOV</w:t>
      </w:r>
      <w:r>
        <w:t>’</w:t>
      </w:r>
      <w:r w:rsidRPr="00421986">
        <w:t>s Strategic Bu</w:t>
      </w:r>
      <w:r>
        <w:t>siness Plan 2021-2025 identifies</w:t>
      </w:r>
      <w:r w:rsidRPr="00421986">
        <w:t xml:space="preserve"> the</w:t>
      </w:r>
      <w:r>
        <w:t xml:space="preserve"> following in relation to UPOV’s</w:t>
      </w:r>
      <w:r w:rsidRPr="00421986">
        <w:t xml:space="preserve"> direction, philosophy, and purpose:</w:t>
      </w:r>
    </w:p>
    <w:p w14:paraId="13BC63C8" w14:textId="77777777" w:rsidR="0090485B" w:rsidRPr="00421986" w:rsidRDefault="0090485B" w:rsidP="0090485B"/>
    <w:p w14:paraId="3D4CB6C4" w14:textId="77777777" w:rsidR="0090485B" w:rsidRPr="00421986" w:rsidRDefault="0090485B" w:rsidP="0090485B">
      <w:pPr>
        <w:ind w:left="1134" w:hanging="567"/>
        <w:rPr>
          <w:sz w:val="18"/>
          <w:szCs w:val="18"/>
        </w:rPr>
      </w:pPr>
      <w:r>
        <w:rPr>
          <w:sz w:val="18"/>
          <w:szCs w:val="18"/>
        </w:rPr>
        <w:t>“</w:t>
      </w:r>
      <w:r w:rsidRPr="00421986">
        <w:rPr>
          <w:sz w:val="18"/>
          <w:szCs w:val="18"/>
        </w:rPr>
        <w:t xml:space="preserve">7. </w:t>
      </w:r>
      <w:r w:rsidRPr="00421986">
        <w:rPr>
          <w:sz w:val="18"/>
          <w:szCs w:val="18"/>
        </w:rPr>
        <w:tab/>
        <w:t xml:space="preserve">In terms of providing an effective system of plant variety protection, UPOV has consistently emphasized that its priority is service to members of </w:t>
      </w:r>
      <w:r>
        <w:rPr>
          <w:sz w:val="18"/>
          <w:szCs w:val="18"/>
        </w:rPr>
        <w:t>the Union</w:t>
      </w:r>
      <w:r w:rsidRPr="00421986">
        <w:rPr>
          <w:sz w:val="18"/>
          <w:szCs w:val="18"/>
        </w:rPr>
        <w:t xml:space="preserve">. Assistance to States and organizations that are not members of </w:t>
      </w:r>
      <w:r>
        <w:rPr>
          <w:sz w:val="18"/>
          <w:szCs w:val="18"/>
        </w:rPr>
        <w:t>the Union</w:t>
      </w:r>
      <w:r w:rsidRPr="00421986">
        <w:rPr>
          <w:sz w:val="18"/>
          <w:szCs w:val="18"/>
        </w:rPr>
        <w:t xml:space="preserve"> is focused on the development of legislation in line with the 1991 Act of the </w:t>
      </w:r>
      <w:r>
        <w:rPr>
          <w:sz w:val="18"/>
          <w:szCs w:val="18"/>
        </w:rPr>
        <w:t>UPOV Convention</w:t>
      </w:r>
      <w:r w:rsidRPr="00421986">
        <w:rPr>
          <w:sz w:val="18"/>
          <w:szCs w:val="18"/>
        </w:rPr>
        <w:t xml:space="preserve"> in order to enable them to become members of </w:t>
      </w:r>
      <w:r>
        <w:rPr>
          <w:sz w:val="18"/>
          <w:szCs w:val="18"/>
        </w:rPr>
        <w:t>the Union</w:t>
      </w:r>
      <w:r w:rsidRPr="00421986">
        <w:rPr>
          <w:sz w:val="18"/>
          <w:szCs w:val="18"/>
        </w:rPr>
        <w:t xml:space="preserve">. This approach received endorsement from stakeholders in the WIPO Internal Oversight Division (IOD) </w:t>
      </w:r>
      <w:r>
        <w:rPr>
          <w:sz w:val="18"/>
          <w:szCs w:val="18"/>
        </w:rPr>
        <w:t>“</w:t>
      </w:r>
      <w:r w:rsidRPr="00421986">
        <w:rPr>
          <w:sz w:val="18"/>
          <w:szCs w:val="18"/>
        </w:rPr>
        <w:t>Evaluation of the International Union for the Protection of New Varieties of Plants (UPOV)</w:t>
      </w:r>
      <w:r>
        <w:rPr>
          <w:sz w:val="18"/>
          <w:szCs w:val="18"/>
        </w:rPr>
        <w:t>”</w:t>
      </w:r>
      <w:r w:rsidRPr="00421986">
        <w:rPr>
          <w:sz w:val="18"/>
          <w:szCs w:val="18"/>
        </w:rPr>
        <w:t xml:space="preserve"> (</w:t>
      </w:r>
      <w:r>
        <w:rPr>
          <w:sz w:val="18"/>
          <w:szCs w:val="18"/>
        </w:rPr>
        <w:t>“</w:t>
      </w:r>
      <w:r w:rsidRPr="00421986">
        <w:rPr>
          <w:sz w:val="18"/>
          <w:szCs w:val="18"/>
        </w:rPr>
        <w:t>IOD Evaluation of UPOV</w:t>
      </w:r>
      <w:r>
        <w:rPr>
          <w:sz w:val="18"/>
          <w:szCs w:val="18"/>
        </w:rPr>
        <w:t>”</w:t>
      </w:r>
      <w:r w:rsidRPr="00421986">
        <w:rPr>
          <w:sz w:val="18"/>
          <w:szCs w:val="18"/>
        </w:rPr>
        <w:t>), conducted in 2016.</w:t>
      </w:r>
    </w:p>
    <w:p w14:paraId="430C3F24" w14:textId="77777777" w:rsidR="0090485B" w:rsidRPr="00421986" w:rsidRDefault="0090485B" w:rsidP="0090485B">
      <w:pPr>
        <w:ind w:left="1134" w:hanging="567"/>
        <w:rPr>
          <w:sz w:val="18"/>
          <w:szCs w:val="18"/>
        </w:rPr>
      </w:pPr>
    </w:p>
    <w:p w14:paraId="47DF1BEC" w14:textId="77777777" w:rsidR="0090485B" w:rsidRPr="00421986" w:rsidRDefault="0090485B" w:rsidP="0090485B">
      <w:pPr>
        <w:ind w:left="1134" w:hanging="567"/>
        <w:rPr>
          <w:sz w:val="18"/>
          <w:szCs w:val="18"/>
        </w:rPr>
      </w:pPr>
      <w:r>
        <w:rPr>
          <w:sz w:val="18"/>
          <w:szCs w:val="18"/>
        </w:rPr>
        <w:t>“</w:t>
      </w:r>
      <w:r w:rsidRPr="00421986">
        <w:rPr>
          <w:sz w:val="18"/>
          <w:szCs w:val="18"/>
        </w:rPr>
        <w:t xml:space="preserve">8. </w:t>
      </w:r>
      <w:r w:rsidRPr="00421986">
        <w:rPr>
          <w:sz w:val="18"/>
          <w:szCs w:val="18"/>
        </w:rPr>
        <w:tab/>
        <w:t>The importance of promoting the UPOV system was highlighted in the UPOV Report on the Imp</w:t>
      </w:r>
      <w:r>
        <w:rPr>
          <w:sz w:val="18"/>
          <w:szCs w:val="18"/>
        </w:rPr>
        <w:t>act of Plant Variety Protection</w:t>
      </w:r>
      <w:r w:rsidRPr="00421986">
        <w:rPr>
          <w:sz w:val="18"/>
          <w:szCs w:val="18"/>
        </w:rPr>
        <w:t xml:space="preserve">, which demonstrated that the expansion of UPOV benefitted both existing and new members of </w:t>
      </w:r>
      <w:r>
        <w:rPr>
          <w:sz w:val="18"/>
          <w:szCs w:val="18"/>
        </w:rPr>
        <w:t>the Union</w:t>
      </w:r>
      <w:r w:rsidRPr="00421986">
        <w:rPr>
          <w:sz w:val="18"/>
          <w:szCs w:val="18"/>
        </w:rPr>
        <w:t xml:space="preserve"> (see </w:t>
      </w:r>
      <w:r>
        <w:rPr>
          <w:sz w:val="18"/>
          <w:szCs w:val="18"/>
        </w:rPr>
        <w:t>“</w:t>
      </w:r>
      <w:r w:rsidRPr="00421986">
        <w:rPr>
          <w:sz w:val="18"/>
          <w:szCs w:val="18"/>
        </w:rPr>
        <w:t>Expansion of UPOV: a benefit for new and old UPOV members</w:t>
      </w:r>
      <w:r>
        <w:rPr>
          <w:sz w:val="18"/>
          <w:szCs w:val="18"/>
        </w:rPr>
        <w:t>”</w:t>
      </w:r>
      <w:r w:rsidRPr="00421986">
        <w:rPr>
          <w:sz w:val="18"/>
          <w:szCs w:val="18"/>
        </w:rPr>
        <w:t>).</w:t>
      </w:r>
    </w:p>
    <w:p w14:paraId="553F1063" w14:textId="77777777" w:rsidR="0090485B" w:rsidRPr="00421986" w:rsidRDefault="0090485B" w:rsidP="0090485B">
      <w:pPr>
        <w:ind w:left="1134" w:hanging="567"/>
        <w:rPr>
          <w:sz w:val="18"/>
          <w:szCs w:val="18"/>
        </w:rPr>
      </w:pPr>
    </w:p>
    <w:p w14:paraId="6F649621" w14:textId="77777777" w:rsidR="0090485B" w:rsidRPr="00421986" w:rsidRDefault="0090485B" w:rsidP="0090485B">
      <w:pPr>
        <w:ind w:left="1134" w:hanging="567"/>
      </w:pPr>
      <w:r>
        <w:rPr>
          <w:sz w:val="18"/>
          <w:szCs w:val="18"/>
        </w:rPr>
        <w:t>“</w:t>
      </w:r>
      <w:r w:rsidRPr="00421986">
        <w:rPr>
          <w:sz w:val="18"/>
          <w:szCs w:val="18"/>
        </w:rPr>
        <w:t xml:space="preserve">9. </w:t>
      </w:r>
      <w:r w:rsidRPr="00421986">
        <w:rPr>
          <w:sz w:val="18"/>
          <w:szCs w:val="18"/>
        </w:rPr>
        <w:tab/>
        <w:t>Increasing information on the benefits of plant variety protection and UPOV membership in recent years has led to increasing interest in UPOV membership. At the same time, there is growing awareness of the fundamental importance of plant breeding to enable agriculture to provide food security for a growing global population while conserving the planet</w:t>
      </w:r>
      <w:r>
        <w:rPr>
          <w:sz w:val="18"/>
          <w:szCs w:val="18"/>
        </w:rPr>
        <w:t>’</w:t>
      </w:r>
      <w:r w:rsidRPr="00421986">
        <w:rPr>
          <w:sz w:val="18"/>
          <w:szCs w:val="18"/>
        </w:rPr>
        <w:t>s resources and adapting to climate change. Substantial improvements in the effectiveness of the UPOV system would be expected to further increase interest in UPOV membership. In order to deliver these improvements and support a growing UPOV membership, UPOV needs to continuously review its program of activities and the resources required.</w:t>
      </w:r>
      <w:r>
        <w:rPr>
          <w:sz w:val="18"/>
          <w:szCs w:val="18"/>
        </w:rPr>
        <w:t>”</w:t>
      </w:r>
    </w:p>
    <w:p w14:paraId="00E06CF9" w14:textId="77777777" w:rsidR="0090485B" w:rsidRPr="00421986" w:rsidRDefault="0090485B" w:rsidP="0090485B"/>
    <w:p w14:paraId="3CC13F09" w14:textId="77777777" w:rsidR="0090485B" w:rsidRPr="00421986" w:rsidRDefault="0090485B" w:rsidP="0090485B">
      <w:pPr>
        <w:tabs>
          <w:tab w:val="left" w:pos="851"/>
        </w:tabs>
      </w:pPr>
      <w:r w:rsidRPr="00421986">
        <w:t xml:space="preserve">While continuing proven and successful forms of support, the Program and Budget for the </w:t>
      </w:r>
      <w:r>
        <w:t>2022</w:t>
      </w:r>
      <w:r>
        <w:noBreakHyphen/>
        <w:t>2023</w:t>
      </w:r>
      <w:r w:rsidRPr="00421986">
        <w:t xml:space="preserve"> Biennium will deliver a new level of support for members of </w:t>
      </w:r>
      <w:r>
        <w:t>the Union</w:t>
      </w:r>
      <w:r w:rsidRPr="00421986">
        <w:t xml:space="preserve"> and increased outreach.  In particular, developments in information technology (IT), combined with the establishment of the post of </w:t>
      </w:r>
      <w:r>
        <w:t xml:space="preserve">a </w:t>
      </w:r>
      <w:r w:rsidRPr="00421986">
        <w:t>UPOV IT Officer</w:t>
      </w:r>
      <w:r>
        <w:t xml:space="preserve"> in the biennium 2020-2021</w:t>
      </w:r>
      <w:r w:rsidRPr="00421986">
        <w:t xml:space="preserve">, present new opportunities to enhance assistance for members of </w:t>
      </w:r>
      <w:r>
        <w:t>the Union</w:t>
      </w:r>
      <w:r w:rsidRPr="00421986">
        <w:t xml:space="preserve"> in the implementation of the UPOV system of plant variety protection and increase outreach in a wider range of languages</w:t>
      </w:r>
      <w:r>
        <w:t xml:space="preserve"> as outlined below</w:t>
      </w:r>
      <w:r w:rsidRPr="00421986">
        <w:t xml:space="preserve">.  </w:t>
      </w:r>
    </w:p>
    <w:p w14:paraId="5C9C070C" w14:textId="77777777" w:rsidR="0090485B" w:rsidRDefault="0090485B" w:rsidP="0090485B"/>
    <w:p w14:paraId="68C7474D" w14:textId="77777777" w:rsidR="0090485B" w:rsidRPr="00421986" w:rsidRDefault="0090485B" w:rsidP="0090485B"/>
    <w:p w14:paraId="40073D0C" w14:textId="77777777" w:rsidR="0090485B" w:rsidRPr="008B40C0" w:rsidRDefault="0090485B" w:rsidP="0090485B">
      <w:pPr>
        <w:pStyle w:val="Heading3"/>
      </w:pPr>
      <w:bookmarkStart w:id="447" w:name="_Toc42703033"/>
      <w:bookmarkStart w:id="448" w:name="_Toc61532297"/>
      <w:bookmarkStart w:id="449" w:name="_Toc61533692"/>
      <w:bookmarkStart w:id="450" w:name="_Toc77931028"/>
      <w:r w:rsidRPr="008B40C0">
        <w:t>Providing an effective system of plant variety protection</w:t>
      </w:r>
      <w:bookmarkEnd w:id="447"/>
      <w:bookmarkEnd w:id="448"/>
      <w:bookmarkEnd w:id="449"/>
      <w:bookmarkEnd w:id="450"/>
    </w:p>
    <w:p w14:paraId="70BDDAA9" w14:textId="77777777" w:rsidR="0090485B" w:rsidRPr="00421986" w:rsidRDefault="0090485B" w:rsidP="0090485B"/>
    <w:p w14:paraId="3E7A756A" w14:textId="77777777" w:rsidR="0090485B" w:rsidRPr="00421986" w:rsidRDefault="0090485B" w:rsidP="0090485B">
      <w:pPr>
        <w:pStyle w:val="ListParagraph"/>
        <w:tabs>
          <w:tab w:val="left" w:pos="851"/>
        </w:tabs>
        <w:ind w:left="0"/>
        <w:contextualSpacing w:val="0"/>
        <w:rPr>
          <w:color w:val="000000" w:themeColor="text1"/>
        </w:rPr>
      </w:pPr>
      <w:r>
        <w:rPr>
          <w:color w:val="000000" w:themeColor="text1"/>
        </w:rPr>
        <w:t>A</w:t>
      </w:r>
      <w:r w:rsidRPr="00421986">
        <w:rPr>
          <w:color w:val="000000" w:themeColor="text1"/>
        </w:rPr>
        <w:t xml:space="preserve">ssistance by the Office of </w:t>
      </w:r>
      <w:r>
        <w:rPr>
          <w:color w:val="000000" w:themeColor="text1"/>
        </w:rPr>
        <w:t>the Union</w:t>
      </w:r>
      <w:r w:rsidRPr="00421986">
        <w:rPr>
          <w:color w:val="000000" w:themeColor="text1"/>
        </w:rPr>
        <w:t xml:space="preserve"> will continue to be prioritized as follows:</w:t>
      </w:r>
    </w:p>
    <w:p w14:paraId="7AF72C43" w14:textId="77777777" w:rsidR="0090485B" w:rsidRPr="00421986" w:rsidRDefault="0090485B" w:rsidP="0090485B">
      <w:pPr>
        <w:keepNext/>
        <w:rPr>
          <w:color w:val="000000" w:themeColor="text1"/>
        </w:rPr>
      </w:pPr>
    </w:p>
    <w:p w14:paraId="7769EE7D" w14:textId="77777777" w:rsidR="0090485B" w:rsidRPr="00421986" w:rsidRDefault="0090485B" w:rsidP="0090485B">
      <w:pPr>
        <w:keepNext/>
        <w:spacing w:after="120"/>
        <w:ind w:left="1134" w:hanging="567"/>
        <w:rPr>
          <w:color w:val="000000" w:themeColor="text1"/>
        </w:rPr>
      </w:pPr>
      <w:r w:rsidRPr="00421986">
        <w:rPr>
          <w:color w:val="000000" w:themeColor="text1"/>
        </w:rPr>
        <w:t>(i)</w:t>
      </w:r>
      <w:r w:rsidRPr="00421986">
        <w:rPr>
          <w:color w:val="000000" w:themeColor="text1"/>
        </w:rPr>
        <w:tab/>
        <w:t xml:space="preserve">assistance to existing members of </w:t>
      </w:r>
      <w:r>
        <w:rPr>
          <w:color w:val="000000" w:themeColor="text1"/>
        </w:rPr>
        <w:t>the Union</w:t>
      </w:r>
      <w:r w:rsidRPr="00421986">
        <w:rPr>
          <w:color w:val="000000" w:themeColor="text1"/>
        </w:rPr>
        <w:t>;</w:t>
      </w:r>
    </w:p>
    <w:p w14:paraId="35EF1DD5" w14:textId="77777777" w:rsidR="0090485B" w:rsidRPr="00421986" w:rsidRDefault="0090485B" w:rsidP="0090485B">
      <w:pPr>
        <w:spacing w:after="120"/>
        <w:ind w:left="1134" w:hanging="567"/>
        <w:rPr>
          <w:color w:val="000000" w:themeColor="text1"/>
        </w:rPr>
      </w:pPr>
      <w:r w:rsidRPr="00421986">
        <w:rPr>
          <w:color w:val="000000" w:themeColor="text1"/>
        </w:rPr>
        <w:t>(ii)</w:t>
      </w:r>
      <w:r w:rsidRPr="00421986">
        <w:rPr>
          <w:color w:val="000000" w:themeColor="text1"/>
        </w:rPr>
        <w:tab/>
        <w:t xml:space="preserve">assistance to States and certain organizations that are not members of </w:t>
      </w:r>
      <w:r>
        <w:rPr>
          <w:color w:val="000000" w:themeColor="text1"/>
        </w:rPr>
        <w:t>the Union</w:t>
      </w:r>
      <w:r w:rsidRPr="00421986">
        <w:rPr>
          <w:color w:val="000000" w:themeColor="text1"/>
        </w:rPr>
        <w:t xml:space="preserve">, particularly governments of developing countries and countries in transition to a market economy, in the development of legislation in line with the 1991 Act of the </w:t>
      </w:r>
      <w:r>
        <w:rPr>
          <w:color w:val="000000" w:themeColor="text1"/>
        </w:rPr>
        <w:t>UPOV Convention</w:t>
      </w:r>
      <w:r w:rsidRPr="00421986">
        <w:rPr>
          <w:color w:val="000000" w:themeColor="text1"/>
        </w:rPr>
        <w:t xml:space="preserve"> and their accession to the </w:t>
      </w:r>
      <w:r>
        <w:rPr>
          <w:color w:val="000000" w:themeColor="text1"/>
        </w:rPr>
        <w:t>UPOV Convention</w:t>
      </w:r>
      <w:r w:rsidRPr="00421986">
        <w:rPr>
          <w:color w:val="000000" w:themeColor="text1"/>
        </w:rPr>
        <w:t>;  and</w:t>
      </w:r>
    </w:p>
    <w:p w14:paraId="315847ED" w14:textId="77777777" w:rsidR="0090485B" w:rsidRPr="00421986" w:rsidRDefault="0090485B" w:rsidP="0090485B">
      <w:pPr>
        <w:tabs>
          <w:tab w:val="left" w:pos="567"/>
        </w:tabs>
        <w:ind w:left="1134" w:hanging="567"/>
        <w:rPr>
          <w:color w:val="000000" w:themeColor="text1"/>
        </w:rPr>
      </w:pPr>
      <w:r w:rsidRPr="00421986">
        <w:rPr>
          <w:color w:val="000000" w:themeColor="text1"/>
        </w:rPr>
        <w:t>(iii)</w:t>
      </w:r>
      <w:r w:rsidRPr="00421986">
        <w:rPr>
          <w:color w:val="000000" w:themeColor="text1"/>
        </w:rPr>
        <w:tab/>
        <w:t xml:space="preserve">assistance to States and certain organizations that are not members of </w:t>
      </w:r>
      <w:r>
        <w:rPr>
          <w:color w:val="000000" w:themeColor="text1"/>
        </w:rPr>
        <w:t>the Union</w:t>
      </w:r>
      <w:r w:rsidRPr="00421986">
        <w:rPr>
          <w:color w:val="000000" w:themeColor="text1"/>
        </w:rPr>
        <w:t xml:space="preserve">, in the implementation of legislation that has received a positive decision of the Council, according to their commitment to accede to the </w:t>
      </w:r>
      <w:r>
        <w:rPr>
          <w:color w:val="000000" w:themeColor="text1"/>
        </w:rPr>
        <w:t>UPOV Convention</w:t>
      </w:r>
      <w:r w:rsidRPr="00421986">
        <w:rPr>
          <w:color w:val="000000" w:themeColor="text1"/>
        </w:rPr>
        <w:t>.</w:t>
      </w:r>
    </w:p>
    <w:p w14:paraId="22CC16E2" w14:textId="77777777" w:rsidR="0090485B" w:rsidRPr="00421986" w:rsidRDefault="0090485B" w:rsidP="0090485B"/>
    <w:p w14:paraId="0A969008" w14:textId="77777777" w:rsidR="0090485B" w:rsidRPr="00421986" w:rsidRDefault="0090485B" w:rsidP="0090485B">
      <w:pPr>
        <w:pStyle w:val="ListParagraph"/>
        <w:tabs>
          <w:tab w:val="left" w:pos="851"/>
        </w:tabs>
        <w:ind w:left="0"/>
        <w:contextualSpacing w:val="0"/>
      </w:pPr>
      <w:r w:rsidRPr="00421986">
        <w:t>The main objectives of UPOV in relation to providing an effective system of plant variety protection are</w:t>
      </w:r>
      <w:r w:rsidRPr="00421986">
        <w:rPr>
          <w:rStyle w:val="FootnoteReference"/>
        </w:rPr>
        <w:footnoteReference w:id="5"/>
      </w:r>
      <w:r w:rsidRPr="00421986">
        <w:t>:</w:t>
      </w:r>
    </w:p>
    <w:p w14:paraId="4D2031A9" w14:textId="77777777" w:rsidR="0090485B" w:rsidRPr="00421986" w:rsidRDefault="0090485B" w:rsidP="0090485B"/>
    <w:p w14:paraId="671E076B" w14:textId="77777777" w:rsidR="0090485B" w:rsidRPr="00421986" w:rsidRDefault="0090485B" w:rsidP="0090485B">
      <w:pPr>
        <w:pStyle w:val="ListParagraph"/>
        <w:numPr>
          <w:ilvl w:val="1"/>
          <w:numId w:val="6"/>
        </w:numPr>
        <w:ind w:left="1170" w:hanging="270"/>
      </w:pPr>
      <w:r w:rsidRPr="00421986">
        <w:t>provide and develop the legal, administrative and technical basis for international cooperation in plant variety protection;</w:t>
      </w:r>
      <w:r>
        <w:t xml:space="preserve">  and</w:t>
      </w:r>
    </w:p>
    <w:p w14:paraId="060F8AB6" w14:textId="77777777" w:rsidR="0090485B" w:rsidRPr="00421986" w:rsidRDefault="0090485B" w:rsidP="0090485B">
      <w:pPr>
        <w:pStyle w:val="ListParagraph"/>
        <w:numPr>
          <w:ilvl w:val="1"/>
          <w:numId w:val="6"/>
        </w:numPr>
        <w:ind w:left="1170" w:hanging="270"/>
      </w:pPr>
      <w:r w:rsidRPr="00421986">
        <w:t xml:space="preserve">assist States and organizations in the development of legislation and the implementation of an effective </w:t>
      </w:r>
      <w:r>
        <w:t>plant variety protection system.</w:t>
      </w:r>
    </w:p>
    <w:p w14:paraId="1D491EBE" w14:textId="77777777" w:rsidR="0090485B" w:rsidRPr="00421986" w:rsidRDefault="0090485B" w:rsidP="0090485B"/>
    <w:p w14:paraId="192D2276" w14:textId="77777777" w:rsidR="0090485B" w:rsidRPr="00421986" w:rsidRDefault="0090485B" w:rsidP="0090485B">
      <w:pPr>
        <w:pStyle w:val="ListParagraph"/>
        <w:tabs>
          <w:tab w:val="left" w:pos="851"/>
        </w:tabs>
        <w:ind w:left="0"/>
        <w:contextualSpacing w:val="0"/>
      </w:pPr>
      <w:r w:rsidRPr="00421986">
        <w:lastRenderedPageBreak/>
        <w:t xml:space="preserve">The means by which UPOV has sought to support an effective system of </w:t>
      </w:r>
      <w:r w:rsidRPr="00421986">
        <w:rPr>
          <w:snapToGrid w:val="0"/>
        </w:rPr>
        <w:t>plant variety protection</w:t>
      </w:r>
      <w:r w:rsidRPr="00421986">
        <w:t xml:space="preserve"> are summarized as follows (see Figure 8):</w:t>
      </w:r>
    </w:p>
    <w:p w14:paraId="738FCE9F" w14:textId="77777777" w:rsidR="0090485B" w:rsidRPr="00421986" w:rsidRDefault="0090485B" w:rsidP="0090485B">
      <w:pPr>
        <w:pStyle w:val="ListParagraph"/>
        <w:ind w:left="0"/>
        <w:contextualSpacing w:val="0"/>
      </w:pPr>
    </w:p>
    <w:p w14:paraId="6EF6AE15" w14:textId="77777777" w:rsidR="0090485B" w:rsidRDefault="0090485B" w:rsidP="0090485B">
      <w:pPr>
        <w:pStyle w:val="ListParagraph"/>
        <w:numPr>
          <w:ilvl w:val="0"/>
          <w:numId w:val="11"/>
        </w:numPr>
      </w:pPr>
      <w:r w:rsidRPr="00421986">
        <w:t>provision of guidance and information for harmonization in the implementation of the UPOV system of plant variety protection</w:t>
      </w:r>
      <w:r>
        <w:t>;</w:t>
      </w:r>
    </w:p>
    <w:p w14:paraId="08815371" w14:textId="77777777" w:rsidR="0090485B" w:rsidRDefault="0090485B" w:rsidP="0090485B">
      <w:pPr>
        <w:pStyle w:val="ListParagraph"/>
        <w:numPr>
          <w:ilvl w:val="0"/>
          <w:numId w:val="11"/>
        </w:numPr>
      </w:pPr>
      <w:r w:rsidRPr="00421986">
        <w:t xml:space="preserve">resources for implementation of the UPOV system (UPOV Lex, PLUTO and GENIE databases, TG Template and more recently </w:t>
      </w:r>
      <w:r>
        <w:t>UPOV PRISMA); and</w:t>
      </w:r>
    </w:p>
    <w:p w14:paraId="646ADA9C" w14:textId="77777777" w:rsidR="0090485B" w:rsidRPr="00421986" w:rsidRDefault="0090485B" w:rsidP="0090485B">
      <w:pPr>
        <w:pStyle w:val="ListParagraph"/>
        <w:numPr>
          <w:ilvl w:val="0"/>
          <w:numId w:val="11"/>
        </w:numPr>
      </w:pPr>
      <w:r w:rsidRPr="00421986">
        <w:t>training and assistance in the form of distance-learning training courses, events and activities and UPOV staff missions, in conjunction with programs supported by mem</w:t>
      </w:r>
      <w:r>
        <w:t>bers of the Union through extra</w:t>
      </w:r>
      <w:r w:rsidRPr="00421986">
        <w:t>budgetary funds.</w:t>
      </w:r>
    </w:p>
    <w:p w14:paraId="7251743A" w14:textId="77777777" w:rsidR="0090485B" w:rsidRPr="00421986" w:rsidRDefault="0090485B" w:rsidP="0090485B">
      <w:pPr>
        <w:pStyle w:val="ListParagraph"/>
        <w:ind w:left="0"/>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0485B" w:rsidRPr="00421986" w14:paraId="17F1118C" w14:textId="77777777" w:rsidTr="008F07B7">
        <w:tc>
          <w:tcPr>
            <w:tcW w:w="9629" w:type="dxa"/>
          </w:tcPr>
          <w:p w14:paraId="39E4C1F1" w14:textId="77777777" w:rsidR="0090485B" w:rsidRPr="00755D48" w:rsidRDefault="0090485B" w:rsidP="008F07B7">
            <w:pPr>
              <w:keepNext/>
              <w:jc w:val="center"/>
              <w:rPr>
                <w:i/>
                <w:color w:val="26724C" w:themeColor="accent1" w:themeShade="BF"/>
                <w:sz w:val="18"/>
              </w:rPr>
            </w:pPr>
            <w:r w:rsidRPr="00755D48">
              <w:rPr>
                <w:i/>
                <w:color w:val="26724C" w:themeColor="accent1" w:themeShade="BF"/>
                <w:sz w:val="18"/>
              </w:rPr>
              <w:t xml:space="preserve">Figure 8.  Harmonization, Resources, Training and Assistance </w:t>
            </w:r>
          </w:p>
        </w:tc>
      </w:tr>
      <w:tr w:rsidR="0090485B" w:rsidRPr="00421986" w14:paraId="6A53AB8B" w14:textId="77777777" w:rsidTr="008F07B7">
        <w:tc>
          <w:tcPr>
            <w:tcW w:w="9629" w:type="dxa"/>
          </w:tcPr>
          <w:p w14:paraId="163AD6EB" w14:textId="77777777" w:rsidR="0090485B" w:rsidRPr="00421986" w:rsidRDefault="0090485B" w:rsidP="008F07B7">
            <w:pPr>
              <w:pStyle w:val="ListParagraph"/>
              <w:ind w:left="0"/>
              <w:contextualSpacing w:val="0"/>
              <w:jc w:val="center"/>
            </w:pPr>
            <w:r w:rsidRPr="00F57CB7">
              <w:rPr>
                <w:noProof/>
              </w:rPr>
              <w:drawing>
                <wp:inline distT="0" distB="0" distL="0" distR="0" wp14:anchorId="3280D793" wp14:editId="13DAE7CA">
                  <wp:extent cx="4721483" cy="3312000"/>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6366"/>
                          <a:stretch/>
                        </pic:blipFill>
                        <pic:spPr bwMode="auto">
                          <a:xfrm>
                            <a:off x="0" y="0"/>
                            <a:ext cx="4721483" cy="331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E8D9DA" w14:textId="77777777" w:rsidR="0090485B" w:rsidRPr="00421986" w:rsidRDefault="0090485B" w:rsidP="0090485B">
      <w:pPr>
        <w:pStyle w:val="ListParagraph"/>
        <w:ind w:left="0"/>
        <w:contextualSpacing w:val="0"/>
      </w:pPr>
    </w:p>
    <w:p w14:paraId="4DFA3851" w14:textId="77777777" w:rsidR="0090485B" w:rsidRPr="00421986" w:rsidRDefault="0090485B" w:rsidP="0090485B">
      <w:pPr>
        <w:pStyle w:val="ListParagraph"/>
        <w:tabs>
          <w:tab w:val="left" w:pos="851"/>
        </w:tabs>
        <w:ind w:left="0"/>
        <w:contextualSpacing w:val="0"/>
      </w:pPr>
      <w:r w:rsidRPr="00421986">
        <w:t xml:space="preserve">The above approach has been effective in assisting States and certain organizations that are not members of </w:t>
      </w:r>
      <w:r>
        <w:t>the Union</w:t>
      </w:r>
      <w:r w:rsidRPr="00421986">
        <w:t xml:space="preserve"> in the development of legislation in line with the 1991 Act of the </w:t>
      </w:r>
      <w:r>
        <w:t>UPOV Convention</w:t>
      </w:r>
      <w:r w:rsidRPr="00421986">
        <w:t xml:space="preserve"> and their accession to the </w:t>
      </w:r>
      <w:r>
        <w:t>UPOV Convention.</w:t>
      </w:r>
    </w:p>
    <w:p w14:paraId="134F5724" w14:textId="77777777" w:rsidR="0090485B" w:rsidRPr="00421986" w:rsidRDefault="0090485B" w:rsidP="0090485B">
      <w:pPr>
        <w:pStyle w:val="ListParagraph"/>
        <w:ind w:left="0"/>
        <w:contextualSpacing w:val="0"/>
      </w:pPr>
    </w:p>
    <w:p w14:paraId="65CEC024" w14:textId="77777777" w:rsidR="0090485B" w:rsidRPr="00421986" w:rsidRDefault="0090485B" w:rsidP="0090485B">
      <w:pPr>
        <w:tabs>
          <w:tab w:val="left" w:pos="851"/>
        </w:tabs>
      </w:pPr>
      <w:r w:rsidRPr="00421986">
        <w:t xml:space="preserve">In relation to supporting members of </w:t>
      </w:r>
      <w:r>
        <w:t>the Union</w:t>
      </w:r>
      <w:r w:rsidRPr="00421986">
        <w:t xml:space="preserve"> in the implementation of the UPOV system, in recognition of limited resources, the approach has focused on centralized support </w:t>
      </w:r>
      <w:r>
        <w:t>for</w:t>
      </w:r>
      <w:r w:rsidRPr="00421986">
        <w:t xml:space="preserve"> all members of </w:t>
      </w:r>
      <w:r>
        <w:t>the Union</w:t>
      </w:r>
      <w:r w:rsidRPr="00421986">
        <w:t xml:space="preserve">; particularly, guidance and information materials, databases and distance learning courses.  Assistance to individual members of </w:t>
      </w:r>
      <w:r>
        <w:t>the Union</w:t>
      </w:r>
      <w:r w:rsidRPr="00421986">
        <w:t xml:space="preserve"> was focused on events and activities supported by UPOV staff missions, which were largely possible thanks to extrabudgetary funds for non UPOV staff costs.  Such an approach was </w:t>
      </w:r>
      <w:r>
        <w:t>effective</w:t>
      </w:r>
      <w:r w:rsidRPr="00421986">
        <w:t xml:space="preserve"> in the </w:t>
      </w:r>
      <w:r>
        <w:t>early stages of UPOV’s development</w:t>
      </w:r>
      <w:r w:rsidRPr="00421986">
        <w:t xml:space="preserve"> when members of </w:t>
      </w:r>
      <w:r>
        <w:t>the Union</w:t>
      </w:r>
      <w:r w:rsidRPr="00421986">
        <w:t xml:space="preserve"> tended to have systems already in place, even at the time of joining UPOV.  </w:t>
      </w:r>
      <w:r>
        <w:t>However</w:t>
      </w:r>
      <w:r w:rsidRPr="00421986">
        <w:t xml:space="preserve">, </w:t>
      </w:r>
      <w:r>
        <w:t xml:space="preserve">many </w:t>
      </w:r>
      <w:r w:rsidRPr="00421986">
        <w:t>new</w:t>
      </w:r>
      <w:r>
        <w:t>er</w:t>
      </w:r>
      <w:r w:rsidRPr="00421986">
        <w:t xml:space="preserve"> members of </w:t>
      </w:r>
      <w:r>
        <w:t>the Union</w:t>
      </w:r>
      <w:r w:rsidRPr="00421986">
        <w:t xml:space="preserve"> </w:t>
      </w:r>
      <w:r>
        <w:t xml:space="preserve">would benefit from </w:t>
      </w:r>
      <w:r w:rsidRPr="00421986">
        <w:t>practical resources</w:t>
      </w:r>
      <w:r>
        <w:t xml:space="preserve"> for implementing the UPOV system</w:t>
      </w:r>
      <w:r w:rsidRPr="00421986">
        <w:t xml:space="preserve">.  The following section identifies opportunities for UPOV to provide such practical resources in the </w:t>
      </w:r>
      <w:r>
        <w:t>2022</w:t>
      </w:r>
      <w:r>
        <w:noBreakHyphen/>
        <w:t>2023</w:t>
      </w:r>
      <w:r w:rsidRPr="00421986">
        <w:t xml:space="preserve"> </w:t>
      </w:r>
      <w:r>
        <w:t>biennium</w:t>
      </w:r>
      <w:r w:rsidRPr="00421986">
        <w:t xml:space="preserve">. </w:t>
      </w:r>
    </w:p>
    <w:p w14:paraId="47AE0A88" w14:textId="77777777" w:rsidR="0090485B" w:rsidRPr="00421986" w:rsidRDefault="0090485B" w:rsidP="0090485B"/>
    <w:p w14:paraId="7AD6DAFF" w14:textId="77777777" w:rsidR="0090485B" w:rsidRPr="00421986" w:rsidRDefault="0090485B" w:rsidP="0090485B">
      <w:pPr>
        <w:tabs>
          <w:tab w:val="left" w:pos="851"/>
        </w:tabs>
      </w:pPr>
      <w:r w:rsidRPr="00421986">
        <w:t xml:space="preserve">The introduction of </w:t>
      </w:r>
      <w:r>
        <w:t>UPOV PRISMA</w:t>
      </w:r>
      <w:r w:rsidRPr="00421986">
        <w:t xml:space="preserve"> was an important step towards providing practical assistance for individual members of </w:t>
      </w:r>
      <w:r>
        <w:t>the Union</w:t>
      </w:r>
      <w:r w:rsidRPr="00421986">
        <w:t xml:space="preserve">, by providing an online application system. </w:t>
      </w:r>
    </w:p>
    <w:p w14:paraId="1F9C4F71" w14:textId="77777777" w:rsidR="0090485B" w:rsidRPr="00421986" w:rsidRDefault="0090485B" w:rsidP="0090485B"/>
    <w:p w14:paraId="4AA05D9E" w14:textId="77777777" w:rsidR="0090485B" w:rsidRPr="00421986" w:rsidRDefault="0090485B" w:rsidP="0090485B">
      <w:pPr>
        <w:pStyle w:val="ListParagraph"/>
        <w:tabs>
          <w:tab w:val="left" w:pos="851"/>
        </w:tabs>
        <w:ind w:left="0"/>
        <w:contextualSpacing w:val="0"/>
      </w:pPr>
      <w:r w:rsidRPr="00421986">
        <w:t xml:space="preserve">Developments in IT, combined with the establishment of the post of </w:t>
      </w:r>
      <w:r>
        <w:t xml:space="preserve">a </w:t>
      </w:r>
      <w:r w:rsidRPr="00421986">
        <w:t xml:space="preserve">UPOV IT Officer, present further opportunities to provide assistance for individual members of </w:t>
      </w:r>
      <w:r>
        <w:t>the Union</w:t>
      </w:r>
      <w:r w:rsidRPr="00421986">
        <w:t xml:space="preserve"> in</w:t>
      </w:r>
      <w:r>
        <w:t xml:space="preserve"> the implementation of the UPOV </w:t>
      </w:r>
      <w:r w:rsidRPr="00421986">
        <w:t>system of plant variety protection, enabling UPOV to move to another level of assistance, subject to availability of t</w:t>
      </w:r>
      <w:r>
        <w:t>he human and financial resources.</w:t>
      </w:r>
      <w:r w:rsidRPr="00421986">
        <w:t xml:space="preserve">  </w:t>
      </w:r>
    </w:p>
    <w:p w14:paraId="05345FC0" w14:textId="77777777" w:rsidR="0090485B" w:rsidRPr="00421986" w:rsidRDefault="0090485B" w:rsidP="0090485B">
      <w:pPr>
        <w:pStyle w:val="ListParagraph"/>
        <w:ind w:left="0"/>
        <w:contextualSpacing w:val="0"/>
      </w:pPr>
    </w:p>
    <w:p w14:paraId="454A0B10" w14:textId="64F7AE99" w:rsidR="0090485B" w:rsidRDefault="0090485B" w:rsidP="0090485B">
      <w:pPr>
        <w:pStyle w:val="ListParagraph"/>
        <w:tabs>
          <w:tab w:val="left" w:pos="851"/>
        </w:tabs>
        <w:ind w:left="0"/>
        <w:contextualSpacing w:val="0"/>
      </w:pPr>
      <w:r w:rsidRPr="00421986">
        <w:t>Restriction in mobility as a result of the COVID-19 pandemic ha</w:t>
      </w:r>
      <w:r>
        <w:t>s</w:t>
      </w:r>
      <w:r w:rsidRPr="00421986">
        <w:t xml:space="preserve"> revealed opportunities to reduce travel costs while increasing access and assistance to members of </w:t>
      </w:r>
      <w:r>
        <w:t>the Union</w:t>
      </w:r>
      <w:r w:rsidRPr="00421986">
        <w:t xml:space="preserve"> and stakeholders.  One aim in the </w:t>
      </w:r>
      <w:r>
        <w:t>2022</w:t>
      </w:r>
      <w:r>
        <w:noBreakHyphen/>
        <w:t>2023 b</w:t>
      </w:r>
      <w:r w:rsidRPr="00421986">
        <w:t>iennium will be to divert financial resources from travel costs to enable investment in new forms of</w:t>
      </w:r>
      <w:r>
        <w:t xml:space="preserve"> assistance</w:t>
      </w:r>
      <w:r w:rsidRPr="00421986">
        <w:t>.</w:t>
      </w:r>
    </w:p>
    <w:p w14:paraId="0CF20BD0" w14:textId="77777777" w:rsidR="009E1482" w:rsidRDefault="009E1482" w:rsidP="0090485B">
      <w:pPr>
        <w:pStyle w:val="ListParagraph"/>
        <w:tabs>
          <w:tab w:val="left" w:pos="851"/>
        </w:tabs>
        <w:ind w:left="0"/>
        <w:contextualSpacing w:val="0"/>
      </w:pPr>
    </w:p>
    <w:p w14:paraId="44973523" w14:textId="77777777" w:rsidR="0090485B" w:rsidRPr="000410EB" w:rsidRDefault="0090485B" w:rsidP="0090485B">
      <w:pPr>
        <w:pStyle w:val="Heading5"/>
      </w:pPr>
      <w:bookmarkStart w:id="451" w:name="_Toc42703036"/>
      <w:bookmarkStart w:id="452" w:name="_Toc61532298"/>
      <w:bookmarkStart w:id="453" w:name="_Toc61533693"/>
      <w:r w:rsidRPr="000410EB">
        <w:t>IT Tools for implementation of the UPOV system</w:t>
      </w:r>
      <w:bookmarkEnd w:id="451"/>
      <w:bookmarkEnd w:id="452"/>
      <w:bookmarkEnd w:id="453"/>
      <w:r w:rsidRPr="000410EB">
        <w:t xml:space="preserve"> </w:t>
      </w:r>
    </w:p>
    <w:p w14:paraId="77DE4EC3" w14:textId="77777777" w:rsidR="0090485B" w:rsidRPr="00421986" w:rsidRDefault="0090485B" w:rsidP="0090485B">
      <w:pPr>
        <w:keepNext/>
      </w:pPr>
    </w:p>
    <w:p w14:paraId="268080E2" w14:textId="77777777" w:rsidR="0090485B" w:rsidRPr="00421986" w:rsidRDefault="0090485B" w:rsidP="0090485B">
      <w:pPr>
        <w:pStyle w:val="ListParagraph"/>
        <w:tabs>
          <w:tab w:val="left" w:pos="851"/>
        </w:tabs>
        <w:ind w:left="0"/>
        <w:contextualSpacing w:val="0"/>
      </w:pPr>
      <w:r w:rsidRPr="00421986">
        <w:t xml:space="preserve">In accordance with the Strategic Business Plan 2021-2025 (see document CC/97/3, Annex II), it is planned that the following package of compatible tools will be further developed in the </w:t>
      </w:r>
      <w:r>
        <w:t>2022</w:t>
      </w:r>
      <w:r>
        <w:noBreakHyphen/>
        <w:t>2023</w:t>
      </w:r>
      <w:r w:rsidRPr="00421986">
        <w:t xml:space="preserve"> </w:t>
      </w:r>
      <w:r>
        <w:t>biennium</w:t>
      </w:r>
      <w:r w:rsidRPr="00421986">
        <w:t xml:space="preserve">.  These tools will provide coherent and comprehensive assistance in the implementation of the UPOV system of plant variety protection, some or all of which could be used by </w:t>
      </w:r>
      <w:r>
        <w:t>members of the Union</w:t>
      </w:r>
      <w:r w:rsidRPr="00421986">
        <w:t>, as considered appropriate:</w:t>
      </w:r>
    </w:p>
    <w:p w14:paraId="2ADD2343" w14:textId="77777777" w:rsidR="0090485B" w:rsidRPr="00421986" w:rsidRDefault="0090485B" w:rsidP="0090485B"/>
    <w:p w14:paraId="009E8DEC" w14:textId="77777777" w:rsidR="0090485B" w:rsidRPr="00421986" w:rsidRDefault="0090485B" w:rsidP="0090485B">
      <w:pPr>
        <w:pStyle w:val="ListParagraph"/>
        <w:numPr>
          <w:ilvl w:val="0"/>
          <w:numId w:val="7"/>
        </w:numPr>
        <w:spacing w:after="120"/>
        <w:ind w:hanging="357"/>
        <w:contextualSpacing w:val="0"/>
      </w:pPr>
      <w:r w:rsidRPr="00421986">
        <w:t>Applying for PVP</w:t>
      </w:r>
    </w:p>
    <w:p w14:paraId="5DB73C46" w14:textId="77777777" w:rsidR="0090485B" w:rsidRPr="00421986" w:rsidRDefault="0090485B" w:rsidP="0090485B">
      <w:pPr>
        <w:pStyle w:val="ListParagraph"/>
        <w:numPr>
          <w:ilvl w:val="1"/>
          <w:numId w:val="7"/>
        </w:numPr>
        <w:spacing w:after="40"/>
        <w:ind w:hanging="357"/>
        <w:contextualSpacing w:val="0"/>
      </w:pPr>
      <w:r w:rsidRPr="00421986">
        <w:t xml:space="preserve">Extending coverage of </w:t>
      </w:r>
      <w:r>
        <w:t>UPOV PRISMA</w:t>
      </w:r>
      <w:r w:rsidRPr="00421986">
        <w:t xml:space="preserve"> to more </w:t>
      </w:r>
      <w:r>
        <w:t>members of the Union</w:t>
      </w:r>
      <w:r w:rsidRPr="00421986">
        <w:t xml:space="preserve"> and more crops/species</w:t>
      </w:r>
    </w:p>
    <w:p w14:paraId="59902358" w14:textId="77777777" w:rsidR="0090485B" w:rsidRPr="00421986" w:rsidRDefault="0090485B" w:rsidP="0090485B">
      <w:pPr>
        <w:pStyle w:val="ListParagraph"/>
        <w:numPr>
          <w:ilvl w:val="1"/>
          <w:numId w:val="7"/>
        </w:numPr>
        <w:spacing w:after="40"/>
        <w:ind w:hanging="357"/>
        <w:contextualSpacing w:val="0"/>
      </w:pPr>
      <w:r w:rsidRPr="00421986">
        <w:t>UPOV member cooperation platforms (e.g. regional) to cooperate in the administration and examination of applications</w:t>
      </w:r>
    </w:p>
    <w:p w14:paraId="09A8CB14" w14:textId="77777777" w:rsidR="0090485B" w:rsidRPr="00421986" w:rsidRDefault="0090485B" w:rsidP="0090485B">
      <w:pPr>
        <w:pStyle w:val="ListParagraph"/>
        <w:numPr>
          <w:ilvl w:val="0"/>
          <w:numId w:val="7"/>
        </w:numPr>
        <w:spacing w:before="120" w:after="120"/>
        <w:ind w:left="930" w:hanging="357"/>
        <w:contextualSpacing w:val="0"/>
      </w:pPr>
      <w:r w:rsidRPr="00421986">
        <w:t>Administration of PVP applications</w:t>
      </w:r>
    </w:p>
    <w:p w14:paraId="2B836528" w14:textId="77777777" w:rsidR="0090485B" w:rsidRPr="00421986" w:rsidRDefault="0090485B" w:rsidP="0090485B">
      <w:pPr>
        <w:pStyle w:val="ListParagraph"/>
        <w:numPr>
          <w:ilvl w:val="1"/>
          <w:numId w:val="7"/>
        </w:numPr>
        <w:spacing w:after="40"/>
        <w:ind w:hanging="357"/>
        <w:contextualSpacing w:val="0"/>
      </w:pPr>
      <w:r w:rsidRPr="00421986">
        <w:t xml:space="preserve">Electronic PVP administration module for </w:t>
      </w:r>
      <w:r>
        <w:t>members of the Union</w:t>
      </w:r>
      <w:r w:rsidRPr="00421986">
        <w:t xml:space="preserve"> to </w:t>
      </w:r>
      <w:r>
        <w:t>manage and publish PVP </w:t>
      </w:r>
      <w:r w:rsidRPr="00421986">
        <w:t>applications</w:t>
      </w:r>
    </w:p>
    <w:p w14:paraId="6ACC6D6B" w14:textId="77777777" w:rsidR="0090485B" w:rsidRPr="00421986" w:rsidRDefault="0090485B" w:rsidP="0090485B">
      <w:pPr>
        <w:pStyle w:val="ListParagraph"/>
        <w:numPr>
          <w:ilvl w:val="1"/>
          <w:numId w:val="7"/>
        </w:numPr>
        <w:spacing w:after="40"/>
        <w:ind w:hanging="357"/>
        <w:contextualSpacing w:val="0"/>
      </w:pPr>
      <w:r w:rsidRPr="009E2EF9">
        <w:rPr>
          <w:rFonts w:cs="Arial"/>
          <w:snapToGrid w:val="0"/>
          <w:color w:val="000000"/>
        </w:rPr>
        <w:t xml:space="preserve">UPOV similarity search tool for variety denomination purposes </w:t>
      </w:r>
      <w:r w:rsidRPr="00421986">
        <w:t xml:space="preserve">based on UPOV agreed algorithm running on data in the PLUTO database </w:t>
      </w:r>
    </w:p>
    <w:p w14:paraId="3F8EA36C" w14:textId="77777777" w:rsidR="0090485B" w:rsidRPr="00421986" w:rsidRDefault="0090485B" w:rsidP="0090485B">
      <w:pPr>
        <w:pStyle w:val="ListParagraph"/>
        <w:numPr>
          <w:ilvl w:val="1"/>
          <w:numId w:val="7"/>
        </w:numPr>
        <w:spacing w:after="40"/>
        <w:ind w:hanging="357"/>
        <w:contextualSpacing w:val="0"/>
      </w:pPr>
      <w:r w:rsidRPr="00421986">
        <w:t xml:space="preserve">Enhancement of PLUTO database by increasing quantity and quality of data included </w:t>
      </w:r>
    </w:p>
    <w:p w14:paraId="5E204252" w14:textId="77777777" w:rsidR="0090485B" w:rsidRPr="00421986" w:rsidRDefault="0090485B" w:rsidP="0090485B">
      <w:pPr>
        <w:pStyle w:val="ListParagraph"/>
        <w:numPr>
          <w:ilvl w:val="0"/>
          <w:numId w:val="7"/>
        </w:numPr>
        <w:spacing w:before="120" w:after="120"/>
        <w:ind w:left="930" w:hanging="357"/>
        <w:contextualSpacing w:val="0"/>
      </w:pPr>
      <w:r w:rsidRPr="00421986">
        <w:t>Facilitating cooperation in DUS examination</w:t>
      </w:r>
    </w:p>
    <w:p w14:paraId="169D26B2" w14:textId="77777777" w:rsidR="0090485B" w:rsidRPr="00421986" w:rsidRDefault="0090485B" w:rsidP="0090485B">
      <w:pPr>
        <w:pStyle w:val="ListParagraph"/>
        <w:numPr>
          <w:ilvl w:val="1"/>
          <w:numId w:val="7"/>
        </w:numPr>
        <w:spacing w:after="40"/>
        <w:ind w:hanging="357"/>
        <w:contextualSpacing w:val="0"/>
        <w:rPr>
          <w:color w:val="000000" w:themeColor="text1"/>
        </w:rPr>
      </w:pPr>
      <w:r w:rsidRPr="00421986">
        <w:rPr>
          <w:color w:val="000000" w:themeColor="text1"/>
        </w:rPr>
        <w:t xml:space="preserve">Platform for exchange of existing DUS reports </w:t>
      </w:r>
    </w:p>
    <w:p w14:paraId="25E24B83" w14:textId="77777777" w:rsidR="0090485B" w:rsidRPr="00421986" w:rsidRDefault="0090485B" w:rsidP="0090485B">
      <w:pPr>
        <w:pStyle w:val="ListParagraph"/>
        <w:numPr>
          <w:ilvl w:val="1"/>
          <w:numId w:val="7"/>
        </w:numPr>
        <w:spacing w:after="40"/>
        <w:ind w:hanging="357"/>
        <w:contextualSpacing w:val="0"/>
        <w:rPr>
          <w:color w:val="000000" w:themeColor="text1"/>
        </w:rPr>
      </w:pPr>
      <w:r w:rsidRPr="00421986">
        <w:rPr>
          <w:color w:val="000000" w:themeColor="text1"/>
        </w:rPr>
        <w:t xml:space="preserve">Tool to provide information on cooperation in DUS examination between </w:t>
      </w:r>
      <w:r>
        <w:rPr>
          <w:color w:val="000000" w:themeColor="text1"/>
        </w:rPr>
        <w:t>members of the Union</w:t>
      </w:r>
      <w:r w:rsidRPr="00421986">
        <w:rPr>
          <w:color w:val="000000" w:themeColor="text1"/>
        </w:rPr>
        <w:t xml:space="preserve"> to PVP applicants in a user-friendly form </w:t>
      </w:r>
    </w:p>
    <w:p w14:paraId="7577BA0D" w14:textId="77777777" w:rsidR="0090485B" w:rsidRPr="00421986" w:rsidRDefault="0090485B" w:rsidP="0090485B">
      <w:pPr>
        <w:pStyle w:val="ListParagraph"/>
        <w:numPr>
          <w:ilvl w:val="1"/>
          <w:numId w:val="7"/>
        </w:numPr>
        <w:spacing w:after="40"/>
        <w:ind w:hanging="357"/>
        <w:contextualSpacing w:val="0"/>
        <w:rPr>
          <w:color w:val="000000" w:themeColor="text1"/>
        </w:rPr>
      </w:pPr>
      <w:r w:rsidRPr="00421986">
        <w:rPr>
          <w:color w:val="000000" w:themeColor="text1"/>
        </w:rPr>
        <w:t xml:space="preserve">Platform for </w:t>
      </w:r>
      <w:r>
        <w:rPr>
          <w:color w:val="000000" w:themeColor="text1"/>
        </w:rPr>
        <w:t>members of the Union</w:t>
      </w:r>
      <w:r w:rsidRPr="00421986">
        <w:rPr>
          <w:color w:val="000000" w:themeColor="text1"/>
        </w:rPr>
        <w:t xml:space="preserve"> to make their documented DUS procedures and information on their quality management systems available to other members of </w:t>
      </w:r>
      <w:r>
        <w:rPr>
          <w:color w:val="000000" w:themeColor="text1"/>
        </w:rPr>
        <w:t>the Union</w:t>
      </w:r>
      <w:r w:rsidRPr="00421986">
        <w:rPr>
          <w:color w:val="000000" w:themeColor="text1"/>
        </w:rPr>
        <w:t xml:space="preserve"> </w:t>
      </w:r>
    </w:p>
    <w:p w14:paraId="0D298048" w14:textId="77777777" w:rsidR="0090485B" w:rsidRPr="00421986" w:rsidRDefault="0090485B" w:rsidP="0090485B">
      <w:pPr>
        <w:pStyle w:val="ListParagraph"/>
        <w:numPr>
          <w:ilvl w:val="1"/>
          <w:numId w:val="7"/>
        </w:numPr>
        <w:spacing w:after="40"/>
        <w:ind w:hanging="357"/>
        <w:contextualSpacing w:val="0"/>
      </w:pPr>
      <w:r w:rsidRPr="00421986">
        <w:t xml:space="preserve">Module for </w:t>
      </w:r>
      <w:r>
        <w:t>members of the Union</w:t>
      </w:r>
      <w:r w:rsidRPr="00421986">
        <w:t xml:space="preserve"> to use the web-based TG Template and database of characteristics to develop individual authorities</w:t>
      </w:r>
      <w:r>
        <w:t>’</w:t>
      </w:r>
      <w:r w:rsidRPr="00421986">
        <w:t xml:space="preserve"> test guidelines (IATG) in their language </w:t>
      </w:r>
    </w:p>
    <w:p w14:paraId="0C2B11DE" w14:textId="77777777" w:rsidR="0090485B" w:rsidRPr="00421986" w:rsidRDefault="0090485B" w:rsidP="0090485B">
      <w:pPr>
        <w:pStyle w:val="ListParagraph"/>
        <w:numPr>
          <w:ilvl w:val="1"/>
          <w:numId w:val="7"/>
        </w:numPr>
        <w:spacing w:after="40"/>
        <w:ind w:hanging="357"/>
        <w:contextualSpacing w:val="0"/>
      </w:pPr>
      <w:r w:rsidRPr="00421986">
        <w:t>Platform/portal for UPOV member databases containing variety description information</w:t>
      </w:r>
    </w:p>
    <w:p w14:paraId="6B591E9A" w14:textId="77777777" w:rsidR="0090485B" w:rsidRPr="00421986" w:rsidRDefault="0090485B" w:rsidP="0090485B"/>
    <w:p w14:paraId="54F7F98C" w14:textId="77777777" w:rsidR="0090485B" w:rsidRPr="00421986" w:rsidRDefault="0090485B" w:rsidP="0090485B">
      <w:pPr>
        <w:tabs>
          <w:tab w:val="left" w:pos="851"/>
        </w:tabs>
      </w:pPr>
      <w:r w:rsidRPr="00421986">
        <w:t xml:space="preserve">Figure 9 provides a graphic overview of how the tools </w:t>
      </w:r>
      <w:r>
        <w:t>could be</w:t>
      </w:r>
      <w:r w:rsidRPr="00421986">
        <w:t xml:space="preserve"> integrated in relation to the </w:t>
      </w:r>
      <w:r>
        <w:t>“</w:t>
      </w:r>
      <w:r w:rsidRPr="00421986">
        <w:t>Functions and structure of a PBR Office</w:t>
      </w:r>
      <w:r>
        <w:t>”</w:t>
      </w:r>
      <w:r w:rsidRPr="00421986">
        <w:t xml:space="preserve"> as identified in document UPOV/INF/15</w:t>
      </w:r>
      <w:r w:rsidRPr="00421986">
        <w:rPr>
          <w:rStyle w:val="FootnoteReference"/>
        </w:rPr>
        <w:footnoteReference w:id="6"/>
      </w:r>
      <w:r w:rsidRPr="00421986">
        <w:t xml:space="preserve"> </w:t>
      </w:r>
      <w:r>
        <w:t>“</w:t>
      </w:r>
      <w:r w:rsidRPr="00421986">
        <w:t>Guidance for Members of UPOV</w:t>
      </w:r>
      <w:r>
        <w:t>”</w:t>
      </w:r>
      <w:r w:rsidRPr="00421986">
        <w:t>.</w:t>
      </w:r>
    </w:p>
    <w:p w14:paraId="482D5696" w14:textId="77777777" w:rsidR="0090485B" w:rsidRPr="00421986" w:rsidRDefault="0090485B" w:rsidP="00904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0485B" w:rsidRPr="00421986" w14:paraId="03A8B69D" w14:textId="77777777" w:rsidTr="008F07B7">
        <w:tc>
          <w:tcPr>
            <w:tcW w:w="9629" w:type="dxa"/>
          </w:tcPr>
          <w:p w14:paraId="0E5F9375" w14:textId="77777777" w:rsidR="0090485B" w:rsidRPr="00755D48" w:rsidRDefault="0090485B" w:rsidP="008F07B7">
            <w:pPr>
              <w:keepNext/>
              <w:jc w:val="center"/>
              <w:rPr>
                <w:i/>
                <w:color w:val="26724C" w:themeColor="accent1" w:themeShade="BF"/>
                <w:sz w:val="18"/>
              </w:rPr>
            </w:pPr>
            <w:r w:rsidRPr="00755D48">
              <w:rPr>
                <w:i/>
                <w:color w:val="26724C" w:themeColor="accent1" w:themeShade="BF"/>
                <w:sz w:val="18"/>
              </w:rPr>
              <w:t xml:space="preserve">Figure 9.  UPOV planned resources </w:t>
            </w:r>
          </w:p>
        </w:tc>
      </w:tr>
      <w:tr w:rsidR="0090485B" w:rsidRPr="00421986" w14:paraId="11E5324E" w14:textId="77777777" w:rsidTr="008F07B7">
        <w:tc>
          <w:tcPr>
            <w:tcW w:w="9629" w:type="dxa"/>
          </w:tcPr>
          <w:p w14:paraId="7A7266F8" w14:textId="77777777" w:rsidR="0090485B" w:rsidRPr="00491A96" w:rsidRDefault="0090485B" w:rsidP="008F07B7">
            <w:pPr>
              <w:jc w:val="center"/>
            </w:pPr>
            <w:r>
              <w:t xml:space="preserve"> </w:t>
            </w:r>
            <w:r w:rsidRPr="00660E77">
              <w:rPr>
                <w:noProof/>
              </w:rPr>
              <w:drawing>
                <wp:inline distT="0" distB="0" distL="0" distR="0" wp14:anchorId="4FFAEB80" wp14:editId="68297366">
                  <wp:extent cx="4751185" cy="33840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929"/>
                          <a:stretch/>
                        </pic:blipFill>
                        <pic:spPr bwMode="auto">
                          <a:xfrm>
                            <a:off x="0" y="0"/>
                            <a:ext cx="4751185" cy="338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C797B4" w14:textId="77777777" w:rsidR="0090485B" w:rsidRDefault="0090485B" w:rsidP="0090485B"/>
    <w:p w14:paraId="20B40EC2" w14:textId="77777777" w:rsidR="0090485B" w:rsidRPr="00421986" w:rsidRDefault="0090485B" w:rsidP="0090485B">
      <w:pPr>
        <w:pStyle w:val="Heading5"/>
      </w:pPr>
      <w:bookmarkStart w:id="454" w:name="_Toc42703037"/>
      <w:bookmarkStart w:id="455" w:name="_Toc61532299"/>
      <w:bookmarkStart w:id="456" w:name="_Toc61533694"/>
      <w:r w:rsidRPr="00421986">
        <w:lastRenderedPageBreak/>
        <w:t>Training and assistance programs</w:t>
      </w:r>
      <w:bookmarkEnd w:id="454"/>
      <w:bookmarkEnd w:id="455"/>
      <w:bookmarkEnd w:id="456"/>
    </w:p>
    <w:p w14:paraId="36A6DB6E" w14:textId="77777777" w:rsidR="0090485B" w:rsidRPr="00421986" w:rsidRDefault="0090485B" w:rsidP="005A5F1D">
      <w:pPr>
        <w:keepNext/>
      </w:pPr>
    </w:p>
    <w:p w14:paraId="3A3CD238" w14:textId="77777777" w:rsidR="0090485B" w:rsidRPr="00421986" w:rsidRDefault="0090485B" w:rsidP="0090485B">
      <w:pPr>
        <w:pStyle w:val="ListParagraph"/>
        <w:tabs>
          <w:tab w:val="left" w:pos="851"/>
        </w:tabs>
        <w:ind w:left="0"/>
        <w:contextualSpacing w:val="0"/>
      </w:pPr>
      <w:r>
        <w:t>S</w:t>
      </w:r>
      <w:r w:rsidRPr="00421986">
        <w:t xml:space="preserve">atisfying the demand for </w:t>
      </w:r>
      <w:r>
        <w:t xml:space="preserve">training and </w:t>
      </w:r>
      <w:r w:rsidRPr="00421986">
        <w:t xml:space="preserve">assistance in the introduction and implementation of the UPOV system within the regular program and budget is focused on the use of distance-learning courses.  Customized training and assistance for particular </w:t>
      </w:r>
      <w:r>
        <w:t>members of the Union</w:t>
      </w:r>
      <w:r w:rsidRPr="00421986">
        <w:t xml:space="preserve"> relies on prioritization of assistance by the Office of </w:t>
      </w:r>
      <w:r>
        <w:t>the Union</w:t>
      </w:r>
      <w:r w:rsidRPr="00421986">
        <w:t xml:space="preserve">, support by members of </w:t>
      </w:r>
      <w:r>
        <w:t>the Union</w:t>
      </w:r>
      <w:r w:rsidRPr="00421986">
        <w:t xml:space="preserve"> and partnerships with other providers of assistance.  In order to utilize the available resources in the most effective way, the Office of </w:t>
      </w:r>
      <w:r>
        <w:t>the Union</w:t>
      </w:r>
      <w:r w:rsidRPr="00421986">
        <w:t xml:space="preserve"> will continue to prioritize its activities and to explore synergies in its activities with members of </w:t>
      </w:r>
      <w:r>
        <w:t>the Union</w:t>
      </w:r>
      <w:r w:rsidRPr="00421986">
        <w:t xml:space="preserve"> and other partners.</w:t>
      </w:r>
    </w:p>
    <w:p w14:paraId="4A597E38" w14:textId="77777777" w:rsidR="0090485B" w:rsidRPr="00421986" w:rsidRDefault="0090485B" w:rsidP="0090485B"/>
    <w:p w14:paraId="664BF5F2" w14:textId="77777777" w:rsidR="0090485B" w:rsidRPr="00421986" w:rsidRDefault="0090485B" w:rsidP="0090485B">
      <w:pPr>
        <w:pStyle w:val="ListParagraph"/>
        <w:tabs>
          <w:tab w:val="left" w:pos="851"/>
        </w:tabs>
        <w:ind w:left="0"/>
        <w:contextualSpacing w:val="0"/>
      </w:pPr>
      <w:r w:rsidRPr="00421986">
        <w:t xml:space="preserve">In order to provide more impact in training and assistance from available resources, resources will be increasingly channeled to virtual training programs and re-usable materials, additional distance learning courses, video demonstrations, webinars and virtual practical guides, in order to reduce the need for </w:t>
      </w:r>
      <w:r w:rsidRPr="00421986">
        <w:rPr>
          <w:i/>
        </w:rPr>
        <w:t>in situ</w:t>
      </w:r>
      <w:r w:rsidRPr="00421986">
        <w:t xml:space="preserve"> training and to increase outreach.  Furthermore, in conjunction with relevant partners, it is proposed to develop an international curriculum leading to UPOV-recognized qualifications.</w:t>
      </w:r>
    </w:p>
    <w:p w14:paraId="0B272952" w14:textId="77777777" w:rsidR="0090485B" w:rsidRPr="00421986" w:rsidRDefault="0090485B" w:rsidP="0090485B"/>
    <w:p w14:paraId="7868F18C" w14:textId="77777777" w:rsidR="0090485B" w:rsidRPr="008B40C0" w:rsidRDefault="0090485B" w:rsidP="0090485B">
      <w:pPr>
        <w:pStyle w:val="Heading5"/>
      </w:pPr>
      <w:bookmarkStart w:id="457" w:name="_Toc42703039"/>
      <w:bookmarkStart w:id="458" w:name="_Toc61532300"/>
      <w:bookmarkStart w:id="459" w:name="_Toc61533695"/>
      <w:r w:rsidRPr="008B40C0">
        <w:t>Languages</w:t>
      </w:r>
      <w:bookmarkEnd w:id="457"/>
      <w:bookmarkEnd w:id="458"/>
      <w:bookmarkEnd w:id="459"/>
    </w:p>
    <w:p w14:paraId="6D0781FD" w14:textId="77777777" w:rsidR="0090485B" w:rsidRPr="00421986" w:rsidRDefault="0090485B" w:rsidP="0090485B"/>
    <w:p w14:paraId="5412CA1C" w14:textId="77777777" w:rsidR="0090485B" w:rsidRPr="00421986" w:rsidRDefault="0090485B" w:rsidP="0090485B">
      <w:pPr>
        <w:pStyle w:val="ListParagraph"/>
        <w:tabs>
          <w:tab w:val="left" w:pos="851"/>
        </w:tabs>
        <w:ind w:left="0"/>
        <w:contextualSpacing w:val="0"/>
      </w:pPr>
      <w:r w:rsidRPr="00421986">
        <w:t>UPOV materials and resources are made available in English, French, German and Spanish.  However, as UPOV expands and interest in UPOV membership increases, there are im</w:t>
      </w:r>
      <w:r>
        <w:t>portant benefits in making UPOV </w:t>
      </w:r>
      <w:r w:rsidRPr="00421986">
        <w:t xml:space="preserve">material and resources available in a wider range of languages.  Providing translations of materials and making resources available in a range of languages has </w:t>
      </w:r>
      <w:r>
        <w:t>substantial</w:t>
      </w:r>
      <w:r w:rsidRPr="00421986">
        <w:t xml:space="preserve"> resource implications and success in this objective will require a range of measures involving cooperation with interested members of </w:t>
      </w:r>
      <w:r>
        <w:t>the Union</w:t>
      </w:r>
      <w:r w:rsidRPr="00421986">
        <w:t xml:space="preserve">.  However, rapid advances in machine translation technology provide new opportunities, which will be pursued as a matter of priority to reduce translation costs for UPOV documents in </w:t>
      </w:r>
      <w:r>
        <w:t>UPOV languages and to make UPOV </w:t>
      </w:r>
      <w:r w:rsidRPr="00421986">
        <w:t xml:space="preserve">materials </w:t>
      </w:r>
      <w:r w:rsidRPr="009E2EF9">
        <w:t>available</w:t>
      </w:r>
      <w:r>
        <w:t xml:space="preserve"> </w:t>
      </w:r>
      <w:r w:rsidRPr="00421986">
        <w:t>in a wider range of languages.</w:t>
      </w:r>
      <w:r>
        <w:t xml:space="preserve"> </w:t>
      </w:r>
    </w:p>
    <w:p w14:paraId="6FE0701B" w14:textId="77777777" w:rsidR="0090485B" w:rsidRPr="00421986" w:rsidRDefault="0090485B" w:rsidP="0090485B"/>
    <w:p w14:paraId="1039B725" w14:textId="77777777" w:rsidR="0090485B" w:rsidRDefault="0090485B" w:rsidP="0090485B">
      <w:bookmarkStart w:id="460" w:name="_Toc42703038"/>
      <w:bookmarkStart w:id="461" w:name="_Toc61532302"/>
      <w:bookmarkStart w:id="462" w:name="_Toc61533696"/>
    </w:p>
    <w:p w14:paraId="1133B952" w14:textId="77777777" w:rsidR="0090485B" w:rsidRPr="00421986" w:rsidRDefault="0090485B" w:rsidP="0090485B">
      <w:pPr>
        <w:pStyle w:val="Heading3"/>
      </w:pPr>
      <w:bookmarkStart w:id="463" w:name="_Toc77931029"/>
      <w:r w:rsidRPr="00421986">
        <w:t>Promoting an effective system of plant variety protection</w:t>
      </w:r>
      <w:bookmarkEnd w:id="460"/>
      <w:bookmarkEnd w:id="461"/>
      <w:bookmarkEnd w:id="462"/>
      <w:bookmarkEnd w:id="463"/>
    </w:p>
    <w:p w14:paraId="08593F15" w14:textId="77777777" w:rsidR="0090485B" w:rsidRPr="00421986" w:rsidRDefault="0090485B" w:rsidP="0090485B">
      <w:pPr>
        <w:keepNext/>
        <w:jc w:val="left"/>
      </w:pPr>
    </w:p>
    <w:p w14:paraId="62D5B642" w14:textId="77777777" w:rsidR="0090485B" w:rsidRPr="00421986" w:rsidRDefault="0090485B" w:rsidP="0090485B">
      <w:pPr>
        <w:tabs>
          <w:tab w:val="left" w:pos="851"/>
        </w:tabs>
      </w:pPr>
      <w:r w:rsidRPr="00421986">
        <w:t>The aim of UPOV</w:t>
      </w:r>
      <w:r>
        <w:t>’</w:t>
      </w:r>
      <w:r w:rsidRPr="00421986">
        <w:t>s communication strategy is to improve awareness and understanding of the UPOV system in order to support the development of plant variety protection for the benefit of society.</w:t>
      </w:r>
    </w:p>
    <w:p w14:paraId="3BBDF392" w14:textId="77777777" w:rsidR="0090485B" w:rsidRPr="00421986" w:rsidRDefault="0090485B" w:rsidP="0090485B">
      <w:pPr>
        <w:jc w:val="left"/>
      </w:pPr>
    </w:p>
    <w:p w14:paraId="0135E99B" w14:textId="77777777" w:rsidR="0090485B" w:rsidRPr="00421986" w:rsidRDefault="0090485B" w:rsidP="0090485B">
      <w:pPr>
        <w:keepNext/>
        <w:tabs>
          <w:tab w:val="left" w:pos="851"/>
        </w:tabs>
        <w:jc w:val="left"/>
      </w:pPr>
      <w:r w:rsidRPr="00421986">
        <w:t>In order to achieve that aim, the objectives of the communication strategy are to:</w:t>
      </w:r>
    </w:p>
    <w:p w14:paraId="0C4F9051" w14:textId="77777777" w:rsidR="0090485B" w:rsidRPr="00421986" w:rsidRDefault="0090485B" w:rsidP="0090485B">
      <w:pPr>
        <w:keepNext/>
        <w:jc w:val="left"/>
      </w:pPr>
    </w:p>
    <w:p w14:paraId="63601EF5" w14:textId="77777777" w:rsidR="0090485B" w:rsidRPr="00421986" w:rsidRDefault="0090485B" w:rsidP="0090485B">
      <w:pPr>
        <w:spacing w:after="40"/>
        <w:ind w:left="567"/>
        <w:jc w:val="left"/>
      </w:pPr>
      <w:r w:rsidRPr="00421986">
        <w:t>(a) raise awareness of UPOV and the benefits of the UPOV system of plant variety protection;</w:t>
      </w:r>
    </w:p>
    <w:p w14:paraId="799096CC" w14:textId="77777777" w:rsidR="0090485B" w:rsidRPr="00421986" w:rsidRDefault="0090485B" w:rsidP="0090485B">
      <w:pPr>
        <w:spacing w:after="40"/>
        <w:ind w:left="567"/>
        <w:jc w:val="left"/>
      </w:pPr>
      <w:r w:rsidRPr="00421986">
        <w:t xml:space="preserve">(b) provide improved information for members of </w:t>
      </w:r>
      <w:r>
        <w:t>the Union</w:t>
      </w:r>
      <w:r w:rsidRPr="00421986">
        <w:t xml:space="preserve"> on the operation of the UPOV system; and</w:t>
      </w:r>
    </w:p>
    <w:p w14:paraId="3AF606F2" w14:textId="77777777" w:rsidR="0090485B" w:rsidRPr="00421986" w:rsidRDefault="0090485B" w:rsidP="0090485B">
      <w:pPr>
        <w:spacing w:after="40"/>
        <w:ind w:left="567"/>
        <w:jc w:val="left"/>
      </w:pPr>
      <w:r w:rsidRPr="00421986">
        <w:t>(c) enhance the understanding of the UPOV system by stakeholders.</w:t>
      </w:r>
    </w:p>
    <w:p w14:paraId="0B754F0E" w14:textId="77777777" w:rsidR="0090485B" w:rsidRPr="00421986" w:rsidRDefault="0090485B" w:rsidP="0090485B">
      <w:pPr>
        <w:jc w:val="left"/>
      </w:pPr>
    </w:p>
    <w:p w14:paraId="2E667719" w14:textId="77777777" w:rsidR="0090485B" w:rsidRPr="001669D8" w:rsidRDefault="0090485B" w:rsidP="0090485B">
      <w:pPr>
        <w:tabs>
          <w:tab w:val="left" w:pos="851"/>
        </w:tabs>
      </w:pPr>
      <w:r w:rsidRPr="001669D8">
        <w:t xml:space="preserve">Successful delivery of the communication strategy relies on the development and use of appropriate information, combined with effective communication channels. </w:t>
      </w:r>
    </w:p>
    <w:p w14:paraId="2BF3B79A" w14:textId="77777777" w:rsidR="0090485B" w:rsidRPr="001669D8" w:rsidRDefault="0090485B" w:rsidP="0090485B">
      <w:pPr>
        <w:tabs>
          <w:tab w:val="left" w:pos="851"/>
        </w:tabs>
      </w:pPr>
    </w:p>
    <w:p w14:paraId="3FD7474B" w14:textId="77777777" w:rsidR="0090485B" w:rsidRPr="00421986" w:rsidRDefault="0090485B" w:rsidP="0090485B">
      <w:pPr>
        <w:tabs>
          <w:tab w:val="left" w:pos="851"/>
        </w:tabs>
      </w:pPr>
      <w:r w:rsidRPr="001669D8">
        <w:t xml:space="preserve">In terms of content, UPOV has a considerable amount of information concerning the impact of </w:t>
      </w:r>
      <w:r w:rsidRPr="001669D8">
        <w:rPr>
          <w:snapToGrid w:val="0"/>
        </w:rPr>
        <w:t>plant variety protection and</w:t>
      </w:r>
      <w:r w:rsidRPr="001669D8">
        <w:t xml:space="preserve"> UPOV membership.  Where such information is available in the form of a video or published document, this is</w:t>
      </w:r>
      <w:r>
        <w:t xml:space="preserve"> </w:t>
      </w:r>
      <w:r w:rsidRPr="001669D8">
        <w:t xml:space="preserve">made available on the UPOV website, as appropriate (see </w:t>
      </w:r>
      <w:hyperlink r:id="rId24" w:history="1">
        <w:r w:rsidRPr="001669D8">
          <w:rPr>
            <w:rStyle w:val="Hyperlink"/>
          </w:rPr>
          <w:t>https://www.upov.int/about/en/benefits_upov_system.html</w:t>
        </w:r>
      </w:hyperlink>
      <w:r w:rsidRPr="001669D8">
        <w:t xml:space="preserve">).  Information on the UPOV website and other relevant information, which has not been developed into videos or publications, is </w:t>
      </w:r>
      <w:r>
        <w:t xml:space="preserve">also </w:t>
      </w:r>
      <w:r w:rsidRPr="001669D8">
        <w:t>communicated via events and activities, training courses and social media.</w:t>
      </w:r>
    </w:p>
    <w:p w14:paraId="40D6D280" w14:textId="77777777" w:rsidR="0090485B" w:rsidRPr="00421986" w:rsidRDefault="0090485B" w:rsidP="0090485B">
      <w:pPr>
        <w:tabs>
          <w:tab w:val="left" w:pos="851"/>
        </w:tabs>
      </w:pPr>
    </w:p>
    <w:p w14:paraId="0C565291" w14:textId="77777777" w:rsidR="0090485B" w:rsidRPr="00421986" w:rsidRDefault="0090485B" w:rsidP="0090485B">
      <w:pPr>
        <w:tabs>
          <w:tab w:val="left" w:pos="851"/>
        </w:tabs>
      </w:pPr>
      <w:r w:rsidRPr="00421986">
        <w:t xml:space="preserve">In the </w:t>
      </w:r>
      <w:r>
        <w:t>2022</w:t>
      </w:r>
      <w:r>
        <w:noBreakHyphen/>
        <w:t>2023</w:t>
      </w:r>
      <w:r w:rsidRPr="00421986">
        <w:t xml:space="preserve"> </w:t>
      </w:r>
      <w:r>
        <w:t>b</w:t>
      </w:r>
      <w:r w:rsidRPr="00421986">
        <w:t xml:space="preserve">iennium, the focus will be on the development of new information concerning the benefits of plant variety protection and UPOV membership in close conjunction with members of </w:t>
      </w:r>
      <w:r>
        <w:t>the Union</w:t>
      </w:r>
      <w:r w:rsidRPr="00421986">
        <w:t xml:space="preserve">.  To elicit information from members of </w:t>
      </w:r>
      <w:r>
        <w:t>the Union</w:t>
      </w:r>
      <w:r w:rsidRPr="00421986">
        <w:t xml:space="preserve">, the Office of </w:t>
      </w:r>
      <w:r>
        <w:t>the Union</w:t>
      </w:r>
      <w:r w:rsidRPr="00421986">
        <w:t xml:space="preserve"> will seek to increase engagement with members of </w:t>
      </w:r>
      <w:r>
        <w:t>the Union</w:t>
      </w:r>
      <w:r w:rsidRPr="00421986">
        <w:t>, for example in conjunction with members</w:t>
      </w:r>
      <w:r>
        <w:t>’</w:t>
      </w:r>
      <w:r w:rsidRPr="00421986">
        <w:t xml:space="preserve"> anniversaries and events, or by eliciting information on specific themes</w:t>
      </w:r>
      <w:r>
        <w:t>, particularly in the context of UPOV’s social media program</w:t>
      </w:r>
      <w:r w:rsidRPr="00421986">
        <w:t>.</w:t>
      </w:r>
    </w:p>
    <w:p w14:paraId="66AA44E3" w14:textId="77777777" w:rsidR="0090485B" w:rsidRPr="00421986" w:rsidRDefault="0090485B" w:rsidP="0090485B">
      <w:pPr>
        <w:tabs>
          <w:tab w:val="left" w:pos="851"/>
        </w:tabs>
      </w:pPr>
    </w:p>
    <w:p w14:paraId="2D21ABDB" w14:textId="77777777" w:rsidR="0090485B" w:rsidRPr="00421986" w:rsidRDefault="0090485B" w:rsidP="0090485B">
      <w:pPr>
        <w:tabs>
          <w:tab w:val="left" w:pos="851"/>
        </w:tabs>
      </w:pPr>
      <w:r w:rsidRPr="00421986">
        <w:t xml:space="preserve">In addition to working with members of </w:t>
      </w:r>
      <w:r>
        <w:t>the Union</w:t>
      </w:r>
      <w:r w:rsidRPr="00421986">
        <w:t xml:space="preserve">, it is intended to enhance work with organizations representing stakeholders, particularly breeders and farmers, and other intergovernmental organizations to improve the targeting and outreach of communications. </w:t>
      </w:r>
    </w:p>
    <w:p w14:paraId="7FCABFE7" w14:textId="77777777" w:rsidR="0090485B" w:rsidRPr="00421986" w:rsidRDefault="0090485B" w:rsidP="0090485B"/>
    <w:p w14:paraId="20310ED6" w14:textId="77777777" w:rsidR="0090485B" w:rsidRPr="00421986" w:rsidRDefault="0090485B" w:rsidP="0090485B"/>
    <w:p w14:paraId="1512DC6B" w14:textId="77777777" w:rsidR="0090485B" w:rsidRPr="00421986" w:rsidRDefault="0090485B" w:rsidP="0090485B">
      <w:pPr>
        <w:jc w:val="left"/>
        <w:rPr>
          <w:b/>
        </w:rPr>
      </w:pPr>
      <w:r w:rsidRPr="00421986">
        <w:rPr>
          <w:b/>
        </w:rPr>
        <w:br w:type="page"/>
      </w:r>
    </w:p>
    <w:p w14:paraId="0F9EC2F3" w14:textId="77777777" w:rsidR="0090485B" w:rsidRPr="00BA581A" w:rsidRDefault="0090485B" w:rsidP="0090485B">
      <w:pPr>
        <w:pStyle w:val="Heading1"/>
        <w:numPr>
          <w:ilvl w:val="0"/>
          <w:numId w:val="12"/>
        </w:numPr>
        <w:ind w:left="567" w:hanging="567"/>
        <w:rPr>
          <w:spacing w:val="-2"/>
        </w:rPr>
      </w:pPr>
      <w:bookmarkStart w:id="464" w:name="_Toc77931030"/>
      <w:r w:rsidRPr="00BA581A">
        <w:rPr>
          <w:spacing w:val="-2"/>
        </w:rPr>
        <w:lastRenderedPageBreak/>
        <w:t>OBJECTIVES AND EXPECTED RESULTS BY SUB</w:t>
      </w:r>
      <w:r w:rsidRPr="00BA581A">
        <w:rPr>
          <w:spacing w:val="-2"/>
        </w:rPr>
        <w:noBreakHyphen/>
        <w:t>PROGRAM</w:t>
      </w:r>
      <w:bookmarkEnd w:id="464"/>
    </w:p>
    <w:p w14:paraId="58A9A218" w14:textId="77777777" w:rsidR="0090485B" w:rsidRPr="00421986" w:rsidRDefault="0090485B" w:rsidP="009048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14:paraId="7EBC46EF" w14:textId="77777777" w:rsidR="0090485B" w:rsidRPr="00421986" w:rsidRDefault="0090485B" w:rsidP="0090485B">
      <w:pPr>
        <w:pStyle w:val="Heading2"/>
      </w:pPr>
      <w:bookmarkStart w:id="465" w:name="_Toc77931031"/>
      <w:r>
        <w:t xml:space="preserve">Sub-program UV.1:  </w:t>
      </w:r>
      <w:r w:rsidRPr="00421986">
        <w:t>Overall Policy on Plant Variety Protection</w:t>
      </w:r>
      <w:bookmarkEnd w:id="465"/>
    </w:p>
    <w:p w14:paraId="17FA4553" w14:textId="77777777" w:rsidR="0090485B" w:rsidRPr="00421986" w:rsidRDefault="0090485B" w:rsidP="0090485B"/>
    <w:p w14:paraId="7742366C" w14:textId="77777777" w:rsidR="0090485B" w:rsidRPr="00F77273" w:rsidRDefault="0090485B" w:rsidP="0090485B"/>
    <w:p w14:paraId="422ED30E" w14:textId="77777777" w:rsidR="0090485B" w:rsidRPr="00C20F3E" w:rsidRDefault="0090485B" w:rsidP="0090485B">
      <w:pPr>
        <w:pStyle w:val="Heading3"/>
      </w:pPr>
      <w:bookmarkStart w:id="466" w:name="_Toc77931032"/>
      <w:r w:rsidRPr="00C20F3E">
        <w:t>Objectives</w:t>
      </w:r>
      <w:bookmarkEnd w:id="466"/>
    </w:p>
    <w:p w14:paraId="1963A9D0" w14:textId="77777777" w:rsidR="0090485B" w:rsidRPr="00421986" w:rsidRDefault="0090485B" w:rsidP="0090485B"/>
    <w:p w14:paraId="1F764F5B" w14:textId="77777777" w:rsidR="0090485B" w:rsidRPr="00421986" w:rsidRDefault="0090485B" w:rsidP="0090485B">
      <w:pPr>
        <w:spacing w:after="40"/>
      </w:pPr>
      <w:r w:rsidRPr="00421986">
        <w:tab/>
        <w:t>(a)</w:t>
      </w:r>
      <w:r w:rsidRPr="00421986">
        <w:tab/>
      </w:r>
      <w:r>
        <w:t>P</w:t>
      </w:r>
      <w:r w:rsidRPr="00421986">
        <w:t>olicy direction and executive management.</w:t>
      </w:r>
    </w:p>
    <w:p w14:paraId="18CF11C7" w14:textId="77777777" w:rsidR="0090485B" w:rsidRPr="00421986" w:rsidRDefault="0090485B" w:rsidP="0090485B">
      <w:pPr>
        <w:spacing w:after="40"/>
      </w:pPr>
      <w:r w:rsidRPr="00421986">
        <w:tab/>
        <w:t>(b)</w:t>
      </w:r>
      <w:r w:rsidRPr="00421986">
        <w:tab/>
      </w:r>
      <w:r>
        <w:t>P</w:t>
      </w:r>
      <w:r w:rsidRPr="00421986">
        <w:t>lanning, implementation and evaluation of program and budget.</w:t>
      </w:r>
    </w:p>
    <w:p w14:paraId="5AE9D037" w14:textId="77777777" w:rsidR="0090485B" w:rsidRPr="00421986" w:rsidRDefault="0090485B" w:rsidP="0090485B"/>
    <w:p w14:paraId="56E5AE69" w14:textId="77777777" w:rsidR="0090485B" w:rsidRPr="00F77273" w:rsidRDefault="0090485B" w:rsidP="0090485B"/>
    <w:p w14:paraId="4460E995" w14:textId="77777777" w:rsidR="0090485B" w:rsidRPr="00C20F3E" w:rsidRDefault="0090485B" w:rsidP="0090485B">
      <w:pPr>
        <w:pStyle w:val="Heading3"/>
      </w:pPr>
      <w:bookmarkStart w:id="467" w:name="_Toc77931033"/>
      <w:r w:rsidRPr="00C20F3E">
        <w:t>Narrative</w:t>
      </w:r>
      <w:bookmarkEnd w:id="467"/>
    </w:p>
    <w:p w14:paraId="54EDC122" w14:textId="77777777" w:rsidR="0090485B" w:rsidRPr="00421986" w:rsidRDefault="0090485B" w:rsidP="009048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14:paraId="4017248C" w14:textId="77777777" w:rsidR="0090485B" w:rsidRPr="00421986" w:rsidRDefault="0090485B" w:rsidP="0090485B">
      <w:pPr>
        <w:tabs>
          <w:tab w:val="left" w:pos="851"/>
        </w:tabs>
        <w:rPr>
          <w:spacing w:val="-2"/>
        </w:rPr>
      </w:pPr>
      <w:r w:rsidRPr="00421986">
        <w:t xml:space="preserve">This sub-program covers policy making, management and coordination of the activities </w:t>
      </w:r>
      <w:r w:rsidRPr="00421986">
        <w:rPr>
          <w:spacing w:val="-2"/>
        </w:rPr>
        <w:t>within UPOV</w:t>
      </w:r>
      <w:r>
        <w:rPr>
          <w:spacing w:val="-2"/>
        </w:rPr>
        <w:t>’</w:t>
      </w:r>
      <w:r w:rsidRPr="00421986">
        <w:rPr>
          <w:spacing w:val="-2"/>
        </w:rPr>
        <w:t>s overall program, as established by the Council with the guidance of the Consultative Committee.</w:t>
      </w:r>
    </w:p>
    <w:p w14:paraId="52E1D79D" w14:textId="77777777" w:rsidR="0090485B" w:rsidRPr="00421986" w:rsidRDefault="0090485B" w:rsidP="0090485B">
      <w:pPr>
        <w:tabs>
          <w:tab w:val="left" w:pos="567"/>
        </w:tabs>
        <w:rPr>
          <w:spacing w:val="-2"/>
        </w:rPr>
      </w:pPr>
    </w:p>
    <w:p w14:paraId="3D198A30" w14:textId="77777777" w:rsidR="0090485B" w:rsidRPr="00421986" w:rsidRDefault="0090485B" w:rsidP="0090485B">
      <w:pPr>
        <w:tabs>
          <w:tab w:val="left" w:pos="851"/>
        </w:tabs>
        <w:rPr>
          <w:spacing w:val="-2"/>
        </w:rPr>
      </w:pPr>
      <w:r w:rsidRPr="00421986">
        <w:rPr>
          <w:spacing w:val="-2"/>
        </w:rPr>
        <w:t>The Strategic Business Plan provides a framework for the objectives under this sub-program.  In particular, the Strategic Business Plan:</w:t>
      </w:r>
    </w:p>
    <w:p w14:paraId="17D71959" w14:textId="77777777" w:rsidR="0090485B" w:rsidRPr="00421986" w:rsidRDefault="0090485B" w:rsidP="0090485B">
      <w:pPr>
        <w:tabs>
          <w:tab w:val="left" w:pos="851"/>
          <w:tab w:val="left" w:pos="1276"/>
        </w:tabs>
        <w:rPr>
          <w:spacing w:val="-2"/>
        </w:rPr>
      </w:pPr>
    </w:p>
    <w:p w14:paraId="31F430DE" w14:textId="77777777" w:rsidR="0090485B" w:rsidRPr="00421986" w:rsidRDefault="0090485B" w:rsidP="0090485B">
      <w:pPr>
        <w:tabs>
          <w:tab w:val="left" w:pos="1134"/>
        </w:tabs>
        <w:spacing w:after="40"/>
        <w:ind w:left="1276" w:hanging="709"/>
        <w:rPr>
          <w:spacing w:val="-2"/>
        </w:rPr>
      </w:pPr>
      <w:r>
        <w:rPr>
          <w:spacing w:val="-2"/>
        </w:rPr>
        <w:t>(a)</w:t>
      </w:r>
      <w:r w:rsidRPr="00421986">
        <w:rPr>
          <w:spacing w:val="-2"/>
        </w:rPr>
        <w:tab/>
        <w:t xml:space="preserve">serves as a roadmap to implement the strategic goals and objectives of </w:t>
      </w:r>
      <w:r>
        <w:rPr>
          <w:spacing w:val="-2"/>
        </w:rPr>
        <w:t>the Union</w:t>
      </w:r>
      <w:r w:rsidRPr="00421986">
        <w:rPr>
          <w:spacing w:val="-2"/>
        </w:rPr>
        <w:t>;</w:t>
      </w:r>
    </w:p>
    <w:p w14:paraId="00037DB5" w14:textId="77777777" w:rsidR="0090485B" w:rsidRPr="00421986" w:rsidRDefault="0090485B" w:rsidP="0090485B">
      <w:pPr>
        <w:tabs>
          <w:tab w:val="left" w:pos="1134"/>
        </w:tabs>
        <w:spacing w:after="40"/>
        <w:ind w:left="1276" w:hanging="709"/>
        <w:rPr>
          <w:spacing w:val="-2"/>
        </w:rPr>
      </w:pPr>
      <w:r w:rsidRPr="00421986">
        <w:rPr>
          <w:spacing w:val="-2"/>
        </w:rPr>
        <w:t xml:space="preserve">(b) </w:t>
      </w:r>
      <w:r w:rsidRPr="00421986">
        <w:rPr>
          <w:spacing w:val="-2"/>
        </w:rPr>
        <w:tab/>
        <w:t xml:space="preserve">identifies financial resources needed to achieve the strategic goals and objectives of </w:t>
      </w:r>
      <w:r>
        <w:rPr>
          <w:spacing w:val="-2"/>
        </w:rPr>
        <w:t>the Union</w:t>
      </w:r>
      <w:r w:rsidRPr="00421986">
        <w:rPr>
          <w:spacing w:val="-2"/>
        </w:rPr>
        <w:t>;</w:t>
      </w:r>
    </w:p>
    <w:p w14:paraId="20FA400E" w14:textId="77777777" w:rsidR="0090485B" w:rsidRPr="00421986" w:rsidRDefault="0090485B" w:rsidP="0090485B">
      <w:pPr>
        <w:tabs>
          <w:tab w:val="left" w:pos="1134"/>
        </w:tabs>
        <w:spacing w:after="40"/>
        <w:ind w:left="1276" w:hanging="709"/>
        <w:rPr>
          <w:spacing w:val="-2"/>
        </w:rPr>
      </w:pPr>
      <w:r w:rsidRPr="00421986">
        <w:rPr>
          <w:spacing w:val="-2"/>
        </w:rPr>
        <w:t xml:space="preserve">(c) </w:t>
      </w:r>
      <w:r w:rsidRPr="00421986">
        <w:rPr>
          <w:spacing w:val="-2"/>
        </w:rPr>
        <w:tab/>
        <w:t>outlines the human resource needs in line with the strategic priorities of the organization; and</w:t>
      </w:r>
    </w:p>
    <w:p w14:paraId="3B780E83" w14:textId="77777777" w:rsidR="0090485B" w:rsidRPr="00421986" w:rsidRDefault="0090485B" w:rsidP="0090485B">
      <w:pPr>
        <w:tabs>
          <w:tab w:val="left" w:pos="1134"/>
        </w:tabs>
        <w:spacing w:after="40"/>
        <w:ind w:left="1134" w:hanging="567"/>
        <w:rPr>
          <w:spacing w:val="-2"/>
        </w:rPr>
      </w:pPr>
      <w:r w:rsidRPr="00421986">
        <w:rPr>
          <w:spacing w:val="-2"/>
        </w:rPr>
        <w:t xml:space="preserve">(d) </w:t>
      </w:r>
      <w:r w:rsidRPr="00421986">
        <w:rPr>
          <w:spacing w:val="-2"/>
        </w:rPr>
        <w:tab/>
        <w:t>defines long-term steps and key milestones of outreach activities with a view to improving organizational visibility and enhancing revenue generation efforts.</w:t>
      </w:r>
    </w:p>
    <w:p w14:paraId="07D18C73" w14:textId="77777777" w:rsidR="0090485B" w:rsidRPr="00421986" w:rsidRDefault="0090485B" w:rsidP="0090485B">
      <w:pPr>
        <w:tabs>
          <w:tab w:val="left" w:pos="567"/>
        </w:tabs>
        <w:rPr>
          <w:spacing w:val="-2"/>
        </w:rPr>
      </w:pPr>
    </w:p>
    <w:p w14:paraId="0D05D346" w14:textId="77777777" w:rsidR="0090485B" w:rsidRPr="00421986" w:rsidRDefault="0090485B" w:rsidP="0090485B">
      <w:pPr>
        <w:tabs>
          <w:tab w:val="left" w:pos="851"/>
        </w:tabs>
        <w:autoSpaceDE w:val="0"/>
        <w:autoSpaceDN w:val="0"/>
        <w:adjustRightInd w:val="0"/>
        <w:rPr>
          <w:spacing w:val="-2"/>
        </w:rPr>
      </w:pPr>
      <w:r w:rsidRPr="00421986">
        <w:rPr>
          <w:rFonts w:cs="Arial"/>
          <w:szCs w:val="19"/>
        </w:rPr>
        <w:t xml:space="preserve">The Consultative Committee approved the draft Strategic Business Plan 2021-2025, as presented in Annex II to document CC/97/3.  The Consultative Committee requested that the Strategic Business Plan be updated on a biennial basis in order to set the direction for the subsequent two biennia and to coincide with the preparation of the draft program and budget for the subsequent biennium.  Consideration of the Strategic Business Plan 2023-2027 will be a key objective in the </w:t>
      </w:r>
      <w:r>
        <w:rPr>
          <w:rFonts w:cs="Arial"/>
          <w:szCs w:val="19"/>
        </w:rPr>
        <w:t>2022</w:t>
      </w:r>
      <w:r>
        <w:rPr>
          <w:rFonts w:cs="Arial"/>
          <w:szCs w:val="19"/>
        </w:rPr>
        <w:noBreakHyphen/>
        <w:t>2023 b</w:t>
      </w:r>
      <w:r w:rsidRPr="00421986">
        <w:rPr>
          <w:rFonts w:cs="Arial"/>
          <w:szCs w:val="19"/>
        </w:rPr>
        <w:t>iennium.</w:t>
      </w:r>
    </w:p>
    <w:p w14:paraId="3386E073" w14:textId="77777777" w:rsidR="0090485B" w:rsidRPr="00421986" w:rsidRDefault="0090485B" w:rsidP="0090485B">
      <w:pPr>
        <w:tabs>
          <w:tab w:val="left" w:pos="851"/>
        </w:tabs>
        <w:rPr>
          <w:spacing w:val="-2"/>
        </w:rPr>
      </w:pPr>
    </w:p>
    <w:p w14:paraId="585D6235" w14:textId="77777777" w:rsidR="0090485B" w:rsidRPr="00421986" w:rsidRDefault="0090485B" w:rsidP="0090485B">
      <w:pPr>
        <w:tabs>
          <w:tab w:val="left" w:pos="851"/>
        </w:tabs>
      </w:pPr>
      <w:r w:rsidRPr="00421986">
        <w:t xml:space="preserve">Policy on communication strategy will continue to be a focus for </w:t>
      </w:r>
      <w:r w:rsidRPr="00421986">
        <w:rPr>
          <w:spacing w:val="-2"/>
        </w:rPr>
        <w:t xml:space="preserve">the </w:t>
      </w:r>
      <w:r>
        <w:rPr>
          <w:spacing w:val="-2"/>
        </w:rPr>
        <w:t>2022</w:t>
      </w:r>
      <w:r>
        <w:rPr>
          <w:spacing w:val="-2"/>
        </w:rPr>
        <w:noBreakHyphen/>
        <w:t>2023</w:t>
      </w:r>
      <w:r w:rsidRPr="00421986">
        <w:rPr>
          <w:spacing w:val="-2"/>
        </w:rPr>
        <w:t xml:space="preserve"> </w:t>
      </w:r>
      <w:r>
        <w:rPr>
          <w:spacing w:val="-2"/>
        </w:rPr>
        <w:t>biennium</w:t>
      </w:r>
      <w:r w:rsidRPr="00421986">
        <w:rPr>
          <w:spacing w:val="-2"/>
        </w:rPr>
        <w:t>, with the aim of broadening and enhancing the understanding of the UPOV system amongst stakeholders and working with other intergovernmental organizations with a view to promoting mutual supportiveness</w:t>
      </w:r>
      <w:r w:rsidRPr="00421986">
        <w:t>.</w:t>
      </w:r>
    </w:p>
    <w:p w14:paraId="118D8192" w14:textId="77777777" w:rsidR="0090485B" w:rsidRPr="00421986" w:rsidRDefault="0090485B" w:rsidP="0090485B">
      <w:pPr>
        <w:tabs>
          <w:tab w:val="left" w:pos="851"/>
        </w:tabs>
      </w:pPr>
    </w:p>
    <w:p w14:paraId="7CB06A3E" w14:textId="77777777" w:rsidR="0090485B" w:rsidRPr="00421986" w:rsidRDefault="0090485B" w:rsidP="0090485B">
      <w:pPr>
        <w:tabs>
          <w:tab w:val="left" w:pos="851"/>
        </w:tabs>
      </w:pPr>
      <w:r w:rsidRPr="00421986">
        <w:t xml:space="preserve">There will be a need to monitor and review the training and assistance strategy in relation to evolving requests for assistance by members of </w:t>
      </w:r>
      <w:r>
        <w:t>the Union</w:t>
      </w:r>
      <w:r w:rsidRPr="00421986">
        <w:t xml:space="preserve"> and States and organizations wishing to become members of </w:t>
      </w:r>
      <w:r>
        <w:t>the Union</w:t>
      </w:r>
      <w:r w:rsidRPr="00421986">
        <w:t xml:space="preserve">.  In order to provide more impact in training and assistance, consideration will need to be given to the use of virtual training programs based on re-usable resources, additional distance learning courses, video demonstrations, webinars and practical guides, in order to reduce the need for </w:t>
      </w:r>
      <w:r w:rsidRPr="00421986">
        <w:rPr>
          <w:i/>
        </w:rPr>
        <w:t>in situ</w:t>
      </w:r>
      <w:r w:rsidRPr="00421986">
        <w:t xml:space="preserve"> training and to increase outreach.  Furthermore, in conjunction with relevant partners, proposals are anticipated for an international curriculum leading to UPOV-recognized qualifications.</w:t>
      </w:r>
    </w:p>
    <w:p w14:paraId="16E8D32C" w14:textId="77777777" w:rsidR="0090485B" w:rsidRPr="00421986" w:rsidRDefault="0090485B" w:rsidP="0090485B">
      <w:pPr>
        <w:tabs>
          <w:tab w:val="left" w:pos="567"/>
        </w:tabs>
      </w:pPr>
    </w:p>
    <w:p w14:paraId="7CFA0231" w14:textId="77777777" w:rsidR="0090485B" w:rsidRPr="00421986" w:rsidRDefault="0090485B" w:rsidP="0090485B">
      <w:pPr>
        <w:tabs>
          <w:tab w:val="left" w:pos="851"/>
        </w:tabs>
      </w:pPr>
      <w:r w:rsidRPr="00421986">
        <w:t xml:space="preserve">In relation to meetings of UPOV bodies, consideration will need to be given to policy on virtual participation with a view to increasing participation and effectiveness of meetings. </w:t>
      </w:r>
    </w:p>
    <w:p w14:paraId="1E330F62" w14:textId="77777777" w:rsidR="0090485B" w:rsidRPr="00421986" w:rsidRDefault="0090485B" w:rsidP="0090485B">
      <w:pPr>
        <w:tabs>
          <w:tab w:val="left" w:pos="851"/>
        </w:tabs>
      </w:pPr>
    </w:p>
    <w:p w14:paraId="27E1E690" w14:textId="77777777" w:rsidR="0090485B" w:rsidRPr="00421986" w:rsidRDefault="0090485B" w:rsidP="0090485B">
      <w:pPr>
        <w:tabs>
          <w:tab w:val="left" w:pos="851"/>
        </w:tabs>
      </w:pPr>
      <w:r w:rsidRPr="00421986">
        <w:t xml:space="preserve">An area for further consideration will be policy on translation, including the use of machine translation technology to reduce translation costs and increase language coverage. </w:t>
      </w:r>
    </w:p>
    <w:p w14:paraId="2056F27D" w14:textId="77777777" w:rsidR="0090485B" w:rsidRPr="00421986" w:rsidRDefault="0090485B" w:rsidP="0090485B">
      <w:pPr>
        <w:tabs>
          <w:tab w:val="left" w:pos="851"/>
        </w:tabs>
      </w:pPr>
    </w:p>
    <w:p w14:paraId="42A16686" w14:textId="77777777" w:rsidR="0090485B" w:rsidRPr="00F77273" w:rsidRDefault="0090485B" w:rsidP="0090485B"/>
    <w:p w14:paraId="44E6F699" w14:textId="77777777" w:rsidR="0090485B" w:rsidRDefault="0090485B" w:rsidP="0090485B">
      <w:pPr>
        <w:pStyle w:val="Heading3"/>
      </w:pPr>
      <w:bookmarkStart w:id="468" w:name="_Toc77931034"/>
      <w:r w:rsidRPr="00C20F3E">
        <w:t>Activities</w:t>
      </w:r>
      <w:bookmarkEnd w:id="468"/>
    </w:p>
    <w:p w14:paraId="6B8F3634" w14:textId="77777777" w:rsidR="0090485B" w:rsidRPr="00F77273" w:rsidRDefault="0090485B" w:rsidP="0090485B"/>
    <w:p w14:paraId="701F54EF" w14:textId="77777777" w:rsidR="0090485B" w:rsidRPr="00421986" w:rsidRDefault="0090485B" w:rsidP="0090485B">
      <w:pPr>
        <w:spacing w:after="40"/>
        <w:ind w:left="1276" w:hanging="709"/>
      </w:pPr>
      <w:r w:rsidRPr="00421986">
        <w:t>(i)</w:t>
      </w:r>
      <w:r w:rsidRPr="00421986">
        <w:tab/>
        <w:t>Two sessions of the Council and two sessions of the Consultative Committee</w:t>
      </w:r>
    </w:p>
    <w:p w14:paraId="7D0A5253" w14:textId="77777777" w:rsidR="0090485B" w:rsidRPr="00421986" w:rsidRDefault="0090485B" w:rsidP="0090485B">
      <w:pPr>
        <w:spacing w:after="40"/>
        <w:ind w:left="1276" w:hanging="709"/>
      </w:pPr>
      <w:r w:rsidRPr="00421986">
        <w:t>(ii)</w:t>
      </w:r>
      <w:r w:rsidRPr="00421986">
        <w:tab/>
        <w:t xml:space="preserve">Coordination, monitoring and performance assessment of the Program and Budget for the </w:t>
      </w:r>
      <w:r>
        <w:rPr>
          <w:spacing w:val="-2"/>
        </w:rPr>
        <w:t>2022</w:t>
      </w:r>
      <w:r>
        <w:rPr>
          <w:spacing w:val="-2"/>
        </w:rPr>
        <w:noBreakHyphen/>
        <w:t>2023</w:t>
      </w:r>
      <w:r w:rsidRPr="00421986">
        <w:rPr>
          <w:spacing w:val="-2"/>
        </w:rPr>
        <w:t xml:space="preserve"> </w:t>
      </w:r>
      <w:r>
        <w:t>Biennium</w:t>
      </w:r>
    </w:p>
    <w:p w14:paraId="100543F3" w14:textId="77777777" w:rsidR="0090485B" w:rsidRPr="00421986" w:rsidRDefault="0090485B" w:rsidP="0090485B">
      <w:pPr>
        <w:spacing w:after="40"/>
        <w:ind w:left="1276" w:hanging="709"/>
      </w:pPr>
      <w:r w:rsidRPr="00421986">
        <w:t>(iii)</w:t>
      </w:r>
      <w:r w:rsidRPr="00421986">
        <w:tab/>
        <w:t>Review of the Strategic Business Plan</w:t>
      </w:r>
      <w:r>
        <w:t>, including diversification of UPOV’s revenue portfolio</w:t>
      </w:r>
    </w:p>
    <w:p w14:paraId="350C7641" w14:textId="77777777" w:rsidR="0090485B" w:rsidRPr="00421986" w:rsidRDefault="0090485B" w:rsidP="0090485B">
      <w:pPr>
        <w:spacing w:after="40"/>
        <w:ind w:left="1276" w:hanging="709"/>
      </w:pPr>
      <w:r w:rsidRPr="00421986">
        <w:t>(iv)</w:t>
      </w:r>
      <w:r w:rsidRPr="00421986">
        <w:tab/>
        <w:t xml:space="preserve">Preparation and adoption of the Program and Budget for the </w:t>
      </w:r>
      <w:r w:rsidRPr="00421986">
        <w:rPr>
          <w:color w:val="000000"/>
        </w:rPr>
        <w:t>2024</w:t>
      </w:r>
      <w:r w:rsidRPr="00421986">
        <w:rPr>
          <w:color w:val="000000"/>
        </w:rPr>
        <w:noBreakHyphen/>
        <w:t xml:space="preserve">2025 </w:t>
      </w:r>
      <w:r>
        <w:rPr>
          <w:color w:val="000000"/>
        </w:rPr>
        <w:t>Biennium</w:t>
      </w:r>
    </w:p>
    <w:p w14:paraId="3A215F33" w14:textId="77777777" w:rsidR="0090485B" w:rsidRPr="00421986" w:rsidRDefault="0090485B" w:rsidP="0090485B">
      <w:pPr>
        <w:spacing w:after="40"/>
        <w:ind w:left="1276" w:hanging="709"/>
      </w:pPr>
      <w:r w:rsidRPr="00421986">
        <w:t>(v)</w:t>
      </w:r>
      <w:r w:rsidRPr="00421986">
        <w:tab/>
        <w:t>Review of the communication strategy</w:t>
      </w:r>
    </w:p>
    <w:p w14:paraId="2D4DFB39" w14:textId="77777777" w:rsidR="0090485B" w:rsidRPr="00421986" w:rsidRDefault="0090485B" w:rsidP="0090485B">
      <w:pPr>
        <w:spacing w:after="40"/>
        <w:ind w:left="1276" w:hanging="709"/>
      </w:pPr>
      <w:r w:rsidRPr="00421986">
        <w:t>(vi)</w:t>
      </w:r>
      <w:r w:rsidRPr="00421986">
        <w:tab/>
        <w:t>Review of the training and assistance strategy</w:t>
      </w:r>
    </w:p>
    <w:p w14:paraId="23AB8F6D" w14:textId="77777777" w:rsidR="0090485B" w:rsidRPr="00421986" w:rsidRDefault="0090485B" w:rsidP="0090485B">
      <w:pPr>
        <w:spacing w:after="40"/>
        <w:ind w:left="1276" w:hanging="709"/>
      </w:pPr>
      <w:r w:rsidRPr="00421986">
        <w:lastRenderedPageBreak/>
        <w:t>(vii)</w:t>
      </w:r>
      <w:r w:rsidRPr="00421986">
        <w:tab/>
        <w:t>Policy on virtual participation in UPOV meetings</w:t>
      </w:r>
    </w:p>
    <w:p w14:paraId="07AA1AA6" w14:textId="77777777" w:rsidR="0090485B" w:rsidRPr="00421986" w:rsidRDefault="0090485B" w:rsidP="0090485B">
      <w:pPr>
        <w:spacing w:after="40"/>
        <w:ind w:left="1276" w:hanging="709"/>
      </w:pPr>
      <w:r w:rsidRPr="00421986">
        <w:t>(viii)</w:t>
      </w:r>
      <w:r w:rsidRPr="00421986">
        <w:tab/>
        <w:t>Policy on translation and language coverage</w:t>
      </w:r>
    </w:p>
    <w:p w14:paraId="23CD01D0" w14:textId="77777777" w:rsidR="0090485B" w:rsidRDefault="0090485B" w:rsidP="0090485B">
      <w:pPr>
        <w:jc w:val="left"/>
      </w:pPr>
    </w:p>
    <w:p w14:paraId="0ACB4230" w14:textId="77777777" w:rsidR="0090485B" w:rsidRPr="00421986" w:rsidRDefault="0090485B" w:rsidP="0090485B">
      <w:pPr>
        <w:jc w:val="left"/>
      </w:pPr>
    </w:p>
    <w:p w14:paraId="32B6D2B3" w14:textId="77777777" w:rsidR="0090485B" w:rsidRPr="00C20F3E" w:rsidRDefault="0090485B" w:rsidP="0090485B">
      <w:pPr>
        <w:pStyle w:val="Heading3"/>
      </w:pPr>
      <w:bookmarkStart w:id="469" w:name="_Toc77931035"/>
      <w:r w:rsidRPr="00C20F3E">
        <w:t>Expected Results and Performance Indicators</w:t>
      </w:r>
      <w:bookmarkEnd w:id="469"/>
    </w:p>
    <w:p w14:paraId="2ABDFDC3" w14:textId="77777777" w:rsidR="0090485B" w:rsidRPr="00421986" w:rsidRDefault="0090485B" w:rsidP="0090485B">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90485B" w:rsidRPr="00C758E9" w14:paraId="25275098" w14:textId="77777777" w:rsidTr="008F07B7">
        <w:trPr>
          <w:cantSplit/>
        </w:trPr>
        <w:tc>
          <w:tcPr>
            <w:tcW w:w="4351" w:type="dxa"/>
            <w:tcBorders>
              <w:bottom w:val="single" w:sz="4" w:space="0" w:color="A6A6A6" w:themeColor="background1" w:themeShade="A6"/>
            </w:tcBorders>
            <w:shd w:val="clear" w:color="auto" w:fill="C6CFD7" w:themeFill="accent3" w:themeFillTint="66"/>
          </w:tcPr>
          <w:p w14:paraId="55BCE86C" w14:textId="77777777" w:rsidR="0090485B" w:rsidRPr="008B40C0" w:rsidRDefault="0090485B" w:rsidP="008F07B7">
            <w:pPr>
              <w:keepNext/>
              <w:ind w:left="397" w:hanging="397"/>
              <w:jc w:val="center"/>
              <w:rPr>
                <w:rFonts w:cs="Arial"/>
                <w:b/>
                <w:color w:val="000000"/>
              </w:rPr>
            </w:pPr>
            <w:r w:rsidRPr="008B40C0">
              <w:rPr>
                <w:rFonts w:cs="Arial"/>
                <w:b/>
                <w:color w:val="000000"/>
              </w:rPr>
              <w:t>Expected Results</w:t>
            </w:r>
          </w:p>
        </w:tc>
        <w:tc>
          <w:tcPr>
            <w:tcW w:w="5538" w:type="dxa"/>
            <w:tcBorders>
              <w:bottom w:val="single" w:sz="4" w:space="0" w:color="A6A6A6" w:themeColor="background1" w:themeShade="A6"/>
            </w:tcBorders>
            <w:shd w:val="clear" w:color="auto" w:fill="C6CFD7" w:themeFill="accent3" w:themeFillTint="66"/>
          </w:tcPr>
          <w:p w14:paraId="4B2D551F" w14:textId="77777777" w:rsidR="0090485B" w:rsidRPr="008B40C0" w:rsidRDefault="0090485B" w:rsidP="008F07B7">
            <w:pPr>
              <w:keepNext/>
              <w:ind w:left="397" w:hanging="397"/>
              <w:jc w:val="center"/>
              <w:rPr>
                <w:rFonts w:cs="Arial"/>
                <w:b/>
                <w:color w:val="000000"/>
              </w:rPr>
            </w:pPr>
            <w:r w:rsidRPr="008B40C0">
              <w:rPr>
                <w:rFonts w:cs="Arial"/>
                <w:b/>
                <w:color w:val="000000"/>
              </w:rPr>
              <w:t>Performance Indicators</w:t>
            </w:r>
          </w:p>
        </w:tc>
      </w:tr>
      <w:tr w:rsidR="0090485B" w:rsidRPr="00C758E9" w14:paraId="7113CB4A" w14:textId="77777777" w:rsidTr="008F07B7">
        <w:trPr>
          <w:cantSplit/>
        </w:trPr>
        <w:tc>
          <w:tcPr>
            <w:tcW w:w="4351" w:type="dxa"/>
            <w:tcBorders>
              <w:top w:val="single" w:sz="4" w:space="0" w:color="A6A6A6" w:themeColor="background1" w:themeShade="A6"/>
            </w:tcBorders>
          </w:tcPr>
          <w:p w14:paraId="704B91E3" w14:textId="77777777" w:rsidR="0090485B" w:rsidRPr="00C758E9" w:rsidRDefault="0090485B" w:rsidP="0090485B">
            <w:pPr>
              <w:numPr>
                <w:ilvl w:val="0"/>
                <w:numId w:val="9"/>
              </w:numPr>
              <w:ind w:left="496" w:hanging="270"/>
              <w:jc w:val="left"/>
              <w:rPr>
                <w:rFonts w:cs="Arial"/>
                <w:color w:val="000000"/>
              </w:rPr>
            </w:pPr>
            <w:r w:rsidRPr="00C758E9">
              <w:rPr>
                <w:rFonts w:cs="Arial"/>
                <w:color w:val="000000"/>
              </w:rPr>
              <w:t>Governance by the UPOV Council and Consultative Committee, including</w:t>
            </w:r>
            <w:r>
              <w:rPr>
                <w:rFonts w:cs="Arial"/>
                <w:color w:val="000000"/>
              </w:rPr>
              <w:t xml:space="preserve"> monitoring of the work of UPOV </w:t>
            </w:r>
            <w:r w:rsidRPr="00C758E9">
              <w:rPr>
                <w:rFonts w:cs="Arial"/>
                <w:color w:val="000000"/>
              </w:rPr>
              <w:t>Committees</w:t>
            </w:r>
          </w:p>
        </w:tc>
        <w:tc>
          <w:tcPr>
            <w:tcW w:w="5538" w:type="dxa"/>
            <w:tcBorders>
              <w:top w:val="single" w:sz="4" w:space="0" w:color="A6A6A6" w:themeColor="background1" w:themeShade="A6"/>
            </w:tcBorders>
          </w:tcPr>
          <w:p w14:paraId="1E2893EC" w14:textId="77777777" w:rsidR="0090485B" w:rsidRPr="00C758E9" w:rsidRDefault="0090485B" w:rsidP="008F07B7">
            <w:pPr>
              <w:ind w:left="397" w:hanging="397"/>
              <w:jc w:val="left"/>
              <w:rPr>
                <w:rFonts w:cs="Arial"/>
                <w:color w:val="000000"/>
              </w:rPr>
            </w:pPr>
            <w:r>
              <w:rPr>
                <w:rFonts w:cs="Arial"/>
                <w:color w:val="000000"/>
              </w:rPr>
              <w:t>(a)</w:t>
            </w:r>
            <w:r>
              <w:rPr>
                <w:rFonts w:cs="Arial"/>
                <w:color w:val="000000"/>
              </w:rPr>
              <w:tab/>
            </w:r>
            <w:r w:rsidRPr="00C758E9">
              <w:rPr>
                <w:rFonts w:cs="Arial"/>
                <w:color w:val="000000"/>
              </w:rPr>
              <w:t>Approval and monitoring of the work programs of the CAJ, TC, TWPs and ad hoc working groups;</w:t>
            </w:r>
          </w:p>
          <w:p w14:paraId="15BF924A" w14:textId="77777777" w:rsidR="0090485B" w:rsidRPr="00C758E9" w:rsidRDefault="0090485B" w:rsidP="008F07B7">
            <w:pPr>
              <w:ind w:left="397" w:hanging="397"/>
              <w:jc w:val="left"/>
              <w:rPr>
                <w:rFonts w:cs="Arial"/>
                <w:color w:val="000000"/>
              </w:rPr>
            </w:pPr>
            <w:r w:rsidRPr="00C758E9">
              <w:rPr>
                <w:rFonts w:cs="Arial"/>
                <w:color w:val="000000"/>
              </w:rPr>
              <w:t>(b)</w:t>
            </w:r>
            <w:r>
              <w:rPr>
                <w:rFonts w:cs="Arial"/>
                <w:color w:val="000000"/>
              </w:rPr>
              <w:tab/>
            </w:r>
            <w:r w:rsidRPr="00C758E9">
              <w:rPr>
                <w:rFonts w:cs="Arial"/>
                <w:color w:val="000000"/>
              </w:rPr>
              <w:t>Approval of Program and Budget;</w:t>
            </w:r>
          </w:p>
          <w:p w14:paraId="715BD448" w14:textId="77777777" w:rsidR="0090485B" w:rsidRPr="00C758E9" w:rsidRDefault="0090485B" w:rsidP="008F07B7">
            <w:pPr>
              <w:ind w:left="397" w:hanging="397"/>
              <w:jc w:val="left"/>
              <w:rPr>
                <w:rFonts w:cs="Arial"/>
                <w:color w:val="000000"/>
              </w:rPr>
            </w:pPr>
            <w:r w:rsidRPr="00C758E9">
              <w:rPr>
                <w:rFonts w:cs="Arial"/>
                <w:color w:val="000000"/>
              </w:rPr>
              <w:t>(c)</w:t>
            </w:r>
            <w:r>
              <w:rPr>
                <w:rFonts w:cs="Arial"/>
                <w:color w:val="000000"/>
              </w:rPr>
              <w:tab/>
            </w:r>
            <w:r w:rsidRPr="00C758E9">
              <w:rPr>
                <w:rFonts w:cs="Arial"/>
                <w:color w:val="000000"/>
              </w:rPr>
              <w:t>Approval of the financial statements;</w:t>
            </w:r>
          </w:p>
          <w:p w14:paraId="6AEBBF39" w14:textId="77777777" w:rsidR="0090485B" w:rsidRPr="00C758E9" w:rsidRDefault="0090485B" w:rsidP="008F07B7">
            <w:pPr>
              <w:ind w:left="397" w:hanging="397"/>
              <w:jc w:val="left"/>
              <w:rPr>
                <w:rFonts w:cs="Arial"/>
                <w:color w:val="000000"/>
              </w:rPr>
            </w:pPr>
            <w:r w:rsidRPr="00C758E9">
              <w:rPr>
                <w:rFonts w:cs="Arial"/>
                <w:color w:val="000000"/>
              </w:rPr>
              <w:t>(d)</w:t>
            </w:r>
            <w:r>
              <w:rPr>
                <w:rFonts w:cs="Arial"/>
                <w:color w:val="000000"/>
              </w:rPr>
              <w:tab/>
            </w:r>
            <w:r w:rsidRPr="00C758E9">
              <w:rPr>
                <w:rFonts w:cs="Arial"/>
                <w:color w:val="000000"/>
              </w:rPr>
              <w:t>Approval of the</w:t>
            </w:r>
            <w:r>
              <w:rPr>
                <w:rFonts w:cs="Arial"/>
                <w:color w:val="000000"/>
              </w:rPr>
              <w:t xml:space="preserve"> UPOV Performance Report (UPR).</w:t>
            </w:r>
          </w:p>
        </w:tc>
      </w:tr>
      <w:tr w:rsidR="0090485B" w:rsidRPr="00C758E9" w14:paraId="7B405689" w14:textId="77777777" w:rsidTr="008F07B7">
        <w:trPr>
          <w:cantSplit/>
        </w:trPr>
        <w:tc>
          <w:tcPr>
            <w:tcW w:w="4351" w:type="dxa"/>
          </w:tcPr>
          <w:p w14:paraId="1F6AD124" w14:textId="77777777" w:rsidR="0090485B" w:rsidRPr="00C758E9" w:rsidRDefault="0090485B" w:rsidP="0090485B">
            <w:pPr>
              <w:numPr>
                <w:ilvl w:val="0"/>
                <w:numId w:val="9"/>
              </w:numPr>
              <w:ind w:left="468" w:hanging="284"/>
              <w:jc w:val="left"/>
              <w:rPr>
                <w:rFonts w:cs="Arial"/>
                <w:color w:val="000000"/>
              </w:rPr>
            </w:pPr>
            <w:r w:rsidRPr="00C758E9">
              <w:rPr>
                <w:rFonts w:cs="Arial"/>
                <w:color w:val="000000"/>
              </w:rPr>
              <w:t xml:space="preserve">Examination of the conformity of laws, or draft laws, with the 1991 Act of the </w:t>
            </w:r>
            <w:r>
              <w:rPr>
                <w:rFonts w:cs="Arial"/>
                <w:color w:val="000000"/>
              </w:rPr>
              <w:t>UPOV Convention</w:t>
            </w:r>
          </w:p>
        </w:tc>
        <w:tc>
          <w:tcPr>
            <w:tcW w:w="5538" w:type="dxa"/>
          </w:tcPr>
          <w:p w14:paraId="5FE62446" w14:textId="77777777" w:rsidR="0090485B" w:rsidRPr="00C758E9" w:rsidRDefault="0090485B" w:rsidP="008F07B7">
            <w:pPr>
              <w:ind w:left="397" w:hanging="397"/>
              <w:jc w:val="left"/>
              <w:rPr>
                <w:rFonts w:cs="Arial"/>
                <w:color w:val="000000"/>
              </w:rPr>
            </w:pPr>
            <w:r w:rsidRPr="00C758E9">
              <w:rPr>
                <w:rFonts w:cs="Arial"/>
                <w:color w:val="000000"/>
              </w:rPr>
              <w:t>(a)</w:t>
            </w:r>
            <w:r w:rsidRPr="00C758E9">
              <w:rPr>
                <w:rFonts w:cs="Arial"/>
                <w:color w:val="000000"/>
              </w:rPr>
              <w:tab/>
              <w:t>Recommendations by the Consultative Committee;</w:t>
            </w:r>
          </w:p>
          <w:p w14:paraId="1B0A753D" w14:textId="77777777" w:rsidR="0090485B" w:rsidRPr="00C758E9" w:rsidRDefault="0090485B" w:rsidP="008F07B7">
            <w:pPr>
              <w:ind w:left="397" w:hanging="397"/>
              <w:jc w:val="left"/>
              <w:rPr>
                <w:rFonts w:cs="Arial"/>
                <w:color w:val="000000"/>
              </w:rPr>
            </w:pPr>
            <w:r w:rsidRPr="00C758E9">
              <w:rPr>
                <w:rFonts w:cs="Arial"/>
                <w:color w:val="000000"/>
              </w:rPr>
              <w:t>(b)</w:t>
            </w:r>
            <w:r w:rsidRPr="00C758E9">
              <w:rPr>
                <w:rFonts w:cs="Arial"/>
                <w:color w:val="000000"/>
              </w:rPr>
              <w:tab/>
              <w:t>Decisions by the Council.</w:t>
            </w:r>
          </w:p>
        </w:tc>
      </w:tr>
      <w:tr w:rsidR="0090485B" w:rsidRPr="00C758E9" w14:paraId="4CA415B4" w14:textId="77777777" w:rsidTr="008F07B7">
        <w:trPr>
          <w:cantSplit/>
        </w:trPr>
        <w:tc>
          <w:tcPr>
            <w:tcW w:w="4351" w:type="dxa"/>
          </w:tcPr>
          <w:p w14:paraId="6E44BA81" w14:textId="77777777" w:rsidR="0090485B" w:rsidRPr="008B40C0" w:rsidRDefault="0090485B" w:rsidP="0090485B">
            <w:pPr>
              <w:numPr>
                <w:ilvl w:val="0"/>
                <w:numId w:val="9"/>
              </w:numPr>
              <w:ind w:left="468" w:hanging="284"/>
              <w:jc w:val="left"/>
              <w:rPr>
                <w:rFonts w:cs="Arial"/>
                <w:color w:val="000000"/>
              </w:rPr>
            </w:pPr>
            <w:r w:rsidRPr="008B40C0">
              <w:rPr>
                <w:rFonts w:cs="Arial"/>
                <w:color w:val="000000"/>
              </w:rPr>
              <w:t>Review of developments concerning applications and grants of plant breeders</w:t>
            </w:r>
            <w:r>
              <w:rPr>
                <w:rFonts w:cs="Arial"/>
                <w:color w:val="000000"/>
              </w:rPr>
              <w:t>’</w:t>
            </w:r>
            <w:r w:rsidRPr="008B40C0">
              <w:rPr>
                <w:rFonts w:cs="Arial"/>
                <w:color w:val="000000"/>
              </w:rPr>
              <w:t xml:space="preserve"> rights </w:t>
            </w:r>
          </w:p>
        </w:tc>
        <w:tc>
          <w:tcPr>
            <w:tcW w:w="5538" w:type="dxa"/>
          </w:tcPr>
          <w:p w14:paraId="5DB3E710" w14:textId="77777777" w:rsidR="0090485B" w:rsidRPr="008B40C0" w:rsidRDefault="0090485B" w:rsidP="008F07B7">
            <w:pPr>
              <w:ind w:left="397" w:hanging="397"/>
              <w:jc w:val="left"/>
              <w:rPr>
                <w:rFonts w:cs="Arial"/>
                <w:color w:val="000000"/>
              </w:rPr>
            </w:pPr>
            <w:r w:rsidRPr="008B40C0">
              <w:rPr>
                <w:rFonts w:cs="Arial"/>
                <w:color w:val="000000"/>
              </w:rPr>
              <w:t>(a)</w:t>
            </w:r>
            <w:r w:rsidRPr="008B40C0">
              <w:rPr>
                <w:rFonts w:cs="Arial"/>
                <w:color w:val="000000"/>
              </w:rPr>
              <w:tab/>
              <w:t>Number of applications;</w:t>
            </w:r>
          </w:p>
          <w:p w14:paraId="59B448EC" w14:textId="77777777" w:rsidR="0090485B" w:rsidRPr="008B40C0" w:rsidRDefault="0090485B" w:rsidP="008F07B7">
            <w:pPr>
              <w:ind w:left="397" w:hanging="397"/>
              <w:jc w:val="left"/>
              <w:rPr>
                <w:rFonts w:cs="Arial"/>
                <w:color w:val="000000"/>
              </w:rPr>
            </w:pPr>
            <w:r w:rsidRPr="008B40C0">
              <w:rPr>
                <w:rFonts w:cs="Arial"/>
                <w:color w:val="000000"/>
              </w:rPr>
              <w:t>(b)</w:t>
            </w:r>
            <w:r w:rsidRPr="008B40C0">
              <w:rPr>
                <w:rFonts w:cs="Arial"/>
                <w:color w:val="000000"/>
              </w:rPr>
              <w:tab/>
              <w:t>Number of titles granted;</w:t>
            </w:r>
          </w:p>
          <w:p w14:paraId="745E6617" w14:textId="77777777" w:rsidR="0090485B" w:rsidRPr="008B40C0" w:rsidRDefault="0090485B" w:rsidP="008F07B7">
            <w:pPr>
              <w:ind w:left="397" w:hanging="397"/>
              <w:jc w:val="left"/>
              <w:rPr>
                <w:rFonts w:cs="Arial"/>
                <w:color w:val="000000"/>
              </w:rPr>
            </w:pPr>
            <w:r w:rsidRPr="008B40C0">
              <w:rPr>
                <w:rFonts w:cs="Arial"/>
                <w:color w:val="000000"/>
              </w:rPr>
              <w:t>(c)</w:t>
            </w:r>
            <w:r w:rsidRPr="008B40C0">
              <w:rPr>
                <w:rFonts w:cs="Arial"/>
                <w:color w:val="000000"/>
              </w:rPr>
              <w:tab/>
              <w:t>Number of titles in force;</w:t>
            </w:r>
          </w:p>
          <w:p w14:paraId="647F70D2" w14:textId="77777777" w:rsidR="0090485B" w:rsidRPr="008B40C0" w:rsidRDefault="0090485B" w:rsidP="008F07B7">
            <w:pPr>
              <w:ind w:left="397" w:hanging="397"/>
              <w:jc w:val="left"/>
              <w:rPr>
                <w:rFonts w:cs="Arial"/>
                <w:color w:val="000000"/>
              </w:rPr>
            </w:pPr>
            <w:r w:rsidRPr="008B40C0">
              <w:rPr>
                <w:rFonts w:cs="Arial"/>
                <w:color w:val="000000"/>
              </w:rPr>
              <w:t>(d)</w:t>
            </w:r>
            <w:r w:rsidRPr="008B40C0">
              <w:rPr>
                <w:rFonts w:cs="Arial"/>
                <w:color w:val="000000"/>
              </w:rPr>
              <w:tab/>
              <w:t xml:space="preserve">Number of genera/species protected by members of </w:t>
            </w:r>
            <w:r>
              <w:rPr>
                <w:rFonts w:cs="Arial"/>
                <w:color w:val="000000"/>
              </w:rPr>
              <w:t>the Union</w:t>
            </w:r>
            <w:r w:rsidRPr="008B40C0">
              <w:rPr>
                <w:rFonts w:cs="Arial"/>
                <w:color w:val="000000"/>
              </w:rPr>
              <w:t>;</w:t>
            </w:r>
          </w:p>
          <w:p w14:paraId="08181ADC" w14:textId="77777777" w:rsidR="0090485B" w:rsidRPr="008B40C0" w:rsidRDefault="0090485B" w:rsidP="008F07B7">
            <w:pPr>
              <w:ind w:left="397" w:hanging="397"/>
              <w:jc w:val="left"/>
              <w:rPr>
                <w:rFonts w:cs="Arial"/>
                <w:color w:val="000000"/>
              </w:rPr>
            </w:pPr>
            <w:r w:rsidRPr="008B40C0">
              <w:rPr>
                <w:rFonts w:cs="Arial"/>
                <w:color w:val="000000"/>
              </w:rPr>
              <w:t>(e)</w:t>
            </w:r>
            <w:r w:rsidRPr="008B40C0">
              <w:rPr>
                <w:rFonts w:cs="Arial"/>
                <w:color w:val="000000"/>
              </w:rPr>
              <w:tab/>
              <w:t>Number of genera/species for which va</w:t>
            </w:r>
            <w:r>
              <w:rPr>
                <w:rFonts w:cs="Arial"/>
                <w:color w:val="000000"/>
              </w:rPr>
              <w:t>rieties have been protected;</w:t>
            </w:r>
          </w:p>
          <w:p w14:paraId="1FCB12FC" w14:textId="77777777" w:rsidR="0090485B" w:rsidRPr="008B40C0" w:rsidRDefault="0090485B" w:rsidP="008F07B7">
            <w:pPr>
              <w:ind w:left="397" w:hanging="397"/>
              <w:jc w:val="left"/>
              <w:rPr>
                <w:rFonts w:cs="Arial"/>
                <w:color w:val="000000"/>
              </w:rPr>
            </w:pPr>
            <w:r w:rsidRPr="008B40C0">
              <w:rPr>
                <w:rFonts w:cs="Arial"/>
                <w:color w:val="000000"/>
              </w:rPr>
              <w:t>(f)</w:t>
            </w:r>
            <w:r w:rsidRPr="008B40C0">
              <w:rPr>
                <w:rFonts w:cs="Arial"/>
                <w:color w:val="000000"/>
              </w:rPr>
              <w:tab/>
              <w:t>Analysis by crop type.</w:t>
            </w:r>
          </w:p>
        </w:tc>
      </w:tr>
      <w:tr w:rsidR="0090485B" w:rsidRPr="00421986" w14:paraId="246668AF" w14:textId="77777777" w:rsidTr="008F07B7">
        <w:trPr>
          <w:cantSplit/>
        </w:trPr>
        <w:tc>
          <w:tcPr>
            <w:tcW w:w="4351" w:type="dxa"/>
            <w:tcBorders>
              <w:bottom w:val="single" w:sz="4" w:space="0" w:color="BFBFBF" w:themeColor="background1" w:themeShade="BF"/>
            </w:tcBorders>
          </w:tcPr>
          <w:p w14:paraId="4DE17128" w14:textId="77777777" w:rsidR="0090485B" w:rsidRPr="00C758E9" w:rsidRDefault="0090485B" w:rsidP="0090485B">
            <w:pPr>
              <w:numPr>
                <w:ilvl w:val="0"/>
                <w:numId w:val="9"/>
              </w:numPr>
              <w:ind w:left="496" w:hanging="270"/>
              <w:jc w:val="left"/>
              <w:rPr>
                <w:rFonts w:cs="Arial"/>
                <w:color w:val="000000"/>
              </w:rPr>
            </w:pPr>
            <w:r w:rsidRPr="00C758E9">
              <w:rPr>
                <w:rFonts w:cs="Arial"/>
                <w:color w:val="000000"/>
              </w:rPr>
              <w:t>Policies to diversify UPOV</w:t>
            </w:r>
            <w:r>
              <w:rPr>
                <w:rFonts w:cs="Arial"/>
                <w:color w:val="000000"/>
              </w:rPr>
              <w:t>’</w:t>
            </w:r>
            <w:r w:rsidRPr="00C758E9">
              <w:rPr>
                <w:rFonts w:cs="Arial"/>
                <w:color w:val="000000"/>
              </w:rPr>
              <w:t>s revenue portfolio</w:t>
            </w:r>
          </w:p>
        </w:tc>
        <w:tc>
          <w:tcPr>
            <w:tcW w:w="5538" w:type="dxa"/>
            <w:tcBorders>
              <w:bottom w:val="single" w:sz="4" w:space="0" w:color="BFBFBF" w:themeColor="background1" w:themeShade="BF"/>
            </w:tcBorders>
          </w:tcPr>
          <w:p w14:paraId="5CBEF268" w14:textId="77777777" w:rsidR="0090485B" w:rsidRPr="00421986" w:rsidRDefault="0090485B" w:rsidP="008F07B7">
            <w:pPr>
              <w:ind w:left="397" w:hanging="397"/>
              <w:jc w:val="left"/>
              <w:rPr>
                <w:rFonts w:cs="Arial"/>
                <w:color w:val="000000"/>
              </w:rPr>
            </w:pPr>
            <w:r>
              <w:rPr>
                <w:rFonts w:cs="Arial"/>
                <w:color w:val="000000"/>
              </w:rPr>
              <w:t>(a)</w:t>
            </w:r>
            <w:r>
              <w:rPr>
                <w:rFonts w:cs="Arial"/>
                <w:color w:val="000000"/>
              </w:rPr>
              <w:tab/>
            </w:r>
            <w:r w:rsidRPr="00C758E9">
              <w:rPr>
                <w:rFonts w:cs="Arial"/>
                <w:color w:val="000000"/>
              </w:rPr>
              <w:t>Income from sources other than UPOV member contributions</w:t>
            </w:r>
            <w:r>
              <w:rPr>
                <w:rFonts w:cs="Arial"/>
                <w:color w:val="000000"/>
              </w:rPr>
              <w:t>.</w:t>
            </w:r>
          </w:p>
        </w:tc>
      </w:tr>
    </w:tbl>
    <w:p w14:paraId="07CAC071" w14:textId="77777777" w:rsidR="0090485B" w:rsidRPr="00421986" w:rsidRDefault="0090485B" w:rsidP="0090485B">
      <w:pPr>
        <w:jc w:val="left"/>
        <w:rPr>
          <w:b/>
        </w:rPr>
      </w:pPr>
    </w:p>
    <w:p w14:paraId="084571BE" w14:textId="77777777" w:rsidR="0090485B" w:rsidRPr="00421986" w:rsidRDefault="0090485B" w:rsidP="0090485B">
      <w:pPr>
        <w:jc w:val="left"/>
        <w:rPr>
          <w:i/>
        </w:rPr>
      </w:pPr>
    </w:p>
    <w:p w14:paraId="6B292C76" w14:textId="77777777" w:rsidR="0090485B" w:rsidRPr="00421986" w:rsidRDefault="0090485B" w:rsidP="0090485B">
      <w:pPr>
        <w:jc w:val="left"/>
        <w:rPr>
          <w:b/>
        </w:rPr>
      </w:pPr>
      <w:r w:rsidRPr="00421986">
        <w:rPr>
          <w:b/>
        </w:rPr>
        <w:br w:type="page"/>
      </w:r>
    </w:p>
    <w:p w14:paraId="259B8BAD" w14:textId="77777777" w:rsidR="0090485B" w:rsidRPr="00421986" w:rsidRDefault="0090485B" w:rsidP="0090485B">
      <w:pPr>
        <w:pStyle w:val="Heading2"/>
      </w:pPr>
      <w:bookmarkStart w:id="470" w:name="_Toc77931036"/>
      <w:r>
        <w:lastRenderedPageBreak/>
        <w:t xml:space="preserve">Sub-program UV.2:  </w:t>
      </w:r>
      <w:r w:rsidRPr="00421986">
        <w:t xml:space="preserve">Services to </w:t>
      </w:r>
      <w:r>
        <w:t>the Union</w:t>
      </w:r>
      <w:r w:rsidRPr="00421986">
        <w:t xml:space="preserve"> </w:t>
      </w:r>
      <w:r>
        <w:t>for Enhancing the Effectiveness</w:t>
      </w:r>
      <w:r>
        <w:br/>
      </w:r>
      <w:r w:rsidRPr="00421986">
        <w:t>of the UPOV System</w:t>
      </w:r>
      <w:bookmarkEnd w:id="470"/>
      <w:r w:rsidRPr="00421986">
        <w:t xml:space="preserve"> </w:t>
      </w:r>
    </w:p>
    <w:p w14:paraId="5B4A3966" w14:textId="77777777" w:rsidR="0090485B" w:rsidRDefault="0090485B" w:rsidP="0090485B">
      <w:pPr>
        <w:keepNext/>
      </w:pPr>
    </w:p>
    <w:p w14:paraId="4988D7D2" w14:textId="77777777" w:rsidR="0090485B" w:rsidRPr="00421986" w:rsidRDefault="0090485B" w:rsidP="0090485B">
      <w:pPr>
        <w:keepNext/>
      </w:pPr>
    </w:p>
    <w:p w14:paraId="21CC5DFF" w14:textId="77777777" w:rsidR="0090485B" w:rsidRPr="00C20F3E" w:rsidRDefault="0090485B" w:rsidP="0090485B">
      <w:pPr>
        <w:pStyle w:val="Heading3"/>
      </w:pPr>
      <w:bookmarkStart w:id="471" w:name="_Toc77931037"/>
      <w:r w:rsidRPr="00C20F3E">
        <w:t>Objectives</w:t>
      </w:r>
      <w:bookmarkEnd w:id="471"/>
    </w:p>
    <w:p w14:paraId="383EB6C9" w14:textId="77777777" w:rsidR="0090485B" w:rsidRPr="00421986" w:rsidRDefault="0090485B" w:rsidP="0090485B">
      <w:pPr>
        <w:keepNext/>
        <w:ind w:left="142"/>
      </w:pPr>
    </w:p>
    <w:p w14:paraId="58F70ADE" w14:textId="77777777" w:rsidR="0090485B" w:rsidRPr="00F72310" w:rsidRDefault="0090485B" w:rsidP="0090485B">
      <w:pPr>
        <w:pStyle w:val="ListParagraph"/>
        <w:numPr>
          <w:ilvl w:val="4"/>
          <w:numId w:val="7"/>
        </w:numPr>
        <w:ind w:left="1134" w:hanging="567"/>
      </w:pPr>
      <w:r w:rsidRPr="00421986">
        <w:t xml:space="preserve">To </w:t>
      </w:r>
      <w:r w:rsidRPr="00F72310">
        <w:t>maintain and improve the effectiveness of the UPOV system.</w:t>
      </w:r>
    </w:p>
    <w:p w14:paraId="1868DC4A" w14:textId="77777777" w:rsidR="0090485B" w:rsidRPr="00F72310" w:rsidRDefault="0090485B" w:rsidP="0090485B">
      <w:pPr>
        <w:pStyle w:val="ListParagraph"/>
        <w:numPr>
          <w:ilvl w:val="4"/>
          <w:numId w:val="7"/>
        </w:numPr>
        <w:ind w:left="1134" w:hanging="567"/>
      </w:pPr>
      <w:r w:rsidRPr="00F72310">
        <w:t xml:space="preserve">To provide and develop the legal, administrative and technical basis for international cooperation in plant variety protection according to the </w:t>
      </w:r>
      <w:r>
        <w:t>UPOV Convention</w:t>
      </w:r>
      <w:r w:rsidRPr="00F72310">
        <w:t>.</w:t>
      </w:r>
    </w:p>
    <w:p w14:paraId="09D7BD1B" w14:textId="77777777" w:rsidR="0090485B" w:rsidRDefault="0090485B" w:rsidP="0090485B">
      <w:pPr>
        <w:ind w:left="2410" w:hanging="2410"/>
      </w:pPr>
    </w:p>
    <w:p w14:paraId="347E6D75" w14:textId="77777777" w:rsidR="0090485B" w:rsidRPr="00421986" w:rsidRDefault="0090485B" w:rsidP="0090485B">
      <w:pPr>
        <w:ind w:left="2410" w:hanging="2410"/>
      </w:pPr>
    </w:p>
    <w:p w14:paraId="7139E144" w14:textId="77777777" w:rsidR="0090485B" w:rsidRPr="00C20F3E" w:rsidRDefault="0090485B" w:rsidP="0090485B">
      <w:pPr>
        <w:pStyle w:val="Heading3"/>
      </w:pPr>
      <w:bookmarkStart w:id="472" w:name="_Toc77931038"/>
      <w:r w:rsidRPr="00C20F3E">
        <w:t>Narrative</w:t>
      </w:r>
      <w:bookmarkEnd w:id="472"/>
    </w:p>
    <w:p w14:paraId="5483DDA5" w14:textId="77777777" w:rsidR="0090485B" w:rsidRPr="00421986" w:rsidRDefault="0090485B" w:rsidP="0090485B"/>
    <w:p w14:paraId="61DAEB2A" w14:textId="77777777" w:rsidR="0090485B" w:rsidRPr="00C20F3E" w:rsidRDefault="0090485B" w:rsidP="0090485B">
      <w:pPr>
        <w:pStyle w:val="Heading5"/>
      </w:pPr>
      <w:r w:rsidRPr="00C20F3E">
        <w:t>Introduction</w:t>
      </w:r>
    </w:p>
    <w:p w14:paraId="267C9D80" w14:textId="77777777" w:rsidR="0090485B" w:rsidRPr="00421986" w:rsidRDefault="0090485B" w:rsidP="0090485B">
      <w:pPr>
        <w:tabs>
          <w:tab w:val="left" w:pos="851"/>
        </w:tabs>
        <w:rPr>
          <w:color w:val="000000" w:themeColor="text1"/>
        </w:rPr>
      </w:pPr>
    </w:p>
    <w:p w14:paraId="15B2F8EA" w14:textId="77777777" w:rsidR="0090485B" w:rsidRPr="00421986" w:rsidRDefault="0090485B" w:rsidP="0090485B">
      <w:pPr>
        <w:tabs>
          <w:tab w:val="left" w:pos="851"/>
        </w:tabs>
        <w:rPr>
          <w:color w:val="000000" w:themeColor="text1"/>
        </w:rPr>
      </w:pPr>
      <w:r w:rsidRPr="00421986">
        <w:rPr>
          <w:color w:val="000000" w:themeColor="text1"/>
        </w:rPr>
        <w:t>This sub-program covers the provision of guidance, information and resource</w:t>
      </w:r>
      <w:r>
        <w:rPr>
          <w:color w:val="000000" w:themeColor="text1"/>
        </w:rPr>
        <w:t>s for the operation of the UPOV </w:t>
      </w:r>
      <w:r w:rsidRPr="00421986">
        <w:rPr>
          <w:color w:val="000000" w:themeColor="text1"/>
        </w:rPr>
        <w:t xml:space="preserve">system of </w:t>
      </w:r>
      <w:r w:rsidRPr="00421986">
        <w:rPr>
          <w:snapToGrid w:val="0"/>
          <w:color w:val="000000" w:themeColor="text1"/>
        </w:rPr>
        <w:t>plant variety protection</w:t>
      </w:r>
      <w:r w:rsidRPr="00421986">
        <w:rPr>
          <w:color w:val="000000" w:themeColor="text1"/>
        </w:rPr>
        <w:t xml:space="preserve">, support for cooperation between members of </w:t>
      </w:r>
      <w:r>
        <w:rPr>
          <w:color w:val="000000" w:themeColor="text1"/>
        </w:rPr>
        <w:t>the Union</w:t>
      </w:r>
      <w:r w:rsidRPr="00421986">
        <w:rPr>
          <w:color w:val="000000" w:themeColor="text1"/>
        </w:rPr>
        <w:t xml:space="preserve"> and the work of the relevant UPOV bodies involved in developing guidance and cooperation.  </w:t>
      </w:r>
    </w:p>
    <w:p w14:paraId="0E03F271" w14:textId="77777777" w:rsidR="0090485B" w:rsidRDefault="0090485B" w:rsidP="0090485B">
      <w:pPr>
        <w:tabs>
          <w:tab w:val="left" w:pos="567"/>
        </w:tabs>
        <w:rPr>
          <w:color w:val="000000" w:themeColor="text1"/>
        </w:rPr>
      </w:pPr>
    </w:p>
    <w:p w14:paraId="48788CD3" w14:textId="77777777" w:rsidR="0090485B" w:rsidRPr="00C20F3E" w:rsidRDefault="0090485B" w:rsidP="0090485B">
      <w:pPr>
        <w:pStyle w:val="Heading5"/>
        <w:rPr>
          <w:bCs/>
          <w:szCs w:val="24"/>
        </w:rPr>
      </w:pPr>
      <w:r w:rsidRPr="00C20F3E">
        <w:t>Guidance and information materials</w:t>
      </w:r>
    </w:p>
    <w:p w14:paraId="53BF6832" w14:textId="77777777" w:rsidR="0090485B" w:rsidRPr="00421986" w:rsidRDefault="0090485B" w:rsidP="0090485B">
      <w:pPr>
        <w:tabs>
          <w:tab w:val="left" w:pos="851"/>
        </w:tabs>
        <w:rPr>
          <w:bCs/>
          <w:color w:val="000000" w:themeColor="text1"/>
          <w:szCs w:val="24"/>
        </w:rPr>
      </w:pPr>
    </w:p>
    <w:p w14:paraId="710D356E" w14:textId="77777777" w:rsidR="0090485B" w:rsidRPr="00421986" w:rsidRDefault="0090485B" w:rsidP="0090485B">
      <w:pPr>
        <w:tabs>
          <w:tab w:val="left" w:pos="851"/>
        </w:tabs>
        <w:rPr>
          <w:color w:val="000000" w:themeColor="text1"/>
        </w:rPr>
      </w:pPr>
      <w:r w:rsidRPr="00421986">
        <w:rPr>
          <w:color w:val="000000" w:themeColor="text1"/>
        </w:rPr>
        <w:t>The effectiveness of the UPOV system is enhanced by the provision of guidance and information materials such as Explanatory Notes (</w:t>
      </w:r>
      <w:r>
        <w:rPr>
          <w:color w:val="000000" w:themeColor="text1"/>
        </w:rPr>
        <w:t>“</w:t>
      </w:r>
      <w:r w:rsidRPr="00421986">
        <w:rPr>
          <w:color w:val="000000" w:themeColor="text1"/>
        </w:rPr>
        <w:t>UPOV/EXN</w:t>
      </w:r>
      <w:r>
        <w:rPr>
          <w:color w:val="000000" w:themeColor="text1"/>
        </w:rPr>
        <w:t>”</w:t>
      </w:r>
      <w:r w:rsidRPr="00421986">
        <w:rPr>
          <w:color w:val="000000" w:themeColor="text1"/>
        </w:rPr>
        <w:t xml:space="preserve"> series), Information Documents (</w:t>
      </w:r>
      <w:r>
        <w:rPr>
          <w:color w:val="000000" w:themeColor="text1"/>
        </w:rPr>
        <w:t>“</w:t>
      </w:r>
      <w:r w:rsidRPr="00421986">
        <w:rPr>
          <w:color w:val="000000" w:themeColor="text1"/>
        </w:rPr>
        <w:t>UPOV/INF</w:t>
      </w:r>
      <w:r>
        <w:rPr>
          <w:color w:val="000000" w:themeColor="text1"/>
        </w:rPr>
        <w:t>”</w:t>
      </w:r>
      <w:r w:rsidRPr="00421986">
        <w:rPr>
          <w:color w:val="000000" w:themeColor="text1"/>
        </w:rPr>
        <w:t xml:space="preserve"> series), the </w:t>
      </w:r>
      <w:r>
        <w:rPr>
          <w:color w:val="000000" w:themeColor="text1"/>
        </w:rPr>
        <w:t>“</w:t>
      </w:r>
      <w:r w:rsidRPr="00421986">
        <w:rPr>
          <w:color w:val="000000" w:themeColor="text1"/>
        </w:rPr>
        <w:t>General Introduction to the Examination of Distinctness, Uniformity and Stability and the Development of Harmonized Descriptions of New Varieties of Plants</w:t>
      </w:r>
      <w:r>
        <w:rPr>
          <w:color w:val="000000" w:themeColor="text1"/>
        </w:rPr>
        <w:t>”</w:t>
      </w:r>
      <w:r w:rsidRPr="00421986">
        <w:rPr>
          <w:color w:val="000000" w:themeColor="text1"/>
        </w:rPr>
        <w:t xml:space="preserve">, with its associated TGP documents, and Test Guidelines.  Such materials provide the basis for harmonization and, thereby, facilitate cooperation between members of </w:t>
      </w:r>
      <w:r>
        <w:rPr>
          <w:color w:val="000000" w:themeColor="text1"/>
        </w:rPr>
        <w:t>the Union</w:t>
      </w:r>
      <w:r w:rsidRPr="00421986">
        <w:rPr>
          <w:color w:val="000000" w:themeColor="text1"/>
        </w:rPr>
        <w:t>.  The identification of relevant matters for guidance and the development of appropriate materials is a key objective of the work of the Administrative and Legal Committee (CAJ), the Technical Committee (TC) and the Technical Working Parties (TWPs).  In that respect, the involvement of organizations representing stakeholders is an important means of ensuring that guidance and information is as effective as possible.</w:t>
      </w:r>
    </w:p>
    <w:p w14:paraId="22C7B30D" w14:textId="77777777" w:rsidR="0090485B" w:rsidRPr="00421986" w:rsidRDefault="0090485B" w:rsidP="0090485B">
      <w:pPr>
        <w:rPr>
          <w:color w:val="000000" w:themeColor="text1"/>
        </w:rPr>
      </w:pPr>
    </w:p>
    <w:p w14:paraId="622CB763" w14:textId="77777777" w:rsidR="0090485B" w:rsidRPr="00421986" w:rsidRDefault="0090485B" w:rsidP="0090485B">
      <w:pPr>
        <w:tabs>
          <w:tab w:val="left" w:pos="851"/>
        </w:tabs>
      </w:pPr>
      <w:r w:rsidRPr="00421986">
        <w:t xml:space="preserve">An extensive set of guidance and information materials has been established and work in the </w:t>
      </w:r>
      <w:r>
        <w:t>2022</w:t>
      </w:r>
      <w:r>
        <w:noBreakHyphen/>
        <w:t>2023 biennium</w:t>
      </w:r>
      <w:r w:rsidRPr="00421986">
        <w:t xml:space="preserve"> will focus on the updating of existing material and the development of new guidance in specific areas.</w:t>
      </w:r>
    </w:p>
    <w:p w14:paraId="68843D9C" w14:textId="77777777" w:rsidR="0090485B" w:rsidRDefault="0090485B" w:rsidP="0090485B"/>
    <w:p w14:paraId="343C720C" w14:textId="77777777" w:rsidR="0090485B" w:rsidRPr="00C20F3E" w:rsidRDefault="0090485B" w:rsidP="0090485B">
      <w:pPr>
        <w:pStyle w:val="Heading5"/>
      </w:pPr>
      <w:r w:rsidRPr="00C20F3E">
        <w:t xml:space="preserve">Cooperation between members of </w:t>
      </w:r>
      <w:r>
        <w:t>the Union</w:t>
      </w:r>
    </w:p>
    <w:p w14:paraId="0DF0112D" w14:textId="77777777" w:rsidR="0090485B" w:rsidRPr="00421986" w:rsidRDefault="0090485B" w:rsidP="0090485B">
      <w:pPr>
        <w:keepNext/>
        <w:tabs>
          <w:tab w:val="left" w:pos="567"/>
        </w:tabs>
        <w:rPr>
          <w:color w:val="000000" w:themeColor="text1"/>
        </w:rPr>
      </w:pPr>
    </w:p>
    <w:p w14:paraId="4DCFA484" w14:textId="77777777" w:rsidR="0090485B" w:rsidRPr="00421986" w:rsidRDefault="0090485B" w:rsidP="0090485B">
      <w:pPr>
        <w:tabs>
          <w:tab w:val="left" w:pos="851"/>
        </w:tabs>
        <w:rPr>
          <w:bCs/>
          <w:color w:val="000000" w:themeColor="text1"/>
          <w:szCs w:val="24"/>
        </w:rPr>
      </w:pPr>
      <w:r w:rsidRPr="00421986">
        <w:rPr>
          <w:bCs/>
          <w:color w:val="000000" w:themeColor="text1"/>
          <w:szCs w:val="24"/>
        </w:rPr>
        <w:t xml:space="preserve">Cooperation between members of </w:t>
      </w:r>
      <w:r>
        <w:rPr>
          <w:bCs/>
          <w:color w:val="000000" w:themeColor="text1"/>
          <w:szCs w:val="24"/>
        </w:rPr>
        <w:t>the Union</w:t>
      </w:r>
      <w:r w:rsidRPr="00421986">
        <w:rPr>
          <w:bCs/>
          <w:color w:val="000000" w:themeColor="text1"/>
          <w:szCs w:val="24"/>
        </w:rPr>
        <w:t xml:space="preserve"> is a key feature of the UPOV system and is the basis for an efficient system.  Work in UPOV bodies will continue to identify measures and tools that can facilitate cooperation on a voluntary basis. </w:t>
      </w:r>
    </w:p>
    <w:p w14:paraId="31E74C7F" w14:textId="77777777" w:rsidR="0090485B" w:rsidRPr="00421986" w:rsidRDefault="0090485B" w:rsidP="0090485B">
      <w:pPr>
        <w:tabs>
          <w:tab w:val="left" w:pos="851"/>
        </w:tabs>
        <w:rPr>
          <w:bCs/>
          <w:color w:val="000000" w:themeColor="text1"/>
          <w:szCs w:val="24"/>
        </w:rPr>
      </w:pPr>
    </w:p>
    <w:p w14:paraId="116E773C" w14:textId="77777777" w:rsidR="0090485B" w:rsidRPr="00421986" w:rsidRDefault="0090485B" w:rsidP="0090485B">
      <w:pPr>
        <w:tabs>
          <w:tab w:val="left" w:pos="851"/>
        </w:tabs>
        <w:rPr>
          <w:bCs/>
          <w:color w:val="000000" w:themeColor="text1"/>
          <w:szCs w:val="24"/>
        </w:rPr>
      </w:pPr>
      <w:r w:rsidRPr="00421986">
        <w:rPr>
          <w:bCs/>
          <w:color w:val="000000" w:themeColor="text1"/>
          <w:szCs w:val="24"/>
        </w:rPr>
        <w:t xml:space="preserve">Plans for the development of tools to facilitate cooperation are explained in the section </w:t>
      </w:r>
      <w:r>
        <w:rPr>
          <w:bCs/>
          <w:color w:val="000000" w:themeColor="text1"/>
          <w:szCs w:val="24"/>
        </w:rPr>
        <w:t>“</w:t>
      </w:r>
      <w:r w:rsidRPr="00421986">
        <w:rPr>
          <w:bCs/>
          <w:color w:val="000000" w:themeColor="text1"/>
          <w:szCs w:val="24"/>
        </w:rPr>
        <w:t>Tools for implementation of the UPOV system</w:t>
      </w:r>
      <w:r>
        <w:rPr>
          <w:bCs/>
          <w:color w:val="000000" w:themeColor="text1"/>
          <w:szCs w:val="24"/>
        </w:rPr>
        <w:t>”</w:t>
      </w:r>
      <w:r w:rsidRPr="00421986">
        <w:rPr>
          <w:bCs/>
          <w:color w:val="000000" w:themeColor="text1"/>
          <w:szCs w:val="24"/>
        </w:rPr>
        <w:t>.</w:t>
      </w:r>
    </w:p>
    <w:p w14:paraId="55E0FD21" w14:textId="77777777" w:rsidR="0090485B" w:rsidRDefault="0090485B" w:rsidP="0090485B">
      <w:pPr>
        <w:tabs>
          <w:tab w:val="left" w:pos="567"/>
        </w:tabs>
        <w:rPr>
          <w:color w:val="000000" w:themeColor="text1"/>
          <w:u w:val="single"/>
        </w:rPr>
      </w:pPr>
    </w:p>
    <w:p w14:paraId="335BCE01" w14:textId="77777777" w:rsidR="0090485B" w:rsidRPr="00C20F3E" w:rsidRDefault="0090485B" w:rsidP="0090485B">
      <w:pPr>
        <w:pStyle w:val="Heading5"/>
      </w:pPr>
      <w:r w:rsidRPr="00C20F3E">
        <w:t>DUS examination</w:t>
      </w:r>
    </w:p>
    <w:p w14:paraId="63FACF3B" w14:textId="77777777" w:rsidR="0090485B" w:rsidRPr="00421986" w:rsidRDefault="0090485B" w:rsidP="0090485B">
      <w:pPr>
        <w:keepNext/>
        <w:tabs>
          <w:tab w:val="left" w:pos="851"/>
        </w:tabs>
        <w:rPr>
          <w:bCs/>
          <w:color w:val="000000" w:themeColor="text1"/>
          <w:szCs w:val="24"/>
        </w:rPr>
      </w:pPr>
    </w:p>
    <w:p w14:paraId="27ED0697" w14:textId="77777777" w:rsidR="0090485B" w:rsidRPr="00421986" w:rsidRDefault="0090485B" w:rsidP="0090485B">
      <w:pPr>
        <w:tabs>
          <w:tab w:val="left" w:pos="851"/>
        </w:tabs>
        <w:rPr>
          <w:bCs/>
          <w:color w:val="000000" w:themeColor="text1"/>
          <w:szCs w:val="24"/>
        </w:rPr>
      </w:pPr>
      <w:r w:rsidRPr="00421986">
        <w:rPr>
          <w:bCs/>
          <w:color w:val="000000" w:themeColor="text1"/>
          <w:szCs w:val="24"/>
        </w:rPr>
        <w:t xml:space="preserve">Cooperation in the examination of DUS within UPOV is based on the input of members of </w:t>
      </w:r>
      <w:r>
        <w:rPr>
          <w:bCs/>
          <w:color w:val="000000" w:themeColor="text1"/>
          <w:szCs w:val="24"/>
        </w:rPr>
        <w:t>the Union</w:t>
      </w:r>
      <w:r w:rsidRPr="00421986">
        <w:rPr>
          <w:bCs/>
          <w:color w:val="000000" w:themeColor="text1"/>
          <w:szCs w:val="24"/>
        </w:rPr>
        <w:t xml:space="preserve">.  In particular, experts from members of </w:t>
      </w:r>
      <w:r>
        <w:rPr>
          <w:bCs/>
          <w:color w:val="000000" w:themeColor="text1"/>
          <w:szCs w:val="24"/>
        </w:rPr>
        <w:t>the Union</w:t>
      </w:r>
      <w:r w:rsidRPr="00421986">
        <w:rPr>
          <w:bCs/>
          <w:color w:val="000000" w:themeColor="text1"/>
          <w:szCs w:val="24"/>
        </w:rPr>
        <w:t xml:space="preserve"> develop Test Guidelines through the work of the TWPs and TC and share their practical experience with particular plant genera and species, for example in the form of the GENIE database.  These measures facilitate cooperation in the examination of DUS and the use of existing DUS reports, which is the basis for an efficient system covering all plant genera and species that is accessible and affordable for all types of breeders.  Arrangements for cooperation between members of </w:t>
      </w:r>
      <w:r>
        <w:rPr>
          <w:bCs/>
          <w:color w:val="000000" w:themeColor="text1"/>
          <w:szCs w:val="24"/>
        </w:rPr>
        <w:t>the Union</w:t>
      </w:r>
      <w:r w:rsidRPr="00421986">
        <w:rPr>
          <w:bCs/>
          <w:color w:val="000000" w:themeColor="text1"/>
          <w:szCs w:val="24"/>
        </w:rPr>
        <w:t xml:space="preserve"> in the examination of DUS are included in the GENIE database. </w:t>
      </w:r>
    </w:p>
    <w:p w14:paraId="4B22A7DF" w14:textId="77777777" w:rsidR="0090485B" w:rsidRDefault="0090485B" w:rsidP="0090485B">
      <w:pPr>
        <w:tabs>
          <w:tab w:val="left" w:pos="567"/>
        </w:tabs>
      </w:pPr>
    </w:p>
    <w:p w14:paraId="0B8EE7C3" w14:textId="77777777" w:rsidR="0090485B" w:rsidRPr="00C20F3E" w:rsidRDefault="0090485B" w:rsidP="0090485B">
      <w:pPr>
        <w:pStyle w:val="Heading5"/>
      </w:pPr>
      <w:bookmarkStart w:id="473" w:name="_Toc61532313"/>
      <w:r w:rsidRPr="00C20F3E">
        <w:t>Variety denominations and novelty</w:t>
      </w:r>
      <w:bookmarkEnd w:id="473"/>
    </w:p>
    <w:p w14:paraId="045DDDD7" w14:textId="77777777" w:rsidR="0090485B" w:rsidRPr="00421986" w:rsidRDefault="0090485B" w:rsidP="0090485B">
      <w:pPr>
        <w:rPr>
          <w:snapToGrid w:val="0"/>
        </w:rPr>
      </w:pPr>
    </w:p>
    <w:p w14:paraId="201424D9" w14:textId="77777777" w:rsidR="0090485B" w:rsidRPr="00421986" w:rsidRDefault="0090485B" w:rsidP="0090485B">
      <w:pPr>
        <w:tabs>
          <w:tab w:val="left" w:pos="851"/>
        </w:tabs>
        <w:rPr>
          <w:bCs/>
          <w:color w:val="000000" w:themeColor="text1"/>
          <w:szCs w:val="24"/>
        </w:rPr>
      </w:pPr>
      <w:r w:rsidRPr="00421986">
        <w:rPr>
          <w:bCs/>
          <w:color w:val="000000" w:themeColor="text1"/>
          <w:szCs w:val="24"/>
        </w:rPr>
        <w:t xml:space="preserve">Contribution of data by members of </w:t>
      </w:r>
      <w:r>
        <w:rPr>
          <w:bCs/>
          <w:color w:val="000000" w:themeColor="text1"/>
          <w:szCs w:val="24"/>
        </w:rPr>
        <w:t>the Union</w:t>
      </w:r>
      <w:r w:rsidRPr="00421986">
        <w:rPr>
          <w:bCs/>
          <w:color w:val="000000" w:themeColor="text1"/>
          <w:szCs w:val="24"/>
        </w:rPr>
        <w:t xml:space="preserve"> to the PLUTO database provides essential support for the examination of variety denominations and provides an opportunity for members of </w:t>
      </w:r>
      <w:r>
        <w:rPr>
          <w:bCs/>
          <w:color w:val="000000" w:themeColor="text1"/>
          <w:szCs w:val="24"/>
        </w:rPr>
        <w:t>the Union</w:t>
      </w:r>
      <w:r w:rsidRPr="00421986">
        <w:rPr>
          <w:bCs/>
          <w:color w:val="000000" w:themeColor="text1"/>
          <w:szCs w:val="24"/>
        </w:rPr>
        <w:t xml:space="preserve"> to share information on novelty.  Those contributions are further enhanced by the contribution of data by the Organisation for Economic Co-operation and Development (OECD) and by the cooperation agreements between UPOV and the Community Plant Variety Office of the European Union (CPVO). </w:t>
      </w:r>
    </w:p>
    <w:p w14:paraId="3FD664F6" w14:textId="77777777" w:rsidR="0090485B" w:rsidRPr="00421986" w:rsidRDefault="0090485B" w:rsidP="0090485B">
      <w:pPr>
        <w:tabs>
          <w:tab w:val="left" w:pos="851"/>
        </w:tabs>
        <w:rPr>
          <w:bCs/>
          <w:color w:val="000000" w:themeColor="text1"/>
          <w:szCs w:val="24"/>
        </w:rPr>
      </w:pPr>
    </w:p>
    <w:p w14:paraId="1EEBF9D3" w14:textId="77777777" w:rsidR="0090485B" w:rsidRPr="00421986" w:rsidRDefault="0090485B" w:rsidP="0090485B">
      <w:pPr>
        <w:tabs>
          <w:tab w:val="left" w:pos="851"/>
        </w:tabs>
        <w:rPr>
          <w:snapToGrid w:val="0"/>
          <w:color w:val="000000" w:themeColor="text1"/>
        </w:rPr>
      </w:pPr>
      <w:r w:rsidRPr="00421986">
        <w:rPr>
          <w:snapToGrid w:val="0"/>
          <w:color w:val="000000" w:themeColor="text1"/>
        </w:rPr>
        <w:t xml:space="preserve">In order to facilitate and harmonize the examination of variety denominations by members of </w:t>
      </w:r>
      <w:r>
        <w:rPr>
          <w:snapToGrid w:val="0"/>
          <w:color w:val="000000" w:themeColor="text1"/>
        </w:rPr>
        <w:t>the Union</w:t>
      </w:r>
      <w:r w:rsidRPr="00421986">
        <w:rPr>
          <w:snapToGrid w:val="0"/>
          <w:color w:val="000000" w:themeColor="text1"/>
        </w:rPr>
        <w:t xml:space="preserve">, work will continue on the development of proposals for a </w:t>
      </w:r>
      <w:r w:rsidRPr="009E2EF9">
        <w:rPr>
          <w:snapToGrid w:val="0"/>
          <w:color w:val="000000" w:themeColor="text1"/>
        </w:rPr>
        <w:t>UPOV similarity search tool for variety denomination purposes</w:t>
      </w:r>
      <w:r w:rsidRPr="00421986">
        <w:rPr>
          <w:snapToGrid w:val="0"/>
          <w:color w:val="000000" w:themeColor="text1"/>
        </w:rPr>
        <w:t xml:space="preserve">, according to the guidance adopted in document </w:t>
      </w:r>
      <w:r w:rsidRPr="00421986">
        <w:rPr>
          <w:color w:val="000000" w:themeColor="text1"/>
        </w:rPr>
        <w:t>UPOV/INF/12.</w:t>
      </w:r>
      <w:r w:rsidRPr="00421986">
        <w:rPr>
          <w:snapToGrid w:val="0"/>
          <w:color w:val="000000" w:themeColor="text1"/>
        </w:rPr>
        <w:t xml:space="preserve"> </w:t>
      </w:r>
    </w:p>
    <w:p w14:paraId="5DDBDFEE" w14:textId="77777777" w:rsidR="0090485B" w:rsidRDefault="0090485B" w:rsidP="0090485B">
      <w:pPr>
        <w:tabs>
          <w:tab w:val="left" w:pos="851"/>
        </w:tabs>
      </w:pPr>
    </w:p>
    <w:p w14:paraId="572A83DA" w14:textId="77777777" w:rsidR="0090485B" w:rsidRPr="00C20F3E" w:rsidRDefault="0090485B" w:rsidP="0090485B">
      <w:pPr>
        <w:pStyle w:val="Heading5"/>
        <w:rPr>
          <w:snapToGrid w:val="0"/>
        </w:rPr>
      </w:pPr>
      <w:r w:rsidRPr="00C20F3E">
        <w:rPr>
          <w:snapToGrid w:val="0"/>
        </w:rPr>
        <w:t>Facilitating PBR applications</w:t>
      </w:r>
    </w:p>
    <w:p w14:paraId="15112C99" w14:textId="77777777" w:rsidR="0090485B" w:rsidRPr="00421986" w:rsidRDefault="0090485B" w:rsidP="0090485B"/>
    <w:p w14:paraId="4EE89A5C" w14:textId="77777777" w:rsidR="0090485B" w:rsidRPr="00421986" w:rsidRDefault="0090485B" w:rsidP="0090485B">
      <w:pPr>
        <w:tabs>
          <w:tab w:val="left" w:pos="851"/>
        </w:tabs>
      </w:pPr>
      <w:r w:rsidRPr="00421986">
        <w:t xml:space="preserve">Work will continue on expanding the coverage of </w:t>
      </w:r>
      <w:r>
        <w:t>UPOV PRISMA</w:t>
      </w:r>
      <w:r w:rsidRPr="00421986">
        <w:t xml:space="preserve"> in terms of participating </w:t>
      </w:r>
      <w:r>
        <w:t>members of the Union</w:t>
      </w:r>
      <w:r w:rsidRPr="00421986">
        <w:t xml:space="preserve"> and the number of crops/species covered.  Coverage of all crops/species can be provided for all members of </w:t>
      </w:r>
      <w:r>
        <w:t>the Union</w:t>
      </w:r>
      <w:r w:rsidRPr="00421986">
        <w:t xml:space="preserve"> that utilize the </w:t>
      </w:r>
      <w:r w:rsidRPr="00421986">
        <w:rPr>
          <w:snapToGrid w:val="0"/>
        </w:rPr>
        <w:t>Technical Questionnaire</w:t>
      </w:r>
      <w:r w:rsidRPr="00421986">
        <w:t xml:space="preserve"> in the UPOV Test Guidelines.  The work of the TC and TWPs on the development of Test Guidelines will be harnessed to support </w:t>
      </w:r>
      <w:r>
        <w:t>UPOV PRISMA</w:t>
      </w:r>
      <w:r w:rsidRPr="00421986">
        <w:t xml:space="preserve">, for example by extending the coverage of adopted Test Guidelines for </w:t>
      </w:r>
      <w:r w:rsidRPr="00421986">
        <w:rPr>
          <w:snapToGrid w:val="0"/>
        </w:rPr>
        <w:t>Technical Questionnaire</w:t>
      </w:r>
      <w:r w:rsidRPr="00421986">
        <w:t xml:space="preserve"> purposes.  In addition, initiatives will be taken to develop </w:t>
      </w:r>
      <w:r w:rsidRPr="00421986">
        <w:rPr>
          <w:snapToGrid w:val="0"/>
        </w:rPr>
        <w:t xml:space="preserve">Technical Questionnaires agreed between relevant members of </w:t>
      </w:r>
      <w:r>
        <w:rPr>
          <w:snapToGrid w:val="0"/>
        </w:rPr>
        <w:t>the Union</w:t>
      </w:r>
      <w:r w:rsidRPr="00421986">
        <w:rPr>
          <w:snapToGrid w:val="0"/>
        </w:rPr>
        <w:t xml:space="preserve"> where no UPOV Test Guidelines exist.</w:t>
      </w:r>
      <w:r w:rsidRPr="00421986">
        <w:t xml:space="preserve"> </w:t>
      </w:r>
    </w:p>
    <w:p w14:paraId="4C769EC7" w14:textId="77777777" w:rsidR="0090485B" w:rsidRDefault="0090485B" w:rsidP="0090485B"/>
    <w:p w14:paraId="7DB60C95" w14:textId="77777777" w:rsidR="0090485B" w:rsidRPr="00C20F3E" w:rsidRDefault="0090485B" w:rsidP="0090485B">
      <w:pPr>
        <w:pStyle w:val="Heading5"/>
      </w:pPr>
      <w:r w:rsidRPr="00C20F3E">
        <w:t>Languages</w:t>
      </w:r>
    </w:p>
    <w:p w14:paraId="4C0DBD98" w14:textId="77777777" w:rsidR="0090485B" w:rsidRPr="00421986" w:rsidRDefault="0090485B" w:rsidP="0090485B"/>
    <w:p w14:paraId="462F47A9" w14:textId="77777777" w:rsidR="0090485B" w:rsidRPr="00421986" w:rsidRDefault="0090485B" w:rsidP="0090485B">
      <w:pPr>
        <w:tabs>
          <w:tab w:val="left" w:pos="851"/>
        </w:tabs>
      </w:pPr>
      <w:r w:rsidRPr="00421986">
        <w:t>UPOV materials and resources are made available in English, French, German and Spanish.  However, as UPOV expands and interest in UPOV membership increases, there are im</w:t>
      </w:r>
      <w:r>
        <w:t>portant benefits in making UPOV </w:t>
      </w:r>
      <w:r w:rsidRPr="00421986">
        <w:t xml:space="preserve">material and resources available in a wider range of languages.  Providing translations of materials and making material available in a range of languages has substantial resource implications and success in this objective will require a range of measures involving cooperation with interested members of </w:t>
      </w:r>
      <w:r>
        <w:t>the Union</w:t>
      </w:r>
      <w:r w:rsidRPr="00421986">
        <w:t xml:space="preserve">.  However, rapid advances in machine translation technology provide new opportunities, which will be pursued as a matter of priority to reduce translation costs for UPOV documents in </w:t>
      </w:r>
      <w:r>
        <w:t>UPOV languages and to make UPOV </w:t>
      </w:r>
      <w:r w:rsidRPr="00421986">
        <w:t>materials in a wider range of languages</w:t>
      </w:r>
      <w:r>
        <w:t xml:space="preserve">.  </w:t>
      </w:r>
      <w:r w:rsidRPr="00421986">
        <w:t xml:space="preserve">Successful measures that have already been taken include the program for use of the Russian language in UPOV and the support of navigation and output form languages in </w:t>
      </w:r>
      <w:r>
        <w:t>UPOV PRISMA</w:t>
      </w:r>
      <w:r w:rsidRPr="00421986">
        <w:t xml:space="preserve"> by members of </w:t>
      </w:r>
      <w:r>
        <w:t>the Union</w:t>
      </w:r>
      <w:r w:rsidRPr="00421986">
        <w:t xml:space="preserve">, including by resources in the form of fellowships.  Support is also provided by extrabudgetary funds, such as the Japan Funds-in-Trust for translation of selected material into relevant Asian languages. </w:t>
      </w:r>
    </w:p>
    <w:p w14:paraId="1EDCF743" w14:textId="77777777" w:rsidR="0090485B" w:rsidRPr="00421986" w:rsidRDefault="0090485B" w:rsidP="0090485B"/>
    <w:p w14:paraId="1E068927" w14:textId="77777777" w:rsidR="0090485B" w:rsidRPr="00C20F3E" w:rsidRDefault="0090485B" w:rsidP="0090485B">
      <w:pPr>
        <w:pStyle w:val="Heading5"/>
      </w:pPr>
      <w:r w:rsidRPr="00C20F3E">
        <w:t>Tools for implementation of the UPOV system</w:t>
      </w:r>
    </w:p>
    <w:p w14:paraId="7BC85F67" w14:textId="77777777" w:rsidR="0090485B" w:rsidRPr="00421986" w:rsidRDefault="0090485B" w:rsidP="0090485B"/>
    <w:p w14:paraId="5100E223" w14:textId="77777777" w:rsidR="0090485B" w:rsidRPr="00421986" w:rsidRDefault="0090485B" w:rsidP="0090485B">
      <w:pPr>
        <w:tabs>
          <w:tab w:val="left" w:pos="851"/>
        </w:tabs>
      </w:pPr>
      <w:r w:rsidRPr="00421986">
        <w:t xml:space="preserve">The following package of compatible tools will be introduced or further developed in the </w:t>
      </w:r>
      <w:r>
        <w:t>2022</w:t>
      </w:r>
      <w:r>
        <w:noBreakHyphen/>
        <w:t>2023</w:t>
      </w:r>
      <w:r w:rsidRPr="00421986">
        <w:t xml:space="preserve"> </w:t>
      </w:r>
      <w:r>
        <w:t>biennium</w:t>
      </w:r>
      <w:r w:rsidRPr="00421986">
        <w:t>, as follows:</w:t>
      </w:r>
    </w:p>
    <w:p w14:paraId="29F02BF6" w14:textId="77777777" w:rsidR="0090485B" w:rsidRPr="00421986" w:rsidRDefault="0090485B" w:rsidP="0090485B"/>
    <w:p w14:paraId="7DD34EA3" w14:textId="77777777" w:rsidR="0090485B" w:rsidRPr="00421986" w:rsidRDefault="0090485B" w:rsidP="0090485B">
      <w:pPr>
        <w:pStyle w:val="ListParagraph"/>
        <w:numPr>
          <w:ilvl w:val="0"/>
          <w:numId w:val="8"/>
        </w:numPr>
        <w:spacing w:after="120"/>
        <w:ind w:left="924" w:hanging="357"/>
        <w:contextualSpacing w:val="0"/>
      </w:pPr>
      <w:r w:rsidRPr="00421986">
        <w:t>Applying for PVP</w:t>
      </w:r>
    </w:p>
    <w:p w14:paraId="2E7CADFD" w14:textId="77777777" w:rsidR="0090485B" w:rsidRPr="00421986" w:rsidRDefault="0090485B" w:rsidP="0090485B">
      <w:pPr>
        <w:pStyle w:val="ListParagraph"/>
        <w:numPr>
          <w:ilvl w:val="1"/>
          <w:numId w:val="8"/>
        </w:numPr>
      </w:pPr>
      <w:r>
        <w:t>UPOV PRISMA</w:t>
      </w:r>
      <w:r w:rsidRPr="00421986">
        <w:t>:</w:t>
      </w:r>
    </w:p>
    <w:p w14:paraId="002B969C" w14:textId="77777777" w:rsidR="0090485B" w:rsidRPr="00421986" w:rsidRDefault="0090485B" w:rsidP="0090485B">
      <w:pPr>
        <w:pStyle w:val="ListParagraph"/>
        <w:numPr>
          <w:ilvl w:val="2"/>
          <w:numId w:val="8"/>
        </w:numPr>
      </w:pPr>
      <w:r w:rsidRPr="00421986">
        <w:t xml:space="preserve">coverage will be extended to more </w:t>
      </w:r>
      <w:r>
        <w:t>members of the Union</w:t>
      </w:r>
      <w:r w:rsidRPr="00421986">
        <w:t xml:space="preserve"> and more crops/species</w:t>
      </w:r>
    </w:p>
    <w:p w14:paraId="233D8E07" w14:textId="77777777" w:rsidR="0090485B" w:rsidRPr="00421986" w:rsidRDefault="0090485B" w:rsidP="0090485B">
      <w:pPr>
        <w:pStyle w:val="ListParagraph"/>
        <w:numPr>
          <w:ilvl w:val="2"/>
          <w:numId w:val="8"/>
        </w:numPr>
      </w:pPr>
      <w:r w:rsidRPr="00421986">
        <w:rPr>
          <w:color w:val="000000" w:themeColor="text1"/>
        </w:rPr>
        <w:t xml:space="preserve">DUS Arrangement Recommendation Tool (DART) providing information on cooperation in DUS examination between </w:t>
      </w:r>
      <w:r>
        <w:rPr>
          <w:color w:val="000000" w:themeColor="text1"/>
        </w:rPr>
        <w:t>members of the Union</w:t>
      </w:r>
      <w:r w:rsidRPr="00421986">
        <w:rPr>
          <w:color w:val="000000" w:themeColor="text1"/>
        </w:rPr>
        <w:t xml:space="preserve"> </w:t>
      </w:r>
    </w:p>
    <w:p w14:paraId="0B7E7498" w14:textId="77777777" w:rsidR="0090485B" w:rsidRPr="00421986" w:rsidRDefault="0090485B" w:rsidP="0090485B">
      <w:pPr>
        <w:pStyle w:val="ListParagraph"/>
        <w:numPr>
          <w:ilvl w:val="1"/>
          <w:numId w:val="8"/>
        </w:numPr>
      </w:pPr>
      <w:r w:rsidRPr="00421986">
        <w:t>UPOV member cooperation platforms (e.g. regional) for cooperation in the administration and examination of applications</w:t>
      </w:r>
    </w:p>
    <w:p w14:paraId="0D4BA91D" w14:textId="77777777" w:rsidR="0090485B" w:rsidRPr="00BD2830" w:rsidRDefault="0090485B" w:rsidP="0090485B">
      <w:pPr>
        <w:rPr>
          <w:sz w:val="16"/>
        </w:rPr>
      </w:pPr>
    </w:p>
    <w:p w14:paraId="2AA3725C" w14:textId="77777777" w:rsidR="0090485B" w:rsidRPr="00421986" w:rsidRDefault="0090485B" w:rsidP="0090485B">
      <w:pPr>
        <w:pStyle w:val="ListParagraph"/>
        <w:numPr>
          <w:ilvl w:val="0"/>
          <w:numId w:val="8"/>
        </w:numPr>
        <w:spacing w:after="120"/>
        <w:ind w:left="924" w:hanging="357"/>
        <w:contextualSpacing w:val="0"/>
      </w:pPr>
      <w:r w:rsidRPr="00421986">
        <w:t>Administration of PVP applications</w:t>
      </w:r>
    </w:p>
    <w:p w14:paraId="5B670F6F" w14:textId="77777777" w:rsidR="0090485B" w:rsidRPr="00421986" w:rsidRDefault="0090485B" w:rsidP="0090485B">
      <w:pPr>
        <w:pStyle w:val="ListParagraph"/>
        <w:numPr>
          <w:ilvl w:val="1"/>
          <w:numId w:val="8"/>
        </w:numPr>
      </w:pPr>
      <w:r w:rsidRPr="00421986">
        <w:t xml:space="preserve">Electronic PVP administration module (e-PVP) for </w:t>
      </w:r>
      <w:r>
        <w:t>members of the Union</w:t>
      </w:r>
      <w:r w:rsidRPr="00421986">
        <w:t xml:space="preserve"> to manage and publish PVP applications</w:t>
      </w:r>
    </w:p>
    <w:p w14:paraId="1BC7F144" w14:textId="77777777" w:rsidR="0090485B" w:rsidRPr="00BD2830" w:rsidRDefault="0090485B" w:rsidP="0090485B">
      <w:pPr>
        <w:rPr>
          <w:sz w:val="16"/>
        </w:rPr>
      </w:pPr>
    </w:p>
    <w:p w14:paraId="607F6C4F" w14:textId="77777777" w:rsidR="0090485B" w:rsidRPr="00421986" w:rsidRDefault="0090485B" w:rsidP="0090485B">
      <w:pPr>
        <w:pStyle w:val="ListParagraph"/>
        <w:numPr>
          <w:ilvl w:val="0"/>
          <w:numId w:val="8"/>
        </w:numPr>
        <w:spacing w:after="120"/>
        <w:ind w:left="924" w:hanging="357"/>
        <w:contextualSpacing w:val="0"/>
      </w:pPr>
      <w:r w:rsidRPr="00421986">
        <w:t>Examination of PVP applications</w:t>
      </w:r>
    </w:p>
    <w:p w14:paraId="136AEBCB" w14:textId="77777777" w:rsidR="0090485B" w:rsidRPr="00421986" w:rsidRDefault="0090485B" w:rsidP="0090485B">
      <w:pPr>
        <w:pStyle w:val="ListParagraph"/>
        <w:numPr>
          <w:ilvl w:val="1"/>
          <w:numId w:val="8"/>
        </w:numPr>
      </w:pPr>
      <w:r w:rsidRPr="00421986">
        <w:t xml:space="preserve">PLUTO database to be enhanced by increasing quantity and quality of data included </w:t>
      </w:r>
    </w:p>
    <w:p w14:paraId="07E47D1A" w14:textId="77777777" w:rsidR="0090485B" w:rsidRPr="00421986" w:rsidRDefault="0090485B" w:rsidP="0090485B">
      <w:pPr>
        <w:pStyle w:val="ListParagraph"/>
        <w:numPr>
          <w:ilvl w:val="1"/>
          <w:numId w:val="8"/>
        </w:numPr>
      </w:pPr>
      <w:r w:rsidRPr="009E2EF9">
        <w:rPr>
          <w:rFonts w:cs="Arial"/>
          <w:snapToGrid w:val="0"/>
          <w:color w:val="000000"/>
        </w:rPr>
        <w:t xml:space="preserve">UPOV similarity search tool for variety denomination purposes </w:t>
      </w:r>
      <w:r w:rsidRPr="00421986">
        <w:t xml:space="preserve">running on data in the PLUTO database </w:t>
      </w:r>
    </w:p>
    <w:p w14:paraId="63A00451" w14:textId="77777777" w:rsidR="0090485B" w:rsidRPr="00421986" w:rsidRDefault="0090485B" w:rsidP="0090485B">
      <w:pPr>
        <w:pStyle w:val="ListParagraph"/>
        <w:numPr>
          <w:ilvl w:val="1"/>
          <w:numId w:val="8"/>
        </w:numPr>
      </w:pPr>
      <w:r w:rsidRPr="00421986">
        <w:t>GENIE database:  UPOV Code System to be adapted to provide additional information to assist in DUS examination</w:t>
      </w:r>
    </w:p>
    <w:p w14:paraId="0CD28845" w14:textId="77777777" w:rsidR="0090485B" w:rsidRPr="00421986" w:rsidRDefault="0090485B" w:rsidP="0090485B">
      <w:pPr>
        <w:pStyle w:val="ListParagraph"/>
        <w:numPr>
          <w:ilvl w:val="1"/>
          <w:numId w:val="8"/>
        </w:numPr>
      </w:pPr>
      <w:r w:rsidRPr="00421986">
        <w:t xml:space="preserve">Web-based TG Template to provide module for </w:t>
      </w:r>
      <w:r>
        <w:t>members of the Union</w:t>
      </w:r>
      <w:r w:rsidRPr="00421986">
        <w:t xml:space="preserve"> to develop individual authorities</w:t>
      </w:r>
      <w:r>
        <w:t>’</w:t>
      </w:r>
      <w:r w:rsidRPr="00421986">
        <w:t xml:space="preserve"> test guidelines (IATG) in their </w:t>
      </w:r>
      <w:r>
        <w:t xml:space="preserve">desired </w:t>
      </w:r>
      <w:r w:rsidRPr="00421986">
        <w:t>language</w:t>
      </w:r>
    </w:p>
    <w:p w14:paraId="03C287AD" w14:textId="77777777" w:rsidR="0090485B" w:rsidRPr="00BD2830" w:rsidRDefault="0090485B" w:rsidP="0090485B">
      <w:pPr>
        <w:rPr>
          <w:sz w:val="16"/>
        </w:rPr>
      </w:pPr>
    </w:p>
    <w:p w14:paraId="58DBABB2" w14:textId="77777777" w:rsidR="0090485B" w:rsidRPr="00421986" w:rsidRDefault="0090485B" w:rsidP="0090485B">
      <w:pPr>
        <w:pStyle w:val="ListParagraph"/>
        <w:numPr>
          <w:ilvl w:val="0"/>
          <w:numId w:val="8"/>
        </w:numPr>
        <w:spacing w:after="120"/>
        <w:ind w:left="924" w:hanging="357"/>
        <w:contextualSpacing w:val="0"/>
      </w:pPr>
      <w:r w:rsidRPr="00421986">
        <w:t>Facilitating cooperation in DUS examination</w:t>
      </w:r>
    </w:p>
    <w:p w14:paraId="7E56C02D" w14:textId="169AF124" w:rsidR="0090485B" w:rsidRPr="00421986" w:rsidRDefault="0090485B" w:rsidP="0090485B">
      <w:pPr>
        <w:pStyle w:val="ListParagraph"/>
        <w:numPr>
          <w:ilvl w:val="1"/>
          <w:numId w:val="8"/>
        </w:numPr>
        <w:rPr>
          <w:color w:val="000000" w:themeColor="text1"/>
        </w:rPr>
      </w:pPr>
      <w:r w:rsidRPr="00421986">
        <w:rPr>
          <w:color w:val="000000" w:themeColor="text1"/>
        </w:rPr>
        <w:t>Platform for exchange of existing DUS reports</w:t>
      </w:r>
      <w:r>
        <w:rPr>
          <w:color w:val="000000" w:themeColor="text1"/>
        </w:rPr>
        <w:t xml:space="preserve"> (part of e-PVP)</w:t>
      </w:r>
    </w:p>
    <w:p w14:paraId="6117697E" w14:textId="77777777" w:rsidR="0090485B" w:rsidRPr="00421986" w:rsidRDefault="0090485B" w:rsidP="0090485B">
      <w:pPr>
        <w:pStyle w:val="ListParagraph"/>
        <w:numPr>
          <w:ilvl w:val="1"/>
          <w:numId w:val="8"/>
        </w:numPr>
        <w:rPr>
          <w:color w:val="000000" w:themeColor="text1"/>
        </w:rPr>
      </w:pPr>
      <w:r w:rsidRPr="00421986">
        <w:rPr>
          <w:color w:val="000000" w:themeColor="text1"/>
        </w:rPr>
        <w:t xml:space="preserve">Platform for </w:t>
      </w:r>
      <w:r>
        <w:rPr>
          <w:color w:val="000000" w:themeColor="text1"/>
        </w:rPr>
        <w:t>members of the Union</w:t>
      </w:r>
      <w:r w:rsidRPr="00421986">
        <w:rPr>
          <w:color w:val="000000" w:themeColor="text1"/>
        </w:rPr>
        <w:t xml:space="preserve"> to make their documented DUS procedures and information on their quality management systems available to other members of </w:t>
      </w:r>
      <w:r>
        <w:rPr>
          <w:color w:val="000000" w:themeColor="text1"/>
        </w:rPr>
        <w:t>the Union</w:t>
      </w:r>
      <w:r w:rsidRPr="00421986">
        <w:rPr>
          <w:color w:val="000000" w:themeColor="text1"/>
        </w:rPr>
        <w:t xml:space="preserve"> </w:t>
      </w:r>
    </w:p>
    <w:p w14:paraId="5A36FD62" w14:textId="77777777" w:rsidR="0090485B" w:rsidRPr="00421986" w:rsidRDefault="0090485B" w:rsidP="0090485B">
      <w:pPr>
        <w:pStyle w:val="ListParagraph"/>
        <w:numPr>
          <w:ilvl w:val="1"/>
          <w:numId w:val="8"/>
        </w:numPr>
      </w:pPr>
      <w:r w:rsidRPr="00421986">
        <w:t>Platform/portal for UPOV member databases containing variety description information</w:t>
      </w:r>
    </w:p>
    <w:p w14:paraId="0AA3870D" w14:textId="77777777" w:rsidR="0090485B" w:rsidRPr="00421986" w:rsidRDefault="0090485B" w:rsidP="0090485B"/>
    <w:p w14:paraId="3E80A729" w14:textId="77777777" w:rsidR="0090485B" w:rsidRPr="00421986" w:rsidRDefault="0090485B" w:rsidP="0090485B">
      <w:r w:rsidRPr="00421986">
        <w:t xml:space="preserve">These tools will provide coherent and comprehensive assistance in the implementation of the UPOV system of plant variety protection, some or all of which could be used by </w:t>
      </w:r>
      <w:r>
        <w:t>members of the Union, as considered appropriate.</w:t>
      </w:r>
      <w:r w:rsidRPr="00421986">
        <w:t xml:space="preserve">  </w:t>
      </w:r>
    </w:p>
    <w:p w14:paraId="68999487" w14:textId="77777777" w:rsidR="0090485B" w:rsidRDefault="0090485B" w:rsidP="0090485B"/>
    <w:p w14:paraId="66E3E791" w14:textId="77777777" w:rsidR="0090485B" w:rsidRPr="00421986" w:rsidRDefault="0090485B" w:rsidP="0090485B"/>
    <w:p w14:paraId="50378E6D" w14:textId="77777777" w:rsidR="0090485B" w:rsidRPr="00C20F3E" w:rsidRDefault="0090485B" w:rsidP="0090485B">
      <w:pPr>
        <w:pStyle w:val="Heading3"/>
      </w:pPr>
      <w:bookmarkStart w:id="474" w:name="_Toc77931039"/>
      <w:r w:rsidRPr="00C20F3E">
        <w:t>Activities</w:t>
      </w:r>
      <w:bookmarkEnd w:id="474"/>
    </w:p>
    <w:p w14:paraId="7E5FC2E3" w14:textId="77777777" w:rsidR="0090485B" w:rsidRPr="00421986" w:rsidRDefault="0090485B" w:rsidP="0090485B">
      <w:pPr>
        <w:keepNext/>
      </w:pPr>
    </w:p>
    <w:p w14:paraId="3AC46FC2" w14:textId="77777777" w:rsidR="0090485B" w:rsidRPr="00421986" w:rsidRDefault="0090485B" w:rsidP="0090485B">
      <w:pPr>
        <w:numPr>
          <w:ilvl w:val="0"/>
          <w:numId w:val="2"/>
        </w:numPr>
        <w:tabs>
          <w:tab w:val="clear" w:pos="720"/>
        </w:tabs>
        <w:spacing w:after="120"/>
        <w:ind w:left="1134" w:hanging="567"/>
      </w:pPr>
      <w:r w:rsidRPr="00421986">
        <w:rPr>
          <w:spacing w:val="-2"/>
        </w:rPr>
        <w:t>Two sessions of the Administrative and Legal Committee, two sessions of the Technical Committee,</w:t>
      </w:r>
      <w:r w:rsidRPr="00421986">
        <w:t xml:space="preserve"> two sessions of each of the Technical Working Parties, including two sessions of the Working Group on Biochemical and Molecular Techniques, and DNA</w:t>
      </w:r>
      <w:r w:rsidRPr="00421986">
        <w:noBreakHyphen/>
        <w:t>Profiling in Particular (BMT)</w:t>
      </w:r>
    </w:p>
    <w:p w14:paraId="1D003188" w14:textId="77777777" w:rsidR="0090485B" w:rsidRPr="00421986" w:rsidRDefault="0090485B" w:rsidP="0090485B">
      <w:pPr>
        <w:numPr>
          <w:ilvl w:val="0"/>
          <w:numId w:val="2"/>
        </w:numPr>
        <w:tabs>
          <w:tab w:val="clear" w:pos="720"/>
        </w:tabs>
        <w:spacing w:after="120"/>
        <w:ind w:left="1134" w:hanging="567"/>
      </w:pPr>
      <w:r w:rsidRPr="00421986">
        <w:t xml:space="preserve">Development of guidance and information materials, including </w:t>
      </w:r>
      <w:r w:rsidRPr="00421986">
        <w:rPr>
          <w:szCs w:val="24"/>
        </w:rPr>
        <w:t>Explanatory Notes and Information Documents</w:t>
      </w:r>
      <w:r w:rsidRPr="00421986">
        <w:t xml:space="preserve">, concerning the </w:t>
      </w:r>
      <w:r>
        <w:t>UPOV Convention</w:t>
      </w:r>
    </w:p>
    <w:p w14:paraId="2B78EFE5" w14:textId="77777777" w:rsidR="0090485B" w:rsidRPr="00421986" w:rsidRDefault="0090485B" w:rsidP="0090485B">
      <w:pPr>
        <w:numPr>
          <w:ilvl w:val="0"/>
          <w:numId w:val="2"/>
        </w:numPr>
        <w:tabs>
          <w:tab w:val="clear" w:pos="720"/>
        </w:tabs>
        <w:spacing w:after="120"/>
        <w:ind w:left="1134" w:hanging="567"/>
      </w:pPr>
      <w:r w:rsidRPr="00421986">
        <w:t>Development of guidance documents on the examination of Distinctness, Uniformity and Stability (</w:t>
      </w:r>
      <w:r>
        <w:t>“</w:t>
      </w:r>
      <w:r w:rsidRPr="00421986">
        <w:t>DUS</w:t>
      </w:r>
      <w:r>
        <w:t>”</w:t>
      </w:r>
      <w:r w:rsidRPr="00421986">
        <w:t xml:space="preserve">), including the </w:t>
      </w:r>
      <w:r>
        <w:t>“</w:t>
      </w:r>
      <w:r w:rsidRPr="00421986">
        <w:t>General Introduction to the Examination of Distinctness, Uniformity and Stability and the Development of Harmonized Descriptions of New Varieties of Plants</w:t>
      </w:r>
      <w:r>
        <w:t>”</w:t>
      </w:r>
      <w:r w:rsidRPr="00421986">
        <w:t xml:space="preserve"> (General Introduction) and the associated Test Guidelines</w:t>
      </w:r>
      <w:r>
        <w:t>’</w:t>
      </w:r>
      <w:r w:rsidRPr="00421986">
        <w:t xml:space="preserve"> Procedures (TGP) documents</w:t>
      </w:r>
    </w:p>
    <w:p w14:paraId="5997F497" w14:textId="77777777" w:rsidR="0090485B" w:rsidRPr="00421986" w:rsidRDefault="0090485B" w:rsidP="0090485B">
      <w:pPr>
        <w:numPr>
          <w:ilvl w:val="0"/>
          <w:numId w:val="2"/>
        </w:numPr>
        <w:tabs>
          <w:tab w:val="clear" w:pos="720"/>
        </w:tabs>
        <w:spacing w:after="120"/>
        <w:ind w:left="1134" w:hanging="567"/>
      </w:pPr>
      <w:r w:rsidRPr="00421986">
        <w:t>Development of Test Guidelines</w:t>
      </w:r>
    </w:p>
    <w:p w14:paraId="358F1AE0" w14:textId="77777777" w:rsidR="0090485B" w:rsidRPr="00421986" w:rsidRDefault="0090485B" w:rsidP="0090485B">
      <w:pPr>
        <w:numPr>
          <w:ilvl w:val="0"/>
          <w:numId w:val="2"/>
        </w:numPr>
        <w:tabs>
          <w:tab w:val="clear" w:pos="720"/>
        </w:tabs>
        <w:spacing w:after="120"/>
        <w:ind w:left="1134" w:hanging="567"/>
      </w:pPr>
      <w:r w:rsidRPr="00421986">
        <w:t>Updating of the UPOV Collection</w:t>
      </w:r>
    </w:p>
    <w:p w14:paraId="4E06CAEE" w14:textId="77777777" w:rsidR="0090485B" w:rsidRPr="00421986" w:rsidRDefault="0090485B" w:rsidP="0090485B">
      <w:pPr>
        <w:numPr>
          <w:ilvl w:val="0"/>
          <w:numId w:val="2"/>
        </w:numPr>
        <w:tabs>
          <w:tab w:val="clear" w:pos="720"/>
        </w:tabs>
        <w:spacing w:after="120"/>
        <w:ind w:left="1134" w:hanging="567"/>
      </w:pPr>
      <w:r w:rsidRPr="00421986">
        <w:t>Maintenance of the UPOV Lex database of legislation and relevant notifications</w:t>
      </w:r>
    </w:p>
    <w:p w14:paraId="75A3F834" w14:textId="77777777" w:rsidR="0090485B" w:rsidRPr="00421986" w:rsidRDefault="0090485B" w:rsidP="0090485B">
      <w:pPr>
        <w:numPr>
          <w:ilvl w:val="0"/>
          <w:numId w:val="2"/>
        </w:numPr>
        <w:tabs>
          <w:tab w:val="clear" w:pos="720"/>
        </w:tabs>
        <w:spacing w:after="120"/>
        <w:ind w:left="1134" w:hanging="567"/>
      </w:pPr>
      <w:r w:rsidRPr="00421986">
        <w:t xml:space="preserve">Further development of </w:t>
      </w:r>
      <w:r>
        <w:t>UPOV PRISMA</w:t>
      </w:r>
    </w:p>
    <w:p w14:paraId="2E75EABD" w14:textId="77777777" w:rsidR="0090485B" w:rsidRPr="00421986" w:rsidRDefault="0090485B" w:rsidP="0090485B">
      <w:pPr>
        <w:numPr>
          <w:ilvl w:val="0"/>
          <w:numId w:val="2"/>
        </w:numPr>
        <w:tabs>
          <w:tab w:val="clear" w:pos="720"/>
        </w:tabs>
        <w:spacing w:after="120"/>
        <w:ind w:left="1134" w:hanging="567"/>
      </w:pPr>
      <w:r w:rsidRPr="00421986">
        <w:t>Development of electronic PVP administration module (e-PVP)</w:t>
      </w:r>
    </w:p>
    <w:p w14:paraId="7CBB1445" w14:textId="77777777" w:rsidR="0090485B" w:rsidRPr="00421986" w:rsidRDefault="0090485B" w:rsidP="0090485B">
      <w:pPr>
        <w:numPr>
          <w:ilvl w:val="0"/>
          <w:numId w:val="2"/>
        </w:numPr>
        <w:tabs>
          <w:tab w:val="clear" w:pos="720"/>
        </w:tabs>
        <w:spacing w:after="120"/>
        <w:ind w:left="1080" w:hanging="540"/>
      </w:pPr>
      <w:r w:rsidRPr="00421986">
        <w:t>Development of UPOV member cooperation platforms (e.g. regional) for cooperation in the administration and examination of applications</w:t>
      </w:r>
    </w:p>
    <w:p w14:paraId="3005A370" w14:textId="77777777" w:rsidR="0090485B" w:rsidRPr="00421986" w:rsidRDefault="0090485B" w:rsidP="0090485B">
      <w:pPr>
        <w:numPr>
          <w:ilvl w:val="0"/>
          <w:numId w:val="2"/>
        </w:numPr>
        <w:tabs>
          <w:tab w:val="clear" w:pos="720"/>
        </w:tabs>
        <w:spacing w:after="120"/>
        <w:ind w:left="1134" w:hanging="567"/>
      </w:pPr>
      <w:r w:rsidRPr="00421986">
        <w:t>Updating and further development of the PLUTO Database</w:t>
      </w:r>
    </w:p>
    <w:p w14:paraId="635BC9A4" w14:textId="77777777" w:rsidR="0090485B" w:rsidRPr="00421986" w:rsidRDefault="0090485B" w:rsidP="0090485B">
      <w:pPr>
        <w:numPr>
          <w:ilvl w:val="0"/>
          <w:numId w:val="2"/>
        </w:numPr>
        <w:tabs>
          <w:tab w:val="clear" w:pos="720"/>
        </w:tabs>
        <w:spacing w:after="120"/>
        <w:ind w:left="1134" w:hanging="567"/>
      </w:pPr>
      <w:r w:rsidRPr="00421986">
        <w:t xml:space="preserve">Development of </w:t>
      </w:r>
      <w:r w:rsidRPr="009E2EF9">
        <w:rPr>
          <w:rFonts w:cs="Arial"/>
          <w:snapToGrid w:val="0"/>
          <w:color w:val="000000"/>
        </w:rPr>
        <w:t>UPOV similarity search tool for variety denomination purposes</w:t>
      </w:r>
    </w:p>
    <w:p w14:paraId="53537D22" w14:textId="77777777" w:rsidR="0090485B" w:rsidRPr="00421986" w:rsidRDefault="0090485B" w:rsidP="0090485B">
      <w:pPr>
        <w:numPr>
          <w:ilvl w:val="0"/>
          <w:numId w:val="2"/>
        </w:numPr>
        <w:tabs>
          <w:tab w:val="clear" w:pos="720"/>
        </w:tabs>
        <w:spacing w:after="120"/>
        <w:ind w:left="1134" w:hanging="567"/>
      </w:pPr>
      <w:r w:rsidRPr="00421986">
        <w:t>Updating and further development of the GENIE database and UPOV Code System</w:t>
      </w:r>
    </w:p>
    <w:p w14:paraId="44F4520D" w14:textId="77777777" w:rsidR="0090485B" w:rsidRPr="00421986" w:rsidRDefault="0090485B" w:rsidP="0090485B">
      <w:pPr>
        <w:numPr>
          <w:ilvl w:val="0"/>
          <w:numId w:val="2"/>
        </w:numPr>
        <w:tabs>
          <w:tab w:val="clear" w:pos="720"/>
        </w:tabs>
        <w:spacing w:after="120"/>
        <w:ind w:left="1134" w:hanging="567"/>
      </w:pPr>
      <w:r w:rsidRPr="00421986">
        <w:t xml:space="preserve">Web-based TG Template to provide module for </w:t>
      </w:r>
      <w:r>
        <w:t>members of the Union</w:t>
      </w:r>
      <w:r w:rsidRPr="00421986">
        <w:t xml:space="preserve"> to develop individual authorities</w:t>
      </w:r>
      <w:r>
        <w:t>’</w:t>
      </w:r>
      <w:r w:rsidRPr="00421986">
        <w:t xml:space="preserve"> test guidelines (IATG) in their language</w:t>
      </w:r>
    </w:p>
    <w:p w14:paraId="6BFC883F" w14:textId="5121A242" w:rsidR="0090485B" w:rsidRPr="00421986" w:rsidRDefault="0090485B" w:rsidP="0090485B">
      <w:pPr>
        <w:numPr>
          <w:ilvl w:val="0"/>
          <w:numId w:val="2"/>
        </w:numPr>
        <w:tabs>
          <w:tab w:val="clear" w:pos="720"/>
        </w:tabs>
        <w:spacing w:after="120"/>
        <w:ind w:left="1134" w:hanging="567"/>
      </w:pPr>
      <w:r w:rsidRPr="00421986">
        <w:t>Development of p</w:t>
      </w:r>
      <w:r w:rsidRPr="00421986">
        <w:rPr>
          <w:color w:val="000000" w:themeColor="text1"/>
        </w:rPr>
        <w:t>latform for exchange of existing DUS reports (part of e-PVP )</w:t>
      </w:r>
    </w:p>
    <w:p w14:paraId="5203DCAF" w14:textId="77777777" w:rsidR="0090485B" w:rsidRPr="00421986" w:rsidRDefault="0090485B" w:rsidP="0090485B">
      <w:pPr>
        <w:numPr>
          <w:ilvl w:val="0"/>
          <w:numId w:val="2"/>
        </w:numPr>
        <w:tabs>
          <w:tab w:val="clear" w:pos="720"/>
        </w:tabs>
        <w:spacing w:after="120"/>
        <w:ind w:left="1080" w:hanging="540"/>
      </w:pPr>
      <w:r w:rsidRPr="00421986">
        <w:t xml:space="preserve">Development of platform for </w:t>
      </w:r>
      <w:r>
        <w:t>members of the Union</w:t>
      </w:r>
      <w:r w:rsidRPr="00421986">
        <w:t xml:space="preserve"> to make their documented DUS procedures and information on their quality management systems available to other members of </w:t>
      </w:r>
      <w:r>
        <w:t>the Union</w:t>
      </w:r>
      <w:r w:rsidRPr="00421986">
        <w:t xml:space="preserve"> </w:t>
      </w:r>
    </w:p>
    <w:p w14:paraId="793612E4" w14:textId="77777777" w:rsidR="0090485B" w:rsidRPr="00421986" w:rsidRDefault="0090485B" w:rsidP="0090485B">
      <w:pPr>
        <w:numPr>
          <w:ilvl w:val="0"/>
          <w:numId w:val="2"/>
        </w:numPr>
        <w:tabs>
          <w:tab w:val="clear" w:pos="720"/>
        </w:tabs>
        <w:spacing w:after="120"/>
        <w:ind w:left="1080" w:hanging="540"/>
      </w:pPr>
      <w:r w:rsidRPr="00421986">
        <w:t>Development of platform/portal for UPOV member databases containing variety description information</w:t>
      </w:r>
    </w:p>
    <w:p w14:paraId="2A7FB58E" w14:textId="77777777" w:rsidR="0090485B" w:rsidRDefault="0090485B" w:rsidP="0090485B"/>
    <w:p w14:paraId="0064E4D4" w14:textId="77777777" w:rsidR="0090485B" w:rsidRPr="00421986" w:rsidRDefault="0090485B" w:rsidP="0090485B"/>
    <w:p w14:paraId="39AB3D22" w14:textId="77777777" w:rsidR="0090485B" w:rsidRDefault="0090485B" w:rsidP="0090485B">
      <w:pPr>
        <w:jc w:val="left"/>
        <w:rPr>
          <w:b/>
          <w:color w:val="26724C" w:themeColor="accent1" w:themeShade="BF"/>
          <w:sz w:val="22"/>
        </w:rPr>
      </w:pPr>
      <w:r>
        <w:rPr>
          <w:b/>
          <w:color w:val="26724C" w:themeColor="accent1" w:themeShade="BF"/>
          <w:sz w:val="22"/>
        </w:rPr>
        <w:br w:type="page"/>
      </w:r>
    </w:p>
    <w:p w14:paraId="795509F5" w14:textId="77777777" w:rsidR="0090485B" w:rsidRPr="00C20F3E" w:rsidRDefault="0090485B" w:rsidP="0090485B">
      <w:pPr>
        <w:pStyle w:val="Heading3"/>
      </w:pPr>
      <w:bookmarkStart w:id="475" w:name="_Toc77931040"/>
      <w:r w:rsidRPr="00C20F3E">
        <w:lastRenderedPageBreak/>
        <w:t>Expected Results and Performance Indicators</w:t>
      </w:r>
      <w:bookmarkEnd w:id="475"/>
    </w:p>
    <w:p w14:paraId="4E6BE49A" w14:textId="77777777" w:rsidR="0090485B" w:rsidRPr="00421986" w:rsidRDefault="0090485B" w:rsidP="0090485B">
      <w:pPr>
        <w:keepNext/>
        <w:rPr>
          <w:b/>
          <w:color w:val="000000"/>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90485B" w:rsidRPr="00C758E9" w14:paraId="081AE0C5" w14:textId="77777777" w:rsidTr="008F07B7">
        <w:trPr>
          <w:cantSplit/>
          <w:tblHeader/>
        </w:trPr>
        <w:tc>
          <w:tcPr>
            <w:tcW w:w="4248" w:type="dxa"/>
            <w:shd w:val="clear" w:color="auto" w:fill="C6CFD7" w:themeFill="accent3" w:themeFillTint="66"/>
          </w:tcPr>
          <w:p w14:paraId="1C2DD7AA" w14:textId="77777777" w:rsidR="0090485B" w:rsidRPr="008B40C0" w:rsidRDefault="0090485B" w:rsidP="008F07B7">
            <w:pPr>
              <w:jc w:val="center"/>
              <w:rPr>
                <w:b/>
                <w:color w:val="000000"/>
              </w:rPr>
            </w:pPr>
            <w:r w:rsidRPr="008B40C0">
              <w:rPr>
                <w:b/>
                <w:color w:val="000000"/>
              </w:rPr>
              <w:t>Expected Results</w:t>
            </w:r>
          </w:p>
        </w:tc>
        <w:tc>
          <w:tcPr>
            <w:tcW w:w="5538" w:type="dxa"/>
            <w:shd w:val="clear" w:color="auto" w:fill="C6CFD7" w:themeFill="accent3" w:themeFillTint="66"/>
          </w:tcPr>
          <w:p w14:paraId="25B767EE" w14:textId="77777777" w:rsidR="0090485B" w:rsidRPr="008B40C0" w:rsidRDefault="0090485B" w:rsidP="008F07B7">
            <w:pPr>
              <w:jc w:val="center"/>
              <w:rPr>
                <w:b/>
                <w:color w:val="000000"/>
              </w:rPr>
            </w:pPr>
            <w:r w:rsidRPr="008B40C0">
              <w:rPr>
                <w:b/>
                <w:color w:val="000000"/>
              </w:rPr>
              <w:t>Performance Indicators</w:t>
            </w:r>
          </w:p>
        </w:tc>
      </w:tr>
      <w:tr w:rsidR="0090485B" w:rsidRPr="00C758E9" w14:paraId="422A58CD" w14:textId="77777777" w:rsidTr="008F07B7">
        <w:trPr>
          <w:cantSplit/>
          <w:trHeight w:val="1429"/>
        </w:trPr>
        <w:tc>
          <w:tcPr>
            <w:tcW w:w="4248" w:type="dxa"/>
          </w:tcPr>
          <w:p w14:paraId="0A2D87BD" w14:textId="77777777" w:rsidR="0090485B" w:rsidRPr="00C758E9" w:rsidRDefault="0090485B" w:rsidP="008F07B7">
            <w:pPr>
              <w:ind w:left="397" w:hanging="397"/>
              <w:jc w:val="left"/>
              <w:rPr>
                <w:color w:val="000000"/>
              </w:rPr>
            </w:pPr>
            <w:r w:rsidRPr="00C758E9">
              <w:rPr>
                <w:color w:val="000000"/>
              </w:rPr>
              <w:t>5.</w:t>
            </w:r>
            <w:r w:rsidRPr="00C758E9">
              <w:rPr>
                <w:color w:val="000000"/>
              </w:rPr>
              <w:tab/>
              <w:t xml:space="preserve">Guidance on the </w:t>
            </w:r>
            <w:r>
              <w:rPr>
                <w:color w:val="000000"/>
              </w:rPr>
              <w:t>UPOV Convention</w:t>
            </w:r>
            <w:r w:rsidRPr="00C758E9">
              <w:rPr>
                <w:color w:val="000000"/>
              </w:rPr>
              <w:t xml:space="preserve"> and its implementation and information on its application</w:t>
            </w:r>
          </w:p>
        </w:tc>
        <w:tc>
          <w:tcPr>
            <w:tcW w:w="5538" w:type="dxa"/>
          </w:tcPr>
          <w:p w14:paraId="0FBD0A8C" w14:textId="77777777" w:rsidR="0090485B" w:rsidRPr="00C758E9" w:rsidRDefault="0090485B" w:rsidP="008F07B7">
            <w:pPr>
              <w:ind w:left="397" w:hanging="397"/>
              <w:jc w:val="left"/>
              <w:rPr>
                <w:color w:val="000000"/>
              </w:rPr>
            </w:pPr>
            <w:r w:rsidRPr="00C758E9">
              <w:rPr>
                <w:color w:val="000000"/>
              </w:rPr>
              <w:t>(a)</w:t>
            </w:r>
            <w:r w:rsidRPr="00C758E9">
              <w:rPr>
                <w:color w:val="000000"/>
              </w:rPr>
              <w:tab/>
              <w:t xml:space="preserve">Adoption of new or revised guidance and information materials concerning the </w:t>
            </w:r>
            <w:r>
              <w:rPr>
                <w:color w:val="000000"/>
              </w:rPr>
              <w:t>UPOV Convention</w:t>
            </w:r>
            <w:r w:rsidRPr="00C758E9">
              <w:rPr>
                <w:color w:val="000000"/>
              </w:rPr>
              <w:t>;</w:t>
            </w:r>
          </w:p>
          <w:p w14:paraId="624A48C4" w14:textId="77777777" w:rsidR="0090485B" w:rsidRPr="00C758E9" w:rsidRDefault="0090485B" w:rsidP="008F07B7">
            <w:pPr>
              <w:ind w:left="397" w:hanging="397"/>
              <w:jc w:val="left"/>
              <w:rPr>
                <w:color w:val="000000"/>
              </w:rPr>
            </w:pPr>
            <w:r w:rsidRPr="00C758E9">
              <w:rPr>
                <w:color w:val="000000"/>
              </w:rPr>
              <w:t>(b)</w:t>
            </w:r>
            <w:r w:rsidRPr="00C758E9">
              <w:rPr>
                <w:color w:val="000000"/>
              </w:rPr>
              <w:tab/>
              <w:t>Adoption of new or revised Test Guidelines;</w:t>
            </w:r>
          </w:p>
          <w:p w14:paraId="56D671FA" w14:textId="77777777" w:rsidR="0090485B" w:rsidRPr="00C758E9" w:rsidRDefault="0090485B" w:rsidP="008F07B7">
            <w:pPr>
              <w:ind w:left="397" w:hanging="397"/>
              <w:jc w:val="left"/>
              <w:rPr>
                <w:color w:val="000000"/>
              </w:rPr>
            </w:pPr>
            <w:r w:rsidRPr="00C758E9">
              <w:rPr>
                <w:color w:val="000000"/>
              </w:rPr>
              <w:t>(c)</w:t>
            </w:r>
            <w:r w:rsidRPr="00C758E9">
              <w:rPr>
                <w:color w:val="000000"/>
              </w:rPr>
              <w:tab/>
              <w:t xml:space="preserve">Proportion of PBR applications covered by adopted Test Guidelines; </w:t>
            </w:r>
          </w:p>
          <w:p w14:paraId="7BDF5770" w14:textId="77777777" w:rsidR="0090485B" w:rsidRPr="00C758E9" w:rsidRDefault="0090485B" w:rsidP="008F07B7">
            <w:pPr>
              <w:ind w:left="397" w:hanging="397"/>
              <w:jc w:val="left"/>
              <w:rPr>
                <w:color w:val="000000"/>
              </w:rPr>
            </w:pPr>
            <w:r w:rsidRPr="00C758E9">
              <w:rPr>
                <w:color w:val="000000"/>
              </w:rPr>
              <w:t>(d)</w:t>
            </w:r>
            <w:r w:rsidRPr="00C758E9">
              <w:rPr>
                <w:color w:val="000000"/>
              </w:rPr>
              <w:tab/>
              <w:t>Number of Test Guidelines under</w:t>
            </w:r>
            <w:r>
              <w:rPr>
                <w:color w:val="000000"/>
              </w:rPr>
              <w:t xml:space="preserve"> development in the TWPs.</w:t>
            </w:r>
          </w:p>
        </w:tc>
      </w:tr>
      <w:tr w:rsidR="0090485B" w:rsidRPr="00C758E9" w14:paraId="10FCDC15" w14:textId="77777777" w:rsidTr="008F07B7">
        <w:trPr>
          <w:cantSplit/>
        </w:trPr>
        <w:tc>
          <w:tcPr>
            <w:tcW w:w="4248" w:type="dxa"/>
          </w:tcPr>
          <w:p w14:paraId="6D9D86B6" w14:textId="77777777" w:rsidR="0090485B" w:rsidRPr="00C758E9" w:rsidRDefault="0090485B" w:rsidP="008F07B7">
            <w:pPr>
              <w:ind w:left="397" w:hanging="397"/>
              <w:jc w:val="left"/>
              <w:rPr>
                <w:color w:val="000000"/>
              </w:rPr>
            </w:pPr>
            <w:r w:rsidRPr="00C758E9">
              <w:rPr>
                <w:color w:val="000000"/>
              </w:rPr>
              <w:t>6.</w:t>
            </w:r>
            <w:r w:rsidRPr="00C758E9">
              <w:rPr>
                <w:color w:val="000000"/>
              </w:rPr>
              <w:tab/>
              <w:t>Enhanced c</w:t>
            </w:r>
            <w:r>
              <w:rPr>
                <w:color w:val="000000"/>
              </w:rPr>
              <w:t>ooperation in DUS </w:t>
            </w:r>
            <w:r w:rsidRPr="00C758E9">
              <w:rPr>
                <w:color w:val="000000"/>
              </w:rPr>
              <w:t>examination</w:t>
            </w:r>
          </w:p>
        </w:tc>
        <w:tc>
          <w:tcPr>
            <w:tcW w:w="5538" w:type="dxa"/>
          </w:tcPr>
          <w:p w14:paraId="4F45F6F1" w14:textId="77777777" w:rsidR="0090485B" w:rsidRPr="00C758E9" w:rsidRDefault="0090485B" w:rsidP="008F07B7">
            <w:pPr>
              <w:ind w:left="397" w:hanging="397"/>
              <w:jc w:val="left"/>
              <w:rPr>
                <w:color w:val="000000"/>
              </w:rPr>
            </w:pPr>
            <w:r w:rsidRPr="00C758E9">
              <w:rPr>
                <w:color w:val="000000"/>
              </w:rPr>
              <w:t>(a)</w:t>
            </w:r>
            <w:r w:rsidRPr="00C758E9">
              <w:rPr>
                <w:color w:val="000000"/>
              </w:rPr>
              <w:tab/>
              <w:t xml:space="preserve">Plant genera and species for which members of </w:t>
            </w:r>
            <w:r>
              <w:rPr>
                <w:color w:val="000000"/>
              </w:rPr>
              <w:t>the Union</w:t>
            </w:r>
            <w:r w:rsidRPr="00C758E9">
              <w:rPr>
                <w:color w:val="000000"/>
              </w:rPr>
              <w:t xml:space="preserve"> have practical experience included in GENIE database;</w:t>
            </w:r>
          </w:p>
          <w:p w14:paraId="4A1F5B16" w14:textId="77777777" w:rsidR="0090485B" w:rsidRPr="00C758E9" w:rsidRDefault="0090485B" w:rsidP="008F07B7">
            <w:pPr>
              <w:ind w:left="397" w:hanging="397"/>
              <w:jc w:val="left"/>
              <w:rPr>
                <w:color w:val="000000"/>
              </w:rPr>
            </w:pPr>
            <w:r w:rsidRPr="00C758E9">
              <w:rPr>
                <w:color w:val="000000"/>
              </w:rPr>
              <w:t>(b)</w:t>
            </w:r>
            <w:r w:rsidRPr="00C758E9">
              <w:rPr>
                <w:color w:val="000000"/>
              </w:rPr>
              <w:tab/>
              <w:t xml:space="preserve">Plant genera and species for which members of </w:t>
            </w:r>
            <w:r>
              <w:rPr>
                <w:color w:val="000000"/>
              </w:rPr>
              <w:t>the Union</w:t>
            </w:r>
            <w:r w:rsidRPr="00C758E9">
              <w:rPr>
                <w:color w:val="000000"/>
              </w:rPr>
              <w:t xml:space="preserve"> cooperate in DUS examination included in GENIE database;</w:t>
            </w:r>
          </w:p>
          <w:p w14:paraId="2FF6252C" w14:textId="77777777" w:rsidR="0090485B" w:rsidRPr="00C758E9" w:rsidRDefault="0090485B" w:rsidP="008F07B7">
            <w:pPr>
              <w:ind w:left="397" w:hanging="397"/>
              <w:jc w:val="left"/>
              <w:rPr>
                <w:color w:val="000000"/>
              </w:rPr>
            </w:pPr>
            <w:r w:rsidRPr="00C758E9">
              <w:rPr>
                <w:rFonts w:cs="Arial"/>
                <w:color w:val="000000"/>
              </w:rPr>
              <w:t>(c)</w:t>
            </w:r>
            <w:r w:rsidRPr="00C758E9">
              <w:rPr>
                <w:rFonts w:cs="Arial"/>
                <w:color w:val="000000"/>
              </w:rPr>
              <w:tab/>
              <w:t xml:space="preserve">New initiatives to facilitate or enhance voluntary cooperation between members of </w:t>
            </w:r>
            <w:r>
              <w:rPr>
                <w:rFonts w:cs="Arial"/>
                <w:color w:val="000000"/>
              </w:rPr>
              <w:t>the Union</w:t>
            </w:r>
            <w:r w:rsidRPr="00C758E9">
              <w:rPr>
                <w:rFonts w:cs="Arial"/>
                <w:color w:val="000000"/>
              </w:rPr>
              <w:t>.</w:t>
            </w:r>
          </w:p>
        </w:tc>
      </w:tr>
      <w:tr w:rsidR="0090485B" w:rsidRPr="00C758E9" w14:paraId="5F15EC69" w14:textId="77777777" w:rsidTr="008F07B7">
        <w:trPr>
          <w:cantSplit/>
        </w:trPr>
        <w:tc>
          <w:tcPr>
            <w:tcW w:w="4248" w:type="dxa"/>
          </w:tcPr>
          <w:p w14:paraId="4F93D5F6" w14:textId="77777777" w:rsidR="0090485B" w:rsidRPr="00C758E9" w:rsidRDefault="0090485B" w:rsidP="008F07B7">
            <w:pPr>
              <w:ind w:left="397" w:hanging="397"/>
              <w:jc w:val="left"/>
              <w:rPr>
                <w:color w:val="000000"/>
              </w:rPr>
            </w:pPr>
            <w:r w:rsidRPr="00C758E9">
              <w:rPr>
                <w:color w:val="000000"/>
              </w:rPr>
              <w:t>7.</w:t>
            </w:r>
            <w:r w:rsidRPr="00C758E9">
              <w:rPr>
                <w:color w:val="000000"/>
              </w:rPr>
              <w:tab/>
              <w:t>Enhanced cooperation in examination of variety denominations and novelty</w:t>
            </w:r>
          </w:p>
        </w:tc>
        <w:tc>
          <w:tcPr>
            <w:tcW w:w="5538" w:type="dxa"/>
          </w:tcPr>
          <w:p w14:paraId="75843161" w14:textId="77777777" w:rsidR="0090485B" w:rsidRPr="00C758E9" w:rsidRDefault="0090485B" w:rsidP="008F07B7">
            <w:pPr>
              <w:ind w:left="397" w:hanging="397"/>
              <w:jc w:val="left"/>
              <w:rPr>
                <w:color w:val="000000"/>
              </w:rPr>
            </w:pPr>
            <w:r w:rsidRPr="00C758E9">
              <w:rPr>
                <w:color w:val="000000"/>
              </w:rPr>
              <w:t>(a)</w:t>
            </w:r>
            <w:r w:rsidRPr="00C758E9">
              <w:rPr>
                <w:color w:val="000000"/>
              </w:rPr>
              <w:tab/>
              <w:t>Quantity and quality of data in PLUTO database:</w:t>
            </w:r>
          </w:p>
          <w:p w14:paraId="6B674F78" w14:textId="77777777" w:rsidR="0090485B" w:rsidRPr="00C758E9" w:rsidRDefault="0090485B" w:rsidP="008F07B7">
            <w:pPr>
              <w:ind w:left="794" w:hanging="397"/>
              <w:jc w:val="left"/>
              <w:rPr>
                <w:color w:val="000000"/>
              </w:rPr>
            </w:pPr>
            <w:r w:rsidRPr="00C758E9">
              <w:rPr>
                <w:color w:val="000000"/>
              </w:rPr>
              <w:t>(i)</w:t>
            </w:r>
            <w:r w:rsidRPr="00C758E9">
              <w:rPr>
                <w:color w:val="000000"/>
              </w:rPr>
              <w:tab/>
              <w:t>number of contributors;</w:t>
            </w:r>
          </w:p>
          <w:p w14:paraId="7560AAE6" w14:textId="77777777" w:rsidR="0090485B" w:rsidRPr="00C758E9" w:rsidRDefault="0090485B" w:rsidP="008F07B7">
            <w:pPr>
              <w:ind w:left="794" w:hanging="397"/>
              <w:jc w:val="left"/>
              <w:rPr>
                <w:color w:val="000000"/>
              </w:rPr>
            </w:pPr>
            <w:r w:rsidRPr="00C758E9">
              <w:rPr>
                <w:color w:val="000000"/>
              </w:rPr>
              <w:t>(ii)</w:t>
            </w:r>
            <w:r w:rsidRPr="00C758E9">
              <w:rPr>
                <w:color w:val="000000"/>
              </w:rPr>
              <w:tab/>
              <w:t>number of new submissions;</w:t>
            </w:r>
          </w:p>
          <w:p w14:paraId="18892095" w14:textId="77777777" w:rsidR="0090485B" w:rsidRPr="00C758E9" w:rsidRDefault="0090485B" w:rsidP="008F07B7">
            <w:pPr>
              <w:ind w:left="794" w:hanging="397"/>
              <w:jc w:val="left"/>
              <w:rPr>
                <w:color w:val="000000"/>
              </w:rPr>
            </w:pPr>
            <w:r w:rsidRPr="00C758E9">
              <w:rPr>
                <w:color w:val="000000"/>
              </w:rPr>
              <w:t>(iii)</w:t>
            </w:r>
            <w:r w:rsidRPr="00C758E9">
              <w:rPr>
                <w:color w:val="000000"/>
              </w:rPr>
              <w:tab/>
              <w:t>number of records;</w:t>
            </w:r>
          </w:p>
          <w:p w14:paraId="5FB3C4AD" w14:textId="77777777" w:rsidR="0090485B" w:rsidRPr="00C758E9" w:rsidRDefault="0090485B" w:rsidP="008F07B7">
            <w:pPr>
              <w:ind w:left="794" w:hanging="397"/>
              <w:jc w:val="left"/>
              <w:rPr>
                <w:color w:val="000000"/>
              </w:rPr>
            </w:pPr>
            <w:r w:rsidRPr="00C758E9">
              <w:rPr>
                <w:color w:val="000000"/>
              </w:rPr>
              <w:t>(iv)</w:t>
            </w:r>
            <w:r w:rsidRPr="00C758E9">
              <w:rPr>
                <w:color w:val="000000"/>
              </w:rPr>
              <w:tab/>
              <w:t>number of mandatory items provided;</w:t>
            </w:r>
          </w:p>
          <w:p w14:paraId="0E8D04CE" w14:textId="77777777" w:rsidR="0090485B" w:rsidRPr="00C758E9" w:rsidRDefault="0090485B" w:rsidP="008F07B7">
            <w:pPr>
              <w:ind w:left="794" w:hanging="397"/>
              <w:jc w:val="left"/>
              <w:rPr>
                <w:color w:val="000000"/>
              </w:rPr>
            </w:pPr>
            <w:r w:rsidRPr="00C758E9">
              <w:rPr>
                <w:color w:val="000000"/>
              </w:rPr>
              <w:t>(v)</w:t>
            </w:r>
            <w:r w:rsidRPr="00C758E9">
              <w:rPr>
                <w:color w:val="000000"/>
              </w:rPr>
              <w:tab/>
              <w:t>number of non-mandatory items provided;</w:t>
            </w:r>
          </w:p>
          <w:p w14:paraId="52FE1226" w14:textId="77777777" w:rsidR="0090485B" w:rsidRPr="00C758E9" w:rsidRDefault="0090485B" w:rsidP="008F07B7">
            <w:pPr>
              <w:ind w:left="397" w:hanging="397"/>
              <w:jc w:val="left"/>
              <w:rPr>
                <w:color w:val="000000"/>
              </w:rPr>
            </w:pPr>
            <w:r w:rsidRPr="00C758E9">
              <w:rPr>
                <w:color w:val="000000"/>
              </w:rPr>
              <w:t>(b)</w:t>
            </w:r>
            <w:r w:rsidRPr="00C758E9">
              <w:rPr>
                <w:color w:val="000000"/>
              </w:rPr>
              <w:tab/>
              <w:t>Number of PLUTO users and frequency of use;</w:t>
            </w:r>
          </w:p>
          <w:p w14:paraId="780B284C" w14:textId="77777777" w:rsidR="0090485B" w:rsidRPr="00C758E9" w:rsidRDefault="0090485B" w:rsidP="008F07B7">
            <w:pPr>
              <w:ind w:left="397" w:hanging="397"/>
              <w:jc w:val="left"/>
              <w:rPr>
                <w:color w:val="000000"/>
              </w:rPr>
            </w:pPr>
            <w:r w:rsidRPr="00C758E9">
              <w:rPr>
                <w:rFonts w:cs="Arial"/>
                <w:color w:val="000000"/>
              </w:rPr>
              <w:t>(c)</w:t>
            </w:r>
            <w:r w:rsidRPr="00C758E9">
              <w:rPr>
                <w:rFonts w:cs="Arial"/>
                <w:color w:val="000000"/>
              </w:rPr>
              <w:tab/>
              <w:t xml:space="preserve">New initiatives to facilitate or enhance voluntary cooperation between members of </w:t>
            </w:r>
            <w:r>
              <w:rPr>
                <w:rFonts w:cs="Arial"/>
                <w:color w:val="000000"/>
              </w:rPr>
              <w:t>the Union</w:t>
            </w:r>
            <w:r w:rsidRPr="00C758E9">
              <w:rPr>
                <w:rFonts w:cs="Arial"/>
                <w:color w:val="000000"/>
              </w:rPr>
              <w:t>.</w:t>
            </w:r>
          </w:p>
        </w:tc>
      </w:tr>
      <w:tr w:rsidR="0090485B" w:rsidRPr="00421986" w14:paraId="73126D8A" w14:textId="77777777" w:rsidTr="008F07B7">
        <w:trPr>
          <w:cantSplit/>
        </w:trPr>
        <w:tc>
          <w:tcPr>
            <w:tcW w:w="4248" w:type="dxa"/>
            <w:tcBorders>
              <w:bottom w:val="single" w:sz="4" w:space="0" w:color="A6A6A6" w:themeColor="background1" w:themeShade="A6"/>
            </w:tcBorders>
          </w:tcPr>
          <w:p w14:paraId="671B5B46" w14:textId="77777777" w:rsidR="0090485B" w:rsidRPr="00C758E9" w:rsidRDefault="0090485B" w:rsidP="008F07B7">
            <w:pPr>
              <w:ind w:left="397" w:hanging="397"/>
              <w:jc w:val="left"/>
              <w:rPr>
                <w:color w:val="000000"/>
              </w:rPr>
            </w:pPr>
            <w:r w:rsidRPr="00C758E9">
              <w:rPr>
                <w:color w:val="000000"/>
              </w:rPr>
              <w:t>8.</w:t>
            </w:r>
            <w:r w:rsidRPr="00C758E9">
              <w:rPr>
                <w:color w:val="000000"/>
              </w:rPr>
              <w:tab/>
              <w:t>Improved a</w:t>
            </w:r>
            <w:r>
              <w:t>dministration of PVP </w:t>
            </w:r>
            <w:r w:rsidRPr="00C758E9">
              <w:t>applications</w:t>
            </w:r>
            <w:r w:rsidRPr="00C758E9">
              <w:rPr>
                <w:color w:val="000000"/>
              </w:rPr>
              <w:t xml:space="preserve"> </w:t>
            </w:r>
          </w:p>
        </w:tc>
        <w:tc>
          <w:tcPr>
            <w:tcW w:w="5538" w:type="dxa"/>
            <w:tcBorders>
              <w:bottom w:val="single" w:sz="4" w:space="0" w:color="A6A6A6" w:themeColor="background1" w:themeShade="A6"/>
            </w:tcBorders>
          </w:tcPr>
          <w:p w14:paraId="1F89722F" w14:textId="77777777" w:rsidR="0090485B" w:rsidRPr="00C758E9" w:rsidRDefault="0090485B" w:rsidP="008F07B7">
            <w:pPr>
              <w:ind w:left="397" w:hanging="397"/>
              <w:jc w:val="left"/>
              <w:rPr>
                <w:rFonts w:cs="Arial"/>
                <w:color w:val="000000"/>
              </w:rPr>
            </w:pPr>
            <w:r w:rsidRPr="00C758E9">
              <w:rPr>
                <w:rFonts w:cs="Arial"/>
                <w:color w:val="000000"/>
              </w:rPr>
              <w:t>(a)</w:t>
            </w:r>
            <w:r w:rsidRPr="00C758E9">
              <w:rPr>
                <w:rFonts w:cs="Arial"/>
                <w:color w:val="000000"/>
              </w:rPr>
              <w:tab/>
              <w:t xml:space="preserve">Number of members of </w:t>
            </w:r>
            <w:r>
              <w:rPr>
                <w:rFonts w:cs="Arial"/>
                <w:color w:val="000000"/>
              </w:rPr>
              <w:t>the Union</w:t>
            </w:r>
            <w:r w:rsidRPr="00C758E9">
              <w:rPr>
                <w:rFonts w:cs="Arial"/>
                <w:color w:val="000000"/>
              </w:rPr>
              <w:t xml:space="preserve"> participating in </w:t>
            </w:r>
            <w:r>
              <w:rPr>
                <w:rFonts w:cs="Arial"/>
                <w:color w:val="000000"/>
              </w:rPr>
              <w:t>UPOV PRISMA</w:t>
            </w:r>
            <w:r w:rsidRPr="00C758E9">
              <w:rPr>
                <w:rFonts w:cs="Arial"/>
                <w:color w:val="000000"/>
              </w:rPr>
              <w:t>;</w:t>
            </w:r>
          </w:p>
          <w:p w14:paraId="76EE422C" w14:textId="77777777" w:rsidR="0090485B" w:rsidRPr="00C758E9" w:rsidRDefault="0090485B" w:rsidP="008F07B7">
            <w:pPr>
              <w:ind w:left="397" w:hanging="397"/>
              <w:jc w:val="left"/>
              <w:rPr>
                <w:rFonts w:cs="Arial"/>
                <w:color w:val="000000"/>
              </w:rPr>
            </w:pPr>
            <w:r w:rsidRPr="00C758E9">
              <w:rPr>
                <w:rFonts w:cs="Arial"/>
                <w:color w:val="000000"/>
              </w:rPr>
              <w:t>(b)</w:t>
            </w:r>
            <w:r w:rsidRPr="00C758E9">
              <w:rPr>
                <w:rFonts w:cs="Arial"/>
                <w:color w:val="000000"/>
              </w:rPr>
              <w:tab/>
              <w:t xml:space="preserve">Number of crops/species covered by </w:t>
            </w:r>
            <w:r>
              <w:rPr>
                <w:rFonts w:cs="Arial"/>
                <w:color w:val="000000"/>
              </w:rPr>
              <w:t>UPOV PRISMA</w:t>
            </w:r>
            <w:r w:rsidRPr="00C758E9">
              <w:rPr>
                <w:rFonts w:cs="Arial"/>
                <w:color w:val="000000"/>
              </w:rPr>
              <w:t>;</w:t>
            </w:r>
          </w:p>
          <w:p w14:paraId="2D6D8EAB" w14:textId="77777777" w:rsidR="0090485B" w:rsidRPr="00C758E9" w:rsidRDefault="0090485B" w:rsidP="008F07B7">
            <w:pPr>
              <w:ind w:left="397" w:hanging="397"/>
              <w:jc w:val="left"/>
              <w:rPr>
                <w:rFonts w:cs="Arial"/>
                <w:color w:val="000000"/>
              </w:rPr>
            </w:pPr>
            <w:r w:rsidRPr="00C758E9">
              <w:rPr>
                <w:rFonts w:cs="Arial"/>
                <w:color w:val="000000"/>
              </w:rPr>
              <w:t>(c)</w:t>
            </w:r>
            <w:r w:rsidRPr="00C758E9">
              <w:rPr>
                <w:rFonts w:cs="Arial"/>
                <w:color w:val="000000"/>
              </w:rPr>
              <w:tab/>
              <w:t xml:space="preserve">Number of applications made via </w:t>
            </w:r>
            <w:r>
              <w:rPr>
                <w:rFonts w:cs="Arial"/>
                <w:color w:val="000000"/>
              </w:rPr>
              <w:t>UPOV PRISMA</w:t>
            </w:r>
            <w:r w:rsidRPr="00C758E9">
              <w:rPr>
                <w:rFonts w:cs="Arial"/>
                <w:color w:val="000000"/>
              </w:rPr>
              <w:t>;</w:t>
            </w:r>
          </w:p>
          <w:p w14:paraId="5F06F330" w14:textId="77777777" w:rsidR="0090485B" w:rsidRPr="00C758E9" w:rsidRDefault="0090485B" w:rsidP="008F07B7">
            <w:pPr>
              <w:ind w:left="397" w:hanging="397"/>
              <w:jc w:val="left"/>
              <w:rPr>
                <w:rFonts w:cs="Arial"/>
                <w:color w:val="000000"/>
              </w:rPr>
            </w:pPr>
            <w:r w:rsidRPr="00C758E9">
              <w:rPr>
                <w:rFonts w:cs="Arial"/>
                <w:color w:val="000000"/>
              </w:rPr>
              <w:t>(d)</w:t>
            </w:r>
            <w:r w:rsidRPr="00C758E9">
              <w:rPr>
                <w:rFonts w:cs="Arial"/>
                <w:color w:val="000000"/>
              </w:rPr>
              <w:tab/>
              <w:t xml:space="preserve">Number of registered </w:t>
            </w:r>
            <w:r>
              <w:rPr>
                <w:rFonts w:cs="Arial"/>
                <w:color w:val="000000"/>
              </w:rPr>
              <w:t>UPOV PRISMA</w:t>
            </w:r>
            <w:r w:rsidRPr="00C758E9">
              <w:rPr>
                <w:rFonts w:cs="Arial"/>
                <w:color w:val="000000"/>
              </w:rPr>
              <w:t xml:space="preserve"> users;</w:t>
            </w:r>
          </w:p>
          <w:p w14:paraId="28AC53B4" w14:textId="77777777" w:rsidR="0090485B" w:rsidRPr="00C758E9" w:rsidRDefault="0090485B" w:rsidP="008F07B7">
            <w:pPr>
              <w:ind w:left="397" w:hanging="397"/>
              <w:jc w:val="left"/>
              <w:rPr>
                <w:rFonts w:cs="Arial"/>
                <w:color w:val="000000"/>
              </w:rPr>
            </w:pPr>
            <w:r w:rsidRPr="00C758E9">
              <w:rPr>
                <w:rFonts w:cs="Arial"/>
                <w:color w:val="000000"/>
              </w:rPr>
              <w:t>(e)</w:t>
            </w:r>
            <w:r w:rsidRPr="00C758E9">
              <w:rPr>
                <w:rFonts w:cs="Arial"/>
                <w:color w:val="000000"/>
              </w:rPr>
              <w:tab/>
              <w:t xml:space="preserve">Number of members of </w:t>
            </w:r>
            <w:r>
              <w:rPr>
                <w:rFonts w:cs="Arial"/>
                <w:color w:val="000000"/>
              </w:rPr>
              <w:t>the Union</w:t>
            </w:r>
            <w:r w:rsidRPr="00C758E9">
              <w:rPr>
                <w:rFonts w:cs="Arial"/>
                <w:color w:val="000000"/>
              </w:rPr>
              <w:t xml:space="preserve"> receiving applications via </w:t>
            </w:r>
            <w:r>
              <w:rPr>
                <w:rFonts w:cs="Arial"/>
                <w:color w:val="000000"/>
              </w:rPr>
              <w:t>UPOV PRISMA</w:t>
            </w:r>
            <w:r w:rsidRPr="00C758E9">
              <w:rPr>
                <w:rFonts w:cs="Arial"/>
                <w:color w:val="000000"/>
              </w:rPr>
              <w:t>;</w:t>
            </w:r>
          </w:p>
          <w:p w14:paraId="7613DD01" w14:textId="77777777" w:rsidR="0090485B" w:rsidRPr="00421986" w:rsidRDefault="0090485B" w:rsidP="008F07B7">
            <w:pPr>
              <w:ind w:left="397" w:hanging="397"/>
              <w:jc w:val="left"/>
              <w:rPr>
                <w:color w:val="000000"/>
              </w:rPr>
            </w:pPr>
            <w:r w:rsidRPr="00C758E9">
              <w:rPr>
                <w:rFonts w:cs="Arial"/>
                <w:color w:val="000000"/>
              </w:rPr>
              <w:t>(f)</w:t>
            </w:r>
            <w:r w:rsidRPr="00C758E9">
              <w:rPr>
                <w:rFonts w:cs="Arial"/>
                <w:color w:val="000000"/>
              </w:rPr>
              <w:tab/>
              <w:t xml:space="preserve">Use of electronic PVP administration module (e-PVP) by members of </w:t>
            </w:r>
            <w:r>
              <w:rPr>
                <w:rFonts w:cs="Arial"/>
                <w:color w:val="000000"/>
              </w:rPr>
              <w:t>the Union</w:t>
            </w:r>
            <w:r w:rsidRPr="00C758E9">
              <w:rPr>
                <w:rFonts w:cs="Arial"/>
                <w:color w:val="000000"/>
              </w:rPr>
              <w:t xml:space="preserve"> to manage and publish PV</w:t>
            </w:r>
            <w:r>
              <w:rPr>
                <w:rFonts w:cs="Arial"/>
                <w:color w:val="000000"/>
              </w:rPr>
              <w:t>P </w:t>
            </w:r>
            <w:r w:rsidRPr="00C758E9">
              <w:rPr>
                <w:rFonts w:cs="Arial"/>
                <w:color w:val="000000"/>
              </w:rPr>
              <w:t>applications</w:t>
            </w:r>
          </w:p>
        </w:tc>
      </w:tr>
    </w:tbl>
    <w:p w14:paraId="250142D7" w14:textId="77777777" w:rsidR="0090485B" w:rsidRPr="00421986" w:rsidRDefault="0090485B" w:rsidP="0090485B">
      <w:pPr>
        <w:jc w:val="left"/>
        <w:rPr>
          <w:b/>
        </w:rPr>
      </w:pPr>
    </w:p>
    <w:p w14:paraId="3C6E07C0" w14:textId="77777777" w:rsidR="0090485B" w:rsidRPr="00421986" w:rsidRDefault="0090485B" w:rsidP="0090485B">
      <w:pPr>
        <w:jc w:val="left"/>
        <w:rPr>
          <w:b/>
        </w:rPr>
      </w:pPr>
      <w:r w:rsidRPr="00421986">
        <w:rPr>
          <w:b/>
        </w:rPr>
        <w:br w:type="page"/>
      </w:r>
    </w:p>
    <w:p w14:paraId="642C1BD4" w14:textId="77777777" w:rsidR="0090485B" w:rsidRPr="00421986" w:rsidRDefault="0090485B" w:rsidP="0090485B">
      <w:pPr>
        <w:pStyle w:val="Heading2"/>
      </w:pPr>
      <w:bookmarkStart w:id="476" w:name="_Toc77931041"/>
      <w:r>
        <w:lastRenderedPageBreak/>
        <w:t xml:space="preserve">Sub-program UV.3:  </w:t>
      </w:r>
      <w:r w:rsidRPr="00421986">
        <w:t xml:space="preserve">Raising Awareness and Assistance in the Introduction </w:t>
      </w:r>
      <w:r>
        <w:br/>
      </w:r>
      <w:r w:rsidRPr="00421986">
        <w:t>and Implementation of the UPOV System</w:t>
      </w:r>
      <w:bookmarkEnd w:id="476"/>
    </w:p>
    <w:p w14:paraId="0B346E02" w14:textId="77777777" w:rsidR="0090485B" w:rsidRDefault="0090485B" w:rsidP="0090485B"/>
    <w:p w14:paraId="756CFBF8" w14:textId="77777777" w:rsidR="0090485B" w:rsidRPr="00421986" w:rsidRDefault="0090485B" w:rsidP="0090485B"/>
    <w:p w14:paraId="710B509A" w14:textId="77777777" w:rsidR="0090485B" w:rsidRPr="00C20F3E" w:rsidRDefault="0090485B" w:rsidP="0090485B">
      <w:pPr>
        <w:pStyle w:val="Heading3"/>
      </w:pPr>
      <w:bookmarkStart w:id="477" w:name="_Toc77931042"/>
      <w:r w:rsidRPr="00C20F3E">
        <w:t>Objectives</w:t>
      </w:r>
      <w:bookmarkEnd w:id="477"/>
    </w:p>
    <w:p w14:paraId="5A20195B" w14:textId="77777777" w:rsidR="0090485B" w:rsidRPr="00421986" w:rsidRDefault="0090485B" w:rsidP="0090485B">
      <w:pPr>
        <w:keepNext/>
      </w:pPr>
    </w:p>
    <w:p w14:paraId="1C79AA2D" w14:textId="77777777" w:rsidR="0090485B" w:rsidRPr="00261575" w:rsidRDefault="0090485B" w:rsidP="0090485B">
      <w:pPr>
        <w:pStyle w:val="ListParagraph"/>
        <w:numPr>
          <w:ilvl w:val="4"/>
          <w:numId w:val="8"/>
        </w:numPr>
        <w:spacing w:after="60"/>
        <w:ind w:leftChars="425" w:left="1417" w:hanging="567"/>
        <w:contextualSpacing w:val="0"/>
      </w:pPr>
      <w:r w:rsidRPr="00261575">
        <w:t xml:space="preserve">To raise awareness of the role of </w:t>
      </w:r>
      <w:r w:rsidRPr="00261575">
        <w:rPr>
          <w:snapToGrid w:val="0"/>
        </w:rPr>
        <w:t>plant variety protection</w:t>
      </w:r>
      <w:r w:rsidRPr="00261575">
        <w:t xml:space="preserve"> according to the </w:t>
      </w:r>
      <w:r>
        <w:t>UPOV Convention</w:t>
      </w:r>
      <w:r w:rsidRPr="00261575">
        <w:t>.</w:t>
      </w:r>
    </w:p>
    <w:p w14:paraId="02824C54" w14:textId="77777777" w:rsidR="0090485B" w:rsidRPr="00261575" w:rsidRDefault="0090485B" w:rsidP="0090485B">
      <w:pPr>
        <w:pStyle w:val="ListParagraph"/>
        <w:numPr>
          <w:ilvl w:val="4"/>
          <w:numId w:val="8"/>
        </w:numPr>
        <w:spacing w:before="60" w:after="60"/>
        <w:ind w:leftChars="425" w:left="1417" w:hanging="567"/>
        <w:contextualSpacing w:val="0"/>
      </w:pPr>
      <w:r w:rsidRPr="00261575">
        <w:t>To assist States and organizations, particularly governments of developing countries and</w:t>
      </w:r>
      <w:r w:rsidRPr="00C20F3E">
        <w:t xml:space="preserve"> </w:t>
      </w:r>
      <w:r w:rsidRPr="00261575">
        <w:t xml:space="preserve">countries in transition to a market economy, in the development of legislation in accordance with the 1991 Act of the </w:t>
      </w:r>
      <w:r>
        <w:t>UPOV Convention</w:t>
      </w:r>
      <w:r w:rsidRPr="00261575">
        <w:t>.</w:t>
      </w:r>
    </w:p>
    <w:p w14:paraId="5BB6ED09" w14:textId="77777777" w:rsidR="0090485B" w:rsidRPr="00261575" w:rsidRDefault="0090485B" w:rsidP="0090485B">
      <w:pPr>
        <w:pStyle w:val="ListParagraph"/>
        <w:numPr>
          <w:ilvl w:val="4"/>
          <w:numId w:val="8"/>
        </w:numPr>
        <w:spacing w:after="60"/>
        <w:ind w:leftChars="425" w:left="1417" w:hanging="567"/>
        <w:contextualSpacing w:val="0"/>
      </w:pPr>
      <w:r w:rsidRPr="00261575">
        <w:t xml:space="preserve">To assist States and organizations in their accession to the 1991 Act of the </w:t>
      </w:r>
      <w:r>
        <w:t>UPOV Convention</w:t>
      </w:r>
      <w:r w:rsidRPr="00261575">
        <w:t>.</w:t>
      </w:r>
    </w:p>
    <w:p w14:paraId="13B046CB" w14:textId="77777777" w:rsidR="0090485B" w:rsidRPr="00261575" w:rsidRDefault="0090485B" w:rsidP="0090485B">
      <w:pPr>
        <w:pStyle w:val="ListParagraph"/>
        <w:numPr>
          <w:ilvl w:val="4"/>
          <w:numId w:val="8"/>
        </w:numPr>
        <w:ind w:leftChars="425" w:left="1417" w:hanging="567"/>
        <w:contextualSpacing w:val="0"/>
      </w:pPr>
      <w:r w:rsidRPr="00261575">
        <w:t xml:space="preserve">To assist States and organizations in implementing an effective </w:t>
      </w:r>
      <w:r w:rsidRPr="00261575">
        <w:rPr>
          <w:snapToGrid w:val="0"/>
        </w:rPr>
        <w:t>plant variety protection</w:t>
      </w:r>
      <w:r w:rsidRPr="00261575">
        <w:t xml:space="preserve"> system in accordance with the </w:t>
      </w:r>
      <w:r>
        <w:t>UPOV Convention</w:t>
      </w:r>
      <w:r w:rsidRPr="00261575">
        <w:t>.</w:t>
      </w:r>
    </w:p>
    <w:p w14:paraId="6C98A007" w14:textId="77777777" w:rsidR="0090485B" w:rsidRPr="009E2EF9" w:rsidRDefault="0090485B" w:rsidP="0090485B">
      <w:pPr>
        <w:jc w:val="left"/>
      </w:pPr>
    </w:p>
    <w:p w14:paraId="364014EB" w14:textId="77777777" w:rsidR="0090485B" w:rsidRPr="009E2EF9" w:rsidRDefault="0090485B" w:rsidP="0090485B">
      <w:pPr>
        <w:jc w:val="left"/>
      </w:pPr>
    </w:p>
    <w:p w14:paraId="536F5642" w14:textId="77777777" w:rsidR="0090485B" w:rsidRPr="00C20F3E" w:rsidRDefault="0090485B" w:rsidP="0090485B">
      <w:pPr>
        <w:pStyle w:val="Heading3"/>
      </w:pPr>
      <w:bookmarkStart w:id="478" w:name="_Toc77931043"/>
      <w:r w:rsidRPr="00C20F3E">
        <w:t>Narrative</w:t>
      </w:r>
      <w:bookmarkEnd w:id="478"/>
    </w:p>
    <w:p w14:paraId="714D087A" w14:textId="77777777" w:rsidR="0090485B" w:rsidRDefault="0090485B" w:rsidP="0090485B"/>
    <w:p w14:paraId="334B1CBE" w14:textId="77777777" w:rsidR="0090485B" w:rsidRPr="00C20F3E" w:rsidRDefault="0090485B" w:rsidP="0090485B">
      <w:pPr>
        <w:pStyle w:val="Heading5"/>
      </w:pPr>
      <w:r w:rsidRPr="00C20F3E">
        <w:t>Introduction</w:t>
      </w:r>
    </w:p>
    <w:p w14:paraId="639A7891" w14:textId="77777777" w:rsidR="0090485B" w:rsidRPr="00421986" w:rsidRDefault="0090485B" w:rsidP="0090485B">
      <w:pPr>
        <w:tabs>
          <w:tab w:val="left" w:pos="851"/>
        </w:tabs>
        <w:rPr>
          <w:color w:val="000000" w:themeColor="text1"/>
        </w:rPr>
      </w:pPr>
    </w:p>
    <w:p w14:paraId="381040D2" w14:textId="77777777" w:rsidR="0090485B" w:rsidRPr="00421986" w:rsidRDefault="0090485B" w:rsidP="0090485B">
      <w:pPr>
        <w:tabs>
          <w:tab w:val="left" w:pos="851"/>
        </w:tabs>
        <w:rPr>
          <w:color w:val="000000" w:themeColor="text1"/>
        </w:rPr>
      </w:pPr>
      <w:r w:rsidRPr="00421986">
        <w:rPr>
          <w:color w:val="000000" w:themeColor="text1"/>
        </w:rPr>
        <w:t xml:space="preserve">This sub-program covers activities to raise awareness of the benefits of </w:t>
      </w:r>
      <w:r w:rsidRPr="00421986">
        <w:rPr>
          <w:snapToGrid w:val="0"/>
        </w:rPr>
        <w:t>plant variety protection</w:t>
      </w:r>
      <w:r w:rsidRPr="00421986">
        <w:t xml:space="preserve"> according to the </w:t>
      </w:r>
      <w:r>
        <w:t>UPOV Convention</w:t>
      </w:r>
      <w:r w:rsidRPr="00421986">
        <w:t xml:space="preserve"> and UPOV membership</w:t>
      </w:r>
      <w:r w:rsidRPr="00421986">
        <w:rPr>
          <w:color w:val="000000" w:themeColor="text1"/>
        </w:rPr>
        <w:t xml:space="preserve"> for States and intergovernmental organizations that are not members of </w:t>
      </w:r>
      <w:r>
        <w:rPr>
          <w:color w:val="000000" w:themeColor="text1"/>
        </w:rPr>
        <w:t>the Union</w:t>
      </w:r>
      <w:r w:rsidRPr="00421986">
        <w:t>.  It also covers</w:t>
      </w:r>
      <w:r w:rsidRPr="00421986">
        <w:rPr>
          <w:color w:val="000000" w:themeColor="text1"/>
        </w:rPr>
        <w:t xml:space="preserve"> the assistance provided in response to requests by members of </w:t>
      </w:r>
      <w:r>
        <w:rPr>
          <w:color w:val="000000" w:themeColor="text1"/>
        </w:rPr>
        <w:t>the Union</w:t>
      </w:r>
      <w:r w:rsidRPr="00421986">
        <w:rPr>
          <w:color w:val="000000" w:themeColor="text1"/>
        </w:rPr>
        <w:t xml:space="preserve"> and potential members of </w:t>
      </w:r>
      <w:r>
        <w:rPr>
          <w:color w:val="000000" w:themeColor="text1"/>
        </w:rPr>
        <w:t>the Union</w:t>
      </w:r>
      <w:r w:rsidRPr="00421986">
        <w:rPr>
          <w:color w:val="000000" w:themeColor="text1"/>
        </w:rPr>
        <w:t xml:space="preserve">.  Services and systems developed by UPOV for all members of </w:t>
      </w:r>
      <w:r>
        <w:rPr>
          <w:color w:val="000000" w:themeColor="text1"/>
        </w:rPr>
        <w:t>the Union</w:t>
      </w:r>
      <w:r w:rsidRPr="00421986">
        <w:rPr>
          <w:color w:val="000000" w:themeColor="text1"/>
        </w:rPr>
        <w:t xml:space="preserve"> are covered by Sub-program UV.2 </w:t>
      </w:r>
      <w:r>
        <w:rPr>
          <w:color w:val="000000" w:themeColor="text1"/>
        </w:rPr>
        <w:t>“</w:t>
      </w:r>
      <w:r w:rsidRPr="00421986">
        <w:rPr>
          <w:color w:val="000000" w:themeColor="text1"/>
        </w:rPr>
        <w:t xml:space="preserve">Services to </w:t>
      </w:r>
      <w:r>
        <w:rPr>
          <w:color w:val="000000" w:themeColor="text1"/>
        </w:rPr>
        <w:t>the Union</w:t>
      </w:r>
      <w:r w:rsidRPr="00421986">
        <w:rPr>
          <w:color w:val="000000" w:themeColor="text1"/>
        </w:rPr>
        <w:t xml:space="preserve"> for Enhancing the Effectiveness of the UPOV System</w:t>
      </w:r>
      <w:r>
        <w:rPr>
          <w:color w:val="000000" w:themeColor="text1"/>
        </w:rPr>
        <w:t>”</w:t>
      </w:r>
      <w:r w:rsidRPr="00421986">
        <w:rPr>
          <w:color w:val="000000" w:themeColor="text1"/>
        </w:rPr>
        <w:t xml:space="preserve">.  However, this sub-program covers implementation of </w:t>
      </w:r>
      <w:r>
        <w:rPr>
          <w:color w:val="000000" w:themeColor="text1"/>
        </w:rPr>
        <w:t xml:space="preserve">the </w:t>
      </w:r>
      <w:r w:rsidRPr="00421986">
        <w:rPr>
          <w:color w:val="000000" w:themeColor="text1"/>
        </w:rPr>
        <w:t xml:space="preserve">UPOV </w:t>
      </w:r>
      <w:r>
        <w:rPr>
          <w:color w:val="000000" w:themeColor="text1"/>
        </w:rPr>
        <w:t xml:space="preserve">system of </w:t>
      </w:r>
      <w:r w:rsidRPr="006846DE">
        <w:rPr>
          <w:snapToGrid w:val="0"/>
          <w:color w:val="000000" w:themeColor="text1"/>
        </w:rPr>
        <w:t>plant variety protection</w:t>
      </w:r>
      <w:r w:rsidRPr="00421986">
        <w:rPr>
          <w:color w:val="000000" w:themeColor="text1"/>
        </w:rPr>
        <w:t xml:space="preserve"> by individual members of </w:t>
      </w:r>
      <w:r>
        <w:rPr>
          <w:color w:val="000000" w:themeColor="text1"/>
        </w:rPr>
        <w:t>the Union</w:t>
      </w:r>
      <w:r w:rsidRPr="00421986">
        <w:rPr>
          <w:color w:val="000000" w:themeColor="text1"/>
        </w:rPr>
        <w:t xml:space="preserve">, where requested, for example where assistance is required to implement </w:t>
      </w:r>
      <w:r>
        <w:rPr>
          <w:color w:val="000000" w:themeColor="text1"/>
        </w:rPr>
        <w:t>UPOV PRISMA</w:t>
      </w:r>
      <w:r w:rsidRPr="00421986">
        <w:rPr>
          <w:color w:val="000000" w:themeColor="text1"/>
        </w:rPr>
        <w:t xml:space="preserve"> or the electronic PVP administration module (e-PVP) for individual PVP offices. </w:t>
      </w:r>
    </w:p>
    <w:p w14:paraId="62939293" w14:textId="77777777" w:rsidR="0090485B" w:rsidRPr="00421986" w:rsidRDefault="0090485B" w:rsidP="0090485B">
      <w:pPr>
        <w:tabs>
          <w:tab w:val="left" w:pos="851"/>
        </w:tabs>
        <w:rPr>
          <w:color w:val="000000" w:themeColor="text1"/>
        </w:rPr>
      </w:pPr>
    </w:p>
    <w:p w14:paraId="526B0CE2" w14:textId="77777777" w:rsidR="0090485B" w:rsidRPr="00421986" w:rsidRDefault="0090485B" w:rsidP="0090485B">
      <w:pPr>
        <w:tabs>
          <w:tab w:val="left" w:pos="851"/>
        </w:tabs>
      </w:pPr>
      <w:r w:rsidRPr="00421986">
        <w:t xml:space="preserve">In order to provide more impact from available resources in the </w:t>
      </w:r>
      <w:r>
        <w:t>2022</w:t>
      </w:r>
      <w:r>
        <w:noBreakHyphen/>
        <w:t>2023</w:t>
      </w:r>
      <w:r w:rsidRPr="00421986">
        <w:t xml:space="preserve"> </w:t>
      </w:r>
      <w:r>
        <w:t>biennium</w:t>
      </w:r>
      <w:r w:rsidRPr="00421986">
        <w:t>, resources will be increasingly channeled to virtual activities and re-usable materials, including distance learning courses, video demonstrations, webinars and virtual practical guides.</w:t>
      </w:r>
    </w:p>
    <w:p w14:paraId="6FDA2120" w14:textId="77777777" w:rsidR="0090485B" w:rsidRDefault="0090485B" w:rsidP="0090485B">
      <w:pPr>
        <w:rPr>
          <w:color w:val="000000" w:themeColor="text1"/>
        </w:rPr>
      </w:pPr>
    </w:p>
    <w:p w14:paraId="1E35BF77" w14:textId="77777777" w:rsidR="0090485B" w:rsidRPr="00C20F3E" w:rsidRDefault="0090485B" w:rsidP="0090485B">
      <w:pPr>
        <w:pStyle w:val="Heading5"/>
      </w:pPr>
      <w:r w:rsidRPr="00C20F3E">
        <w:t>Raising awareness</w:t>
      </w:r>
    </w:p>
    <w:p w14:paraId="0EFEEF02" w14:textId="77777777" w:rsidR="0090485B" w:rsidRPr="00421986" w:rsidRDefault="0090485B" w:rsidP="0090485B">
      <w:pPr>
        <w:rPr>
          <w:color w:val="000000" w:themeColor="text1"/>
        </w:rPr>
      </w:pPr>
    </w:p>
    <w:p w14:paraId="6523CABC" w14:textId="77777777" w:rsidR="0090485B" w:rsidRPr="00421986" w:rsidRDefault="0090485B" w:rsidP="0090485B">
      <w:pPr>
        <w:tabs>
          <w:tab w:val="left" w:pos="851"/>
        </w:tabs>
        <w:rPr>
          <w:color w:val="000000" w:themeColor="text1"/>
        </w:rPr>
      </w:pPr>
      <w:r w:rsidRPr="00421986">
        <w:rPr>
          <w:color w:val="000000" w:themeColor="text1"/>
        </w:rPr>
        <w:t xml:space="preserve">UPOV activities for raising awareness of the role of the UPOV system are largely based on participation by the Office of </w:t>
      </w:r>
      <w:r>
        <w:rPr>
          <w:color w:val="000000" w:themeColor="text1"/>
        </w:rPr>
        <w:t>the Union</w:t>
      </w:r>
      <w:r w:rsidRPr="00421986">
        <w:rPr>
          <w:color w:val="000000" w:themeColor="text1"/>
        </w:rPr>
        <w:t xml:space="preserve"> in meetings, seminars and other activities, particularly in the territory concerned, while also recognizing the value of study tours as a particularly effective means of demonstrating the benefits of the UPOV system.  In addition, the UPOV communication strategy reflects the importance of studies and case-study videos as a means of conveying information about the benefits of UPOV in an effective way.  UPOV now has a significant collection of such information, including an increasing number of videos provided by members of </w:t>
      </w:r>
      <w:r>
        <w:rPr>
          <w:color w:val="000000" w:themeColor="text1"/>
        </w:rPr>
        <w:t>the Union</w:t>
      </w:r>
      <w:r w:rsidRPr="00421986">
        <w:rPr>
          <w:color w:val="000000" w:themeColor="text1"/>
        </w:rPr>
        <w:t>.  In accordance with the communication strategy, a greater use of social media will be deployed to enable this information to be conveyed to a much wider audience.</w:t>
      </w:r>
    </w:p>
    <w:p w14:paraId="2925722E" w14:textId="77777777" w:rsidR="0090485B" w:rsidRPr="00421986" w:rsidRDefault="0090485B" w:rsidP="0090485B"/>
    <w:p w14:paraId="1C9A070F" w14:textId="77777777" w:rsidR="0090485B" w:rsidRPr="00421986" w:rsidRDefault="0090485B" w:rsidP="0090485B">
      <w:pPr>
        <w:tabs>
          <w:tab w:val="left" w:pos="851"/>
        </w:tabs>
        <w:rPr>
          <w:szCs w:val="22"/>
        </w:rPr>
      </w:pPr>
      <w:r w:rsidRPr="00421986">
        <w:t xml:space="preserve">The </w:t>
      </w:r>
      <w:r w:rsidRPr="00421986">
        <w:rPr>
          <w:color w:val="000000" w:themeColor="text1"/>
        </w:rPr>
        <w:t>introduction</w:t>
      </w:r>
      <w:r w:rsidRPr="00421986">
        <w:t xml:space="preserve"> and development of modules on </w:t>
      </w:r>
      <w:r w:rsidRPr="00421986">
        <w:rPr>
          <w:snapToGrid w:val="0"/>
        </w:rPr>
        <w:t>plant variety protection</w:t>
      </w:r>
      <w:r w:rsidRPr="00421986">
        <w:t xml:space="preserve"> within degree and post-graduate programs are an important means of raising awareness and understanding of the UPOV system.  The Office of </w:t>
      </w:r>
      <w:r>
        <w:t>the Union</w:t>
      </w:r>
      <w:r w:rsidRPr="00421986">
        <w:t xml:space="preserve"> will explore possibilities to increase the number of academic and training institutions that incorporate information on the UPOV system in relevant courses and how their effectiveness can be further enhanced, including by participation of students in the UPOV distance learning courses.</w:t>
      </w:r>
    </w:p>
    <w:p w14:paraId="5C0D94B4" w14:textId="77777777" w:rsidR="0090485B" w:rsidRDefault="0090485B" w:rsidP="0090485B"/>
    <w:p w14:paraId="100E9775" w14:textId="77777777" w:rsidR="0090485B" w:rsidRPr="00C20F3E" w:rsidRDefault="0090485B" w:rsidP="0090485B">
      <w:pPr>
        <w:pStyle w:val="Heading5"/>
      </w:pPr>
      <w:r w:rsidRPr="00C20F3E">
        <w:t>Assistance</w:t>
      </w:r>
    </w:p>
    <w:p w14:paraId="1AD523B8" w14:textId="77777777" w:rsidR="0090485B" w:rsidRPr="00421986" w:rsidRDefault="0090485B" w:rsidP="0090485B"/>
    <w:p w14:paraId="7DC816DE" w14:textId="77777777" w:rsidR="0090485B" w:rsidRPr="00421986" w:rsidRDefault="0090485B" w:rsidP="0090485B">
      <w:pPr>
        <w:rPr>
          <w:i/>
          <w:color w:val="000000" w:themeColor="text1"/>
        </w:rPr>
      </w:pPr>
      <w:r w:rsidRPr="009E2EF9">
        <w:rPr>
          <w:i/>
          <w:color w:val="000000" w:themeColor="text1"/>
        </w:rPr>
        <w:t>Priority</w:t>
      </w:r>
    </w:p>
    <w:p w14:paraId="0022385D" w14:textId="77777777" w:rsidR="0090485B" w:rsidRPr="00421986" w:rsidRDefault="0090485B" w:rsidP="0090485B"/>
    <w:p w14:paraId="3BD9090C" w14:textId="77777777" w:rsidR="0090485B" w:rsidRDefault="0090485B" w:rsidP="0090485B">
      <w:pPr>
        <w:tabs>
          <w:tab w:val="left" w:pos="851"/>
        </w:tabs>
      </w:pPr>
      <w:r w:rsidRPr="00421986">
        <w:t xml:space="preserve">Satisfying the demand for assistance in the introduction and implementation of the UPOV system within available resources relies on the use of distance-learning courses, the prioritization of assistance by the Office of </w:t>
      </w:r>
      <w:r>
        <w:t>the Union</w:t>
      </w:r>
      <w:r w:rsidRPr="00421986">
        <w:t xml:space="preserve">, support by members of </w:t>
      </w:r>
      <w:r>
        <w:t>the Union</w:t>
      </w:r>
      <w:r w:rsidRPr="00421986">
        <w:t xml:space="preserve"> and partnerships with other providers of assistance.  This sub-program is supported by the regular budget, but extrabudgetary funds and support in kind provide a substantial proportion of the resources deployed for assistance.  In order to utilize the available resources in the most effective way, the Office of </w:t>
      </w:r>
      <w:r>
        <w:t>the Union</w:t>
      </w:r>
      <w:r w:rsidRPr="00421986">
        <w:t xml:space="preserve"> will continue to prioritize its activities and to explore synergies in its activities with members of </w:t>
      </w:r>
      <w:r>
        <w:t>the Union</w:t>
      </w:r>
      <w:r w:rsidRPr="00421986">
        <w:t xml:space="preserve"> and other partners.</w:t>
      </w:r>
    </w:p>
    <w:p w14:paraId="103CF338" w14:textId="77777777" w:rsidR="0090485B" w:rsidRPr="00421986" w:rsidRDefault="0090485B" w:rsidP="0090485B">
      <w:pPr>
        <w:tabs>
          <w:tab w:val="left" w:pos="851"/>
        </w:tabs>
      </w:pPr>
    </w:p>
    <w:p w14:paraId="0D4B75C0" w14:textId="77777777" w:rsidR="0090485B" w:rsidRPr="00421986" w:rsidRDefault="0090485B" w:rsidP="0090485B">
      <w:pPr>
        <w:keepNext/>
        <w:tabs>
          <w:tab w:val="left" w:pos="851"/>
        </w:tabs>
        <w:rPr>
          <w:color w:val="000000" w:themeColor="text1"/>
        </w:rPr>
      </w:pPr>
      <w:r w:rsidRPr="00421986">
        <w:rPr>
          <w:color w:val="000000" w:themeColor="text1"/>
        </w:rPr>
        <w:t xml:space="preserve">The </w:t>
      </w:r>
      <w:r w:rsidRPr="009E2EF9">
        <w:rPr>
          <w:color w:val="000000" w:themeColor="text1"/>
        </w:rPr>
        <w:t>priority</w:t>
      </w:r>
      <w:r w:rsidRPr="00421986">
        <w:rPr>
          <w:color w:val="000000" w:themeColor="text1"/>
        </w:rPr>
        <w:t xml:space="preserve"> for providing assistance by the Office of </w:t>
      </w:r>
      <w:r>
        <w:rPr>
          <w:color w:val="000000" w:themeColor="text1"/>
        </w:rPr>
        <w:t>the Union</w:t>
      </w:r>
      <w:r w:rsidRPr="00421986">
        <w:rPr>
          <w:color w:val="000000" w:themeColor="text1"/>
        </w:rPr>
        <w:t xml:space="preserve"> is as follows:</w:t>
      </w:r>
    </w:p>
    <w:p w14:paraId="22F10864" w14:textId="77777777" w:rsidR="0090485B" w:rsidRPr="00421986" w:rsidRDefault="0090485B" w:rsidP="0090485B">
      <w:pPr>
        <w:keepNext/>
        <w:rPr>
          <w:color w:val="000000" w:themeColor="text1"/>
        </w:rPr>
      </w:pPr>
    </w:p>
    <w:p w14:paraId="13DB9C4D" w14:textId="77777777" w:rsidR="0090485B" w:rsidRPr="00421986" w:rsidRDefault="0090485B" w:rsidP="0090485B">
      <w:pPr>
        <w:keepNext/>
        <w:spacing w:after="120"/>
        <w:ind w:left="567"/>
        <w:rPr>
          <w:color w:val="000000" w:themeColor="text1"/>
        </w:rPr>
      </w:pPr>
      <w:r w:rsidRPr="00421986">
        <w:rPr>
          <w:color w:val="000000" w:themeColor="text1"/>
        </w:rPr>
        <w:t>(i)</w:t>
      </w:r>
      <w:r w:rsidRPr="00421986">
        <w:rPr>
          <w:color w:val="000000" w:themeColor="text1"/>
        </w:rPr>
        <w:tab/>
        <w:t xml:space="preserve">assistance to existing members of </w:t>
      </w:r>
      <w:r>
        <w:rPr>
          <w:color w:val="000000" w:themeColor="text1"/>
        </w:rPr>
        <w:t>the Union</w:t>
      </w:r>
      <w:r w:rsidRPr="00421986">
        <w:rPr>
          <w:color w:val="000000" w:themeColor="text1"/>
        </w:rPr>
        <w:t>;</w:t>
      </w:r>
    </w:p>
    <w:p w14:paraId="6B0803BF" w14:textId="77777777" w:rsidR="0090485B" w:rsidRPr="00261575" w:rsidRDefault="0090485B" w:rsidP="0090485B">
      <w:pPr>
        <w:spacing w:after="120"/>
        <w:ind w:left="1134" w:hanging="567"/>
        <w:rPr>
          <w:color w:val="000000" w:themeColor="text1"/>
        </w:rPr>
      </w:pPr>
      <w:r w:rsidRPr="00261575">
        <w:rPr>
          <w:color w:val="000000" w:themeColor="text1"/>
        </w:rPr>
        <w:t>(ii)</w:t>
      </w:r>
      <w:r w:rsidRPr="00261575">
        <w:rPr>
          <w:color w:val="000000" w:themeColor="text1"/>
        </w:rPr>
        <w:tab/>
        <w:t xml:space="preserve">assistance to States and certain organizations that are not members of </w:t>
      </w:r>
      <w:r>
        <w:rPr>
          <w:color w:val="000000" w:themeColor="text1"/>
        </w:rPr>
        <w:t>the Union</w:t>
      </w:r>
      <w:r w:rsidRPr="00261575">
        <w:rPr>
          <w:color w:val="000000" w:themeColor="text1"/>
        </w:rPr>
        <w:t xml:space="preserve">, particularly governments of developing countries and countries in transition to a market economy, in the development of legislation in line with the 1991 Act of the </w:t>
      </w:r>
      <w:r>
        <w:rPr>
          <w:color w:val="000000" w:themeColor="text1"/>
        </w:rPr>
        <w:t>UPOV Convention</w:t>
      </w:r>
      <w:r w:rsidRPr="00261575">
        <w:rPr>
          <w:color w:val="000000" w:themeColor="text1"/>
        </w:rPr>
        <w:t xml:space="preserve"> and their accession to the </w:t>
      </w:r>
      <w:r>
        <w:rPr>
          <w:color w:val="000000" w:themeColor="text1"/>
        </w:rPr>
        <w:t>UPOV Convention</w:t>
      </w:r>
      <w:r w:rsidRPr="00261575">
        <w:rPr>
          <w:color w:val="000000" w:themeColor="text1"/>
        </w:rPr>
        <w:t>;  and</w:t>
      </w:r>
    </w:p>
    <w:p w14:paraId="2D84A50F" w14:textId="77777777" w:rsidR="0090485B" w:rsidRPr="00421986" w:rsidRDefault="0090485B" w:rsidP="0090485B">
      <w:pPr>
        <w:tabs>
          <w:tab w:val="left" w:pos="567"/>
        </w:tabs>
        <w:ind w:left="1134" w:hanging="567"/>
        <w:rPr>
          <w:color w:val="000000" w:themeColor="text1"/>
        </w:rPr>
      </w:pPr>
      <w:r w:rsidRPr="00261575">
        <w:rPr>
          <w:color w:val="000000" w:themeColor="text1"/>
        </w:rPr>
        <w:t>(iii)</w:t>
      </w:r>
      <w:r w:rsidRPr="00261575">
        <w:rPr>
          <w:color w:val="000000" w:themeColor="text1"/>
        </w:rPr>
        <w:tab/>
        <w:t xml:space="preserve">assistance to States and certain organizations that are not members of </w:t>
      </w:r>
      <w:r>
        <w:rPr>
          <w:color w:val="000000" w:themeColor="text1"/>
        </w:rPr>
        <w:t>the Union</w:t>
      </w:r>
      <w:r w:rsidRPr="00261575">
        <w:rPr>
          <w:color w:val="000000" w:themeColor="text1"/>
        </w:rPr>
        <w:t xml:space="preserve">, in the implementation of legislation that has received a positive decision of the Council, according to their commitment to accede to the </w:t>
      </w:r>
      <w:r>
        <w:rPr>
          <w:color w:val="000000" w:themeColor="text1"/>
        </w:rPr>
        <w:t>UPOV Convention</w:t>
      </w:r>
      <w:r w:rsidRPr="00261575">
        <w:rPr>
          <w:color w:val="000000" w:themeColor="text1"/>
        </w:rPr>
        <w:t>.</w:t>
      </w:r>
    </w:p>
    <w:p w14:paraId="54BCEEDD" w14:textId="77777777" w:rsidR="0090485B" w:rsidRPr="00421986" w:rsidRDefault="0090485B" w:rsidP="0090485B">
      <w:pPr>
        <w:rPr>
          <w:i/>
        </w:rPr>
      </w:pPr>
    </w:p>
    <w:p w14:paraId="6F2479E3" w14:textId="77777777" w:rsidR="0090485B" w:rsidRPr="00C20F3E" w:rsidRDefault="0090485B" w:rsidP="0090485B">
      <w:pPr>
        <w:pStyle w:val="Heading5"/>
      </w:pPr>
      <w:r w:rsidRPr="00C20F3E">
        <w:t>Distance learning</w:t>
      </w:r>
    </w:p>
    <w:p w14:paraId="6564DEFE" w14:textId="77777777" w:rsidR="0090485B" w:rsidRPr="00421986" w:rsidRDefault="0090485B" w:rsidP="0090485B">
      <w:pPr>
        <w:keepNext/>
        <w:rPr>
          <w:i/>
        </w:rPr>
      </w:pPr>
    </w:p>
    <w:p w14:paraId="69CB94E8" w14:textId="77777777" w:rsidR="0090485B" w:rsidRPr="00421986" w:rsidRDefault="0090485B" w:rsidP="0090485B">
      <w:pPr>
        <w:tabs>
          <w:tab w:val="left" w:pos="851"/>
        </w:tabs>
      </w:pPr>
      <w:r w:rsidRPr="00421986">
        <w:t>The UPOV distance learning courses are a particularly effective means of providing high quality training to large numbers of participants and will continue to be a cornerstone of UPOV</w:t>
      </w:r>
      <w:r>
        <w:t>’</w:t>
      </w:r>
      <w:r w:rsidRPr="00421986">
        <w:t>s training and assistance strategy.  The incorporation of UPOV distance learning courses into UPOV activities and activities organized by others will also be an important part of the strategy.</w:t>
      </w:r>
    </w:p>
    <w:p w14:paraId="421C71EE" w14:textId="77777777" w:rsidR="0090485B" w:rsidRDefault="0090485B" w:rsidP="0090485B">
      <w:pPr>
        <w:rPr>
          <w:i/>
        </w:rPr>
      </w:pPr>
    </w:p>
    <w:p w14:paraId="584B95A5" w14:textId="77777777" w:rsidR="0090485B" w:rsidRPr="00C20F3E" w:rsidRDefault="0090485B" w:rsidP="0090485B">
      <w:pPr>
        <w:pStyle w:val="Heading5"/>
      </w:pPr>
      <w:r w:rsidRPr="00C20F3E">
        <w:t>Materials</w:t>
      </w:r>
    </w:p>
    <w:p w14:paraId="66B8C124" w14:textId="77777777" w:rsidR="0090485B" w:rsidRPr="00421986" w:rsidRDefault="0090485B" w:rsidP="0090485B">
      <w:pPr>
        <w:keepNext/>
        <w:rPr>
          <w:i/>
        </w:rPr>
      </w:pPr>
    </w:p>
    <w:p w14:paraId="58D678FD" w14:textId="77777777" w:rsidR="0090485B" w:rsidRPr="00421986" w:rsidRDefault="0090485B" w:rsidP="0090485B">
      <w:pPr>
        <w:tabs>
          <w:tab w:val="left" w:pos="851"/>
        </w:tabs>
      </w:pPr>
      <w:r w:rsidRPr="00421986">
        <w:t xml:space="preserve">In order to provide more impact in training and assistance from available resources, resources will be increasingly channeled to virtual training programs and re-usable materials, additional distance learning courses, video demonstrations, webinars and virtual practical guides.  </w:t>
      </w:r>
    </w:p>
    <w:p w14:paraId="36EC65DE" w14:textId="77777777" w:rsidR="0090485B" w:rsidRDefault="0090485B" w:rsidP="0090485B">
      <w:pPr>
        <w:rPr>
          <w:i/>
        </w:rPr>
      </w:pPr>
    </w:p>
    <w:p w14:paraId="260CB4F7" w14:textId="77777777" w:rsidR="0090485B" w:rsidRPr="00C20F3E" w:rsidRDefault="0090485B" w:rsidP="0090485B">
      <w:pPr>
        <w:pStyle w:val="Heading5"/>
      </w:pPr>
      <w:r w:rsidRPr="00C20F3E">
        <w:t xml:space="preserve">Training and assistance resources </w:t>
      </w:r>
    </w:p>
    <w:p w14:paraId="50872DDD" w14:textId="77777777" w:rsidR="0090485B" w:rsidRPr="00421986" w:rsidRDefault="0090485B" w:rsidP="0090485B"/>
    <w:p w14:paraId="6CF751B9" w14:textId="77777777" w:rsidR="0090485B" w:rsidRPr="00421986" w:rsidRDefault="0090485B" w:rsidP="0090485B">
      <w:pPr>
        <w:tabs>
          <w:tab w:val="left" w:pos="851"/>
        </w:tabs>
        <w:rPr>
          <w:color w:val="000000" w:themeColor="text1"/>
        </w:rPr>
      </w:pPr>
      <w:r w:rsidRPr="00421986">
        <w:rPr>
          <w:color w:val="000000" w:themeColor="text1"/>
        </w:rPr>
        <w:t xml:space="preserve">A major feature of this sub-program is to provide a framework within which the Office of </w:t>
      </w:r>
      <w:r>
        <w:rPr>
          <w:color w:val="000000" w:themeColor="text1"/>
        </w:rPr>
        <w:t>the Union</w:t>
      </w:r>
      <w:r w:rsidRPr="00421986">
        <w:rPr>
          <w:color w:val="000000" w:themeColor="text1"/>
        </w:rPr>
        <w:t xml:space="preserve"> can efficiently supplement its resources with financial resources and support in kind made available by members of </w:t>
      </w:r>
      <w:r>
        <w:rPr>
          <w:color w:val="000000" w:themeColor="text1"/>
        </w:rPr>
        <w:t>the Union</w:t>
      </w:r>
      <w:r w:rsidRPr="00421986">
        <w:rPr>
          <w:color w:val="000000" w:themeColor="text1"/>
        </w:rPr>
        <w:t xml:space="preserve"> and other bodies.  In general, the support can be categorized as follows:</w:t>
      </w:r>
    </w:p>
    <w:p w14:paraId="67070943" w14:textId="77777777" w:rsidR="0090485B" w:rsidRDefault="0090485B" w:rsidP="0090485B">
      <w:pPr>
        <w:rPr>
          <w:i/>
        </w:rPr>
      </w:pPr>
    </w:p>
    <w:p w14:paraId="13FB2E47" w14:textId="77777777" w:rsidR="0090485B" w:rsidRPr="00C20F3E" w:rsidRDefault="0090485B" w:rsidP="0090485B">
      <w:pPr>
        <w:pStyle w:val="Heading5"/>
      </w:pPr>
      <w:r w:rsidRPr="00C20F3E">
        <w:t>Extrabudgetary financial resources</w:t>
      </w:r>
    </w:p>
    <w:p w14:paraId="262B1297" w14:textId="77777777" w:rsidR="0090485B" w:rsidRPr="00421986" w:rsidRDefault="0090485B" w:rsidP="0090485B">
      <w:pPr>
        <w:keepNext/>
        <w:tabs>
          <w:tab w:val="left" w:pos="567"/>
        </w:tabs>
        <w:rPr>
          <w:color w:val="000000" w:themeColor="text1"/>
        </w:rPr>
      </w:pPr>
    </w:p>
    <w:p w14:paraId="5D74F88E" w14:textId="77777777" w:rsidR="0090485B" w:rsidRPr="00421986" w:rsidRDefault="0090485B" w:rsidP="0090485B">
      <w:pPr>
        <w:tabs>
          <w:tab w:val="left" w:pos="851"/>
        </w:tabs>
        <w:rPr>
          <w:color w:val="000000" w:themeColor="text1"/>
        </w:rPr>
      </w:pPr>
      <w:r w:rsidRPr="00421986">
        <w:rPr>
          <w:color w:val="000000" w:themeColor="text1"/>
        </w:rPr>
        <w:t xml:space="preserve">UPOV greatly benefits from additional financial resources provided, for example, in the form of Funds-in-Trust or Memoranda of Understanding.  Such voluntary financial donations are provided to UPOV by a member of </w:t>
      </w:r>
      <w:r>
        <w:rPr>
          <w:color w:val="000000" w:themeColor="text1"/>
        </w:rPr>
        <w:t>the Union</w:t>
      </w:r>
      <w:r w:rsidRPr="00421986">
        <w:rPr>
          <w:color w:val="000000" w:themeColor="text1"/>
        </w:rPr>
        <w:t xml:space="preserve"> to finance a specific program of activities mutually agreed between the Office of </w:t>
      </w:r>
      <w:r>
        <w:rPr>
          <w:color w:val="000000" w:themeColor="text1"/>
        </w:rPr>
        <w:t>the Union</w:t>
      </w:r>
      <w:r w:rsidRPr="00421986">
        <w:rPr>
          <w:color w:val="000000" w:themeColor="text1"/>
        </w:rPr>
        <w:t xml:space="preserve"> and the donor member of </w:t>
      </w:r>
      <w:r>
        <w:rPr>
          <w:color w:val="000000" w:themeColor="text1"/>
        </w:rPr>
        <w:t>the Union</w:t>
      </w:r>
      <w:r w:rsidRPr="00421986">
        <w:rPr>
          <w:color w:val="000000" w:themeColor="text1"/>
        </w:rPr>
        <w:t xml:space="preserve">.  In recognition that such programs involve UPOV staff or other resources, the Office of </w:t>
      </w:r>
      <w:r>
        <w:rPr>
          <w:color w:val="000000" w:themeColor="text1"/>
        </w:rPr>
        <w:t>the Union</w:t>
      </w:r>
      <w:r w:rsidRPr="00421986">
        <w:rPr>
          <w:color w:val="000000" w:themeColor="text1"/>
        </w:rPr>
        <w:t xml:space="preserve"> and the member of </w:t>
      </w:r>
      <w:r>
        <w:rPr>
          <w:color w:val="000000" w:themeColor="text1"/>
        </w:rPr>
        <w:t>the Union</w:t>
      </w:r>
      <w:r w:rsidRPr="00421986">
        <w:rPr>
          <w:color w:val="000000" w:themeColor="text1"/>
        </w:rPr>
        <w:t xml:space="preserve"> concerned jointly develop a program of activities in accordance with the policy and priorities set by the UPOV Council.</w:t>
      </w:r>
    </w:p>
    <w:p w14:paraId="6B704749" w14:textId="77777777" w:rsidR="0090485B" w:rsidRPr="00421986" w:rsidRDefault="0090485B" w:rsidP="0090485B">
      <w:pPr>
        <w:tabs>
          <w:tab w:val="left" w:pos="567"/>
        </w:tabs>
        <w:rPr>
          <w:color w:val="000000" w:themeColor="text1"/>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90485B" w:rsidRPr="00421986" w14:paraId="02B4C7B5" w14:textId="77777777" w:rsidTr="008F07B7">
        <w:trPr>
          <w:cantSplit/>
        </w:trPr>
        <w:tc>
          <w:tcPr>
            <w:tcW w:w="8676" w:type="dxa"/>
          </w:tcPr>
          <w:p w14:paraId="4D6BA458" w14:textId="77777777" w:rsidR="0090485B" w:rsidRPr="00421986" w:rsidRDefault="0090485B" w:rsidP="008F07B7">
            <w:pPr>
              <w:tabs>
                <w:tab w:val="left" w:pos="567"/>
              </w:tabs>
              <w:rPr>
                <w:color w:val="000000" w:themeColor="text1"/>
              </w:rPr>
            </w:pPr>
            <w:r w:rsidRPr="00421986">
              <w:rPr>
                <w:color w:val="000000" w:themeColor="text1"/>
              </w:rPr>
              <w:t>Examples</w:t>
            </w:r>
            <w:r w:rsidRPr="00421986">
              <w:rPr>
                <w:rStyle w:val="FootnoteReference"/>
                <w:color w:val="000000" w:themeColor="text1"/>
              </w:rPr>
              <w:footnoteReference w:id="7"/>
            </w:r>
            <w:r w:rsidRPr="00421986">
              <w:rPr>
                <w:color w:val="000000" w:themeColor="text1"/>
              </w:rPr>
              <w:t>:</w:t>
            </w:r>
          </w:p>
          <w:p w14:paraId="358CA24E" w14:textId="77777777" w:rsidR="0090485B" w:rsidRPr="00421986" w:rsidRDefault="0090485B" w:rsidP="008F07B7">
            <w:pPr>
              <w:tabs>
                <w:tab w:val="left" w:pos="567"/>
              </w:tabs>
              <w:rPr>
                <w:color w:val="000000" w:themeColor="text1"/>
              </w:rPr>
            </w:pPr>
          </w:p>
          <w:p w14:paraId="6F3B581C" w14:textId="77777777" w:rsidR="0090485B" w:rsidRPr="00421986" w:rsidRDefault="0090485B" w:rsidP="0090485B">
            <w:pPr>
              <w:numPr>
                <w:ilvl w:val="0"/>
                <w:numId w:val="1"/>
              </w:numPr>
              <w:tabs>
                <w:tab w:val="clear" w:pos="720"/>
                <w:tab w:val="left" w:pos="601"/>
              </w:tabs>
              <w:spacing w:after="120"/>
              <w:ind w:left="601" w:hanging="244"/>
              <w:rPr>
                <w:color w:val="000000" w:themeColor="text1"/>
              </w:rPr>
            </w:pPr>
            <w:r w:rsidRPr="00421986">
              <w:rPr>
                <w:color w:val="000000" w:themeColor="text1"/>
              </w:rPr>
              <w:t>The Funds-in-Trust provided by the Japanese Government for activities in the Asian region</w:t>
            </w:r>
          </w:p>
          <w:p w14:paraId="52B018D7" w14:textId="77777777" w:rsidR="0090485B" w:rsidRPr="00421986" w:rsidRDefault="0090485B" w:rsidP="0090485B">
            <w:pPr>
              <w:numPr>
                <w:ilvl w:val="0"/>
                <w:numId w:val="1"/>
              </w:numPr>
              <w:tabs>
                <w:tab w:val="clear" w:pos="720"/>
                <w:tab w:val="left" w:pos="601"/>
              </w:tabs>
              <w:spacing w:after="120"/>
              <w:ind w:left="601" w:hanging="244"/>
              <w:rPr>
                <w:color w:val="000000" w:themeColor="text1"/>
              </w:rPr>
            </w:pPr>
            <w:r w:rsidRPr="00421986">
              <w:rPr>
                <w:color w:val="000000" w:themeColor="text1"/>
              </w:rPr>
              <w:t>Memorandum of Understanding between the United States Patent and Trademark Office (USPTO) and UPOV</w:t>
            </w:r>
          </w:p>
          <w:p w14:paraId="48B5D4E2" w14:textId="77777777" w:rsidR="0090485B" w:rsidRPr="00421986" w:rsidRDefault="0090485B" w:rsidP="0090485B">
            <w:pPr>
              <w:numPr>
                <w:ilvl w:val="0"/>
                <w:numId w:val="1"/>
              </w:numPr>
              <w:tabs>
                <w:tab w:val="clear" w:pos="720"/>
                <w:tab w:val="left" w:pos="601"/>
              </w:tabs>
              <w:ind w:left="601" w:hanging="244"/>
              <w:rPr>
                <w:color w:val="000000" w:themeColor="text1"/>
              </w:rPr>
            </w:pPr>
            <w:r w:rsidRPr="00421986">
              <w:rPr>
                <w:color w:val="000000" w:themeColor="text1"/>
              </w:rPr>
              <w:t xml:space="preserve">The Funds-in-Trust provided by the Government of </w:t>
            </w:r>
            <w:r w:rsidRPr="00421986">
              <w:rPr>
                <w:snapToGrid w:val="0"/>
                <w:color w:val="000000" w:themeColor="text1"/>
              </w:rPr>
              <w:t>Canada</w:t>
            </w:r>
          </w:p>
        </w:tc>
      </w:tr>
    </w:tbl>
    <w:p w14:paraId="6C5E29EB" w14:textId="77777777" w:rsidR="0090485B" w:rsidRPr="00421986" w:rsidRDefault="0090485B" w:rsidP="0090485B">
      <w:pPr>
        <w:spacing w:line="360" w:lineRule="auto"/>
      </w:pPr>
    </w:p>
    <w:p w14:paraId="737AFAEE" w14:textId="77777777" w:rsidR="0090485B" w:rsidRPr="00C20F3E" w:rsidRDefault="0090485B" w:rsidP="0090485B">
      <w:pPr>
        <w:pStyle w:val="Heading5"/>
      </w:pPr>
      <w:r w:rsidRPr="00C20F3E">
        <w:t xml:space="preserve">Support from members of </w:t>
      </w:r>
      <w:r>
        <w:t>the Union</w:t>
      </w:r>
    </w:p>
    <w:p w14:paraId="4FF97638" w14:textId="77777777" w:rsidR="0090485B" w:rsidRPr="00421986" w:rsidRDefault="0090485B" w:rsidP="0090485B">
      <w:pPr>
        <w:keepNext/>
        <w:tabs>
          <w:tab w:val="left" w:pos="567"/>
        </w:tabs>
        <w:rPr>
          <w:color w:val="000000" w:themeColor="text1"/>
        </w:rPr>
      </w:pPr>
    </w:p>
    <w:p w14:paraId="303922A1" w14:textId="77777777" w:rsidR="0090485B" w:rsidRPr="00421986" w:rsidRDefault="0090485B" w:rsidP="0090485B">
      <w:pPr>
        <w:tabs>
          <w:tab w:val="left" w:pos="851"/>
        </w:tabs>
      </w:pPr>
      <w:r w:rsidRPr="00421986">
        <w:t xml:space="preserve">The Office of </w:t>
      </w:r>
      <w:r>
        <w:t>the Union</w:t>
      </w:r>
      <w:r w:rsidRPr="00421986">
        <w:t xml:space="preserve"> has also received financial support for UPOV activities from the Ministry of Agriculture, Nature and Food Quality (MANFQ), Netherlands via the PVP Development Program (Toolbox) and also has the opportunity to inform MANFQ of UPOV</w:t>
      </w:r>
      <w:r>
        <w:t>’</w:t>
      </w:r>
      <w:r w:rsidRPr="00421986">
        <w:t>s priorities in relation to the Toolbox program.</w:t>
      </w:r>
    </w:p>
    <w:p w14:paraId="1AF23DA0" w14:textId="77777777" w:rsidR="0090485B" w:rsidRPr="00421986" w:rsidRDefault="0090485B" w:rsidP="0090485B">
      <w:pPr>
        <w:autoSpaceDE w:val="0"/>
        <w:autoSpaceDN w:val="0"/>
        <w:adjustRightInd w:val="0"/>
        <w:rPr>
          <w:rFonts w:cs="Arial"/>
          <w:szCs w:val="19"/>
        </w:rPr>
      </w:pPr>
    </w:p>
    <w:p w14:paraId="5A32F35F" w14:textId="77777777" w:rsidR="0090485B" w:rsidRPr="00421986" w:rsidRDefault="0090485B" w:rsidP="0090485B">
      <w:pPr>
        <w:tabs>
          <w:tab w:val="left" w:pos="851"/>
        </w:tabs>
        <w:rPr>
          <w:color w:val="000000" w:themeColor="text1"/>
        </w:rPr>
      </w:pPr>
      <w:r w:rsidRPr="00421986">
        <w:rPr>
          <w:color w:val="000000" w:themeColor="text1"/>
        </w:rPr>
        <w:t xml:space="preserve">An essential resource for the work of UPOV is the support in kind provided by many members of </w:t>
      </w:r>
      <w:r>
        <w:rPr>
          <w:color w:val="000000" w:themeColor="text1"/>
        </w:rPr>
        <w:t>the Union</w:t>
      </w:r>
      <w:r w:rsidRPr="00421986">
        <w:rPr>
          <w:color w:val="000000" w:themeColor="text1"/>
        </w:rPr>
        <w:t xml:space="preserve"> in the form of experts acting as lecturers in UPOV activities, tutors in distance learning courses and virtual material (e.g. videos).  Support in the form of suitably qualified officials, fully funded by members of </w:t>
      </w:r>
      <w:r>
        <w:rPr>
          <w:color w:val="000000" w:themeColor="text1"/>
        </w:rPr>
        <w:t>the Union</w:t>
      </w:r>
      <w:r w:rsidRPr="00421986">
        <w:rPr>
          <w:color w:val="000000" w:themeColor="text1"/>
        </w:rPr>
        <w:t xml:space="preserve"> </w:t>
      </w:r>
      <w:r w:rsidRPr="00421986">
        <w:rPr>
          <w:color w:val="000000" w:themeColor="text1"/>
        </w:rPr>
        <w:lastRenderedPageBreak/>
        <w:t>through Fellowships or the Junior Professional Officer (JPO) program, are also a source of support that will be considered, as appropriate.</w:t>
      </w:r>
    </w:p>
    <w:p w14:paraId="6FAF71F4" w14:textId="77777777" w:rsidR="0090485B" w:rsidRPr="00421986" w:rsidRDefault="0090485B" w:rsidP="0090485B">
      <w:pPr>
        <w:tabs>
          <w:tab w:val="left" w:pos="851"/>
        </w:tabs>
        <w:rPr>
          <w:color w:val="000000" w:themeColor="text1"/>
        </w:rPr>
      </w:pPr>
    </w:p>
    <w:p w14:paraId="38B393CE" w14:textId="77777777" w:rsidR="0090485B" w:rsidRPr="00421986" w:rsidRDefault="0090485B" w:rsidP="0090485B">
      <w:pPr>
        <w:tabs>
          <w:tab w:val="left" w:pos="851"/>
        </w:tabs>
        <w:rPr>
          <w:color w:val="000000" w:themeColor="text1"/>
        </w:rPr>
      </w:pPr>
      <w:r w:rsidRPr="00421986">
        <w:rPr>
          <w:color w:val="000000" w:themeColor="text1"/>
        </w:rPr>
        <w:t xml:space="preserve">A further important means of support is by </w:t>
      </w:r>
      <w:r w:rsidRPr="00421986">
        <w:rPr>
          <w:snapToGrid w:val="0"/>
          <w:color w:val="000000" w:themeColor="text1"/>
        </w:rPr>
        <w:t xml:space="preserve">members of </w:t>
      </w:r>
      <w:r>
        <w:rPr>
          <w:snapToGrid w:val="0"/>
          <w:color w:val="000000" w:themeColor="text1"/>
        </w:rPr>
        <w:t>the Union</w:t>
      </w:r>
      <w:r w:rsidRPr="00421986">
        <w:rPr>
          <w:snapToGrid w:val="0"/>
          <w:color w:val="000000" w:themeColor="text1"/>
        </w:rPr>
        <w:t xml:space="preserve"> arranging for plant variety protection to be included in programs for development and assistance.  For example, inclusion of plant variety protection in the </w:t>
      </w:r>
      <w:r w:rsidRPr="00A61EBA">
        <w:rPr>
          <w:snapToGrid w:val="0"/>
          <w:color w:val="000000" w:themeColor="text1"/>
        </w:rPr>
        <w:t>European Union</w:t>
      </w:r>
      <w:r w:rsidRPr="00421986">
        <w:rPr>
          <w:snapToGrid w:val="0"/>
          <w:color w:val="000000" w:themeColor="text1"/>
        </w:rPr>
        <w:t xml:space="preserve"> IPKey programs has enhanced awareness and support at a global level. </w:t>
      </w:r>
    </w:p>
    <w:p w14:paraId="5C3A0A8B" w14:textId="77777777" w:rsidR="0090485B" w:rsidRPr="00421986" w:rsidRDefault="0090485B" w:rsidP="0090485B">
      <w:pPr>
        <w:rPr>
          <w:i/>
        </w:rPr>
      </w:pPr>
    </w:p>
    <w:p w14:paraId="39B365FD" w14:textId="77777777" w:rsidR="0090485B" w:rsidRPr="00C20F3E" w:rsidRDefault="0090485B" w:rsidP="0090485B">
      <w:pPr>
        <w:pStyle w:val="Heading5"/>
      </w:pPr>
      <w:r w:rsidRPr="00C20F3E">
        <w:t>Cooperation with other organizations and bodies</w:t>
      </w:r>
    </w:p>
    <w:p w14:paraId="325C7F8A" w14:textId="77777777" w:rsidR="0090485B" w:rsidRPr="00421986" w:rsidRDefault="0090485B" w:rsidP="0090485B"/>
    <w:p w14:paraId="2195A8CD" w14:textId="77777777" w:rsidR="0090485B" w:rsidRPr="00421986" w:rsidRDefault="0090485B" w:rsidP="0090485B">
      <w:pPr>
        <w:tabs>
          <w:tab w:val="left" w:pos="851"/>
        </w:tabs>
        <w:rPr>
          <w:color w:val="000000" w:themeColor="text1"/>
        </w:rPr>
      </w:pPr>
      <w:r w:rsidRPr="00421986">
        <w:rPr>
          <w:color w:val="000000" w:themeColor="text1"/>
        </w:rPr>
        <w:t>UPOV</w:t>
      </w:r>
      <w:r>
        <w:rPr>
          <w:color w:val="000000" w:themeColor="text1"/>
        </w:rPr>
        <w:t>’</w:t>
      </w:r>
      <w:r w:rsidRPr="00421986">
        <w:rPr>
          <w:color w:val="000000" w:themeColor="text1"/>
        </w:rPr>
        <w:t>s cooperation with WIPO is an important means of providing assistance to States and relevant orga</w:t>
      </w:r>
      <w:r>
        <w:rPr>
          <w:color w:val="000000" w:themeColor="text1"/>
        </w:rPr>
        <w:t>nizations in an effective way.</w:t>
      </w:r>
    </w:p>
    <w:p w14:paraId="057987E2" w14:textId="77777777" w:rsidR="0090485B" w:rsidRPr="00421986" w:rsidRDefault="0090485B" w:rsidP="0090485B">
      <w:pPr>
        <w:rPr>
          <w:color w:val="000000" w:themeColor="text1"/>
        </w:rPr>
      </w:pPr>
    </w:p>
    <w:p w14:paraId="225EA08D" w14:textId="77777777" w:rsidR="0090485B" w:rsidRPr="00421986" w:rsidRDefault="0090485B" w:rsidP="0090485B">
      <w:pPr>
        <w:tabs>
          <w:tab w:val="left" w:pos="851"/>
        </w:tabs>
        <w:rPr>
          <w:color w:val="000000" w:themeColor="text1"/>
        </w:rPr>
      </w:pPr>
      <w:r w:rsidRPr="00421986">
        <w:rPr>
          <w:color w:val="000000" w:themeColor="text1"/>
        </w:rPr>
        <w:t xml:space="preserve">The </w:t>
      </w:r>
      <w:r w:rsidRPr="00421986">
        <w:rPr>
          <w:color w:val="000000" w:themeColor="text1"/>
          <w:szCs w:val="24"/>
        </w:rPr>
        <w:t>EAPVP Forum</w:t>
      </w:r>
      <w:r w:rsidRPr="00421986">
        <w:rPr>
          <w:color w:val="000000" w:themeColor="text1"/>
        </w:rPr>
        <w:t xml:space="preserve"> works </w:t>
      </w:r>
      <w:r w:rsidRPr="00421986">
        <w:rPr>
          <w:color w:val="000000" w:themeColor="text1"/>
          <w:szCs w:val="24"/>
        </w:rPr>
        <w:t xml:space="preserve">to facilitate the improvement of the implementation and the harmonization of the plant variety protection system in the Asian region and the </w:t>
      </w:r>
      <w:r w:rsidRPr="00421986">
        <w:rPr>
          <w:color w:val="000000" w:themeColor="text1"/>
        </w:rPr>
        <w:t xml:space="preserve">Office of </w:t>
      </w:r>
      <w:r>
        <w:rPr>
          <w:color w:val="000000" w:themeColor="text1"/>
        </w:rPr>
        <w:t>the Union</w:t>
      </w:r>
      <w:r w:rsidRPr="00421986">
        <w:rPr>
          <w:color w:val="000000" w:themeColor="text1"/>
        </w:rPr>
        <w:t xml:space="preserve"> will continue to work with the Forum in accordance with UPOV</w:t>
      </w:r>
      <w:r>
        <w:rPr>
          <w:color w:val="000000" w:themeColor="text1"/>
        </w:rPr>
        <w:t>’</w:t>
      </w:r>
      <w:r w:rsidRPr="00421986">
        <w:rPr>
          <w:color w:val="000000" w:themeColor="text1"/>
        </w:rPr>
        <w:t>s priorities for providing assistance</w:t>
      </w:r>
      <w:r w:rsidRPr="00421986">
        <w:rPr>
          <w:color w:val="000000" w:themeColor="text1"/>
          <w:szCs w:val="24"/>
        </w:rPr>
        <w:t>.</w:t>
      </w:r>
      <w:r w:rsidRPr="00421986">
        <w:rPr>
          <w:color w:val="000000" w:themeColor="text1"/>
        </w:rPr>
        <w:t xml:space="preserve"> </w:t>
      </w:r>
    </w:p>
    <w:p w14:paraId="23420496" w14:textId="77777777" w:rsidR="0090485B" w:rsidRPr="00421986" w:rsidRDefault="0090485B" w:rsidP="0090485B"/>
    <w:p w14:paraId="36B6AD48" w14:textId="77777777" w:rsidR="0090485B" w:rsidRPr="00421986" w:rsidRDefault="0090485B" w:rsidP="0090485B">
      <w:pPr>
        <w:tabs>
          <w:tab w:val="left" w:pos="851"/>
        </w:tabs>
        <w:autoSpaceDE w:val="0"/>
        <w:autoSpaceDN w:val="0"/>
        <w:adjustRightInd w:val="0"/>
      </w:pPr>
      <w:r w:rsidRPr="00421986">
        <w:t>UPOV member authorities play an important role in helping to identify funding prospects from other government sec</w:t>
      </w:r>
      <w:r>
        <w:t>tors in order to increase extra</w:t>
      </w:r>
      <w:r w:rsidRPr="00421986">
        <w:t xml:space="preserve">budgetary funds.  An example of such an approach is the project on </w:t>
      </w:r>
      <w:r>
        <w:t>“</w:t>
      </w:r>
      <w:r w:rsidRPr="00421986">
        <w:t>Reinforcement and Promotion of the OAPI Plant Variety Protection System in the OAPI Member States</w:t>
      </w:r>
      <w:r>
        <w:t>”</w:t>
      </w:r>
      <w:r w:rsidRPr="00421986">
        <w:t xml:space="preserve">, submitted for financing under the </w:t>
      </w:r>
      <w:r>
        <w:t>“</w:t>
      </w:r>
      <w:r w:rsidRPr="00421986">
        <w:t>TradeCom II</w:t>
      </w:r>
      <w:r>
        <w:t>”</w:t>
      </w:r>
      <w:r w:rsidRPr="00421986">
        <w:t xml:space="preserve">, the African, Caribbean and Pacific Group of States (ACP) Trade Capacity Building Programme funded by the European Union.  </w:t>
      </w:r>
    </w:p>
    <w:p w14:paraId="1922853D" w14:textId="77777777" w:rsidR="0090485B" w:rsidRDefault="0090485B" w:rsidP="0090485B">
      <w:pPr>
        <w:rPr>
          <w:i/>
        </w:rPr>
      </w:pPr>
    </w:p>
    <w:p w14:paraId="5C5E4615" w14:textId="77777777" w:rsidR="0090485B" w:rsidRPr="00C20F3E" w:rsidRDefault="0090485B" w:rsidP="0090485B">
      <w:pPr>
        <w:pStyle w:val="Heading5"/>
      </w:pPr>
      <w:r w:rsidRPr="00C20F3E">
        <w:t>Training courses on plant variety protection</w:t>
      </w:r>
    </w:p>
    <w:p w14:paraId="27B37410" w14:textId="77777777" w:rsidR="0090485B" w:rsidRPr="00421986" w:rsidRDefault="0090485B" w:rsidP="0090485B"/>
    <w:p w14:paraId="2A785AE3" w14:textId="77777777" w:rsidR="0090485B" w:rsidRPr="00421986" w:rsidRDefault="0090485B" w:rsidP="0090485B">
      <w:pPr>
        <w:tabs>
          <w:tab w:val="left" w:pos="851"/>
        </w:tabs>
        <w:rPr>
          <w:rFonts w:cs="Arial"/>
          <w:color w:val="000000" w:themeColor="text1"/>
          <w:spacing w:val="-2"/>
        </w:rPr>
      </w:pPr>
      <w:r w:rsidRPr="00421986">
        <w:rPr>
          <w:rFonts w:cs="Arial"/>
          <w:color w:val="000000" w:themeColor="text1"/>
        </w:rPr>
        <w:t xml:space="preserve">A number of members of </w:t>
      </w:r>
      <w:r>
        <w:rPr>
          <w:rFonts w:cs="Arial"/>
          <w:color w:val="000000" w:themeColor="text1"/>
        </w:rPr>
        <w:t>the Union</w:t>
      </w:r>
      <w:r w:rsidRPr="00421986">
        <w:rPr>
          <w:rFonts w:cs="Arial"/>
          <w:color w:val="000000" w:themeColor="text1"/>
        </w:rPr>
        <w:t xml:space="preserve"> provide training courses in plant variety protection according to the </w:t>
      </w:r>
      <w:r>
        <w:rPr>
          <w:rFonts w:cs="Arial"/>
          <w:color w:val="000000" w:themeColor="text1"/>
        </w:rPr>
        <w:t>UPOV Convention</w:t>
      </w:r>
      <w:r w:rsidRPr="00421986">
        <w:rPr>
          <w:rFonts w:cs="Arial"/>
          <w:color w:val="000000" w:themeColor="text1"/>
        </w:rPr>
        <w:t xml:space="preserve"> (e.g. the </w:t>
      </w:r>
      <w:r>
        <w:rPr>
          <w:rFonts w:cs="Arial"/>
          <w:color w:val="000000" w:themeColor="text1"/>
        </w:rPr>
        <w:t>“</w:t>
      </w:r>
      <w:r w:rsidRPr="00421986">
        <w:rPr>
          <w:rFonts w:cs="Arial"/>
          <w:color w:val="000000" w:themeColor="text1"/>
        </w:rPr>
        <w:t>Training Course on the Protection of Plant Breeders</w:t>
      </w:r>
      <w:r>
        <w:rPr>
          <w:rFonts w:cs="Arial"/>
          <w:color w:val="000000" w:themeColor="text1"/>
        </w:rPr>
        <w:t>’</w:t>
      </w:r>
      <w:r w:rsidRPr="00421986">
        <w:rPr>
          <w:rFonts w:cs="Arial"/>
          <w:color w:val="000000" w:themeColor="text1"/>
        </w:rPr>
        <w:t xml:space="preserve"> Rights</w:t>
      </w:r>
      <w:r>
        <w:rPr>
          <w:rFonts w:cs="Arial"/>
          <w:color w:val="000000" w:themeColor="text1"/>
        </w:rPr>
        <w:t>”</w:t>
      </w:r>
      <w:r w:rsidRPr="00421986">
        <w:rPr>
          <w:rFonts w:cs="Arial"/>
          <w:color w:val="000000" w:themeColor="text1"/>
        </w:rPr>
        <w:t xml:space="preserve">, organized by the Japan International Cooperation Agency (JICA) (Japan);  the </w:t>
      </w:r>
      <w:r>
        <w:rPr>
          <w:rFonts w:cs="Arial"/>
          <w:color w:val="000000" w:themeColor="text1"/>
        </w:rPr>
        <w:t>“</w:t>
      </w:r>
      <w:r w:rsidRPr="00FC25EE">
        <w:rPr>
          <w:rFonts w:cs="Arial"/>
          <w:color w:val="000000" w:themeColor="text1"/>
        </w:rPr>
        <w:t>Plant breeders</w:t>
      </w:r>
      <w:r>
        <w:rPr>
          <w:rFonts w:cs="Arial"/>
          <w:color w:val="000000" w:themeColor="text1"/>
        </w:rPr>
        <w:t>’</w:t>
      </w:r>
      <w:r w:rsidRPr="00FC25EE">
        <w:rPr>
          <w:rFonts w:cs="Arial"/>
          <w:color w:val="000000" w:themeColor="text1"/>
        </w:rPr>
        <w:t xml:space="preserve"> rights for food security and economic development training course</w:t>
      </w:r>
      <w:r>
        <w:rPr>
          <w:rFonts w:cs="Arial"/>
          <w:color w:val="000000" w:themeColor="text1"/>
        </w:rPr>
        <w:t>”</w:t>
      </w:r>
      <w:r w:rsidRPr="00421986">
        <w:rPr>
          <w:rFonts w:cs="Arial"/>
          <w:color w:val="000000" w:themeColor="text1"/>
        </w:rPr>
        <w:t xml:space="preserve">, organized by Naktuinbouw (Netherlands);  and the </w:t>
      </w:r>
      <w:r>
        <w:rPr>
          <w:rFonts w:cs="Arial"/>
          <w:color w:val="000000" w:themeColor="text1"/>
        </w:rPr>
        <w:t>“</w:t>
      </w:r>
      <w:r w:rsidRPr="00421986">
        <w:rPr>
          <w:rFonts w:cs="Arial"/>
          <w:color w:val="000000" w:themeColor="text1"/>
        </w:rPr>
        <w:t>Training Course on Plant Variety Protection</w:t>
      </w:r>
      <w:r>
        <w:rPr>
          <w:rFonts w:cs="Arial"/>
          <w:color w:val="000000" w:themeColor="text1"/>
        </w:rPr>
        <w:t>”</w:t>
      </w:r>
      <w:r w:rsidRPr="00421986">
        <w:rPr>
          <w:rFonts w:cs="Arial"/>
          <w:color w:val="000000" w:themeColor="text1"/>
        </w:rPr>
        <w:t>, organized by the Korean Seed &amp; Variety Service (KSVS) and the Korean International Cooperation Agency (KOICA) (Republic of Korea))</w:t>
      </w:r>
      <w:r w:rsidRPr="00421986">
        <w:rPr>
          <w:rFonts w:cs="Arial"/>
          <w:color w:val="000000" w:themeColor="text1"/>
          <w:spacing w:val="-2"/>
        </w:rPr>
        <w:t>.</w:t>
      </w:r>
    </w:p>
    <w:p w14:paraId="66437E78" w14:textId="77777777" w:rsidR="0090485B" w:rsidRPr="00421986" w:rsidRDefault="0090485B" w:rsidP="0090485B">
      <w:pPr>
        <w:rPr>
          <w:rFonts w:cs="Arial"/>
          <w:color w:val="000000" w:themeColor="text1"/>
          <w:spacing w:val="-2"/>
        </w:rPr>
      </w:pPr>
    </w:p>
    <w:p w14:paraId="4657B0CA" w14:textId="77777777" w:rsidR="0090485B" w:rsidRPr="00421986" w:rsidRDefault="0090485B" w:rsidP="0090485B">
      <w:pPr>
        <w:tabs>
          <w:tab w:val="left" w:pos="851"/>
        </w:tabs>
        <w:rPr>
          <w:i/>
        </w:rPr>
      </w:pPr>
      <w:r w:rsidRPr="00421986">
        <w:rPr>
          <w:rFonts w:cs="Arial"/>
          <w:color w:val="000000" w:themeColor="text1"/>
          <w:spacing w:val="-2"/>
        </w:rPr>
        <w:t xml:space="preserve">In the </w:t>
      </w:r>
      <w:r>
        <w:t>2022</w:t>
      </w:r>
      <w:r>
        <w:noBreakHyphen/>
        <w:t>2023</w:t>
      </w:r>
      <w:r w:rsidRPr="00421986">
        <w:t xml:space="preserve"> </w:t>
      </w:r>
      <w:r>
        <w:rPr>
          <w:rFonts w:cs="Arial"/>
          <w:color w:val="000000" w:themeColor="text1"/>
          <w:spacing w:val="-2"/>
        </w:rPr>
        <w:t>biennium</w:t>
      </w:r>
      <w:r w:rsidRPr="00421986">
        <w:rPr>
          <w:rFonts w:cs="Arial"/>
          <w:color w:val="000000" w:themeColor="text1"/>
          <w:spacing w:val="-2"/>
        </w:rPr>
        <w:t xml:space="preserve">, </w:t>
      </w:r>
      <w:r w:rsidRPr="00421986">
        <w:t>in conjunction with relevant partners, it is proposed to develop an international curriculum leading to UPOV-recognized qualifications.</w:t>
      </w:r>
    </w:p>
    <w:p w14:paraId="2D25FE24" w14:textId="77777777" w:rsidR="0090485B" w:rsidRDefault="0090485B" w:rsidP="0090485B"/>
    <w:p w14:paraId="25936CDE" w14:textId="77777777" w:rsidR="0090485B" w:rsidRPr="00C20F3E" w:rsidRDefault="0090485B" w:rsidP="0090485B">
      <w:pPr>
        <w:pStyle w:val="Heading5"/>
      </w:pPr>
      <w:r w:rsidRPr="00C20F3E">
        <w:t>Academic courses</w:t>
      </w:r>
    </w:p>
    <w:p w14:paraId="23C4468F" w14:textId="77777777" w:rsidR="0090485B" w:rsidRPr="00421986" w:rsidRDefault="0090485B" w:rsidP="0090485B">
      <w:pPr>
        <w:tabs>
          <w:tab w:val="left" w:pos="851"/>
        </w:tabs>
        <w:rPr>
          <w:color w:val="000000" w:themeColor="text1"/>
        </w:rPr>
      </w:pPr>
    </w:p>
    <w:p w14:paraId="3BD3A17C" w14:textId="77777777" w:rsidR="0090485B" w:rsidRPr="00421986" w:rsidRDefault="0090485B" w:rsidP="0090485B">
      <w:pPr>
        <w:tabs>
          <w:tab w:val="left" w:pos="851"/>
        </w:tabs>
      </w:pPr>
      <w:r w:rsidRPr="00421986">
        <w:t xml:space="preserve">Modules on </w:t>
      </w:r>
      <w:r w:rsidRPr="00421986">
        <w:rPr>
          <w:snapToGrid w:val="0"/>
        </w:rPr>
        <w:t>plant variety protection</w:t>
      </w:r>
      <w:r w:rsidRPr="00421986">
        <w:t xml:space="preserve"> in intellectual property courses within degree and post-graduate programs are an important means of increasing understanding of the UPOV system.  The Office of </w:t>
      </w:r>
      <w:r>
        <w:t>the Union</w:t>
      </w:r>
      <w:r w:rsidRPr="00421986">
        <w:t xml:space="preserve"> will explore possibilities to increase the number of academic institutes and training institutions that incorporate information on the UPOV system in relevant courses.</w:t>
      </w:r>
    </w:p>
    <w:p w14:paraId="40E6DB1A" w14:textId="77777777" w:rsidR="0090485B" w:rsidRDefault="0090485B" w:rsidP="0090485B"/>
    <w:p w14:paraId="7370521A" w14:textId="77777777" w:rsidR="0090485B" w:rsidRPr="00C20F3E" w:rsidRDefault="0090485B" w:rsidP="0090485B">
      <w:pPr>
        <w:pStyle w:val="Heading5"/>
      </w:pPr>
      <w:r w:rsidRPr="00C20F3E">
        <w:t>Languages</w:t>
      </w:r>
    </w:p>
    <w:p w14:paraId="370AB199" w14:textId="77777777" w:rsidR="0090485B" w:rsidRPr="00421986" w:rsidRDefault="0090485B" w:rsidP="0090485B"/>
    <w:p w14:paraId="304C01B1" w14:textId="77777777" w:rsidR="0090485B" w:rsidRPr="00421986" w:rsidRDefault="0090485B" w:rsidP="0090485B">
      <w:pPr>
        <w:tabs>
          <w:tab w:val="left" w:pos="851"/>
        </w:tabs>
      </w:pPr>
      <w:r w:rsidRPr="00421986">
        <w:t xml:space="preserve">As with Sub-Program UV.2, success in this sub-program will be increased by making UPOV material and resources available in a wider range of languages.  </w:t>
      </w:r>
    </w:p>
    <w:p w14:paraId="6EE9A53C" w14:textId="77777777" w:rsidR="0090485B" w:rsidRDefault="0090485B" w:rsidP="0090485B"/>
    <w:p w14:paraId="1474E902" w14:textId="77777777" w:rsidR="0090485B" w:rsidRPr="00421986" w:rsidRDefault="0090485B" w:rsidP="0090485B"/>
    <w:p w14:paraId="641BAF17" w14:textId="77777777" w:rsidR="0090485B" w:rsidRPr="00C20F3E" w:rsidRDefault="0090485B" w:rsidP="0090485B">
      <w:pPr>
        <w:pStyle w:val="Heading3"/>
      </w:pPr>
      <w:bookmarkStart w:id="479" w:name="_Toc77931044"/>
      <w:r w:rsidRPr="00C20F3E">
        <w:t>Activities</w:t>
      </w:r>
      <w:bookmarkEnd w:id="479"/>
    </w:p>
    <w:p w14:paraId="1518FC7F" w14:textId="77777777" w:rsidR="0090485B" w:rsidRPr="00421986" w:rsidRDefault="0090485B" w:rsidP="0090485B"/>
    <w:p w14:paraId="7A9B4044" w14:textId="77777777" w:rsidR="0090485B" w:rsidRPr="00421986" w:rsidRDefault="0090485B" w:rsidP="0090485B">
      <w:pPr>
        <w:numPr>
          <w:ilvl w:val="0"/>
          <w:numId w:val="3"/>
        </w:numPr>
        <w:tabs>
          <w:tab w:val="clear" w:pos="720"/>
        </w:tabs>
        <w:spacing w:after="120"/>
        <w:ind w:left="1134" w:hanging="567"/>
      </w:pPr>
      <w:r w:rsidRPr="00421986">
        <w:t>Awareness</w:t>
      </w:r>
      <w:r w:rsidRPr="00421986">
        <w:rPr>
          <w:snapToGrid w:val="0"/>
        </w:rPr>
        <w:t>-raising events</w:t>
      </w:r>
    </w:p>
    <w:p w14:paraId="30FD7062" w14:textId="77777777" w:rsidR="0090485B" w:rsidRPr="00421986" w:rsidRDefault="0090485B" w:rsidP="0090485B">
      <w:pPr>
        <w:numPr>
          <w:ilvl w:val="0"/>
          <w:numId w:val="3"/>
        </w:numPr>
        <w:tabs>
          <w:tab w:val="clear" w:pos="720"/>
        </w:tabs>
        <w:spacing w:after="120"/>
        <w:ind w:left="1134" w:hanging="567"/>
      </w:pPr>
      <w:r w:rsidRPr="00421986">
        <w:t>Assistance in drafting legislation</w:t>
      </w:r>
    </w:p>
    <w:p w14:paraId="05CD26DD" w14:textId="77777777" w:rsidR="0090485B" w:rsidRPr="00421986" w:rsidRDefault="0090485B" w:rsidP="0090485B">
      <w:pPr>
        <w:numPr>
          <w:ilvl w:val="0"/>
          <w:numId w:val="3"/>
        </w:numPr>
        <w:tabs>
          <w:tab w:val="clear" w:pos="720"/>
        </w:tabs>
        <w:spacing w:after="120"/>
        <w:ind w:left="1134" w:hanging="567"/>
      </w:pPr>
      <w:r w:rsidRPr="00421986">
        <w:t>Development and operation of distance learning courses</w:t>
      </w:r>
    </w:p>
    <w:p w14:paraId="2A5895CC" w14:textId="77777777" w:rsidR="0090485B" w:rsidRPr="00421986" w:rsidRDefault="0090485B" w:rsidP="0090485B">
      <w:pPr>
        <w:numPr>
          <w:ilvl w:val="0"/>
          <w:numId w:val="3"/>
        </w:numPr>
        <w:tabs>
          <w:tab w:val="clear" w:pos="720"/>
        </w:tabs>
        <w:spacing w:after="120"/>
        <w:ind w:left="1134" w:hanging="567"/>
      </w:pPr>
      <w:r w:rsidRPr="00421986">
        <w:t>Development of materials (videos, practical guides)</w:t>
      </w:r>
    </w:p>
    <w:p w14:paraId="23777EB7" w14:textId="77777777" w:rsidR="0090485B" w:rsidRPr="00421986" w:rsidRDefault="0090485B" w:rsidP="0090485B">
      <w:pPr>
        <w:numPr>
          <w:ilvl w:val="0"/>
          <w:numId w:val="3"/>
        </w:numPr>
        <w:tabs>
          <w:tab w:val="clear" w:pos="720"/>
        </w:tabs>
        <w:spacing w:after="120"/>
        <w:ind w:left="1134" w:hanging="567"/>
      </w:pPr>
      <w:r w:rsidRPr="00421986">
        <w:t>Virtual training and assistance activities</w:t>
      </w:r>
    </w:p>
    <w:p w14:paraId="3A44F086" w14:textId="77777777" w:rsidR="0090485B" w:rsidRPr="00421986" w:rsidRDefault="0090485B" w:rsidP="0090485B">
      <w:pPr>
        <w:numPr>
          <w:ilvl w:val="0"/>
          <w:numId w:val="3"/>
        </w:numPr>
        <w:tabs>
          <w:tab w:val="clear" w:pos="720"/>
        </w:tabs>
        <w:spacing w:after="120"/>
        <w:ind w:left="1134" w:hanging="567"/>
      </w:pPr>
      <w:r w:rsidRPr="00421986">
        <w:rPr>
          <w:i/>
        </w:rPr>
        <w:t>In situ</w:t>
      </w:r>
      <w:r w:rsidRPr="00421986">
        <w:t xml:space="preserve"> training and assistance activities</w:t>
      </w:r>
    </w:p>
    <w:p w14:paraId="01CC0772" w14:textId="77777777" w:rsidR="0090485B" w:rsidRPr="00421986" w:rsidRDefault="0090485B" w:rsidP="0090485B">
      <w:pPr>
        <w:numPr>
          <w:ilvl w:val="0"/>
          <w:numId w:val="3"/>
        </w:numPr>
        <w:tabs>
          <w:tab w:val="clear" w:pos="720"/>
        </w:tabs>
        <w:spacing w:after="120"/>
        <w:ind w:left="1134" w:hanging="567"/>
      </w:pPr>
      <w:r w:rsidRPr="00421986">
        <w:t xml:space="preserve">Development </w:t>
      </w:r>
      <w:r>
        <w:t xml:space="preserve">of </w:t>
      </w:r>
      <w:r w:rsidRPr="00421986">
        <w:t>an international curriculum leading to UPOV-recognized qualifications</w:t>
      </w:r>
    </w:p>
    <w:p w14:paraId="0B464DD3" w14:textId="77777777" w:rsidR="0090485B" w:rsidRPr="00421986" w:rsidRDefault="0090485B" w:rsidP="0090485B">
      <w:pPr>
        <w:numPr>
          <w:ilvl w:val="0"/>
          <w:numId w:val="3"/>
        </w:numPr>
        <w:tabs>
          <w:tab w:val="clear" w:pos="720"/>
        </w:tabs>
        <w:spacing w:after="120"/>
        <w:ind w:left="1134" w:hanging="567"/>
      </w:pPr>
      <w:r w:rsidRPr="00421986">
        <w:t>Support for projects to introduce and implement the UPOV system</w:t>
      </w:r>
    </w:p>
    <w:p w14:paraId="23244DFB" w14:textId="77777777" w:rsidR="0090485B" w:rsidRDefault="0090485B" w:rsidP="0090485B">
      <w:pPr>
        <w:tabs>
          <w:tab w:val="left" w:pos="567"/>
        </w:tabs>
      </w:pPr>
    </w:p>
    <w:p w14:paraId="42D054BD" w14:textId="77777777" w:rsidR="0090485B" w:rsidRPr="00C20F3E" w:rsidRDefault="0090485B" w:rsidP="0090485B">
      <w:pPr>
        <w:pStyle w:val="Heading3"/>
      </w:pPr>
      <w:bookmarkStart w:id="480" w:name="_Toc77931045"/>
      <w:r w:rsidRPr="00C20F3E">
        <w:lastRenderedPageBreak/>
        <w:t>Expected Results and Performance Indicators</w:t>
      </w:r>
      <w:bookmarkEnd w:id="480"/>
    </w:p>
    <w:p w14:paraId="4D4FBAF4" w14:textId="77777777" w:rsidR="0090485B" w:rsidRPr="00421986" w:rsidRDefault="0090485B" w:rsidP="0090485B">
      <w:pPr>
        <w:keepNext/>
        <w:tabs>
          <w:tab w:val="left" w:pos="567"/>
        </w:tabs>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90485B" w:rsidRPr="00B917D2" w14:paraId="57589755" w14:textId="77777777" w:rsidTr="008F07B7">
        <w:trPr>
          <w:cantSplit/>
          <w:trHeight w:val="218"/>
          <w:tblHeader/>
        </w:trPr>
        <w:tc>
          <w:tcPr>
            <w:tcW w:w="4065" w:type="dxa"/>
            <w:tcBorders>
              <w:bottom w:val="single" w:sz="4" w:space="0" w:color="A6A6A6" w:themeColor="background1" w:themeShade="A6"/>
            </w:tcBorders>
            <w:shd w:val="clear" w:color="auto" w:fill="C6CFD7" w:themeFill="accent3" w:themeFillTint="66"/>
          </w:tcPr>
          <w:p w14:paraId="06C3EE2C" w14:textId="77777777" w:rsidR="0090485B" w:rsidRPr="008B40C0" w:rsidRDefault="0090485B" w:rsidP="008F07B7">
            <w:pPr>
              <w:ind w:left="397" w:hanging="397"/>
              <w:jc w:val="center"/>
              <w:rPr>
                <w:b/>
                <w:color w:val="000000"/>
              </w:rPr>
            </w:pPr>
            <w:r w:rsidRPr="008B40C0">
              <w:rPr>
                <w:b/>
                <w:color w:val="000000"/>
              </w:rPr>
              <w:t>Expected Results</w:t>
            </w:r>
          </w:p>
        </w:tc>
        <w:tc>
          <w:tcPr>
            <w:tcW w:w="5486" w:type="dxa"/>
            <w:tcBorders>
              <w:bottom w:val="single" w:sz="4" w:space="0" w:color="A6A6A6" w:themeColor="background1" w:themeShade="A6"/>
            </w:tcBorders>
            <w:shd w:val="clear" w:color="auto" w:fill="C6CFD7" w:themeFill="accent3" w:themeFillTint="66"/>
          </w:tcPr>
          <w:p w14:paraId="2594C50F" w14:textId="77777777" w:rsidR="0090485B" w:rsidRPr="008B40C0" w:rsidRDefault="0090485B" w:rsidP="008F07B7">
            <w:pPr>
              <w:jc w:val="center"/>
              <w:rPr>
                <w:b/>
                <w:color w:val="000000"/>
              </w:rPr>
            </w:pPr>
            <w:r w:rsidRPr="008B40C0">
              <w:rPr>
                <w:b/>
                <w:color w:val="000000"/>
              </w:rPr>
              <w:t>Performance Indicators</w:t>
            </w:r>
          </w:p>
        </w:tc>
      </w:tr>
      <w:tr w:rsidR="0090485B" w:rsidRPr="00421986" w14:paraId="0E2BF3B0" w14:textId="77777777" w:rsidTr="008F07B7">
        <w:trPr>
          <w:cantSplit/>
          <w:trHeight w:val="4057"/>
        </w:trPr>
        <w:tc>
          <w:tcPr>
            <w:tcW w:w="4065" w:type="dxa"/>
            <w:tcBorders>
              <w:top w:val="single" w:sz="4" w:space="0" w:color="A6A6A6" w:themeColor="background1" w:themeShade="A6"/>
            </w:tcBorders>
          </w:tcPr>
          <w:p w14:paraId="7CB26B45" w14:textId="77777777" w:rsidR="0090485B" w:rsidRPr="00421986" w:rsidRDefault="0090485B" w:rsidP="008F07B7">
            <w:pPr>
              <w:ind w:left="326" w:hanging="326"/>
              <w:jc w:val="left"/>
              <w:rPr>
                <w:color w:val="000000"/>
              </w:rPr>
            </w:pPr>
            <w:r>
              <w:rPr>
                <w:color w:val="000000"/>
              </w:rPr>
              <w:t>9.</w:t>
            </w:r>
            <w:r w:rsidRPr="00421986">
              <w:rPr>
                <w:color w:val="000000"/>
              </w:rPr>
              <w:tab/>
            </w:r>
            <w:r>
              <w:rPr>
                <w:color w:val="000000"/>
              </w:rPr>
              <w:t>Enhanced</w:t>
            </w:r>
            <w:r w:rsidRPr="00421986">
              <w:rPr>
                <w:color w:val="000000"/>
              </w:rPr>
              <w:t xml:space="preserve"> awareness of the role of plant variety protection in accordance with the </w:t>
            </w:r>
            <w:r>
              <w:rPr>
                <w:color w:val="000000"/>
              </w:rPr>
              <w:t>UPOV Convention</w:t>
            </w:r>
            <w:r w:rsidRPr="00421986">
              <w:rPr>
                <w:color w:val="000000"/>
              </w:rPr>
              <w:t xml:space="preserve"> </w:t>
            </w:r>
          </w:p>
        </w:tc>
        <w:tc>
          <w:tcPr>
            <w:tcW w:w="5486" w:type="dxa"/>
            <w:tcBorders>
              <w:top w:val="single" w:sz="4" w:space="0" w:color="A6A6A6" w:themeColor="background1" w:themeShade="A6"/>
            </w:tcBorders>
          </w:tcPr>
          <w:p w14:paraId="63CA3CA3" w14:textId="77777777" w:rsidR="0090485B" w:rsidRPr="00421986" w:rsidRDefault="0090485B" w:rsidP="008F07B7">
            <w:pPr>
              <w:ind w:left="397" w:hanging="397"/>
              <w:jc w:val="left"/>
            </w:pPr>
            <w:r>
              <w:t>(a</w:t>
            </w:r>
            <w:r w:rsidRPr="00421986">
              <w:t>)</w:t>
            </w:r>
            <w:r w:rsidRPr="00421986">
              <w:tab/>
              <w:t xml:space="preserve">States and organizations that become members of </w:t>
            </w:r>
            <w:r>
              <w:t>the Union</w:t>
            </w:r>
            <w:r w:rsidRPr="00421986">
              <w:t>;</w:t>
            </w:r>
          </w:p>
          <w:p w14:paraId="60851BBE" w14:textId="77777777" w:rsidR="0090485B" w:rsidRPr="00421986" w:rsidRDefault="0090485B" w:rsidP="008F07B7">
            <w:pPr>
              <w:ind w:left="397" w:hanging="397"/>
              <w:jc w:val="left"/>
            </w:pPr>
            <w:r>
              <w:t>(b</w:t>
            </w:r>
            <w:r w:rsidRPr="00421986">
              <w:t>)</w:t>
            </w:r>
            <w:r w:rsidRPr="00421986">
              <w:tab/>
              <w:t xml:space="preserve">States that accede to or ratify the 1991 Act of the </w:t>
            </w:r>
            <w:r>
              <w:t>UPOV Convention</w:t>
            </w:r>
            <w:r w:rsidRPr="00421986">
              <w:t>;</w:t>
            </w:r>
          </w:p>
          <w:p w14:paraId="6D8642C1" w14:textId="77777777" w:rsidR="0090485B" w:rsidRPr="00421986" w:rsidRDefault="0090485B" w:rsidP="008F07B7">
            <w:pPr>
              <w:ind w:left="397" w:hanging="397"/>
              <w:jc w:val="left"/>
            </w:pPr>
            <w:r w:rsidRPr="00421986">
              <w:t>(</w:t>
            </w:r>
            <w:r>
              <w:t>c</w:t>
            </w:r>
            <w:r w:rsidRPr="00421986">
              <w:t>)</w:t>
            </w:r>
            <w:r w:rsidRPr="00421986">
              <w:tab/>
              <w:t xml:space="preserve">States and organizations that initiate with the Council of UPOV the procedure for becoming members of </w:t>
            </w:r>
            <w:r>
              <w:t>the Union</w:t>
            </w:r>
            <w:r w:rsidRPr="00421986">
              <w:t>;</w:t>
            </w:r>
          </w:p>
          <w:p w14:paraId="52BBD42F" w14:textId="77777777" w:rsidR="0090485B" w:rsidRDefault="0090485B" w:rsidP="008F07B7">
            <w:pPr>
              <w:ind w:left="397" w:hanging="397"/>
              <w:jc w:val="left"/>
              <w:rPr>
                <w:color w:val="000000"/>
              </w:rPr>
            </w:pPr>
            <w:r>
              <w:t>(d</w:t>
            </w:r>
            <w:r w:rsidRPr="00421986">
              <w:t>)</w:t>
            </w:r>
            <w:r w:rsidRPr="00421986">
              <w:tab/>
              <w:t>States and organizations</w:t>
            </w:r>
            <w:r w:rsidRPr="00421986">
              <w:rPr>
                <w:color w:val="000000"/>
              </w:rPr>
              <w:t xml:space="preserve"> that contact the Office of </w:t>
            </w:r>
            <w:r>
              <w:rPr>
                <w:color w:val="000000"/>
              </w:rPr>
              <w:t>the Union</w:t>
            </w:r>
            <w:r w:rsidRPr="00421986">
              <w:rPr>
                <w:color w:val="000000"/>
              </w:rPr>
              <w:t xml:space="preserve"> for assistance in the development of legislatio</w:t>
            </w:r>
            <w:r>
              <w:rPr>
                <w:color w:val="000000"/>
              </w:rPr>
              <w:t>n on plant variety protection;</w:t>
            </w:r>
          </w:p>
          <w:p w14:paraId="0AC7E279" w14:textId="77777777" w:rsidR="0090485B" w:rsidRPr="00421986" w:rsidRDefault="0090485B" w:rsidP="008F07B7">
            <w:pPr>
              <w:ind w:left="397" w:hanging="397"/>
              <w:jc w:val="left"/>
              <w:rPr>
                <w:color w:val="000000"/>
              </w:rPr>
            </w:pPr>
            <w:r>
              <w:rPr>
                <w:color w:val="000000"/>
              </w:rPr>
              <w:t>(e</w:t>
            </w:r>
            <w:r w:rsidRPr="00421986">
              <w:rPr>
                <w:color w:val="000000"/>
              </w:rPr>
              <w:t xml:space="preserve">) </w:t>
            </w:r>
            <w:r w:rsidRPr="00421986">
              <w:rPr>
                <w:color w:val="000000"/>
              </w:rPr>
              <w:tab/>
            </w:r>
            <w:r w:rsidRPr="00421986">
              <w:t>States and organizations</w:t>
            </w:r>
            <w:r w:rsidRPr="00421986">
              <w:rPr>
                <w:color w:val="000000"/>
              </w:rPr>
              <w:t xml:space="preserve"> provided with information at UPOV activities;</w:t>
            </w:r>
          </w:p>
          <w:p w14:paraId="3147F5CE" w14:textId="77777777" w:rsidR="0090485B" w:rsidRPr="00421986" w:rsidRDefault="0090485B" w:rsidP="008F07B7">
            <w:pPr>
              <w:ind w:left="397" w:hanging="397"/>
              <w:jc w:val="left"/>
              <w:rPr>
                <w:color w:val="000000"/>
              </w:rPr>
            </w:pPr>
            <w:r>
              <w:rPr>
                <w:color w:val="000000"/>
              </w:rPr>
              <w:t>(f</w:t>
            </w:r>
            <w:r w:rsidRPr="00421986">
              <w:rPr>
                <w:color w:val="000000"/>
              </w:rPr>
              <w:t>)</w:t>
            </w:r>
            <w:r w:rsidRPr="00421986">
              <w:rPr>
                <w:color w:val="000000"/>
              </w:rPr>
              <w:tab/>
              <w:t>Participation in distance learning courses;</w:t>
            </w:r>
          </w:p>
          <w:p w14:paraId="30AD9C01" w14:textId="77777777" w:rsidR="0090485B" w:rsidRPr="00421986" w:rsidRDefault="0090485B" w:rsidP="008F07B7">
            <w:pPr>
              <w:ind w:left="397" w:hanging="397"/>
              <w:jc w:val="left"/>
              <w:rPr>
                <w:color w:val="000000"/>
              </w:rPr>
            </w:pPr>
            <w:r>
              <w:rPr>
                <w:color w:val="000000"/>
              </w:rPr>
              <w:t>(g</w:t>
            </w:r>
            <w:r w:rsidRPr="00421986">
              <w:rPr>
                <w:color w:val="000000"/>
              </w:rPr>
              <w:t>)</w:t>
            </w:r>
            <w:r w:rsidRPr="00421986">
              <w:rPr>
                <w:color w:val="000000"/>
              </w:rPr>
              <w:tab/>
              <w:t>Participation in UPOV training/assistance activities;</w:t>
            </w:r>
          </w:p>
          <w:p w14:paraId="0F46A6BC" w14:textId="77777777" w:rsidR="0090485B" w:rsidRPr="00421986" w:rsidRDefault="0090485B" w:rsidP="008F07B7">
            <w:pPr>
              <w:ind w:left="397" w:hanging="397"/>
              <w:jc w:val="left"/>
              <w:rPr>
                <w:color w:val="000000"/>
              </w:rPr>
            </w:pPr>
            <w:r>
              <w:rPr>
                <w:color w:val="000000"/>
              </w:rPr>
              <w:t>(h</w:t>
            </w:r>
            <w:r w:rsidRPr="00421986">
              <w:rPr>
                <w:color w:val="000000"/>
              </w:rPr>
              <w:t>)</w:t>
            </w:r>
            <w:r w:rsidRPr="00421986">
              <w:rPr>
                <w:color w:val="000000"/>
              </w:rPr>
              <w:tab/>
              <w:t>Participation in training/assistance activities involving UPOV staff or UPOV trainers on behalf of UPOV staff;</w:t>
            </w:r>
          </w:p>
          <w:p w14:paraId="24774201" w14:textId="77777777" w:rsidR="0090485B" w:rsidRPr="00620B7A" w:rsidRDefault="0090485B" w:rsidP="008F07B7">
            <w:pPr>
              <w:ind w:left="397" w:hanging="397"/>
              <w:jc w:val="left"/>
            </w:pPr>
            <w:r w:rsidRPr="00421986">
              <w:rPr>
                <w:color w:val="000000"/>
              </w:rPr>
              <w:t>(</w:t>
            </w:r>
            <w:r>
              <w:rPr>
                <w:color w:val="000000"/>
              </w:rPr>
              <w:t>i</w:t>
            </w:r>
            <w:r w:rsidRPr="00421986">
              <w:rPr>
                <w:color w:val="000000"/>
              </w:rPr>
              <w:t>)</w:t>
            </w:r>
            <w:r w:rsidRPr="00421986">
              <w:rPr>
                <w:color w:val="000000"/>
              </w:rPr>
              <w:tab/>
            </w:r>
            <w:r w:rsidRPr="00421986">
              <w:t xml:space="preserve">Academic institutions that include information on the UPOV system and </w:t>
            </w:r>
            <w:r>
              <w:t>which invite UPOV to contribute.</w:t>
            </w:r>
          </w:p>
        </w:tc>
      </w:tr>
      <w:tr w:rsidR="0090485B" w:rsidRPr="00421986" w14:paraId="63BD4E0C" w14:textId="77777777" w:rsidTr="008F07B7">
        <w:trPr>
          <w:cantSplit/>
        </w:trPr>
        <w:tc>
          <w:tcPr>
            <w:tcW w:w="4065" w:type="dxa"/>
          </w:tcPr>
          <w:p w14:paraId="473059D0" w14:textId="77777777" w:rsidR="0090485B" w:rsidRPr="00421986" w:rsidRDefault="0090485B" w:rsidP="008F07B7">
            <w:pPr>
              <w:ind w:left="326" w:hanging="326"/>
              <w:jc w:val="left"/>
              <w:rPr>
                <w:color w:val="000000"/>
              </w:rPr>
            </w:pPr>
            <w:r>
              <w:rPr>
                <w:color w:val="000000"/>
              </w:rPr>
              <w:t>10.</w:t>
            </w:r>
            <w:r w:rsidRPr="00421986">
              <w:rPr>
                <w:color w:val="000000"/>
              </w:rPr>
              <w:tab/>
            </w:r>
            <w:r>
              <w:rPr>
                <w:color w:val="000000"/>
              </w:rPr>
              <w:t>Development of</w:t>
            </w:r>
            <w:r w:rsidRPr="00421986">
              <w:rPr>
                <w:color w:val="000000"/>
              </w:rPr>
              <w:t xml:space="preserve"> legislation on plant variety protection in accordance with the 1991 Act of the </w:t>
            </w:r>
            <w:r>
              <w:rPr>
                <w:color w:val="000000"/>
              </w:rPr>
              <w:t>UPOV Convention</w:t>
            </w:r>
            <w:r w:rsidRPr="00421986">
              <w:rPr>
                <w:color w:val="000000"/>
              </w:rPr>
              <w:t xml:space="preserve"> </w:t>
            </w:r>
          </w:p>
        </w:tc>
        <w:tc>
          <w:tcPr>
            <w:tcW w:w="5486" w:type="dxa"/>
          </w:tcPr>
          <w:p w14:paraId="24F26737" w14:textId="77777777" w:rsidR="0090485B" w:rsidRDefault="0090485B" w:rsidP="008F07B7">
            <w:pPr>
              <w:ind w:left="397" w:hanging="397"/>
              <w:jc w:val="left"/>
              <w:rPr>
                <w:color w:val="000000"/>
              </w:rPr>
            </w:pPr>
            <w:r>
              <w:t>(a</w:t>
            </w:r>
            <w:r w:rsidRPr="00421986">
              <w:t>)</w:t>
            </w:r>
            <w:r w:rsidRPr="00421986">
              <w:tab/>
              <w:t>States and organizations receiving a positive advice from the Council;</w:t>
            </w:r>
            <w:r>
              <w:rPr>
                <w:color w:val="000000"/>
              </w:rPr>
              <w:t xml:space="preserve"> </w:t>
            </w:r>
          </w:p>
          <w:p w14:paraId="026E7CFB" w14:textId="77777777" w:rsidR="0090485B" w:rsidRPr="00472B4B" w:rsidRDefault="0090485B" w:rsidP="008F07B7">
            <w:pPr>
              <w:ind w:left="397" w:hanging="397"/>
              <w:jc w:val="left"/>
              <w:rPr>
                <w:color w:val="000000"/>
              </w:rPr>
            </w:pPr>
            <w:r>
              <w:rPr>
                <w:color w:val="000000"/>
              </w:rPr>
              <w:t>(b</w:t>
            </w:r>
            <w:r w:rsidRPr="00421986">
              <w:rPr>
                <w:color w:val="000000"/>
              </w:rPr>
              <w:t xml:space="preserve">) </w:t>
            </w:r>
            <w:r w:rsidRPr="00421986">
              <w:rPr>
                <w:color w:val="000000"/>
              </w:rPr>
              <w:tab/>
            </w:r>
            <w:r w:rsidRPr="00421986">
              <w:t>States and organizations</w:t>
            </w:r>
            <w:r w:rsidRPr="00421986">
              <w:rPr>
                <w:color w:val="000000"/>
              </w:rPr>
              <w:t xml:space="preserve"> </w:t>
            </w:r>
            <w:r>
              <w:rPr>
                <w:color w:val="000000"/>
              </w:rPr>
              <w:t>provided with comments on laws.</w:t>
            </w:r>
          </w:p>
        </w:tc>
      </w:tr>
      <w:tr w:rsidR="0090485B" w:rsidRPr="00421986" w14:paraId="6F974A74" w14:textId="77777777" w:rsidTr="008F07B7">
        <w:trPr>
          <w:cantSplit/>
          <w:trHeight w:val="2029"/>
        </w:trPr>
        <w:tc>
          <w:tcPr>
            <w:tcW w:w="4065" w:type="dxa"/>
            <w:tcBorders>
              <w:bottom w:val="single" w:sz="4" w:space="0" w:color="A6A6A6" w:themeColor="background1" w:themeShade="A6"/>
            </w:tcBorders>
          </w:tcPr>
          <w:p w14:paraId="70680A49" w14:textId="77777777" w:rsidR="0090485B" w:rsidRPr="00F809BE" w:rsidRDefault="0090485B" w:rsidP="008F07B7">
            <w:pPr>
              <w:pStyle w:val="annexiparanumbered"/>
              <w:numPr>
                <w:ilvl w:val="0"/>
                <w:numId w:val="0"/>
              </w:numPr>
              <w:ind w:left="225" w:hanging="284"/>
              <w:jc w:val="left"/>
              <w:rPr>
                <w:highlight w:val="cyan"/>
              </w:rPr>
            </w:pPr>
            <w:r w:rsidRPr="009E2EF9">
              <w:t>11</w:t>
            </w:r>
            <w:r w:rsidRPr="00C20F3E">
              <w:t xml:space="preserve">. Implementation of plant variety protection system in accordance with the </w:t>
            </w:r>
            <w:r>
              <w:t>UPOV Convention</w:t>
            </w:r>
          </w:p>
        </w:tc>
        <w:tc>
          <w:tcPr>
            <w:tcW w:w="5486" w:type="dxa"/>
            <w:tcBorders>
              <w:bottom w:val="single" w:sz="4" w:space="0" w:color="A6A6A6" w:themeColor="background1" w:themeShade="A6"/>
            </w:tcBorders>
          </w:tcPr>
          <w:p w14:paraId="625F80E3" w14:textId="77777777" w:rsidR="0090485B" w:rsidRPr="009E2EF9" w:rsidRDefault="0090485B" w:rsidP="008F07B7">
            <w:pPr>
              <w:ind w:left="397" w:hanging="397"/>
              <w:jc w:val="left"/>
              <w:rPr>
                <w:rFonts w:cs="Arial"/>
                <w:color w:val="000000"/>
              </w:rPr>
            </w:pPr>
            <w:r w:rsidRPr="009E2EF9">
              <w:rPr>
                <w:rFonts w:cs="Arial"/>
                <w:color w:val="000000"/>
              </w:rPr>
              <w:t>(a)</w:t>
            </w:r>
            <w:r w:rsidRPr="009E2EF9">
              <w:rPr>
                <w:rFonts w:cs="Arial"/>
                <w:color w:val="000000"/>
              </w:rPr>
              <w:tab/>
              <w:t>Number of applications;</w:t>
            </w:r>
          </w:p>
          <w:p w14:paraId="04E073BD" w14:textId="77777777" w:rsidR="0090485B" w:rsidRPr="009E2EF9" w:rsidRDefault="0090485B" w:rsidP="008F07B7">
            <w:pPr>
              <w:ind w:left="397" w:hanging="397"/>
              <w:jc w:val="left"/>
              <w:rPr>
                <w:rFonts w:cs="Arial"/>
                <w:color w:val="000000"/>
              </w:rPr>
            </w:pPr>
            <w:r w:rsidRPr="009E2EF9">
              <w:rPr>
                <w:rFonts w:cs="Arial"/>
                <w:color w:val="000000"/>
              </w:rPr>
              <w:t>(b)</w:t>
            </w:r>
            <w:r w:rsidRPr="009E2EF9">
              <w:rPr>
                <w:rFonts w:cs="Arial"/>
                <w:color w:val="000000"/>
              </w:rPr>
              <w:tab/>
              <w:t>Number of titles granted;</w:t>
            </w:r>
          </w:p>
          <w:p w14:paraId="31C4C306" w14:textId="77777777" w:rsidR="0090485B" w:rsidRPr="009E2EF9" w:rsidRDefault="0090485B" w:rsidP="008F07B7">
            <w:pPr>
              <w:ind w:left="397" w:hanging="397"/>
              <w:jc w:val="left"/>
              <w:rPr>
                <w:rFonts w:cs="Arial"/>
                <w:color w:val="000000"/>
              </w:rPr>
            </w:pPr>
            <w:r w:rsidRPr="009E2EF9">
              <w:rPr>
                <w:rFonts w:cs="Arial"/>
                <w:color w:val="000000"/>
              </w:rPr>
              <w:t>(c)</w:t>
            </w:r>
            <w:r w:rsidRPr="009E2EF9">
              <w:rPr>
                <w:rFonts w:cs="Arial"/>
                <w:color w:val="000000"/>
              </w:rPr>
              <w:tab/>
              <w:t>Number of titles in force;</w:t>
            </w:r>
          </w:p>
          <w:p w14:paraId="647A7AD8" w14:textId="77777777" w:rsidR="0090485B" w:rsidRPr="009E2EF9" w:rsidRDefault="0090485B" w:rsidP="008F07B7">
            <w:pPr>
              <w:ind w:left="397" w:hanging="397"/>
              <w:jc w:val="left"/>
              <w:rPr>
                <w:rFonts w:cs="Arial"/>
                <w:color w:val="000000"/>
              </w:rPr>
            </w:pPr>
            <w:r w:rsidRPr="009E2EF9">
              <w:rPr>
                <w:rFonts w:cs="Arial"/>
                <w:color w:val="000000"/>
              </w:rPr>
              <w:t>(d)</w:t>
            </w:r>
            <w:r w:rsidRPr="009E2EF9">
              <w:rPr>
                <w:rFonts w:cs="Arial"/>
                <w:color w:val="000000"/>
              </w:rPr>
              <w:tab/>
              <w:t>Number of genera/species protected by members of the Union;</w:t>
            </w:r>
          </w:p>
          <w:p w14:paraId="49C79D1D" w14:textId="77777777" w:rsidR="0090485B" w:rsidRDefault="0090485B" w:rsidP="008F07B7">
            <w:pPr>
              <w:ind w:left="397" w:hanging="397"/>
              <w:jc w:val="left"/>
              <w:rPr>
                <w:rFonts w:cs="Arial"/>
                <w:color w:val="000000"/>
              </w:rPr>
            </w:pPr>
            <w:r w:rsidRPr="009E2EF9">
              <w:rPr>
                <w:rFonts w:cs="Arial"/>
                <w:color w:val="000000"/>
              </w:rPr>
              <w:t>(e)</w:t>
            </w:r>
            <w:r w:rsidRPr="009E2EF9">
              <w:rPr>
                <w:rFonts w:cs="Arial"/>
                <w:color w:val="000000"/>
              </w:rPr>
              <w:tab/>
              <w:t>Number of genera/species for which varieties have been protected</w:t>
            </w:r>
            <w:r>
              <w:rPr>
                <w:rFonts w:cs="Arial"/>
                <w:color w:val="000000"/>
              </w:rPr>
              <w:t>;</w:t>
            </w:r>
          </w:p>
          <w:p w14:paraId="09E349EA" w14:textId="77777777" w:rsidR="0090485B" w:rsidRPr="00F809BE" w:rsidRDefault="0090485B" w:rsidP="008F07B7">
            <w:pPr>
              <w:ind w:left="397" w:hanging="397"/>
              <w:jc w:val="left"/>
              <w:rPr>
                <w:rFonts w:cs="Arial"/>
                <w:color w:val="000000"/>
                <w:highlight w:val="cyan"/>
              </w:rPr>
            </w:pPr>
            <w:r>
              <w:t>(f</w:t>
            </w:r>
            <w:r w:rsidRPr="00421986">
              <w:t>)</w:t>
            </w:r>
            <w:r w:rsidRPr="00421986">
              <w:tab/>
            </w:r>
            <w:r w:rsidRPr="00421986">
              <w:rPr>
                <w:color w:val="000000"/>
              </w:rPr>
              <w:t>Development of an international curriculum leading to UPOV-recognized qualifications</w:t>
            </w:r>
            <w:r>
              <w:rPr>
                <w:color w:val="000000"/>
              </w:rPr>
              <w:t>.</w:t>
            </w:r>
          </w:p>
        </w:tc>
      </w:tr>
    </w:tbl>
    <w:p w14:paraId="1A104A0A" w14:textId="77777777" w:rsidR="0090485B" w:rsidRPr="00421986" w:rsidRDefault="0090485B" w:rsidP="0090485B">
      <w:pPr>
        <w:jc w:val="left"/>
        <w:rPr>
          <w:b/>
        </w:rPr>
      </w:pPr>
      <w:r w:rsidRPr="00421986">
        <w:rPr>
          <w:b/>
        </w:rPr>
        <w:br w:type="page"/>
      </w:r>
    </w:p>
    <w:p w14:paraId="7DF52BE2" w14:textId="77777777" w:rsidR="0090485B" w:rsidRPr="00421986" w:rsidRDefault="0090485B" w:rsidP="0090485B">
      <w:pPr>
        <w:pStyle w:val="Heading2"/>
      </w:pPr>
      <w:bookmarkStart w:id="481" w:name="_Toc77931046"/>
      <w:r>
        <w:lastRenderedPageBreak/>
        <w:t xml:space="preserve">Sub-program UV.4:  </w:t>
      </w:r>
      <w:r w:rsidRPr="00421986">
        <w:t>External Relations</w:t>
      </w:r>
      <w:bookmarkEnd w:id="481"/>
    </w:p>
    <w:p w14:paraId="41A17D87" w14:textId="77777777" w:rsidR="0090485B" w:rsidRPr="00C20F3E" w:rsidRDefault="0090485B" w:rsidP="0090485B">
      <w:pPr>
        <w:keepNext/>
        <w:rPr>
          <w:sz w:val="22"/>
        </w:rPr>
      </w:pPr>
    </w:p>
    <w:p w14:paraId="6B598AC4" w14:textId="77777777" w:rsidR="0090485B" w:rsidRPr="00C20F3E" w:rsidRDefault="0090485B" w:rsidP="0090485B">
      <w:pPr>
        <w:pStyle w:val="Heading3"/>
      </w:pPr>
      <w:bookmarkStart w:id="482" w:name="_Toc77931047"/>
      <w:r w:rsidRPr="00C20F3E">
        <w:t>Objectives</w:t>
      </w:r>
      <w:bookmarkEnd w:id="482"/>
    </w:p>
    <w:p w14:paraId="652D8287" w14:textId="77777777" w:rsidR="0090485B" w:rsidRPr="00421986" w:rsidRDefault="0090485B" w:rsidP="0090485B">
      <w:pPr>
        <w:keepNext/>
        <w:tabs>
          <w:tab w:val="num" w:pos="567"/>
        </w:tabs>
      </w:pPr>
    </w:p>
    <w:p w14:paraId="1DF562AA" w14:textId="77777777" w:rsidR="0090485B" w:rsidRPr="00421986" w:rsidRDefault="0090485B" w:rsidP="0090485B">
      <w:pPr>
        <w:spacing w:after="60"/>
        <w:ind w:left="1134" w:hanging="567"/>
      </w:pPr>
      <w:r>
        <w:t>(a)</w:t>
      </w:r>
      <w:r>
        <w:tab/>
      </w:r>
      <w:r w:rsidRPr="00421986">
        <w:t>To broaden and enhance the understanding of the UPOV system of plant variety protection.</w:t>
      </w:r>
    </w:p>
    <w:p w14:paraId="69D6E3A1" w14:textId="77777777" w:rsidR="0090485B" w:rsidRPr="00421986" w:rsidRDefault="0090485B" w:rsidP="0090485B">
      <w:pPr>
        <w:spacing w:after="60"/>
        <w:ind w:left="1134" w:hanging="567"/>
      </w:pPr>
      <w:r>
        <w:t>(b)</w:t>
      </w:r>
      <w:r>
        <w:tab/>
      </w:r>
      <w:r w:rsidRPr="00421986">
        <w:t xml:space="preserve">To provide information on the </w:t>
      </w:r>
      <w:r>
        <w:t>UPOV Convention</w:t>
      </w:r>
      <w:r w:rsidRPr="00421986">
        <w:t xml:space="preserve"> to other intergovernmental organizations, with the aim of achieving mutual supportiveness with other international treaties.</w:t>
      </w:r>
    </w:p>
    <w:p w14:paraId="73E78974" w14:textId="77777777" w:rsidR="0090485B" w:rsidRDefault="0090485B" w:rsidP="0090485B"/>
    <w:p w14:paraId="14910B8C" w14:textId="77777777" w:rsidR="0090485B" w:rsidRPr="00421986" w:rsidRDefault="0090485B" w:rsidP="0090485B"/>
    <w:p w14:paraId="1B74BC9F" w14:textId="77777777" w:rsidR="0090485B" w:rsidRPr="00C20F3E" w:rsidRDefault="0090485B" w:rsidP="0090485B">
      <w:pPr>
        <w:pStyle w:val="Heading3"/>
      </w:pPr>
      <w:bookmarkStart w:id="483" w:name="_Toc77931048"/>
      <w:r w:rsidRPr="00C20F3E">
        <w:t>Narrative</w:t>
      </w:r>
      <w:bookmarkEnd w:id="483"/>
    </w:p>
    <w:p w14:paraId="6874F388" w14:textId="77777777" w:rsidR="0090485B" w:rsidRDefault="0090485B" w:rsidP="0090485B">
      <w:pPr>
        <w:tabs>
          <w:tab w:val="left" w:pos="567"/>
        </w:tabs>
      </w:pPr>
    </w:p>
    <w:p w14:paraId="69AF8517" w14:textId="77777777" w:rsidR="0090485B" w:rsidRPr="00C20F3E" w:rsidRDefault="0090485B" w:rsidP="0090485B">
      <w:pPr>
        <w:pStyle w:val="Heading5"/>
      </w:pPr>
      <w:bookmarkStart w:id="484" w:name="_Toc61532314"/>
      <w:bookmarkStart w:id="485" w:name="_Toc61533704"/>
      <w:r w:rsidRPr="00C20F3E">
        <w:t>Introduction</w:t>
      </w:r>
      <w:bookmarkEnd w:id="484"/>
      <w:bookmarkEnd w:id="485"/>
    </w:p>
    <w:p w14:paraId="0D91B7A6" w14:textId="77777777" w:rsidR="0090485B" w:rsidRPr="00421986" w:rsidRDefault="0090485B" w:rsidP="0090485B">
      <w:pPr>
        <w:tabs>
          <w:tab w:val="left" w:pos="567"/>
        </w:tabs>
        <w:rPr>
          <w:spacing w:val="-2"/>
        </w:rPr>
      </w:pPr>
    </w:p>
    <w:p w14:paraId="2A3F0B2F" w14:textId="77777777" w:rsidR="0090485B" w:rsidRPr="00421986" w:rsidRDefault="0090485B" w:rsidP="0090485B">
      <w:pPr>
        <w:tabs>
          <w:tab w:val="left" w:pos="851"/>
        </w:tabs>
        <w:rPr>
          <w:spacing w:val="-2"/>
        </w:rPr>
      </w:pPr>
      <w:r w:rsidRPr="00421986">
        <w:rPr>
          <w:spacing w:val="-2"/>
        </w:rPr>
        <w:t>UPOV</w:t>
      </w:r>
      <w:r>
        <w:rPr>
          <w:spacing w:val="-2"/>
        </w:rPr>
        <w:t>’</w:t>
      </w:r>
      <w:r w:rsidRPr="00421986">
        <w:rPr>
          <w:spacing w:val="-2"/>
        </w:rPr>
        <w:t>s mission is to provide and promote an effective system of plant variety protection, with the aim of encouraging the development of new varieties of plants, for the benefit of society.  The aim of this Sub</w:t>
      </w:r>
      <w:r w:rsidRPr="00421986">
        <w:rPr>
          <w:spacing w:val="-2"/>
        </w:rPr>
        <w:noBreakHyphen/>
        <w:t xml:space="preserve">program is to explain how the UPOV system encourages the development of new varieties of plants, how new varieties benefit society and the role of the UPOV system in relation to agriculture and economic development in the rural sector. </w:t>
      </w:r>
    </w:p>
    <w:p w14:paraId="4F9CE689" w14:textId="77777777" w:rsidR="0090485B" w:rsidRPr="00421986" w:rsidRDefault="0090485B" w:rsidP="0090485B">
      <w:pPr>
        <w:tabs>
          <w:tab w:val="left" w:pos="851"/>
        </w:tabs>
        <w:rPr>
          <w:spacing w:val="-2"/>
        </w:rPr>
      </w:pPr>
    </w:p>
    <w:p w14:paraId="5144F527" w14:textId="77777777" w:rsidR="0090485B" w:rsidRPr="00421986" w:rsidRDefault="0090485B" w:rsidP="0090485B">
      <w:pPr>
        <w:tabs>
          <w:tab w:val="left" w:pos="851"/>
        </w:tabs>
      </w:pPr>
      <w:r w:rsidRPr="00421986">
        <w:t>There is growing awareness of the relevance of UPOV</w:t>
      </w:r>
      <w:r>
        <w:t>’</w:t>
      </w:r>
      <w:r w:rsidRPr="00421986">
        <w:t xml:space="preserve">s mission and how this benefits society in the context of global developments. </w:t>
      </w:r>
      <w:r>
        <w:t xml:space="preserve"> </w:t>
      </w:r>
      <w:r w:rsidRPr="00421986">
        <w:t>In that context, increased efforts will be made to exchange information and experiences, including with other intergovernmental organizations, on strategies involving plant breeding and plant variety protection that address broad policy issues, particularly concerning sustainable development.</w:t>
      </w:r>
    </w:p>
    <w:p w14:paraId="5D7DBBC6" w14:textId="77777777" w:rsidR="0090485B" w:rsidRDefault="0090485B" w:rsidP="0090485B">
      <w:pPr>
        <w:tabs>
          <w:tab w:val="left" w:pos="851"/>
        </w:tabs>
        <w:rPr>
          <w:spacing w:val="-2"/>
        </w:rPr>
      </w:pPr>
    </w:p>
    <w:p w14:paraId="3B997645" w14:textId="77777777" w:rsidR="0090485B" w:rsidRPr="00C20F3E" w:rsidRDefault="0090485B" w:rsidP="0090485B">
      <w:pPr>
        <w:pStyle w:val="Heading5"/>
      </w:pPr>
      <w:r w:rsidRPr="00C20F3E">
        <w:t>Cooperation</w:t>
      </w:r>
    </w:p>
    <w:p w14:paraId="095AF8A8" w14:textId="77777777" w:rsidR="0090485B" w:rsidRPr="00421986" w:rsidRDefault="0090485B" w:rsidP="0090485B">
      <w:pPr>
        <w:tabs>
          <w:tab w:val="left" w:pos="851"/>
        </w:tabs>
        <w:rPr>
          <w:spacing w:val="-2"/>
        </w:rPr>
      </w:pPr>
    </w:p>
    <w:p w14:paraId="0201F25E" w14:textId="77777777" w:rsidR="0090485B" w:rsidRPr="00421986" w:rsidRDefault="0090485B" w:rsidP="0090485B">
      <w:pPr>
        <w:tabs>
          <w:tab w:val="left" w:pos="851"/>
        </w:tabs>
      </w:pPr>
      <w:r w:rsidRPr="00421986">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w:t>
      </w:r>
      <w:r>
        <w:t>ture Organization of the United </w:t>
      </w:r>
      <w:r w:rsidRPr="00421986">
        <w:t xml:space="preserve">Nations (FAO) including, in particular, the Governing Body of the International Treaty on Plant Genetic Resources for Food and Agriculture (ITPGRFA).  </w:t>
      </w:r>
    </w:p>
    <w:p w14:paraId="1FBBAF81" w14:textId="77777777" w:rsidR="0090485B" w:rsidRPr="00421986" w:rsidRDefault="0090485B" w:rsidP="0090485B">
      <w:pPr>
        <w:tabs>
          <w:tab w:val="left" w:pos="851"/>
        </w:tabs>
        <w:rPr>
          <w:spacing w:val="-2"/>
        </w:rPr>
      </w:pPr>
    </w:p>
    <w:p w14:paraId="7E48B9E9" w14:textId="77777777" w:rsidR="0090485B" w:rsidRPr="00421986" w:rsidRDefault="0090485B" w:rsidP="0090485B">
      <w:pPr>
        <w:tabs>
          <w:tab w:val="left" w:pos="851"/>
        </w:tabs>
        <w:rPr>
          <w:spacing w:val="-2"/>
        </w:rPr>
      </w:pPr>
      <w:r w:rsidRPr="00421986">
        <w:t>UPOV will seek to enhance communications with non-governmental organizations representing stakeholders, including b</w:t>
      </w:r>
      <w:r w:rsidRPr="00421986">
        <w:rPr>
          <w:rFonts w:cs="Arial"/>
          <w:snapToGrid w:val="0"/>
        </w:rPr>
        <w:t>reeders, farmers and civil society, in order to improve mutual understanding with a view to achieving UPOV</w:t>
      </w:r>
      <w:r>
        <w:rPr>
          <w:rFonts w:cs="Arial"/>
          <w:snapToGrid w:val="0"/>
        </w:rPr>
        <w:t>’</w:t>
      </w:r>
      <w:r w:rsidRPr="00421986">
        <w:rPr>
          <w:rFonts w:cs="Arial"/>
          <w:snapToGrid w:val="0"/>
        </w:rPr>
        <w:t>s goal of providing and promoting an effective system of plant variety protection.</w:t>
      </w:r>
    </w:p>
    <w:p w14:paraId="47110C84" w14:textId="77777777" w:rsidR="0090485B" w:rsidRPr="00421986" w:rsidRDefault="0090485B" w:rsidP="0090485B">
      <w:pPr>
        <w:tabs>
          <w:tab w:val="left" w:pos="851"/>
        </w:tabs>
        <w:rPr>
          <w:spacing w:val="-2"/>
        </w:rPr>
      </w:pPr>
    </w:p>
    <w:p w14:paraId="7419FAF1" w14:textId="77777777" w:rsidR="0090485B" w:rsidRPr="00421986" w:rsidRDefault="0090485B" w:rsidP="0090485B">
      <w:pPr>
        <w:tabs>
          <w:tab w:val="left" w:pos="851"/>
        </w:tabs>
        <w:rPr>
          <w:spacing w:val="-2"/>
        </w:rPr>
      </w:pPr>
      <w:r w:rsidRPr="00421986">
        <w:rPr>
          <w:snapToGrid w:val="0"/>
        </w:rPr>
        <w:t>The World Seed Partnership</w:t>
      </w:r>
      <w:r>
        <w:rPr>
          <w:snapToGrid w:val="0"/>
        </w:rPr>
        <w:t>’s</w:t>
      </w:r>
      <w:r w:rsidRPr="00421986">
        <w:rPr>
          <w:snapToGrid w:val="0"/>
        </w:rPr>
        <w:t xml:space="preserve"> (WSP) mission to enhance cooperation between the partner organizations (OECD, UPOV, ISTA, ISF and WFO) and to provide a focal point for information on the role of internationally harmonized seed systems in supporting sustainable agriculture (see </w:t>
      </w:r>
      <w:hyperlink r:id="rId25" w:history="1">
        <w:r w:rsidRPr="00421986">
          <w:rPr>
            <w:rStyle w:val="Hyperlink"/>
            <w:snapToGrid w:val="0"/>
          </w:rPr>
          <w:t>http://www.worldseedpartnership.org/</w:t>
        </w:r>
      </w:hyperlink>
      <w:r w:rsidRPr="00421986">
        <w:rPr>
          <w:snapToGrid w:val="0"/>
        </w:rPr>
        <w:t xml:space="preserve">) will continue to play an important role in the </w:t>
      </w:r>
      <w:r>
        <w:t>2022</w:t>
      </w:r>
      <w:r>
        <w:noBreakHyphen/>
        <w:t>2023</w:t>
      </w:r>
      <w:r w:rsidRPr="00421986">
        <w:t xml:space="preserve"> </w:t>
      </w:r>
      <w:r>
        <w:t>biennium</w:t>
      </w:r>
      <w:r w:rsidRPr="00421986">
        <w:rPr>
          <w:snapToGrid w:val="0"/>
        </w:rPr>
        <w:t xml:space="preserve">.  At the same time, </w:t>
      </w:r>
      <w:r w:rsidRPr="00421986">
        <w:t>UPOV will continue to cooperate with the Organisation for Economic Co-operation and Development (OECD), in respect of the OECD</w:t>
      </w:r>
      <w:r>
        <w:t>’</w:t>
      </w:r>
      <w:r w:rsidRPr="00421986">
        <w:t xml:space="preserve">s Seed Schemes, and with the International Seed Testing Association (ISTA), in relation to technical matters, e.g. DUS examination, variety denominations and the role of molecular markers in variety examination and identification.  In relation to variety denominations, cooperation with the International Commission for the Nomenclature of Cultivated Plants of the International Union for Biological Sciences (IUBS) (ICNCP) is also of relevance. </w:t>
      </w:r>
      <w:r w:rsidRPr="00421986">
        <w:rPr>
          <w:snapToGrid w:val="0"/>
        </w:rPr>
        <w:t xml:space="preserve">  </w:t>
      </w:r>
    </w:p>
    <w:p w14:paraId="23BCEB56" w14:textId="77777777" w:rsidR="0090485B" w:rsidRPr="00421986" w:rsidRDefault="0090485B" w:rsidP="0090485B">
      <w:pPr>
        <w:tabs>
          <w:tab w:val="left" w:pos="851"/>
        </w:tabs>
        <w:rPr>
          <w:spacing w:val="-2"/>
        </w:rPr>
      </w:pPr>
    </w:p>
    <w:p w14:paraId="219CF86B" w14:textId="77777777" w:rsidR="0090485B" w:rsidRPr="00C20F3E" w:rsidRDefault="0090485B" w:rsidP="0090485B">
      <w:pPr>
        <w:pStyle w:val="Heading5"/>
      </w:pPr>
      <w:r w:rsidRPr="00C20F3E">
        <w:t>Communication</w:t>
      </w:r>
    </w:p>
    <w:p w14:paraId="1DF2E0DD" w14:textId="77777777" w:rsidR="0090485B" w:rsidRPr="00421986" w:rsidRDefault="0090485B" w:rsidP="0090485B">
      <w:pPr>
        <w:tabs>
          <w:tab w:val="left" w:pos="851"/>
        </w:tabs>
        <w:rPr>
          <w:spacing w:val="-2"/>
        </w:rPr>
      </w:pPr>
    </w:p>
    <w:p w14:paraId="09A93669" w14:textId="77777777" w:rsidR="0090485B" w:rsidRPr="00421986" w:rsidRDefault="0090485B" w:rsidP="0090485B">
      <w:pPr>
        <w:tabs>
          <w:tab w:val="left" w:pos="851"/>
        </w:tabs>
      </w:pPr>
      <w:r w:rsidRPr="00421986">
        <w:t>Success in this sub-program relies on the development and use of appropriate information</w:t>
      </w:r>
      <w:r>
        <w:t>,</w:t>
      </w:r>
      <w:r w:rsidRPr="00421986">
        <w:t xml:space="preserve"> combined with effective communication channels. </w:t>
      </w:r>
    </w:p>
    <w:p w14:paraId="3B990F7E" w14:textId="77777777" w:rsidR="0090485B" w:rsidRPr="00421986" w:rsidRDefault="0090485B" w:rsidP="0090485B">
      <w:pPr>
        <w:tabs>
          <w:tab w:val="left" w:pos="851"/>
        </w:tabs>
      </w:pPr>
    </w:p>
    <w:p w14:paraId="79F43B32" w14:textId="77777777" w:rsidR="0090485B" w:rsidRPr="00421986" w:rsidRDefault="0090485B" w:rsidP="0090485B">
      <w:pPr>
        <w:tabs>
          <w:tab w:val="left" w:pos="851"/>
        </w:tabs>
      </w:pPr>
      <w:r w:rsidRPr="00421986">
        <w:t xml:space="preserve">In terms of content, UPOV has a considerable collection of information concerning the impact of </w:t>
      </w:r>
      <w:r w:rsidRPr="00421986">
        <w:rPr>
          <w:snapToGrid w:val="0"/>
        </w:rPr>
        <w:t>plant variety protection and</w:t>
      </w:r>
      <w:r w:rsidRPr="00421986">
        <w:t xml:space="preserve"> UPOV membership.  Information in the form of videos and published documents are made </w:t>
      </w:r>
      <w:r w:rsidRPr="00F7795E">
        <w:rPr>
          <w:spacing w:val="-2"/>
        </w:rPr>
        <w:t xml:space="preserve">available on the UPOV website, as appropriate (see </w:t>
      </w:r>
      <w:hyperlink r:id="rId26" w:history="1">
        <w:r w:rsidRPr="00F7795E">
          <w:rPr>
            <w:rStyle w:val="Hyperlink"/>
            <w:spacing w:val="-2"/>
          </w:rPr>
          <w:t>https://www.upov.int/about/en/benefits_upov_system.html</w:t>
        </w:r>
      </w:hyperlink>
      <w:r w:rsidRPr="00F7795E">
        <w:rPr>
          <w:spacing w:val="-2"/>
        </w:rPr>
        <w:t xml:space="preserve">). </w:t>
      </w:r>
      <w:r w:rsidRPr="00421986">
        <w:t xml:space="preserve"> Other relevant information that has not been developed into videos or publications,</w:t>
      </w:r>
      <w:r>
        <w:t xml:space="preserve"> is communicated via events</w:t>
      </w:r>
      <w:r w:rsidRPr="00421986">
        <w:t>/activities, training courses and, increasingly, social media.</w:t>
      </w:r>
    </w:p>
    <w:p w14:paraId="298FF8FB" w14:textId="77777777" w:rsidR="0090485B" w:rsidRPr="00421986" w:rsidRDefault="0090485B" w:rsidP="0090485B">
      <w:pPr>
        <w:tabs>
          <w:tab w:val="left" w:pos="851"/>
        </w:tabs>
      </w:pPr>
    </w:p>
    <w:p w14:paraId="134F8CED" w14:textId="77777777" w:rsidR="0090485B" w:rsidRPr="00421986" w:rsidRDefault="0090485B" w:rsidP="0090485B">
      <w:pPr>
        <w:tabs>
          <w:tab w:val="left" w:pos="851"/>
        </w:tabs>
      </w:pPr>
      <w:r w:rsidRPr="00421986">
        <w:t xml:space="preserve">In the </w:t>
      </w:r>
      <w:r>
        <w:t>2022</w:t>
      </w:r>
      <w:r>
        <w:noBreakHyphen/>
        <w:t>2023</w:t>
      </w:r>
      <w:r w:rsidRPr="00421986">
        <w:t xml:space="preserve"> </w:t>
      </w:r>
      <w:r>
        <w:t>biennium</w:t>
      </w:r>
      <w:r w:rsidRPr="00421986">
        <w:t xml:space="preserve">, the focus will be on the development of new information concerning the benefits of plant variety protection and UPOV membership in close conjunction with members of </w:t>
      </w:r>
      <w:r>
        <w:t>the Union</w:t>
      </w:r>
      <w:r w:rsidRPr="00421986">
        <w:t xml:space="preserve">.  In particular, the Office of </w:t>
      </w:r>
      <w:r>
        <w:t>the Union</w:t>
      </w:r>
      <w:r w:rsidRPr="00421986">
        <w:t xml:space="preserve"> will seek to increase engagement with members of </w:t>
      </w:r>
      <w:r>
        <w:t>the Union</w:t>
      </w:r>
      <w:r w:rsidRPr="00421986">
        <w:t>, for example in conjunction with members</w:t>
      </w:r>
      <w:r>
        <w:t>’</w:t>
      </w:r>
      <w:r w:rsidRPr="00421986">
        <w:t xml:space="preserve"> anniversaries and events or by eliciting information on specific themes.</w:t>
      </w:r>
    </w:p>
    <w:p w14:paraId="6DDE2E78" w14:textId="77777777" w:rsidR="0090485B" w:rsidRDefault="0090485B" w:rsidP="0090485B">
      <w:pPr>
        <w:tabs>
          <w:tab w:val="left" w:pos="851"/>
        </w:tabs>
      </w:pPr>
    </w:p>
    <w:p w14:paraId="7FA9B1A5" w14:textId="77777777" w:rsidR="0090485B" w:rsidRPr="00421986" w:rsidRDefault="0090485B" w:rsidP="0090485B">
      <w:pPr>
        <w:tabs>
          <w:tab w:val="left" w:pos="851"/>
        </w:tabs>
      </w:pPr>
    </w:p>
    <w:p w14:paraId="2C10F11E" w14:textId="77777777" w:rsidR="0090485B" w:rsidRPr="00BC7476" w:rsidRDefault="0090485B" w:rsidP="0090485B">
      <w:pPr>
        <w:pStyle w:val="Heading3"/>
      </w:pPr>
      <w:bookmarkStart w:id="486" w:name="_Toc77931049"/>
      <w:r w:rsidRPr="00BC7476">
        <w:t>Activities</w:t>
      </w:r>
      <w:bookmarkEnd w:id="486"/>
    </w:p>
    <w:p w14:paraId="20FECE36" w14:textId="77777777" w:rsidR="0090485B" w:rsidRPr="00421986" w:rsidRDefault="0090485B" w:rsidP="0090485B">
      <w:pPr>
        <w:keepNext/>
      </w:pPr>
    </w:p>
    <w:p w14:paraId="6A39BDF0" w14:textId="77777777" w:rsidR="0090485B" w:rsidRPr="00421986" w:rsidRDefault="0090485B" w:rsidP="0090485B">
      <w:pPr>
        <w:numPr>
          <w:ilvl w:val="0"/>
          <w:numId w:val="4"/>
        </w:numPr>
        <w:tabs>
          <w:tab w:val="clear" w:pos="720"/>
        </w:tabs>
        <w:spacing w:after="120"/>
        <w:ind w:left="1134" w:hanging="504"/>
      </w:pPr>
      <w:r w:rsidRPr="00421986">
        <w:t>Participation in meetings with intergovernmental and non-governmental organizations</w:t>
      </w:r>
    </w:p>
    <w:p w14:paraId="4438959A" w14:textId="77777777" w:rsidR="0090485B" w:rsidRPr="00421986" w:rsidRDefault="0090485B" w:rsidP="0090485B">
      <w:pPr>
        <w:numPr>
          <w:ilvl w:val="0"/>
          <w:numId w:val="4"/>
        </w:numPr>
        <w:tabs>
          <w:tab w:val="clear" w:pos="720"/>
        </w:tabs>
        <w:spacing w:after="120"/>
        <w:ind w:left="1134" w:hanging="504"/>
      </w:pPr>
      <w:r w:rsidRPr="00421986">
        <w:t>Provision of comments and information to other organizations</w:t>
      </w:r>
    </w:p>
    <w:p w14:paraId="49D0009F" w14:textId="77777777" w:rsidR="0090485B" w:rsidRPr="00421986" w:rsidRDefault="0090485B" w:rsidP="0090485B">
      <w:pPr>
        <w:numPr>
          <w:ilvl w:val="0"/>
          <w:numId w:val="4"/>
        </w:numPr>
        <w:spacing w:after="120"/>
        <w:ind w:left="1134" w:hanging="505"/>
      </w:pPr>
      <w:r w:rsidRPr="00421986">
        <w:t xml:space="preserve">Development of information material for </w:t>
      </w:r>
      <w:r w:rsidRPr="00421986">
        <w:rPr>
          <w:bCs/>
          <w:szCs w:val="24"/>
        </w:rPr>
        <w:t>stakeholders, including FAQs</w:t>
      </w:r>
    </w:p>
    <w:p w14:paraId="4BB4BF22" w14:textId="77777777" w:rsidR="0090485B" w:rsidRPr="00421986" w:rsidRDefault="0090485B" w:rsidP="0090485B">
      <w:pPr>
        <w:numPr>
          <w:ilvl w:val="0"/>
          <w:numId w:val="4"/>
        </w:numPr>
        <w:spacing w:after="120"/>
        <w:ind w:left="1134" w:hanging="505"/>
      </w:pPr>
      <w:r w:rsidRPr="00421986">
        <w:t>Maintenance and further development of the UPOV website</w:t>
      </w:r>
    </w:p>
    <w:p w14:paraId="7015605A" w14:textId="77777777" w:rsidR="0090485B" w:rsidRPr="00421986" w:rsidRDefault="0090485B" w:rsidP="0090485B">
      <w:pPr>
        <w:pStyle w:val="ListParagraph"/>
        <w:numPr>
          <w:ilvl w:val="0"/>
          <w:numId w:val="4"/>
        </w:numPr>
        <w:spacing w:after="120"/>
        <w:ind w:left="1134" w:hanging="505"/>
        <w:contextualSpacing w:val="0"/>
      </w:pPr>
      <w:r w:rsidRPr="00421986">
        <w:rPr>
          <w:bCs/>
          <w:szCs w:val="24"/>
        </w:rPr>
        <w:t>Use of social media</w:t>
      </w:r>
    </w:p>
    <w:p w14:paraId="7F1E5733" w14:textId="77777777" w:rsidR="0090485B" w:rsidRPr="00421986" w:rsidRDefault="0090485B" w:rsidP="0090485B">
      <w:pPr>
        <w:pStyle w:val="ListParagraph"/>
        <w:numPr>
          <w:ilvl w:val="0"/>
          <w:numId w:val="4"/>
        </w:numPr>
        <w:spacing w:after="120"/>
        <w:ind w:left="1134" w:hanging="504"/>
      </w:pPr>
      <w:r w:rsidRPr="00421986">
        <w:t>Seminars or symposia on relevant topics</w:t>
      </w:r>
    </w:p>
    <w:p w14:paraId="4A043F21" w14:textId="77777777" w:rsidR="0090485B" w:rsidRDefault="0090485B" w:rsidP="0090485B"/>
    <w:p w14:paraId="1FF6BBB8" w14:textId="77777777" w:rsidR="0090485B" w:rsidRPr="00421986" w:rsidRDefault="0090485B" w:rsidP="0090485B"/>
    <w:p w14:paraId="578C3671" w14:textId="77777777" w:rsidR="0090485B" w:rsidRPr="00C20F3E" w:rsidRDefault="0090485B" w:rsidP="0090485B">
      <w:pPr>
        <w:pStyle w:val="Heading3"/>
      </w:pPr>
      <w:bookmarkStart w:id="487" w:name="_Toc77931050"/>
      <w:r w:rsidRPr="00C20F3E">
        <w:t>Expected Results and Performance Indicators</w:t>
      </w:r>
      <w:bookmarkEnd w:id="487"/>
    </w:p>
    <w:p w14:paraId="39117A86" w14:textId="77777777" w:rsidR="0090485B" w:rsidRPr="00421986" w:rsidRDefault="0090485B" w:rsidP="0090485B">
      <w:pPr>
        <w:keepNext/>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90485B" w:rsidRPr="00B917D2" w14:paraId="69EC7340" w14:textId="77777777" w:rsidTr="008F07B7">
        <w:trPr>
          <w:cantSplit/>
          <w:tblHeader/>
        </w:trPr>
        <w:tc>
          <w:tcPr>
            <w:tcW w:w="4106" w:type="dxa"/>
            <w:tcBorders>
              <w:bottom w:val="single" w:sz="4" w:space="0" w:color="A6A6A6" w:themeColor="background1" w:themeShade="A6"/>
            </w:tcBorders>
            <w:shd w:val="clear" w:color="auto" w:fill="C6CFD7" w:themeFill="accent3" w:themeFillTint="66"/>
          </w:tcPr>
          <w:p w14:paraId="6E96289D" w14:textId="77777777" w:rsidR="0090485B" w:rsidRPr="008B40C0" w:rsidRDefault="0090485B" w:rsidP="008F07B7">
            <w:pPr>
              <w:ind w:left="397" w:hanging="397"/>
              <w:jc w:val="center"/>
              <w:rPr>
                <w:b/>
                <w:color w:val="000000"/>
              </w:rPr>
            </w:pPr>
            <w:r w:rsidRPr="008B40C0">
              <w:rPr>
                <w:b/>
                <w:color w:val="000000"/>
              </w:rPr>
              <w:t>Expected Results</w:t>
            </w:r>
          </w:p>
        </w:tc>
        <w:tc>
          <w:tcPr>
            <w:tcW w:w="5538" w:type="dxa"/>
            <w:tcBorders>
              <w:bottom w:val="single" w:sz="4" w:space="0" w:color="A6A6A6" w:themeColor="background1" w:themeShade="A6"/>
            </w:tcBorders>
            <w:shd w:val="clear" w:color="auto" w:fill="C6CFD7" w:themeFill="accent3" w:themeFillTint="66"/>
          </w:tcPr>
          <w:p w14:paraId="11A1093F" w14:textId="77777777" w:rsidR="0090485B" w:rsidRPr="008B40C0" w:rsidRDefault="0090485B" w:rsidP="008F07B7">
            <w:pPr>
              <w:ind w:left="397" w:hanging="397"/>
              <w:jc w:val="center"/>
              <w:rPr>
                <w:b/>
                <w:color w:val="000000"/>
              </w:rPr>
            </w:pPr>
            <w:r w:rsidRPr="008B40C0">
              <w:rPr>
                <w:b/>
                <w:color w:val="000000"/>
              </w:rPr>
              <w:t>Performance Indicators</w:t>
            </w:r>
          </w:p>
        </w:tc>
      </w:tr>
      <w:tr w:rsidR="0090485B" w:rsidRPr="00421986" w14:paraId="5C0096EB" w14:textId="77777777" w:rsidTr="008F07B7">
        <w:trPr>
          <w:cantSplit/>
        </w:trPr>
        <w:tc>
          <w:tcPr>
            <w:tcW w:w="4106" w:type="dxa"/>
            <w:tcBorders>
              <w:top w:val="single" w:sz="4" w:space="0" w:color="A6A6A6" w:themeColor="background1" w:themeShade="A6"/>
              <w:bottom w:val="single" w:sz="4" w:space="0" w:color="A6A6A6" w:themeColor="background1" w:themeShade="A6"/>
            </w:tcBorders>
          </w:tcPr>
          <w:p w14:paraId="2F0E5563" w14:textId="77777777" w:rsidR="0090485B" w:rsidRPr="00B917D2" w:rsidRDefault="0090485B" w:rsidP="008F07B7">
            <w:pPr>
              <w:ind w:left="326" w:hanging="326"/>
              <w:jc w:val="left"/>
              <w:rPr>
                <w:color w:val="000000"/>
              </w:rPr>
            </w:pPr>
            <w:r w:rsidRPr="00B917D2">
              <w:rPr>
                <w:color w:val="000000"/>
              </w:rPr>
              <w:t>12.</w:t>
            </w:r>
            <w:r w:rsidRPr="00B917D2">
              <w:rPr>
                <w:color w:val="000000"/>
              </w:rPr>
              <w:tab/>
              <w:t>Broaden understanding of UPOV</w:t>
            </w:r>
            <w:r>
              <w:rPr>
                <w:color w:val="000000"/>
              </w:rPr>
              <w:t>’</w:t>
            </w:r>
            <w:r w:rsidRPr="00B917D2">
              <w:rPr>
                <w:color w:val="000000"/>
              </w:rPr>
              <w:t>s role and activities</w:t>
            </w:r>
          </w:p>
        </w:tc>
        <w:tc>
          <w:tcPr>
            <w:tcW w:w="5538" w:type="dxa"/>
            <w:tcBorders>
              <w:top w:val="single" w:sz="4" w:space="0" w:color="A6A6A6" w:themeColor="background1" w:themeShade="A6"/>
              <w:bottom w:val="single" w:sz="4" w:space="0" w:color="A6A6A6" w:themeColor="background1" w:themeShade="A6"/>
            </w:tcBorders>
          </w:tcPr>
          <w:p w14:paraId="53EE8976" w14:textId="77777777" w:rsidR="0090485B" w:rsidRPr="00B917D2" w:rsidRDefault="0090485B" w:rsidP="0090485B">
            <w:pPr>
              <w:numPr>
                <w:ilvl w:val="0"/>
                <w:numId w:val="14"/>
              </w:numPr>
              <w:ind w:left="368"/>
              <w:jc w:val="left"/>
              <w:rPr>
                <w:color w:val="000000"/>
              </w:rPr>
            </w:pPr>
            <w:r w:rsidRPr="00B917D2">
              <w:rPr>
                <w:color w:val="000000"/>
              </w:rPr>
              <w:t>Number of new visitors to UPOV website</w:t>
            </w:r>
            <w:r>
              <w:rPr>
                <w:color w:val="000000"/>
              </w:rPr>
              <w:t>;</w:t>
            </w:r>
          </w:p>
          <w:p w14:paraId="011C4D30" w14:textId="77777777" w:rsidR="0090485B" w:rsidRPr="00B917D2" w:rsidRDefault="0090485B" w:rsidP="0090485B">
            <w:pPr>
              <w:numPr>
                <w:ilvl w:val="0"/>
                <w:numId w:val="14"/>
              </w:numPr>
              <w:ind w:left="368"/>
              <w:jc w:val="left"/>
              <w:rPr>
                <w:color w:val="000000"/>
              </w:rPr>
            </w:pPr>
            <w:r w:rsidRPr="00B917D2">
              <w:rPr>
                <w:color w:val="000000"/>
              </w:rPr>
              <w:t>Number of visits to general public features on UPOV website</w:t>
            </w:r>
            <w:r>
              <w:rPr>
                <w:color w:val="000000"/>
              </w:rPr>
              <w:t>;</w:t>
            </w:r>
          </w:p>
          <w:p w14:paraId="35C9CB55" w14:textId="77777777" w:rsidR="0090485B" w:rsidRPr="00B917D2" w:rsidRDefault="0090485B" w:rsidP="0090485B">
            <w:pPr>
              <w:numPr>
                <w:ilvl w:val="0"/>
                <w:numId w:val="14"/>
              </w:numPr>
              <w:ind w:left="368"/>
              <w:jc w:val="left"/>
              <w:rPr>
                <w:color w:val="000000"/>
              </w:rPr>
            </w:pPr>
            <w:r w:rsidRPr="00B917D2">
              <w:rPr>
                <w:color w:val="000000"/>
              </w:rPr>
              <w:t>Number of social media posts</w:t>
            </w:r>
            <w:r>
              <w:rPr>
                <w:color w:val="000000"/>
              </w:rPr>
              <w:t>;</w:t>
            </w:r>
          </w:p>
          <w:p w14:paraId="198A4BC2" w14:textId="77777777" w:rsidR="0090485B" w:rsidRPr="00B917D2" w:rsidRDefault="0090485B" w:rsidP="0090485B">
            <w:pPr>
              <w:numPr>
                <w:ilvl w:val="0"/>
                <w:numId w:val="14"/>
              </w:numPr>
              <w:ind w:left="368"/>
              <w:jc w:val="left"/>
              <w:rPr>
                <w:color w:val="000000"/>
              </w:rPr>
            </w:pPr>
            <w:r w:rsidRPr="00B917D2">
              <w:rPr>
                <w:color w:val="000000"/>
              </w:rPr>
              <w:t>Number of followers on social media</w:t>
            </w:r>
            <w:r>
              <w:rPr>
                <w:color w:val="000000"/>
              </w:rPr>
              <w:t>;</w:t>
            </w:r>
          </w:p>
          <w:p w14:paraId="6989022E" w14:textId="77777777" w:rsidR="0090485B" w:rsidRPr="00B917D2" w:rsidRDefault="0090485B" w:rsidP="0090485B">
            <w:pPr>
              <w:numPr>
                <w:ilvl w:val="0"/>
                <w:numId w:val="14"/>
              </w:numPr>
              <w:ind w:left="368"/>
              <w:jc w:val="left"/>
            </w:pPr>
            <w:r w:rsidRPr="00B917D2">
              <w:t>Number of st</w:t>
            </w:r>
            <w:r>
              <w:t>udies published on UPOV website;</w:t>
            </w:r>
          </w:p>
          <w:p w14:paraId="48257B19" w14:textId="77777777" w:rsidR="0090485B" w:rsidRPr="00B917D2" w:rsidRDefault="0090485B" w:rsidP="0090485B">
            <w:pPr>
              <w:numPr>
                <w:ilvl w:val="0"/>
                <w:numId w:val="14"/>
              </w:numPr>
              <w:ind w:left="368"/>
              <w:jc w:val="left"/>
            </w:pPr>
            <w:r w:rsidRPr="00B917D2">
              <w:t>Number of videos</w:t>
            </w:r>
            <w:r>
              <w:t xml:space="preserve"> published on UPOV website;</w:t>
            </w:r>
          </w:p>
          <w:p w14:paraId="60F0467F" w14:textId="77777777" w:rsidR="0090485B" w:rsidRPr="00B917D2" w:rsidRDefault="0090485B" w:rsidP="0090485B">
            <w:pPr>
              <w:numPr>
                <w:ilvl w:val="0"/>
                <w:numId w:val="14"/>
              </w:numPr>
              <w:ind w:left="368"/>
              <w:jc w:val="left"/>
            </w:pPr>
            <w:r w:rsidRPr="00B917D2">
              <w:t>Number of visits t</w:t>
            </w:r>
            <w:r>
              <w:t>o benefits page on UPOV website;</w:t>
            </w:r>
          </w:p>
          <w:p w14:paraId="7CCD5CDC" w14:textId="77777777" w:rsidR="0090485B" w:rsidRPr="00B917D2" w:rsidRDefault="0090485B" w:rsidP="0090485B">
            <w:pPr>
              <w:numPr>
                <w:ilvl w:val="0"/>
                <w:numId w:val="14"/>
              </w:numPr>
              <w:ind w:left="368"/>
              <w:jc w:val="left"/>
            </w:pPr>
            <w:r w:rsidRPr="00B917D2">
              <w:t>Number of relevant languages in which studies and videos are available</w:t>
            </w:r>
            <w:r>
              <w:t>;</w:t>
            </w:r>
          </w:p>
          <w:p w14:paraId="6D70653F" w14:textId="77777777" w:rsidR="0090485B" w:rsidRPr="00B917D2" w:rsidRDefault="0090485B" w:rsidP="0090485B">
            <w:pPr>
              <w:numPr>
                <w:ilvl w:val="0"/>
                <w:numId w:val="14"/>
              </w:numPr>
              <w:ind w:left="368"/>
              <w:jc w:val="left"/>
              <w:rPr>
                <w:color w:val="000000"/>
              </w:rPr>
            </w:pPr>
            <w:r w:rsidRPr="00B917D2">
              <w:rPr>
                <w:color w:val="000000"/>
              </w:rPr>
              <w:t xml:space="preserve">Participation at meetings of, </w:t>
            </w:r>
            <w:r>
              <w:rPr>
                <w:color w:val="000000"/>
              </w:rPr>
              <w:t>and with, relevant stakeholders;</w:t>
            </w:r>
          </w:p>
          <w:p w14:paraId="0BE90F83" w14:textId="77777777" w:rsidR="0090485B" w:rsidRPr="00B917D2" w:rsidRDefault="0090485B" w:rsidP="0090485B">
            <w:pPr>
              <w:numPr>
                <w:ilvl w:val="0"/>
                <w:numId w:val="14"/>
              </w:numPr>
              <w:ind w:left="368"/>
              <w:jc w:val="left"/>
              <w:rPr>
                <w:color w:val="000000"/>
              </w:rPr>
            </w:pPr>
            <w:r w:rsidRPr="00B917D2">
              <w:rPr>
                <w:color w:val="000000"/>
              </w:rPr>
              <w:t xml:space="preserve">Participation by stakeholders in </w:t>
            </w:r>
            <w:r>
              <w:rPr>
                <w:color w:val="000000"/>
              </w:rPr>
              <w:t>events, seminars and symposia;</w:t>
            </w:r>
          </w:p>
          <w:p w14:paraId="0704BE2E" w14:textId="77777777" w:rsidR="0090485B" w:rsidRPr="00421986" w:rsidRDefault="0090485B" w:rsidP="0090485B">
            <w:pPr>
              <w:numPr>
                <w:ilvl w:val="0"/>
                <w:numId w:val="14"/>
              </w:numPr>
              <w:ind w:left="368"/>
              <w:jc w:val="left"/>
              <w:rPr>
                <w:color w:val="000000"/>
              </w:rPr>
            </w:pPr>
            <w:r w:rsidRPr="00B917D2">
              <w:rPr>
                <w:color w:val="000000"/>
              </w:rPr>
              <w:t xml:space="preserve">Initiatives of the </w:t>
            </w:r>
            <w:r>
              <w:rPr>
                <w:color w:val="000000"/>
                <w:szCs w:val="24"/>
              </w:rPr>
              <w:t>World Seed Partnership.</w:t>
            </w:r>
          </w:p>
        </w:tc>
      </w:tr>
    </w:tbl>
    <w:p w14:paraId="1DAA95A8" w14:textId="77777777" w:rsidR="0090485B" w:rsidRPr="00421986" w:rsidRDefault="0090485B" w:rsidP="0090485B"/>
    <w:p w14:paraId="343C112B" w14:textId="77777777" w:rsidR="0090485B" w:rsidRPr="00421986" w:rsidRDefault="0090485B" w:rsidP="0090485B"/>
    <w:p w14:paraId="7F6B6EDE" w14:textId="77777777" w:rsidR="0090485B" w:rsidRPr="00421986" w:rsidRDefault="0090485B" w:rsidP="0090485B">
      <w:pPr>
        <w:jc w:val="left"/>
        <w:rPr>
          <w:b/>
        </w:rPr>
      </w:pPr>
      <w:r w:rsidRPr="00421986">
        <w:rPr>
          <w:b/>
        </w:rPr>
        <w:br w:type="page"/>
      </w:r>
    </w:p>
    <w:p w14:paraId="57892917" w14:textId="77777777" w:rsidR="0090485B" w:rsidRPr="00421986" w:rsidRDefault="0090485B" w:rsidP="0090485B">
      <w:pPr>
        <w:pStyle w:val="Heading1"/>
        <w:numPr>
          <w:ilvl w:val="0"/>
          <w:numId w:val="12"/>
        </w:numPr>
        <w:ind w:left="567" w:hanging="567"/>
      </w:pPr>
      <w:bookmarkStart w:id="488" w:name="_Toc77931051"/>
      <w:r w:rsidRPr="00421986">
        <w:lastRenderedPageBreak/>
        <w:t>PROPOSED BUDGET</w:t>
      </w:r>
      <w:bookmarkEnd w:id="488"/>
    </w:p>
    <w:p w14:paraId="43FA4DAB" w14:textId="77777777" w:rsidR="0090485B" w:rsidRDefault="0090485B" w:rsidP="0090485B">
      <w:pPr>
        <w:keepNext/>
      </w:pPr>
    </w:p>
    <w:p w14:paraId="74826BB0" w14:textId="77777777" w:rsidR="0090485B" w:rsidRPr="00421986" w:rsidRDefault="0090485B" w:rsidP="0090485B">
      <w:pPr>
        <w:keepNext/>
      </w:pPr>
    </w:p>
    <w:p w14:paraId="4A6A4595" w14:textId="77777777" w:rsidR="0090485B" w:rsidRPr="008B40C0" w:rsidRDefault="0090485B" w:rsidP="0090485B">
      <w:pPr>
        <w:pStyle w:val="Heading2"/>
      </w:pPr>
      <w:bookmarkStart w:id="489" w:name="_Toc77931052"/>
      <w:r w:rsidRPr="008B40C0">
        <w:t xml:space="preserve">Financial </w:t>
      </w:r>
      <w:r>
        <w:t>context</w:t>
      </w:r>
      <w:bookmarkEnd w:id="489"/>
    </w:p>
    <w:p w14:paraId="69FC4EB3" w14:textId="77777777" w:rsidR="0090485B" w:rsidRPr="002E79D3" w:rsidRDefault="0090485B" w:rsidP="0090485B"/>
    <w:p w14:paraId="0F64269C" w14:textId="77777777" w:rsidR="0090485B" w:rsidRPr="00421986" w:rsidRDefault="0090485B" w:rsidP="0090485B">
      <w:r>
        <w:t>T</w:t>
      </w:r>
      <w:r w:rsidRPr="00421986">
        <w:t>he evolution of the regular budget income (on a budgetary basis), divided into income from contribution units and other sources</w:t>
      </w:r>
      <w:r>
        <w:t xml:space="preserve"> is shown in </w:t>
      </w:r>
      <w:r w:rsidRPr="00421986">
        <w:t>Figure 10</w:t>
      </w:r>
      <w:r>
        <w:t>.</w:t>
      </w:r>
      <w:r w:rsidRPr="00421986">
        <w:t xml:space="preserve"> </w:t>
      </w:r>
    </w:p>
    <w:p w14:paraId="1029F2A3" w14:textId="77777777" w:rsidR="0090485B" w:rsidRPr="00421986" w:rsidRDefault="0090485B" w:rsidP="00904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0485B" w:rsidRPr="00421986" w14:paraId="2F8A2AA8" w14:textId="77777777" w:rsidTr="008F07B7">
        <w:tc>
          <w:tcPr>
            <w:tcW w:w="9629" w:type="dxa"/>
          </w:tcPr>
          <w:p w14:paraId="344E0107" w14:textId="77777777" w:rsidR="0090485B" w:rsidRPr="00755D48" w:rsidRDefault="0090485B" w:rsidP="008F07B7">
            <w:pPr>
              <w:keepNext/>
              <w:jc w:val="center"/>
              <w:rPr>
                <w:i/>
                <w:color w:val="26724C" w:themeColor="accent1" w:themeShade="BF"/>
                <w:sz w:val="18"/>
              </w:rPr>
            </w:pPr>
            <w:r w:rsidRPr="00755D48">
              <w:rPr>
                <w:i/>
                <w:color w:val="26724C" w:themeColor="accent1" w:themeShade="BF"/>
                <w:sz w:val="18"/>
              </w:rPr>
              <w:t>Figure 10.  Regular budget income</w:t>
            </w:r>
          </w:p>
        </w:tc>
      </w:tr>
      <w:tr w:rsidR="0090485B" w:rsidRPr="00421986" w14:paraId="467C4EE6" w14:textId="77777777" w:rsidTr="008F07B7">
        <w:tc>
          <w:tcPr>
            <w:tcW w:w="9629" w:type="dxa"/>
          </w:tcPr>
          <w:p w14:paraId="629342F3" w14:textId="3A1BE5A9" w:rsidR="0090485B" w:rsidRPr="00C20F3E" w:rsidRDefault="0090485B" w:rsidP="008F07B7">
            <w:pPr>
              <w:jc w:val="center"/>
              <w:rPr>
                <w:szCs w:val="18"/>
                <w:highlight w:val="yellow"/>
              </w:rPr>
            </w:pPr>
            <w:r w:rsidRPr="009E2EF9" w:rsidDel="007C739A">
              <w:rPr>
                <w:i/>
                <w:sz w:val="18"/>
                <w:szCs w:val="18"/>
                <w:lang w:eastAsia="ja-JP"/>
              </w:rPr>
              <w:t xml:space="preserve"> </w:t>
            </w:r>
            <w:r w:rsidR="00D95314">
              <w:rPr>
                <w:i/>
                <w:noProof/>
                <w:sz w:val="18"/>
                <w:szCs w:val="18"/>
              </w:rPr>
              <w:drawing>
                <wp:inline distT="0" distB="0" distL="0" distR="0" wp14:anchorId="0DE02CD1" wp14:editId="53CC17CC">
                  <wp:extent cx="5371889" cy="3469136"/>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76842" cy="3472335"/>
                          </a:xfrm>
                          <a:prstGeom prst="rect">
                            <a:avLst/>
                          </a:prstGeom>
                          <a:noFill/>
                        </pic:spPr>
                      </pic:pic>
                    </a:graphicData>
                  </a:graphic>
                </wp:inline>
              </w:drawing>
            </w:r>
          </w:p>
        </w:tc>
      </w:tr>
    </w:tbl>
    <w:p w14:paraId="29EBB99A" w14:textId="77777777" w:rsidR="0090485B" w:rsidRPr="00421986" w:rsidRDefault="0090485B" w:rsidP="0090485B"/>
    <w:p w14:paraId="533C1FF0" w14:textId="77777777" w:rsidR="0090485B" w:rsidRPr="00421986" w:rsidRDefault="0090485B" w:rsidP="0090485B">
      <w:pPr>
        <w:pStyle w:val="ListParagraph"/>
        <w:ind w:left="0"/>
        <w:contextualSpacing w:val="0"/>
      </w:pPr>
      <w:r w:rsidRPr="00421986">
        <w:t xml:space="preserve">In the 2018-2019 </w:t>
      </w:r>
      <w:r>
        <w:t>biennium</w:t>
      </w:r>
      <w:r w:rsidRPr="00421986">
        <w:t>, 98.6</w:t>
      </w:r>
      <w:r>
        <w:t> per cent</w:t>
      </w:r>
      <w:r w:rsidRPr="00421986">
        <w:t xml:space="preserve"> of the total income </w:t>
      </w:r>
      <w:r>
        <w:t>originated</w:t>
      </w:r>
      <w:r w:rsidRPr="00421986">
        <w:t xml:space="preserve"> from </w:t>
      </w:r>
      <w:r>
        <w:t xml:space="preserve">contributions of members of the Union.  Those </w:t>
      </w:r>
      <w:r w:rsidRPr="00421986">
        <w:t xml:space="preserve">contributions will continue to provide the major source of income in the foreseeable future. </w:t>
      </w:r>
    </w:p>
    <w:p w14:paraId="44A20F9B" w14:textId="77777777" w:rsidR="0090485B" w:rsidRPr="00421986" w:rsidRDefault="0090485B" w:rsidP="0090485B">
      <w:pPr>
        <w:pStyle w:val="ListParagraph"/>
        <w:ind w:left="0"/>
        <w:contextualSpacing w:val="0"/>
      </w:pPr>
    </w:p>
    <w:p w14:paraId="183D89D9" w14:textId="77777777" w:rsidR="0090485B" w:rsidRPr="00421986" w:rsidRDefault="0090485B" w:rsidP="0090485B">
      <w:pPr>
        <w:pStyle w:val="ListParagraph"/>
        <w:ind w:left="0"/>
        <w:contextualSpacing w:val="0"/>
      </w:pPr>
      <w:r>
        <w:t>An</w:t>
      </w:r>
      <w:r w:rsidRPr="00421986">
        <w:t xml:space="preserve"> increas</w:t>
      </w:r>
      <w:r>
        <w:t>e</w:t>
      </w:r>
      <w:r w:rsidRPr="00421986">
        <w:t xml:space="preserve"> </w:t>
      </w:r>
      <w:r>
        <w:t xml:space="preserve">in </w:t>
      </w:r>
      <w:r w:rsidRPr="00421986">
        <w:t xml:space="preserve">the value of a contribution unit is not foreseen in the Program and Budget for the </w:t>
      </w:r>
      <w:r>
        <w:t>2022</w:t>
      </w:r>
      <w:r>
        <w:noBreakHyphen/>
        <w:t>2023 B</w:t>
      </w:r>
      <w:r w:rsidRPr="00421986">
        <w:t>iennium</w:t>
      </w:r>
      <w:r>
        <w:t xml:space="preserve">. </w:t>
      </w:r>
      <w:r w:rsidRPr="00421986">
        <w:t xml:space="preserve">However, the </w:t>
      </w:r>
      <w:r>
        <w:t>national</w:t>
      </w:r>
      <w:r w:rsidRPr="00421986">
        <w:t xml:space="preserve"> economic or PVP situation and/or </w:t>
      </w:r>
      <w:r>
        <w:t xml:space="preserve">future </w:t>
      </w:r>
      <w:r w:rsidRPr="00421986">
        <w:t xml:space="preserve">enhanced </w:t>
      </w:r>
      <w:r>
        <w:t xml:space="preserve">UPOV </w:t>
      </w:r>
      <w:r w:rsidRPr="00421986">
        <w:t xml:space="preserve">services may encourage some members of </w:t>
      </w:r>
      <w:r>
        <w:t>the Union</w:t>
      </w:r>
      <w:r w:rsidRPr="00421986">
        <w:t xml:space="preserve"> to increase their number of contribution units.  </w:t>
      </w:r>
    </w:p>
    <w:p w14:paraId="0BDE09D3" w14:textId="77777777" w:rsidR="0090485B" w:rsidRPr="00421986" w:rsidRDefault="0090485B" w:rsidP="0090485B"/>
    <w:p w14:paraId="602B9BC6" w14:textId="77777777" w:rsidR="0090485B" w:rsidRPr="00421986" w:rsidRDefault="0090485B" w:rsidP="0090485B">
      <w:r w:rsidRPr="00421986">
        <w:t xml:space="preserve">The IOD Evaluation recommended that the UPOV Strategic Business Plan address how to </w:t>
      </w:r>
      <w:r>
        <w:t>“</w:t>
      </w:r>
      <w:r w:rsidRPr="00421986">
        <w:t>diversify its revenue portfolio to maintain and enhance the sustainability of existing activities and services</w:t>
      </w:r>
      <w:r>
        <w:t>”</w:t>
      </w:r>
      <w:r w:rsidRPr="00421986">
        <w:t xml:space="preserve">.  In that context, Figure 10 demonstrates that the proportion of income other than from contributions of members of </w:t>
      </w:r>
      <w:r>
        <w:t>the Union</w:t>
      </w:r>
      <w:r w:rsidRPr="00421986">
        <w:t xml:space="preserve"> declined from </w:t>
      </w:r>
      <w:r>
        <w:t xml:space="preserve">constituting </w:t>
      </w:r>
      <w:r w:rsidRPr="00421986">
        <w:t>4.9</w:t>
      </w:r>
      <w:r>
        <w:t> per cent</w:t>
      </w:r>
      <w:r w:rsidRPr="00421986">
        <w:t xml:space="preserve"> </w:t>
      </w:r>
      <w:r>
        <w:t xml:space="preserve">of total income </w:t>
      </w:r>
      <w:r w:rsidRPr="00421986">
        <w:t xml:space="preserve">in the 2010-2011 </w:t>
      </w:r>
      <w:r>
        <w:t>b</w:t>
      </w:r>
      <w:r w:rsidRPr="00421986">
        <w:t xml:space="preserve">iennium to </w:t>
      </w:r>
      <w:r>
        <w:t xml:space="preserve">constituting </w:t>
      </w:r>
      <w:r w:rsidRPr="00421986">
        <w:t>1.4</w:t>
      </w:r>
      <w:r>
        <w:t> per cent</w:t>
      </w:r>
      <w:r w:rsidRPr="00421986">
        <w:t xml:space="preserve"> </w:t>
      </w:r>
      <w:r>
        <w:t xml:space="preserve">of total income </w:t>
      </w:r>
      <w:r w:rsidRPr="00421986">
        <w:t xml:space="preserve">in </w:t>
      </w:r>
      <w:r>
        <w:t xml:space="preserve">the </w:t>
      </w:r>
      <w:r w:rsidRPr="00421986">
        <w:t xml:space="preserve">2018-2019 </w:t>
      </w:r>
      <w:r>
        <w:t>b</w:t>
      </w:r>
      <w:r w:rsidRPr="00421986">
        <w:t xml:space="preserve">iennium.  </w:t>
      </w:r>
    </w:p>
    <w:p w14:paraId="0403D6A5" w14:textId="77777777" w:rsidR="0090485B" w:rsidRPr="00421986" w:rsidRDefault="0090485B" w:rsidP="0090485B"/>
    <w:p w14:paraId="224E3802" w14:textId="77777777" w:rsidR="0090485B" w:rsidRPr="00421986" w:rsidRDefault="0090485B" w:rsidP="0090485B">
      <w:r w:rsidRPr="00421986">
        <w:t xml:space="preserve">In the Program and Budget for the </w:t>
      </w:r>
      <w:r>
        <w:t>2022</w:t>
      </w:r>
      <w:r>
        <w:noBreakHyphen/>
        <w:t>2023</w:t>
      </w:r>
      <w:r w:rsidRPr="00421986">
        <w:t xml:space="preserve"> </w:t>
      </w:r>
      <w:r>
        <w:t>B</w:t>
      </w:r>
      <w:r w:rsidRPr="00421986">
        <w:t>iennium, diversification of UPOV</w:t>
      </w:r>
      <w:r>
        <w:t>’</w:t>
      </w:r>
      <w:r w:rsidRPr="00421986">
        <w:t xml:space="preserve">s revenue portfolio will be based on income from </w:t>
      </w:r>
      <w:r>
        <w:t>UPOV PRISMA</w:t>
      </w:r>
      <w:r w:rsidRPr="00421986">
        <w:t xml:space="preserve">, the PLUTO database and distance learning courses.  The level of fees for </w:t>
      </w:r>
      <w:r>
        <w:t>UPOV PRISMA</w:t>
      </w:r>
      <w:r w:rsidRPr="00421986">
        <w:t xml:space="preserve"> (90 </w:t>
      </w:r>
      <w:r>
        <w:t xml:space="preserve">Swiss francs </w:t>
      </w:r>
      <w:r w:rsidRPr="00421986">
        <w:t xml:space="preserve">per submission), PLUTO database (750 </w:t>
      </w:r>
      <w:r>
        <w:t xml:space="preserve">Swiss francs </w:t>
      </w:r>
      <w:r w:rsidRPr="00421986">
        <w:t xml:space="preserve">per annum) and distance learning courses (1,000 </w:t>
      </w:r>
      <w:r>
        <w:t xml:space="preserve">Swiss francs </w:t>
      </w:r>
      <w:r w:rsidRPr="00421986">
        <w:t xml:space="preserve">per student), where applicable, are anticipated to be the same as for 2021. </w:t>
      </w:r>
    </w:p>
    <w:p w14:paraId="2DC763D1" w14:textId="77777777" w:rsidR="0090485B" w:rsidRPr="00421986" w:rsidRDefault="0090485B" w:rsidP="0090485B"/>
    <w:p w14:paraId="554D2084" w14:textId="77777777" w:rsidR="0090485B" w:rsidRPr="00421986" w:rsidRDefault="0090485B" w:rsidP="0090485B">
      <w:r w:rsidRPr="00421986">
        <w:t>UPOV h</w:t>
      </w:r>
      <w:r>
        <w:t>as greatly benefited from extra</w:t>
      </w:r>
      <w:r w:rsidRPr="00421986">
        <w:t xml:space="preserve">budgetary funds provided by members of </w:t>
      </w:r>
      <w:r>
        <w:t>the Union</w:t>
      </w:r>
      <w:r w:rsidRPr="00421986">
        <w:t xml:space="preserve">, for example in the form of Funds-in-Trust.  Figure 11 shows the evolution of extrabudgetary funds since 2010.  In recognition of the costs </w:t>
      </w:r>
      <w:r>
        <w:t>to</w:t>
      </w:r>
      <w:r w:rsidRPr="00421986">
        <w:t xml:space="preserve"> the Office of </w:t>
      </w:r>
      <w:r>
        <w:t>the Union</w:t>
      </w:r>
      <w:r w:rsidRPr="00421986">
        <w:t xml:space="preserve"> </w:t>
      </w:r>
      <w:r>
        <w:t xml:space="preserve">related to </w:t>
      </w:r>
      <w:r w:rsidRPr="00421986">
        <w:t xml:space="preserve">the administration of such Funds-in-Trust, a charge is included for administrative support costs, which is treated as income.  Income from extrabudgetary funds in 2020-2021 will be substantially affected by the COVID-19 situation because the majority of </w:t>
      </w:r>
      <w:r>
        <w:t>such</w:t>
      </w:r>
      <w:r w:rsidRPr="00421986">
        <w:t xml:space="preserve"> funds </w:t>
      </w:r>
      <w:r>
        <w:t xml:space="preserve">cover </w:t>
      </w:r>
      <w:r w:rsidRPr="00421986">
        <w:t xml:space="preserve">travel and </w:t>
      </w:r>
      <w:r w:rsidRPr="009E2EF9">
        <w:t>daily subsistence allowance (DSA)</w:t>
      </w:r>
      <w:r w:rsidRPr="00421986">
        <w:t xml:space="preserve">.   The Program and Budget for the </w:t>
      </w:r>
      <w:r>
        <w:t>2022</w:t>
      </w:r>
      <w:r>
        <w:noBreakHyphen/>
        <w:t>2023</w:t>
      </w:r>
      <w:r w:rsidRPr="00421986">
        <w:t xml:space="preserve"> </w:t>
      </w:r>
      <w:r>
        <w:t>Biennium</w:t>
      </w:r>
      <w:r w:rsidRPr="00421986">
        <w:t xml:space="preserve"> anticipates that extrabudgetary funds will be at a similar level as budgeted for 2020-2021.  </w:t>
      </w:r>
    </w:p>
    <w:p w14:paraId="0AE54EC2" w14:textId="77777777" w:rsidR="0090485B" w:rsidRPr="00421986" w:rsidRDefault="0090485B" w:rsidP="00904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0485B" w:rsidRPr="00421986" w14:paraId="3872A359" w14:textId="77777777" w:rsidTr="008F07B7">
        <w:tc>
          <w:tcPr>
            <w:tcW w:w="9629" w:type="dxa"/>
          </w:tcPr>
          <w:p w14:paraId="4F355FE5" w14:textId="77777777" w:rsidR="0090485B" w:rsidRDefault="0090485B" w:rsidP="008F07B7">
            <w:pPr>
              <w:keepNext/>
              <w:jc w:val="center"/>
              <w:rPr>
                <w:i/>
                <w:color w:val="26724C" w:themeColor="accent1" w:themeShade="BF"/>
                <w:sz w:val="18"/>
              </w:rPr>
            </w:pPr>
            <w:r w:rsidRPr="00755D48">
              <w:rPr>
                <w:i/>
                <w:color w:val="26724C" w:themeColor="accent1" w:themeShade="BF"/>
                <w:sz w:val="18"/>
              </w:rPr>
              <w:lastRenderedPageBreak/>
              <w:t>Figure 11.  Evolution of extrabudgetary funds</w:t>
            </w:r>
          </w:p>
          <w:p w14:paraId="1A0B240C" w14:textId="2D4BC79B" w:rsidR="009716EF" w:rsidRPr="00755D48" w:rsidRDefault="009716EF" w:rsidP="008F07B7">
            <w:pPr>
              <w:keepNext/>
              <w:jc w:val="center"/>
              <w:rPr>
                <w:i/>
                <w:color w:val="26724C" w:themeColor="accent1" w:themeShade="BF"/>
                <w:sz w:val="18"/>
              </w:rPr>
            </w:pPr>
          </w:p>
        </w:tc>
      </w:tr>
      <w:tr w:rsidR="0090485B" w:rsidRPr="00421986" w14:paraId="64893D43" w14:textId="77777777" w:rsidTr="008F07B7">
        <w:tc>
          <w:tcPr>
            <w:tcW w:w="9629" w:type="dxa"/>
          </w:tcPr>
          <w:p w14:paraId="20F14FA5" w14:textId="07B1D90A" w:rsidR="0090485B" w:rsidRPr="00421986" w:rsidRDefault="0090485B" w:rsidP="008F07B7">
            <w:pPr>
              <w:jc w:val="center"/>
            </w:pPr>
            <w:r>
              <w:t xml:space="preserve">  </w:t>
            </w:r>
            <w:r w:rsidR="00FC761B">
              <w:rPr>
                <w:noProof/>
              </w:rPr>
              <w:drawing>
                <wp:inline distT="0" distB="0" distL="0" distR="0" wp14:anchorId="6A3118B5" wp14:editId="43A0224D">
                  <wp:extent cx="5804876" cy="3724634"/>
                  <wp:effectExtent l="0" t="0" r="571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5299" cy="3731322"/>
                          </a:xfrm>
                          <a:prstGeom prst="rect">
                            <a:avLst/>
                          </a:prstGeom>
                          <a:noFill/>
                        </pic:spPr>
                      </pic:pic>
                    </a:graphicData>
                  </a:graphic>
                </wp:inline>
              </w:drawing>
            </w:r>
          </w:p>
        </w:tc>
      </w:tr>
    </w:tbl>
    <w:p w14:paraId="000028C2" w14:textId="77777777" w:rsidR="0090485B" w:rsidRPr="00421986" w:rsidRDefault="0090485B" w:rsidP="0090485B"/>
    <w:p w14:paraId="21283FCB" w14:textId="77777777" w:rsidR="0090485B" w:rsidRPr="00DC4958" w:rsidRDefault="0090485B" w:rsidP="0090485B">
      <w:pPr>
        <w:ind w:left="360"/>
        <w:rPr>
          <w:i/>
          <w:sz w:val="16"/>
          <w:szCs w:val="18"/>
        </w:rPr>
      </w:pPr>
      <w:r w:rsidRPr="00DC4958">
        <w:rPr>
          <w:sz w:val="16"/>
          <w:szCs w:val="18"/>
        </w:rPr>
        <w:t>*</w:t>
      </w:r>
      <w:r w:rsidRPr="00DC4958">
        <w:rPr>
          <w:i/>
          <w:sz w:val="16"/>
          <w:szCs w:val="18"/>
        </w:rPr>
        <w:t xml:space="preserve">The Japan FIT funds for 2015 and 2016 were both received in 2016 but have been split between 2015 and 2016 for the purposes of this graph. </w:t>
      </w:r>
    </w:p>
    <w:p w14:paraId="202413C2" w14:textId="77777777" w:rsidR="0090485B" w:rsidRDefault="0090485B" w:rsidP="0090485B"/>
    <w:p w14:paraId="2316C5E8" w14:textId="77777777" w:rsidR="0090485B" w:rsidRDefault="0090485B" w:rsidP="0090485B"/>
    <w:p w14:paraId="3BB3133F" w14:textId="77777777" w:rsidR="0090485B" w:rsidRPr="008B40C0" w:rsidRDefault="0090485B" w:rsidP="0090485B">
      <w:pPr>
        <w:pStyle w:val="Heading2"/>
      </w:pPr>
      <w:bookmarkStart w:id="490" w:name="_Toc77931053"/>
      <w:r>
        <w:t>Proposed budget 2022</w:t>
      </w:r>
      <w:r>
        <w:noBreakHyphen/>
        <w:t>2023</w:t>
      </w:r>
      <w:bookmarkEnd w:id="490"/>
    </w:p>
    <w:p w14:paraId="5FF63A0B" w14:textId="77777777" w:rsidR="0090485B" w:rsidRPr="00421986" w:rsidRDefault="0090485B" w:rsidP="0090485B"/>
    <w:p w14:paraId="041D8FE4" w14:textId="77777777" w:rsidR="0090485B" w:rsidRPr="00421986" w:rsidRDefault="0090485B" w:rsidP="0090485B">
      <w:pPr>
        <w:rPr>
          <w:spacing w:val="-2"/>
          <w:szCs w:val="24"/>
        </w:rPr>
      </w:pPr>
      <w:r w:rsidRPr="00421986">
        <w:t>The proposed budget</w:t>
      </w:r>
      <w:r w:rsidRPr="00421986">
        <w:rPr>
          <w:rStyle w:val="FootnoteReference"/>
        </w:rPr>
        <w:footnoteReference w:id="8"/>
      </w:r>
      <w:r w:rsidRPr="00421986">
        <w:t xml:space="preserve"> for the </w:t>
      </w:r>
      <w:r>
        <w:rPr>
          <w:snapToGrid w:val="0"/>
        </w:rPr>
        <w:t>2022</w:t>
      </w:r>
      <w:r>
        <w:rPr>
          <w:snapToGrid w:val="0"/>
        </w:rPr>
        <w:noBreakHyphen/>
        <w:t>2023</w:t>
      </w:r>
      <w:r w:rsidRPr="00115442">
        <w:t xml:space="preserve"> </w:t>
      </w:r>
      <w:r>
        <w:t>biennium</w:t>
      </w:r>
      <w:r w:rsidRPr="00115442">
        <w:t xml:space="preserve"> anticipates an income of </w:t>
      </w:r>
      <w:r w:rsidRPr="00C20F3E">
        <w:t>7,634,500</w:t>
      </w:r>
      <w:r w:rsidRPr="00115442">
        <w:t xml:space="preserve"> Swiss francs compared to the 2020­2021 budget of </w:t>
      </w:r>
      <w:r w:rsidRPr="00C20F3E">
        <w:t>7,347,285</w:t>
      </w:r>
      <w:r w:rsidRPr="00115442">
        <w:t xml:space="preserve"> Swiss francs</w:t>
      </w:r>
      <w:r w:rsidRPr="00421986">
        <w:t xml:space="preserve">. </w:t>
      </w:r>
      <w:r>
        <w:t xml:space="preserve"> </w:t>
      </w:r>
      <w:r w:rsidRPr="00421986">
        <w:rPr>
          <w:spacing w:val="-2"/>
          <w:szCs w:val="24"/>
        </w:rPr>
        <w:t xml:space="preserve">Expenditure is estimated at the same </w:t>
      </w:r>
      <w:r>
        <w:rPr>
          <w:spacing w:val="-2"/>
          <w:szCs w:val="24"/>
        </w:rPr>
        <w:t xml:space="preserve">level </w:t>
      </w:r>
      <w:r w:rsidRPr="00421986">
        <w:rPr>
          <w:spacing w:val="-2"/>
          <w:szCs w:val="24"/>
        </w:rPr>
        <w:t>as the expected income</w:t>
      </w:r>
      <w:r>
        <w:rPr>
          <w:spacing w:val="-2"/>
          <w:szCs w:val="24"/>
        </w:rPr>
        <w:t xml:space="preserve"> </w:t>
      </w:r>
      <w:r w:rsidRPr="00421986">
        <w:t xml:space="preserve">(see </w:t>
      </w:r>
      <w:r w:rsidRPr="000B44E2">
        <w:t>Table 1</w:t>
      </w:r>
      <w:r w:rsidRPr="00421986">
        <w:t>)</w:t>
      </w:r>
      <w:r w:rsidRPr="00421986">
        <w:rPr>
          <w:spacing w:val="-2"/>
          <w:szCs w:val="24"/>
        </w:rPr>
        <w:t>.</w:t>
      </w:r>
    </w:p>
    <w:p w14:paraId="7D25D3C6" w14:textId="77777777" w:rsidR="0090485B" w:rsidRDefault="0090485B" w:rsidP="0090485B"/>
    <w:p w14:paraId="2F3A4ABE" w14:textId="77777777" w:rsidR="0090485B" w:rsidRDefault="0090485B" w:rsidP="0090485B">
      <w:pPr>
        <w:jc w:val="center"/>
      </w:pPr>
    </w:p>
    <w:p w14:paraId="6A521F95" w14:textId="77777777" w:rsidR="0090485B" w:rsidRDefault="0090485B" w:rsidP="0090485B">
      <w:pPr>
        <w:jc w:val="center"/>
        <w:rPr>
          <w:b/>
          <w:color w:val="26724C" w:themeColor="accent1" w:themeShade="BF"/>
        </w:rPr>
      </w:pPr>
      <w:r w:rsidRPr="008B40C0">
        <w:rPr>
          <w:b/>
          <w:color w:val="26724C" w:themeColor="accent1" w:themeShade="BF"/>
        </w:rPr>
        <w:t xml:space="preserve">Table </w:t>
      </w:r>
      <w:r w:rsidRPr="00956CB7">
        <w:rPr>
          <w:b/>
          <w:color w:val="26724C" w:themeColor="accent1" w:themeShade="BF"/>
        </w:rPr>
        <w:t>1:  Income and Expenditure 2018-2019, 2020-20</w:t>
      </w:r>
      <w:r w:rsidRPr="008B40C0">
        <w:rPr>
          <w:b/>
          <w:color w:val="26724C" w:themeColor="accent1" w:themeShade="BF"/>
        </w:rPr>
        <w:t xml:space="preserve">21 and </w:t>
      </w:r>
      <w:r>
        <w:rPr>
          <w:b/>
          <w:color w:val="26724C" w:themeColor="accent1" w:themeShade="BF"/>
        </w:rPr>
        <w:t>2022</w:t>
      </w:r>
      <w:r>
        <w:rPr>
          <w:b/>
          <w:color w:val="26724C" w:themeColor="accent1" w:themeShade="BF"/>
        </w:rPr>
        <w:noBreakHyphen/>
        <w:t>2023</w:t>
      </w:r>
    </w:p>
    <w:p w14:paraId="6B9278AF" w14:textId="77777777" w:rsidR="0090485B" w:rsidRPr="00E01CAB" w:rsidRDefault="0090485B" w:rsidP="0090485B">
      <w:pPr>
        <w:jc w:val="center"/>
        <w:rPr>
          <w:i/>
          <w:sz w:val="18"/>
        </w:rPr>
      </w:pPr>
      <w:r w:rsidRPr="00E01CAB">
        <w:rPr>
          <w:i/>
          <w:sz w:val="18"/>
        </w:rPr>
        <w:t>(in thousand</w:t>
      </w:r>
      <w:r>
        <w:rPr>
          <w:i/>
          <w:sz w:val="18"/>
        </w:rPr>
        <w:t>s</w:t>
      </w:r>
      <w:r w:rsidRPr="00E01CAB">
        <w:rPr>
          <w:i/>
          <w:sz w:val="18"/>
        </w:rPr>
        <w:t xml:space="preserve"> of Swiss francs)</w:t>
      </w:r>
    </w:p>
    <w:p w14:paraId="6D2CBE71" w14:textId="77777777" w:rsidR="0090485B" w:rsidRDefault="0090485B" w:rsidP="0090485B">
      <w:pPr>
        <w:rPr>
          <w:spacing w:val="-2"/>
          <w:szCs w:val="24"/>
        </w:rPr>
      </w:pPr>
    </w:p>
    <w:tbl>
      <w:tblPr>
        <w:tblW w:w="9560" w:type="dxa"/>
        <w:tblLook w:val="04A0" w:firstRow="1" w:lastRow="0" w:firstColumn="1" w:lastColumn="0" w:noHBand="0" w:noVBand="1"/>
      </w:tblPr>
      <w:tblGrid>
        <w:gridCol w:w="3800"/>
        <w:gridCol w:w="1180"/>
        <w:gridCol w:w="1180"/>
        <w:gridCol w:w="720"/>
        <w:gridCol w:w="1020"/>
        <w:gridCol w:w="1660"/>
      </w:tblGrid>
      <w:tr w:rsidR="0090485B" w:rsidRPr="00D9062C" w14:paraId="1425A71C" w14:textId="77777777" w:rsidTr="008F07B7">
        <w:trPr>
          <w:trHeight w:val="255"/>
        </w:trPr>
        <w:tc>
          <w:tcPr>
            <w:tcW w:w="3800" w:type="dxa"/>
            <w:tcBorders>
              <w:top w:val="nil"/>
              <w:left w:val="nil"/>
              <w:bottom w:val="nil"/>
              <w:right w:val="nil"/>
            </w:tcBorders>
            <w:shd w:val="clear" w:color="000000" w:fill="C7CFD8"/>
            <w:hideMark/>
          </w:tcPr>
          <w:p w14:paraId="6892F267" w14:textId="77777777" w:rsidR="0090485B" w:rsidRPr="00D9062C" w:rsidRDefault="0090485B" w:rsidP="008F07B7">
            <w:pPr>
              <w:ind w:firstLineChars="100" w:firstLine="200"/>
              <w:jc w:val="left"/>
              <w:rPr>
                <w:rFonts w:cs="Arial"/>
                <w:b/>
                <w:bCs/>
                <w:i/>
                <w:iCs/>
              </w:rPr>
            </w:pPr>
            <w:r w:rsidRPr="00D9062C">
              <w:rPr>
                <w:rFonts w:cs="Arial"/>
                <w:b/>
                <w:bCs/>
                <w:i/>
                <w:iCs/>
              </w:rPr>
              <w:t> </w:t>
            </w:r>
          </w:p>
        </w:tc>
        <w:tc>
          <w:tcPr>
            <w:tcW w:w="1180" w:type="dxa"/>
            <w:tcBorders>
              <w:top w:val="nil"/>
              <w:left w:val="nil"/>
              <w:bottom w:val="nil"/>
              <w:right w:val="nil"/>
            </w:tcBorders>
            <w:shd w:val="clear" w:color="000000" w:fill="C7CFD8"/>
            <w:vAlign w:val="center"/>
            <w:hideMark/>
          </w:tcPr>
          <w:p w14:paraId="686A5546"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2018-2019 </w:t>
            </w:r>
          </w:p>
        </w:tc>
        <w:tc>
          <w:tcPr>
            <w:tcW w:w="1180" w:type="dxa"/>
            <w:tcBorders>
              <w:top w:val="nil"/>
              <w:left w:val="nil"/>
              <w:bottom w:val="nil"/>
              <w:right w:val="nil"/>
            </w:tcBorders>
            <w:shd w:val="clear" w:color="000000" w:fill="C7CFD8"/>
            <w:vAlign w:val="center"/>
            <w:hideMark/>
          </w:tcPr>
          <w:p w14:paraId="525641EF"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2020-2021 </w:t>
            </w:r>
          </w:p>
        </w:tc>
        <w:tc>
          <w:tcPr>
            <w:tcW w:w="1740" w:type="dxa"/>
            <w:gridSpan w:val="2"/>
            <w:vMerge w:val="restart"/>
            <w:tcBorders>
              <w:top w:val="nil"/>
              <w:left w:val="nil"/>
              <w:bottom w:val="single" w:sz="4" w:space="0" w:color="748B9E"/>
              <w:right w:val="nil"/>
            </w:tcBorders>
            <w:shd w:val="clear" w:color="000000" w:fill="C7CFD8"/>
            <w:vAlign w:val="center"/>
            <w:hideMark/>
          </w:tcPr>
          <w:p w14:paraId="522C500E"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Variation</w:t>
            </w:r>
          </w:p>
        </w:tc>
        <w:tc>
          <w:tcPr>
            <w:tcW w:w="1660" w:type="dxa"/>
            <w:tcBorders>
              <w:top w:val="nil"/>
              <w:left w:val="nil"/>
              <w:bottom w:val="nil"/>
              <w:right w:val="nil"/>
            </w:tcBorders>
            <w:shd w:val="clear" w:color="000000" w:fill="C7CFD8"/>
            <w:vAlign w:val="center"/>
            <w:hideMark/>
          </w:tcPr>
          <w:p w14:paraId="090807F3" w14:textId="77777777" w:rsidR="0090485B" w:rsidRPr="00D9062C" w:rsidRDefault="0090485B" w:rsidP="008F07B7">
            <w:pPr>
              <w:jc w:val="center"/>
              <w:rPr>
                <w:rFonts w:ascii="Arial Narrow" w:hAnsi="Arial Narrow" w:cs="Arial"/>
                <w:b/>
                <w:bCs/>
                <w:sz w:val="18"/>
                <w:szCs w:val="18"/>
              </w:rPr>
            </w:pPr>
            <w:r>
              <w:rPr>
                <w:rFonts w:ascii="Arial Narrow" w:hAnsi="Arial Narrow" w:cs="Arial"/>
                <w:b/>
                <w:bCs/>
                <w:sz w:val="18"/>
                <w:szCs w:val="18"/>
              </w:rPr>
              <w:t>2022</w:t>
            </w:r>
            <w:r>
              <w:rPr>
                <w:rFonts w:ascii="Arial Narrow" w:hAnsi="Arial Narrow" w:cs="Arial"/>
                <w:b/>
                <w:bCs/>
                <w:sz w:val="18"/>
                <w:szCs w:val="18"/>
              </w:rPr>
              <w:noBreakHyphen/>
              <w:t>2023</w:t>
            </w:r>
            <w:r w:rsidRPr="00D9062C">
              <w:rPr>
                <w:rFonts w:ascii="Arial Narrow" w:hAnsi="Arial Narrow" w:cs="Arial"/>
                <w:b/>
                <w:bCs/>
                <w:sz w:val="18"/>
                <w:szCs w:val="18"/>
              </w:rPr>
              <w:t xml:space="preserve"> </w:t>
            </w:r>
          </w:p>
        </w:tc>
      </w:tr>
      <w:tr w:rsidR="0090485B" w:rsidRPr="00D9062C" w14:paraId="2119DB29" w14:textId="77777777" w:rsidTr="008F07B7">
        <w:trPr>
          <w:trHeight w:val="260"/>
        </w:trPr>
        <w:tc>
          <w:tcPr>
            <w:tcW w:w="3800" w:type="dxa"/>
            <w:tcBorders>
              <w:top w:val="nil"/>
              <w:left w:val="nil"/>
              <w:bottom w:val="nil"/>
              <w:right w:val="nil"/>
            </w:tcBorders>
            <w:shd w:val="clear" w:color="000000" w:fill="C7CFD8"/>
            <w:hideMark/>
          </w:tcPr>
          <w:p w14:paraId="038888A2" w14:textId="77777777" w:rsidR="0090485B" w:rsidRPr="00D9062C" w:rsidRDefault="0090485B" w:rsidP="008F07B7">
            <w:pPr>
              <w:ind w:firstLineChars="100" w:firstLine="200"/>
              <w:jc w:val="left"/>
              <w:rPr>
                <w:rFonts w:cs="Arial"/>
                <w:b/>
                <w:bCs/>
                <w:i/>
                <w:iCs/>
              </w:rPr>
            </w:pPr>
            <w:r w:rsidRPr="00D9062C">
              <w:rPr>
                <w:rFonts w:cs="Arial"/>
                <w:b/>
                <w:bCs/>
                <w:i/>
                <w:iCs/>
              </w:rPr>
              <w:t> </w:t>
            </w:r>
          </w:p>
        </w:tc>
        <w:tc>
          <w:tcPr>
            <w:tcW w:w="1180" w:type="dxa"/>
            <w:tcBorders>
              <w:top w:val="nil"/>
              <w:left w:val="nil"/>
              <w:bottom w:val="nil"/>
              <w:right w:val="nil"/>
            </w:tcBorders>
            <w:shd w:val="clear" w:color="000000" w:fill="C7CFD8"/>
            <w:vAlign w:val="center"/>
            <w:hideMark/>
          </w:tcPr>
          <w:p w14:paraId="27EE6FD1"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Actual </w:t>
            </w:r>
          </w:p>
        </w:tc>
        <w:tc>
          <w:tcPr>
            <w:tcW w:w="1180" w:type="dxa"/>
            <w:tcBorders>
              <w:top w:val="nil"/>
              <w:left w:val="nil"/>
              <w:bottom w:val="nil"/>
              <w:right w:val="nil"/>
            </w:tcBorders>
            <w:shd w:val="clear" w:color="000000" w:fill="C7CFD8"/>
            <w:vAlign w:val="center"/>
            <w:hideMark/>
          </w:tcPr>
          <w:p w14:paraId="01446AEA"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Budget </w:t>
            </w:r>
          </w:p>
        </w:tc>
        <w:tc>
          <w:tcPr>
            <w:tcW w:w="1740" w:type="dxa"/>
            <w:gridSpan w:val="2"/>
            <w:vMerge/>
            <w:tcBorders>
              <w:top w:val="nil"/>
              <w:left w:val="nil"/>
              <w:bottom w:val="nil"/>
              <w:right w:val="nil"/>
            </w:tcBorders>
            <w:vAlign w:val="center"/>
            <w:hideMark/>
          </w:tcPr>
          <w:p w14:paraId="38C63926" w14:textId="77777777" w:rsidR="0090485B" w:rsidRPr="00D9062C" w:rsidRDefault="0090485B" w:rsidP="008F07B7">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278B2BBE"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Proposed </w:t>
            </w:r>
          </w:p>
        </w:tc>
      </w:tr>
      <w:tr w:rsidR="0090485B" w:rsidRPr="00D9062C" w14:paraId="1BE83A93" w14:textId="77777777" w:rsidTr="008F07B7">
        <w:trPr>
          <w:trHeight w:val="260"/>
        </w:trPr>
        <w:tc>
          <w:tcPr>
            <w:tcW w:w="3800" w:type="dxa"/>
            <w:tcBorders>
              <w:top w:val="nil"/>
              <w:left w:val="nil"/>
              <w:bottom w:val="nil"/>
              <w:right w:val="nil"/>
            </w:tcBorders>
            <w:shd w:val="clear" w:color="000000" w:fill="C7CFD8"/>
            <w:vAlign w:val="bottom"/>
            <w:hideMark/>
          </w:tcPr>
          <w:p w14:paraId="77F98424" w14:textId="77777777" w:rsidR="0090485B" w:rsidRPr="00D9062C" w:rsidRDefault="0090485B" w:rsidP="008F07B7">
            <w:pPr>
              <w:ind w:firstLineChars="100" w:firstLine="200"/>
              <w:jc w:val="left"/>
              <w:rPr>
                <w:rFonts w:cs="Arial"/>
                <w:b/>
                <w:bCs/>
                <w:i/>
                <w:iCs/>
              </w:rPr>
            </w:pPr>
            <w:r w:rsidRPr="00D9062C">
              <w:rPr>
                <w:rFonts w:cs="Arial"/>
                <w:b/>
                <w:bCs/>
                <w:i/>
                <w:iCs/>
              </w:rPr>
              <w:t> </w:t>
            </w:r>
          </w:p>
        </w:tc>
        <w:tc>
          <w:tcPr>
            <w:tcW w:w="1180" w:type="dxa"/>
            <w:tcBorders>
              <w:top w:val="nil"/>
              <w:left w:val="nil"/>
              <w:bottom w:val="nil"/>
              <w:right w:val="nil"/>
            </w:tcBorders>
            <w:shd w:val="clear" w:color="000000" w:fill="C7CFD8"/>
            <w:vAlign w:val="center"/>
            <w:hideMark/>
          </w:tcPr>
          <w:p w14:paraId="3A4F4786"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0E77AFA2"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B </w:t>
            </w:r>
          </w:p>
        </w:tc>
        <w:tc>
          <w:tcPr>
            <w:tcW w:w="720" w:type="dxa"/>
            <w:tcBorders>
              <w:top w:val="nil"/>
              <w:left w:val="nil"/>
              <w:bottom w:val="nil"/>
              <w:right w:val="nil"/>
            </w:tcBorders>
            <w:shd w:val="clear" w:color="000000" w:fill="C7CFD8"/>
            <w:vAlign w:val="center"/>
            <w:hideMark/>
          </w:tcPr>
          <w:p w14:paraId="20998610"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C </w:t>
            </w:r>
          </w:p>
        </w:tc>
        <w:tc>
          <w:tcPr>
            <w:tcW w:w="1020" w:type="dxa"/>
            <w:tcBorders>
              <w:top w:val="nil"/>
              <w:left w:val="nil"/>
              <w:bottom w:val="nil"/>
              <w:right w:val="nil"/>
            </w:tcBorders>
            <w:shd w:val="clear" w:color="000000" w:fill="C7CFD8"/>
            <w:vAlign w:val="center"/>
            <w:hideMark/>
          </w:tcPr>
          <w:p w14:paraId="3CB8CDBC"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18B9686F"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D=B+C </w:t>
            </w:r>
          </w:p>
        </w:tc>
      </w:tr>
      <w:tr w:rsidR="0090485B" w:rsidRPr="00D9062C" w14:paraId="183044B2" w14:textId="77777777" w:rsidTr="008F07B7">
        <w:trPr>
          <w:trHeight w:val="330"/>
        </w:trPr>
        <w:tc>
          <w:tcPr>
            <w:tcW w:w="3800" w:type="dxa"/>
            <w:tcBorders>
              <w:top w:val="nil"/>
              <w:left w:val="nil"/>
              <w:bottom w:val="nil"/>
              <w:right w:val="nil"/>
            </w:tcBorders>
            <w:shd w:val="clear" w:color="auto" w:fill="auto"/>
            <w:vAlign w:val="center"/>
            <w:hideMark/>
          </w:tcPr>
          <w:p w14:paraId="371BE17C" w14:textId="77777777" w:rsidR="0090485B" w:rsidRPr="00D9062C" w:rsidRDefault="0090485B" w:rsidP="008F07B7">
            <w:pPr>
              <w:jc w:val="left"/>
              <w:rPr>
                <w:rFonts w:ascii="Arial Narrow" w:hAnsi="Arial Narrow" w:cs="Arial"/>
                <w:b/>
                <w:bCs/>
              </w:rPr>
            </w:pPr>
            <w:r w:rsidRPr="00D9062C">
              <w:rPr>
                <w:rFonts w:ascii="Arial Narrow" w:hAnsi="Arial Narrow" w:cs="Arial"/>
                <w:b/>
                <w:bCs/>
              </w:rPr>
              <w:t>1. Income</w:t>
            </w:r>
          </w:p>
        </w:tc>
        <w:tc>
          <w:tcPr>
            <w:tcW w:w="1180" w:type="dxa"/>
            <w:tcBorders>
              <w:top w:val="nil"/>
              <w:left w:val="nil"/>
              <w:bottom w:val="nil"/>
              <w:right w:val="nil"/>
            </w:tcBorders>
            <w:shd w:val="clear" w:color="auto" w:fill="auto"/>
            <w:vAlign w:val="center"/>
            <w:hideMark/>
          </w:tcPr>
          <w:p w14:paraId="43A621D8"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6,931</w:t>
            </w:r>
          </w:p>
        </w:tc>
        <w:tc>
          <w:tcPr>
            <w:tcW w:w="1180" w:type="dxa"/>
            <w:tcBorders>
              <w:top w:val="nil"/>
              <w:left w:val="nil"/>
              <w:bottom w:val="nil"/>
              <w:right w:val="nil"/>
            </w:tcBorders>
            <w:shd w:val="clear" w:color="auto" w:fill="auto"/>
            <w:vAlign w:val="center"/>
            <w:hideMark/>
          </w:tcPr>
          <w:p w14:paraId="576D467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7,347</w:t>
            </w:r>
          </w:p>
        </w:tc>
        <w:tc>
          <w:tcPr>
            <w:tcW w:w="720" w:type="dxa"/>
            <w:tcBorders>
              <w:top w:val="nil"/>
              <w:left w:val="nil"/>
              <w:bottom w:val="nil"/>
              <w:right w:val="nil"/>
            </w:tcBorders>
            <w:shd w:val="clear" w:color="auto" w:fill="auto"/>
            <w:vAlign w:val="center"/>
            <w:hideMark/>
          </w:tcPr>
          <w:p w14:paraId="16352BC2"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287</w:t>
            </w:r>
          </w:p>
        </w:tc>
        <w:tc>
          <w:tcPr>
            <w:tcW w:w="1020" w:type="dxa"/>
            <w:tcBorders>
              <w:top w:val="nil"/>
              <w:left w:val="nil"/>
              <w:bottom w:val="nil"/>
              <w:right w:val="nil"/>
            </w:tcBorders>
            <w:shd w:val="clear" w:color="auto" w:fill="auto"/>
            <w:vAlign w:val="center"/>
            <w:hideMark/>
          </w:tcPr>
          <w:p w14:paraId="10DC73DE" w14:textId="77777777" w:rsidR="0090485B" w:rsidRPr="00D9062C" w:rsidRDefault="0090485B" w:rsidP="008F07B7">
            <w:pPr>
              <w:jc w:val="right"/>
              <w:rPr>
                <w:rFonts w:ascii="Arial Narrow" w:hAnsi="Arial Narrow" w:cs="Arial"/>
                <w:b/>
                <w:bCs/>
              </w:rPr>
            </w:pPr>
            <w:r w:rsidRPr="00D9062C">
              <w:rPr>
                <w:rFonts w:ascii="Arial Narrow" w:hAnsi="Arial Narrow" w:cs="Arial"/>
                <w:b/>
                <w:bCs/>
              </w:rPr>
              <w:t>3.9%</w:t>
            </w:r>
          </w:p>
        </w:tc>
        <w:tc>
          <w:tcPr>
            <w:tcW w:w="1660" w:type="dxa"/>
            <w:tcBorders>
              <w:top w:val="nil"/>
              <w:left w:val="nil"/>
              <w:bottom w:val="nil"/>
              <w:right w:val="nil"/>
            </w:tcBorders>
            <w:shd w:val="clear" w:color="auto" w:fill="auto"/>
            <w:vAlign w:val="center"/>
            <w:hideMark/>
          </w:tcPr>
          <w:p w14:paraId="7455BC93"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7,635</w:t>
            </w:r>
          </w:p>
        </w:tc>
      </w:tr>
      <w:tr w:rsidR="0090485B" w:rsidRPr="00D9062C" w14:paraId="0707524C" w14:textId="77777777" w:rsidTr="008F07B7">
        <w:trPr>
          <w:trHeight w:val="330"/>
        </w:trPr>
        <w:tc>
          <w:tcPr>
            <w:tcW w:w="3800" w:type="dxa"/>
            <w:tcBorders>
              <w:top w:val="nil"/>
              <w:left w:val="nil"/>
              <w:bottom w:val="single" w:sz="4" w:space="0" w:color="AAB8C4"/>
              <w:right w:val="nil"/>
            </w:tcBorders>
            <w:shd w:val="clear" w:color="auto" w:fill="auto"/>
            <w:noWrap/>
            <w:vAlign w:val="center"/>
            <w:hideMark/>
          </w:tcPr>
          <w:p w14:paraId="0EC82CB8" w14:textId="77777777" w:rsidR="0090485B" w:rsidRPr="00D9062C" w:rsidRDefault="0090485B" w:rsidP="008F07B7">
            <w:pPr>
              <w:jc w:val="left"/>
              <w:rPr>
                <w:rFonts w:ascii="Arial Narrow" w:hAnsi="Arial Narrow" w:cs="Arial"/>
                <w:b/>
                <w:bCs/>
              </w:rPr>
            </w:pPr>
            <w:r w:rsidRPr="00D9062C">
              <w:rPr>
                <w:rFonts w:ascii="Arial Narrow" w:hAnsi="Arial Narrow" w:cs="Arial"/>
                <w:b/>
                <w:bCs/>
              </w:rPr>
              <w:t>2. Expenditure</w:t>
            </w:r>
          </w:p>
        </w:tc>
        <w:tc>
          <w:tcPr>
            <w:tcW w:w="1180" w:type="dxa"/>
            <w:tcBorders>
              <w:top w:val="nil"/>
              <w:left w:val="nil"/>
              <w:bottom w:val="single" w:sz="4" w:space="0" w:color="BFBFBF"/>
              <w:right w:val="nil"/>
            </w:tcBorders>
            <w:shd w:val="clear" w:color="auto" w:fill="auto"/>
            <w:vAlign w:val="center"/>
            <w:hideMark/>
          </w:tcPr>
          <w:p w14:paraId="30685055"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6,854</w:t>
            </w:r>
          </w:p>
        </w:tc>
        <w:tc>
          <w:tcPr>
            <w:tcW w:w="1180" w:type="dxa"/>
            <w:tcBorders>
              <w:top w:val="nil"/>
              <w:left w:val="nil"/>
              <w:bottom w:val="single" w:sz="4" w:space="0" w:color="AAB8C4"/>
              <w:right w:val="nil"/>
            </w:tcBorders>
            <w:shd w:val="clear" w:color="auto" w:fill="auto"/>
            <w:vAlign w:val="center"/>
            <w:hideMark/>
          </w:tcPr>
          <w:p w14:paraId="2CDE9D4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7,347</w:t>
            </w:r>
          </w:p>
        </w:tc>
        <w:tc>
          <w:tcPr>
            <w:tcW w:w="720" w:type="dxa"/>
            <w:tcBorders>
              <w:top w:val="nil"/>
              <w:left w:val="nil"/>
              <w:bottom w:val="single" w:sz="4" w:space="0" w:color="AAB8C4"/>
              <w:right w:val="nil"/>
            </w:tcBorders>
            <w:shd w:val="clear" w:color="auto" w:fill="auto"/>
            <w:vAlign w:val="center"/>
            <w:hideMark/>
          </w:tcPr>
          <w:p w14:paraId="734482CF"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287</w:t>
            </w:r>
          </w:p>
        </w:tc>
        <w:tc>
          <w:tcPr>
            <w:tcW w:w="1020" w:type="dxa"/>
            <w:tcBorders>
              <w:top w:val="nil"/>
              <w:left w:val="nil"/>
              <w:bottom w:val="single" w:sz="4" w:space="0" w:color="BFBFBF"/>
              <w:right w:val="nil"/>
            </w:tcBorders>
            <w:shd w:val="clear" w:color="auto" w:fill="auto"/>
            <w:vAlign w:val="center"/>
            <w:hideMark/>
          </w:tcPr>
          <w:p w14:paraId="265B2D1F" w14:textId="77777777" w:rsidR="0090485B" w:rsidRPr="00D9062C" w:rsidRDefault="0090485B" w:rsidP="008F07B7">
            <w:pPr>
              <w:jc w:val="right"/>
              <w:rPr>
                <w:rFonts w:ascii="Arial Narrow" w:hAnsi="Arial Narrow" w:cs="Arial"/>
                <w:b/>
                <w:bCs/>
              </w:rPr>
            </w:pPr>
            <w:r w:rsidRPr="00D9062C">
              <w:rPr>
                <w:rFonts w:ascii="Arial Narrow" w:hAnsi="Arial Narrow" w:cs="Arial"/>
                <w:b/>
                <w:bCs/>
              </w:rPr>
              <w:t>3.9%</w:t>
            </w:r>
          </w:p>
        </w:tc>
        <w:tc>
          <w:tcPr>
            <w:tcW w:w="1660" w:type="dxa"/>
            <w:tcBorders>
              <w:top w:val="nil"/>
              <w:left w:val="nil"/>
              <w:bottom w:val="single" w:sz="4" w:space="0" w:color="AAB8C4"/>
              <w:right w:val="nil"/>
            </w:tcBorders>
            <w:shd w:val="clear" w:color="auto" w:fill="auto"/>
            <w:vAlign w:val="center"/>
            <w:hideMark/>
          </w:tcPr>
          <w:p w14:paraId="12DEC3B9"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7,635</w:t>
            </w:r>
          </w:p>
        </w:tc>
      </w:tr>
      <w:tr w:rsidR="0090485B" w:rsidRPr="00D9062C" w14:paraId="36DC73C4" w14:textId="77777777" w:rsidTr="008F07B7">
        <w:trPr>
          <w:trHeight w:val="330"/>
        </w:trPr>
        <w:tc>
          <w:tcPr>
            <w:tcW w:w="3800" w:type="dxa"/>
            <w:tcBorders>
              <w:top w:val="nil"/>
              <w:left w:val="nil"/>
              <w:bottom w:val="nil"/>
              <w:right w:val="nil"/>
            </w:tcBorders>
            <w:shd w:val="clear" w:color="auto" w:fill="auto"/>
            <w:vAlign w:val="bottom"/>
            <w:hideMark/>
          </w:tcPr>
          <w:p w14:paraId="3EECE907" w14:textId="77777777" w:rsidR="0090485B" w:rsidRPr="00D9062C" w:rsidRDefault="0090485B" w:rsidP="008F07B7">
            <w:pPr>
              <w:ind w:firstLineChars="100" w:firstLine="200"/>
              <w:jc w:val="left"/>
              <w:rPr>
                <w:rFonts w:ascii="Arial Narrow" w:hAnsi="Arial Narrow" w:cs="Arial"/>
                <w:i/>
                <w:iCs/>
              </w:rPr>
            </w:pPr>
            <w:r w:rsidRPr="00D9062C">
              <w:rPr>
                <w:rFonts w:ascii="Arial Narrow" w:hAnsi="Arial Narrow" w:cs="Arial"/>
                <w:i/>
                <w:iCs/>
              </w:rPr>
              <w:t xml:space="preserve">Difference </w:t>
            </w:r>
          </w:p>
        </w:tc>
        <w:tc>
          <w:tcPr>
            <w:tcW w:w="1180" w:type="dxa"/>
            <w:tcBorders>
              <w:top w:val="nil"/>
              <w:left w:val="nil"/>
              <w:bottom w:val="nil"/>
              <w:right w:val="nil"/>
            </w:tcBorders>
            <w:shd w:val="clear" w:color="auto" w:fill="auto"/>
            <w:vAlign w:val="bottom"/>
            <w:hideMark/>
          </w:tcPr>
          <w:p w14:paraId="21B48CF5"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76</w:t>
            </w:r>
          </w:p>
        </w:tc>
        <w:tc>
          <w:tcPr>
            <w:tcW w:w="1180" w:type="dxa"/>
            <w:tcBorders>
              <w:top w:val="nil"/>
              <w:left w:val="nil"/>
              <w:bottom w:val="nil"/>
              <w:right w:val="nil"/>
            </w:tcBorders>
            <w:shd w:val="clear" w:color="auto" w:fill="auto"/>
            <w:vAlign w:val="bottom"/>
            <w:hideMark/>
          </w:tcPr>
          <w:p w14:paraId="26905D8F"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720" w:type="dxa"/>
            <w:tcBorders>
              <w:top w:val="nil"/>
              <w:left w:val="nil"/>
              <w:bottom w:val="nil"/>
              <w:right w:val="nil"/>
            </w:tcBorders>
            <w:shd w:val="clear" w:color="auto" w:fill="auto"/>
            <w:vAlign w:val="bottom"/>
            <w:hideMark/>
          </w:tcPr>
          <w:p w14:paraId="0B620687"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1020" w:type="dxa"/>
            <w:tcBorders>
              <w:top w:val="nil"/>
              <w:left w:val="nil"/>
              <w:bottom w:val="nil"/>
              <w:right w:val="nil"/>
            </w:tcBorders>
            <w:shd w:val="clear" w:color="auto" w:fill="auto"/>
            <w:vAlign w:val="bottom"/>
            <w:hideMark/>
          </w:tcPr>
          <w:p w14:paraId="4AA118C6"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1660" w:type="dxa"/>
            <w:tcBorders>
              <w:top w:val="nil"/>
              <w:left w:val="nil"/>
              <w:bottom w:val="nil"/>
              <w:right w:val="nil"/>
            </w:tcBorders>
            <w:shd w:val="clear" w:color="auto" w:fill="auto"/>
            <w:vAlign w:val="bottom"/>
            <w:hideMark/>
          </w:tcPr>
          <w:p w14:paraId="21403275"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r>
      <w:tr w:rsidR="0090485B" w:rsidRPr="00D9062C" w14:paraId="014149DA" w14:textId="77777777" w:rsidTr="008F07B7">
        <w:trPr>
          <w:trHeight w:val="260"/>
        </w:trPr>
        <w:tc>
          <w:tcPr>
            <w:tcW w:w="3800" w:type="dxa"/>
            <w:tcBorders>
              <w:top w:val="nil"/>
              <w:left w:val="nil"/>
              <w:bottom w:val="nil"/>
              <w:right w:val="nil"/>
            </w:tcBorders>
            <w:shd w:val="clear" w:color="auto" w:fill="auto"/>
            <w:vAlign w:val="bottom"/>
            <w:hideMark/>
          </w:tcPr>
          <w:p w14:paraId="4252080F" w14:textId="77777777" w:rsidR="0090485B" w:rsidRPr="00D9062C" w:rsidRDefault="0090485B" w:rsidP="008F07B7">
            <w:pPr>
              <w:jc w:val="left"/>
              <w:rPr>
                <w:rFonts w:ascii="Arial Narrow" w:hAnsi="Arial Narrow" w:cs="Arial"/>
                <w:i/>
                <w:iCs/>
                <w:color w:val="000000"/>
              </w:rPr>
            </w:pPr>
          </w:p>
        </w:tc>
        <w:tc>
          <w:tcPr>
            <w:tcW w:w="1180" w:type="dxa"/>
            <w:tcBorders>
              <w:top w:val="nil"/>
              <w:left w:val="nil"/>
              <w:bottom w:val="nil"/>
              <w:right w:val="nil"/>
            </w:tcBorders>
            <w:shd w:val="clear" w:color="auto" w:fill="auto"/>
            <w:vAlign w:val="bottom"/>
            <w:hideMark/>
          </w:tcPr>
          <w:p w14:paraId="600C09D4" w14:textId="77777777" w:rsidR="0090485B" w:rsidRPr="00D9062C" w:rsidRDefault="0090485B" w:rsidP="008F07B7">
            <w:pPr>
              <w:jc w:val="right"/>
              <w:rPr>
                <w:rFonts w:ascii="Times New Roman" w:hAnsi="Times New Roman"/>
              </w:rPr>
            </w:pPr>
          </w:p>
        </w:tc>
        <w:tc>
          <w:tcPr>
            <w:tcW w:w="1180" w:type="dxa"/>
            <w:tcBorders>
              <w:top w:val="nil"/>
              <w:left w:val="nil"/>
              <w:bottom w:val="nil"/>
              <w:right w:val="nil"/>
            </w:tcBorders>
            <w:shd w:val="clear" w:color="auto" w:fill="auto"/>
            <w:vAlign w:val="bottom"/>
            <w:hideMark/>
          </w:tcPr>
          <w:p w14:paraId="48E1F6D0" w14:textId="77777777" w:rsidR="0090485B" w:rsidRPr="00D9062C" w:rsidRDefault="0090485B" w:rsidP="008F07B7">
            <w:pPr>
              <w:jc w:val="right"/>
              <w:rPr>
                <w:rFonts w:ascii="Times New Roman" w:hAnsi="Times New Roman"/>
              </w:rPr>
            </w:pPr>
          </w:p>
        </w:tc>
        <w:tc>
          <w:tcPr>
            <w:tcW w:w="720" w:type="dxa"/>
            <w:tcBorders>
              <w:top w:val="nil"/>
              <w:left w:val="nil"/>
              <w:bottom w:val="nil"/>
              <w:right w:val="nil"/>
            </w:tcBorders>
            <w:shd w:val="clear" w:color="auto" w:fill="auto"/>
            <w:vAlign w:val="bottom"/>
            <w:hideMark/>
          </w:tcPr>
          <w:p w14:paraId="1FC65983" w14:textId="77777777" w:rsidR="0090485B" w:rsidRPr="00D9062C" w:rsidRDefault="0090485B" w:rsidP="008F07B7">
            <w:pPr>
              <w:jc w:val="right"/>
              <w:rPr>
                <w:rFonts w:ascii="Times New Roman" w:hAnsi="Times New Roman"/>
              </w:rPr>
            </w:pPr>
          </w:p>
        </w:tc>
        <w:tc>
          <w:tcPr>
            <w:tcW w:w="1020" w:type="dxa"/>
            <w:tcBorders>
              <w:top w:val="nil"/>
              <w:left w:val="nil"/>
              <w:bottom w:val="nil"/>
              <w:right w:val="nil"/>
            </w:tcBorders>
            <w:shd w:val="clear" w:color="auto" w:fill="auto"/>
            <w:vAlign w:val="bottom"/>
            <w:hideMark/>
          </w:tcPr>
          <w:p w14:paraId="1764C92A" w14:textId="77777777" w:rsidR="0090485B" w:rsidRPr="00D9062C" w:rsidRDefault="0090485B" w:rsidP="008F07B7">
            <w:pPr>
              <w:jc w:val="right"/>
              <w:rPr>
                <w:rFonts w:ascii="Times New Roman" w:hAnsi="Times New Roman"/>
              </w:rPr>
            </w:pPr>
          </w:p>
        </w:tc>
        <w:tc>
          <w:tcPr>
            <w:tcW w:w="1660" w:type="dxa"/>
            <w:tcBorders>
              <w:top w:val="nil"/>
              <w:left w:val="nil"/>
              <w:bottom w:val="nil"/>
              <w:right w:val="nil"/>
            </w:tcBorders>
            <w:shd w:val="clear" w:color="auto" w:fill="auto"/>
            <w:vAlign w:val="bottom"/>
            <w:hideMark/>
          </w:tcPr>
          <w:p w14:paraId="10860A2E" w14:textId="77777777" w:rsidR="0090485B" w:rsidRPr="00D9062C" w:rsidRDefault="0090485B" w:rsidP="008F07B7">
            <w:pPr>
              <w:jc w:val="right"/>
              <w:rPr>
                <w:rFonts w:ascii="Times New Roman" w:hAnsi="Times New Roman"/>
              </w:rPr>
            </w:pPr>
          </w:p>
        </w:tc>
      </w:tr>
      <w:tr w:rsidR="0090485B" w:rsidRPr="00D9062C" w14:paraId="1B2BA7BB" w14:textId="77777777" w:rsidTr="008F07B7">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40BADA15" w14:textId="77777777" w:rsidR="0090485B" w:rsidRPr="00D9062C" w:rsidRDefault="0090485B" w:rsidP="008F07B7">
            <w:pPr>
              <w:jc w:val="left"/>
              <w:rPr>
                <w:rFonts w:ascii="Arial Narrow" w:hAnsi="Arial Narrow" w:cs="Arial"/>
                <w:b/>
                <w:bCs/>
              </w:rPr>
            </w:pPr>
            <w:r w:rsidRPr="00D9062C">
              <w:rPr>
                <w:rFonts w:ascii="Arial Narrow" w:hAnsi="Arial Narrow" w:cs="Arial"/>
                <w:b/>
                <w:bCs/>
              </w:rPr>
              <w:t>3. Working Capital Fund</w:t>
            </w:r>
          </w:p>
        </w:tc>
        <w:tc>
          <w:tcPr>
            <w:tcW w:w="1180" w:type="dxa"/>
            <w:tcBorders>
              <w:top w:val="single" w:sz="4" w:space="0" w:color="AAB8C4"/>
              <w:left w:val="nil"/>
              <w:bottom w:val="single" w:sz="8" w:space="0" w:color="AAB8C4"/>
              <w:right w:val="nil"/>
            </w:tcBorders>
            <w:shd w:val="clear" w:color="auto" w:fill="auto"/>
            <w:vAlign w:val="bottom"/>
            <w:hideMark/>
          </w:tcPr>
          <w:p w14:paraId="5B4D1FB6"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561</w:t>
            </w:r>
          </w:p>
        </w:tc>
        <w:tc>
          <w:tcPr>
            <w:tcW w:w="1180" w:type="dxa"/>
            <w:tcBorders>
              <w:top w:val="single" w:sz="4" w:space="0" w:color="AAB8C4"/>
              <w:left w:val="nil"/>
              <w:bottom w:val="single" w:sz="8" w:space="0" w:color="AAB8C4"/>
              <w:right w:val="nil"/>
            </w:tcBorders>
            <w:shd w:val="clear" w:color="auto" w:fill="auto"/>
            <w:vAlign w:val="bottom"/>
            <w:hideMark/>
          </w:tcPr>
          <w:p w14:paraId="38C66461"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566</w:t>
            </w:r>
          </w:p>
        </w:tc>
        <w:tc>
          <w:tcPr>
            <w:tcW w:w="720" w:type="dxa"/>
            <w:tcBorders>
              <w:top w:val="single" w:sz="4" w:space="0" w:color="AAB8C4"/>
              <w:left w:val="nil"/>
              <w:bottom w:val="single" w:sz="8" w:space="0" w:color="AAB8C4"/>
              <w:right w:val="nil"/>
            </w:tcBorders>
            <w:shd w:val="clear" w:color="auto" w:fill="auto"/>
            <w:vAlign w:val="bottom"/>
            <w:hideMark/>
          </w:tcPr>
          <w:p w14:paraId="2E05C038"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13</w:t>
            </w:r>
          </w:p>
        </w:tc>
        <w:tc>
          <w:tcPr>
            <w:tcW w:w="1020" w:type="dxa"/>
            <w:tcBorders>
              <w:top w:val="single" w:sz="4" w:space="0" w:color="BFBFBF"/>
              <w:left w:val="nil"/>
              <w:bottom w:val="single" w:sz="8" w:space="0" w:color="BFBFBF"/>
              <w:right w:val="nil"/>
            </w:tcBorders>
            <w:shd w:val="clear" w:color="auto" w:fill="auto"/>
            <w:vAlign w:val="bottom"/>
            <w:hideMark/>
          </w:tcPr>
          <w:p w14:paraId="2DABFC29" w14:textId="77777777" w:rsidR="0090485B" w:rsidRPr="00D9062C" w:rsidRDefault="0090485B" w:rsidP="008F07B7">
            <w:pPr>
              <w:jc w:val="right"/>
              <w:rPr>
                <w:rFonts w:ascii="Arial Narrow" w:hAnsi="Arial Narrow" w:cs="Arial"/>
                <w:b/>
                <w:bCs/>
              </w:rPr>
            </w:pPr>
            <w:r w:rsidRPr="00D9062C">
              <w:rPr>
                <w:rFonts w:ascii="Arial Narrow" w:hAnsi="Arial Narrow" w:cs="Arial"/>
                <w:b/>
                <w:bCs/>
              </w:rPr>
              <w:t>2.3%</w:t>
            </w:r>
          </w:p>
        </w:tc>
        <w:tc>
          <w:tcPr>
            <w:tcW w:w="1660" w:type="dxa"/>
            <w:tcBorders>
              <w:top w:val="single" w:sz="4" w:space="0" w:color="AAB8C4"/>
              <w:left w:val="nil"/>
              <w:bottom w:val="single" w:sz="8" w:space="0" w:color="AAB8C4"/>
              <w:right w:val="nil"/>
            </w:tcBorders>
            <w:shd w:val="clear" w:color="auto" w:fill="auto"/>
            <w:vAlign w:val="bottom"/>
            <w:hideMark/>
          </w:tcPr>
          <w:p w14:paraId="39F5863D" w14:textId="77777777" w:rsidR="0090485B" w:rsidRPr="00D9062C" w:rsidRDefault="0090485B" w:rsidP="008F07B7">
            <w:pPr>
              <w:jc w:val="right"/>
              <w:rPr>
                <w:rFonts w:ascii="Arial Narrow" w:hAnsi="Arial Narrow" w:cs="Arial"/>
                <w:b/>
                <w:bCs/>
              </w:rPr>
            </w:pPr>
            <w:r w:rsidRPr="00D9062C">
              <w:rPr>
                <w:rFonts w:ascii="Arial Narrow" w:hAnsi="Arial Narrow" w:cs="Arial"/>
                <w:b/>
                <w:bCs/>
              </w:rPr>
              <w:t>578</w:t>
            </w:r>
          </w:p>
        </w:tc>
      </w:tr>
    </w:tbl>
    <w:p w14:paraId="74CE750A" w14:textId="77777777" w:rsidR="0090485B" w:rsidRPr="00421986" w:rsidRDefault="0090485B" w:rsidP="0090485B">
      <w:pPr>
        <w:rPr>
          <w:spacing w:val="-2"/>
          <w:szCs w:val="24"/>
        </w:rPr>
      </w:pPr>
    </w:p>
    <w:p w14:paraId="2F6D051B" w14:textId="77777777" w:rsidR="0090485B" w:rsidRPr="00421986" w:rsidRDefault="0090485B" w:rsidP="0090485B">
      <w:pPr>
        <w:rPr>
          <w:spacing w:val="-2"/>
          <w:szCs w:val="24"/>
        </w:rPr>
      </w:pPr>
    </w:p>
    <w:p w14:paraId="0469BC0C" w14:textId="77777777" w:rsidR="0090485B" w:rsidRDefault="0090485B" w:rsidP="0090485B">
      <w:pPr>
        <w:jc w:val="left"/>
        <w:rPr>
          <w:spacing w:val="-2"/>
          <w:szCs w:val="24"/>
        </w:rPr>
      </w:pPr>
      <w:r>
        <w:rPr>
          <w:spacing w:val="-2"/>
          <w:szCs w:val="24"/>
        </w:rPr>
        <w:br w:type="page"/>
      </w:r>
    </w:p>
    <w:p w14:paraId="675FC6AA" w14:textId="77777777" w:rsidR="0090485B" w:rsidRDefault="0090485B" w:rsidP="0090485B">
      <w:pPr>
        <w:rPr>
          <w:spacing w:val="-2"/>
          <w:szCs w:val="24"/>
        </w:rPr>
      </w:pPr>
      <w:r w:rsidRPr="00421986">
        <w:rPr>
          <w:spacing w:val="-2"/>
          <w:szCs w:val="24"/>
        </w:rPr>
        <w:lastRenderedPageBreak/>
        <w:t xml:space="preserve">With regard to the reserve fund, it is recalled that document UPOV/INF/4/6 </w:t>
      </w:r>
      <w:r>
        <w:rPr>
          <w:spacing w:val="-2"/>
          <w:szCs w:val="24"/>
        </w:rPr>
        <w:t>“</w:t>
      </w:r>
      <w:r w:rsidRPr="00421986">
        <w:rPr>
          <w:spacing w:val="-2"/>
          <w:szCs w:val="24"/>
        </w:rPr>
        <w:t>Fin</w:t>
      </w:r>
      <w:r>
        <w:rPr>
          <w:spacing w:val="-2"/>
          <w:szCs w:val="24"/>
        </w:rPr>
        <w:t>ancial Regulations and Rules of </w:t>
      </w:r>
      <w:r w:rsidRPr="00421986">
        <w:rPr>
          <w:spacing w:val="-2"/>
          <w:szCs w:val="24"/>
        </w:rPr>
        <w:t>UPOV</w:t>
      </w:r>
      <w:r>
        <w:rPr>
          <w:spacing w:val="-2"/>
          <w:szCs w:val="24"/>
        </w:rPr>
        <w:t>”</w:t>
      </w:r>
      <w:r w:rsidRPr="00421986">
        <w:rPr>
          <w:spacing w:val="-2"/>
          <w:szCs w:val="24"/>
        </w:rPr>
        <w:t xml:space="preserve">, Regulation 4.6, states that </w:t>
      </w:r>
      <w:r>
        <w:rPr>
          <w:spacing w:val="-2"/>
          <w:szCs w:val="24"/>
        </w:rPr>
        <w:t>“</w:t>
      </w:r>
      <w:r w:rsidRPr="00421986">
        <w:rPr>
          <w:spacing w:val="-2"/>
          <w:szCs w:val="24"/>
        </w:rPr>
        <w:t>[…] If after the closure of the financial period, the amount of the reserve fund exceeds 15 percent of the total income for the financial period, the Council shall decide on the use of the income in excess of the expenditure for the financial period.</w:t>
      </w:r>
      <w:r>
        <w:rPr>
          <w:spacing w:val="-2"/>
          <w:szCs w:val="24"/>
        </w:rPr>
        <w:t>”</w:t>
      </w:r>
      <w:r w:rsidRPr="00421986">
        <w:rPr>
          <w:spacing w:val="-2"/>
          <w:szCs w:val="24"/>
        </w:rPr>
        <w:t xml:space="preserve">  The necessary arrangements would be made for consideration by the Consultative Committee and the Council if that situation is applicable at the closure of the </w:t>
      </w:r>
      <w:r>
        <w:rPr>
          <w:snapToGrid w:val="0"/>
          <w:spacing w:val="-2"/>
          <w:szCs w:val="24"/>
        </w:rPr>
        <w:t>2022</w:t>
      </w:r>
      <w:r>
        <w:rPr>
          <w:snapToGrid w:val="0"/>
          <w:spacing w:val="-2"/>
          <w:szCs w:val="24"/>
        </w:rPr>
        <w:noBreakHyphen/>
        <w:t>2023</w:t>
      </w:r>
      <w:r>
        <w:rPr>
          <w:spacing w:val="-2"/>
          <w:szCs w:val="24"/>
        </w:rPr>
        <w:t xml:space="preserve"> biennium. </w:t>
      </w:r>
    </w:p>
    <w:p w14:paraId="60554B56" w14:textId="77777777" w:rsidR="0090485B" w:rsidRDefault="0090485B" w:rsidP="0090485B">
      <w:pPr>
        <w:rPr>
          <w:spacing w:val="-2"/>
          <w:szCs w:val="24"/>
        </w:rPr>
      </w:pPr>
    </w:p>
    <w:p w14:paraId="43380B71" w14:textId="77777777" w:rsidR="0090485B" w:rsidRDefault="0090485B" w:rsidP="0090485B">
      <w:pPr>
        <w:rPr>
          <w:spacing w:val="-2"/>
          <w:szCs w:val="24"/>
        </w:rPr>
      </w:pPr>
    </w:p>
    <w:p w14:paraId="581BC8CA" w14:textId="77777777" w:rsidR="0090485B" w:rsidRPr="00C20F3E" w:rsidRDefault="0090485B" w:rsidP="0090485B">
      <w:pPr>
        <w:pStyle w:val="Heading3"/>
      </w:pPr>
      <w:bookmarkStart w:id="491" w:name="_Toc77931054"/>
      <w:r w:rsidRPr="00C20F3E">
        <w:t>Income</w:t>
      </w:r>
      <w:bookmarkEnd w:id="491"/>
    </w:p>
    <w:p w14:paraId="3CF2C5F3" w14:textId="77777777" w:rsidR="0090485B" w:rsidRDefault="0090485B" w:rsidP="0090485B">
      <w:pPr>
        <w:rPr>
          <w:spacing w:val="-2"/>
          <w:szCs w:val="24"/>
        </w:rPr>
      </w:pPr>
    </w:p>
    <w:p w14:paraId="48A0C994" w14:textId="77777777" w:rsidR="0090485B" w:rsidRPr="00421986" w:rsidRDefault="0090485B" w:rsidP="0090485B">
      <w:r w:rsidRPr="00421986">
        <w:t xml:space="preserve">Total income under the regular budget in the </w:t>
      </w:r>
      <w:r>
        <w:rPr>
          <w:snapToGrid w:val="0"/>
          <w:spacing w:val="-2"/>
          <w:szCs w:val="24"/>
        </w:rPr>
        <w:t>2022</w:t>
      </w:r>
      <w:r>
        <w:rPr>
          <w:snapToGrid w:val="0"/>
          <w:spacing w:val="-2"/>
          <w:szCs w:val="24"/>
        </w:rPr>
        <w:noBreakHyphen/>
        <w:t>2023</w:t>
      </w:r>
      <w:r w:rsidRPr="00421986">
        <w:rPr>
          <w:snapToGrid w:val="0"/>
          <w:spacing w:val="-2"/>
          <w:szCs w:val="24"/>
        </w:rPr>
        <w:t xml:space="preserve"> </w:t>
      </w:r>
      <w:r>
        <w:t>biennium</w:t>
      </w:r>
      <w:r w:rsidRPr="00421986">
        <w:t xml:space="preserve"> is estimated </w:t>
      </w:r>
      <w:r w:rsidRPr="00115442">
        <w:t xml:space="preserve">at </w:t>
      </w:r>
      <w:r w:rsidRPr="00C20F3E">
        <w:rPr>
          <w:spacing w:val="-2"/>
          <w:szCs w:val="24"/>
        </w:rPr>
        <w:t>7,634,500</w:t>
      </w:r>
      <w:r w:rsidRPr="00115442">
        <w:rPr>
          <w:spacing w:val="-2"/>
          <w:szCs w:val="24"/>
        </w:rPr>
        <w:t> Swiss francs, i.e.</w:t>
      </w:r>
      <w:r>
        <w:rPr>
          <w:spacing w:val="-2"/>
          <w:szCs w:val="24"/>
        </w:rPr>
        <w:t> </w:t>
      </w:r>
      <w:r w:rsidRPr="00C20F3E">
        <w:rPr>
          <w:spacing w:val="-2"/>
          <w:szCs w:val="24"/>
        </w:rPr>
        <w:t>287,215</w:t>
      </w:r>
      <w:r w:rsidRPr="00115442">
        <w:rPr>
          <w:spacing w:val="-2"/>
          <w:szCs w:val="24"/>
        </w:rPr>
        <w:t> Swiss francs,</w:t>
      </w:r>
      <w:r w:rsidRPr="00115442">
        <w:t xml:space="preserve"> or </w:t>
      </w:r>
      <w:r w:rsidRPr="00C20F3E">
        <w:rPr>
          <w:spacing w:val="-2"/>
          <w:szCs w:val="24"/>
        </w:rPr>
        <w:t>3.9</w:t>
      </w:r>
      <w:r>
        <w:rPr>
          <w:spacing w:val="-2"/>
          <w:szCs w:val="24"/>
        </w:rPr>
        <w:t> per cent</w:t>
      </w:r>
      <w:r w:rsidRPr="00115442">
        <w:rPr>
          <w:spacing w:val="-2"/>
          <w:szCs w:val="24"/>
        </w:rPr>
        <w:t>,</w:t>
      </w:r>
      <w:r w:rsidRPr="00115442">
        <w:t xml:space="preserve"> higher than the estimated income for the 2020-2021 </w:t>
      </w:r>
      <w:r>
        <w:t>biennium</w:t>
      </w:r>
      <w:r w:rsidRPr="00115442">
        <w:t xml:space="preserve"> (</w:t>
      </w:r>
      <w:r w:rsidRPr="00C20F3E">
        <w:rPr>
          <w:spacing w:val="-2"/>
          <w:szCs w:val="24"/>
        </w:rPr>
        <w:t>7,347,285</w:t>
      </w:r>
      <w:r w:rsidRPr="00115442">
        <w:rPr>
          <w:spacing w:val="-2"/>
          <w:szCs w:val="24"/>
        </w:rPr>
        <w:t> Swiss francs)</w:t>
      </w:r>
      <w:r>
        <w:rPr>
          <w:spacing w:val="-2"/>
          <w:szCs w:val="24"/>
        </w:rPr>
        <w:t xml:space="preserve"> (see Table 2)</w:t>
      </w:r>
      <w:r w:rsidRPr="00115442">
        <w:t xml:space="preserve">.  The income estimation for </w:t>
      </w:r>
      <w:r>
        <w:t>2022</w:t>
      </w:r>
      <w:r>
        <w:noBreakHyphen/>
        <w:t>2023</w:t>
      </w:r>
      <w:r w:rsidRPr="00115442">
        <w:t xml:space="preserve"> is based on </w:t>
      </w:r>
      <w:r w:rsidRPr="00C20F3E">
        <w:rPr>
          <w:spacing w:val="-2"/>
          <w:szCs w:val="24"/>
        </w:rPr>
        <w:t>66.35</w:t>
      </w:r>
      <w:r w:rsidRPr="00115442">
        <w:t xml:space="preserve"> contribution units in 2022 and </w:t>
      </w:r>
      <w:r w:rsidRPr="00C20F3E">
        <w:rPr>
          <w:spacing w:val="-2"/>
          <w:szCs w:val="24"/>
        </w:rPr>
        <w:t>66.55</w:t>
      </w:r>
      <w:r w:rsidRPr="00115442">
        <w:rPr>
          <w:spacing w:val="-2"/>
          <w:szCs w:val="24"/>
        </w:rPr>
        <w:t xml:space="preserve"> </w:t>
      </w:r>
      <w:r w:rsidRPr="00115442">
        <w:t>contribution units in 2023 with no change to the value of the contribution unit, w</w:t>
      </w:r>
      <w:r w:rsidRPr="00421986">
        <w:t>hich is proposed to remain at 53,641 </w:t>
      </w:r>
      <w:r w:rsidRPr="00421986">
        <w:rPr>
          <w:spacing w:val="-2"/>
          <w:szCs w:val="24"/>
        </w:rPr>
        <w:t>Swiss francs</w:t>
      </w:r>
      <w:r w:rsidRPr="00421986">
        <w:t xml:space="preserve"> in the </w:t>
      </w:r>
      <w:r>
        <w:rPr>
          <w:snapToGrid w:val="0"/>
          <w:spacing w:val="-2"/>
          <w:szCs w:val="24"/>
        </w:rPr>
        <w:t>2022</w:t>
      </w:r>
      <w:r>
        <w:rPr>
          <w:snapToGrid w:val="0"/>
          <w:spacing w:val="-2"/>
          <w:szCs w:val="24"/>
        </w:rPr>
        <w:noBreakHyphen/>
        <w:t>2023</w:t>
      </w:r>
      <w:r w:rsidRPr="00421986">
        <w:rPr>
          <w:snapToGrid w:val="0"/>
          <w:spacing w:val="-2"/>
          <w:szCs w:val="24"/>
        </w:rPr>
        <w:t xml:space="preserve"> </w:t>
      </w:r>
      <w:r>
        <w:t>biennium</w:t>
      </w:r>
      <w:r w:rsidRPr="00421986">
        <w:t>.</w:t>
      </w:r>
    </w:p>
    <w:p w14:paraId="5B62057C" w14:textId="77777777" w:rsidR="0090485B" w:rsidRPr="00421986" w:rsidRDefault="0090485B" w:rsidP="0090485B"/>
    <w:p w14:paraId="5A795444" w14:textId="77777777" w:rsidR="0090485B" w:rsidRPr="00421986" w:rsidRDefault="0090485B" w:rsidP="0090485B">
      <w:r w:rsidRPr="00421986">
        <w:t xml:space="preserve">Income from contributions is estimated on the assumption of one new member of </w:t>
      </w:r>
      <w:r>
        <w:t>the Union</w:t>
      </w:r>
      <w:r w:rsidRPr="00421986">
        <w:t xml:space="preserve"> per year, each contributing 0.2 contribution unit to the budget (and 1,667 </w:t>
      </w:r>
      <w:r w:rsidRPr="00421986">
        <w:rPr>
          <w:spacing w:val="-2"/>
          <w:szCs w:val="24"/>
        </w:rPr>
        <w:t>Swiss francs</w:t>
      </w:r>
      <w:r w:rsidRPr="00421986">
        <w:t xml:space="preserve"> to the Working Capital Fund).  At its twenty-third extraordinary session, held in Geneva on April 7, 2006, the Council decided that </w:t>
      </w:r>
      <w:r>
        <w:t>“</w:t>
      </w:r>
      <w:r w:rsidRPr="00421986">
        <w:t xml:space="preserve">members of </w:t>
      </w:r>
      <w:r>
        <w:t>the Union</w:t>
      </w:r>
      <w:r w:rsidRPr="00421986">
        <w:t xml:space="preserve"> should not adjust downwards their number of units of contribution without considering the implications for UPOV and considering how such a reduction would be compensated by other members of </w:t>
      </w:r>
      <w:r>
        <w:t>the Union</w:t>
      </w:r>
      <w:r w:rsidRPr="00421986">
        <w:t xml:space="preserve">.  In particular, members of </w:t>
      </w:r>
      <w:r>
        <w:t>the Union</w:t>
      </w:r>
      <w:r w:rsidRPr="00421986">
        <w:t xml:space="preserve"> should not reduce their number of units of contribution during a budget period approved by the Council, except under exceptional and unavoidable circumstances</w:t>
      </w:r>
      <w:r>
        <w:t>”</w:t>
      </w:r>
      <w:r w:rsidRPr="00421986">
        <w:t xml:space="preserve"> (see Annex III of document C(Extr.)/23/5).  On that basis, no reduction in the number of units of contribution by members of </w:t>
      </w:r>
      <w:r>
        <w:t>the Union</w:t>
      </w:r>
      <w:r w:rsidRPr="00421986">
        <w:t xml:space="preserve"> is anticipated in the </w:t>
      </w:r>
      <w:r>
        <w:rPr>
          <w:snapToGrid w:val="0"/>
          <w:spacing w:val="-2"/>
          <w:szCs w:val="24"/>
        </w:rPr>
        <w:t>2022</w:t>
      </w:r>
      <w:r>
        <w:rPr>
          <w:snapToGrid w:val="0"/>
          <w:spacing w:val="-2"/>
          <w:szCs w:val="24"/>
        </w:rPr>
        <w:noBreakHyphen/>
        <w:t>2023</w:t>
      </w:r>
      <w:r w:rsidRPr="00421986">
        <w:rPr>
          <w:snapToGrid w:val="0"/>
          <w:spacing w:val="-2"/>
          <w:szCs w:val="24"/>
        </w:rPr>
        <w:t xml:space="preserve"> </w:t>
      </w:r>
      <w:r>
        <w:t>biennium</w:t>
      </w:r>
      <w:r w:rsidRPr="00421986">
        <w:t>.</w:t>
      </w:r>
    </w:p>
    <w:p w14:paraId="7BA295F5" w14:textId="77777777" w:rsidR="0090485B" w:rsidRPr="00421986" w:rsidRDefault="0090485B" w:rsidP="0090485B"/>
    <w:p w14:paraId="275FCF5E" w14:textId="781093FA" w:rsidR="0090485B" w:rsidRPr="00421986" w:rsidRDefault="0090485B" w:rsidP="0090485B">
      <w:pPr>
        <w:tabs>
          <w:tab w:val="left" w:pos="567"/>
        </w:tabs>
      </w:pPr>
      <w:r w:rsidRPr="00115442">
        <w:t xml:space="preserve">In addition to contributions from members of </w:t>
      </w:r>
      <w:r>
        <w:t>the Union</w:t>
      </w:r>
      <w:r w:rsidRPr="00115442">
        <w:t>, income is anticipated from the UPOV IT Tools and Services Fees (</w:t>
      </w:r>
      <w:r w:rsidRPr="00C20F3E">
        <w:rPr>
          <w:spacing w:val="-2"/>
          <w:szCs w:val="24"/>
        </w:rPr>
        <w:t>331,200</w:t>
      </w:r>
      <w:r w:rsidRPr="00115442">
        <w:t xml:space="preserve"> Swiss francs) and Miscellaneous Income </w:t>
      </w:r>
      <w:r>
        <w:t xml:space="preserve">is estimated at </w:t>
      </w:r>
      <w:r w:rsidRPr="00C20F3E">
        <w:rPr>
          <w:spacing w:val="-2"/>
          <w:szCs w:val="24"/>
        </w:rPr>
        <w:t>174,432</w:t>
      </w:r>
      <w:r w:rsidRPr="00115442">
        <w:rPr>
          <w:spacing w:val="-2"/>
          <w:szCs w:val="24"/>
        </w:rPr>
        <w:t> </w:t>
      </w:r>
      <w:r w:rsidRPr="00115442">
        <w:t xml:space="preserve"> Swiss francs, including:  (i) administrative support costs </w:t>
      </w:r>
      <w:r>
        <w:t>from</w:t>
      </w:r>
      <w:r w:rsidRPr="00115442">
        <w:t xml:space="preserve"> </w:t>
      </w:r>
      <w:r>
        <w:t>Funds-in-Trust</w:t>
      </w:r>
      <w:r w:rsidRPr="00115442">
        <w:t xml:space="preserve"> (</w:t>
      </w:r>
      <w:r w:rsidRPr="00C20F3E">
        <w:rPr>
          <w:spacing w:val="-2"/>
          <w:szCs w:val="24"/>
        </w:rPr>
        <w:t>125,482</w:t>
      </w:r>
      <w:r w:rsidRPr="00115442">
        <w:t xml:space="preserve"> Swiss francs);  and (ii) fees from the distance learning program (</w:t>
      </w:r>
      <w:r w:rsidRPr="00C20F3E">
        <w:rPr>
          <w:spacing w:val="-2"/>
          <w:szCs w:val="24"/>
        </w:rPr>
        <w:t>48,950</w:t>
      </w:r>
      <w:r w:rsidRPr="00115442">
        <w:rPr>
          <w:spacing w:val="-2"/>
          <w:szCs w:val="24"/>
        </w:rPr>
        <w:t> </w:t>
      </w:r>
      <w:r w:rsidRPr="00115442">
        <w:t xml:space="preserve"> Swiss francs).</w:t>
      </w:r>
      <w:r w:rsidRPr="00421986">
        <w:t xml:space="preserve">  </w:t>
      </w:r>
      <w:r>
        <w:t>I</w:t>
      </w:r>
      <w:r w:rsidRPr="00421986">
        <w:t xml:space="preserve">ncome sources </w:t>
      </w:r>
      <w:r>
        <w:t xml:space="preserve">other than contributions </w:t>
      </w:r>
      <w:r w:rsidRPr="00115442">
        <w:t xml:space="preserve">constitute </w:t>
      </w:r>
      <w:r w:rsidR="00340499">
        <w:t>6.6</w:t>
      </w:r>
      <w:r w:rsidRPr="00C54298">
        <w:rPr>
          <w:color w:val="FF0000"/>
          <w:spacing w:val="-2"/>
          <w:szCs w:val="24"/>
        </w:rPr>
        <w:t> </w:t>
      </w:r>
      <w:r w:rsidRPr="00C54298">
        <w:rPr>
          <w:spacing w:val="-2"/>
          <w:szCs w:val="24"/>
        </w:rPr>
        <w:t>per cent</w:t>
      </w:r>
      <w:r w:rsidRPr="00C54298">
        <w:t xml:space="preserve"> </w:t>
      </w:r>
      <w:r w:rsidRPr="00421986">
        <w:t xml:space="preserve">of the estimated total income in </w:t>
      </w:r>
      <w:r>
        <w:t>2022</w:t>
      </w:r>
      <w:r>
        <w:noBreakHyphen/>
        <w:t>2023</w:t>
      </w:r>
      <w:r w:rsidRPr="00421986">
        <w:t xml:space="preserve">. </w:t>
      </w:r>
    </w:p>
    <w:p w14:paraId="21A30A43" w14:textId="77777777" w:rsidR="0090485B" w:rsidRDefault="0090485B" w:rsidP="0090485B">
      <w:pPr>
        <w:rPr>
          <w:spacing w:val="-2"/>
          <w:szCs w:val="24"/>
        </w:rPr>
      </w:pPr>
    </w:p>
    <w:p w14:paraId="06CD8043" w14:textId="77777777" w:rsidR="0090485B" w:rsidRPr="00421986" w:rsidRDefault="0090485B" w:rsidP="0090485B">
      <w:pPr>
        <w:rPr>
          <w:spacing w:val="-2"/>
          <w:szCs w:val="24"/>
        </w:rPr>
      </w:pPr>
    </w:p>
    <w:p w14:paraId="14BE4E9A" w14:textId="77777777" w:rsidR="0090485B" w:rsidRPr="00421986" w:rsidRDefault="0090485B" w:rsidP="0090485B">
      <w:pPr>
        <w:keepNext/>
        <w:jc w:val="center"/>
        <w:rPr>
          <w:rFonts w:cs="Arial"/>
          <w:i/>
          <w:iCs/>
        </w:rPr>
      </w:pPr>
      <w:r w:rsidRPr="008B40C0">
        <w:rPr>
          <w:rFonts w:cs="Arial"/>
          <w:b/>
          <w:bCs/>
          <w:color w:val="26724C" w:themeColor="accent1" w:themeShade="BF"/>
        </w:rPr>
        <w:t xml:space="preserve">Table </w:t>
      </w:r>
      <w:r>
        <w:rPr>
          <w:rFonts w:cs="Arial"/>
          <w:b/>
          <w:bCs/>
          <w:color w:val="26724C" w:themeColor="accent1" w:themeShade="BF"/>
        </w:rPr>
        <w:t>2</w:t>
      </w:r>
      <w:r w:rsidRPr="008B40C0">
        <w:rPr>
          <w:rFonts w:cs="Arial"/>
          <w:b/>
          <w:bCs/>
          <w:color w:val="26724C" w:themeColor="accent1" w:themeShade="BF"/>
        </w:rPr>
        <w:t>:  Income 2020</w:t>
      </w:r>
      <w:r w:rsidRPr="008B40C0">
        <w:rPr>
          <w:rFonts w:cs="Arial"/>
          <w:b/>
          <w:bCs/>
          <w:color w:val="26724C" w:themeColor="accent1" w:themeShade="BF"/>
        </w:rPr>
        <w:noBreakHyphen/>
        <w:t xml:space="preserve">2021 and </w:t>
      </w:r>
      <w:r>
        <w:rPr>
          <w:rFonts w:cs="Arial"/>
          <w:b/>
          <w:bCs/>
          <w:color w:val="26724C" w:themeColor="accent1" w:themeShade="BF"/>
        </w:rPr>
        <w:t>2022</w:t>
      </w:r>
      <w:r>
        <w:rPr>
          <w:rFonts w:cs="Arial"/>
          <w:b/>
          <w:bCs/>
          <w:color w:val="26724C" w:themeColor="accent1" w:themeShade="BF"/>
        </w:rPr>
        <w:noBreakHyphen/>
        <w:t>2023</w:t>
      </w:r>
      <w:r w:rsidRPr="008B40C0" w:rsidDel="00DB24D8">
        <w:rPr>
          <w:rFonts w:cs="Arial"/>
          <w:b/>
          <w:bCs/>
          <w:color w:val="26724C" w:themeColor="accent1" w:themeShade="BF"/>
        </w:rPr>
        <w:t xml:space="preserve"> </w:t>
      </w:r>
      <w:r w:rsidRPr="00421986">
        <w:rPr>
          <w:rFonts w:cs="Arial"/>
          <w:b/>
          <w:bCs/>
        </w:rPr>
        <w:br/>
      </w:r>
      <w:r w:rsidRPr="00C20F3E">
        <w:rPr>
          <w:rFonts w:cs="Arial"/>
          <w:i/>
          <w:iCs/>
          <w:sz w:val="18"/>
          <w:szCs w:val="18"/>
        </w:rPr>
        <w:t>(in thousands of Swiss francs)</w:t>
      </w:r>
    </w:p>
    <w:p w14:paraId="63DA2FA0" w14:textId="77777777" w:rsidR="0090485B" w:rsidRDefault="0090485B" w:rsidP="0090485B">
      <w:pPr>
        <w:keepNext/>
        <w:rPr>
          <w:rFonts w:cs="Arial"/>
          <w:i/>
          <w:iCs/>
        </w:rPr>
      </w:pPr>
    </w:p>
    <w:tbl>
      <w:tblPr>
        <w:tblW w:w="9587" w:type="dxa"/>
        <w:tblLook w:val="04A0" w:firstRow="1" w:lastRow="0" w:firstColumn="1" w:lastColumn="0" w:noHBand="0" w:noVBand="1"/>
      </w:tblPr>
      <w:tblGrid>
        <w:gridCol w:w="3261"/>
        <w:gridCol w:w="1104"/>
        <w:gridCol w:w="1309"/>
        <w:gridCol w:w="1309"/>
        <w:gridCol w:w="1361"/>
        <w:gridCol w:w="1243"/>
      </w:tblGrid>
      <w:tr w:rsidR="0090485B" w:rsidRPr="00D9062C" w14:paraId="53FDF47E" w14:textId="77777777" w:rsidTr="00955FDB">
        <w:trPr>
          <w:trHeight w:val="317"/>
        </w:trPr>
        <w:tc>
          <w:tcPr>
            <w:tcW w:w="3261" w:type="dxa"/>
            <w:tcBorders>
              <w:top w:val="nil"/>
              <w:left w:val="nil"/>
              <w:bottom w:val="nil"/>
              <w:right w:val="nil"/>
            </w:tcBorders>
            <w:shd w:val="clear" w:color="000000" w:fill="C7CFD8"/>
            <w:hideMark/>
          </w:tcPr>
          <w:p w14:paraId="44620A7B" w14:textId="77777777" w:rsidR="0090485B" w:rsidRPr="00D9062C" w:rsidRDefault="0090485B" w:rsidP="008F07B7">
            <w:pPr>
              <w:ind w:firstLineChars="100" w:firstLine="180"/>
              <w:jc w:val="left"/>
              <w:rPr>
                <w:rFonts w:cs="Arial"/>
                <w:b/>
                <w:bCs/>
                <w:i/>
                <w:iCs/>
                <w:sz w:val="18"/>
                <w:szCs w:val="18"/>
              </w:rPr>
            </w:pPr>
            <w:r w:rsidRPr="00D9062C">
              <w:rPr>
                <w:rFonts w:cs="Arial"/>
                <w:b/>
                <w:bCs/>
                <w:i/>
                <w:iCs/>
                <w:sz w:val="18"/>
                <w:szCs w:val="18"/>
              </w:rPr>
              <w:t> </w:t>
            </w:r>
          </w:p>
        </w:tc>
        <w:tc>
          <w:tcPr>
            <w:tcW w:w="1104" w:type="dxa"/>
            <w:tcBorders>
              <w:top w:val="nil"/>
              <w:left w:val="nil"/>
              <w:bottom w:val="nil"/>
              <w:right w:val="nil"/>
            </w:tcBorders>
            <w:shd w:val="clear" w:color="000000" w:fill="C7CFD8"/>
            <w:vAlign w:val="center"/>
            <w:hideMark/>
          </w:tcPr>
          <w:p w14:paraId="0038E61B"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2018-2019</w:t>
            </w:r>
          </w:p>
        </w:tc>
        <w:tc>
          <w:tcPr>
            <w:tcW w:w="1309" w:type="dxa"/>
            <w:tcBorders>
              <w:top w:val="nil"/>
              <w:left w:val="nil"/>
              <w:bottom w:val="nil"/>
              <w:right w:val="nil"/>
            </w:tcBorders>
            <w:shd w:val="clear" w:color="000000" w:fill="C7CFD8"/>
            <w:vAlign w:val="center"/>
            <w:hideMark/>
          </w:tcPr>
          <w:p w14:paraId="21E04FFC"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2020-2021</w:t>
            </w:r>
          </w:p>
        </w:tc>
        <w:tc>
          <w:tcPr>
            <w:tcW w:w="2670" w:type="dxa"/>
            <w:gridSpan w:val="2"/>
            <w:vMerge w:val="restart"/>
            <w:tcBorders>
              <w:top w:val="nil"/>
              <w:left w:val="nil"/>
              <w:bottom w:val="single" w:sz="4" w:space="0" w:color="748B9E"/>
              <w:right w:val="nil"/>
            </w:tcBorders>
            <w:shd w:val="clear" w:color="000000" w:fill="C7CFD8"/>
            <w:vAlign w:val="center"/>
            <w:hideMark/>
          </w:tcPr>
          <w:p w14:paraId="3569368A"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Variation</w:t>
            </w:r>
          </w:p>
        </w:tc>
        <w:tc>
          <w:tcPr>
            <w:tcW w:w="1243" w:type="dxa"/>
            <w:tcBorders>
              <w:top w:val="nil"/>
              <w:left w:val="nil"/>
              <w:bottom w:val="nil"/>
              <w:right w:val="nil"/>
            </w:tcBorders>
            <w:shd w:val="clear" w:color="000000" w:fill="C7CFD8"/>
            <w:vAlign w:val="center"/>
            <w:hideMark/>
          </w:tcPr>
          <w:p w14:paraId="205E12A5"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w:t>
            </w:r>
            <w:r>
              <w:rPr>
                <w:rFonts w:ascii="Arial Narrow" w:hAnsi="Arial Narrow" w:cs="Arial"/>
                <w:b/>
                <w:bCs/>
                <w:sz w:val="18"/>
                <w:szCs w:val="18"/>
              </w:rPr>
              <w:t>2022</w:t>
            </w:r>
            <w:r>
              <w:rPr>
                <w:rFonts w:ascii="Arial Narrow" w:hAnsi="Arial Narrow" w:cs="Arial"/>
                <w:b/>
                <w:bCs/>
                <w:sz w:val="18"/>
                <w:szCs w:val="18"/>
              </w:rPr>
              <w:noBreakHyphen/>
              <w:t>2023</w:t>
            </w:r>
            <w:r w:rsidRPr="00D9062C">
              <w:rPr>
                <w:rFonts w:ascii="Arial Narrow" w:hAnsi="Arial Narrow" w:cs="Arial"/>
                <w:b/>
                <w:bCs/>
                <w:sz w:val="18"/>
                <w:szCs w:val="18"/>
              </w:rPr>
              <w:t xml:space="preserve"> </w:t>
            </w:r>
          </w:p>
        </w:tc>
      </w:tr>
      <w:tr w:rsidR="0090485B" w:rsidRPr="00D9062C" w14:paraId="4714DBAC" w14:textId="77777777" w:rsidTr="00955FDB">
        <w:trPr>
          <w:trHeight w:val="272"/>
        </w:trPr>
        <w:tc>
          <w:tcPr>
            <w:tcW w:w="3261" w:type="dxa"/>
            <w:tcBorders>
              <w:top w:val="nil"/>
              <w:left w:val="nil"/>
              <w:bottom w:val="nil"/>
              <w:right w:val="nil"/>
            </w:tcBorders>
            <w:shd w:val="clear" w:color="000000" w:fill="C7CFD8"/>
            <w:hideMark/>
          </w:tcPr>
          <w:p w14:paraId="50997A96" w14:textId="77777777" w:rsidR="0090485B" w:rsidRPr="00D9062C" w:rsidRDefault="0090485B" w:rsidP="008F07B7">
            <w:pPr>
              <w:ind w:firstLineChars="100" w:firstLine="180"/>
              <w:jc w:val="left"/>
              <w:rPr>
                <w:rFonts w:ascii="Arial Narrow" w:hAnsi="Arial Narrow" w:cs="Arial"/>
                <w:b/>
                <w:bCs/>
                <w:sz w:val="18"/>
                <w:szCs w:val="18"/>
              </w:rPr>
            </w:pPr>
            <w:r w:rsidRPr="00D9062C">
              <w:rPr>
                <w:rFonts w:ascii="Arial Narrow" w:hAnsi="Arial Narrow" w:cs="Arial"/>
                <w:b/>
                <w:bCs/>
                <w:sz w:val="18"/>
                <w:szCs w:val="18"/>
              </w:rPr>
              <w:t>Source</w:t>
            </w:r>
          </w:p>
        </w:tc>
        <w:tc>
          <w:tcPr>
            <w:tcW w:w="1104" w:type="dxa"/>
            <w:tcBorders>
              <w:top w:val="nil"/>
              <w:left w:val="nil"/>
              <w:bottom w:val="nil"/>
              <w:right w:val="nil"/>
            </w:tcBorders>
            <w:shd w:val="clear" w:color="000000" w:fill="C7CFD8"/>
            <w:vAlign w:val="center"/>
            <w:hideMark/>
          </w:tcPr>
          <w:p w14:paraId="2B00AD27"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Actual</w:t>
            </w:r>
            <w:r w:rsidRPr="00D9062C">
              <w:rPr>
                <w:rFonts w:cs="Arial"/>
                <w:b/>
                <w:bCs/>
                <w:i/>
                <w:iCs/>
                <w:color w:val="000000"/>
                <w:sz w:val="18"/>
                <w:szCs w:val="18"/>
                <w:vertAlign w:val="superscript"/>
              </w:rPr>
              <w:t>1</w:t>
            </w:r>
          </w:p>
        </w:tc>
        <w:tc>
          <w:tcPr>
            <w:tcW w:w="1309" w:type="dxa"/>
            <w:tcBorders>
              <w:top w:val="nil"/>
              <w:left w:val="nil"/>
              <w:bottom w:val="nil"/>
              <w:right w:val="nil"/>
            </w:tcBorders>
            <w:shd w:val="clear" w:color="000000" w:fill="C7CFD8"/>
            <w:vAlign w:val="center"/>
            <w:hideMark/>
          </w:tcPr>
          <w:p w14:paraId="53FF70C8"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Approved</w:t>
            </w:r>
          </w:p>
        </w:tc>
        <w:tc>
          <w:tcPr>
            <w:tcW w:w="2670" w:type="dxa"/>
            <w:gridSpan w:val="2"/>
            <w:vMerge/>
            <w:tcBorders>
              <w:top w:val="nil"/>
              <w:left w:val="nil"/>
              <w:bottom w:val="nil"/>
              <w:right w:val="nil"/>
            </w:tcBorders>
            <w:vAlign w:val="center"/>
            <w:hideMark/>
          </w:tcPr>
          <w:p w14:paraId="09968AAB" w14:textId="77777777" w:rsidR="0090485B" w:rsidRPr="00D9062C" w:rsidRDefault="0090485B" w:rsidP="008F07B7">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6F5265B6"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Proposed </w:t>
            </w:r>
          </w:p>
        </w:tc>
      </w:tr>
      <w:tr w:rsidR="0090485B" w:rsidRPr="00D9062C" w14:paraId="368C04D1" w14:textId="77777777" w:rsidTr="00955FDB">
        <w:trPr>
          <w:trHeight w:val="287"/>
        </w:trPr>
        <w:tc>
          <w:tcPr>
            <w:tcW w:w="3261" w:type="dxa"/>
            <w:tcBorders>
              <w:top w:val="nil"/>
              <w:left w:val="nil"/>
              <w:bottom w:val="nil"/>
              <w:right w:val="nil"/>
            </w:tcBorders>
            <w:shd w:val="clear" w:color="000000" w:fill="C7CFD8"/>
            <w:vAlign w:val="bottom"/>
            <w:hideMark/>
          </w:tcPr>
          <w:p w14:paraId="063C2656" w14:textId="77777777" w:rsidR="0090485B" w:rsidRPr="00D9062C" w:rsidRDefault="0090485B" w:rsidP="008F07B7">
            <w:pPr>
              <w:ind w:firstLineChars="100" w:firstLine="180"/>
              <w:jc w:val="left"/>
              <w:rPr>
                <w:rFonts w:cs="Arial"/>
                <w:b/>
                <w:bCs/>
                <w:i/>
                <w:iCs/>
                <w:sz w:val="18"/>
                <w:szCs w:val="18"/>
              </w:rPr>
            </w:pPr>
            <w:r w:rsidRPr="00D9062C">
              <w:rPr>
                <w:rFonts w:cs="Arial"/>
                <w:b/>
                <w:bCs/>
                <w:i/>
                <w:iCs/>
                <w:sz w:val="18"/>
                <w:szCs w:val="18"/>
              </w:rPr>
              <w:t> </w:t>
            </w:r>
          </w:p>
        </w:tc>
        <w:tc>
          <w:tcPr>
            <w:tcW w:w="1104" w:type="dxa"/>
            <w:tcBorders>
              <w:top w:val="nil"/>
              <w:left w:val="nil"/>
              <w:bottom w:val="nil"/>
              <w:right w:val="nil"/>
            </w:tcBorders>
            <w:shd w:val="clear" w:color="000000" w:fill="C7CFD8"/>
            <w:vAlign w:val="center"/>
            <w:hideMark/>
          </w:tcPr>
          <w:p w14:paraId="4C976458"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A </w:t>
            </w:r>
          </w:p>
        </w:tc>
        <w:tc>
          <w:tcPr>
            <w:tcW w:w="1309" w:type="dxa"/>
            <w:tcBorders>
              <w:top w:val="nil"/>
              <w:left w:val="nil"/>
              <w:bottom w:val="nil"/>
              <w:right w:val="nil"/>
            </w:tcBorders>
            <w:shd w:val="clear" w:color="000000" w:fill="C7CFD8"/>
            <w:noWrap/>
            <w:vAlign w:val="center"/>
            <w:hideMark/>
          </w:tcPr>
          <w:p w14:paraId="66F15929"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B </w:t>
            </w:r>
          </w:p>
        </w:tc>
        <w:tc>
          <w:tcPr>
            <w:tcW w:w="1309" w:type="dxa"/>
            <w:tcBorders>
              <w:top w:val="nil"/>
              <w:left w:val="nil"/>
              <w:bottom w:val="nil"/>
              <w:right w:val="nil"/>
            </w:tcBorders>
            <w:shd w:val="clear" w:color="000000" w:fill="C7CFD8"/>
            <w:vAlign w:val="center"/>
            <w:hideMark/>
          </w:tcPr>
          <w:p w14:paraId="53F667E3"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C </w:t>
            </w:r>
          </w:p>
        </w:tc>
        <w:tc>
          <w:tcPr>
            <w:tcW w:w="1361" w:type="dxa"/>
            <w:tcBorders>
              <w:top w:val="nil"/>
              <w:left w:val="nil"/>
              <w:bottom w:val="nil"/>
              <w:right w:val="nil"/>
            </w:tcBorders>
            <w:shd w:val="clear" w:color="000000" w:fill="C7CFD8"/>
            <w:vAlign w:val="center"/>
            <w:hideMark/>
          </w:tcPr>
          <w:p w14:paraId="2EFC622E"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C/B(%)</w:t>
            </w:r>
          </w:p>
        </w:tc>
        <w:tc>
          <w:tcPr>
            <w:tcW w:w="1243" w:type="dxa"/>
            <w:tcBorders>
              <w:top w:val="nil"/>
              <w:left w:val="nil"/>
              <w:bottom w:val="nil"/>
              <w:right w:val="nil"/>
            </w:tcBorders>
            <w:shd w:val="clear" w:color="000000" w:fill="C7CFD8"/>
            <w:noWrap/>
            <w:vAlign w:val="center"/>
            <w:hideMark/>
          </w:tcPr>
          <w:p w14:paraId="234F5C13" w14:textId="77777777" w:rsidR="0090485B" w:rsidRPr="00D9062C" w:rsidRDefault="0090485B" w:rsidP="008F07B7">
            <w:pPr>
              <w:jc w:val="center"/>
              <w:rPr>
                <w:rFonts w:ascii="Arial Narrow" w:hAnsi="Arial Narrow" w:cs="Arial"/>
                <w:b/>
                <w:bCs/>
                <w:sz w:val="18"/>
                <w:szCs w:val="18"/>
              </w:rPr>
            </w:pPr>
            <w:r w:rsidRPr="00D9062C">
              <w:rPr>
                <w:rFonts w:ascii="Arial Narrow" w:hAnsi="Arial Narrow" w:cs="Arial"/>
                <w:b/>
                <w:bCs/>
                <w:sz w:val="18"/>
                <w:szCs w:val="18"/>
              </w:rPr>
              <w:t xml:space="preserve"> D=B+C </w:t>
            </w:r>
          </w:p>
        </w:tc>
      </w:tr>
      <w:tr w:rsidR="0090485B" w:rsidRPr="00D9062C" w14:paraId="6ABB9D99" w14:textId="77777777" w:rsidTr="00955FDB">
        <w:trPr>
          <w:trHeight w:val="362"/>
        </w:trPr>
        <w:tc>
          <w:tcPr>
            <w:tcW w:w="3261" w:type="dxa"/>
            <w:tcBorders>
              <w:top w:val="nil"/>
              <w:left w:val="nil"/>
              <w:bottom w:val="nil"/>
              <w:right w:val="nil"/>
            </w:tcBorders>
            <w:shd w:val="clear" w:color="auto" w:fill="auto"/>
            <w:vAlign w:val="bottom"/>
            <w:hideMark/>
          </w:tcPr>
          <w:p w14:paraId="34A19D71" w14:textId="77777777" w:rsidR="0090485B" w:rsidRPr="00D9062C" w:rsidRDefault="0090485B" w:rsidP="008F07B7">
            <w:pPr>
              <w:jc w:val="left"/>
              <w:rPr>
                <w:rFonts w:ascii="Arial Narrow" w:hAnsi="Arial Narrow" w:cs="Arial"/>
                <w:b/>
                <w:bCs/>
                <w:color w:val="000000"/>
              </w:rPr>
            </w:pPr>
            <w:r w:rsidRPr="00D9062C">
              <w:rPr>
                <w:rFonts w:ascii="Arial Narrow" w:hAnsi="Arial Narrow" w:cs="Arial"/>
                <w:b/>
                <w:bCs/>
                <w:color w:val="000000"/>
              </w:rPr>
              <w:t>Contributions</w:t>
            </w:r>
          </w:p>
        </w:tc>
        <w:tc>
          <w:tcPr>
            <w:tcW w:w="1104" w:type="dxa"/>
            <w:tcBorders>
              <w:top w:val="nil"/>
              <w:left w:val="nil"/>
              <w:bottom w:val="nil"/>
              <w:right w:val="nil"/>
            </w:tcBorders>
            <w:shd w:val="clear" w:color="auto" w:fill="auto"/>
            <w:vAlign w:val="bottom"/>
            <w:hideMark/>
          </w:tcPr>
          <w:p w14:paraId="3721D7E3"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6,834</w:t>
            </w:r>
          </w:p>
        </w:tc>
        <w:tc>
          <w:tcPr>
            <w:tcW w:w="1309" w:type="dxa"/>
            <w:tcBorders>
              <w:top w:val="nil"/>
              <w:left w:val="nil"/>
              <w:bottom w:val="nil"/>
              <w:right w:val="nil"/>
            </w:tcBorders>
            <w:shd w:val="clear" w:color="auto" w:fill="auto"/>
            <w:vAlign w:val="bottom"/>
            <w:hideMark/>
          </w:tcPr>
          <w:p w14:paraId="2863DF28"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6,946</w:t>
            </w:r>
          </w:p>
        </w:tc>
        <w:tc>
          <w:tcPr>
            <w:tcW w:w="1309" w:type="dxa"/>
            <w:tcBorders>
              <w:top w:val="nil"/>
              <w:left w:val="nil"/>
              <w:bottom w:val="nil"/>
              <w:right w:val="nil"/>
            </w:tcBorders>
            <w:shd w:val="clear" w:color="auto" w:fill="auto"/>
            <w:vAlign w:val="bottom"/>
            <w:hideMark/>
          </w:tcPr>
          <w:p w14:paraId="1A74C425"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182</w:t>
            </w:r>
          </w:p>
        </w:tc>
        <w:tc>
          <w:tcPr>
            <w:tcW w:w="1361" w:type="dxa"/>
            <w:tcBorders>
              <w:top w:val="nil"/>
              <w:left w:val="nil"/>
              <w:bottom w:val="nil"/>
              <w:right w:val="nil"/>
            </w:tcBorders>
            <w:shd w:val="clear" w:color="auto" w:fill="auto"/>
            <w:vAlign w:val="bottom"/>
            <w:hideMark/>
          </w:tcPr>
          <w:p w14:paraId="0C95854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2.6%</w:t>
            </w:r>
          </w:p>
        </w:tc>
        <w:tc>
          <w:tcPr>
            <w:tcW w:w="1243" w:type="dxa"/>
            <w:tcBorders>
              <w:top w:val="nil"/>
              <w:left w:val="nil"/>
              <w:bottom w:val="nil"/>
              <w:right w:val="nil"/>
            </w:tcBorders>
            <w:shd w:val="clear" w:color="auto" w:fill="auto"/>
            <w:vAlign w:val="bottom"/>
            <w:hideMark/>
          </w:tcPr>
          <w:p w14:paraId="5F26B35B"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7,129</w:t>
            </w:r>
          </w:p>
        </w:tc>
      </w:tr>
      <w:tr w:rsidR="0090485B" w:rsidRPr="00D9062C" w14:paraId="5406A9E6" w14:textId="77777777" w:rsidTr="00955FDB">
        <w:trPr>
          <w:trHeight w:val="347"/>
        </w:trPr>
        <w:tc>
          <w:tcPr>
            <w:tcW w:w="3261" w:type="dxa"/>
            <w:tcBorders>
              <w:top w:val="nil"/>
              <w:left w:val="nil"/>
              <w:bottom w:val="nil"/>
              <w:right w:val="nil"/>
            </w:tcBorders>
            <w:shd w:val="clear" w:color="auto" w:fill="auto"/>
            <w:vAlign w:val="bottom"/>
            <w:hideMark/>
          </w:tcPr>
          <w:p w14:paraId="3A99D3DE" w14:textId="77777777" w:rsidR="0090485B" w:rsidRPr="00D9062C" w:rsidRDefault="0090485B" w:rsidP="008F07B7">
            <w:pPr>
              <w:jc w:val="left"/>
              <w:rPr>
                <w:rFonts w:ascii="Arial Narrow" w:hAnsi="Arial Narrow" w:cs="Arial"/>
                <w:b/>
                <w:bCs/>
                <w:color w:val="000000"/>
              </w:rPr>
            </w:pPr>
            <w:r w:rsidRPr="00D9062C">
              <w:rPr>
                <w:rFonts w:ascii="Arial Narrow" w:hAnsi="Arial Narrow" w:cs="Arial"/>
                <w:b/>
                <w:bCs/>
                <w:color w:val="000000"/>
              </w:rPr>
              <w:t>UPOV IT Tools and Services Fees</w:t>
            </w:r>
          </w:p>
        </w:tc>
        <w:tc>
          <w:tcPr>
            <w:tcW w:w="1104" w:type="dxa"/>
            <w:tcBorders>
              <w:top w:val="nil"/>
              <w:left w:val="nil"/>
              <w:bottom w:val="nil"/>
              <w:right w:val="nil"/>
            </w:tcBorders>
            <w:shd w:val="clear" w:color="auto" w:fill="auto"/>
            <w:vAlign w:val="bottom"/>
            <w:hideMark/>
          </w:tcPr>
          <w:p w14:paraId="3A61CAF5"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0</w:t>
            </w:r>
          </w:p>
        </w:tc>
        <w:tc>
          <w:tcPr>
            <w:tcW w:w="1309" w:type="dxa"/>
            <w:tcBorders>
              <w:top w:val="nil"/>
              <w:left w:val="nil"/>
              <w:bottom w:val="nil"/>
              <w:right w:val="nil"/>
            </w:tcBorders>
            <w:shd w:val="clear" w:color="auto" w:fill="auto"/>
            <w:vAlign w:val="bottom"/>
            <w:hideMark/>
          </w:tcPr>
          <w:p w14:paraId="54B3F4A4"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250</w:t>
            </w:r>
          </w:p>
        </w:tc>
        <w:tc>
          <w:tcPr>
            <w:tcW w:w="1309" w:type="dxa"/>
            <w:tcBorders>
              <w:top w:val="nil"/>
              <w:left w:val="nil"/>
              <w:bottom w:val="nil"/>
              <w:right w:val="nil"/>
            </w:tcBorders>
            <w:shd w:val="clear" w:color="auto" w:fill="auto"/>
            <w:vAlign w:val="bottom"/>
            <w:hideMark/>
          </w:tcPr>
          <w:p w14:paraId="16BD170A"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81</w:t>
            </w:r>
          </w:p>
        </w:tc>
        <w:tc>
          <w:tcPr>
            <w:tcW w:w="1361" w:type="dxa"/>
            <w:tcBorders>
              <w:top w:val="nil"/>
              <w:left w:val="nil"/>
              <w:bottom w:val="nil"/>
              <w:right w:val="nil"/>
            </w:tcBorders>
            <w:shd w:val="clear" w:color="auto" w:fill="auto"/>
            <w:vAlign w:val="bottom"/>
            <w:hideMark/>
          </w:tcPr>
          <w:p w14:paraId="6F299DD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32.5%</w:t>
            </w:r>
          </w:p>
        </w:tc>
        <w:tc>
          <w:tcPr>
            <w:tcW w:w="1243" w:type="dxa"/>
            <w:tcBorders>
              <w:top w:val="nil"/>
              <w:left w:val="nil"/>
              <w:bottom w:val="nil"/>
              <w:right w:val="nil"/>
            </w:tcBorders>
            <w:shd w:val="clear" w:color="auto" w:fill="auto"/>
            <w:vAlign w:val="bottom"/>
            <w:hideMark/>
          </w:tcPr>
          <w:p w14:paraId="2A993EB0"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331</w:t>
            </w:r>
          </w:p>
        </w:tc>
      </w:tr>
      <w:tr w:rsidR="0090485B" w:rsidRPr="00D9062C" w14:paraId="784B142E" w14:textId="77777777" w:rsidTr="00955FDB">
        <w:trPr>
          <w:trHeight w:val="347"/>
        </w:trPr>
        <w:tc>
          <w:tcPr>
            <w:tcW w:w="3261" w:type="dxa"/>
            <w:tcBorders>
              <w:top w:val="nil"/>
              <w:left w:val="nil"/>
              <w:bottom w:val="nil"/>
              <w:right w:val="nil"/>
            </w:tcBorders>
            <w:shd w:val="clear" w:color="auto" w:fill="auto"/>
            <w:vAlign w:val="bottom"/>
            <w:hideMark/>
          </w:tcPr>
          <w:p w14:paraId="1EB0ACBB" w14:textId="77777777" w:rsidR="0090485B" w:rsidRPr="00D9062C" w:rsidRDefault="0090485B" w:rsidP="008F07B7">
            <w:pPr>
              <w:jc w:val="left"/>
              <w:rPr>
                <w:rFonts w:ascii="Arial Narrow" w:hAnsi="Arial Narrow" w:cs="Arial"/>
                <w:b/>
                <w:bCs/>
                <w:color w:val="000000"/>
              </w:rPr>
            </w:pPr>
            <w:r w:rsidRPr="00D9062C">
              <w:rPr>
                <w:rFonts w:ascii="Arial Narrow" w:hAnsi="Arial Narrow" w:cs="Arial"/>
                <w:b/>
                <w:bCs/>
                <w:color w:val="000000"/>
              </w:rPr>
              <w:t>Miscellaneous Income</w:t>
            </w:r>
          </w:p>
        </w:tc>
        <w:tc>
          <w:tcPr>
            <w:tcW w:w="1104" w:type="dxa"/>
            <w:tcBorders>
              <w:top w:val="nil"/>
              <w:left w:val="nil"/>
              <w:bottom w:val="nil"/>
              <w:right w:val="nil"/>
            </w:tcBorders>
            <w:shd w:val="clear" w:color="auto" w:fill="auto"/>
            <w:vAlign w:val="bottom"/>
            <w:hideMark/>
          </w:tcPr>
          <w:p w14:paraId="7ADF430B"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97</w:t>
            </w:r>
          </w:p>
        </w:tc>
        <w:tc>
          <w:tcPr>
            <w:tcW w:w="1309" w:type="dxa"/>
            <w:tcBorders>
              <w:top w:val="nil"/>
              <w:left w:val="nil"/>
              <w:bottom w:val="nil"/>
              <w:right w:val="nil"/>
            </w:tcBorders>
            <w:shd w:val="clear" w:color="auto" w:fill="auto"/>
            <w:vAlign w:val="bottom"/>
            <w:hideMark/>
          </w:tcPr>
          <w:p w14:paraId="621BF74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151</w:t>
            </w:r>
          </w:p>
        </w:tc>
        <w:tc>
          <w:tcPr>
            <w:tcW w:w="1309" w:type="dxa"/>
            <w:tcBorders>
              <w:top w:val="nil"/>
              <w:left w:val="nil"/>
              <w:bottom w:val="nil"/>
              <w:right w:val="nil"/>
            </w:tcBorders>
            <w:shd w:val="clear" w:color="auto" w:fill="auto"/>
            <w:vAlign w:val="bottom"/>
            <w:hideMark/>
          </w:tcPr>
          <w:p w14:paraId="65EA496A"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24</w:t>
            </w:r>
          </w:p>
        </w:tc>
        <w:tc>
          <w:tcPr>
            <w:tcW w:w="1361" w:type="dxa"/>
            <w:tcBorders>
              <w:top w:val="nil"/>
              <w:left w:val="nil"/>
              <w:bottom w:val="nil"/>
              <w:right w:val="nil"/>
            </w:tcBorders>
            <w:shd w:val="clear" w:color="auto" w:fill="auto"/>
            <w:vAlign w:val="bottom"/>
            <w:hideMark/>
          </w:tcPr>
          <w:p w14:paraId="680F538D"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15.7%</w:t>
            </w:r>
          </w:p>
        </w:tc>
        <w:tc>
          <w:tcPr>
            <w:tcW w:w="1243" w:type="dxa"/>
            <w:tcBorders>
              <w:top w:val="nil"/>
              <w:left w:val="nil"/>
              <w:bottom w:val="nil"/>
              <w:right w:val="nil"/>
            </w:tcBorders>
            <w:shd w:val="clear" w:color="auto" w:fill="auto"/>
            <w:vAlign w:val="bottom"/>
            <w:hideMark/>
          </w:tcPr>
          <w:p w14:paraId="2F054594" w14:textId="77777777" w:rsidR="0090485B" w:rsidRPr="00D9062C" w:rsidRDefault="0090485B" w:rsidP="008F07B7">
            <w:pPr>
              <w:jc w:val="right"/>
              <w:rPr>
                <w:rFonts w:ascii="Arial Narrow" w:hAnsi="Arial Narrow" w:cs="Arial"/>
                <w:b/>
                <w:bCs/>
              </w:rPr>
            </w:pPr>
            <w:r w:rsidRPr="00D9062C">
              <w:rPr>
                <w:rFonts w:ascii="Arial Narrow" w:hAnsi="Arial Narrow" w:cs="Arial"/>
                <w:b/>
                <w:bCs/>
              </w:rPr>
              <w:t>174</w:t>
            </w:r>
          </w:p>
        </w:tc>
      </w:tr>
      <w:tr w:rsidR="0090485B" w:rsidRPr="00D9062C" w14:paraId="079B46F0" w14:textId="77777777" w:rsidTr="00955FDB">
        <w:trPr>
          <w:trHeight w:val="347"/>
        </w:trPr>
        <w:tc>
          <w:tcPr>
            <w:tcW w:w="3261" w:type="dxa"/>
            <w:tcBorders>
              <w:top w:val="nil"/>
              <w:left w:val="nil"/>
              <w:bottom w:val="nil"/>
              <w:right w:val="nil"/>
            </w:tcBorders>
            <w:shd w:val="clear" w:color="auto" w:fill="auto"/>
            <w:vAlign w:val="bottom"/>
            <w:hideMark/>
          </w:tcPr>
          <w:p w14:paraId="73522B9C" w14:textId="77777777" w:rsidR="0090485B" w:rsidRPr="00D9062C" w:rsidRDefault="0090485B" w:rsidP="00955FDB">
            <w:pPr>
              <w:ind w:firstLineChars="158" w:firstLine="316"/>
              <w:jc w:val="left"/>
              <w:rPr>
                <w:rFonts w:ascii="Arial Narrow" w:hAnsi="Arial Narrow" w:cs="Arial"/>
                <w:i/>
                <w:iCs/>
                <w:color w:val="000000"/>
              </w:rPr>
            </w:pPr>
            <w:r w:rsidRPr="00D9062C">
              <w:rPr>
                <w:rFonts w:ascii="Arial Narrow" w:hAnsi="Arial Narrow" w:cs="Arial"/>
                <w:i/>
                <w:iCs/>
                <w:color w:val="000000"/>
              </w:rPr>
              <w:t xml:space="preserve">Administrative Support Costs </w:t>
            </w:r>
            <w:r>
              <w:rPr>
                <w:rFonts w:ascii="Arial Narrow" w:hAnsi="Arial Narrow" w:cs="Arial"/>
                <w:i/>
                <w:iCs/>
                <w:color w:val="000000"/>
              </w:rPr>
              <w:t>–</w:t>
            </w:r>
            <w:r w:rsidR="00955FDB">
              <w:rPr>
                <w:rFonts w:ascii="Arial Narrow" w:hAnsi="Arial Narrow" w:cs="Arial"/>
                <w:i/>
                <w:iCs/>
                <w:color w:val="000000"/>
              </w:rPr>
              <w:t xml:space="preserve"> </w:t>
            </w:r>
            <w:r w:rsidRPr="00D9062C">
              <w:rPr>
                <w:rFonts w:ascii="Arial Narrow" w:hAnsi="Arial Narrow" w:cs="Arial"/>
                <w:i/>
                <w:iCs/>
                <w:color w:val="000000"/>
              </w:rPr>
              <w:t>FITS</w:t>
            </w:r>
          </w:p>
        </w:tc>
        <w:tc>
          <w:tcPr>
            <w:tcW w:w="1104" w:type="dxa"/>
            <w:tcBorders>
              <w:top w:val="nil"/>
              <w:left w:val="nil"/>
              <w:bottom w:val="nil"/>
              <w:right w:val="nil"/>
            </w:tcBorders>
            <w:shd w:val="clear" w:color="auto" w:fill="auto"/>
            <w:vAlign w:val="bottom"/>
            <w:hideMark/>
          </w:tcPr>
          <w:p w14:paraId="325FE61A"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58</w:t>
            </w:r>
          </w:p>
        </w:tc>
        <w:tc>
          <w:tcPr>
            <w:tcW w:w="1309" w:type="dxa"/>
            <w:tcBorders>
              <w:top w:val="nil"/>
              <w:left w:val="nil"/>
              <w:bottom w:val="nil"/>
              <w:right w:val="nil"/>
            </w:tcBorders>
            <w:shd w:val="clear" w:color="auto" w:fill="auto"/>
            <w:vAlign w:val="bottom"/>
            <w:hideMark/>
          </w:tcPr>
          <w:p w14:paraId="240B329D"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121</w:t>
            </w:r>
          </w:p>
        </w:tc>
        <w:tc>
          <w:tcPr>
            <w:tcW w:w="1309" w:type="dxa"/>
            <w:tcBorders>
              <w:top w:val="nil"/>
              <w:left w:val="nil"/>
              <w:bottom w:val="nil"/>
              <w:right w:val="nil"/>
            </w:tcBorders>
            <w:shd w:val="clear" w:color="auto" w:fill="auto"/>
            <w:vAlign w:val="bottom"/>
            <w:hideMark/>
          </w:tcPr>
          <w:p w14:paraId="5CA1693B"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5</w:t>
            </w:r>
          </w:p>
        </w:tc>
        <w:tc>
          <w:tcPr>
            <w:tcW w:w="1361" w:type="dxa"/>
            <w:tcBorders>
              <w:top w:val="nil"/>
              <w:left w:val="nil"/>
              <w:bottom w:val="nil"/>
              <w:right w:val="nil"/>
            </w:tcBorders>
            <w:shd w:val="clear" w:color="auto" w:fill="auto"/>
            <w:vAlign w:val="bottom"/>
            <w:hideMark/>
          </w:tcPr>
          <w:p w14:paraId="374EDF1D"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3.9%</w:t>
            </w:r>
          </w:p>
        </w:tc>
        <w:tc>
          <w:tcPr>
            <w:tcW w:w="1243" w:type="dxa"/>
            <w:tcBorders>
              <w:top w:val="nil"/>
              <w:left w:val="nil"/>
              <w:bottom w:val="nil"/>
              <w:right w:val="nil"/>
            </w:tcBorders>
            <w:shd w:val="clear" w:color="auto" w:fill="auto"/>
            <w:vAlign w:val="bottom"/>
            <w:hideMark/>
          </w:tcPr>
          <w:p w14:paraId="67D23DD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125</w:t>
            </w:r>
          </w:p>
        </w:tc>
      </w:tr>
      <w:tr w:rsidR="0090485B" w:rsidRPr="00D9062C" w14:paraId="0C4C7C32" w14:textId="77777777" w:rsidTr="00955FDB">
        <w:trPr>
          <w:trHeight w:val="347"/>
        </w:trPr>
        <w:tc>
          <w:tcPr>
            <w:tcW w:w="3261" w:type="dxa"/>
            <w:tcBorders>
              <w:top w:val="nil"/>
              <w:left w:val="nil"/>
              <w:bottom w:val="nil"/>
              <w:right w:val="nil"/>
            </w:tcBorders>
            <w:shd w:val="clear" w:color="auto" w:fill="auto"/>
            <w:vAlign w:val="center"/>
            <w:hideMark/>
          </w:tcPr>
          <w:p w14:paraId="6AFD12E4" w14:textId="77777777" w:rsidR="0090485B" w:rsidRPr="00D9062C" w:rsidRDefault="0090485B" w:rsidP="00955FDB">
            <w:pPr>
              <w:ind w:firstLineChars="158" w:firstLine="316"/>
              <w:jc w:val="left"/>
              <w:rPr>
                <w:rFonts w:ascii="Arial Narrow" w:hAnsi="Arial Narrow" w:cs="Arial"/>
                <w:i/>
                <w:iCs/>
                <w:color w:val="000000"/>
              </w:rPr>
            </w:pPr>
            <w:r w:rsidRPr="00D9062C">
              <w:rPr>
                <w:rFonts w:ascii="Arial Narrow" w:hAnsi="Arial Narrow" w:cs="Arial"/>
                <w:i/>
                <w:iCs/>
                <w:color w:val="000000"/>
              </w:rPr>
              <w:t>Distance Learning Program</w:t>
            </w:r>
          </w:p>
        </w:tc>
        <w:tc>
          <w:tcPr>
            <w:tcW w:w="1104" w:type="dxa"/>
            <w:tcBorders>
              <w:top w:val="nil"/>
              <w:left w:val="nil"/>
              <w:bottom w:val="nil"/>
              <w:right w:val="nil"/>
            </w:tcBorders>
            <w:shd w:val="clear" w:color="auto" w:fill="auto"/>
            <w:vAlign w:val="bottom"/>
            <w:hideMark/>
          </w:tcPr>
          <w:p w14:paraId="09CAAD64"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40</w:t>
            </w:r>
          </w:p>
        </w:tc>
        <w:tc>
          <w:tcPr>
            <w:tcW w:w="1309" w:type="dxa"/>
            <w:tcBorders>
              <w:top w:val="nil"/>
              <w:left w:val="nil"/>
              <w:bottom w:val="nil"/>
              <w:right w:val="nil"/>
            </w:tcBorders>
            <w:shd w:val="clear" w:color="auto" w:fill="auto"/>
            <w:vAlign w:val="bottom"/>
            <w:hideMark/>
          </w:tcPr>
          <w:p w14:paraId="3F6A92D8"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30</w:t>
            </w:r>
          </w:p>
        </w:tc>
        <w:tc>
          <w:tcPr>
            <w:tcW w:w="1309" w:type="dxa"/>
            <w:tcBorders>
              <w:top w:val="nil"/>
              <w:left w:val="nil"/>
              <w:bottom w:val="nil"/>
              <w:right w:val="nil"/>
            </w:tcBorders>
            <w:shd w:val="clear" w:color="auto" w:fill="auto"/>
            <w:vAlign w:val="bottom"/>
            <w:hideMark/>
          </w:tcPr>
          <w:p w14:paraId="7690472D"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19</w:t>
            </w:r>
          </w:p>
        </w:tc>
        <w:tc>
          <w:tcPr>
            <w:tcW w:w="1361" w:type="dxa"/>
            <w:tcBorders>
              <w:top w:val="nil"/>
              <w:left w:val="nil"/>
              <w:bottom w:val="nil"/>
              <w:right w:val="nil"/>
            </w:tcBorders>
            <w:shd w:val="clear" w:color="auto" w:fill="auto"/>
            <w:vAlign w:val="bottom"/>
            <w:hideMark/>
          </w:tcPr>
          <w:p w14:paraId="180779F8"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63.2%</w:t>
            </w:r>
          </w:p>
        </w:tc>
        <w:tc>
          <w:tcPr>
            <w:tcW w:w="1243" w:type="dxa"/>
            <w:tcBorders>
              <w:top w:val="nil"/>
              <w:left w:val="nil"/>
              <w:bottom w:val="nil"/>
              <w:right w:val="nil"/>
            </w:tcBorders>
            <w:shd w:val="clear" w:color="auto" w:fill="auto"/>
            <w:vAlign w:val="bottom"/>
            <w:hideMark/>
          </w:tcPr>
          <w:p w14:paraId="71DED2DE"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49</w:t>
            </w:r>
          </w:p>
        </w:tc>
      </w:tr>
      <w:tr w:rsidR="0090485B" w:rsidRPr="00D9062C" w14:paraId="56A10FA7" w14:textId="77777777" w:rsidTr="00C54298">
        <w:trPr>
          <w:trHeight w:hRule="exact" w:val="227"/>
        </w:trPr>
        <w:tc>
          <w:tcPr>
            <w:tcW w:w="3261" w:type="dxa"/>
            <w:tcBorders>
              <w:top w:val="nil"/>
              <w:left w:val="nil"/>
              <w:bottom w:val="nil"/>
              <w:right w:val="nil"/>
            </w:tcBorders>
            <w:shd w:val="clear" w:color="auto" w:fill="auto"/>
            <w:vAlign w:val="bottom"/>
            <w:hideMark/>
          </w:tcPr>
          <w:p w14:paraId="6D455337" w14:textId="77777777" w:rsidR="0090485B" w:rsidRPr="00D9062C" w:rsidRDefault="0090485B" w:rsidP="00955FDB">
            <w:pPr>
              <w:ind w:firstLineChars="158" w:firstLine="316"/>
              <w:jc w:val="left"/>
              <w:rPr>
                <w:rFonts w:ascii="Arial Narrow" w:hAnsi="Arial Narrow" w:cs="Arial"/>
                <w:i/>
                <w:iCs/>
                <w:color w:val="000000"/>
              </w:rPr>
            </w:pPr>
            <w:r w:rsidRPr="00D9062C">
              <w:rPr>
                <w:rFonts w:ascii="Arial Narrow" w:hAnsi="Arial Narrow" w:cs="Arial"/>
                <w:i/>
                <w:iCs/>
                <w:color w:val="000000"/>
              </w:rPr>
              <w:t xml:space="preserve">Other </w:t>
            </w:r>
          </w:p>
        </w:tc>
        <w:tc>
          <w:tcPr>
            <w:tcW w:w="1104" w:type="dxa"/>
            <w:tcBorders>
              <w:top w:val="nil"/>
              <w:left w:val="nil"/>
              <w:bottom w:val="nil"/>
              <w:right w:val="nil"/>
            </w:tcBorders>
            <w:shd w:val="clear" w:color="auto" w:fill="auto"/>
            <w:vAlign w:val="bottom"/>
            <w:hideMark/>
          </w:tcPr>
          <w:p w14:paraId="17966902"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-1</w:t>
            </w:r>
          </w:p>
        </w:tc>
        <w:tc>
          <w:tcPr>
            <w:tcW w:w="1309" w:type="dxa"/>
            <w:tcBorders>
              <w:top w:val="nil"/>
              <w:left w:val="nil"/>
              <w:bottom w:val="nil"/>
              <w:right w:val="nil"/>
            </w:tcBorders>
            <w:shd w:val="clear" w:color="auto" w:fill="auto"/>
            <w:vAlign w:val="bottom"/>
            <w:hideMark/>
          </w:tcPr>
          <w:p w14:paraId="0047274E"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1309" w:type="dxa"/>
            <w:tcBorders>
              <w:top w:val="nil"/>
              <w:left w:val="nil"/>
              <w:bottom w:val="nil"/>
              <w:right w:val="nil"/>
            </w:tcBorders>
            <w:shd w:val="clear" w:color="auto" w:fill="auto"/>
            <w:vAlign w:val="bottom"/>
            <w:hideMark/>
          </w:tcPr>
          <w:p w14:paraId="44BB89F1"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1361" w:type="dxa"/>
            <w:tcBorders>
              <w:top w:val="nil"/>
              <w:left w:val="nil"/>
              <w:bottom w:val="nil"/>
              <w:right w:val="nil"/>
            </w:tcBorders>
            <w:shd w:val="clear" w:color="auto" w:fill="auto"/>
            <w:vAlign w:val="bottom"/>
            <w:hideMark/>
          </w:tcPr>
          <w:p w14:paraId="69A7BBA4" w14:textId="77777777" w:rsidR="0090485B" w:rsidRPr="00D9062C" w:rsidRDefault="0090485B" w:rsidP="008F07B7">
            <w:pPr>
              <w:jc w:val="right"/>
              <w:rPr>
                <w:rFonts w:ascii="Arial Narrow" w:hAnsi="Arial Narrow" w:cs="Arial"/>
                <w:i/>
                <w:iCs/>
                <w:color w:val="000000"/>
              </w:rPr>
            </w:pPr>
            <w:r w:rsidRPr="00D9062C">
              <w:rPr>
                <w:rFonts w:ascii="Arial Narrow" w:hAnsi="Arial Narrow" w:cs="Arial"/>
                <w:i/>
                <w:iCs/>
                <w:color w:val="000000"/>
              </w:rPr>
              <w:t>-</w:t>
            </w:r>
          </w:p>
        </w:tc>
        <w:tc>
          <w:tcPr>
            <w:tcW w:w="1243" w:type="dxa"/>
            <w:tcBorders>
              <w:top w:val="nil"/>
              <w:left w:val="nil"/>
              <w:bottom w:val="nil"/>
              <w:right w:val="nil"/>
            </w:tcBorders>
            <w:shd w:val="clear" w:color="auto" w:fill="auto"/>
            <w:vAlign w:val="bottom"/>
            <w:hideMark/>
          </w:tcPr>
          <w:p w14:paraId="62D669AD"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w:t>
            </w:r>
          </w:p>
        </w:tc>
      </w:tr>
      <w:tr w:rsidR="0090485B" w:rsidRPr="00D9062C" w14:paraId="69E3E54D" w14:textId="77777777" w:rsidTr="00955FDB">
        <w:trPr>
          <w:trHeight w:val="181"/>
        </w:trPr>
        <w:tc>
          <w:tcPr>
            <w:tcW w:w="3261" w:type="dxa"/>
            <w:tcBorders>
              <w:top w:val="nil"/>
              <w:left w:val="nil"/>
              <w:bottom w:val="nil"/>
              <w:right w:val="nil"/>
            </w:tcBorders>
            <w:shd w:val="clear" w:color="auto" w:fill="auto"/>
            <w:vAlign w:val="bottom"/>
            <w:hideMark/>
          </w:tcPr>
          <w:p w14:paraId="7BE25288" w14:textId="77777777" w:rsidR="0090485B" w:rsidRPr="00D9062C" w:rsidRDefault="0090485B" w:rsidP="008F07B7">
            <w:pPr>
              <w:jc w:val="right"/>
              <w:rPr>
                <w:rFonts w:ascii="Arial Narrow" w:hAnsi="Arial Narrow" w:cs="Arial"/>
                <w:b/>
                <w:bCs/>
                <w:color w:val="000000"/>
              </w:rPr>
            </w:pPr>
          </w:p>
        </w:tc>
        <w:tc>
          <w:tcPr>
            <w:tcW w:w="1104" w:type="dxa"/>
            <w:tcBorders>
              <w:top w:val="nil"/>
              <w:left w:val="nil"/>
              <w:bottom w:val="nil"/>
              <w:right w:val="nil"/>
            </w:tcBorders>
            <w:shd w:val="clear" w:color="auto" w:fill="auto"/>
            <w:vAlign w:val="bottom"/>
            <w:hideMark/>
          </w:tcPr>
          <w:p w14:paraId="34851595" w14:textId="77777777" w:rsidR="0090485B" w:rsidRPr="00D9062C" w:rsidRDefault="0090485B" w:rsidP="008F07B7">
            <w:pPr>
              <w:ind w:firstLineChars="200" w:firstLine="400"/>
              <w:jc w:val="left"/>
              <w:rPr>
                <w:rFonts w:ascii="Times New Roman" w:hAnsi="Times New Roman"/>
              </w:rPr>
            </w:pPr>
          </w:p>
        </w:tc>
        <w:tc>
          <w:tcPr>
            <w:tcW w:w="1309" w:type="dxa"/>
            <w:tcBorders>
              <w:top w:val="nil"/>
              <w:left w:val="nil"/>
              <w:bottom w:val="nil"/>
              <w:right w:val="nil"/>
            </w:tcBorders>
            <w:shd w:val="clear" w:color="auto" w:fill="auto"/>
            <w:vAlign w:val="bottom"/>
            <w:hideMark/>
          </w:tcPr>
          <w:p w14:paraId="7099B770" w14:textId="77777777" w:rsidR="0090485B" w:rsidRPr="00D9062C" w:rsidRDefault="0090485B" w:rsidP="008F07B7">
            <w:pPr>
              <w:jc w:val="right"/>
              <w:rPr>
                <w:rFonts w:ascii="Times New Roman" w:hAnsi="Times New Roman"/>
              </w:rPr>
            </w:pPr>
          </w:p>
        </w:tc>
        <w:tc>
          <w:tcPr>
            <w:tcW w:w="1309" w:type="dxa"/>
            <w:tcBorders>
              <w:top w:val="nil"/>
              <w:left w:val="nil"/>
              <w:bottom w:val="nil"/>
              <w:right w:val="nil"/>
            </w:tcBorders>
            <w:shd w:val="clear" w:color="auto" w:fill="auto"/>
            <w:vAlign w:val="bottom"/>
            <w:hideMark/>
          </w:tcPr>
          <w:p w14:paraId="541F3A5F" w14:textId="77777777" w:rsidR="0090485B" w:rsidRPr="00D9062C" w:rsidRDefault="0090485B" w:rsidP="008F07B7">
            <w:pPr>
              <w:jc w:val="right"/>
              <w:rPr>
                <w:rFonts w:ascii="Times New Roman" w:hAnsi="Times New Roman"/>
              </w:rPr>
            </w:pPr>
          </w:p>
        </w:tc>
        <w:tc>
          <w:tcPr>
            <w:tcW w:w="1361" w:type="dxa"/>
            <w:tcBorders>
              <w:top w:val="nil"/>
              <w:left w:val="nil"/>
              <w:bottom w:val="nil"/>
              <w:right w:val="nil"/>
            </w:tcBorders>
            <w:shd w:val="clear" w:color="auto" w:fill="auto"/>
            <w:vAlign w:val="bottom"/>
            <w:hideMark/>
          </w:tcPr>
          <w:p w14:paraId="4D0F43ED" w14:textId="77777777" w:rsidR="0090485B" w:rsidRPr="00D9062C" w:rsidRDefault="0090485B" w:rsidP="008F07B7">
            <w:pPr>
              <w:jc w:val="right"/>
              <w:rPr>
                <w:rFonts w:ascii="Times New Roman" w:hAnsi="Times New Roman"/>
              </w:rPr>
            </w:pPr>
          </w:p>
        </w:tc>
        <w:tc>
          <w:tcPr>
            <w:tcW w:w="1243" w:type="dxa"/>
            <w:tcBorders>
              <w:top w:val="nil"/>
              <w:left w:val="nil"/>
              <w:bottom w:val="nil"/>
              <w:right w:val="nil"/>
            </w:tcBorders>
            <w:shd w:val="clear" w:color="auto" w:fill="auto"/>
            <w:vAlign w:val="bottom"/>
            <w:hideMark/>
          </w:tcPr>
          <w:p w14:paraId="5DADA6C6" w14:textId="77777777" w:rsidR="0090485B" w:rsidRPr="00D9062C" w:rsidRDefault="0090485B" w:rsidP="008F07B7">
            <w:pPr>
              <w:jc w:val="right"/>
              <w:rPr>
                <w:rFonts w:ascii="Times New Roman" w:hAnsi="Times New Roman"/>
              </w:rPr>
            </w:pPr>
          </w:p>
        </w:tc>
      </w:tr>
      <w:tr w:rsidR="0090485B" w:rsidRPr="00D9062C" w14:paraId="63CE6792" w14:textId="77777777" w:rsidTr="00955FDB">
        <w:trPr>
          <w:trHeight w:val="423"/>
        </w:trPr>
        <w:tc>
          <w:tcPr>
            <w:tcW w:w="3261" w:type="dxa"/>
            <w:tcBorders>
              <w:top w:val="single" w:sz="4" w:space="0" w:color="AAB8C4"/>
              <w:left w:val="nil"/>
              <w:bottom w:val="single" w:sz="8" w:space="0" w:color="AAB8C4"/>
              <w:right w:val="nil"/>
            </w:tcBorders>
            <w:shd w:val="clear" w:color="auto" w:fill="auto"/>
            <w:vAlign w:val="center"/>
            <w:hideMark/>
          </w:tcPr>
          <w:p w14:paraId="66E09FF9" w14:textId="77777777" w:rsidR="0090485B" w:rsidRPr="00D9062C" w:rsidRDefault="0090485B" w:rsidP="008F07B7">
            <w:pPr>
              <w:rPr>
                <w:rFonts w:ascii="Arial Narrow" w:hAnsi="Arial Narrow" w:cs="Arial"/>
                <w:b/>
                <w:bCs/>
                <w:color w:val="000000"/>
              </w:rPr>
            </w:pPr>
            <w:r w:rsidRPr="00D9062C">
              <w:rPr>
                <w:rFonts w:ascii="Arial Narrow" w:hAnsi="Arial Narrow" w:cs="Arial"/>
                <w:b/>
                <w:bCs/>
                <w:color w:val="000000"/>
              </w:rPr>
              <w:t>Total</w:t>
            </w:r>
          </w:p>
        </w:tc>
        <w:tc>
          <w:tcPr>
            <w:tcW w:w="1104" w:type="dxa"/>
            <w:tcBorders>
              <w:top w:val="single" w:sz="4" w:space="0" w:color="AAB8C4"/>
              <w:left w:val="nil"/>
              <w:bottom w:val="single" w:sz="8" w:space="0" w:color="AAB8C4"/>
              <w:right w:val="nil"/>
            </w:tcBorders>
            <w:shd w:val="clear" w:color="auto" w:fill="auto"/>
            <w:vAlign w:val="center"/>
            <w:hideMark/>
          </w:tcPr>
          <w:p w14:paraId="52660DF7"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6,931</w:t>
            </w:r>
          </w:p>
        </w:tc>
        <w:tc>
          <w:tcPr>
            <w:tcW w:w="1309" w:type="dxa"/>
            <w:tcBorders>
              <w:top w:val="single" w:sz="4" w:space="0" w:color="AAB8C4"/>
              <w:left w:val="nil"/>
              <w:bottom w:val="single" w:sz="8" w:space="0" w:color="AAB8C4"/>
              <w:right w:val="nil"/>
            </w:tcBorders>
            <w:shd w:val="clear" w:color="auto" w:fill="auto"/>
            <w:vAlign w:val="center"/>
            <w:hideMark/>
          </w:tcPr>
          <w:p w14:paraId="303295E5"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7,347</w:t>
            </w:r>
          </w:p>
        </w:tc>
        <w:tc>
          <w:tcPr>
            <w:tcW w:w="1309" w:type="dxa"/>
            <w:tcBorders>
              <w:top w:val="single" w:sz="4" w:space="0" w:color="AAB8C4"/>
              <w:left w:val="nil"/>
              <w:bottom w:val="single" w:sz="8" w:space="0" w:color="AAB8C4"/>
              <w:right w:val="nil"/>
            </w:tcBorders>
            <w:shd w:val="clear" w:color="auto" w:fill="auto"/>
            <w:vAlign w:val="center"/>
            <w:hideMark/>
          </w:tcPr>
          <w:p w14:paraId="1FAD51E1"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287</w:t>
            </w:r>
          </w:p>
        </w:tc>
        <w:tc>
          <w:tcPr>
            <w:tcW w:w="1361" w:type="dxa"/>
            <w:tcBorders>
              <w:top w:val="single" w:sz="4" w:space="0" w:color="AAB8C4"/>
              <w:left w:val="nil"/>
              <w:bottom w:val="single" w:sz="8" w:space="0" w:color="AAB8C4"/>
              <w:right w:val="nil"/>
            </w:tcBorders>
            <w:shd w:val="clear" w:color="auto" w:fill="auto"/>
            <w:vAlign w:val="center"/>
            <w:hideMark/>
          </w:tcPr>
          <w:p w14:paraId="572AD67D"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3.9%</w:t>
            </w:r>
          </w:p>
        </w:tc>
        <w:tc>
          <w:tcPr>
            <w:tcW w:w="1243" w:type="dxa"/>
            <w:tcBorders>
              <w:top w:val="single" w:sz="4" w:space="0" w:color="AAB8C4"/>
              <w:left w:val="nil"/>
              <w:bottom w:val="single" w:sz="8" w:space="0" w:color="AAB8C4"/>
              <w:right w:val="nil"/>
            </w:tcBorders>
            <w:shd w:val="clear" w:color="auto" w:fill="auto"/>
            <w:vAlign w:val="center"/>
            <w:hideMark/>
          </w:tcPr>
          <w:p w14:paraId="21736AA1" w14:textId="77777777" w:rsidR="0090485B" w:rsidRPr="00D9062C" w:rsidRDefault="0090485B" w:rsidP="008F07B7">
            <w:pPr>
              <w:jc w:val="right"/>
              <w:rPr>
                <w:rFonts w:ascii="Arial Narrow" w:hAnsi="Arial Narrow" w:cs="Arial"/>
                <w:b/>
                <w:bCs/>
                <w:color w:val="000000"/>
              </w:rPr>
            </w:pPr>
            <w:r w:rsidRPr="00D9062C">
              <w:rPr>
                <w:rFonts w:ascii="Arial Narrow" w:hAnsi="Arial Narrow" w:cs="Arial"/>
                <w:b/>
                <w:bCs/>
                <w:color w:val="000000"/>
              </w:rPr>
              <w:t>7,635</w:t>
            </w:r>
          </w:p>
        </w:tc>
      </w:tr>
    </w:tbl>
    <w:p w14:paraId="00683804" w14:textId="77777777" w:rsidR="0090485B" w:rsidRPr="00C20F3E" w:rsidRDefault="0090485B" w:rsidP="0090485B">
      <w:pPr>
        <w:keepNext/>
        <w:spacing w:before="60"/>
        <w:rPr>
          <w:rFonts w:cs="Arial"/>
          <w:i/>
          <w:iCs/>
          <w:sz w:val="16"/>
          <w:szCs w:val="16"/>
        </w:rPr>
      </w:pPr>
      <w:r w:rsidRPr="00C20F3E">
        <w:rPr>
          <w:rFonts w:cs="Arial"/>
          <w:i/>
          <w:iCs/>
          <w:sz w:val="16"/>
          <w:szCs w:val="16"/>
          <w:vertAlign w:val="superscript"/>
        </w:rPr>
        <w:t>1</w:t>
      </w:r>
      <w:r>
        <w:rPr>
          <w:rFonts w:cs="Arial"/>
          <w:i/>
          <w:iCs/>
          <w:sz w:val="16"/>
          <w:szCs w:val="16"/>
          <w:vertAlign w:val="superscript"/>
        </w:rPr>
        <w:t xml:space="preserve"> </w:t>
      </w:r>
      <w:r w:rsidRPr="00C20F3E">
        <w:rPr>
          <w:rFonts w:cs="Arial"/>
          <w:i/>
          <w:iCs/>
          <w:sz w:val="16"/>
          <w:szCs w:val="16"/>
        </w:rPr>
        <w:t xml:space="preserve">In the </w:t>
      </w:r>
      <w:r>
        <w:rPr>
          <w:rFonts w:cs="Arial"/>
          <w:i/>
          <w:iCs/>
          <w:sz w:val="16"/>
          <w:szCs w:val="16"/>
        </w:rPr>
        <w:t xml:space="preserve">2018-2019 </w:t>
      </w:r>
      <w:r w:rsidRPr="00C20F3E">
        <w:rPr>
          <w:rFonts w:cs="Arial"/>
          <w:i/>
          <w:iCs/>
          <w:sz w:val="16"/>
          <w:szCs w:val="16"/>
        </w:rPr>
        <w:t>biennium</w:t>
      </w:r>
      <w:r>
        <w:rPr>
          <w:rFonts w:cs="Arial"/>
          <w:i/>
          <w:iCs/>
          <w:sz w:val="16"/>
          <w:szCs w:val="16"/>
        </w:rPr>
        <w:t>,</w:t>
      </w:r>
      <w:r w:rsidRPr="00C20F3E">
        <w:rPr>
          <w:rFonts w:cs="Arial"/>
          <w:i/>
          <w:iCs/>
          <w:sz w:val="16"/>
          <w:szCs w:val="16"/>
        </w:rPr>
        <w:t xml:space="preserve"> Other income primarily include</w:t>
      </w:r>
      <w:r>
        <w:rPr>
          <w:rFonts w:cs="Arial"/>
          <w:i/>
          <w:iCs/>
          <w:sz w:val="16"/>
          <w:szCs w:val="16"/>
        </w:rPr>
        <w:t>d</w:t>
      </w:r>
      <w:r w:rsidRPr="00C20F3E">
        <w:rPr>
          <w:rFonts w:cs="Arial"/>
          <w:i/>
          <w:iCs/>
          <w:sz w:val="16"/>
          <w:szCs w:val="16"/>
        </w:rPr>
        <w:t xml:space="preserve"> actual income from credit notes and exchange rate gains</w:t>
      </w:r>
      <w:r>
        <w:rPr>
          <w:rFonts w:cs="Arial"/>
          <w:i/>
          <w:iCs/>
          <w:sz w:val="16"/>
          <w:szCs w:val="16"/>
        </w:rPr>
        <w:t>.</w:t>
      </w:r>
    </w:p>
    <w:p w14:paraId="39399B1D" w14:textId="77777777" w:rsidR="0090485B" w:rsidRPr="00421986" w:rsidRDefault="0090485B" w:rsidP="0090485B">
      <w:pPr>
        <w:keepNext/>
        <w:jc w:val="center"/>
        <w:rPr>
          <w:spacing w:val="-2"/>
          <w:szCs w:val="24"/>
        </w:rPr>
      </w:pPr>
    </w:p>
    <w:p w14:paraId="72008113" w14:textId="77777777" w:rsidR="0090485B" w:rsidRDefault="0090485B" w:rsidP="0090485B">
      <w:pPr>
        <w:jc w:val="left"/>
        <w:rPr>
          <w:sz w:val="18"/>
          <w:szCs w:val="16"/>
        </w:rPr>
      </w:pPr>
      <w:r>
        <w:rPr>
          <w:sz w:val="18"/>
          <w:szCs w:val="16"/>
        </w:rPr>
        <w:br w:type="page"/>
      </w:r>
    </w:p>
    <w:p w14:paraId="1864A074" w14:textId="125A8FF4" w:rsidR="0090485B" w:rsidRPr="00C20F3E" w:rsidRDefault="0090485B" w:rsidP="0090485B">
      <w:pPr>
        <w:spacing w:after="120"/>
      </w:pPr>
      <w:r w:rsidRPr="00C20F3E">
        <w:lastRenderedPageBreak/>
        <w:t>The budgeted income for UPOV IT Tools and Services Fees is based on the following</w:t>
      </w:r>
      <w:r>
        <w:t xml:space="preserve"> </w:t>
      </w:r>
      <w:r w:rsidRPr="00C20F3E">
        <w:t>assumptions:</w:t>
      </w:r>
    </w:p>
    <w:tbl>
      <w:tblPr>
        <w:tblW w:w="9733" w:type="dxa"/>
        <w:jc w:val="center"/>
        <w:tblLayout w:type="fixed"/>
        <w:tblLook w:val="04A0" w:firstRow="1" w:lastRow="0" w:firstColumn="1" w:lastColumn="0" w:noHBand="0" w:noVBand="1"/>
      </w:tblPr>
      <w:tblGrid>
        <w:gridCol w:w="2570"/>
        <w:gridCol w:w="1210"/>
        <w:gridCol w:w="976"/>
        <w:gridCol w:w="976"/>
        <w:gridCol w:w="1072"/>
        <w:gridCol w:w="976"/>
        <w:gridCol w:w="976"/>
        <w:gridCol w:w="977"/>
      </w:tblGrid>
      <w:tr w:rsidR="0090485B" w:rsidRPr="00BB14B3" w14:paraId="5B7E86C7" w14:textId="77777777" w:rsidTr="008F07B7">
        <w:trPr>
          <w:cantSplit/>
          <w:trHeight w:val="240"/>
          <w:jc w:val="center"/>
        </w:trPr>
        <w:tc>
          <w:tcPr>
            <w:tcW w:w="2570" w:type="dxa"/>
            <w:vMerge w:val="restart"/>
            <w:tcBorders>
              <w:top w:val="nil"/>
              <w:left w:val="nil"/>
              <w:bottom w:val="nil"/>
              <w:right w:val="nil"/>
            </w:tcBorders>
            <w:shd w:val="clear" w:color="000000" w:fill="C7CFD8"/>
            <w:vAlign w:val="bottom"/>
            <w:hideMark/>
          </w:tcPr>
          <w:p w14:paraId="676C4101" w14:textId="3FDE03CA" w:rsidR="0090485B" w:rsidRPr="00C20F3E" w:rsidRDefault="0090485B" w:rsidP="008F07B7">
            <w:pPr>
              <w:jc w:val="center"/>
              <w:rPr>
                <w:rFonts w:ascii="Arial Narrow" w:hAnsi="Arial Narrow" w:cs="Arial"/>
                <w:b/>
                <w:bCs/>
                <w:color w:val="00B050"/>
              </w:rPr>
            </w:pPr>
          </w:p>
        </w:tc>
        <w:tc>
          <w:tcPr>
            <w:tcW w:w="1210" w:type="dxa"/>
            <w:vMerge w:val="restart"/>
            <w:tcBorders>
              <w:top w:val="nil"/>
              <w:left w:val="nil"/>
              <w:bottom w:val="nil"/>
              <w:right w:val="nil"/>
            </w:tcBorders>
            <w:shd w:val="clear" w:color="000000" w:fill="C7CFD8"/>
            <w:vAlign w:val="center"/>
            <w:hideMark/>
          </w:tcPr>
          <w:p w14:paraId="3F06AC6A"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Submission / Subscription fee</w:t>
            </w:r>
          </w:p>
        </w:tc>
        <w:tc>
          <w:tcPr>
            <w:tcW w:w="3024" w:type="dxa"/>
            <w:gridSpan w:val="3"/>
            <w:tcBorders>
              <w:top w:val="nil"/>
              <w:left w:val="nil"/>
              <w:bottom w:val="single" w:sz="4" w:space="0" w:color="BFBFBF"/>
              <w:right w:val="nil"/>
            </w:tcBorders>
            <w:shd w:val="clear" w:color="000000" w:fill="C7CFD8"/>
            <w:vAlign w:val="center"/>
            <w:hideMark/>
          </w:tcPr>
          <w:p w14:paraId="7E112B4E"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Submissions / Subscribers projections</w:t>
            </w:r>
          </w:p>
        </w:tc>
        <w:tc>
          <w:tcPr>
            <w:tcW w:w="2929" w:type="dxa"/>
            <w:gridSpan w:val="3"/>
            <w:tcBorders>
              <w:top w:val="nil"/>
              <w:left w:val="nil"/>
              <w:bottom w:val="single" w:sz="4" w:space="0" w:color="BFBFBF"/>
              <w:right w:val="nil"/>
            </w:tcBorders>
            <w:shd w:val="clear" w:color="000000" w:fill="C7CFD8"/>
            <w:vAlign w:val="center"/>
            <w:hideMark/>
          </w:tcPr>
          <w:p w14:paraId="73B75681"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Submissions / Subscribers Income</w:t>
            </w:r>
          </w:p>
        </w:tc>
      </w:tr>
      <w:tr w:rsidR="0090485B" w:rsidRPr="00BB14B3" w14:paraId="65D3F796" w14:textId="77777777" w:rsidTr="008F07B7">
        <w:trPr>
          <w:cantSplit/>
          <w:trHeight w:val="358"/>
          <w:jc w:val="center"/>
        </w:trPr>
        <w:tc>
          <w:tcPr>
            <w:tcW w:w="2570" w:type="dxa"/>
            <w:vMerge/>
            <w:tcBorders>
              <w:top w:val="nil"/>
              <w:left w:val="nil"/>
              <w:bottom w:val="nil"/>
              <w:right w:val="nil"/>
            </w:tcBorders>
            <w:vAlign w:val="center"/>
            <w:hideMark/>
          </w:tcPr>
          <w:p w14:paraId="20055A22" w14:textId="77777777" w:rsidR="0090485B" w:rsidRPr="00C20F3E" w:rsidRDefault="0090485B" w:rsidP="008F07B7">
            <w:pPr>
              <w:jc w:val="left"/>
              <w:rPr>
                <w:rFonts w:ascii="Arial Narrow" w:hAnsi="Arial Narrow" w:cs="Arial"/>
                <w:b/>
                <w:bCs/>
                <w:color w:val="00B050"/>
              </w:rPr>
            </w:pPr>
          </w:p>
        </w:tc>
        <w:tc>
          <w:tcPr>
            <w:tcW w:w="1210" w:type="dxa"/>
            <w:vMerge/>
            <w:tcBorders>
              <w:top w:val="nil"/>
              <w:left w:val="nil"/>
              <w:bottom w:val="nil"/>
              <w:right w:val="nil"/>
            </w:tcBorders>
            <w:vAlign w:val="center"/>
            <w:hideMark/>
          </w:tcPr>
          <w:p w14:paraId="085F9C07" w14:textId="77777777" w:rsidR="0090485B" w:rsidRPr="00C20F3E" w:rsidRDefault="0090485B" w:rsidP="008F07B7">
            <w:pPr>
              <w:jc w:val="left"/>
              <w:rPr>
                <w:rFonts w:ascii="Arial Narrow" w:hAnsi="Arial Narrow" w:cs="Arial"/>
                <w:b/>
                <w:bCs/>
                <w:sz w:val="18"/>
              </w:rPr>
            </w:pPr>
          </w:p>
        </w:tc>
        <w:tc>
          <w:tcPr>
            <w:tcW w:w="976" w:type="dxa"/>
            <w:tcBorders>
              <w:top w:val="nil"/>
              <w:left w:val="nil"/>
              <w:bottom w:val="nil"/>
              <w:right w:val="nil"/>
            </w:tcBorders>
            <w:shd w:val="clear" w:color="000000" w:fill="C7CFD8"/>
            <w:vAlign w:val="center"/>
            <w:hideMark/>
          </w:tcPr>
          <w:p w14:paraId="56F16B91"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06B88E45"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2023</w:t>
            </w:r>
          </w:p>
        </w:tc>
        <w:tc>
          <w:tcPr>
            <w:tcW w:w="1072" w:type="dxa"/>
            <w:tcBorders>
              <w:top w:val="nil"/>
              <w:left w:val="nil"/>
              <w:bottom w:val="nil"/>
              <w:right w:val="nil"/>
            </w:tcBorders>
            <w:shd w:val="clear" w:color="000000" w:fill="C7CFD8"/>
            <w:vAlign w:val="center"/>
            <w:hideMark/>
          </w:tcPr>
          <w:p w14:paraId="71369274"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Total</w:t>
            </w:r>
          </w:p>
        </w:tc>
        <w:tc>
          <w:tcPr>
            <w:tcW w:w="976" w:type="dxa"/>
            <w:tcBorders>
              <w:top w:val="nil"/>
              <w:left w:val="single" w:sz="4" w:space="0" w:color="BFBFBF"/>
              <w:bottom w:val="nil"/>
              <w:right w:val="nil"/>
            </w:tcBorders>
            <w:shd w:val="clear" w:color="000000" w:fill="C7CFD8"/>
            <w:vAlign w:val="center"/>
            <w:hideMark/>
          </w:tcPr>
          <w:p w14:paraId="559D5E7B"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113E75B8"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2023</w:t>
            </w:r>
          </w:p>
        </w:tc>
        <w:tc>
          <w:tcPr>
            <w:tcW w:w="977" w:type="dxa"/>
            <w:tcBorders>
              <w:top w:val="nil"/>
              <w:left w:val="nil"/>
              <w:bottom w:val="nil"/>
              <w:right w:val="nil"/>
            </w:tcBorders>
            <w:shd w:val="clear" w:color="000000" w:fill="C7CFD8"/>
            <w:vAlign w:val="center"/>
            <w:hideMark/>
          </w:tcPr>
          <w:p w14:paraId="2436CFF0" w14:textId="77777777" w:rsidR="0090485B" w:rsidRPr="00C20F3E" w:rsidRDefault="0090485B" w:rsidP="008F07B7">
            <w:pPr>
              <w:jc w:val="center"/>
              <w:rPr>
                <w:rFonts w:ascii="Arial Narrow" w:hAnsi="Arial Narrow" w:cs="Arial"/>
                <w:b/>
                <w:bCs/>
                <w:sz w:val="18"/>
              </w:rPr>
            </w:pPr>
            <w:r w:rsidRPr="00C20F3E">
              <w:rPr>
                <w:rFonts w:ascii="Arial Narrow" w:hAnsi="Arial Narrow" w:cs="Arial"/>
                <w:b/>
                <w:bCs/>
                <w:sz w:val="18"/>
              </w:rPr>
              <w:t>Total</w:t>
            </w:r>
          </w:p>
        </w:tc>
      </w:tr>
      <w:tr w:rsidR="0090485B" w:rsidRPr="00BB14B3" w14:paraId="63C88A8F" w14:textId="77777777" w:rsidTr="008F07B7">
        <w:trPr>
          <w:cantSplit/>
          <w:trHeight w:val="362"/>
          <w:jc w:val="center"/>
        </w:trPr>
        <w:tc>
          <w:tcPr>
            <w:tcW w:w="2570" w:type="dxa"/>
            <w:tcBorders>
              <w:top w:val="nil"/>
              <w:left w:val="nil"/>
              <w:bottom w:val="nil"/>
              <w:right w:val="nil"/>
            </w:tcBorders>
            <w:shd w:val="clear" w:color="auto" w:fill="auto"/>
            <w:vAlign w:val="center"/>
            <w:hideMark/>
          </w:tcPr>
          <w:p w14:paraId="0FCE27B0" w14:textId="77777777" w:rsidR="0090485B" w:rsidRPr="00C20F3E" w:rsidRDefault="0090485B" w:rsidP="008F07B7">
            <w:pPr>
              <w:jc w:val="left"/>
              <w:rPr>
                <w:rFonts w:ascii="Arial Narrow" w:hAnsi="Arial Narrow" w:cs="Arial"/>
                <w:sz w:val="18"/>
              </w:rPr>
            </w:pPr>
            <w:r>
              <w:rPr>
                <w:rFonts w:ascii="Arial Narrow" w:hAnsi="Arial Narrow" w:cs="Arial"/>
                <w:sz w:val="18"/>
              </w:rPr>
              <w:t>UPOV PRISMA</w:t>
            </w:r>
          </w:p>
        </w:tc>
        <w:tc>
          <w:tcPr>
            <w:tcW w:w="1210" w:type="dxa"/>
            <w:tcBorders>
              <w:top w:val="nil"/>
              <w:left w:val="nil"/>
              <w:bottom w:val="nil"/>
              <w:right w:val="nil"/>
            </w:tcBorders>
            <w:shd w:val="clear" w:color="auto" w:fill="auto"/>
            <w:noWrap/>
            <w:vAlign w:val="center"/>
            <w:hideMark/>
          </w:tcPr>
          <w:p w14:paraId="72D53784" w14:textId="77777777" w:rsidR="0090485B" w:rsidRPr="00C20F3E" w:rsidRDefault="0090485B" w:rsidP="008F07B7">
            <w:pPr>
              <w:jc w:val="right"/>
              <w:rPr>
                <w:rFonts w:ascii="Arial Narrow" w:hAnsi="Arial Narrow" w:cs="Arial"/>
              </w:rPr>
            </w:pPr>
            <w:r w:rsidRPr="00C20F3E">
              <w:rPr>
                <w:rFonts w:ascii="Arial Narrow" w:hAnsi="Arial Narrow" w:cs="Arial"/>
              </w:rPr>
              <w:t>90</w:t>
            </w:r>
          </w:p>
        </w:tc>
        <w:tc>
          <w:tcPr>
            <w:tcW w:w="976" w:type="dxa"/>
            <w:tcBorders>
              <w:top w:val="nil"/>
              <w:left w:val="nil"/>
              <w:bottom w:val="nil"/>
              <w:right w:val="nil"/>
            </w:tcBorders>
            <w:shd w:val="clear" w:color="auto" w:fill="auto"/>
            <w:noWrap/>
            <w:vAlign w:val="center"/>
            <w:hideMark/>
          </w:tcPr>
          <w:p w14:paraId="78BFC613" w14:textId="77777777" w:rsidR="0090485B" w:rsidRPr="00C20F3E" w:rsidRDefault="0090485B" w:rsidP="008F07B7">
            <w:pPr>
              <w:jc w:val="right"/>
              <w:rPr>
                <w:rFonts w:ascii="Arial Narrow" w:hAnsi="Arial Narrow" w:cs="Arial"/>
              </w:rPr>
            </w:pPr>
            <w:r w:rsidRPr="00C20F3E">
              <w:rPr>
                <w:rFonts w:ascii="Arial Narrow" w:hAnsi="Arial Narrow" w:cs="Arial"/>
              </w:rPr>
              <w:t>1,180</w:t>
            </w:r>
          </w:p>
        </w:tc>
        <w:tc>
          <w:tcPr>
            <w:tcW w:w="976" w:type="dxa"/>
            <w:tcBorders>
              <w:top w:val="nil"/>
              <w:left w:val="nil"/>
              <w:bottom w:val="nil"/>
              <w:right w:val="nil"/>
            </w:tcBorders>
            <w:shd w:val="clear" w:color="auto" w:fill="auto"/>
            <w:noWrap/>
            <w:vAlign w:val="center"/>
            <w:hideMark/>
          </w:tcPr>
          <w:p w14:paraId="701EC24E" w14:textId="77777777" w:rsidR="0090485B" w:rsidRPr="00C20F3E" w:rsidRDefault="0090485B" w:rsidP="008F07B7">
            <w:pPr>
              <w:jc w:val="right"/>
              <w:rPr>
                <w:rFonts w:ascii="Arial Narrow" w:hAnsi="Arial Narrow" w:cs="Arial"/>
              </w:rPr>
            </w:pPr>
            <w:r w:rsidRPr="00C20F3E">
              <w:rPr>
                <w:rFonts w:ascii="Arial Narrow" w:hAnsi="Arial Narrow" w:cs="Arial"/>
              </w:rPr>
              <w:t>1,250</w:t>
            </w:r>
          </w:p>
        </w:tc>
        <w:tc>
          <w:tcPr>
            <w:tcW w:w="1072" w:type="dxa"/>
            <w:tcBorders>
              <w:top w:val="nil"/>
              <w:left w:val="nil"/>
              <w:bottom w:val="nil"/>
              <w:right w:val="nil"/>
            </w:tcBorders>
            <w:shd w:val="clear" w:color="auto" w:fill="auto"/>
            <w:noWrap/>
            <w:vAlign w:val="center"/>
            <w:hideMark/>
          </w:tcPr>
          <w:p w14:paraId="671130D5" w14:textId="77777777" w:rsidR="0090485B" w:rsidRPr="00C20F3E" w:rsidRDefault="0090485B" w:rsidP="008F07B7">
            <w:pPr>
              <w:jc w:val="right"/>
              <w:rPr>
                <w:rFonts w:ascii="Arial Narrow" w:hAnsi="Arial Narrow" w:cs="Arial"/>
              </w:rPr>
            </w:pPr>
            <w:r w:rsidRPr="00C20F3E">
              <w:rPr>
                <w:rFonts w:ascii="Arial Narrow" w:hAnsi="Arial Narrow" w:cs="Arial"/>
              </w:rPr>
              <w:t>2,430</w:t>
            </w:r>
          </w:p>
        </w:tc>
        <w:tc>
          <w:tcPr>
            <w:tcW w:w="976" w:type="dxa"/>
            <w:tcBorders>
              <w:top w:val="nil"/>
              <w:left w:val="single" w:sz="4" w:space="0" w:color="BFBFBF"/>
              <w:bottom w:val="nil"/>
              <w:right w:val="nil"/>
            </w:tcBorders>
            <w:shd w:val="clear" w:color="auto" w:fill="auto"/>
            <w:noWrap/>
            <w:vAlign w:val="center"/>
            <w:hideMark/>
          </w:tcPr>
          <w:p w14:paraId="198B3705" w14:textId="77777777" w:rsidR="0090485B" w:rsidRPr="00C20F3E" w:rsidRDefault="0090485B" w:rsidP="008F07B7">
            <w:pPr>
              <w:jc w:val="right"/>
              <w:rPr>
                <w:rFonts w:ascii="Arial Narrow" w:hAnsi="Arial Narrow" w:cs="Arial"/>
              </w:rPr>
            </w:pPr>
            <w:r w:rsidRPr="00C20F3E">
              <w:rPr>
                <w:rFonts w:ascii="Arial Narrow" w:hAnsi="Arial Narrow" w:cs="Arial"/>
              </w:rPr>
              <w:t>106,200</w:t>
            </w:r>
          </w:p>
        </w:tc>
        <w:tc>
          <w:tcPr>
            <w:tcW w:w="976" w:type="dxa"/>
            <w:tcBorders>
              <w:top w:val="nil"/>
              <w:left w:val="nil"/>
              <w:bottom w:val="nil"/>
              <w:right w:val="nil"/>
            </w:tcBorders>
            <w:shd w:val="clear" w:color="auto" w:fill="auto"/>
            <w:noWrap/>
            <w:vAlign w:val="center"/>
            <w:hideMark/>
          </w:tcPr>
          <w:p w14:paraId="0CCA73EA" w14:textId="77777777" w:rsidR="0090485B" w:rsidRPr="00C20F3E" w:rsidRDefault="0090485B" w:rsidP="008F07B7">
            <w:pPr>
              <w:jc w:val="right"/>
              <w:rPr>
                <w:rFonts w:ascii="Arial Narrow" w:hAnsi="Arial Narrow" w:cs="Arial"/>
              </w:rPr>
            </w:pPr>
            <w:r w:rsidRPr="00C20F3E">
              <w:rPr>
                <w:rFonts w:ascii="Arial Narrow" w:hAnsi="Arial Narrow" w:cs="Arial"/>
              </w:rPr>
              <w:t>112,500</w:t>
            </w:r>
          </w:p>
        </w:tc>
        <w:tc>
          <w:tcPr>
            <w:tcW w:w="977" w:type="dxa"/>
            <w:tcBorders>
              <w:top w:val="nil"/>
              <w:left w:val="nil"/>
              <w:bottom w:val="nil"/>
              <w:right w:val="nil"/>
            </w:tcBorders>
            <w:shd w:val="clear" w:color="auto" w:fill="auto"/>
            <w:noWrap/>
            <w:vAlign w:val="center"/>
            <w:hideMark/>
          </w:tcPr>
          <w:p w14:paraId="4DCD9B38" w14:textId="77777777" w:rsidR="0090485B" w:rsidRPr="00C20F3E" w:rsidRDefault="0090485B" w:rsidP="008F07B7">
            <w:pPr>
              <w:jc w:val="right"/>
              <w:rPr>
                <w:rFonts w:ascii="Arial Narrow" w:hAnsi="Arial Narrow" w:cs="Arial"/>
              </w:rPr>
            </w:pPr>
            <w:r w:rsidRPr="00C20F3E">
              <w:rPr>
                <w:rFonts w:ascii="Arial Narrow" w:hAnsi="Arial Narrow" w:cs="Arial"/>
              </w:rPr>
              <w:t>218,700</w:t>
            </w:r>
          </w:p>
        </w:tc>
      </w:tr>
      <w:tr w:rsidR="0090485B" w:rsidRPr="00BB14B3" w14:paraId="477D7AE4" w14:textId="77777777" w:rsidTr="003727E8">
        <w:trPr>
          <w:cantSplit/>
          <w:trHeight w:val="362"/>
          <w:jc w:val="center"/>
        </w:trPr>
        <w:tc>
          <w:tcPr>
            <w:tcW w:w="2570" w:type="dxa"/>
            <w:tcBorders>
              <w:top w:val="nil"/>
              <w:left w:val="nil"/>
              <w:bottom w:val="single" w:sz="4" w:space="0" w:color="BFBFBF"/>
              <w:right w:val="nil"/>
            </w:tcBorders>
            <w:shd w:val="clear" w:color="auto" w:fill="auto"/>
            <w:vAlign w:val="center"/>
            <w:hideMark/>
          </w:tcPr>
          <w:p w14:paraId="1F787A46" w14:textId="77777777" w:rsidR="0090485B" w:rsidRPr="00C20F3E" w:rsidRDefault="0090485B" w:rsidP="008F07B7">
            <w:pPr>
              <w:jc w:val="left"/>
              <w:rPr>
                <w:rFonts w:ascii="Arial Narrow" w:hAnsi="Arial Narrow" w:cs="Arial"/>
                <w:sz w:val="18"/>
              </w:rPr>
            </w:pPr>
            <w:r w:rsidRPr="00C20F3E">
              <w:rPr>
                <w:rFonts w:ascii="Arial Narrow" w:hAnsi="Arial Narrow" w:cs="Arial"/>
                <w:sz w:val="18"/>
              </w:rPr>
              <w:t>PLUTO</w:t>
            </w:r>
          </w:p>
        </w:tc>
        <w:tc>
          <w:tcPr>
            <w:tcW w:w="1210" w:type="dxa"/>
            <w:tcBorders>
              <w:top w:val="nil"/>
              <w:left w:val="nil"/>
              <w:bottom w:val="single" w:sz="4" w:space="0" w:color="BFBFBF"/>
              <w:right w:val="nil"/>
            </w:tcBorders>
            <w:shd w:val="clear" w:color="auto" w:fill="auto"/>
            <w:noWrap/>
            <w:vAlign w:val="center"/>
            <w:hideMark/>
          </w:tcPr>
          <w:p w14:paraId="6BF79F9A" w14:textId="77777777" w:rsidR="0090485B" w:rsidRPr="00C20F3E" w:rsidRDefault="0090485B" w:rsidP="008F07B7">
            <w:pPr>
              <w:jc w:val="right"/>
              <w:rPr>
                <w:rFonts w:ascii="Arial Narrow" w:hAnsi="Arial Narrow" w:cs="Arial"/>
              </w:rPr>
            </w:pPr>
            <w:r w:rsidRPr="00C20F3E">
              <w:rPr>
                <w:rFonts w:ascii="Arial Narrow" w:hAnsi="Arial Narrow" w:cs="Arial"/>
              </w:rPr>
              <w:t>750</w:t>
            </w:r>
          </w:p>
        </w:tc>
        <w:tc>
          <w:tcPr>
            <w:tcW w:w="976" w:type="dxa"/>
            <w:tcBorders>
              <w:top w:val="nil"/>
              <w:left w:val="nil"/>
              <w:bottom w:val="single" w:sz="4" w:space="0" w:color="BFBFBF"/>
              <w:right w:val="nil"/>
            </w:tcBorders>
            <w:shd w:val="clear" w:color="auto" w:fill="auto"/>
            <w:noWrap/>
            <w:vAlign w:val="center"/>
            <w:hideMark/>
          </w:tcPr>
          <w:p w14:paraId="15B2BE6D" w14:textId="77777777" w:rsidR="0090485B" w:rsidRPr="00C20F3E" w:rsidRDefault="0090485B" w:rsidP="008F07B7">
            <w:pPr>
              <w:jc w:val="right"/>
              <w:rPr>
                <w:rFonts w:ascii="Arial Narrow" w:hAnsi="Arial Narrow" w:cs="Arial"/>
              </w:rPr>
            </w:pPr>
            <w:r w:rsidRPr="00C20F3E">
              <w:rPr>
                <w:rFonts w:ascii="Arial Narrow" w:hAnsi="Arial Narrow" w:cs="Arial"/>
              </w:rPr>
              <w:t>70</w:t>
            </w:r>
          </w:p>
        </w:tc>
        <w:tc>
          <w:tcPr>
            <w:tcW w:w="976" w:type="dxa"/>
            <w:tcBorders>
              <w:top w:val="nil"/>
              <w:left w:val="nil"/>
              <w:bottom w:val="single" w:sz="4" w:space="0" w:color="BFBFBF"/>
              <w:right w:val="nil"/>
            </w:tcBorders>
            <w:shd w:val="clear" w:color="auto" w:fill="auto"/>
            <w:noWrap/>
            <w:vAlign w:val="center"/>
            <w:hideMark/>
          </w:tcPr>
          <w:p w14:paraId="0540093C" w14:textId="77777777" w:rsidR="0090485B" w:rsidRPr="00C20F3E" w:rsidRDefault="0090485B" w:rsidP="008F07B7">
            <w:pPr>
              <w:jc w:val="right"/>
              <w:rPr>
                <w:rFonts w:ascii="Arial Narrow" w:hAnsi="Arial Narrow" w:cs="Arial"/>
              </w:rPr>
            </w:pPr>
            <w:r w:rsidRPr="00C20F3E">
              <w:rPr>
                <w:rFonts w:ascii="Arial Narrow" w:hAnsi="Arial Narrow" w:cs="Arial"/>
              </w:rPr>
              <w:t>80</w:t>
            </w:r>
          </w:p>
        </w:tc>
        <w:tc>
          <w:tcPr>
            <w:tcW w:w="1072" w:type="dxa"/>
            <w:tcBorders>
              <w:top w:val="nil"/>
              <w:left w:val="nil"/>
              <w:bottom w:val="single" w:sz="4" w:space="0" w:color="BFBFBF"/>
              <w:right w:val="nil"/>
            </w:tcBorders>
            <w:shd w:val="clear" w:color="auto" w:fill="auto"/>
            <w:noWrap/>
            <w:vAlign w:val="center"/>
            <w:hideMark/>
          </w:tcPr>
          <w:p w14:paraId="04AEE7AA" w14:textId="77777777" w:rsidR="0090485B" w:rsidRPr="00C20F3E" w:rsidRDefault="0090485B" w:rsidP="008F07B7">
            <w:pPr>
              <w:jc w:val="right"/>
              <w:rPr>
                <w:rFonts w:ascii="Arial Narrow" w:hAnsi="Arial Narrow" w:cs="Arial"/>
              </w:rPr>
            </w:pPr>
            <w:r w:rsidRPr="00C20F3E">
              <w:rPr>
                <w:rFonts w:ascii="Arial Narrow" w:hAnsi="Arial Narrow" w:cs="Arial"/>
              </w:rPr>
              <w:t>150</w:t>
            </w:r>
          </w:p>
        </w:tc>
        <w:tc>
          <w:tcPr>
            <w:tcW w:w="976" w:type="dxa"/>
            <w:tcBorders>
              <w:top w:val="nil"/>
              <w:left w:val="single" w:sz="4" w:space="0" w:color="BFBFBF"/>
              <w:bottom w:val="single" w:sz="4" w:space="0" w:color="BFBFBF"/>
              <w:right w:val="nil"/>
            </w:tcBorders>
            <w:shd w:val="clear" w:color="auto" w:fill="auto"/>
            <w:noWrap/>
            <w:vAlign w:val="center"/>
            <w:hideMark/>
          </w:tcPr>
          <w:p w14:paraId="44FA2652" w14:textId="77777777" w:rsidR="0090485B" w:rsidRPr="00C20F3E" w:rsidRDefault="0090485B" w:rsidP="008F07B7">
            <w:pPr>
              <w:jc w:val="right"/>
              <w:rPr>
                <w:rFonts w:ascii="Arial Narrow" w:hAnsi="Arial Narrow" w:cs="Arial"/>
              </w:rPr>
            </w:pPr>
            <w:r w:rsidRPr="00C20F3E">
              <w:rPr>
                <w:rFonts w:ascii="Arial Narrow" w:hAnsi="Arial Narrow" w:cs="Arial"/>
              </w:rPr>
              <w:t>52,500</w:t>
            </w:r>
          </w:p>
        </w:tc>
        <w:tc>
          <w:tcPr>
            <w:tcW w:w="976" w:type="dxa"/>
            <w:tcBorders>
              <w:top w:val="nil"/>
              <w:left w:val="nil"/>
              <w:bottom w:val="single" w:sz="4" w:space="0" w:color="BFBFBF"/>
              <w:right w:val="nil"/>
            </w:tcBorders>
            <w:shd w:val="clear" w:color="auto" w:fill="auto"/>
            <w:noWrap/>
            <w:vAlign w:val="center"/>
            <w:hideMark/>
          </w:tcPr>
          <w:p w14:paraId="4B9CEF28" w14:textId="77777777" w:rsidR="0090485B" w:rsidRPr="00C20F3E" w:rsidRDefault="0090485B" w:rsidP="008F07B7">
            <w:pPr>
              <w:jc w:val="right"/>
              <w:rPr>
                <w:rFonts w:ascii="Arial Narrow" w:hAnsi="Arial Narrow" w:cs="Arial"/>
              </w:rPr>
            </w:pPr>
            <w:r w:rsidRPr="00C20F3E">
              <w:rPr>
                <w:rFonts w:ascii="Arial Narrow" w:hAnsi="Arial Narrow" w:cs="Arial"/>
              </w:rPr>
              <w:t>60,000</w:t>
            </w:r>
          </w:p>
        </w:tc>
        <w:tc>
          <w:tcPr>
            <w:tcW w:w="977" w:type="dxa"/>
            <w:tcBorders>
              <w:top w:val="nil"/>
              <w:left w:val="nil"/>
              <w:bottom w:val="single" w:sz="4" w:space="0" w:color="BFBFBF"/>
              <w:right w:val="nil"/>
            </w:tcBorders>
            <w:shd w:val="clear" w:color="auto" w:fill="auto"/>
            <w:noWrap/>
            <w:vAlign w:val="center"/>
            <w:hideMark/>
          </w:tcPr>
          <w:p w14:paraId="5E8FA36D" w14:textId="77777777" w:rsidR="0090485B" w:rsidRPr="00C20F3E" w:rsidRDefault="0090485B" w:rsidP="008F07B7">
            <w:pPr>
              <w:jc w:val="right"/>
              <w:rPr>
                <w:rFonts w:ascii="Arial Narrow" w:hAnsi="Arial Narrow" w:cs="Arial"/>
              </w:rPr>
            </w:pPr>
            <w:r w:rsidRPr="00C20F3E">
              <w:rPr>
                <w:rFonts w:ascii="Arial Narrow" w:hAnsi="Arial Narrow" w:cs="Arial"/>
              </w:rPr>
              <w:t>112,500</w:t>
            </w:r>
          </w:p>
        </w:tc>
      </w:tr>
      <w:tr w:rsidR="0090485B" w:rsidRPr="00BB14B3" w14:paraId="7360E726" w14:textId="77777777" w:rsidTr="003727E8">
        <w:trPr>
          <w:cantSplit/>
          <w:trHeight w:val="384"/>
          <w:jc w:val="center"/>
        </w:trPr>
        <w:tc>
          <w:tcPr>
            <w:tcW w:w="2570" w:type="dxa"/>
            <w:tcBorders>
              <w:top w:val="single" w:sz="4" w:space="0" w:color="BFBFBF"/>
              <w:left w:val="nil"/>
              <w:bottom w:val="single" w:sz="8" w:space="0" w:color="AAB8C4" w:themeColor="accent3" w:themeTint="99"/>
              <w:right w:val="nil"/>
            </w:tcBorders>
            <w:shd w:val="clear" w:color="auto" w:fill="auto"/>
            <w:vAlign w:val="center"/>
            <w:hideMark/>
          </w:tcPr>
          <w:p w14:paraId="33E0650E" w14:textId="77777777" w:rsidR="0090485B" w:rsidRPr="00C20F3E" w:rsidRDefault="0090485B" w:rsidP="008F07B7">
            <w:pPr>
              <w:jc w:val="left"/>
              <w:rPr>
                <w:rFonts w:ascii="Arial Narrow" w:hAnsi="Arial Narrow" w:cs="Arial"/>
                <w:b/>
                <w:bCs/>
                <w:sz w:val="18"/>
              </w:rPr>
            </w:pPr>
            <w:r w:rsidRPr="00C20F3E">
              <w:rPr>
                <w:rFonts w:ascii="Arial Narrow" w:hAnsi="Arial Narrow" w:cs="Arial"/>
                <w:b/>
                <w:bCs/>
                <w:sz w:val="18"/>
              </w:rPr>
              <w:t xml:space="preserve">Total </w:t>
            </w:r>
            <w:r>
              <w:rPr>
                <w:rFonts w:ascii="Arial Narrow" w:hAnsi="Arial Narrow" w:cs="Arial"/>
                <w:b/>
                <w:bCs/>
                <w:sz w:val="18"/>
              </w:rPr>
              <w:t>UPOV PRISMA</w:t>
            </w:r>
            <w:r w:rsidRPr="00C20F3E">
              <w:rPr>
                <w:rFonts w:ascii="Arial Narrow" w:hAnsi="Arial Narrow" w:cs="Arial"/>
                <w:b/>
                <w:bCs/>
                <w:sz w:val="18"/>
              </w:rPr>
              <w:t xml:space="preserve"> and PLUTO</w:t>
            </w:r>
          </w:p>
        </w:tc>
        <w:tc>
          <w:tcPr>
            <w:tcW w:w="1210" w:type="dxa"/>
            <w:tcBorders>
              <w:top w:val="single" w:sz="4" w:space="0" w:color="BFBFBF"/>
              <w:left w:val="nil"/>
              <w:bottom w:val="single" w:sz="8" w:space="0" w:color="AAB8C4" w:themeColor="accent3" w:themeTint="99"/>
              <w:right w:val="nil"/>
            </w:tcBorders>
            <w:shd w:val="clear" w:color="auto" w:fill="auto"/>
            <w:vAlign w:val="center"/>
            <w:hideMark/>
          </w:tcPr>
          <w:p w14:paraId="429196F6" w14:textId="77777777" w:rsidR="0090485B" w:rsidRPr="00C20F3E" w:rsidRDefault="0090485B" w:rsidP="008F07B7">
            <w:pPr>
              <w:jc w:val="right"/>
              <w:rPr>
                <w:rFonts w:ascii="Arial Narrow" w:hAnsi="Arial Narrow" w:cs="Arial"/>
                <w:b/>
                <w:bCs/>
              </w:rPr>
            </w:pPr>
          </w:p>
        </w:tc>
        <w:tc>
          <w:tcPr>
            <w:tcW w:w="976" w:type="dxa"/>
            <w:tcBorders>
              <w:top w:val="single" w:sz="4" w:space="0" w:color="BFBFBF"/>
              <w:left w:val="nil"/>
              <w:bottom w:val="single" w:sz="8" w:space="0" w:color="AAB8C4" w:themeColor="accent3" w:themeTint="99"/>
              <w:right w:val="nil"/>
            </w:tcBorders>
            <w:shd w:val="clear" w:color="auto" w:fill="auto"/>
            <w:noWrap/>
            <w:vAlign w:val="center"/>
            <w:hideMark/>
          </w:tcPr>
          <w:p w14:paraId="66594324" w14:textId="77777777" w:rsidR="0090485B" w:rsidRPr="00C20F3E" w:rsidRDefault="0090485B" w:rsidP="008F07B7">
            <w:pPr>
              <w:jc w:val="right"/>
              <w:rPr>
                <w:rFonts w:ascii="Arial Narrow" w:hAnsi="Arial Narrow" w:cs="Arial"/>
                <w:b/>
                <w:bCs/>
              </w:rPr>
            </w:pPr>
          </w:p>
        </w:tc>
        <w:tc>
          <w:tcPr>
            <w:tcW w:w="976" w:type="dxa"/>
            <w:tcBorders>
              <w:top w:val="single" w:sz="4" w:space="0" w:color="BFBFBF"/>
              <w:left w:val="nil"/>
              <w:bottom w:val="single" w:sz="8" w:space="0" w:color="AAB8C4" w:themeColor="accent3" w:themeTint="99"/>
              <w:right w:val="nil"/>
            </w:tcBorders>
            <w:shd w:val="clear" w:color="auto" w:fill="auto"/>
            <w:noWrap/>
            <w:vAlign w:val="center"/>
            <w:hideMark/>
          </w:tcPr>
          <w:p w14:paraId="0971ABE0" w14:textId="77777777" w:rsidR="0090485B" w:rsidRPr="00C20F3E" w:rsidRDefault="0090485B" w:rsidP="008F07B7">
            <w:pPr>
              <w:jc w:val="right"/>
              <w:rPr>
                <w:rFonts w:ascii="Arial Narrow" w:hAnsi="Arial Narrow" w:cs="Arial"/>
                <w:b/>
                <w:bCs/>
              </w:rPr>
            </w:pPr>
          </w:p>
        </w:tc>
        <w:tc>
          <w:tcPr>
            <w:tcW w:w="1072" w:type="dxa"/>
            <w:tcBorders>
              <w:top w:val="single" w:sz="4" w:space="0" w:color="BFBFBF"/>
              <w:left w:val="nil"/>
              <w:bottom w:val="single" w:sz="8" w:space="0" w:color="AAB8C4" w:themeColor="accent3" w:themeTint="99"/>
              <w:right w:val="nil"/>
            </w:tcBorders>
            <w:shd w:val="clear" w:color="auto" w:fill="auto"/>
            <w:noWrap/>
            <w:vAlign w:val="center"/>
            <w:hideMark/>
          </w:tcPr>
          <w:p w14:paraId="68DB6426" w14:textId="77777777" w:rsidR="0090485B" w:rsidRPr="00C20F3E" w:rsidRDefault="0090485B" w:rsidP="008F07B7">
            <w:pPr>
              <w:jc w:val="right"/>
              <w:rPr>
                <w:rFonts w:ascii="Arial Narrow" w:hAnsi="Arial Narrow" w:cs="Arial"/>
                <w:b/>
                <w:bCs/>
              </w:rPr>
            </w:pPr>
          </w:p>
        </w:tc>
        <w:tc>
          <w:tcPr>
            <w:tcW w:w="976" w:type="dxa"/>
            <w:tcBorders>
              <w:top w:val="single" w:sz="4" w:space="0" w:color="BFBFBF"/>
              <w:left w:val="nil"/>
              <w:bottom w:val="single" w:sz="8" w:space="0" w:color="AAB8C4" w:themeColor="accent3" w:themeTint="99"/>
              <w:right w:val="nil"/>
            </w:tcBorders>
            <w:shd w:val="clear" w:color="auto" w:fill="auto"/>
            <w:noWrap/>
            <w:vAlign w:val="center"/>
            <w:hideMark/>
          </w:tcPr>
          <w:p w14:paraId="439DF35A" w14:textId="77777777" w:rsidR="0090485B" w:rsidRPr="00C20F3E" w:rsidRDefault="0090485B" w:rsidP="008F07B7">
            <w:pPr>
              <w:jc w:val="right"/>
              <w:rPr>
                <w:rFonts w:ascii="Arial Narrow" w:hAnsi="Arial Narrow" w:cs="Arial"/>
                <w:b/>
                <w:bCs/>
              </w:rPr>
            </w:pPr>
            <w:r w:rsidRPr="00C20F3E">
              <w:rPr>
                <w:rFonts w:ascii="Arial Narrow" w:hAnsi="Arial Narrow" w:cs="Arial"/>
                <w:b/>
                <w:bCs/>
              </w:rPr>
              <w:t>158,700</w:t>
            </w:r>
          </w:p>
        </w:tc>
        <w:tc>
          <w:tcPr>
            <w:tcW w:w="976" w:type="dxa"/>
            <w:tcBorders>
              <w:top w:val="single" w:sz="4" w:space="0" w:color="BFBFBF"/>
              <w:left w:val="nil"/>
              <w:bottom w:val="single" w:sz="8" w:space="0" w:color="AAB8C4" w:themeColor="accent3" w:themeTint="99"/>
              <w:right w:val="nil"/>
            </w:tcBorders>
            <w:shd w:val="clear" w:color="auto" w:fill="auto"/>
            <w:noWrap/>
            <w:vAlign w:val="center"/>
            <w:hideMark/>
          </w:tcPr>
          <w:p w14:paraId="1D8D8C9A" w14:textId="77777777" w:rsidR="0090485B" w:rsidRPr="00C20F3E" w:rsidRDefault="0090485B" w:rsidP="008F07B7">
            <w:pPr>
              <w:jc w:val="right"/>
              <w:rPr>
                <w:rFonts w:ascii="Arial Narrow" w:hAnsi="Arial Narrow" w:cs="Arial"/>
                <w:b/>
                <w:bCs/>
              </w:rPr>
            </w:pPr>
            <w:r w:rsidRPr="00C20F3E">
              <w:rPr>
                <w:rFonts w:ascii="Arial Narrow" w:hAnsi="Arial Narrow" w:cs="Arial"/>
                <w:b/>
                <w:bCs/>
              </w:rPr>
              <w:t>172,500</w:t>
            </w:r>
          </w:p>
        </w:tc>
        <w:tc>
          <w:tcPr>
            <w:tcW w:w="977" w:type="dxa"/>
            <w:tcBorders>
              <w:top w:val="single" w:sz="4" w:space="0" w:color="BFBFBF"/>
              <w:left w:val="nil"/>
              <w:bottom w:val="single" w:sz="8" w:space="0" w:color="AAB8C4" w:themeColor="accent3" w:themeTint="99"/>
              <w:right w:val="nil"/>
            </w:tcBorders>
            <w:shd w:val="clear" w:color="auto" w:fill="auto"/>
            <w:noWrap/>
            <w:vAlign w:val="center"/>
            <w:hideMark/>
          </w:tcPr>
          <w:p w14:paraId="5A57BFAB" w14:textId="77777777" w:rsidR="0090485B" w:rsidRPr="00C20F3E" w:rsidRDefault="0090485B" w:rsidP="008F07B7">
            <w:pPr>
              <w:jc w:val="right"/>
              <w:rPr>
                <w:rFonts w:ascii="Arial Narrow" w:hAnsi="Arial Narrow" w:cs="Arial"/>
                <w:b/>
                <w:bCs/>
              </w:rPr>
            </w:pPr>
            <w:r w:rsidRPr="00C20F3E">
              <w:rPr>
                <w:rFonts w:ascii="Arial Narrow" w:hAnsi="Arial Narrow" w:cs="Arial"/>
                <w:b/>
                <w:bCs/>
              </w:rPr>
              <w:t>331,200</w:t>
            </w:r>
          </w:p>
        </w:tc>
      </w:tr>
    </w:tbl>
    <w:p w14:paraId="67908973" w14:textId="77777777" w:rsidR="0090485B" w:rsidRDefault="0090485B" w:rsidP="0090485B">
      <w:pPr>
        <w:spacing w:after="120"/>
        <w:ind w:left="426" w:hanging="426"/>
        <w:jc w:val="left"/>
        <w:rPr>
          <w:i/>
          <w:sz w:val="18"/>
          <w:szCs w:val="16"/>
        </w:rPr>
      </w:pPr>
    </w:p>
    <w:p w14:paraId="2EF5E94E" w14:textId="37512C2D" w:rsidR="0090485B" w:rsidRDefault="0090485B">
      <w:pPr>
        <w:spacing w:after="120"/>
        <w:ind w:left="284" w:right="283"/>
        <w:rPr>
          <w:i/>
          <w:sz w:val="18"/>
          <w:szCs w:val="16"/>
        </w:rPr>
      </w:pPr>
      <w:r>
        <w:rPr>
          <w:i/>
          <w:sz w:val="18"/>
          <w:szCs w:val="16"/>
        </w:rPr>
        <w:t xml:space="preserve">A substantial increase in UPOV PRISMA income is expected from January 2021 as a result of increased coverage and introduction of a bulk upload feature.  The impact of these changes can be seen in the number of applications made via UPOV PRISMA </w:t>
      </w:r>
      <w:r w:rsidR="001E660C">
        <w:rPr>
          <w:i/>
          <w:sz w:val="18"/>
          <w:szCs w:val="16"/>
        </w:rPr>
        <w:t xml:space="preserve">since </w:t>
      </w:r>
      <w:r>
        <w:rPr>
          <w:i/>
          <w:sz w:val="18"/>
          <w:szCs w:val="16"/>
        </w:rPr>
        <w:t>January 2021</w:t>
      </w:r>
      <w:r w:rsidR="001E660C">
        <w:rPr>
          <w:i/>
          <w:sz w:val="18"/>
          <w:szCs w:val="16"/>
        </w:rPr>
        <w:t xml:space="preserve"> [Note:  the very high number of applications in June 2021 was a result of </w:t>
      </w:r>
      <w:r w:rsidR="007B660D">
        <w:rPr>
          <w:i/>
          <w:sz w:val="18"/>
          <w:szCs w:val="16"/>
        </w:rPr>
        <w:t xml:space="preserve">a transitional arrangement in the </w:t>
      </w:r>
      <w:r w:rsidR="007B660D" w:rsidRPr="007B660D">
        <w:rPr>
          <w:i/>
          <w:sz w:val="18"/>
          <w:szCs w:val="16"/>
        </w:rPr>
        <w:t>United Kingdom</w:t>
      </w:r>
      <w:r w:rsidR="007B660D">
        <w:rPr>
          <w:i/>
          <w:sz w:val="18"/>
          <w:szCs w:val="16"/>
        </w:rPr>
        <w:t>.  F</w:t>
      </w:r>
      <w:r w:rsidR="007B660D" w:rsidRPr="007B660D">
        <w:rPr>
          <w:i/>
          <w:sz w:val="18"/>
          <w:szCs w:val="16"/>
        </w:rPr>
        <w:t xml:space="preserve">or varieties with an undecided </w:t>
      </w:r>
      <w:r w:rsidR="007B660D" w:rsidRPr="007B660D">
        <w:rPr>
          <w:i/>
          <w:color w:val="000000" w:themeColor="text1"/>
          <w:sz w:val="18"/>
          <w:szCs w:val="16"/>
        </w:rPr>
        <w:t>European Union</w:t>
      </w:r>
      <w:r w:rsidR="007B660D" w:rsidRPr="007B660D">
        <w:rPr>
          <w:i/>
          <w:sz w:val="18"/>
          <w:szCs w:val="16"/>
        </w:rPr>
        <w:t xml:space="preserve"> </w:t>
      </w:r>
      <w:r w:rsidR="007B660D">
        <w:rPr>
          <w:i/>
          <w:sz w:val="18"/>
          <w:szCs w:val="16"/>
        </w:rPr>
        <w:t xml:space="preserve">Plant Variety Rights </w:t>
      </w:r>
      <w:r w:rsidR="007B660D" w:rsidRPr="007B660D">
        <w:rPr>
          <w:i/>
          <w:sz w:val="18"/>
          <w:szCs w:val="16"/>
        </w:rPr>
        <w:t xml:space="preserve">application on December </w:t>
      </w:r>
      <w:r w:rsidR="00AE0D3E">
        <w:rPr>
          <w:i/>
          <w:sz w:val="18"/>
          <w:szCs w:val="16"/>
        </w:rPr>
        <w:t xml:space="preserve">31, </w:t>
      </w:r>
      <w:r w:rsidR="007B660D" w:rsidRPr="007B660D">
        <w:rPr>
          <w:i/>
          <w:sz w:val="18"/>
          <w:szCs w:val="16"/>
        </w:rPr>
        <w:t>2020 and</w:t>
      </w:r>
      <w:r w:rsidR="007B660D">
        <w:rPr>
          <w:i/>
          <w:sz w:val="18"/>
          <w:szCs w:val="16"/>
        </w:rPr>
        <w:t xml:space="preserve"> for</w:t>
      </w:r>
      <w:r w:rsidR="007B660D" w:rsidRPr="007B660D">
        <w:rPr>
          <w:i/>
          <w:sz w:val="18"/>
          <w:szCs w:val="16"/>
        </w:rPr>
        <w:t xml:space="preserve"> a subsequent United Kingdom application </w:t>
      </w:r>
      <w:r w:rsidR="007B660D">
        <w:rPr>
          <w:i/>
          <w:sz w:val="18"/>
          <w:szCs w:val="16"/>
        </w:rPr>
        <w:t>by June 30, 2021, novelty wa</w:t>
      </w:r>
      <w:r w:rsidR="007B660D" w:rsidRPr="007B660D">
        <w:rPr>
          <w:i/>
          <w:sz w:val="18"/>
          <w:szCs w:val="16"/>
        </w:rPr>
        <w:t>s retained if first c</w:t>
      </w:r>
      <w:r w:rsidR="007B660D">
        <w:rPr>
          <w:i/>
          <w:sz w:val="18"/>
          <w:szCs w:val="16"/>
        </w:rPr>
        <w:t xml:space="preserve">ommercialization in the EU or </w:t>
      </w:r>
      <w:r w:rsidR="007B660D" w:rsidRPr="007B660D">
        <w:rPr>
          <w:i/>
          <w:sz w:val="18"/>
          <w:szCs w:val="16"/>
        </w:rPr>
        <w:t>the United Kingdom was no more than one year before the date of application for EU rights or the date of priority if earlier.</w:t>
      </w:r>
      <w:r w:rsidR="007B660D">
        <w:rPr>
          <w:i/>
          <w:sz w:val="18"/>
          <w:szCs w:val="16"/>
        </w:rPr>
        <w:t>]</w:t>
      </w:r>
      <w:r>
        <w:rPr>
          <w:i/>
          <w:sz w:val="18"/>
          <w:szCs w:val="16"/>
        </w:rPr>
        <w:t>:</w:t>
      </w:r>
    </w:p>
    <w:p w14:paraId="2B0417B9" w14:textId="77777777" w:rsidR="0090485B" w:rsidRDefault="0090485B" w:rsidP="0090485B">
      <w:pPr>
        <w:spacing w:after="120"/>
        <w:jc w:val="left"/>
        <w:rPr>
          <w:i/>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90485B" w:rsidRPr="00B80EB0" w14:paraId="3478D25F" w14:textId="77777777" w:rsidTr="008F07B7">
        <w:trPr>
          <w:trHeight w:val="399"/>
          <w:jc w:val="center"/>
        </w:trPr>
        <w:tc>
          <w:tcPr>
            <w:tcW w:w="1353" w:type="dxa"/>
            <w:shd w:val="clear" w:color="auto" w:fill="C6CFD7" w:themeFill="accent3" w:themeFillTint="66"/>
          </w:tcPr>
          <w:p w14:paraId="570EEB7F" w14:textId="77777777" w:rsidR="0090485B" w:rsidRPr="00B80EB0" w:rsidRDefault="0090485B" w:rsidP="008F07B7">
            <w:pPr>
              <w:jc w:val="left"/>
              <w:rPr>
                <w:rFonts w:ascii="Arial Narrow" w:hAnsi="Arial Narrow"/>
                <w:b/>
              </w:rPr>
            </w:pPr>
          </w:p>
        </w:tc>
        <w:tc>
          <w:tcPr>
            <w:tcW w:w="1313" w:type="dxa"/>
            <w:shd w:val="clear" w:color="auto" w:fill="C6CFD7" w:themeFill="accent3" w:themeFillTint="66"/>
            <w:vAlign w:val="center"/>
          </w:tcPr>
          <w:p w14:paraId="726D586D" w14:textId="77777777" w:rsidR="0090485B" w:rsidRPr="00B80EB0" w:rsidRDefault="0090485B" w:rsidP="008F07B7">
            <w:pPr>
              <w:jc w:val="center"/>
              <w:rPr>
                <w:rFonts w:ascii="Arial Narrow" w:hAnsi="Arial Narrow"/>
                <w:b/>
              </w:rPr>
            </w:pPr>
            <w:r w:rsidRPr="00B80EB0">
              <w:rPr>
                <w:rFonts w:ascii="Arial Narrow" w:hAnsi="Arial Narrow"/>
                <w:b/>
              </w:rPr>
              <w:t>2017</w:t>
            </w:r>
          </w:p>
        </w:tc>
        <w:tc>
          <w:tcPr>
            <w:tcW w:w="1313" w:type="dxa"/>
            <w:shd w:val="clear" w:color="auto" w:fill="C6CFD7" w:themeFill="accent3" w:themeFillTint="66"/>
            <w:vAlign w:val="center"/>
          </w:tcPr>
          <w:p w14:paraId="67E64003" w14:textId="77777777" w:rsidR="0090485B" w:rsidRPr="00B80EB0" w:rsidRDefault="0090485B" w:rsidP="008F07B7">
            <w:pPr>
              <w:jc w:val="center"/>
              <w:rPr>
                <w:rFonts w:ascii="Arial Narrow" w:hAnsi="Arial Narrow"/>
                <w:b/>
              </w:rPr>
            </w:pPr>
            <w:r w:rsidRPr="00B80EB0">
              <w:rPr>
                <w:rFonts w:ascii="Arial Narrow" w:hAnsi="Arial Narrow"/>
                <w:b/>
              </w:rPr>
              <w:t>2018</w:t>
            </w:r>
          </w:p>
        </w:tc>
        <w:tc>
          <w:tcPr>
            <w:tcW w:w="1314" w:type="dxa"/>
            <w:shd w:val="clear" w:color="auto" w:fill="C6CFD7" w:themeFill="accent3" w:themeFillTint="66"/>
            <w:vAlign w:val="center"/>
          </w:tcPr>
          <w:p w14:paraId="07329B05" w14:textId="77777777" w:rsidR="0090485B" w:rsidRPr="00B80EB0" w:rsidRDefault="0090485B" w:rsidP="008F07B7">
            <w:pPr>
              <w:jc w:val="center"/>
              <w:rPr>
                <w:rFonts w:ascii="Arial Narrow" w:hAnsi="Arial Narrow"/>
                <w:b/>
              </w:rPr>
            </w:pPr>
            <w:r w:rsidRPr="00B80EB0">
              <w:rPr>
                <w:rFonts w:ascii="Arial Narrow" w:hAnsi="Arial Narrow"/>
                <w:b/>
              </w:rPr>
              <w:t>2019</w:t>
            </w:r>
          </w:p>
        </w:tc>
        <w:tc>
          <w:tcPr>
            <w:tcW w:w="1314" w:type="dxa"/>
            <w:shd w:val="clear" w:color="auto" w:fill="C6CFD7" w:themeFill="accent3" w:themeFillTint="66"/>
            <w:vAlign w:val="center"/>
          </w:tcPr>
          <w:p w14:paraId="3B71BFD2" w14:textId="77777777" w:rsidR="0090485B" w:rsidRPr="00B80EB0" w:rsidRDefault="0090485B" w:rsidP="008F07B7">
            <w:pPr>
              <w:jc w:val="center"/>
              <w:rPr>
                <w:rFonts w:ascii="Arial Narrow" w:hAnsi="Arial Narrow"/>
                <w:b/>
              </w:rPr>
            </w:pPr>
            <w:r w:rsidRPr="00B80EB0">
              <w:rPr>
                <w:rFonts w:ascii="Arial Narrow" w:hAnsi="Arial Narrow"/>
                <w:b/>
              </w:rPr>
              <w:t>2020</w:t>
            </w:r>
          </w:p>
        </w:tc>
        <w:tc>
          <w:tcPr>
            <w:tcW w:w="1314" w:type="dxa"/>
            <w:shd w:val="clear" w:color="auto" w:fill="C6CFD7" w:themeFill="accent3" w:themeFillTint="66"/>
            <w:vAlign w:val="center"/>
          </w:tcPr>
          <w:p w14:paraId="15D8AD30" w14:textId="77777777" w:rsidR="0090485B" w:rsidRPr="00B80EB0" w:rsidRDefault="0090485B" w:rsidP="008F07B7">
            <w:pPr>
              <w:jc w:val="center"/>
              <w:rPr>
                <w:rFonts w:ascii="Arial Narrow" w:hAnsi="Arial Narrow"/>
                <w:b/>
              </w:rPr>
            </w:pPr>
            <w:r w:rsidRPr="00B80EB0">
              <w:rPr>
                <w:rFonts w:ascii="Arial Narrow" w:hAnsi="Arial Narrow"/>
                <w:b/>
              </w:rPr>
              <w:t>2021</w:t>
            </w:r>
          </w:p>
        </w:tc>
      </w:tr>
      <w:tr w:rsidR="0090485B" w:rsidRPr="00B80EB0" w14:paraId="652A5F9B" w14:textId="77777777" w:rsidTr="008F07B7">
        <w:trPr>
          <w:trHeight w:val="340"/>
          <w:jc w:val="center"/>
        </w:trPr>
        <w:tc>
          <w:tcPr>
            <w:tcW w:w="1353" w:type="dxa"/>
            <w:vAlign w:val="center"/>
          </w:tcPr>
          <w:p w14:paraId="1A2B4860" w14:textId="77777777" w:rsidR="0090485B" w:rsidRPr="00B80EB0" w:rsidRDefault="0090485B" w:rsidP="008F07B7">
            <w:pPr>
              <w:jc w:val="left"/>
              <w:rPr>
                <w:rFonts w:ascii="Arial Narrow" w:hAnsi="Arial Narrow"/>
                <w:i/>
              </w:rPr>
            </w:pPr>
            <w:r w:rsidRPr="00B80EB0">
              <w:rPr>
                <w:rFonts w:ascii="Arial Narrow" w:hAnsi="Arial Narrow"/>
                <w:i/>
              </w:rPr>
              <w:t>January</w:t>
            </w:r>
          </w:p>
        </w:tc>
        <w:tc>
          <w:tcPr>
            <w:tcW w:w="1313" w:type="dxa"/>
            <w:vAlign w:val="center"/>
          </w:tcPr>
          <w:p w14:paraId="098457C1" w14:textId="77777777" w:rsidR="0090485B" w:rsidRPr="00B80EB0" w:rsidRDefault="0090485B" w:rsidP="008F07B7">
            <w:pPr>
              <w:ind w:right="284"/>
              <w:jc w:val="right"/>
              <w:rPr>
                <w:rFonts w:ascii="Arial Narrow" w:hAnsi="Arial Narrow"/>
                <w:i/>
              </w:rPr>
            </w:pPr>
            <w:r w:rsidRPr="00B80EB0">
              <w:rPr>
                <w:rFonts w:ascii="Arial Narrow" w:hAnsi="Arial Narrow"/>
                <w:i/>
              </w:rPr>
              <w:t>1</w:t>
            </w:r>
          </w:p>
        </w:tc>
        <w:tc>
          <w:tcPr>
            <w:tcW w:w="1313" w:type="dxa"/>
            <w:vAlign w:val="center"/>
          </w:tcPr>
          <w:p w14:paraId="35274887" w14:textId="77777777" w:rsidR="0090485B" w:rsidRPr="00B80EB0" w:rsidRDefault="0090485B" w:rsidP="008F07B7">
            <w:pPr>
              <w:ind w:right="284"/>
              <w:jc w:val="right"/>
              <w:rPr>
                <w:rFonts w:ascii="Arial Narrow" w:hAnsi="Arial Narrow"/>
                <w:i/>
              </w:rPr>
            </w:pPr>
          </w:p>
        </w:tc>
        <w:tc>
          <w:tcPr>
            <w:tcW w:w="1314" w:type="dxa"/>
            <w:vAlign w:val="center"/>
          </w:tcPr>
          <w:p w14:paraId="3F162C79" w14:textId="77777777" w:rsidR="0090485B" w:rsidRPr="00B80EB0" w:rsidRDefault="0090485B" w:rsidP="008F07B7">
            <w:pPr>
              <w:ind w:right="284"/>
              <w:jc w:val="right"/>
              <w:rPr>
                <w:rFonts w:ascii="Arial Narrow" w:hAnsi="Arial Narrow"/>
                <w:i/>
              </w:rPr>
            </w:pPr>
            <w:r w:rsidRPr="00B80EB0">
              <w:rPr>
                <w:rFonts w:ascii="Arial Narrow" w:hAnsi="Arial Narrow"/>
                <w:i/>
              </w:rPr>
              <w:t>7</w:t>
            </w:r>
          </w:p>
        </w:tc>
        <w:tc>
          <w:tcPr>
            <w:tcW w:w="1314" w:type="dxa"/>
            <w:vAlign w:val="center"/>
          </w:tcPr>
          <w:p w14:paraId="50B4F818" w14:textId="77777777" w:rsidR="0090485B" w:rsidRPr="00B80EB0" w:rsidRDefault="0090485B" w:rsidP="008F07B7">
            <w:pPr>
              <w:ind w:right="284"/>
              <w:jc w:val="right"/>
              <w:rPr>
                <w:rFonts w:ascii="Arial Narrow" w:hAnsi="Arial Narrow"/>
                <w:i/>
              </w:rPr>
            </w:pPr>
            <w:r w:rsidRPr="00B80EB0">
              <w:rPr>
                <w:rFonts w:ascii="Arial Narrow" w:hAnsi="Arial Narrow"/>
                <w:i/>
              </w:rPr>
              <w:t>18</w:t>
            </w:r>
          </w:p>
        </w:tc>
        <w:tc>
          <w:tcPr>
            <w:tcW w:w="1314" w:type="dxa"/>
            <w:vAlign w:val="center"/>
          </w:tcPr>
          <w:p w14:paraId="499E9E43" w14:textId="77777777" w:rsidR="0090485B" w:rsidRPr="00B80EB0" w:rsidRDefault="0090485B" w:rsidP="008F07B7">
            <w:pPr>
              <w:ind w:right="284"/>
              <w:jc w:val="right"/>
              <w:rPr>
                <w:rFonts w:ascii="Arial Narrow" w:hAnsi="Arial Narrow"/>
                <w:i/>
              </w:rPr>
            </w:pPr>
            <w:r>
              <w:rPr>
                <w:rFonts w:ascii="Arial Narrow" w:hAnsi="Arial Narrow"/>
                <w:i/>
              </w:rPr>
              <w:t>109</w:t>
            </w:r>
          </w:p>
        </w:tc>
      </w:tr>
      <w:tr w:rsidR="0090485B" w:rsidRPr="00B80EB0" w14:paraId="0A684599" w14:textId="77777777" w:rsidTr="008F07B7">
        <w:trPr>
          <w:trHeight w:val="340"/>
          <w:jc w:val="center"/>
        </w:trPr>
        <w:tc>
          <w:tcPr>
            <w:tcW w:w="1353" w:type="dxa"/>
            <w:vAlign w:val="center"/>
          </w:tcPr>
          <w:p w14:paraId="25A2B366" w14:textId="77777777" w:rsidR="0090485B" w:rsidRPr="00B80EB0" w:rsidRDefault="0090485B" w:rsidP="008F07B7">
            <w:pPr>
              <w:jc w:val="left"/>
              <w:rPr>
                <w:rFonts w:ascii="Arial Narrow" w:hAnsi="Arial Narrow"/>
                <w:i/>
              </w:rPr>
            </w:pPr>
            <w:r w:rsidRPr="00B80EB0">
              <w:rPr>
                <w:rFonts w:ascii="Arial Narrow" w:hAnsi="Arial Narrow"/>
                <w:i/>
              </w:rPr>
              <w:t>February</w:t>
            </w:r>
          </w:p>
        </w:tc>
        <w:tc>
          <w:tcPr>
            <w:tcW w:w="1313" w:type="dxa"/>
            <w:vAlign w:val="center"/>
          </w:tcPr>
          <w:p w14:paraId="6DC90DB8" w14:textId="77777777" w:rsidR="0090485B" w:rsidRPr="00B80EB0" w:rsidRDefault="0090485B" w:rsidP="008F07B7">
            <w:pPr>
              <w:ind w:right="284"/>
              <w:jc w:val="right"/>
              <w:rPr>
                <w:rFonts w:ascii="Arial Narrow" w:hAnsi="Arial Narrow"/>
                <w:i/>
              </w:rPr>
            </w:pPr>
          </w:p>
        </w:tc>
        <w:tc>
          <w:tcPr>
            <w:tcW w:w="1313" w:type="dxa"/>
            <w:vAlign w:val="center"/>
          </w:tcPr>
          <w:p w14:paraId="5520387D"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4" w:type="dxa"/>
            <w:vAlign w:val="center"/>
          </w:tcPr>
          <w:p w14:paraId="5023FBEF" w14:textId="77777777" w:rsidR="0090485B" w:rsidRPr="00B80EB0" w:rsidRDefault="0090485B" w:rsidP="008F07B7">
            <w:pPr>
              <w:ind w:right="284"/>
              <w:jc w:val="right"/>
              <w:rPr>
                <w:rFonts w:ascii="Arial Narrow" w:hAnsi="Arial Narrow"/>
                <w:i/>
              </w:rPr>
            </w:pPr>
            <w:r w:rsidRPr="00B80EB0">
              <w:rPr>
                <w:rFonts w:ascii="Arial Narrow" w:hAnsi="Arial Narrow"/>
                <w:i/>
              </w:rPr>
              <w:t>9</w:t>
            </w:r>
          </w:p>
        </w:tc>
        <w:tc>
          <w:tcPr>
            <w:tcW w:w="1314" w:type="dxa"/>
            <w:vAlign w:val="center"/>
          </w:tcPr>
          <w:p w14:paraId="0F84E894" w14:textId="77777777" w:rsidR="0090485B" w:rsidRPr="00B80EB0" w:rsidRDefault="0090485B" w:rsidP="008F07B7">
            <w:pPr>
              <w:ind w:right="284"/>
              <w:jc w:val="right"/>
              <w:rPr>
                <w:rFonts w:ascii="Arial Narrow" w:hAnsi="Arial Narrow"/>
                <w:i/>
              </w:rPr>
            </w:pPr>
            <w:r w:rsidRPr="00B80EB0">
              <w:rPr>
                <w:rFonts w:ascii="Arial Narrow" w:hAnsi="Arial Narrow"/>
                <w:i/>
              </w:rPr>
              <w:t>5</w:t>
            </w:r>
          </w:p>
        </w:tc>
        <w:tc>
          <w:tcPr>
            <w:tcW w:w="1314" w:type="dxa"/>
            <w:vAlign w:val="center"/>
          </w:tcPr>
          <w:p w14:paraId="78DB26B1" w14:textId="77777777" w:rsidR="0090485B" w:rsidRPr="00B80EB0" w:rsidRDefault="00071446" w:rsidP="008F07B7">
            <w:pPr>
              <w:ind w:right="284"/>
              <w:jc w:val="right"/>
              <w:rPr>
                <w:rFonts w:ascii="Arial Narrow" w:hAnsi="Arial Narrow"/>
                <w:i/>
              </w:rPr>
            </w:pPr>
            <w:r>
              <w:rPr>
                <w:rFonts w:ascii="Arial Narrow" w:hAnsi="Arial Narrow"/>
                <w:i/>
              </w:rPr>
              <w:t>106</w:t>
            </w:r>
          </w:p>
        </w:tc>
      </w:tr>
      <w:tr w:rsidR="0090485B" w:rsidRPr="00B80EB0" w14:paraId="76E37F4A" w14:textId="77777777" w:rsidTr="008F07B7">
        <w:trPr>
          <w:trHeight w:val="340"/>
          <w:jc w:val="center"/>
        </w:trPr>
        <w:tc>
          <w:tcPr>
            <w:tcW w:w="1353" w:type="dxa"/>
            <w:vAlign w:val="center"/>
          </w:tcPr>
          <w:p w14:paraId="5D42A445" w14:textId="77777777" w:rsidR="0090485B" w:rsidRPr="00B80EB0" w:rsidRDefault="0090485B" w:rsidP="008F07B7">
            <w:pPr>
              <w:jc w:val="left"/>
              <w:rPr>
                <w:rFonts w:ascii="Arial Narrow" w:hAnsi="Arial Narrow"/>
                <w:i/>
              </w:rPr>
            </w:pPr>
            <w:r w:rsidRPr="00B80EB0">
              <w:rPr>
                <w:rFonts w:ascii="Arial Narrow" w:hAnsi="Arial Narrow"/>
                <w:i/>
              </w:rPr>
              <w:t>March</w:t>
            </w:r>
          </w:p>
        </w:tc>
        <w:tc>
          <w:tcPr>
            <w:tcW w:w="1313" w:type="dxa"/>
            <w:vAlign w:val="center"/>
          </w:tcPr>
          <w:p w14:paraId="60A4D2EA" w14:textId="77777777" w:rsidR="0090485B" w:rsidRPr="00B80EB0" w:rsidRDefault="0090485B" w:rsidP="008F07B7">
            <w:pPr>
              <w:ind w:right="284"/>
              <w:jc w:val="right"/>
              <w:rPr>
                <w:rFonts w:ascii="Arial Narrow" w:hAnsi="Arial Narrow"/>
                <w:i/>
              </w:rPr>
            </w:pPr>
            <w:r w:rsidRPr="00B80EB0">
              <w:rPr>
                <w:rFonts w:ascii="Arial Narrow" w:hAnsi="Arial Narrow"/>
                <w:i/>
              </w:rPr>
              <w:t>2</w:t>
            </w:r>
          </w:p>
        </w:tc>
        <w:tc>
          <w:tcPr>
            <w:tcW w:w="1313" w:type="dxa"/>
            <w:vAlign w:val="center"/>
          </w:tcPr>
          <w:p w14:paraId="2E3C51C5"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4" w:type="dxa"/>
            <w:vAlign w:val="center"/>
          </w:tcPr>
          <w:p w14:paraId="5B19C895" w14:textId="77777777" w:rsidR="0090485B" w:rsidRPr="00B80EB0" w:rsidRDefault="0090485B" w:rsidP="008F07B7">
            <w:pPr>
              <w:ind w:right="284"/>
              <w:jc w:val="right"/>
              <w:rPr>
                <w:rFonts w:ascii="Arial Narrow" w:hAnsi="Arial Narrow"/>
                <w:i/>
              </w:rPr>
            </w:pPr>
            <w:r w:rsidRPr="00B80EB0">
              <w:rPr>
                <w:rFonts w:ascii="Arial Narrow" w:hAnsi="Arial Narrow"/>
                <w:i/>
              </w:rPr>
              <w:t>6</w:t>
            </w:r>
          </w:p>
        </w:tc>
        <w:tc>
          <w:tcPr>
            <w:tcW w:w="1314" w:type="dxa"/>
            <w:vAlign w:val="center"/>
          </w:tcPr>
          <w:p w14:paraId="0730EA0D" w14:textId="77777777" w:rsidR="0090485B" w:rsidRPr="00B80EB0" w:rsidRDefault="0090485B" w:rsidP="008F07B7">
            <w:pPr>
              <w:ind w:right="284"/>
              <w:jc w:val="right"/>
              <w:rPr>
                <w:rFonts w:ascii="Arial Narrow" w:hAnsi="Arial Narrow"/>
                <w:i/>
              </w:rPr>
            </w:pPr>
            <w:r w:rsidRPr="00B80EB0">
              <w:rPr>
                <w:rFonts w:ascii="Arial Narrow" w:hAnsi="Arial Narrow"/>
                <w:i/>
              </w:rPr>
              <w:t>21</w:t>
            </w:r>
          </w:p>
        </w:tc>
        <w:tc>
          <w:tcPr>
            <w:tcW w:w="1314" w:type="dxa"/>
            <w:vAlign w:val="center"/>
          </w:tcPr>
          <w:p w14:paraId="7A8FBA1A" w14:textId="40189E74" w:rsidR="0090485B" w:rsidRPr="00B80EB0" w:rsidRDefault="007B660D" w:rsidP="008F07B7">
            <w:pPr>
              <w:ind w:right="284"/>
              <w:jc w:val="right"/>
              <w:rPr>
                <w:rFonts w:ascii="Arial Narrow" w:hAnsi="Arial Narrow"/>
                <w:i/>
              </w:rPr>
            </w:pPr>
            <w:r>
              <w:rPr>
                <w:rFonts w:ascii="Arial Narrow" w:hAnsi="Arial Narrow"/>
                <w:i/>
              </w:rPr>
              <w:t>67</w:t>
            </w:r>
          </w:p>
        </w:tc>
      </w:tr>
      <w:tr w:rsidR="0090485B" w:rsidRPr="00B80EB0" w14:paraId="64B19989" w14:textId="77777777" w:rsidTr="008F07B7">
        <w:trPr>
          <w:trHeight w:val="340"/>
          <w:jc w:val="center"/>
        </w:trPr>
        <w:tc>
          <w:tcPr>
            <w:tcW w:w="1353" w:type="dxa"/>
            <w:vAlign w:val="center"/>
          </w:tcPr>
          <w:p w14:paraId="10971FDD" w14:textId="77777777" w:rsidR="0090485B" w:rsidRPr="00B80EB0" w:rsidRDefault="0090485B" w:rsidP="008F07B7">
            <w:pPr>
              <w:jc w:val="left"/>
              <w:rPr>
                <w:rFonts w:ascii="Arial Narrow" w:hAnsi="Arial Narrow"/>
                <w:i/>
              </w:rPr>
            </w:pPr>
            <w:r w:rsidRPr="00B80EB0">
              <w:rPr>
                <w:rFonts w:ascii="Arial Narrow" w:hAnsi="Arial Narrow"/>
                <w:i/>
              </w:rPr>
              <w:t>April</w:t>
            </w:r>
          </w:p>
        </w:tc>
        <w:tc>
          <w:tcPr>
            <w:tcW w:w="1313" w:type="dxa"/>
            <w:vAlign w:val="center"/>
          </w:tcPr>
          <w:p w14:paraId="10AE1D02" w14:textId="77777777" w:rsidR="0090485B" w:rsidRPr="00B80EB0" w:rsidRDefault="0090485B" w:rsidP="008F07B7">
            <w:pPr>
              <w:ind w:right="284"/>
              <w:jc w:val="right"/>
              <w:rPr>
                <w:rFonts w:ascii="Arial Narrow" w:hAnsi="Arial Narrow"/>
                <w:i/>
              </w:rPr>
            </w:pPr>
          </w:p>
        </w:tc>
        <w:tc>
          <w:tcPr>
            <w:tcW w:w="1313" w:type="dxa"/>
            <w:vAlign w:val="center"/>
          </w:tcPr>
          <w:p w14:paraId="029B804A"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4" w:type="dxa"/>
            <w:vAlign w:val="center"/>
          </w:tcPr>
          <w:p w14:paraId="229550F4" w14:textId="77777777" w:rsidR="0090485B" w:rsidRPr="00B80EB0" w:rsidRDefault="0090485B" w:rsidP="008F07B7">
            <w:pPr>
              <w:ind w:right="284"/>
              <w:jc w:val="right"/>
              <w:rPr>
                <w:rFonts w:ascii="Arial Narrow" w:hAnsi="Arial Narrow"/>
                <w:i/>
              </w:rPr>
            </w:pPr>
            <w:r w:rsidRPr="00B80EB0">
              <w:rPr>
                <w:rFonts w:ascii="Arial Narrow" w:hAnsi="Arial Narrow"/>
                <w:i/>
              </w:rPr>
              <w:t>22</w:t>
            </w:r>
          </w:p>
        </w:tc>
        <w:tc>
          <w:tcPr>
            <w:tcW w:w="1314" w:type="dxa"/>
            <w:vAlign w:val="center"/>
          </w:tcPr>
          <w:p w14:paraId="554F71B7" w14:textId="77777777" w:rsidR="0090485B" w:rsidRPr="00B80EB0" w:rsidRDefault="0090485B" w:rsidP="008F07B7">
            <w:pPr>
              <w:ind w:right="284"/>
              <w:jc w:val="right"/>
              <w:rPr>
                <w:rFonts w:ascii="Arial Narrow" w:hAnsi="Arial Narrow"/>
                <w:i/>
              </w:rPr>
            </w:pPr>
            <w:r w:rsidRPr="00B80EB0">
              <w:rPr>
                <w:rFonts w:ascii="Arial Narrow" w:hAnsi="Arial Narrow"/>
                <w:i/>
              </w:rPr>
              <w:t>11</w:t>
            </w:r>
          </w:p>
        </w:tc>
        <w:tc>
          <w:tcPr>
            <w:tcW w:w="1314" w:type="dxa"/>
            <w:vAlign w:val="center"/>
          </w:tcPr>
          <w:p w14:paraId="63CA587D" w14:textId="77777777" w:rsidR="0090485B" w:rsidRPr="00B80EB0" w:rsidRDefault="00071446" w:rsidP="008F07B7">
            <w:pPr>
              <w:ind w:right="284"/>
              <w:jc w:val="right"/>
              <w:rPr>
                <w:rFonts w:ascii="Arial Narrow" w:hAnsi="Arial Narrow"/>
                <w:i/>
              </w:rPr>
            </w:pPr>
            <w:r>
              <w:rPr>
                <w:rFonts w:ascii="Arial Narrow" w:hAnsi="Arial Narrow"/>
                <w:i/>
              </w:rPr>
              <w:t>105</w:t>
            </w:r>
          </w:p>
        </w:tc>
      </w:tr>
      <w:tr w:rsidR="0090485B" w:rsidRPr="00B80EB0" w14:paraId="5D224B0B" w14:textId="77777777" w:rsidTr="008F07B7">
        <w:trPr>
          <w:trHeight w:val="340"/>
          <w:jc w:val="center"/>
        </w:trPr>
        <w:tc>
          <w:tcPr>
            <w:tcW w:w="1353" w:type="dxa"/>
            <w:vAlign w:val="center"/>
          </w:tcPr>
          <w:p w14:paraId="0C5C0CB7" w14:textId="77777777" w:rsidR="0090485B" w:rsidRPr="00B80EB0" w:rsidRDefault="0090485B" w:rsidP="008F07B7">
            <w:pPr>
              <w:jc w:val="left"/>
              <w:rPr>
                <w:rFonts w:ascii="Arial Narrow" w:hAnsi="Arial Narrow"/>
                <w:i/>
              </w:rPr>
            </w:pPr>
            <w:r w:rsidRPr="00B80EB0">
              <w:rPr>
                <w:rFonts w:ascii="Arial Narrow" w:hAnsi="Arial Narrow"/>
                <w:i/>
              </w:rPr>
              <w:t>May</w:t>
            </w:r>
          </w:p>
        </w:tc>
        <w:tc>
          <w:tcPr>
            <w:tcW w:w="1313" w:type="dxa"/>
            <w:vAlign w:val="center"/>
          </w:tcPr>
          <w:p w14:paraId="42608A31" w14:textId="77777777" w:rsidR="0090485B" w:rsidRPr="00B80EB0" w:rsidRDefault="0090485B" w:rsidP="008F07B7">
            <w:pPr>
              <w:ind w:right="284"/>
              <w:jc w:val="right"/>
              <w:rPr>
                <w:rFonts w:ascii="Arial Narrow" w:hAnsi="Arial Narrow"/>
                <w:i/>
              </w:rPr>
            </w:pPr>
            <w:r w:rsidRPr="00B80EB0">
              <w:rPr>
                <w:rFonts w:ascii="Arial Narrow" w:hAnsi="Arial Narrow"/>
                <w:i/>
              </w:rPr>
              <w:t>1</w:t>
            </w:r>
          </w:p>
        </w:tc>
        <w:tc>
          <w:tcPr>
            <w:tcW w:w="1313" w:type="dxa"/>
            <w:vAlign w:val="center"/>
          </w:tcPr>
          <w:p w14:paraId="0CA25F1B" w14:textId="77777777" w:rsidR="0090485B" w:rsidRPr="00B80EB0" w:rsidRDefault="0090485B" w:rsidP="008F07B7">
            <w:pPr>
              <w:ind w:right="284"/>
              <w:jc w:val="right"/>
              <w:rPr>
                <w:rFonts w:ascii="Arial Narrow" w:hAnsi="Arial Narrow"/>
                <w:i/>
              </w:rPr>
            </w:pPr>
            <w:r w:rsidRPr="00B80EB0">
              <w:rPr>
                <w:rFonts w:ascii="Arial Narrow" w:hAnsi="Arial Narrow"/>
                <w:i/>
              </w:rPr>
              <w:t>1</w:t>
            </w:r>
          </w:p>
        </w:tc>
        <w:tc>
          <w:tcPr>
            <w:tcW w:w="1314" w:type="dxa"/>
            <w:vAlign w:val="center"/>
          </w:tcPr>
          <w:p w14:paraId="4C275876" w14:textId="77777777" w:rsidR="0090485B" w:rsidRPr="00B80EB0" w:rsidRDefault="0090485B" w:rsidP="008F07B7">
            <w:pPr>
              <w:ind w:right="284"/>
              <w:jc w:val="right"/>
              <w:rPr>
                <w:rFonts w:ascii="Arial Narrow" w:hAnsi="Arial Narrow"/>
                <w:i/>
              </w:rPr>
            </w:pPr>
            <w:r w:rsidRPr="00B80EB0">
              <w:rPr>
                <w:rFonts w:ascii="Arial Narrow" w:hAnsi="Arial Narrow"/>
                <w:i/>
              </w:rPr>
              <w:t>33</w:t>
            </w:r>
          </w:p>
        </w:tc>
        <w:tc>
          <w:tcPr>
            <w:tcW w:w="1314" w:type="dxa"/>
            <w:vAlign w:val="center"/>
          </w:tcPr>
          <w:p w14:paraId="1C7995EA" w14:textId="77777777" w:rsidR="0090485B" w:rsidRPr="00B80EB0" w:rsidRDefault="0090485B" w:rsidP="008F07B7">
            <w:pPr>
              <w:ind w:right="284"/>
              <w:jc w:val="right"/>
              <w:rPr>
                <w:rFonts w:ascii="Arial Narrow" w:hAnsi="Arial Narrow"/>
                <w:i/>
              </w:rPr>
            </w:pPr>
            <w:r w:rsidRPr="00B80EB0">
              <w:rPr>
                <w:rFonts w:ascii="Arial Narrow" w:hAnsi="Arial Narrow"/>
                <w:i/>
              </w:rPr>
              <w:t>11</w:t>
            </w:r>
          </w:p>
        </w:tc>
        <w:tc>
          <w:tcPr>
            <w:tcW w:w="1314" w:type="dxa"/>
            <w:vAlign w:val="center"/>
          </w:tcPr>
          <w:p w14:paraId="7F78ECD3" w14:textId="2DF96C15" w:rsidR="0090485B" w:rsidRPr="00B80EB0" w:rsidRDefault="007B660D" w:rsidP="008F07B7">
            <w:pPr>
              <w:ind w:right="284"/>
              <w:jc w:val="right"/>
              <w:rPr>
                <w:rFonts w:ascii="Arial Narrow" w:hAnsi="Arial Narrow"/>
                <w:i/>
              </w:rPr>
            </w:pPr>
            <w:r>
              <w:rPr>
                <w:rFonts w:ascii="Arial Narrow" w:hAnsi="Arial Narrow"/>
                <w:i/>
              </w:rPr>
              <w:t>65</w:t>
            </w:r>
          </w:p>
        </w:tc>
      </w:tr>
      <w:tr w:rsidR="0090485B" w:rsidRPr="00B80EB0" w14:paraId="2BF269B1" w14:textId="77777777" w:rsidTr="008F07B7">
        <w:trPr>
          <w:trHeight w:val="340"/>
          <w:jc w:val="center"/>
        </w:trPr>
        <w:tc>
          <w:tcPr>
            <w:tcW w:w="1353" w:type="dxa"/>
            <w:vAlign w:val="center"/>
          </w:tcPr>
          <w:p w14:paraId="07A5D086" w14:textId="77777777" w:rsidR="0090485B" w:rsidRPr="00B80EB0" w:rsidRDefault="0090485B" w:rsidP="008F07B7">
            <w:pPr>
              <w:jc w:val="left"/>
              <w:rPr>
                <w:rFonts w:ascii="Arial Narrow" w:hAnsi="Arial Narrow"/>
                <w:i/>
              </w:rPr>
            </w:pPr>
            <w:r w:rsidRPr="00B80EB0">
              <w:rPr>
                <w:rFonts w:ascii="Arial Narrow" w:hAnsi="Arial Narrow"/>
                <w:i/>
              </w:rPr>
              <w:t>June</w:t>
            </w:r>
          </w:p>
        </w:tc>
        <w:tc>
          <w:tcPr>
            <w:tcW w:w="1313" w:type="dxa"/>
            <w:vAlign w:val="center"/>
          </w:tcPr>
          <w:p w14:paraId="7F3D4AE4" w14:textId="77777777" w:rsidR="0090485B" w:rsidRPr="00B80EB0" w:rsidRDefault="0090485B" w:rsidP="008F07B7">
            <w:pPr>
              <w:ind w:right="284"/>
              <w:jc w:val="right"/>
              <w:rPr>
                <w:rFonts w:ascii="Arial Narrow" w:hAnsi="Arial Narrow"/>
                <w:i/>
              </w:rPr>
            </w:pPr>
          </w:p>
        </w:tc>
        <w:tc>
          <w:tcPr>
            <w:tcW w:w="1313" w:type="dxa"/>
            <w:vAlign w:val="center"/>
          </w:tcPr>
          <w:p w14:paraId="6D6EFF17" w14:textId="77777777" w:rsidR="0090485B" w:rsidRPr="00B80EB0" w:rsidRDefault="0090485B" w:rsidP="008F07B7">
            <w:pPr>
              <w:ind w:right="284"/>
              <w:jc w:val="right"/>
              <w:rPr>
                <w:rFonts w:ascii="Arial Narrow" w:hAnsi="Arial Narrow"/>
                <w:i/>
              </w:rPr>
            </w:pPr>
            <w:r w:rsidRPr="00B80EB0">
              <w:rPr>
                <w:rFonts w:ascii="Arial Narrow" w:hAnsi="Arial Narrow"/>
                <w:i/>
              </w:rPr>
              <w:t>7</w:t>
            </w:r>
          </w:p>
        </w:tc>
        <w:tc>
          <w:tcPr>
            <w:tcW w:w="1314" w:type="dxa"/>
            <w:vAlign w:val="center"/>
          </w:tcPr>
          <w:p w14:paraId="563D15B5" w14:textId="77777777" w:rsidR="0090485B" w:rsidRPr="00B80EB0" w:rsidRDefault="0090485B" w:rsidP="008F07B7">
            <w:pPr>
              <w:ind w:right="284"/>
              <w:jc w:val="right"/>
              <w:rPr>
                <w:rFonts w:ascii="Arial Narrow" w:hAnsi="Arial Narrow"/>
                <w:i/>
              </w:rPr>
            </w:pPr>
            <w:r w:rsidRPr="00B80EB0">
              <w:rPr>
                <w:rFonts w:ascii="Arial Narrow" w:hAnsi="Arial Narrow"/>
                <w:i/>
              </w:rPr>
              <w:t>10</w:t>
            </w:r>
          </w:p>
        </w:tc>
        <w:tc>
          <w:tcPr>
            <w:tcW w:w="1314" w:type="dxa"/>
            <w:vAlign w:val="center"/>
          </w:tcPr>
          <w:p w14:paraId="0076A071" w14:textId="77777777" w:rsidR="0090485B" w:rsidRPr="00B80EB0" w:rsidRDefault="0090485B" w:rsidP="008F07B7">
            <w:pPr>
              <w:ind w:right="284"/>
              <w:jc w:val="right"/>
              <w:rPr>
                <w:rFonts w:ascii="Arial Narrow" w:hAnsi="Arial Narrow"/>
                <w:i/>
              </w:rPr>
            </w:pPr>
            <w:r w:rsidRPr="00B80EB0">
              <w:rPr>
                <w:rFonts w:ascii="Arial Narrow" w:hAnsi="Arial Narrow"/>
                <w:i/>
              </w:rPr>
              <w:t>18</w:t>
            </w:r>
          </w:p>
        </w:tc>
        <w:tc>
          <w:tcPr>
            <w:tcW w:w="1314" w:type="dxa"/>
            <w:vAlign w:val="center"/>
          </w:tcPr>
          <w:p w14:paraId="61F5C0CD" w14:textId="62EF4DB6" w:rsidR="0090485B" w:rsidRPr="00B80EB0" w:rsidRDefault="007B660D" w:rsidP="008F07B7">
            <w:pPr>
              <w:ind w:right="284"/>
              <w:jc w:val="right"/>
              <w:rPr>
                <w:rFonts w:ascii="Arial Narrow" w:hAnsi="Arial Narrow"/>
                <w:i/>
              </w:rPr>
            </w:pPr>
            <w:r>
              <w:rPr>
                <w:rFonts w:ascii="Arial Narrow" w:hAnsi="Arial Narrow"/>
                <w:i/>
              </w:rPr>
              <w:t>824</w:t>
            </w:r>
          </w:p>
        </w:tc>
      </w:tr>
      <w:tr w:rsidR="0090485B" w:rsidRPr="00B80EB0" w14:paraId="3EBC158E" w14:textId="77777777" w:rsidTr="008F07B7">
        <w:trPr>
          <w:trHeight w:val="340"/>
          <w:jc w:val="center"/>
        </w:trPr>
        <w:tc>
          <w:tcPr>
            <w:tcW w:w="1353" w:type="dxa"/>
            <w:vAlign w:val="center"/>
          </w:tcPr>
          <w:p w14:paraId="0DCD7BDA" w14:textId="77777777" w:rsidR="0090485B" w:rsidRPr="00B80EB0" w:rsidRDefault="0090485B" w:rsidP="008F07B7">
            <w:pPr>
              <w:jc w:val="left"/>
              <w:rPr>
                <w:rFonts w:ascii="Arial Narrow" w:hAnsi="Arial Narrow"/>
                <w:i/>
              </w:rPr>
            </w:pPr>
            <w:r w:rsidRPr="00B80EB0">
              <w:rPr>
                <w:rFonts w:ascii="Arial Narrow" w:hAnsi="Arial Narrow"/>
                <w:i/>
              </w:rPr>
              <w:t>July</w:t>
            </w:r>
          </w:p>
        </w:tc>
        <w:tc>
          <w:tcPr>
            <w:tcW w:w="1313" w:type="dxa"/>
            <w:vAlign w:val="center"/>
          </w:tcPr>
          <w:p w14:paraId="1F1517CA" w14:textId="77777777" w:rsidR="0090485B" w:rsidRPr="00B80EB0" w:rsidRDefault="0090485B" w:rsidP="008F07B7">
            <w:pPr>
              <w:ind w:right="284"/>
              <w:jc w:val="right"/>
              <w:rPr>
                <w:rFonts w:ascii="Arial Narrow" w:hAnsi="Arial Narrow"/>
                <w:i/>
              </w:rPr>
            </w:pPr>
          </w:p>
        </w:tc>
        <w:tc>
          <w:tcPr>
            <w:tcW w:w="1313" w:type="dxa"/>
            <w:vAlign w:val="center"/>
          </w:tcPr>
          <w:p w14:paraId="073E5FB3" w14:textId="77777777" w:rsidR="0090485B" w:rsidRPr="00B80EB0" w:rsidRDefault="0090485B" w:rsidP="008F07B7">
            <w:pPr>
              <w:ind w:right="284"/>
              <w:jc w:val="right"/>
              <w:rPr>
                <w:rFonts w:ascii="Arial Narrow" w:hAnsi="Arial Narrow"/>
                <w:i/>
              </w:rPr>
            </w:pPr>
            <w:r w:rsidRPr="00B80EB0">
              <w:rPr>
                <w:rFonts w:ascii="Arial Narrow" w:hAnsi="Arial Narrow"/>
                <w:i/>
              </w:rPr>
              <w:t>7</w:t>
            </w:r>
          </w:p>
        </w:tc>
        <w:tc>
          <w:tcPr>
            <w:tcW w:w="1314" w:type="dxa"/>
            <w:vAlign w:val="center"/>
          </w:tcPr>
          <w:p w14:paraId="7EEA1C28"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4" w:type="dxa"/>
            <w:vAlign w:val="center"/>
          </w:tcPr>
          <w:p w14:paraId="76472B54" w14:textId="77777777" w:rsidR="0090485B" w:rsidRPr="00B80EB0" w:rsidRDefault="0090485B" w:rsidP="008F07B7">
            <w:pPr>
              <w:ind w:right="284"/>
              <w:jc w:val="right"/>
              <w:rPr>
                <w:rFonts w:ascii="Arial Narrow" w:hAnsi="Arial Narrow"/>
                <w:i/>
              </w:rPr>
            </w:pPr>
            <w:r w:rsidRPr="00B80EB0">
              <w:rPr>
                <w:rFonts w:ascii="Arial Narrow" w:hAnsi="Arial Narrow"/>
                <w:i/>
              </w:rPr>
              <w:t>9</w:t>
            </w:r>
          </w:p>
        </w:tc>
        <w:tc>
          <w:tcPr>
            <w:tcW w:w="1314" w:type="dxa"/>
            <w:vAlign w:val="center"/>
          </w:tcPr>
          <w:p w14:paraId="23563F03" w14:textId="77777777" w:rsidR="0090485B" w:rsidRPr="00B80EB0" w:rsidRDefault="0090485B" w:rsidP="008F07B7">
            <w:pPr>
              <w:ind w:right="284"/>
              <w:jc w:val="right"/>
              <w:rPr>
                <w:rFonts w:ascii="Arial Narrow" w:hAnsi="Arial Narrow"/>
                <w:i/>
              </w:rPr>
            </w:pPr>
          </w:p>
        </w:tc>
      </w:tr>
      <w:tr w:rsidR="0090485B" w:rsidRPr="00B80EB0" w14:paraId="719CC8FF" w14:textId="77777777" w:rsidTr="008F07B7">
        <w:trPr>
          <w:trHeight w:val="340"/>
          <w:jc w:val="center"/>
        </w:trPr>
        <w:tc>
          <w:tcPr>
            <w:tcW w:w="1353" w:type="dxa"/>
            <w:vAlign w:val="center"/>
          </w:tcPr>
          <w:p w14:paraId="5093BCA8" w14:textId="77777777" w:rsidR="0090485B" w:rsidRPr="00B80EB0" w:rsidRDefault="0090485B" w:rsidP="008F07B7">
            <w:pPr>
              <w:jc w:val="left"/>
              <w:rPr>
                <w:rFonts w:ascii="Arial Narrow" w:hAnsi="Arial Narrow"/>
                <w:i/>
              </w:rPr>
            </w:pPr>
            <w:r w:rsidRPr="00B80EB0">
              <w:rPr>
                <w:rFonts w:ascii="Arial Narrow" w:hAnsi="Arial Narrow"/>
                <w:i/>
              </w:rPr>
              <w:t>August</w:t>
            </w:r>
          </w:p>
        </w:tc>
        <w:tc>
          <w:tcPr>
            <w:tcW w:w="1313" w:type="dxa"/>
            <w:vAlign w:val="center"/>
          </w:tcPr>
          <w:p w14:paraId="4EB94B3A" w14:textId="77777777" w:rsidR="0090485B" w:rsidRPr="00B80EB0" w:rsidRDefault="0090485B" w:rsidP="008F07B7">
            <w:pPr>
              <w:ind w:right="284"/>
              <w:jc w:val="right"/>
              <w:rPr>
                <w:rFonts w:ascii="Arial Narrow" w:hAnsi="Arial Narrow"/>
                <w:i/>
              </w:rPr>
            </w:pPr>
          </w:p>
        </w:tc>
        <w:tc>
          <w:tcPr>
            <w:tcW w:w="1313" w:type="dxa"/>
            <w:vAlign w:val="center"/>
          </w:tcPr>
          <w:p w14:paraId="3587D3E0" w14:textId="77777777" w:rsidR="0090485B" w:rsidRPr="00B80EB0" w:rsidRDefault="0090485B" w:rsidP="008F07B7">
            <w:pPr>
              <w:ind w:right="284"/>
              <w:jc w:val="right"/>
              <w:rPr>
                <w:rFonts w:ascii="Arial Narrow" w:hAnsi="Arial Narrow"/>
                <w:i/>
              </w:rPr>
            </w:pPr>
            <w:r w:rsidRPr="00B80EB0">
              <w:rPr>
                <w:rFonts w:ascii="Arial Narrow" w:hAnsi="Arial Narrow"/>
                <w:i/>
              </w:rPr>
              <w:t>1</w:t>
            </w:r>
          </w:p>
        </w:tc>
        <w:tc>
          <w:tcPr>
            <w:tcW w:w="1314" w:type="dxa"/>
            <w:vAlign w:val="center"/>
          </w:tcPr>
          <w:p w14:paraId="36D8101E" w14:textId="77777777" w:rsidR="0090485B" w:rsidRPr="00B80EB0" w:rsidRDefault="0090485B" w:rsidP="008F07B7">
            <w:pPr>
              <w:ind w:right="284"/>
              <w:jc w:val="right"/>
              <w:rPr>
                <w:rFonts w:ascii="Arial Narrow" w:hAnsi="Arial Narrow"/>
                <w:i/>
              </w:rPr>
            </w:pPr>
            <w:r w:rsidRPr="00B80EB0">
              <w:rPr>
                <w:rFonts w:ascii="Arial Narrow" w:hAnsi="Arial Narrow"/>
                <w:i/>
              </w:rPr>
              <w:t>7</w:t>
            </w:r>
          </w:p>
        </w:tc>
        <w:tc>
          <w:tcPr>
            <w:tcW w:w="1314" w:type="dxa"/>
            <w:vAlign w:val="center"/>
          </w:tcPr>
          <w:p w14:paraId="19EF1D47" w14:textId="77777777" w:rsidR="0090485B" w:rsidRPr="00B80EB0" w:rsidRDefault="0090485B" w:rsidP="008F07B7">
            <w:pPr>
              <w:ind w:right="284"/>
              <w:jc w:val="right"/>
              <w:rPr>
                <w:rFonts w:ascii="Arial Narrow" w:hAnsi="Arial Narrow"/>
                <w:i/>
              </w:rPr>
            </w:pPr>
            <w:r w:rsidRPr="00B80EB0">
              <w:rPr>
                <w:rFonts w:ascii="Arial Narrow" w:hAnsi="Arial Narrow"/>
                <w:i/>
              </w:rPr>
              <w:t>11</w:t>
            </w:r>
          </w:p>
        </w:tc>
        <w:tc>
          <w:tcPr>
            <w:tcW w:w="1314" w:type="dxa"/>
            <w:vAlign w:val="center"/>
          </w:tcPr>
          <w:p w14:paraId="0542E01F" w14:textId="77777777" w:rsidR="0090485B" w:rsidRPr="00B80EB0" w:rsidRDefault="0090485B" w:rsidP="008F07B7">
            <w:pPr>
              <w:ind w:right="284"/>
              <w:jc w:val="right"/>
              <w:rPr>
                <w:rFonts w:ascii="Arial Narrow" w:hAnsi="Arial Narrow"/>
                <w:i/>
              </w:rPr>
            </w:pPr>
          </w:p>
        </w:tc>
      </w:tr>
      <w:tr w:rsidR="0090485B" w:rsidRPr="00B80EB0" w14:paraId="14FD7F22" w14:textId="77777777" w:rsidTr="008F07B7">
        <w:trPr>
          <w:trHeight w:val="340"/>
          <w:jc w:val="center"/>
        </w:trPr>
        <w:tc>
          <w:tcPr>
            <w:tcW w:w="1353" w:type="dxa"/>
            <w:vAlign w:val="center"/>
          </w:tcPr>
          <w:p w14:paraId="26D7C045" w14:textId="77777777" w:rsidR="0090485B" w:rsidRPr="00B80EB0" w:rsidRDefault="0090485B" w:rsidP="008F07B7">
            <w:pPr>
              <w:jc w:val="left"/>
              <w:rPr>
                <w:rFonts w:ascii="Arial Narrow" w:hAnsi="Arial Narrow"/>
                <w:i/>
              </w:rPr>
            </w:pPr>
            <w:r w:rsidRPr="00B80EB0">
              <w:rPr>
                <w:rFonts w:ascii="Arial Narrow" w:hAnsi="Arial Narrow"/>
                <w:i/>
              </w:rPr>
              <w:t>September</w:t>
            </w:r>
          </w:p>
        </w:tc>
        <w:tc>
          <w:tcPr>
            <w:tcW w:w="1313" w:type="dxa"/>
            <w:vAlign w:val="center"/>
          </w:tcPr>
          <w:p w14:paraId="3DF7E49E"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3" w:type="dxa"/>
            <w:vAlign w:val="center"/>
          </w:tcPr>
          <w:p w14:paraId="6A0A5B29" w14:textId="77777777" w:rsidR="0090485B" w:rsidRPr="00B80EB0" w:rsidRDefault="0090485B" w:rsidP="008F07B7">
            <w:pPr>
              <w:ind w:right="284"/>
              <w:jc w:val="right"/>
              <w:rPr>
                <w:rFonts w:ascii="Arial Narrow" w:hAnsi="Arial Narrow"/>
                <w:i/>
              </w:rPr>
            </w:pPr>
            <w:r w:rsidRPr="00B80EB0">
              <w:rPr>
                <w:rFonts w:ascii="Arial Narrow" w:hAnsi="Arial Narrow"/>
                <w:i/>
              </w:rPr>
              <w:t>8</w:t>
            </w:r>
          </w:p>
        </w:tc>
        <w:tc>
          <w:tcPr>
            <w:tcW w:w="1314" w:type="dxa"/>
            <w:vAlign w:val="center"/>
          </w:tcPr>
          <w:p w14:paraId="2A5824F7" w14:textId="77777777" w:rsidR="0090485B" w:rsidRPr="00B80EB0" w:rsidRDefault="0090485B" w:rsidP="008F07B7">
            <w:pPr>
              <w:ind w:right="284"/>
              <w:jc w:val="right"/>
              <w:rPr>
                <w:rFonts w:ascii="Arial Narrow" w:hAnsi="Arial Narrow"/>
                <w:i/>
              </w:rPr>
            </w:pPr>
            <w:r w:rsidRPr="00B80EB0">
              <w:rPr>
                <w:rFonts w:ascii="Arial Narrow" w:hAnsi="Arial Narrow"/>
                <w:i/>
              </w:rPr>
              <w:t>16</w:t>
            </w:r>
          </w:p>
        </w:tc>
        <w:tc>
          <w:tcPr>
            <w:tcW w:w="1314" w:type="dxa"/>
            <w:vAlign w:val="center"/>
          </w:tcPr>
          <w:p w14:paraId="128ECEE1" w14:textId="77777777" w:rsidR="0090485B" w:rsidRPr="00B80EB0" w:rsidRDefault="0090485B" w:rsidP="008F07B7">
            <w:pPr>
              <w:ind w:right="284"/>
              <w:jc w:val="right"/>
              <w:rPr>
                <w:rFonts w:ascii="Arial Narrow" w:hAnsi="Arial Narrow"/>
                <w:i/>
              </w:rPr>
            </w:pPr>
            <w:r w:rsidRPr="00B80EB0">
              <w:rPr>
                <w:rFonts w:ascii="Arial Narrow" w:hAnsi="Arial Narrow"/>
                <w:i/>
              </w:rPr>
              <w:t>29</w:t>
            </w:r>
          </w:p>
        </w:tc>
        <w:tc>
          <w:tcPr>
            <w:tcW w:w="1314" w:type="dxa"/>
            <w:vAlign w:val="center"/>
          </w:tcPr>
          <w:p w14:paraId="0BA35B98" w14:textId="77777777" w:rsidR="0090485B" w:rsidRPr="00B80EB0" w:rsidRDefault="0090485B" w:rsidP="008F07B7">
            <w:pPr>
              <w:ind w:right="284"/>
              <w:jc w:val="right"/>
              <w:rPr>
                <w:rFonts w:ascii="Arial Narrow" w:hAnsi="Arial Narrow"/>
                <w:i/>
              </w:rPr>
            </w:pPr>
          </w:p>
        </w:tc>
      </w:tr>
      <w:tr w:rsidR="0090485B" w:rsidRPr="00B80EB0" w14:paraId="56E4790D" w14:textId="77777777" w:rsidTr="008F07B7">
        <w:trPr>
          <w:trHeight w:val="340"/>
          <w:jc w:val="center"/>
        </w:trPr>
        <w:tc>
          <w:tcPr>
            <w:tcW w:w="1353" w:type="dxa"/>
            <w:vAlign w:val="center"/>
          </w:tcPr>
          <w:p w14:paraId="5C02F592" w14:textId="77777777" w:rsidR="0090485B" w:rsidRPr="00B80EB0" w:rsidRDefault="0090485B" w:rsidP="008F07B7">
            <w:pPr>
              <w:jc w:val="left"/>
              <w:rPr>
                <w:rFonts w:ascii="Arial Narrow" w:hAnsi="Arial Narrow"/>
                <w:i/>
              </w:rPr>
            </w:pPr>
            <w:r w:rsidRPr="00B80EB0">
              <w:rPr>
                <w:rFonts w:ascii="Arial Narrow" w:hAnsi="Arial Narrow"/>
                <w:i/>
              </w:rPr>
              <w:t>October</w:t>
            </w:r>
          </w:p>
        </w:tc>
        <w:tc>
          <w:tcPr>
            <w:tcW w:w="1313" w:type="dxa"/>
            <w:vAlign w:val="center"/>
          </w:tcPr>
          <w:p w14:paraId="7893C10C" w14:textId="77777777" w:rsidR="0090485B" w:rsidRPr="00B80EB0" w:rsidRDefault="0090485B" w:rsidP="008F07B7">
            <w:pPr>
              <w:ind w:right="284"/>
              <w:jc w:val="right"/>
              <w:rPr>
                <w:rFonts w:ascii="Arial Narrow" w:hAnsi="Arial Narrow"/>
                <w:i/>
              </w:rPr>
            </w:pPr>
            <w:r w:rsidRPr="00B80EB0">
              <w:rPr>
                <w:rFonts w:ascii="Arial Narrow" w:hAnsi="Arial Narrow"/>
                <w:i/>
              </w:rPr>
              <w:t>1</w:t>
            </w:r>
          </w:p>
        </w:tc>
        <w:tc>
          <w:tcPr>
            <w:tcW w:w="1313" w:type="dxa"/>
            <w:vAlign w:val="center"/>
          </w:tcPr>
          <w:p w14:paraId="5761CF7C" w14:textId="77777777" w:rsidR="0090485B" w:rsidRPr="00B80EB0" w:rsidRDefault="0090485B" w:rsidP="008F07B7">
            <w:pPr>
              <w:ind w:right="284"/>
              <w:jc w:val="right"/>
              <w:rPr>
                <w:rFonts w:ascii="Arial Narrow" w:hAnsi="Arial Narrow"/>
                <w:i/>
              </w:rPr>
            </w:pPr>
            <w:r w:rsidRPr="00B80EB0">
              <w:rPr>
                <w:rFonts w:ascii="Arial Narrow" w:hAnsi="Arial Narrow"/>
                <w:i/>
              </w:rPr>
              <w:t>19</w:t>
            </w:r>
          </w:p>
        </w:tc>
        <w:tc>
          <w:tcPr>
            <w:tcW w:w="1314" w:type="dxa"/>
            <w:vAlign w:val="center"/>
          </w:tcPr>
          <w:p w14:paraId="5E61B810" w14:textId="77777777" w:rsidR="0090485B" w:rsidRPr="00B80EB0" w:rsidRDefault="0090485B" w:rsidP="008F07B7">
            <w:pPr>
              <w:ind w:right="284"/>
              <w:jc w:val="right"/>
              <w:rPr>
                <w:rFonts w:ascii="Arial Narrow" w:hAnsi="Arial Narrow"/>
                <w:i/>
              </w:rPr>
            </w:pPr>
            <w:r w:rsidRPr="00B80EB0">
              <w:rPr>
                <w:rFonts w:ascii="Arial Narrow" w:hAnsi="Arial Narrow"/>
                <w:i/>
              </w:rPr>
              <w:t>29</w:t>
            </w:r>
          </w:p>
        </w:tc>
        <w:tc>
          <w:tcPr>
            <w:tcW w:w="1314" w:type="dxa"/>
            <w:vAlign w:val="center"/>
          </w:tcPr>
          <w:p w14:paraId="65DF2CDB" w14:textId="77777777" w:rsidR="0090485B" w:rsidRPr="00B80EB0" w:rsidRDefault="0090485B" w:rsidP="008F07B7">
            <w:pPr>
              <w:ind w:right="284"/>
              <w:jc w:val="right"/>
              <w:rPr>
                <w:rFonts w:ascii="Arial Narrow" w:hAnsi="Arial Narrow"/>
                <w:i/>
              </w:rPr>
            </w:pPr>
            <w:r w:rsidRPr="00B80EB0">
              <w:rPr>
                <w:rFonts w:ascii="Arial Narrow" w:hAnsi="Arial Narrow"/>
                <w:i/>
              </w:rPr>
              <w:t>16</w:t>
            </w:r>
          </w:p>
        </w:tc>
        <w:tc>
          <w:tcPr>
            <w:tcW w:w="1314" w:type="dxa"/>
            <w:vAlign w:val="center"/>
          </w:tcPr>
          <w:p w14:paraId="3DC8AEBE" w14:textId="77777777" w:rsidR="0090485B" w:rsidRPr="00B80EB0" w:rsidRDefault="0090485B" w:rsidP="008F07B7">
            <w:pPr>
              <w:ind w:right="284"/>
              <w:jc w:val="right"/>
              <w:rPr>
                <w:rFonts w:ascii="Arial Narrow" w:hAnsi="Arial Narrow"/>
                <w:i/>
              </w:rPr>
            </w:pPr>
          </w:p>
        </w:tc>
      </w:tr>
      <w:tr w:rsidR="0090485B" w:rsidRPr="00B80EB0" w14:paraId="768013C2" w14:textId="77777777" w:rsidTr="008F07B7">
        <w:trPr>
          <w:trHeight w:val="340"/>
          <w:jc w:val="center"/>
        </w:trPr>
        <w:tc>
          <w:tcPr>
            <w:tcW w:w="1353" w:type="dxa"/>
            <w:vAlign w:val="center"/>
          </w:tcPr>
          <w:p w14:paraId="1604D33F" w14:textId="77777777" w:rsidR="0090485B" w:rsidRPr="00B80EB0" w:rsidRDefault="0090485B" w:rsidP="008F07B7">
            <w:pPr>
              <w:jc w:val="left"/>
              <w:rPr>
                <w:rFonts w:ascii="Arial Narrow" w:hAnsi="Arial Narrow"/>
                <w:i/>
              </w:rPr>
            </w:pPr>
            <w:r w:rsidRPr="00B80EB0">
              <w:rPr>
                <w:rFonts w:ascii="Arial Narrow" w:hAnsi="Arial Narrow"/>
                <w:i/>
              </w:rPr>
              <w:t>November</w:t>
            </w:r>
          </w:p>
        </w:tc>
        <w:tc>
          <w:tcPr>
            <w:tcW w:w="1313" w:type="dxa"/>
            <w:vAlign w:val="center"/>
          </w:tcPr>
          <w:p w14:paraId="5228E476"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3" w:type="dxa"/>
            <w:vAlign w:val="center"/>
          </w:tcPr>
          <w:p w14:paraId="05D17523" w14:textId="77777777" w:rsidR="0090485B" w:rsidRPr="00B80EB0" w:rsidRDefault="0090485B" w:rsidP="008F07B7">
            <w:pPr>
              <w:ind w:right="284"/>
              <w:jc w:val="right"/>
              <w:rPr>
                <w:rFonts w:ascii="Arial Narrow" w:hAnsi="Arial Narrow"/>
                <w:i/>
              </w:rPr>
            </w:pPr>
            <w:r w:rsidRPr="00B80EB0">
              <w:rPr>
                <w:rFonts w:ascii="Arial Narrow" w:hAnsi="Arial Narrow"/>
                <w:i/>
              </w:rPr>
              <w:t>16</w:t>
            </w:r>
          </w:p>
        </w:tc>
        <w:tc>
          <w:tcPr>
            <w:tcW w:w="1314" w:type="dxa"/>
            <w:vAlign w:val="center"/>
          </w:tcPr>
          <w:p w14:paraId="4F877344" w14:textId="77777777" w:rsidR="0090485B" w:rsidRPr="00B80EB0" w:rsidRDefault="0090485B" w:rsidP="008F07B7">
            <w:pPr>
              <w:ind w:right="284"/>
              <w:jc w:val="right"/>
              <w:rPr>
                <w:rFonts w:ascii="Arial Narrow" w:hAnsi="Arial Narrow"/>
                <w:i/>
              </w:rPr>
            </w:pPr>
            <w:r w:rsidRPr="00B80EB0">
              <w:rPr>
                <w:rFonts w:ascii="Arial Narrow" w:hAnsi="Arial Narrow"/>
                <w:i/>
              </w:rPr>
              <w:t>26</w:t>
            </w:r>
          </w:p>
        </w:tc>
        <w:tc>
          <w:tcPr>
            <w:tcW w:w="1314" w:type="dxa"/>
            <w:vAlign w:val="center"/>
          </w:tcPr>
          <w:p w14:paraId="1A5DD059" w14:textId="77777777" w:rsidR="0090485B" w:rsidRPr="00B80EB0" w:rsidRDefault="0090485B" w:rsidP="008F07B7">
            <w:pPr>
              <w:ind w:right="284"/>
              <w:jc w:val="right"/>
              <w:rPr>
                <w:rFonts w:ascii="Arial Narrow" w:hAnsi="Arial Narrow"/>
                <w:i/>
              </w:rPr>
            </w:pPr>
            <w:r w:rsidRPr="00B80EB0">
              <w:rPr>
                <w:rFonts w:ascii="Arial Narrow" w:hAnsi="Arial Narrow"/>
                <w:i/>
              </w:rPr>
              <w:t>41</w:t>
            </w:r>
          </w:p>
        </w:tc>
        <w:tc>
          <w:tcPr>
            <w:tcW w:w="1314" w:type="dxa"/>
            <w:vAlign w:val="center"/>
          </w:tcPr>
          <w:p w14:paraId="1C0E953D" w14:textId="77777777" w:rsidR="0090485B" w:rsidRPr="00B80EB0" w:rsidRDefault="0090485B" w:rsidP="008F07B7">
            <w:pPr>
              <w:ind w:right="284"/>
              <w:jc w:val="right"/>
              <w:rPr>
                <w:rFonts w:ascii="Arial Narrow" w:hAnsi="Arial Narrow"/>
                <w:i/>
              </w:rPr>
            </w:pPr>
          </w:p>
        </w:tc>
      </w:tr>
      <w:tr w:rsidR="0090485B" w:rsidRPr="00B80EB0" w14:paraId="276D0659" w14:textId="77777777" w:rsidTr="003727E8">
        <w:trPr>
          <w:trHeight w:val="340"/>
          <w:jc w:val="center"/>
        </w:trPr>
        <w:tc>
          <w:tcPr>
            <w:tcW w:w="1353" w:type="dxa"/>
            <w:tcBorders>
              <w:bottom w:val="single" w:sz="4" w:space="0" w:color="BFBFBF" w:themeColor="background1" w:themeShade="BF"/>
            </w:tcBorders>
            <w:vAlign w:val="center"/>
          </w:tcPr>
          <w:p w14:paraId="2A82E813" w14:textId="77777777" w:rsidR="0090485B" w:rsidRPr="00B80EB0" w:rsidRDefault="0090485B" w:rsidP="008F07B7">
            <w:pPr>
              <w:jc w:val="left"/>
              <w:rPr>
                <w:rFonts w:ascii="Arial Narrow" w:hAnsi="Arial Narrow"/>
                <w:i/>
              </w:rPr>
            </w:pPr>
            <w:r w:rsidRPr="00B80EB0">
              <w:rPr>
                <w:rFonts w:ascii="Arial Narrow" w:hAnsi="Arial Narrow"/>
                <w:i/>
              </w:rPr>
              <w:t>December</w:t>
            </w:r>
          </w:p>
        </w:tc>
        <w:tc>
          <w:tcPr>
            <w:tcW w:w="1313" w:type="dxa"/>
            <w:tcBorders>
              <w:bottom w:val="single" w:sz="4" w:space="0" w:color="BFBFBF" w:themeColor="background1" w:themeShade="BF"/>
            </w:tcBorders>
            <w:vAlign w:val="center"/>
          </w:tcPr>
          <w:p w14:paraId="7B0DD845" w14:textId="77777777" w:rsidR="0090485B" w:rsidRPr="00B80EB0" w:rsidRDefault="0090485B" w:rsidP="008F07B7">
            <w:pPr>
              <w:ind w:right="284"/>
              <w:jc w:val="right"/>
              <w:rPr>
                <w:rFonts w:ascii="Arial Narrow" w:hAnsi="Arial Narrow"/>
                <w:i/>
              </w:rPr>
            </w:pPr>
            <w:r w:rsidRPr="00B80EB0">
              <w:rPr>
                <w:rFonts w:ascii="Arial Narrow" w:hAnsi="Arial Narrow"/>
                <w:i/>
              </w:rPr>
              <w:t>3</w:t>
            </w:r>
          </w:p>
        </w:tc>
        <w:tc>
          <w:tcPr>
            <w:tcW w:w="1313" w:type="dxa"/>
            <w:tcBorders>
              <w:bottom w:val="single" w:sz="4" w:space="0" w:color="BFBFBF" w:themeColor="background1" w:themeShade="BF"/>
            </w:tcBorders>
            <w:vAlign w:val="center"/>
          </w:tcPr>
          <w:p w14:paraId="5D2ED82F" w14:textId="77777777" w:rsidR="0090485B" w:rsidRPr="00B80EB0" w:rsidRDefault="0090485B" w:rsidP="008F07B7">
            <w:pPr>
              <w:ind w:right="284"/>
              <w:jc w:val="right"/>
              <w:rPr>
                <w:rFonts w:ascii="Arial Narrow" w:hAnsi="Arial Narrow"/>
                <w:i/>
              </w:rPr>
            </w:pPr>
            <w:r w:rsidRPr="00B80EB0">
              <w:rPr>
                <w:rFonts w:ascii="Arial Narrow" w:hAnsi="Arial Narrow"/>
                <w:i/>
              </w:rPr>
              <w:t>9</w:t>
            </w:r>
          </w:p>
        </w:tc>
        <w:tc>
          <w:tcPr>
            <w:tcW w:w="1314" w:type="dxa"/>
            <w:tcBorders>
              <w:bottom w:val="single" w:sz="4" w:space="0" w:color="BFBFBF" w:themeColor="background1" w:themeShade="BF"/>
            </w:tcBorders>
            <w:vAlign w:val="center"/>
          </w:tcPr>
          <w:p w14:paraId="69286C7F" w14:textId="77777777" w:rsidR="0090485B" w:rsidRPr="00B80EB0" w:rsidRDefault="0090485B" w:rsidP="008F07B7">
            <w:pPr>
              <w:ind w:right="284"/>
              <w:jc w:val="right"/>
              <w:rPr>
                <w:rFonts w:ascii="Arial Narrow" w:hAnsi="Arial Narrow"/>
                <w:i/>
              </w:rPr>
            </w:pPr>
            <w:r w:rsidRPr="00B80EB0">
              <w:rPr>
                <w:rFonts w:ascii="Arial Narrow" w:hAnsi="Arial Narrow"/>
                <w:i/>
              </w:rPr>
              <w:t>51</w:t>
            </w:r>
          </w:p>
        </w:tc>
        <w:tc>
          <w:tcPr>
            <w:tcW w:w="1314" w:type="dxa"/>
            <w:tcBorders>
              <w:bottom w:val="single" w:sz="4" w:space="0" w:color="BFBFBF" w:themeColor="background1" w:themeShade="BF"/>
            </w:tcBorders>
            <w:vAlign w:val="center"/>
          </w:tcPr>
          <w:p w14:paraId="4ED733C7" w14:textId="77777777" w:rsidR="0090485B" w:rsidRPr="00B80EB0" w:rsidRDefault="0090485B" w:rsidP="008F07B7">
            <w:pPr>
              <w:ind w:right="284"/>
              <w:jc w:val="right"/>
              <w:rPr>
                <w:rFonts w:ascii="Arial Narrow" w:hAnsi="Arial Narrow"/>
                <w:i/>
              </w:rPr>
            </w:pPr>
            <w:r w:rsidRPr="00B80EB0">
              <w:rPr>
                <w:rFonts w:ascii="Arial Narrow" w:hAnsi="Arial Narrow"/>
                <w:i/>
              </w:rPr>
              <w:t>32</w:t>
            </w:r>
          </w:p>
        </w:tc>
        <w:tc>
          <w:tcPr>
            <w:tcW w:w="1314" w:type="dxa"/>
            <w:tcBorders>
              <w:bottom w:val="single" w:sz="4" w:space="0" w:color="BFBFBF" w:themeColor="background1" w:themeShade="BF"/>
            </w:tcBorders>
            <w:vAlign w:val="center"/>
          </w:tcPr>
          <w:p w14:paraId="30EA4BDC" w14:textId="77777777" w:rsidR="0090485B" w:rsidRPr="00B80EB0" w:rsidRDefault="0090485B" w:rsidP="008F07B7">
            <w:pPr>
              <w:ind w:right="284"/>
              <w:jc w:val="right"/>
              <w:rPr>
                <w:rFonts w:ascii="Arial Narrow" w:hAnsi="Arial Narrow"/>
                <w:i/>
              </w:rPr>
            </w:pPr>
          </w:p>
        </w:tc>
      </w:tr>
      <w:tr w:rsidR="0090485B" w:rsidRPr="00B80EB0" w14:paraId="190BD618" w14:textId="77777777" w:rsidTr="003727E8">
        <w:trPr>
          <w:trHeight w:val="340"/>
          <w:jc w:val="center"/>
        </w:trPr>
        <w:tc>
          <w:tcPr>
            <w:tcW w:w="1353" w:type="dxa"/>
            <w:tcBorders>
              <w:top w:val="single" w:sz="4" w:space="0" w:color="BFBFBF" w:themeColor="background1" w:themeShade="BF"/>
              <w:bottom w:val="single" w:sz="8" w:space="0" w:color="AAB8C4" w:themeColor="accent3" w:themeTint="99"/>
            </w:tcBorders>
            <w:vAlign w:val="center"/>
          </w:tcPr>
          <w:p w14:paraId="1C994C7E" w14:textId="77777777" w:rsidR="0090485B" w:rsidRPr="00B80EB0" w:rsidRDefault="0090485B" w:rsidP="008F07B7">
            <w:pPr>
              <w:jc w:val="left"/>
              <w:rPr>
                <w:rFonts w:ascii="Arial Narrow" w:hAnsi="Arial Narrow"/>
                <w:i/>
              </w:rPr>
            </w:pPr>
            <w:r w:rsidRPr="00B80EB0">
              <w:rPr>
                <w:rFonts w:ascii="Arial Narrow" w:hAnsi="Arial Narrow"/>
                <w:i/>
              </w:rPr>
              <w:t>Total</w:t>
            </w:r>
          </w:p>
        </w:tc>
        <w:tc>
          <w:tcPr>
            <w:tcW w:w="1313" w:type="dxa"/>
            <w:tcBorders>
              <w:top w:val="single" w:sz="4" w:space="0" w:color="BFBFBF" w:themeColor="background1" w:themeShade="BF"/>
              <w:bottom w:val="single" w:sz="8" w:space="0" w:color="AAB8C4" w:themeColor="accent3" w:themeTint="99"/>
            </w:tcBorders>
            <w:vAlign w:val="center"/>
          </w:tcPr>
          <w:p w14:paraId="40182E2D" w14:textId="77777777" w:rsidR="0090485B" w:rsidRPr="00B80EB0" w:rsidRDefault="0090485B" w:rsidP="008F07B7">
            <w:pPr>
              <w:ind w:right="284"/>
              <w:jc w:val="right"/>
              <w:rPr>
                <w:rFonts w:ascii="Arial Narrow" w:hAnsi="Arial Narrow"/>
                <w:i/>
              </w:rPr>
            </w:pPr>
            <w:r w:rsidRPr="00B80EB0">
              <w:rPr>
                <w:rFonts w:ascii="Arial Narrow" w:hAnsi="Arial Narrow"/>
                <w:i/>
              </w:rPr>
              <w:t>14</w:t>
            </w:r>
          </w:p>
        </w:tc>
        <w:tc>
          <w:tcPr>
            <w:tcW w:w="1313" w:type="dxa"/>
            <w:tcBorders>
              <w:top w:val="single" w:sz="4" w:space="0" w:color="BFBFBF" w:themeColor="background1" w:themeShade="BF"/>
              <w:bottom w:val="single" w:sz="8" w:space="0" w:color="AAB8C4" w:themeColor="accent3" w:themeTint="99"/>
            </w:tcBorders>
            <w:vAlign w:val="center"/>
          </w:tcPr>
          <w:p w14:paraId="7AB05B39" w14:textId="77777777" w:rsidR="0090485B" w:rsidRPr="00B80EB0" w:rsidRDefault="0090485B" w:rsidP="008F07B7">
            <w:pPr>
              <w:ind w:right="284"/>
              <w:jc w:val="right"/>
              <w:rPr>
                <w:rFonts w:ascii="Arial Narrow" w:hAnsi="Arial Narrow"/>
                <w:i/>
              </w:rPr>
            </w:pPr>
            <w:r w:rsidRPr="00B80EB0">
              <w:rPr>
                <w:rFonts w:ascii="Arial Narrow" w:hAnsi="Arial Narrow"/>
                <w:i/>
              </w:rPr>
              <w:t>77</w:t>
            </w:r>
          </w:p>
        </w:tc>
        <w:tc>
          <w:tcPr>
            <w:tcW w:w="1314" w:type="dxa"/>
            <w:tcBorders>
              <w:top w:val="single" w:sz="4" w:space="0" w:color="BFBFBF" w:themeColor="background1" w:themeShade="BF"/>
              <w:bottom w:val="single" w:sz="8" w:space="0" w:color="AAB8C4" w:themeColor="accent3" w:themeTint="99"/>
            </w:tcBorders>
            <w:vAlign w:val="center"/>
          </w:tcPr>
          <w:p w14:paraId="5AA8829B" w14:textId="77777777" w:rsidR="0090485B" w:rsidRPr="00B80EB0" w:rsidRDefault="0090485B" w:rsidP="008F07B7">
            <w:pPr>
              <w:ind w:right="284"/>
              <w:jc w:val="right"/>
              <w:rPr>
                <w:rFonts w:ascii="Arial Narrow" w:hAnsi="Arial Narrow"/>
                <w:i/>
              </w:rPr>
            </w:pPr>
            <w:r w:rsidRPr="00B80EB0">
              <w:rPr>
                <w:rFonts w:ascii="Arial Narrow" w:hAnsi="Arial Narrow"/>
                <w:i/>
              </w:rPr>
              <w:t>219</w:t>
            </w:r>
          </w:p>
        </w:tc>
        <w:tc>
          <w:tcPr>
            <w:tcW w:w="1314" w:type="dxa"/>
            <w:tcBorders>
              <w:top w:val="single" w:sz="4" w:space="0" w:color="BFBFBF" w:themeColor="background1" w:themeShade="BF"/>
              <w:bottom w:val="single" w:sz="8" w:space="0" w:color="AAB8C4" w:themeColor="accent3" w:themeTint="99"/>
            </w:tcBorders>
            <w:vAlign w:val="center"/>
          </w:tcPr>
          <w:p w14:paraId="0DA7598A" w14:textId="77777777" w:rsidR="0090485B" w:rsidRPr="00B80EB0" w:rsidRDefault="0090485B" w:rsidP="008F07B7">
            <w:pPr>
              <w:ind w:right="284"/>
              <w:jc w:val="right"/>
              <w:rPr>
                <w:rFonts w:ascii="Arial Narrow" w:hAnsi="Arial Narrow"/>
                <w:i/>
              </w:rPr>
            </w:pPr>
            <w:r w:rsidRPr="00B80EB0">
              <w:rPr>
                <w:rFonts w:ascii="Arial Narrow" w:hAnsi="Arial Narrow"/>
                <w:i/>
              </w:rPr>
              <w:t>222</w:t>
            </w:r>
          </w:p>
        </w:tc>
        <w:tc>
          <w:tcPr>
            <w:tcW w:w="1314" w:type="dxa"/>
            <w:tcBorders>
              <w:top w:val="single" w:sz="4" w:space="0" w:color="BFBFBF" w:themeColor="background1" w:themeShade="BF"/>
              <w:bottom w:val="single" w:sz="8" w:space="0" w:color="AAB8C4" w:themeColor="accent3" w:themeTint="99"/>
            </w:tcBorders>
            <w:vAlign w:val="center"/>
          </w:tcPr>
          <w:p w14:paraId="6822C5D1" w14:textId="2FA2DE8C" w:rsidR="0090485B" w:rsidRPr="00B80EB0" w:rsidRDefault="002D3C8F">
            <w:pPr>
              <w:ind w:right="284"/>
              <w:jc w:val="right"/>
              <w:rPr>
                <w:rFonts w:ascii="Arial Narrow" w:hAnsi="Arial Narrow"/>
                <w:i/>
              </w:rPr>
            </w:pPr>
            <w:r>
              <w:rPr>
                <w:rFonts w:ascii="Arial Narrow" w:hAnsi="Arial Narrow"/>
                <w:i/>
              </w:rPr>
              <w:t>1,276</w:t>
            </w:r>
          </w:p>
        </w:tc>
      </w:tr>
    </w:tbl>
    <w:p w14:paraId="1F2EF00A" w14:textId="77777777" w:rsidR="0090485B" w:rsidRPr="00FD6CDA" w:rsidRDefault="0090485B" w:rsidP="0090485B"/>
    <w:p w14:paraId="66BB8161" w14:textId="77777777" w:rsidR="0090485B" w:rsidRPr="00FD6CDA" w:rsidRDefault="0090485B" w:rsidP="0090485B"/>
    <w:p w14:paraId="425F4699" w14:textId="77777777" w:rsidR="0090485B" w:rsidRPr="003217E4" w:rsidRDefault="0090485B" w:rsidP="0090485B">
      <w:pPr>
        <w:pStyle w:val="Heading3"/>
      </w:pPr>
      <w:bookmarkStart w:id="492" w:name="_Toc77931055"/>
      <w:r>
        <w:t>Resource Plan</w:t>
      </w:r>
      <w:bookmarkEnd w:id="492"/>
    </w:p>
    <w:p w14:paraId="5C2425AF" w14:textId="77777777" w:rsidR="0090485B" w:rsidRDefault="0090485B" w:rsidP="0090485B">
      <w:pPr>
        <w:rPr>
          <w:sz w:val="18"/>
          <w:szCs w:val="16"/>
        </w:rPr>
      </w:pPr>
    </w:p>
    <w:p w14:paraId="71C69D10" w14:textId="77777777" w:rsidR="0090485B" w:rsidRPr="00115442" w:rsidRDefault="0090485B" w:rsidP="0090485B">
      <w:r w:rsidRPr="00115442">
        <w:t xml:space="preserve">The total resources for the program of activities to be conducted by UPOV in the </w:t>
      </w:r>
      <w:r>
        <w:rPr>
          <w:snapToGrid w:val="0"/>
          <w:spacing w:val="-2"/>
          <w:szCs w:val="24"/>
        </w:rPr>
        <w:t>2022</w:t>
      </w:r>
      <w:r>
        <w:rPr>
          <w:snapToGrid w:val="0"/>
          <w:spacing w:val="-2"/>
          <w:szCs w:val="24"/>
        </w:rPr>
        <w:noBreakHyphen/>
        <w:t>2023</w:t>
      </w:r>
      <w:r w:rsidRPr="00115442">
        <w:rPr>
          <w:snapToGrid w:val="0"/>
          <w:spacing w:val="-2"/>
          <w:szCs w:val="24"/>
        </w:rPr>
        <w:t xml:space="preserve"> </w:t>
      </w:r>
      <w:r>
        <w:t>b</w:t>
      </w:r>
      <w:r w:rsidRPr="00115442">
        <w:t xml:space="preserve">iennium amounts to </w:t>
      </w:r>
      <w:r w:rsidRPr="00C20F3E">
        <w:rPr>
          <w:spacing w:val="-2"/>
          <w:szCs w:val="24"/>
        </w:rPr>
        <w:t>8,599,748</w:t>
      </w:r>
      <w:r w:rsidRPr="00115442">
        <w:rPr>
          <w:spacing w:val="-2"/>
          <w:szCs w:val="24"/>
        </w:rPr>
        <w:t> </w:t>
      </w:r>
      <w:r w:rsidRPr="00115442">
        <w:rPr>
          <w:szCs w:val="24"/>
        </w:rPr>
        <w:t>Swiss francs (see Table 3)</w:t>
      </w:r>
      <w:r w:rsidRPr="00115442">
        <w:t xml:space="preserve">.  This amount includes </w:t>
      </w:r>
      <w:r w:rsidRPr="00C20F3E">
        <w:rPr>
          <w:spacing w:val="-2"/>
          <w:szCs w:val="24"/>
        </w:rPr>
        <w:t>7,634,500</w:t>
      </w:r>
      <w:r w:rsidRPr="00115442">
        <w:rPr>
          <w:spacing w:val="-2"/>
          <w:szCs w:val="24"/>
        </w:rPr>
        <w:t> </w:t>
      </w:r>
      <w:r w:rsidRPr="00115442">
        <w:rPr>
          <w:szCs w:val="24"/>
        </w:rPr>
        <w:t>Swiss francs</w:t>
      </w:r>
      <w:r w:rsidRPr="00115442">
        <w:t xml:space="preserve"> within the regular budget (see Table 1), and an estimated </w:t>
      </w:r>
      <w:r w:rsidRPr="00C20F3E">
        <w:rPr>
          <w:spacing w:val="-2"/>
          <w:szCs w:val="24"/>
        </w:rPr>
        <w:t>965,248</w:t>
      </w:r>
      <w:r w:rsidRPr="00115442">
        <w:rPr>
          <w:spacing w:val="-2"/>
          <w:szCs w:val="24"/>
        </w:rPr>
        <w:t> </w:t>
      </w:r>
      <w:r w:rsidRPr="00115442">
        <w:rPr>
          <w:szCs w:val="24"/>
        </w:rPr>
        <w:t>Swiss francs</w:t>
      </w:r>
      <w:r w:rsidRPr="00115442">
        <w:t>, financed under Funds-in-Trust arrangements.</w:t>
      </w:r>
    </w:p>
    <w:p w14:paraId="6B845DA1" w14:textId="77777777" w:rsidR="0090485B" w:rsidRPr="00115442" w:rsidRDefault="0090485B" w:rsidP="0090485B">
      <w:pPr>
        <w:tabs>
          <w:tab w:val="left" w:pos="567"/>
        </w:tabs>
      </w:pPr>
    </w:p>
    <w:p w14:paraId="5008DC34" w14:textId="77777777" w:rsidR="0090485B" w:rsidRPr="00115442" w:rsidRDefault="0090485B" w:rsidP="0090485B">
      <w:pPr>
        <w:keepLines/>
        <w:tabs>
          <w:tab w:val="left" w:pos="567"/>
        </w:tabs>
      </w:pPr>
      <w:r w:rsidRPr="00115442">
        <w:t xml:space="preserve">For the </w:t>
      </w:r>
      <w:r>
        <w:rPr>
          <w:snapToGrid w:val="0"/>
          <w:spacing w:val="-2"/>
          <w:szCs w:val="24"/>
        </w:rPr>
        <w:t>2022</w:t>
      </w:r>
      <w:r>
        <w:rPr>
          <w:snapToGrid w:val="0"/>
          <w:spacing w:val="-2"/>
          <w:szCs w:val="24"/>
        </w:rPr>
        <w:noBreakHyphen/>
        <w:t>2023</w:t>
      </w:r>
      <w:r w:rsidRPr="00115442">
        <w:rPr>
          <w:snapToGrid w:val="0"/>
          <w:spacing w:val="-2"/>
          <w:szCs w:val="24"/>
        </w:rPr>
        <w:t xml:space="preserve"> </w:t>
      </w:r>
      <w:r>
        <w:t>b</w:t>
      </w:r>
      <w:r w:rsidRPr="00115442">
        <w:t xml:space="preserve">iennium, income and </w:t>
      </w:r>
      <w:r>
        <w:t xml:space="preserve">regular budget </w:t>
      </w:r>
      <w:r w:rsidRPr="00115442">
        <w:t>expenditure are expected to be balanced.</w:t>
      </w:r>
    </w:p>
    <w:p w14:paraId="7EF49453" w14:textId="77777777" w:rsidR="0090485B" w:rsidRPr="00115442" w:rsidRDefault="0090485B" w:rsidP="0090485B">
      <w:pPr>
        <w:tabs>
          <w:tab w:val="left" w:pos="567"/>
        </w:tabs>
      </w:pPr>
    </w:p>
    <w:p w14:paraId="07EB2167" w14:textId="77777777" w:rsidR="0090485B" w:rsidRPr="00421986" w:rsidRDefault="0090485B" w:rsidP="0090485B">
      <w:pPr>
        <w:tabs>
          <w:tab w:val="left" w:pos="567"/>
        </w:tabs>
        <w:rPr>
          <w:spacing w:val="-2"/>
          <w:szCs w:val="24"/>
        </w:rPr>
      </w:pPr>
      <w:r w:rsidRPr="00115442">
        <w:t xml:space="preserve">Funds-in-Trust are voluntary financial funds provided to UPOV, usually by a member of </w:t>
      </w:r>
      <w:r>
        <w:t>the Union</w:t>
      </w:r>
      <w:r w:rsidRPr="00115442">
        <w:t xml:space="preserve"> for a specific program of activities mutually agreed between the Office of </w:t>
      </w:r>
      <w:r>
        <w:t>the Union</w:t>
      </w:r>
      <w:r w:rsidRPr="00115442">
        <w:t xml:space="preserve"> and the member of </w:t>
      </w:r>
      <w:r>
        <w:t>the Union</w:t>
      </w:r>
      <w:r w:rsidRPr="00115442">
        <w:t xml:space="preserve"> concerned.  Without prejudging sovereign decisions from the fund providers, it is expected that the </w:t>
      </w:r>
      <w:r w:rsidRPr="00115442">
        <w:rPr>
          <w:spacing w:val="-2"/>
          <w:szCs w:val="24"/>
        </w:rPr>
        <w:t xml:space="preserve">overall amounts of such funds for the </w:t>
      </w:r>
      <w:r>
        <w:rPr>
          <w:snapToGrid w:val="0"/>
          <w:spacing w:val="-2"/>
          <w:szCs w:val="24"/>
        </w:rPr>
        <w:t>2022</w:t>
      </w:r>
      <w:r>
        <w:rPr>
          <w:snapToGrid w:val="0"/>
          <w:spacing w:val="-2"/>
          <w:szCs w:val="24"/>
        </w:rPr>
        <w:noBreakHyphen/>
        <w:t>2023</w:t>
      </w:r>
      <w:r w:rsidRPr="00115442">
        <w:rPr>
          <w:snapToGrid w:val="0"/>
          <w:spacing w:val="-2"/>
          <w:szCs w:val="24"/>
        </w:rPr>
        <w:t xml:space="preserve"> </w:t>
      </w:r>
      <w:r>
        <w:rPr>
          <w:spacing w:val="-2"/>
          <w:szCs w:val="24"/>
        </w:rPr>
        <w:t>b</w:t>
      </w:r>
      <w:r w:rsidRPr="00115442">
        <w:rPr>
          <w:spacing w:val="-2"/>
          <w:szCs w:val="24"/>
        </w:rPr>
        <w:t xml:space="preserve">iennium will be at a level of </w:t>
      </w:r>
      <w:r w:rsidRPr="00C20F3E">
        <w:rPr>
          <w:spacing w:val="-2"/>
          <w:szCs w:val="24"/>
        </w:rPr>
        <w:t>965,248</w:t>
      </w:r>
      <w:r w:rsidRPr="00115442">
        <w:rPr>
          <w:spacing w:val="-2"/>
          <w:szCs w:val="24"/>
        </w:rPr>
        <w:t xml:space="preserve"> Swiss francs. </w:t>
      </w:r>
      <w:r w:rsidRPr="00115442">
        <w:t xml:space="preserve"> It should be noted that financial support (e.g. Funds-in-Trust) and non</w:t>
      </w:r>
      <w:r w:rsidRPr="00115442">
        <w:noBreakHyphen/>
        <w:t>financial support (support in kind), particularly for technical assistance and training activities, are not recorded in UPOV</w:t>
      </w:r>
      <w:r>
        <w:t>’</w:t>
      </w:r>
      <w:r w:rsidRPr="00115442">
        <w:t>s budget.</w:t>
      </w:r>
    </w:p>
    <w:p w14:paraId="626D1999" w14:textId="77777777" w:rsidR="0090485B" w:rsidRDefault="0090485B" w:rsidP="0090485B">
      <w:pPr>
        <w:rPr>
          <w:spacing w:val="-2"/>
          <w:szCs w:val="24"/>
        </w:rPr>
      </w:pPr>
    </w:p>
    <w:p w14:paraId="0E7BF0BB" w14:textId="77777777" w:rsidR="0090485B" w:rsidRDefault="0090485B" w:rsidP="0090485B">
      <w:pPr>
        <w:rPr>
          <w:spacing w:val="-2"/>
          <w:szCs w:val="24"/>
        </w:rPr>
      </w:pPr>
    </w:p>
    <w:p w14:paraId="43CEE9DC" w14:textId="77777777" w:rsidR="0090485B" w:rsidRDefault="0090485B" w:rsidP="0090485B">
      <w:pPr>
        <w:jc w:val="left"/>
        <w:rPr>
          <w:rFonts w:cs="Arial"/>
          <w:b/>
          <w:bCs/>
          <w:color w:val="26724C" w:themeColor="accent1" w:themeShade="BF"/>
        </w:rPr>
      </w:pPr>
      <w:r>
        <w:rPr>
          <w:rFonts w:cs="Arial"/>
          <w:b/>
          <w:bCs/>
          <w:color w:val="26724C" w:themeColor="accent1" w:themeShade="BF"/>
        </w:rPr>
        <w:br w:type="page"/>
      </w:r>
    </w:p>
    <w:p w14:paraId="73EE720A" w14:textId="77777777" w:rsidR="0090485B" w:rsidRPr="008B40C0" w:rsidRDefault="0090485B" w:rsidP="0090485B">
      <w:pPr>
        <w:jc w:val="center"/>
        <w:rPr>
          <w:color w:val="26724C" w:themeColor="accent1" w:themeShade="BF"/>
          <w:spacing w:val="-2"/>
          <w:szCs w:val="24"/>
        </w:rPr>
      </w:pPr>
      <w:r w:rsidRPr="008B40C0">
        <w:rPr>
          <w:rFonts w:cs="Arial"/>
          <w:b/>
          <w:bCs/>
          <w:color w:val="26724C" w:themeColor="accent1" w:themeShade="BF"/>
        </w:rPr>
        <w:lastRenderedPageBreak/>
        <w:t>Table 3:  Resource Plan 2020</w:t>
      </w:r>
      <w:r>
        <w:rPr>
          <w:rFonts w:cs="Arial"/>
          <w:b/>
          <w:bCs/>
          <w:color w:val="26724C" w:themeColor="accent1" w:themeShade="BF"/>
        </w:rPr>
        <w:t>-20</w:t>
      </w:r>
      <w:r w:rsidRPr="008B40C0">
        <w:rPr>
          <w:rFonts w:cs="Arial"/>
          <w:b/>
          <w:bCs/>
          <w:color w:val="26724C" w:themeColor="accent1" w:themeShade="BF"/>
        </w:rPr>
        <w:t xml:space="preserve">21 and </w:t>
      </w:r>
      <w:r>
        <w:rPr>
          <w:rFonts w:cs="Arial"/>
          <w:b/>
          <w:bCs/>
          <w:color w:val="26724C" w:themeColor="accent1" w:themeShade="BF"/>
        </w:rPr>
        <w:t>2022</w:t>
      </w:r>
      <w:r>
        <w:rPr>
          <w:rFonts w:cs="Arial"/>
          <w:b/>
          <w:bCs/>
          <w:color w:val="26724C" w:themeColor="accent1" w:themeShade="BF"/>
        </w:rPr>
        <w:noBreakHyphen/>
        <w:t>2023</w:t>
      </w:r>
    </w:p>
    <w:p w14:paraId="1D99D0A9" w14:textId="77777777" w:rsidR="0090485B" w:rsidRPr="00E01CAB" w:rsidRDefault="0090485B" w:rsidP="0090485B">
      <w:pPr>
        <w:jc w:val="center"/>
        <w:rPr>
          <w:rFonts w:cs="Arial"/>
          <w:i/>
          <w:iCs/>
          <w:sz w:val="18"/>
        </w:rPr>
      </w:pPr>
      <w:r w:rsidRPr="00E01CAB">
        <w:rPr>
          <w:rFonts w:cs="Arial"/>
          <w:i/>
          <w:iCs/>
          <w:sz w:val="18"/>
        </w:rPr>
        <w:t>(in thousands of Swiss francs)</w:t>
      </w:r>
    </w:p>
    <w:p w14:paraId="30E6B3F2" w14:textId="77777777" w:rsidR="0090485B" w:rsidRPr="00421986" w:rsidRDefault="0090485B" w:rsidP="0090485B">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90485B" w:rsidRPr="009372FF" w14:paraId="5F30CD27" w14:textId="77777777" w:rsidTr="008F07B7">
        <w:trPr>
          <w:trHeight w:val="431"/>
        </w:trPr>
        <w:tc>
          <w:tcPr>
            <w:tcW w:w="4319" w:type="dxa"/>
            <w:gridSpan w:val="2"/>
            <w:vMerge w:val="restart"/>
            <w:tcBorders>
              <w:top w:val="nil"/>
              <w:left w:val="nil"/>
              <w:bottom w:val="nil"/>
              <w:right w:val="nil"/>
            </w:tcBorders>
            <w:shd w:val="clear" w:color="000000" w:fill="C7CFD8"/>
            <w:vAlign w:val="center"/>
            <w:hideMark/>
          </w:tcPr>
          <w:p w14:paraId="1D920882" w14:textId="77777777" w:rsidR="0090485B" w:rsidRPr="009372FF" w:rsidRDefault="0090485B" w:rsidP="008F07B7">
            <w:pPr>
              <w:jc w:val="left"/>
              <w:rPr>
                <w:rFonts w:ascii="Arial Narrow" w:hAnsi="Arial Narrow" w:cs="Arial"/>
                <w:b/>
                <w:bCs/>
                <w:sz w:val="18"/>
                <w:szCs w:val="18"/>
              </w:rPr>
            </w:pPr>
            <w:r w:rsidRPr="009372FF">
              <w:rPr>
                <w:rFonts w:ascii="Arial Narrow" w:hAnsi="Arial Narrow" w:cs="Arial"/>
                <w:b/>
                <w:bCs/>
                <w:sz w:val="18"/>
                <w:szCs w:val="18"/>
              </w:rPr>
              <w:t>Budget and resource availability</w:t>
            </w:r>
          </w:p>
        </w:tc>
        <w:tc>
          <w:tcPr>
            <w:tcW w:w="1727" w:type="dxa"/>
            <w:tcBorders>
              <w:top w:val="nil"/>
              <w:left w:val="nil"/>
              <w:bottom w:val="nil"/>
              <w:right w:val="nil"/>
            </w:tcBorders>
            <w:shd w:val="clear" w:color="000000" w:fill="C7CFD8"/>
            <w:vAlign w:val="center"/>
            <w:hideMark/>
          </w:tcPr>
          <w:p w14:paraId="065D228B"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Regular Budget </w:t>
            </w:r>
          </w:p>
        </w:tc>
        <w:tc>
          <w:tcPr>
            <w:tcW w:w="1778" w:type="dxa"/>
            <w:tcBorders>
              <w:top w:val="nil"/>
              <w:left w:val="nil"/>
              <w:bottom w:val="nil"/>
              <w:right w:val="nil"/>
            </w:tcBorders>
            <w:shd w:val="clear" w:color="000000" w:fill="C7CFD8"/>
            <w:vAlign w:val="center"/>
            <w:hideMark/>
          </w:tcPr>
          <w:p w14:paraId="3E02F4A1"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Funds-in-Trust * </w:t>
            </w:r>
          </w:p>
        </w:tc>
        <w:tc>
          <w:tcPr>
            <w:tcW w:w="1905" w:type="dxa"/>
            <w:tcBorders>
              <w:top w:val="nil"/>
              <w:left w:val="nil"/>
              <w:bottom w:val="nil"/>
              <w:right w:val="nil"/>
            </w:tcBorders>
            <w:shd w:val="clear" w:color="000000" w:fill="C7CFD8"/>
            <w:vAlign w:val="center"/>
            <w:hideMark/>
          </w:tcPr>
          <w:p w14:paraId="126F9EEE"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Total resources </w:t>
            </w:r>
          </w:p>
        </w:tc>
      </w:tr>
      <w:tr w:rsidR="0090485B" w:rsidRPr="009372FF" w14:paraId="33AA9F8E" w14:textId="77777777" w:rsidTr="008F07B7">
        <w:trPr>
          <w:trHeight w:val="70"/>
        </w:trPr>
        <w:tc>
          <w:tcPr>
            <w:tcW w:w="4319" w:type="dxa"/>
            <w:gridSpan w:val="2"/>
            <w:vMerge/>
            <w:tcBorders>
              <w:top w:val="nil"/>
              <w:left w:val="nil"/>
              <w:bottom w:val="nil"/>
              <w:right w:val="nil"/>
            </w:tcBorders>
            <w:vAlign w:val="center"/>
            <w:hideMark/>
          </w:tcPr>
          <w:p w14:paraId="6E3B2FF3" w14:textId="77777777" w:rsidR="0090485B" w:rsidRPr="009372FF" w:rsidRDefault="0090485B" w:rsidP="008F07B7">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6FAB74DC"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14:paraId="1FAF183B" w14:textId="77777777" w:rsidR="0090485B" w:rsidRPr="009372FF" w:rsidRDefault="0090485B" w:rsidP="008F07B7">
            <w:pPr>
              <w:jc w:val="center"/>
              <w:rPr>
                <w:rFonts w:ascii="Arial Narrow" w:hAnsi="Arial Narrow" w:cs="Arial"/>
                <w:b/>
                <w:bCs/>
                <w:i/>
                <w:iCs/>
                <w:sz w:val="18"/>
                <w:szCs w:val="18"/>
              </w:rPr>
            </w:pPr>
            <w:r w:rsidRPr="009372FF">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1B415019" w14:textId="77777777" w:rsidR="0090485B" w:rsidRPr="009372FF" w:rsidRDefault="0090485B" w:rsidP="008F07B7">
            <w:pPr>
              <w:jc w:val="center"/>
              <w:rPr>
                <w:rFonts w:ascii="Arial Narrow" w:hAnsi="Arial Narrow" w:cs="Arial"/>
                <w:b/>
                <w:bCs/>
                <w:i/>
                <w:iCs/>
                <w:sz w:val="18"/>
                <w:szCs w:val="18"/>
              </w:rPr>
            </w:pPr>
            <w:r w:rsidRPr="009372FF">
              <w:rPr>
                <w:rFonts w:ascii="Arial Narrow" w:hAnsi="Arial Narrow" w:cs="Arial"/>
                <w:b/>
                <w:bCs/>
                <w:i/>
                <w:iCs/>
                <w:sz w:val="18"/>
                <w:szCs w:val="18"/>
              </w:rPr>
              <w:t>C = A+B</w:t>
            </w:r>
          </w:p>
        </w:tc>
      </w:tr>
      <w:tr w:rsidR="0090485B" w:rsidRPr="009372FF" w14:paraId="68E0FC2F" w14:textId="77777777" w:rsidTr="008F07B7">
        <w:trPr>
          <w:trHeight w:val="263"/>
        </w:trPr>
        <w:tc>
          <w:tcPr>
            <w:tcW w:w="4319" w:type="dxa"/>
            <w:gridSpan w:val="2"/>
            <w:tcBorders>
              <w:top w:val="nil"/>
              <w:left w:val="nil"/>
              <w:bottom w:val="nil"/>
              <w:right w:val="nil"/>
            </w:tcBorders>
            <w:shd w:val="clear" w:color="auto" w:fill="auto"/>
            <w:hideMark/>
          </w:tcPr>
          <w:p w14:paraId="33B7E793" w14:textId="77777777" w:rsidR="0090485B" w:rsidRPr="009372FF" w:rsidRDefault="0090485B" w:rsidP="008F07B7">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14:paraId="313BB5D7" w14:textId="77777777" w:rsidR="0090485B" w:rsidRPr="009372FF" w:rsidRDefault="0090485B" w:rsidP="008F07B7">
            <w:pPr>
              <w:rPr>
                <w:rFonts w:ascii="Times New Roman" w:hAnsi="Times New Roman"/>
              </w:rPr>
            </w:pPr>
          </w:p>
        </w:tc>
        <w:tc>
          <w:tcPr>
            <w:tcW w:w="1778" w:type="dxa"/>
            <w:tcBorders>
              <w:top w:val="nil"/>
              <w:left w:val="nil"/>
              <w:bottom w:val="nil"/>
              <w:right w:val="nil"/>
            </w:tcBorders>
            <w:shd w:val="clear" w:color="auto" w:fill="auto"/>
            <w:hideMark/>
          </w:tcPr>
          <w:p w14:paraId="5ABBBEDD" w14:textId="77777777" w:rsidR="0090485B" w:rsidRPr="009372FF" w:rsidRDefault="0090485B" w:rsidP="008F07B7">
            <w:pPr>
              <w:rPr>
                <w:rFonts w:ascii="Times New Roman" w:hAnsi="Times New Roman"/>
              </w:rPr>
            </w:pPr>
          </w:p>
        </w:tc>
        <w:tc>
          <w:tcPr>
            <w:tcW w:w="1905" w:type="dxa"/>
            <w:tcBorders>
              <w:top w:val="nil"/>
              <w:left w:val="nil"/>
              <w:bottom w:val="nil"/>
              <w:right w:val="nil"/>
            </w:tcBorders>
            <w:shd w:val="clear" w:color="auto" w:fill="auto"/>
            <w:hideMark/>
          </w:tcPr>
          <w:p w14:paraId="6F96023E" w14:textId="77777777" w:rsidR="0090485B" w:rsidRPr="009372FF" w:rsidRDefault="0090485B" w:rsidP="008F07B7">
            <w:pPr>
              <w:jc w:val="left"/>
              <w:rPr>
                <w:rFonts w:ascii="Times New Roman" w:hAnsi="Times New Roman"/>
              </w:rPr>
            </w:pPr>
          </w:p>
        </w:tc>
      </w:tr>
      <w:tr w:rsidR="0090485B" w:rsidRPr="009372FF" w14:paraId="6EA8F93B" w14:textId="77777777" w:rsidTr="008F07B7">
        <w:trPr>
          <w:trHeight w:val="318"/>
        </w:trPr>
        <w:tc>
          <w:tcPr>
            <w:tcW w:w="4319" w:type="dxa"/>
            <w:gridSpan w:val="2"/>
            <w:tcBorders>
              <w:top w:val="nil"/>
              <w:left w:val="nil"/>
              <w:bottom w:val="nil"/>
              <w:right w:val="nil"/>
            </w:tcBorders>
            <w:shd w:val="clear" w:color="auto" w:fill="auto"/>
            <w:hideMark/>
          </w:tcPr>
          <w:p w14:paraId="1A377410" w14:textId="77777777" w:rsidR="0090485B" w:rsidRPr="009372FF" w:rsidRDefault="0090485B" w:rsidP="008F07B7">
            <w:pPr>
              <w:rPr>
                <w:rFonts w:ascii="Arial Narrow" w:hAnsi="Arial Narrow" w:cs="Arial"/>
                <w:b/>
                <w:bCs/>
                <w:color w:val="000000"/>
              </w:rPr>
            </w:pPr>
            <w:r w:rsidRPr="009372FF">
              <w:rPr>
                <w:rFonts w:ascii="Arial Narrow" w:hAnsi="Arial Narrow" w:cs="Arial"/>
                <w:b/>
                <w:bCs/>
                <w:color w:val="000000"/>
              </w:rPr>
              <w:t>Resource availability 2020-2021</w:t>
            </w:r>
          </w:p>
        </w:tc>
        <w:tc>
          <w:tcPr>
            <w:tcW w:w="1727" w:type="dxa"/>
            <w:tcBorders>
              <w:top w:val="nil"/>
              <w:left w:val="nil"/>
              <w:bottom w:val="nil"/>
              <w:right w:val="nil"/>
            </w:tcBorders>
            <w:shd w:val="clear" w:color="auto" w:fill="auto"/>
            <w:noWrap/>
            <w:vAlign w:val="bottom"/>
            <w:hideMark/>
          </w:tcPr>
          <w:p w14:paraId="5C6C4D3F" w14:textId="77777777" w:rsidR="0090485B" w:rsidRPr="009372FF" w:rsidRDefault="0090485B" w:rsidP="008F07B7">
            <w:pPr>
              <w:jc w:val="right"/>
              <w:rPr>
                <w:rFonts w:ascii="Arial Narrow" w:hAnsi="Arial Narrow" w:cs="Arial"/>
                <w:b/>
                <w:bCs/>
                <w:color w:val="000000"/>
              </w:rPr>
            </w:pPr>
          </w:p>
        </w:tc>
        <w:tc>
          <w:tcPr>
            <w:tcW w:w="1778" w:type="dxa"/>
            <w:tcBorders>
              <w:top w:val="nil"/>
              <w:left w:val="nil"/>
              <w:bottom w:val="nil"/>
              <w:right w:val="nil"/>
            </w:tcBorders>
            <w:shd w:val="clear" w:color="auto" w:fill="auto"/>
            <w:hideMark/>
          </w:tcPr>
          <w:p w14:paraId="41DC5602" w14:textId="77777777" w:rsidR="0090485B" w:rsidRPr="009372FF" w:rsidRDefault="0090485B" w:rsidP="008F07B7">
            <w:pPr>
              <w:jc w:val="right"/>
              <w:rPr>
                <w:rFonts w:ascii="Times New Roman" w:hAnsi="Times New Roman"/>
              </w:rPr>
            </w:pPr>
          </w:p>
        </w:tc>
        <w:tc>
          <w:tcPr>
            <w:tcW w:w="1905" w:type="dxa"/>
            <w:tcBorders>
              <w:top w:val="nil"/>
              <w:left w:val="nil"/>
              <w:bottom w:val="nil"/>
              <w:right w:val="nil"/>
            </w:tcBorders>
            <w:shd w:val="clear" w:color="auto" w:fill="auto"/>
            <w:hideMark/>
          </w:tcPr>
          <w:p w14:paraId="3CDC68B0" w14:textId="77777777" w:rsidR="0090485B" w:rsidRPr="009372FF" w:rsidRDefault="0090485B" w:rsidP="008F07B7">
            <w:pPr>
              <w:jc w:val="right"/>
              <w:rPr>
                <w:rFonts w:ascii="Times New Roman" w:hAnsi="Times New Roman"/>
              </w:rPr>
            </w:pPr>
          </w:p>
        </w:tc>
      </w:tr>
      <w:tr w:rsidR="0090485B" w:rsidRPr="009372FF" w14:paraId="7CEB5311" w14:textId="77777777" w:rsidTr="003727E8">
        <w:trPr>
          <w:trHeight w:val="349"/>
        </w:trPr>
        <w:tc>
          <w:tcPr>
            <w:tcW w:w="482" w:type="dxa"/>
            <w:tcBorders>
              <w:top w:val="nil"/>
              <w:left w:val="nil"/>
              <w:bottom w:val="nil"/>
              <w:right w:val="nil"/>
            </w:tcBorders>
            <w:shd w:val="clear" w:color="auto" w:fill="auto"/>
            <w:vAlign w:val="center"/>
            <w:hideMark/>
          </w:tcPr>
          <w:p w14:paraId="636E4FB5"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1</w:t>
            </w:r>
          </w:p>
        </w:tc>
        <w:tc>
          <w:tcPr>
            <w:tcW w:w="3837" w:type="dxa"/>
            <w:tcBorders>
              <w:top w:val="nil"/>
              <w:left w:val="nil"/>
              <w:bottom w:val="nil"/>
              <w:right w:val="nil"/>
            </w:tcBorders>
            <w:shd w:val="clear" w:color="auto" w:fill="auto"/>
            <w:vAlign w:val="center"/>
            <w:hideMark/>
          </w:tcPr>
          <w:p w14:paraId="19F4B596" w14:textId="77777777" w:rsidR="0090485B" w:rsidRPr="009372FF" w:rsidRDefault="0090485B" w:rsidP="008F07B7">
            <w:pPr>
              <w:rPr>
                <w:rFonts w:ascii="Arial Narrow" w:hAnsi="Arial Narrow" w:cs="Arial"/>
                <w:color w:val="000000"/>
              </w:rPr>
            </w:pPr>
            <w:r w:rsidRPr="009372FF">
              <w:rPr>
                <w:rFonts w:ascii="Arial Narrow" w:hAnsi="Arial Narrow" w:cs="Arial"/>
                <w:color w:val="000000"/>
              </w:rPr>
              <w:t>Income</w:t>
            </w:r>
          </w:p>
        </w:tc>
        <w:tc>
          <w:tcPr>
            <w:tcW w:w="1727" w:type="dxa"/>
            <w:tcBorders>
              <w:top w:val="nil"/>
              <w:left w:val="nil"/>
              <w:bottom w:val="nil"/>
              <w:right w:val="nil"/>
            </w:tcBorders>
            <w:shd w:val="clear" w:color="auto" w:fill="auto"/>
            <w:vAlign w:val="center"/>
            <w:hideMark/>
          </w:tcPr>
          <w:p w14:paraId="5BE7055F"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6,931</w:t>
            </w:r>
          </w:p>
        </w:tc>
        <w:tc>
          <w:tcPr>
            <w:tcW w:w="1778" w:type="dxa"/>
            <w:tcBorders>
              <w:top w:val="nil"/>
              <w:left w:val="nil"/>
              <w:bottom w:val="nil"/>
              <w:right w:val="nil"/>
            </w:tcBorders>
            <w:shd w:val="clear" w:color="auto" w:fill="auto"/>
            <w:vAlign w:val="center"/>
            <w:hideMark/>
          </w:tcPr>
          <w:p w14:paraId="48C5EB19"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929</w:t>
            </w:r>
          </w:p>
        </w:tc>
        <w:tc>
          <w:tcPr>
            <w:tcW w:w="1905" w:type="dxa"/>
            <w:tcBorders>
              <w:top w:val="nil"/>
              <w:left w:val="nil"/>
              <w:bottom w:val="nil"/>
              <w:right w:val="nil"/>
            </w:tcBorders>
            <w:shd w:val="clear" w:color="auto" w:fill="auto"/>
            <w:vAlign w:val="center"/>
            <w:hideMark/>
          </w:tcPr>
          <w:p w14:paraId="6BD8F2E6"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7,860</w:t>
            </w:r>
          </w:p>
        </w:tc>
      </w:tr>
      <w:tr w:rsidR="0090485B" w:rsidRPr="009372FF" w14:paraId="04BDEA71" w14:textId="77777777" w:rsidTr="003727E8">
        <w:trPr>
          <w:trHeight w:val="349"/>
        </w:trPr>
        <w:tc>
          <w:tcPr>
            <w:tcW w:w="482" w:type="dxa"/>
            <w:tcBorders>
              <w:top w:val="nil"/>
              <w:left w:val="nil"/>
              <w:bottom w:val="nil"/>
              <w:right w:val="nil"/>
            </w:tcBorders>
            <w:shd w:val="clear" w:color="auto" w:fill="auto"/>
            <w:vAlign w:val="center"/>
            <w:hideMark/>
          </w:tcPr>
          <w:p w14:paraId="6ADEBA92"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2</w:t>
            </w:r>
          </w:p>
        </w:tc>
        <w:tc>
          <w:tcPr>
            <w:tcW w:w="3837" w:type="dxa"/>
            <w:tcBorders>
              <w:top w:val="nil"/>
              <w:left w:val="nil"/>
              <w:bottom w:val="nil"/>
              <w:right w:val="nil"/>
            </w:tcBorders>
            <w:shd w:val="clear" w:color="auto" w:fill="auto"/>
            <w:vAlign w:val="center"/>
            <w:hideMark/>
          </w:tcPr>
          <w:p w14:paraId="7DA85591" w14:textId="77777777" w:rsidR="0090485B" w:rsidRPr="009372FF" w:rsidRDefault="0090485B" w:rsidP="008F07B7">
            <w:pPr>
              <w:rPr>
                <w:rFonts w:ascii="Arial Narrow" w:hAnsi="Arial Narrow" w:cs="Arial"/>
                <w:color w:val="000000"/>
              </w:rPr>
            </w:pPr>
            <w:r w:rsidRPr="009372FF">
              <w:rPr>
                <w:rFonts w:ascii="Arial Narrow" w:hAnsi="Arial Narrow" w:cs="Arial"/>
                <w:color w:val="000000"/>
              </w:rPr>
              <w:t>+/(-)Transfer</w:t>
            </w:r>
            <w:r>
              <w:rPr>
                <w:rFonts w:ascii="Arial Narrow" w:hAnsi="Arial Narrow" w:cs="Arial"/>
                <w:color w:val="000000"/>
              </w:rPr>
              <w:t xml:space="preserve"> </w:t>
            </w:r>
            <w:r w:rsidRPr="009372FF">
              <w:rPr>
                <w:rFonts w:ascii="Arial Narrow" w:hAnsi="Arial Narrow" w:cs="Arial"/>
                <w:color w:val="000000"/>
              </w:rPr>
              <w:t>from/to</w:t>
            </w:r>
            <w:r>
              <w:rPr>
                <w:rFonts w:ascii="Arial Narrow" w:hAnsi="Arial Narrow" w:cs="Arial"/>
                <w:color w:val="000000"/>
              </w:rPr>
              <w:t xml:space="preserve"> </w:t>
            </w:r>
            <w:r w:rsidRPr="009372FF">
              <w:rPr>
                <w:rFonts w:ascii="Arial Narrow" w:hAnsi="Arial Narrow" w:cs="Arial"/>
                <w:color w:val="000000"/>
              </w:rPr>
              <w:t>reserves</w:t>
            </w:r>
          </w:p>
        </w:tc>
        <w:tc>
          <w:tcPr>
            <w:tcW w:w="1727" w:type="dxa"/>
            <w:tcBorders>
              <w:top w:val="nil"/>
              <w:left w:val="nil"/>
              <w:bottom w:val="nil"/>
              <w:right w:val="nil"/>
            </w:tcBorders>
            <w:shd w:val="clear" w:color="auto" w:fill="auto"/>
            <w:vAlign w:val="center"/>
            <w:hideMark/>
          </w:tcPr>
          <w:p w14:paraId="3DE7967C"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7884E1CB"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1CD72548"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r>
      <w:tr w:rsidR="0090485B" w:rsidRPr="009372FF" w14:paraId="19E2ED6B" w14:textId="77777777" w:rsidTr="003727E8">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4D795C5"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3</w:t>
            </w:r>
          </w:p>
        </w:tc>
        <w:tc>
          <w:tcPr>
            <w:tcW w:w="3837" w:type="dxa"/>
            <w:tcBorders>
              <w:top w:val="single" w:sz="4" w:space="0" w:color="AAB8C4"/>
              <w:left w:val="nil"/>
              <w:bottom w:val="single" w:sz="8" w:space="0" w:color="AAB8C4"/>
              <w:right w:val="nil"/>
            </w:tcBorders>
            <w:shd w:val="clear" w:color="auto" w:fill="auto"/>
            <w:vAlign w:val="center"/>
            <w:hideMark/>
          </w:tcPr>
          <w:p w14:paraId="5D995A31" w14:textId="77777777" w:rsidR="0090485B" w:rsidRPr="009372FF" w:rsidRDefault="0090485B" w:rsidP="008F07B7">
            <w:pPr>
              <w:rPr>
                <w:rFonts w:ascii="Arial Narrow" w:hAnsi="Arial Narrow" w:cs="Arial"/>
                <w:color w:val="000000"/>
              </w:rPr>
            </w:pPr>
            <w:r w:rsidRPr="009372FF">
              <w:rPr>
                <w:rFonts w:ascii="Arial Narrow" w:hAnsi="Arial Narrow" w:cs="Arial"/>
                <w:color w:val="000000"/>
              </w:rPr>
              <w:t>Total,</w:t>
            </w:r>
            <w:r>
              <w:rPr>
                <w:rFonts w:ascii="Arial Narrow" w:hAnsi="Arial Narrow" w:cs="Arial"/>
                <w:color w:val="000000"/>
              </w:rPr>
              <w:t xml:space="preserve"> </w:t>
            </w:r>
            <w:r w:rsidRPr="009372FF">
              <w:rPr>
                <w:rFonts w:ascii="Arial Narrow" w:hAnsi="Arial Narrow" w:cs="Arial"/>
                <w:color w:val="000000"/>
              </w:rPr>
              <w:t>resources</w:t>
            </w:r>
          </w:p>
        </w:tc>
        <w:tc>
          <w:tcPr>
            <w:tcW w:w="1727" w:type="dxa"/>
            <w:tcBorders>
              <w:top w:val="single" w:sz="4" w:space="0" w:color="AAB8C4"/>
              <w:left w:val="nil"/>
              <w:bottom w:val="single" w:sz="8" w:space="0" w:color="AAB8C4"/>
              <w:right w:val="nil"/>
            </w:tcBorders>
            <w:shd w:val="clear" w:color="auto" w:fill="auto"/>
            <w:vAlign w:val="center"/>
            <w:hideMark/>
          </w:tcPr>
          <w:p w14:paraId="5F25E968"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6,931</w:t>
            </w:r>
          </w:p>
        </w:tc>
        <w:tc>
          <w:tcPr>
            <w:tcW w:w="1778" w:type="dxa"/>
            <w:tcBorders>
              <w:top w:val="single" w:sz="4" w:space="0" w:color="AAB8C4"/>
              <w:left w:val="nil"/>
              <w:bottom w:val="single" w:sz="8" w:space="0" w:color="AAB8C4"/>
              <w:right w:val="nil"/>
            </w:tcBorders>
            <w:shd w:val="clear" w:color="auto" w:fill="auto"/>
            <w:vAlign w:val="center"/>
            <w:hideMark/>
          </w:tcPr>
          <w:p w14:paraId="4C78324B"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929</w:t>
            </w:r>
          </w:p>
        </w:tc>
        <w:tc>
          <w:tcPr>
            <w:tcW w:w="1905" w:type="dxa"/>
            <w:tcBorders>
              <w:top w:val="single" w:sz="4" w:space="0" w:color="AAB8C4"/>
              <w:left w:val="nil"/>
              <w:bottom w:val="single" w:sz="8" w:space="0" w:color="AAB8C4"/>
              <w:right w:val="nil"/>
            </w:tcBorders>
            <w:shd w:val="clear" w:color="auto" w:fill="auto"/>
            <w:vAlign w:val="center"/>
            <w:hideMark/>
          </w:tcPr>
          <w:p w14:paraId="3A2E3639"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7,860</w:t>
            </w:r>
          </w:p>
        </w:tc>
      </w:tr>
      <w:tr w:rsidR="0090485B" w:rsidRPr="009372FF" w14:paraId="4F7D3025" w14:textId="77777777" w:rsidTr="003727E8">
        <w:trPr>
          <w:trHeight w:val="263"/>
        </w:trPr>
        <w:tc>
          <w:tcPr>
            <w:tcW w:w="482" w:type="dxa"/>
            <w:tcBorders>
              <w:top w:val="nil"/>
              <w:left w:val="nil"/>
              <w:bottom w:val="nil"/>
              <w:right w:val="nil"/>
            </w:tcBorders>
            <w:shd w:val="clear" w:color="auto" w:fill="auto"/>
            <w:vAlign w:val="center"/>
            <w:hideMark/>
          </w:tcPr>
          <w:p w14:paraId="31BAEB01" w14:textId="77777777" w:rsidR="0090485B" w:rsidRPr="009372FF" w:rsidRDefault="0090485B" w:rsidP="008F07B7">
            <w:pPr>
              <w:jc w:val="right"/>
              <w:rPr>
                <w:rFonts w:ascii="Arial Narrow" w:hAnsi="Arial Narrow" w:cs="Arial"/>
                <w:color w:val="000000"/>
              </w:rPr>
            </w:pPr>
          </w:p>
        </w:tc>
        <w:tc>
          <w:tcPr>
            <w:tcW w:w="3837" w:type="dxa"/>
            <w:tcBorders>
              <w:top w:val="nil"/>
              <w:left w:val="nil"/>
              <w:bottom w:val="nil"/>
              <w:right w:val="nil"/>
            </w:tcBorders>
            <w:shd w:val="clear" w:color="auto" w:fill="auto"/>
            <w:vAlign w:val="center"/>
            <w:hideMark/>
          </w:tcPr>
          <w:p w14:paraId="6AD643A0" w14:textId="77777777" w:rsidR="0090485B" w:rsidRPr="009372FF" w:rsidRDefault="0090485B" w:rsidP="008F07B7">
            <w:pPr>
              <w:jc w:val="right"/>
              <w:rPr>
                <w:rFonts w:ascii="Times New Roman" w:hAnsi="Times New Roman"/>
              </w:rPr>
            </w:pPr>
          </w:p>
        </w:tc>
        <w:tc>
          <w:tcPr>
            <w:tcW w:w="1727" w:type="dxa"/>
            <w:tcBorders>
              <w:top w:val="nil"/>
              <w:left w:val="nil"/>
              <w:bottom w:val="nil"/>
              <w:right w:val="nil"/>
            </w:tcBorders>
            <w:shd w:val="clear" w:color="auto" w:fill="auto"/>
            <w:vAlign w:val="center"/>
            <w:hideMark/>
          </w:tcPr>
          <w:p w14:paraId="38ED4F28" w14:textId="77777777" w:rsidR="0090485B" w:rsidRPr="009372FF" w:rsidRDefault="0090485B" w:rsidP="008F07B7">
            <w:pPr>
              <w:jc w:val="right"/>
              <w:rPr>
                <w:rFonts w:ascii="Times New Roman" w:hAnsi="Times New Roman"/>
              </w:rPr>
            </w:pPr>
          </w:p>
        </w:tc>
        <w:tc>
          <w:tcPr>
            <w:tcW w:w="1778" w:type="dxa"/>
            <w:tcBorders>
              <w:top w:val="nil"/>
              <w:left w:val="nil"/>
              <w:bottom w:val="nil"/>
              <w:right w:val="nil"/>
            </w:tcBorders>
            <w:shd w:val="clear" w:color="auto" w:fill="auto"/>
            <w:vAlign w:val="center"/>
            <w:hideMark/>
          </w:tcPr>
          <w:p w14:paraId="03027918" w14:textId="77777777" w:rsidR="0090485B" w:rsidRPr="009372FF" w:rsidRDefault="0090485B" w:rsidP="008F07B7">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10EC2CBE" w14:textId="77777777" w:rsidR="0090485B" w:rsidRPr="009372FF" w:rsidRDefault="0090485B" w:rsidP="008F07B7">
            <w:pPr>
              <w:jc w:val="right"/>
              <w:rPr>
                <w:rFonts w:ascii="Times New Roman" w:hAnsi="Times New Roman"/>
              </w:rPr>
            </w:pPr>
          </w:p>
        </w:tc>
      </w:tr>
      <w:tr w:rsidR="0090485B" w:rsidRPr="009372FF" w14:paraId="3099623F" w14:textId="77777777" w:rsidTr="008F07B7">
        <w:trPr>
          <w:trHeight w:val="349"/>
        </w:trPr>
        <w:tc>
          <w:tcPr>
            <w:tcW w:w="4319" w:type="dxa"/>
            <w:gridSpan w:val="2"/>
            <w:tcBorders>
              <w:top w:val="nil"/>
              <w:left w:val="nil"/>
              <w:bottom w:val="nil"/>
              <w:right w:val="nil"/>
            </w:tcBorders>
            <w:shd w:val="clear" w:color="auto" w:fill="auto"/>
            <w:vAlign w:val="center"/>
            <w:hideMark/>
          </w:tcPr>
          <w:p w14:paraId="10ACD1FD" w14:textId="77777777" w:rsidR="0090485B" w:rsidRPr="009372FF" w:rsidRDefault="0090485B" w:rsidP="008F07B7">
            <w:pPr>
              <w:rPr>
                <w:rFonts w:ascii="Arial Narrow" w:hAnsi="Arial Narrow" w:cs="Arial"/>
                <w:b/>
                <w:bCs/>
                <w:color w:val="000000"/>
              </w:rPr>
            </w:pPr>
            <w:r w:rsidRPr="009372FF">
              <w:rPr>
                <w:rFonts w:ascii="Arial Narrow" w:hAnsi="Arial Narrow" w:cs="Arial"/>
                <w:b/>
                <w:bCs/>
                <w:color w:val="000000"/>
              </w:rPr>
              <w:t xml:space="preserve">Resource availability </w:t>
            </w:r>
            <w:r>
              <w:rPr>
                <w:rFonts w:ascii="Arial Narrow" w:hAnsi="Arial Narrow" w:cs="Arial"/>
                <w:b/>
                <w:bCs/>
                <w:color w:val="000000"/>
              </w:rPr>
              <w:t>2022</w:t>
            </w:r>
            <w:r>
              <w:rPr>
                <w:rFonts w:ascii="Arial Narrow" w:hAnsi="Arial Narrow" w:cs="Arial"/>
                <w:b/>
                <w:bCs/>
                <w:color w:val="000000"/>
              </w:rPr>
              <w:noBreakHyphen/>
              <w:t>2023</w:t>
            </w:r>
          </w:p>
        </w:tc>
        <w:tc>
          <w:tcPr>
            <w:tcW w:w="1727" w:type="dxa"/>
            <w:tcBorders>
              <w:top w:val="nil"/>
              <w:left w:val="nil"/>
              <w:bottom w:val="nil"/>
              <w:right w:val="nil"/>
            </w:tcBorders>
            <w:shd w:val="clear" w:color="auto" w:fill="auto"/>
            <w:vAlign w:val="center"/>
            <w:hideMark/>
          </w:tcPr>
          <w:p w14:paraId="51008285" w14:textId="77777777" w:rsidR="0090485B" w:rsidRPr="009372FF" w:rsidRDefault="0090485B" w:rsidP="008F07B7">
            <w:pPr>
              <w:jc w:val="right"/>
              <w:rPr>
                <w:rFonts w:ascii="Arial Narrow" w:hAnsi="Arial Narrow" w:cs="Arial"/>
                <w:b/>
                <w:bCs/>
                <w:color w:val="000000"/>
              </w:rPr>
            </w:pPr>
          </w:p>
        </w:tc>
        <w:tc>
          <w:tcPr>
            <w:tcW w:w="1778" w:type="dxa"/>
            <w:tcBorders>
              <w:top w:val="nil"/>
              <w:left w:val="nil"/>
              <w:bottom w:val="nil"/>
              <w:right w:val="nil"/>
            </w:tcBorders>
            <w:shd w:val="clear" w:color="auto" w:fill="auto"/>
            <w:vAlign w:val="center"/>
            <w:hideMark/>
          </w:tcPr>
          <w:p w14:paraId="1B9BF738" w14:textId="77777777" w:rsidR="0090485B" w:rsidRPr="009372FF" w:rsidRDefault="0090485B" w:rsidP="008F07B7">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4967DD16" w14:textId="77777777" w:rsidR="0090485B" w:rsidRPr="009372FF" w:rsidRDefault="0090485B" w:rsidP="008F07B7">
            <w:pPr>
              <w:jc w:val="right"/>
              <w:rPr>
                <w:rFonts w:ascii="Times New Roman" w:hAnsi="Times New Roman"/>
              </w:rPr>
            </w:pPr>
          </w:p>
        </w:tc>
      </w:tr>
      <w:tr w:rsidR="0090485B" w:rsidRPr="009372FF" w14:paraId="1FE6D140" w14:textId="77777777" w:rsidTr="003727E8">
        <w:trPr>
          <w:trHeight w:val="349"/>
        </w:trPr>
        <w:tc>
          <w:tcPr>
            <w:tcW w:w="482" w:type="dxa"/>
            <w:tcBorders>
              <w:top w:val="nil"/>
              <w:left w:val="nil"/>
              <w:bottom w:val="nil"/>
              <w:right w:val="nil"/>
            </w:tcBorders>
            <w:shd w:val="clear" w:color="auto" w:fill="auto"/>
            <w:vAlign w:val="center"/>
            <w:hideMark/>
          </w:tcPr>
          <w:p w14:paraId="075AC8C8"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4</w:t>
            </w:r>
          </w:p>
        </w:tc>
        <w:tc>
          <w:tcPr>
            <w:tcW w:w="3837" w:type="dxa"/>
            <w:tcBorders>
              <w:top w:val="nil"/>
              <w:left w:val="nil"/>
              <w:bottom w:val="nil"/>
              <w:right w:val="nil"/>
            </w:tcBorders>
            <w:shd w:val="clear" w:color="auto" w:fill="auto"/>
            <w:vAlign w:val="center"/>
            <w:hideMark/>
          </w:tcPr>
          <w:p w14:paraId="40D5557B" w14:textId="77777777" w:rsidR="0090485B" w:rsidRPr="009372FF" w:rsidRDefault="0090485B" w:rsidP="008F07B7">
            <w:pPr>
              <w:rPr>
                <w:rFonts w:ascii="Arial Narrow" w:hAnsi="Arial Narrow" w:cs="Arial"/>
                <w:color w:val="000000"/>
              </w:rPr>
            </w:pPr>
            <w:r w:rsidRPr="009372FF">
              <w:rPr>
                <w:rFonts w:ascii="Arial Narrow" w:hAnsi="Arial Narrow" w:cs="Arial"/>
                <w:color w:val="000000"/>
              </w:rPr>
              <w:t>Income</w:t>
            </w:r>
          </w:p>
        </w:tc>
        <w:tc>
          <w:tcPr>
            <w:tcW w:w="1727" w:type="dxa"/>
            <w:tcBorders>
              <w:top w:val="nil"/>
              <w:left w:val="nil"/>
              <w:bottom w:val="nil"/>
              <w:right w:val="nil"/>
            </w:tcBorders>
            <w:shd w:val="clear" w:color="auto" w:fill="auto"/>
            <w:vAlign w:val="center"/>
            <w:hideMark/>
          </w:tcPr>
          <w:p w14:paraId="533D2BB2"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7,635</w:t>
            </w:r>
          </w:p>
        </w:tc>
        <w:tc>
          <w:tcPr>
            <w:tcW w:w="1778" w:type="dxa"/>
            <w:tcBorders>
              <w:top w:val="nil"/>
              <w:left w:val="nil"/>
              <w:bottom w:val="nil"/>
              <w:right w:val="nil"/>
            </w:tcBorders>
            <w:shd w:val="clear" w:color="auto" w:fill="auto"/>
            <w:vAlign w:val="center"/>
            <w:hideMark/>
          </w:tcPr>
          <w:p w14:paraId="6CC22799"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965</w:t>
            </w:r>
          </w:p>
        </w:tc>
        <w:tc>
          <w:tcPr>
            <w:tcW w:w="1905" w:type="dxa"/>
            <w:tcBorders>
              <w:top w:val="nil"/>
              <w:left w:val="nil"/>
              <w:bottom w:val="nil"/>
              <w:right w:val="nil"/>
            </w:tcBorders>
            <w:shd w:val="clear" w:color="auto" w:fill="auto"/>
            <w:vAlign w:val="center"/>
            <w:hideMark/>
          </w:tcPr>
          <w:p w14:paraId="6F7613E9"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8,600</w:t>
            </w:r>
          </w:p>
        </w:tc>
      </w:tr>
      <w:tr w:rsidR="0090485B" w:rsidRPr="009372FF" w14:paraId="3BF3B884" w14:textId="77777777" w:rsidTr="003727E8">
        <w:trPr>
          <w:trHeight w:val="349"/>
        </w:trPr>
        <w:tc>
          <w:tcPr>
            <w:tcW w:w="482" w:type="dxa"/>
            <w:tcBorders>
              <w:top w:val="nil"/>
              <w:left w:val="nil"/>
              <w:bottom w:val="nil"/>
              <w:right w:val="nil"/>
            </w:tcBorders>
            <w:shd w:val="clear" w:color="auto" w:fill="auto"/>
            <w:vAlign w:val="center"/>
            <w:hideMark/>
          </w:tcPr>
          <w:p w14:paraId="74F6449C"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5</w:t>
            </w:r>
          </w:p>
        </w:tc>
        <w:tc>
          <w:tcPr>
            <w:tcW w:w="3837" w:type="dxa"/>
            <w:tcBorders>
              <w:top w:val="nil"/>
              <w:left w:val="nil"/>
              <w:bottom w:val="nil"/>
              <w:right w:val="nil"/>
            </w:tcBorders>
            <w:shd w:val="clear" w:color="auto" w:fill="auto"/>
            <w:vAlign w:val="center"/>
            <w:hideMark/>
          </w:tcPr>
          <w:p w14:paraId="26B31600" w14:textId="77777777" w:rsidR="0090485B" w:rsidRPr="009372FF" w:rsidRDefault="0090485B" w:rsidP="008F07B7">
            <w:pPr>
              <w:rPr>
                <w:rFonts w:ascii="Arial Narrow" w:hAnsi="Arial Narrow" w:cs="Arial"/>
                <w:color w:val="000000"/>
              </w:rPr>
            </w:pPr>
            <w:r w:rsidRPr="009372FF">
              <w:rPr>
                <w:rFonts w:ascii="Arial Narrow" w:hAnsi="Arial Narrow" w:cs="Arial"/>
                <w:color w:val="000000"/>
              </w:rPr>
              <w:t>+/(-)Transfer</w:t>
            </w:r>
            <w:r>
              <w:rPr>
                <w:rFonts w:ascii="Arial Narrow" w:hAnsi="Arial Narrow" w:cs="Arial"/>
                <w:color w:val="000000"/>
              </w:rPr>
              <w:t xml:space="preserve"> </w:t>
            </w:r>
            <w:r w:rsidRPr="009372FF">
              <w:rPr>
                <w:rFonts w:ascii="Arial Narrow" w:hAnsi="Arial Narrow" w:cs="Arial"/>
                <w:color w:val="000000"/>
              </w:rPr>
              <w:t>from/to</w:t>
            </w:r>
            <w:r>
              <w:rPr>
                <w:rFonts w:ascii="Arial Narrow" w:hAnsi="Arial Narrow" w:cs="Arial"/>
                <w:color w:val="000000"/>
              </w:rPr>
              <w:t xml:space="preserve"> </w:t>
            </w:r>
            <w:r w:rsidRPr="009372FF">
              <w:rPr>
                <w:rFonts w:ascii="Arial Narrow" w:hAnsi="Arial Narrow" w:cs="Arial"/>
                <w:color w:val="000000"/>
              </w:rPr>
              <w:t>reserves</w:t>
            </w:r>
          </w:p>
        </w:tc>
        <w:tc>
          <w:tcPr>
            <w:tcW w:w="1727" w:type="dxa"/>
            <w:tcBorders>
              <w:top w:val="nil"/>
              <w:left w:val="nil"/>
              <w:bottom w:val="nil"/>
              <w:right w:val="nil"/>
            </w:tcBorders>
            <w:shd w:val="clear" w:color="auto" w:fill="auto"/>
            <w:vAlign w:val="center"/>
            <w:hideMark/>
          </w:tcPr>
          <w:p w14:paraId="3F5FC542"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581F44D9"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42A12ACC" w14:textId="77777777" w:rsidR="0090485B" w:rsidRPr="009372FF" w:rsidRDefault="0090485B" w:rsidP="008F07B7">
            <w:pPr>
              <w:jc w:val="right"/>
              <w:rPr>
                <w:rFonts w:ascii="Arial Narrow" w:hAnsi="Arial Narrow" w:cs="Arial"/>
                <w:color w:val="000000"/>
              </w:rPr>
            </w:pPr>
            <w:r w:rsidRPr="009372FF">
              <w:rPr>
                <w:rFonts w:ascii="Arial Narrow" w:hAnsi="Arial Narrow" w:cs="Arial"/>
                <w:color w:val="000000"/>
              </w:rPr>
              <w:t>-</w:t>
            </w:r>
          </w:p>
        </w:tc>
      </w:tr>
      <w:tr w:rsidR="0090485B" w:rsidRPr="009372FF" w14:paraId="51A14AC1" w14:textId="77777777" w:rsidTr="003727E8">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0FFA62B8" w14:textId="77777777" w:rsidR="0090485B" w:rsidRPr="009372FF" w:rsidRDefault="0090485B" w:rsidP="008F07B7">
            <w:pPr>
              <w:jc w:val="right"/>
              <w:rPr>
                <w:rFonts w:ascii="Arial Narrow" w:hAnsi="Arial Narrow" w:cs="Arial"/>
                <w:b/>
                <w:bCs/>
                <w:color w:val="000000"/>
              </w:rPr>
            </w:pPr>
            <w:r w:rsidRPr="009372FF">
              <w:rPr>
                <w:rFonts w:ascii="Arial Narrow" w:hAnsi="Arial Narrow" w:cs="Arial"/>
                <w:b/>
                <w:bCs/>
                <w:color w:val="000000"/>
              </w:rPr>
              <w:t>6</w:t>
            </w:r>
          </w:p>
        </w:tc>
        <w:tc>
          <w:tcPr>
            <w:tcW w:w="3837" w:type="dxa"/>
            <w:tcBorders>
              <w:top w:val="single" w:sz="4" w:space="0" w:color="AAB8C4"/>
              <w:left w:val="nil"/>
              <w:bottom w:val="single" w:sz="8" w:space="0" w:color="AAB8C4"/>
              <w:right w:val="nil"/>
            </w:tcBorders>
            <w:shd w:val="clear" w:color="auto" w:fill="auto"/>
            <w:vAlign w:val="center"/>
            <w:hideMark/>
          </w:tcPr>
          <w:p w14:paraId="13A9DA41" w14:textId="77777777" w:rsidR="0090485B" w:rsidRPr="009372FF" w:rsidRDefault="0090485B" w:rsidP="008F07B7">
            <w:pPr>
              <w:rPr>
                <w:rFonts w:ascii="Arial Narrow" w:hAnsi="Arial Narrow" w:cs="Arial"/>
                <w:b/>
                <w:bCs/>
                <w:color w:val="000000"/>
              </w:rPr>
            </w:pPr>
            <w:r w:rsidRPr="009372FF">
              <w:rPr>
                <w:rFonts w:ascii="Arial Narrow" w:hAnsi="Arial Narrow" w:cs="Arial"/>
                <w:b/>
                <w:bCs/>
                <w:color w:val="000000"/>
              </w:rPr>
              <w:t>Total,</w:t>
            </w:r>
            <w:r>
              <w:rPr>
                <w:rFonts w:ascii="Arial Narrow" w:hAnsi="Arial Narrow" w:cs="Arial"/>
                <w:b/>
                <w:bCs/>
                <w:color w:val="000000"/>
              </w:rPr>
              <w:t xml:space="preserve"> </w:t>
            </w:r>
            <w:r w:rsidRPr="009372FF">
              <w:rPr>
                <w:rFonts w:ascii="Arial Narrow" w:hAnsi="Arial Narrow" w:cs="Arial"/>
                <w:b/>
                <w:bCs/>
                <w:color w:val="000000"/>
              </w:rPr>
              <w:t>resources</w:t>
            </w:r>
          </w:p>
        </w:tc>
        <w:tc>
          <w:tcPr>
            <w:tcW w:w="1727" w:type="dxa"/>
            <w:tcBorders>
              <w:top w:val="single" w:sz="4" w:space="0" w:color="AAB8C4"/>
              <w:left w:val="nil"/>
              <w:bottom w:val="single" w:sz="8" w:space="0" w:color="AAB8C4"/>
              <w:right w:val="nil"/>
            </w:tcBorders>
            <w:shd w:val="clear" w:color="auto" w:fill="auto"/>
            <w:vAlign w:val="center"/>
            <w:hideMark/>
          </w:tcPr>
          <w:p w14:paraId="7626A5EF" w14:textId="77777777" w:rsidR="0090485B" w:rsidRPr="009372FF" w:rsidRDefault="0090485B" w:rsidP="008F07B7">
            <w:pPr>
              <w:jc w:val="right"/>
              <w:rPr>
                <w:rFonts w:ascii="Arial Narrow" w:hAnsi="Arial Narrow" w:cs="Arial"/>
                <w:b/>
                <w:bCs/>
                <w:color w:val="000000"/>
              </w:rPr>
            </w:pPr>
            <w:r w:rsidRPr="009372FF">
              <w:rPr>
                <w:rFonts w:ascii="Arial Narrow" w:hAnsi="Arial Narrow" w:cs="Arial"/>
                <w:b/>
                <w:bCs/>
                <w:color w:val="000000"/>
              </w:rPr>
              <w:t>7,635</w:t>
            </w:r>
          </w:p>
        </w:tc>
        <w:tc>
          <w:tcPr>
            <w:tcW w:w="1778" w:type="dxa"/>
            <w:tcBorders>
              <w:top w:val="single" w:sz="4" w:space="0" w:color="AAB8C4"/>
              <w:left w:val="nil"/>
              <w:bottom w:val="single" w:sz="8" w:space="0" w:color="AAB8C4"/>
              <w:right w:val="nil"/>
            </w:tcBorders>
            <w:shd w:val="clear" w:color="auto" w:fill="auto"/>
            <w:vAlign w:val="center"/>
            <w:hideMark/>
          </w:tcPr>
          <w:p w14:paraId="43B8B61D" w14:textId="77777777" w:rsidR="0090485B" w:rsidRPr="009372FF" w:rsidRDefault="0090485B" w:rsidP="008F07B7">
            <w:pPr>
              <w:jc w:val="right"/>
              <w:rPr>
                <w:rFonts w:ascii="Arial Narrow" w:hAnsi="Arial Narrow" w:cs="Arial"/>
                <w:b/>
                <w:bCs/>
                <w:color w:val="000000"/>
              </w:rPr>
            </w:pPr>
            <w:r w:rsidRPr="009372FF">
              <w:rPr>
                <w:rFonts w:ascii="Arial Narrow" w:hAnsi="Arial Narrow" w:cs="Arial"/>
                <w:b/>
                <w:bCs/>
                <w:color w:val="000000"/>
              </w:rPr>
              <w:t>965</w:t>
            </w:r>
          </w:p>
        </w:tc>
        <w:tc>
          <w:tcPr>
            <w:tcW w:w="1905" w:type="dxa"/>
            <w:tcBorders>
              <w:top w:val="single" w:sz="4" w:space="0" w:color="AAB8C4"/>
              <w:left w:val="nil"/>
              <w:bottom w:val="single" w:sz="8" w:space="0" w:color="AAB8C4"/>
              <w:right w:val="nil"/>
            </w:tcBorders>
            <w:shd w:val="clear" w:color="auto" w:fill="auto"/>
            <w:vAlign w:val="center"/>
            <w:hideMark/>
          </w:tcPr>
          <w:p w14:paraId="202F4CC8" w14:textId="77777777" w:rsidR="0090485B" w:rsidRPr="009372FF" w:rsidRDefault="0090485B" w:rsidP="008F07B7">
            <w:pPr>
              <w:jc w:val="right"/>
              <w:rPr>
                <w:rFonts w:ascii="Arial Narrow" w:hAnsi="Arial Narrow" w:cs="Arial"/>
                <w:b/>
                <w:bCs/>
                <w:color w:val="000000"/>
              </w:rPr>
            </w:pPr>
            <w:r w:rsidRPr="009372FF">
              <w:rPr>
                <w:rFonts w:ascii="Arial Narrow" w:hAnsi="Arial Narrow" w:cs="Arial"/>
                <w:b/>
                <w:bCs/>
                <w:color w:val="000000"/>
              </w:rPr>
              <w:t>8,600</w:t>
            </w:r>
          </w:p>
        </w:tc>
      </w:tr>
      <w:tr w:rsidR="0090485B" w:rsidRPr="009372FF" w14:paraId="14B4B8B7" w14:textId="77777777" w:rsidTr="003727E8">
        <w:trPr>
          <w:trHeight w:val="334"/>
        </w:trPr>
        <w:tc>
          <w:tcPr>
            <w:tcW w:w="482" w:type="dxa"/>
            <w:tcBorders>
              <w:top w:val="nil"/>
              <w:left w:val="nil"/>
              <w:bottom w:val="nil"/>
              <w:right w:val="nil"/>
            </w:tcBorders>
            <w:shd w:val="clear" w:color="auto" w:fill="auto"/>
            <w:hideMark/>
          </w:tcPr>
          <w:p w14:paraId="33BDAD80" w14:textId="77777777" w:rsidR="0090485B" w:rsidRPr="009372FF" w:rsidRDefault="0090485B" w:rsidP="008F07B7">
            <w:pPr>
              <w:jc w:val="right"/>
              <w:rPr>
                <w:rFonts w:ascii="Arial Narrow" w:hAnsi="Arial Narrow" w:cs="Arial"/>
                <w:b/>
                <w:bCs/>
                <w:color w:val="000000"/>
              </w:rPr>
            </w:pPr>
          </w:p>
        </w:tc>
        <w:tc>
          <w:tcPr>
            <w:tcW w:w="3837" w:type="dxa"/>
            <w:tcBorders>
              <w:top w:val="nil"/>
              <w:left w:val="nil"/>
              <w:bottom w:val="nil"/>
              <w:right w:val="nil"/>
            </w:tcBorders>
            <w:shd w:val="clear" w:color="auto" w:fill="auto"/>
            <w:vAlign w:val="center"/>
            <w:hideMark/>
          </w:tcPr>
          <w:p w14:paraId="0EB5C3BF" w14:textId="77777777" w:rsidR="0090485B" w:rsidRPr="009372FF" w:rsidRDefault="0090485B" w:rsidP="008F07B7">
            <w:pPr>
              <w:rPr>
                <w:rFonts w:ascii="Arial Narrow" w:hAnsi="Arial Narrow" w:cs="Arial"/>
                <w:i/>
                <w:iCs/>
                <w:color w:val="000000"/>
              </w:rPr>
            </w:pPr>
            <w:r w:rsidRPr="009372FF">
              <w:rPr>
                <w:rFonts w:ascii="Arial Narrow" w:hAnsi="Arial Narrow" w:cs="Arial"/>
                <w:i/>
                <w:iCs/>
                <w:color w:val="000000"/>
              </w:rPr>
              <w:t>Variation</w:t>
            </w:r>
          </w:p>
        </w:tc>
        <w:tc>
          <w:tcPr>
            <w:tcW w:w="1727" w:type="dxa"/>
            <w:tcBorders>
              <w:top w:val="nil"/>
              <w:left w:val="nil"/>
              <w:bottom w:val="nil"/>
              <w:right w:val="nil"/>
            </w:tcBorders>
            <w:shd w:val="clear" w:color="auto" w:fill="auto"/>
            <w:vAlign w:val="center"/>
            <w:hideMark/>
          </w:tcPr>
          <w:p w14:paraId="6E232B5C" w14:textId="77777777" w:rsidR="0090485B" w:rsidRPr="009372FF" w:rsidRDefault="0090485B" w:rsidP="008F07B7">
            <w:pPr>
              <w:jc w:val="right"/>
              <w:rPr>
                <w:rFonts w:ascii="Arial Narrow" w:hAnsi="Arial Narrow" w:cs="Arial"/>
                <w:i/>
                <w:iCs/>
                <w:color w:val="000000"/>
              </w:rPr>
            </w:pPr>
            <w:r w:rsidRPr="009372FF">
              <w:rPr>
                <w:rFonts w:ascii="Arial Narrow" w:hAnsi="Arial Narrow" w:cs="Arial"/>
                <w:i/>
                <w:iCs/>
                <w:color w:val="000000"/>
              </w:rPr>
              <w:t>10.2%</w:t>
            </w:r>
          </w:p>
        </w:tc>
        <w:tc>
          <w:tcPr>
            <w:tcW w:w="1778" w:type="dxa"/>
            <w:tcBorders>
              <w:top w:val="nil"/>
              <w:left w:val="nil"/>
              <w:bottom w:val="nil"/>
              <w:right w:val="nil"/>
            </w:tcBorders>
            <w:shd w:val="clear" w:color="auto" w:fill="auto"/>
            <w:vAlign w:val="center"/>
            <w:hideMark/>
          </w:tcPr>
          <w:p w14:paraId="5643525F" w14:textId="77777777" w:rsidR="0090485B" w:rsidRPr="009372FF" w:rsidRDefault="0090485B" w:rsidP="008F07B7">
            <w:pPr>
              <w:jc w:val="right"/>
              <w:rPr>
                <w:rFonts w:ascii="Arial Narrow" w:hAnsi="Arial Narrow" w:cs="Arial"/>
                <w:i/>
                <w:iCs/>
                <w:color w:val="000000"/>
              </w:rPr>
            </w:pPr>
          </w:p>
        </w:tc>
        <w:tc>
          <w:tcPr>
            <w:tcW w:w="1905" w:type="dxa"/>
            <w:tcBorders>
              <w:top w:val="nil"/>
              <w:left w:val="nil"/>
              <w:bottom w:val="nil"/>
              <w:right w:val="nil"/>
            </w:tcBorders>
            <w:shd w:val="clear" w:color="auto" w:fill="auto"/>
            <w:vAlign w:val="center"/>
            <w:hideMark/>
          </w:tcPr>
          <w:p w14:paraId="6FBBDA5B" w14:textId="77777777" w:rsidR="0090485B" w:rsidRPr="009372FF" w:rsidRDefault="0090485B" w:rsidP="008F07B7">
            <w:pPr>
              <w:jc w:val="right"/>
              <w:rPr>
                <w:rFonts w:ascii="Arial Narrow" w:hAnsi="Arial Narrow" w:cs="Arial"/>
                <w:i/>
                <w:iCs/>
                <w:color w:val="000000"/>
              </w:rPr>
            </w:pPr>
            <w:r w:rsidRPr="009372FF">
              <w:rPr>
                <w:rFonts w:ascii="Arial Narrow" w:hAnsi="Arial Narrow" w:cs="Arial"/>
                <w:i/>
                <w:iCs/>
                <w:color w:val="000000"/>
              </w:rPr>
              <w:t>9.4%</w:t>
            </w:r>
          </w:p>
        </w:tc>
      </w:tr>
    </w:tbl>
    <w:p w14:paraId="741F0E6F" w14:textId="77777777" w:rsidR="0090485B" w:rsidRPr="003727E8" w:rsidRDefault="003727E8" w:rsidP="003727E8">
      <w:pPr>
        <w:spacing w:before="120"/>
        <w:rPr>
          <w:sz w:val="16"/>
        </w:rPr>
      </w:pPr>
      <w:r w:rsidRPr="003727E8">
        <w:rPr>
          <w:sz w:val="16"/>
        </w:rPr>
        <w:t>* Excluding administrative support costs of 13% under the Funds-in-Trust (FITs).</w:t>
      </w:r>
    </w:p>
    <w:p w14:paraId="66799CE0" w14:textId="77777777" w:rsidR="0090485B" w:rsidRDefault="0090485B" w:rsidP="0090485B"/>
    <w:p w14:paraId="62843496" w14:textId="77777777" w:rsidR="003727E8" w:rsidRPr="00FD6CDA" w:rsidRDefault="003727E8" w:rsidP="0090485B"/>
    <w:p w14:paraId="04E237F6" w14:textId="77777777" w:rsidR="0090485B" w:rsidRPr="00C20F3E" w:rsidRDefault="0090485B" w:rsidP="0090485B">
      <w:pPr>
        <w:pStyle w:val="Heading3"/>
      </w:pPr>
      <w:bookmarkStart w:id="493" w:name="_Toc77931056"/>
      <w:r w:rsidRPr="00C20F3E">
        <w:t>Expenditure</w:t>
      </w:r>
      <w:bookmarkEnd w:id="493"/>
    </w:p>
    <w:p w14:paraId="75898732" w14:textId="77777777" w:rsidR="0090485B" w:rsidRDefault="0090485B" w:rsidP="0090485B">
      <w:pPr>
        <w:tabs>
          <w:tab w:val="left" w:pos="567"/>
        </w:tabs>
        <w:rPr>
          <w:b/>
        </w:rPr>
      </w:pPr>
    </w:p>
    <w:p w14:paraId="38147729" w14:textId="77777777" w:rsidR="0090485B" w:rsidRDefault="0090485B" w:rsidP="0090485B">
      <w:pPr>
        <w:tabs>
          <w:tab w:val="left" w:pos="567"/>
        </w:tabs>
      </w:pPr>
      <w:r w:rsidRPr="00115442">
        <w:t xml:space="preserve">The proposed budget for </w:t>
      </w:r>
      <w:r>
        <w:rPr>
          <w:snapToGrid w:val="0"/>
          <w:spacing w:val="-2"/>
          <w:szCs w:val="24"/>
        </w:rPr>
        <w:t>2022</w:t>
      </w:r>
      <w:r>
        <w:rPr>
          <w:snapToGrid w:val="0"/>
          <w:spacing w:val="-2"/>
          <w:szCs w:val="24"/>
        </w:rPr>
        <w:noBreakHyphen/>
        <w:t>2023</w:t>
      </w:r>
      <w:r w:rsidRPr="00115442">
        <w:rPr>
          <w:snapToGrid w:val="0"/>
          <w:spacing w:val="-2"/>
          <w:szCs w:val="24"/>
        </w:rPr>
        <w:t xml:space="preserve"> </w:t>
      </w:r>
      <w:r>
        <w:t>amounts to</w:t>
      </w:r>
      <w:r w:rsidRPr="00115442">
        <w:t xml:space="preserve"> </w:t>
      </w:r>
      <w:r w:rsidRPr="00C20F3E">
        <w:rPr>
          <w:spacing w:val="-2"/>
          <w:szCs w:val="24"/>
        </w:rPr>
        <w:t>7,634,500</w:t>
      </w:r>
      <w:r w:rsidRPr="00115442">
        <w:rPr>
          <w:spacing w:val="-2"/>
          <w:szCs w:val="24"/>
        </w:rPr>
        <w:t> Swiss francs</w:t>
      </w:r>
      <w:r w:rsidRPr="00115442">
        <w:t xml:space="preserve">, </w:t>
      </w:r>
      <w:r>
        <w:t xml:space="preserve">representing </w:t>
      </w:r>
      <w:r w:rsidRPr="00115442">
        <w:t xml:space="preserve">an increase of </w:t>
      </w:r>
      <w:r w:rsidRPr="00C20F3E">
        <w:rPr>
          <w:spacing w:val="-2"/>
          <w:szCs w:val="24"/>
        </w:rPr>
        <w:t>287,215</w:t>
      </w:r>
      <w:r>
        <w:rPr>
          <w:spacing w:val="-2"/>
          <w:szCs w:val="24"/>
        </w:rPr>
        <w:t> </w:t>
      </w:r>
      <w:r w:rsidRPr="00115442">
        <w:rPr>
          <w:spacing w:val="-2"/>
          <w:szCs w:val="24"/>
        </w:rPr>
        <w:t>Swiss francs</w:t>
      </w:r>
      <w:r w:rsidRPr="00115442">
        <w:t xml:space="preserve">, or </w:t>
      </w:r>
      <w:r w:rsidRPr="00C20F3E">
        <w:rPr>
          <w:spacing w:val="-2"/>
          <w:szCs w:val="24"/>
        </w:rPr>
        <w:t>3.9</w:t>
      </w:r>
      <w:r>
        <w:rPr>
          <w:spacing w:val="-2"/>
          <w:szCs w:val="24"/>
        </w:rPr>
        <w:t> per cent</w:t>
      </w:r>
      <w:r w:rsidRPr="00115442">
        <w:t xml:space="preserve"> compared to the </w:t>
      </w:r>
      <w:r w:rsidRPr="00115442">
        <w:rPr>
          <w:snapToGrid w:val="0"/>
          <w:spacing w:val="-2"/>
          <w:szCs w:val="24"/>
        </w:rPr>
        <w:t>2020­2021</w:t>
      </w:r>
      <w:r w:rsidRPr="00115442">
        <w:t xml:space="preserve"> budget (see Table 4).</w:t>
      </w:r>
    </w:p>
    <w:p w14:paraId="042C2C40" w14:textId="77777777" w:rsidR="0090485B" w:rsidRDefault="0090485B" w:rsidP="0090485B">
      <w:pPr>
        <w:tabs>
          <w:tab w:val="left" w:pos="567"/>
        </w:tabs>
      </w:pPr>
    </w:p>
    <w:p w14:paraId="2DAA4A40" w14:textId="77777777" w:rsidR="0090485B" w:rsidRDefault="0090485B" w:rsidP="0090485B">
      <w:pPr>
        <w:pStyle w:val="ListParagraph"/>
        <w:tabs>
          <w:tab w:val="left" w:pos="851"/>
        </w:tabs>
        <w:ind w:left="0"/>
        <w:contextualSpacing w:val="0"/>
      </w:pPr>
      <w:r w:rsidRPr="00421986">
        <w:t>Restriction in mobility as a result of the COVID-19 pandemic ha</w:t>
      </w:r>
      <w:r>
        <w:t xml:space="preserve">s </w:t>
      </w:r>
      <w:r w:rsidRPr="00421986">
        <w:t xml:space="preserve">revealed opportunities to reduce travel costs while increasing access and assistance to members of </w:t>
      </w:r>
      <w:r>
        <w:t>the Union</w:t>
      </w:r>
      <w:r w:rsidRPr="00421986">
        <w:t xml:space="preserve"> and stakeholders.  One aim in the </w:t>
      </w:r>
      <w:r>
        <w:t>2022</w:t>
      </w:r>
      <w:r>
        <w:noBreakHyphen/>
        <w:t>2023 b</w:t>
      </w:r>
      <w:r w:rsidRPr="00421986">
        <w:t>iennium will be to divert financial resources from travel costs to enable investment in new forms of</w:t>
      </w:r>
      <w:r>
        <w:t xml:space="preserve"> assistance</w:t>
      </w:r>
      <w:r w:rsidRPr="00421986">
        <w:t>.</w:t>
      </w:r>
    </w:p>
    <w:p w14:paraId="78EF3929" w14:textId="77777777" w:rsidR="0090485B" w:rsidRDefault="0090485B" w:rsidP="0090485B">
      <w:pPr>
        <w:pStyle w:val="ListParagraph"/>
        <w:tabs>
          <w:tab w:val="left" w:pos="851"/>
        </w:tabs>
        <w:ind w:left="0"/>
        <w:contextualSpacing w:val="0"/>
      </w:pPr>
    </w:p>
    <w:p w14:paraId="0C70D7C7" w14:textId="77777777" w:rsidR="0090485B" w:rsidRDefault="0090485B" w:rsidP="0090485B">
      <w:pPr>
        <w:pStyle w:val="ListParagraph"/>
        <w:tabs>
          <w:tab w:val="left" w:pos="851"/>
        </w:tabs>
        <w:ind w:left="0"/>
        <w:contextualSpacing w:val="0"/>
      </w:pPr>
      <w:r w:rsidRPr="00421986">
        <w:t xml:space="preserve">In accordance with the Strategic Business Plan 2021-2025 (see document CC/97/3, Annex II), it is planned that </w:t>
      </w:r>
      <w:r>
        <w:t>a</w:t>
      </w:r>
      <w:r w:rsidRPr="00421986">
        <w:t xml:space="preserve"> package of compatible tools will be further developed in the </w:t>
      </w:r>
      <w:r>
        <w:t>2022</w:t>
      </w:r>
      <w:r>
        <w:noBreakHyphen/>
        <w:t>2023</w:t>
      </w:r>
      <w:r w:rsidRPr="00421986">
        <w:t xml:space="preserve"> </w:t>
      </w:r>
      <w:r>
        <w:t>b</w:t>
      </w:r>
      <w:r w:rsidRPr="00421986">
        <w:t xml:space="preserve">iennium.  These tools will provide coherent and comprehensive assistance in the implementation of the UPOV system of plant variety protection, some or all of which could be used by </w:t>
      </w:r>
      <w:r>
        <w:t>members of the Union</w:t>
      </w:r>
      <w:r w:rsidRPr="00421986">
        <w:t>, as considered appropriate</w:t>
      </w:r>
      <w:r>
        <w:t xml:space="preserve"> </w:t>
      </w:r>
      <w:r>
        <w:br/>
        <w:t>(see “</w:t>
      </w:r>
      <w:r w:rsidRPr="00C93FE1">
        <w:t>Direction for the 2022 2023 Biennium</w:t>
      </w:r>
      <w:r>
        <w:t>”:  “</w:t>
      </w:r>
      <w:r w:rsidRPr="00C93FE1">
        <w:t>Providing an effective system of plant variety protection</w:t>
      </w:r>
      <w:r>
        <w:t>” and “IT </w:t>
      </w:r>
      <w:r w:rsidRPr="00C93FE1">
        <w:t>Tools for implementation of the UPOV system</w:t>
      </w:r>
      <w:r>
        <w:t>”).</w:t>
      </w:r>
    </w:p>
    <w:p w14:paraId="6012A6C3" w14:textId="77777777" w:rsidR="0090485B" w:rsidRDefault="0090485B" w:rsidP="0090485B">
      <w:pPr>
        <w:pStyle w:val="ListParagraph"/>
        <w:tabs>
          <w:tab w:val="left" w:pos="851"/>
        </w:tabs>
        <w:ind w:left="0"/>
        <w:contextualSpacing w:val="0"/>
      </w:pPr>
    </w:p>
    <w:p w14:paraId="46946CE4" w14:textId="77777777" w:rsidR="0090485B" w:rsidRDefault="0090485B" w:rsidP="0090485B">
      <w:pPr>
        <w:pStyle w:val="ListParagraph"/>
        <w:tabs>
          <w:tab w:val="left" w:pos="851"/>
        </w:tabs>
        <w:ind w:left="0"/>
        <w:contextualSpacing w:val="0"/>
      </w:pPr>
      <w:r w:rsidRPr="00421986">
        <w:t xml:space="preserve">In order to provide more impact in training and assistance, resources will be increasingly channeled to virtual training programs and re-usable materials, additional distance learning courses, video demonstrations, webinars and virtual practical guides, in order to reduce the need for </w:t>
      </w:r>
      <w:r w:rsidRPr="00421986">
        <w:rPr>
          <w:i/>
        </w:rPr>
        <w:t>in situ</w:t>
      </w:r>
      <w:r w:rsidRPr="00421986">
        <w:t xml:space="preserve"> training and to increase outreach.  </w:t>
      </w:r>
    </w:p>
    <w:p w14:paraId="47224FCD" w14:textId="77777777" w:rsidR="0090485B" w:rsidRDefault="0090485B" w:rsidP="0090485B">
      <w:pPr>
        <w:pStyle w:val="ListParagraph"/>
        <w:tabs>
          <w:tab w:val="left" w:pos="851"/>
        </w:tabs>
        <w:ind w:left="0"/>
        <w:contextualSpacing w:val="0"/>
      </w:pPr>
    </w:p>
    <w:p w14:paraId="0A5C57AC" w14:textId="77777777" w:rsidR="0090485B" w:rsidRDefault="0090485B" w:rsidP="0090485B">
      <w:pPr>
        <w:pStyle w:val="ListParagraph"/>
        <w:tabs>
          <w:tab w:val="left" w:pos="851"/>
        </w:tabs>
        <w:ind w:left="0"/>
        <w:contextualSpacing w:val="0"/>
      </w:pPr>
      <w:r>
        <w:t>R</w:t>
      </w:r>
      <w:r w:rsidRPr="00C93FE1">
        <w:t xml:space="preserve">apid advances in machine translation technology provide new opportunities, which will be pursued as a matter of priority to reduce translation costs for UPOV documents in </w:t>
      </w:r>
      <w:r>
        <w:t>UPOV languages and to make UPOV </w:t>
      </w:r>
      <w:r w:rsidRPr="00C93FE1">
        <w:t xml:space="preserve">materials </w:t>
      </w:r>
      <w:r>
        <w:t xml:space="preserve">available </w:t>
      </w:r>
      <w:r w:rsidRPr="00C93FE1">
        <w:t>in a wider range of languages</w:t>
      </w:r>
      <w:r>
        <w:t>, within the existing envelope of Operating Expenses</w:t>
      </w:r>
      <w:r w:rsidRPr="00C93FE1">
        <w:t>.</w:t>
      </w:r>
    </w:p>
    <w:p w14:paraId="139C200D" w14:textId="77777777" w:rsidR="0090485B" w:rsidRDefault="0090485B" w:rsidP="0090485B">
      <w:pPr>
        <w:pStyle w:val="ListParagraph"/>
        <w:tabs>
          <w:tab w:val="left" w:pos="851"/>
        </w:tabs>
        <w:ind w:left="0"/>
        <w:contextualSpacing w:val="0"/>
      </w:pPr>
    </w:p>
    <w:p w14:paraId="67865FE6" w14:textId="77777777" w:rsidR="0090485B" w:rsidRPr="00AA09CA" w:rsidRDefault="0090485B" w:rsidP="0090485B">
      <w:pPr>
        <w:pStyle w:val="ListParagraph"/>
        <w:tabs>
          <w:tab w:val="left" w:pos="851"/>
        </w:tabs>
        <w:ind w:left="0"/>
        <w:contextualSpacing w:val="0"/>
      </w:pPr>
      <w:r w:rsidRPr="00F017AD">
        <w:rPr>
          <w:rFonts w:cs="Arial"/>
        </w:rPr>
        <w:t>UPOV</w:t>
      </w:r>
      <w:r>
        <w:rPr>
          <w:rFonts w:cs="Arial"/>
        </w:rPr>
        <w:t>’</w:t>
      </w:r>
      <w:r w:rsidRPr="00F017AD">
        <w:rPr>
          <w:rFonts w:cs="Arial"/>
        </w:rPr>
        <w:t xml:space="preserve">s Swiss franc cash balances </w:t>
      </w:r>
      <w:r>
        <w:rPr>
          <w:rFonts w:cs="Arial"/>
        </w:rPr>
        <w:t>have</w:t>
      </w:r>
      <w:r w:rsidRPr="00F017AD">
        <w:rPr>
          <w:rFonts w:cs="Arial"/>
        </w:rPr>
        <w:t xml:space="preserve"> in 2020 avoided the impact from charges related to negative interest rates. </w:t>
      </w:r>
      <w:r>
        <w:rPr>
          <w:rFonts w:cs="Arial"/>
        </w:rPr>
        <w:t xml:space="preserve"> </w:t>
      </w:r>
      <w:r w:rsidRPr="00F017AD">
        <w:rPr>
          <w:rFonts w:cs="Arial"/>
        </w:rPr>
        <w:t>The recent deterioration in the economic situation, however, has resulted in worsening financial conditions which is expected to negatively impact the current banking arrangements in place to protect UPOV</w:t>
      </w:r>
      <w:r>
        <w:rPr>
          <w:rFonts w:cs="Arial"/>
        </w:rPr>
        <w:t>’</w:t>
      </w:r>
      <w:r w:rsidRPr="00F017AD">
        <w:rPr>
          <w:rFonts w:cs="Arial"/>
        </w:rPr>
        <w:t xml:space="preserve">s Swiss franc cash balances. </w:t>
      </w:r>
      <w:r>
        <w:rPr>
          <w:rFonts w:cs="Arial"/>
        </w:rPr>
        <w:t xml:space="preserve"> </w:t>
      </w:r>
      <w:r w:rsidRPr="00F017AD">
        <w:rPr>
          <w:rFonts w:cs="Arial"/>
        </w:rPr>
        <w:t xml:space="preserve">The negative interest rates which are currently applied to all Swiss franc cash balances are expected to prevail during </w:t>
      </w:r>
      <w:r>
        <w:rPr>
          <w:rFonts w:cs="Arial"/>
        </w:rPr>
        <w:t>2022</w:t>
      </w:r>
      <w:r>
        <w:rPr>
          <w:rFonts w:cs="Arial"/>
        </w:rPr>
        <w:noBreakHyphen/>
        <w:t>2023</w:t>
      </w:r>
      <w:r w:rsidRPr="00F017AD">
        <w:rPr>
          <w:rFonts w:cs="Arial"/>
        </w:rPr>
        <w:t xml:space="preserve"> resulting in an estimated operating cost of 45,000 Swiss francs.</w:t>
      </w:r>
    </w:p>
    <w:p w14:paraId="2919D7D8" w14:textId="77777777" w:rsidR="0090485B" w:rsidRDefault="0090485B" w:rsidP="0090485B">
      <w:pPr>
        <w:tabs>
          <w:tab w:val="left" w:pos="567"/>
        </w:tabs>
      </w:pPr>
    </w:p>
    <w:p w14:paraId="5F7A326A" w14:textId="77777777" w:rsidR="0090485B" w:rsidRDefault="0090485B" w:rsidP="0090485B">
      <w:pPr>
        <w:jc w:val="left"/>
        <w:rPr>
          <w:rFonts w:cs="Arial"/>
          <w:b/>
          <w:bCs/>
          <w:color w:val="26724C" w:themeColor="accent1" w:themeShade="BF"/>
        </w:rPr>
      </w:pPr>
      <w:r>
        <w:rPr>
          <w:rFonts w:cs="Arial"/>
          <w:b/>
          <w:bCs/>
          <w:color w:val="26724C" w:themeColor="accent1" w:themeShade="BF"/>
        </w:rPr>
        <w:br w:type="page"/>
      </w:r>
    </w:p>
    <w:p w14:paraId="6DECE825" w14:textId="77777777" w:rsidR="0090485B" w:rsidRPr="008B40C0" w:rsidRDefault="0090485B" w:rsidP="0090485B">
      <w:pPr>
        <w:keepNext/>
        <w:jc w:val="center"/>
        <w:rPr>
          <w:rFonts w:cs="Arial"/>
          <w:b/>
          <w:bCs/>
          <w:color w:val="26724C" w:themeColor="accent1" w:themeShade="BF"/>
        </w:rPr>
      </w:pPr>
      <w:r w:rsidRPr="008B40C0">
        <w:rPr>
          <w:rFonts w:cs="Arial"/>
          <w:b/>
          <w:bCs/>
          <w:color w:val="26724C" w:themeColor="accent1" w:themeShade="BF"/>
        </w:rPr>
        <w:lastRenderedPageBreak/>
        <w:t xml:space="preserve">Table 4:  Proposed Budget </w:t>
      </w:r>
      <w:r>
        <w:rPr>
          <w:rFonts w:cs="Arial"/>
          <w:b/>
          <w:bCs/>
          <w:color w:val="26724C" w:themeColor="accent1" w:themeShade="BF"/>
        </w:rPr>
        <w:t>2022</w:t>
      </w:r>
      <w:r>
        <w:rPr>
          <w:rFonts w:cs="Arial"/>
          <w:b/>
          <w:bCs/>
          <w:color w:val="26724C" w:themeColor="accent1" w:themeShade="BF"/>
        </w:rPr>
        <w:noBreakHyphen/>
        <w:t xml:space="preserve">2023:  Budget </w:t>
      </w:r>
      <w:r w:rsidRPr="008B40C0">
        <w:rPr>
          <w:rFonts w:cs="Arial"/>
          <w:b/>
          <w:bCs/>
          <w:color w:val="26724C" w:themeColor="accent1" w:themeShade="BF"/>
        </w:rPr>
        <w:t xml:space="preserve">by </w:t>
      </w:r>
      <w:r>
        <w:rPr>
          <w:rFonts w:cs="Arial"/>
          <w:b/>
          <w:bCs/>
          <w:color w:val="26724C" w:themeColor="accent1" w:themeShade="BF"/>
        </w:rPr>
        <w:t>Cost Category</w:t>
      </w:r>
    </w:p>
    <w:p w14:paraId="3492B2E7" w14:textId="77777777" w:rsidR="0090485B" w:rsidRPr="00C20F3E" w:rsidRDefault="0090485B" w:rsidP="0090485B">
      <w:pPr>
        <w:keepNext/>
        <w:jc w:val="center"/>
        <w:rPr>
          <w:rFonts w:cs="Arial"/>
          <w:i/>
          <w:iCs/>
          <w:sz w:val="18"/>
          <w:szCs w:val="18"/>
        </w:rPr>
      </w:pPr>
      <w:r w:rsidRPr="00C20F3E">
        <w:rPr>
          <w:rFonts w:cs="Arial"/>
          <w:i/>
          <w:iCs/>
          <w:sz w:val="18"/>
          <w:szCs w:val="18"/>
        </w:rPr>
        <w:t>(in thousands of Swiss francs)</w:t>
      </w:r>
    </w:p>
    <w:p w14:paraId="7AE60B46" w14:textId="77777777" w:rsidR="0090485B" w:rsidRDefault="0090485B" w:rsidP="0090485B">
      <w:pPr>
        <w:keepNext/>
        <w:rPr>
          <w:rFonts w:cs="Arial"/>
          <w:i/>
          <w:iCs/>
        </w:rPr>
      </w:pPr>
    </w:p>
    <w:tbl>
      <w:tblPr>
        <w:tblW w:w="8732" w:type="dxa"/>
        <w:jc w:val="center"/>
        <w:tblLook w:val="04A0" w:firstRow="1" w:lastRow="0" w:firstColumn="1" w:lastColumn="0" w:noHBand="0" w:noVBand="1"/>
      </w:tblPr>
      <w:tblGrid>
        <w:gridCol w:w="320"/>
        <w:gridCol w:w="2893"/>
        <w:gridCol w:w="1169"/>
        <w:gridCol w:w="1169"/>
        <w:gridCol w:w="970"/>
        <w:gridCol w:w="992"/>
        <w:gridCol w:w="1219"/>
      </w:tblGrid>
      <w:tr w:rsidR="0090485B" w:rsidRPr="009372FF" w14:paraId="0748115A" w14:textId="77777777" w:rsidTr="008F07B7">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14:paraId="664B87F2" w14:textId="77777777" w:rsidR="0090485B" w:rsidRPr="009372FF" w:rsidRDefault="0090485B" w:rsidP="008F07B7">
            <w:pPr>
              <w:keepNext/>
              <w:jc w:val="center"/>
              <w:rPr>
                <w:rFonts w:cs="Arial"/>
                <w:b/>
                <w:bCs/>
              </w:rPr>
            </w:pPr>
          </w:p>
        </w:tc>
        <w:tc>
          <w:tcPr>
            <w:tcW w:w="2893" w:type="dxa"/>
            <w:vMerge w:val="restart"/>
            <w:tcBorders>
              <w:top w:val="nil"/>
              <w:left w:val="nil"/>
              <w:bottom w:val="single" w:sz="4" w:space="0" w:color="BFBFBF"/>
              <w:right w:val="nil"/>
            </w:tcBorders>
            <w:shd w:val="clear" w:color="000000" w:fill="C7CFD8"/>
            <w:vAlign w:val="bottom"/>
            <w:hideMark/>
          </w:tcPr>
          <w:p w14:paraId="7AAB3124" w14:textId="77777777" w:rsidR="0090485B" w:rsidRPr="009372FF" w:rsidRDefault="0090485B" w:rsidP="008F07B7">
            <w:pPr>
              <w:keepNext/>
              <w:jc w:val="center"/>
              <w:rPr>
                <w:rFonts w:cs="Arial"/>
                <w:b/>
                <w:bCs/>
              </w:rPr>
            </w:pPr>
            <w:r w:rsidRPr="009372FF">
              <w:rPr>
                <w:rFonts w:cs="Arial"/>
                <w:b/>
                <w:bCs/>
              </w:rPr>
              <w:t xml:space="preserve"> </w:t>
            </w:r>
          </w:p>
        </w:tc>
        <w:tc>
          <w:tcPr>
            <w:tcW w:w="1169" w:type="dxa"/>
            <w:vMerge w:val="restart"/>
            <w:tcBorders>
              <w:top w:val="single" w:sz="4" w:space="0" w:color="BFBFBF"/>
              <w:left w:val="nil"/>
              <w:bottom w:val="nil"/>
              <w:right w:val="nil"/>
            </w:tcBorders>
            <w:shd w:val="clear" w:color="000000" w:fill="C7CFD8"/>
            <w:vAlign w:val="center"/>
            <w:hideMark/>
          </w:tcPr>
          <w:p w14:paraId="1489374E" w14:textId="77777777" w:rsidR="0090485B" w:rsidRPr="009372FF" w:rsidRDefault="0090485B" w:rsidP="008F07B7">
            <w:pPr>
              <w:keepNext/>
              <w:jc w:val="center"/>
              <w:rPr>
                <w:rFonts w:ascii="Arial Narrow" w:hAnsi="Arial Narrow" w:cs="Arial"/>
                <w:b/>
                <w:bCs/>
                <w:sz w:val="18"/>
                <w:szCs w:val="18"/>
              </w:rPr>
            </w:pPr>
            <w:r w:rsidRPr="009372FF">
              <w:rPr>
                <w:rFonts w:ascii="Arial Narrow" w:hAnsi="Arial Narrow" w:cs="Arial"/>
                <w:b/>
                <w:bCs/>
                <w:sz w:val="18"/>
                <w:szCs w:val="18"/>
              </w:rPr>
              <w:t xml:space="preserve">2018-2019 </w:t>
            </w:r>
            <w:r>
              <w:rPr>
                <w:rFonts w:ascii="Arial Narrow" w:hAnsi="Arial Narrow" w:cs="Arial"/>
                <w:b/>
                <w:bCs/>
                <w:sz w:val="18"/>
                <w:szCs w:val="18"/>
              </w:rPr>
              <w:br/>
            </w:r>
            <w:r w:rsidRPr="009372FF">
              <w:rPr>
                <w:rFonts w:ascii="Arial Narrow" w:hAnsi="Arial Narrow" w:cs="Arial"/>
                <w:b/>
                <w:bCs/>
                <w:sz w:val="18"/>
                <w:szCs w:val="18"/>
              </w:rPr>
              <w:t xml:space="preserve">Actual </w:t>
            </w:r>
          </w:p>
        </w:tc>
        <w:tc>
          <w:tcPr>
            <w:tcW w:w="1169" w:type="dxa"/>
            <w:vMerge w:val="restart"/>
            <w:tcBorders>
              <w:top w:val="single" w:sz="4" w:space="0" w:color="BFBFBF"/>
              <w:left w:val="nil"/>
              <w:bottom w:val="nil"/>
              <w:right w:val="nil"/>
            </w:tcBorders>
            <w:shd w:val="clear" w:color="000000" w:fill="C7CFD8"/>
            <w:vAlign w:val="center"/>
            <w:hideMark/>
          </w:tcPr>
          <w:p w14:paraId="6F1B5D50" w14:textId="77777777" w:rsidR="0090485B" w:rsidRPr="009372FF" w:rsidRDefault="0090485B" w:rsidP="008F07B7">
            <w:pPr>
              <w:keepNext/>
              <w:jc w:val="center"/>
              <w:rPr>
                <w:rFonts w:ascii="Arial Narrow" w:hAnsi="Arial Narrow" w:cs="Arial"/>
                <w:b/>
                <w:bCs/>
                <w:sz w:val="18"/>
                <w:szCs w:val="18"/>
              </w:rPr>
            </w:pPr>
            <w:r w:rsidRPr="009372FF">
              <w:rPr>
                <w:rFonts w:ascii="Arial Narrow" w:hAnsi="Arial Narrow" w:cs="Arial"/>
                <w:b/>
                <w:bCs/>
                <w:sz w:val="18"/>
                <w:szCs w:val="18"/>
              </w:rPr>
              <w:t xml:space="preserve">2020-2021 </w:t>
            </w:r>
            <w:r>
              <w:rPr>
                <w:rFonts w:ascii="Arial Narrow" w:hAnsi="Arial Narrow" w:cs="Arial"/>
                <w:b/>
                <w:bCs/>
                <w:sz w:val="18"/>
                <w:szCs w:val="18"/>
              </w:rPr>
              <w:br/>
            </w:r>
            <w:r w:rsidRPr="009372FF">
              <w:rPr>
                <w:rFonts w:ascii="Arial Narrow" w:hAnsi="Arial Narrow" w:cs="Arial"/>
                <w:b/>
                <w:bCs/>
                <w:sz w:val="18"/>
                <w:szCs w:val="18"/>
              </w:rPr>
              <w:t xml:space="preserve">Budget </w:t>
            </w:r>
          </w:p>
        </w:tc>
        <w:tc>
          <w:tcPr>
            <w:tcW w:w="1962" w:type="dxa"/>
            <w:gridSpan w:val="2"/>
            <w:tcBorders>
              <w:top w:val="single" w:sz="4" w:space="0" w:color="BFBFBF"/>
              <w:left w:val="nil"/>
              <w:bottom w:val="nil"/>
              <w:right w:val="nil"/>
            </w:tcBorders>
            <w:shd w:val="clear" w:color="000000" w:fill="C7CFD8"/>
            <w:vAlign w:val="center"/>
            <w:hideMark/>
          </w:tcPr>
          <w:p w14:paraId="07D7A5D3" w14:textId="77777777" w:rsidR="0090485B" w:rsidRPr="009372FF" w:rsidRDefault="0090485B" w:rsidP="008F07B7">
            <w:pPr>
              <w:keepNext/>
              <w:jc w:val="center"/>
              <w:rPr>
                <w:rFonts w:ascii="Arial Narrow" w:hAnsi="Arial Narrow" w:cs="Arial"/>
                <w:b/>
                <w:bCs/>
                <w:sz w:val="18"/>
                <w:szCs w:val="18"/>
              </w:rPr>
            </w:pPr>
            <w:r w:rsidRPr="009372FF">
              <w:rPr>
                <w:rFonts w:ascii="Arial Narrow" w:hAnsi="Arial Narrow" w:cs="Arial"/>
                <w:b/>
                <w:bCs/>
                <w:sz w:val="18"/>
                <w:szCs w:val="18"/>
              </w:rPr>
              <w:t xml:space="preserve">Variation </w:t>
            </w:r>
          </w:p>
        </w:tc>
        <w:tc>
          <w:tcPr>
            <w:tcW w:w="1219" w:type="dxa"/>
            <w:tcBorders>
              <w:top w:val="single" w:sz="4" w:space="0" w:color="BFBFBF"/>
              <w:left w:val="nil"/>
              <w:bottom w:val="single" w:sz="4" w:space="0" w:color="BFBFBF"/>
              <w:right w:val="nil"/>
            </w:tcBorders>
            <w:shd w:val="clear" w:color="000000" w:fill="C7CFD8"/>
            <w:vAlign w:val="center"/>
            <w:hideMark/>
          </w:tcPr>
          <w:p w14:paraId="77014885" w14:textId="77777777" w:rsidR="0090485B" w:rsidRPr="009372FF" w:rsidRDefault="0090485B" w:rsidP="008F07B7">
            <w:pPr>
              <w:keepNext/>
              <w:jc w:val="center"/>
              <w:rPr>
                <w:rFonts w:ascii="Arial Narrow" w:hAnsi="Arial Narrow" w:cs="Arial"/>
                <w:b/>
                <w:bCs/>
                <w:sz w:val="18"/>
                <w:szCs w:val="18"/>
              </w:rPr>
            </w:pPr>
            <w:r>
              <w:rPr>
                <w:rFonts w:ascii="Arial Narrow" w:hAnsi="Arial Narrow" w:cs="Arial"/>
                <w:b/>
                <w:bCs/>
                <w:sz w:val="18"/>
                <w:szCs w:val="18"/>
              </w:rPr>
              <w:t>2022</w:t>
            </w:r>
            <w:r>
              <w:rPr>
                <w:rFonts w:ascii="Arial Narrow" w:hAnsi="Arial Narrow" w:cs="Arial"/>
                <w:b/>
                <w:bCs/>
                <w:sz w:val="18"/>
                <w:szCs w:val="18"/>
              </w:rPr>
              <w:noBreakHyphen/>
              <w:t>2023</w:t>
            </w:r>
            <w:r w:rsidRPr="009372FF">
              <w:rPr>
                <w:rFonts w:ascii="Arial Narrow" w:hAnsi="Arial Narrow" w:cs="Arial"/>
                <w:b/>
                <w:bCs/>
                <w:sz w:val="18"/>
                <w:szCs w:val="18"/>
              </w:rPr>
              <w:t xml:space="preserve"> Proposed </w:t>
            </w:r>
          </w:p>
        </w:tc>
      </w:tr>
      <w:tr w:rsidR="0090485B" w:rsidRPr="009372FF" w14:paraId="6120ED0C" w14:textId="77777777" w:rsidTr="008F07B7">
        <w:trPr>
          <w:trHeight w:val="301"/>
          <w:jc w:val="center"/>
        </w:trPr>
        <w:tc>
          <w:tcPr>
            <w:tcW w:w="320" w:type="dxa"/>
            <w:vMerge/>
            <w:tcBorders>
              <w:top w:val="nil"/>
              <w:left w:val="nil"/>
              <w:bottom w:val="single" w:sz="4" w:space="0" w:color="BFBFBF"/>
              <w:right w:val="nil"/>
            </w:tcBorders>
            <w:vAlign w:val="center"/>
            <w:hideMark/>
          </w:tcPr>
          <w:p w14:paraId="72CE670F" w14:textId="77777777" w:rsidR="0090485B" w:rsidRPr="009372FF" w:rsidRDefault="0090485B" w:rsidP="008F07B7">
            <w:pPr>
              <w:jc w:val="left"/>
              <w:rPr>
                <w:rFonts w:cs="Arial"/>
                <w:b/>
                <w:bCs/>
              </w:rPr>
            </w:pPr>
          </w:p>
        </w:tc>
        <w:tc>
          <w:tcPr>
            <w:tcW w:w="2893" w:type="dxa"/>
            <w:vMerge/>
            <w:tcBorders>
              <w:top w:val="nil"/>
              <w:left w:val="nil"/>
              <w:bottom w:val="single" w:sz="4" w:space="0" w:color="BFBFBF"/>
              <w:right w:val="nil"/>
            </w:tcBorders>
            <w:vAlign w:val="center"/>
            <w:hideMark/>
          </w:tcPr>
          <w:p w14:paraId="7354A195" w14:textId="77777777" w:rsidR="0090485B" w:rsidRPr="009372FF" w:rsidRDefault="0090485B" w:rsidP="008F07B7">
            <w:pPr>
              <w:jc w:val="left"/>
              <w:rPr>
                <w:rFonts w:cs="Arial"/>
                <w:b/>
                <w:bCs/>
              </w:rPr>
            </w:pPr>
          </w:p>
        </w:tc>
        <w:tc>
          <w:tcPr>
            <w:tcW w:w="1169" w:type="dxa"/>
            <w:vMerge/>
            <w:tcBorders>
              <w:top w:val="single" w:sz="4" w:space="0" w:color="BFBFBF"/>
              <w:left w:val="nil"/>
              <w:bottom w:val="nil"/>
              <w:right w:val="nil"/>
            </w:tcBorders>
            <w:vAlign w:val="center"/>
            <w:hideMark/>
          </w:tcPr>
          <w:p w14:paraId="10C7CA24" w14:textId="77777777" w:rsidR="0090485B" w:rsidRPr="009372FF" w:rsidRDefault="0090485B" w:rsidP="008F07B7">
            <w:pPr>
              <w:jc w:val="left"/>
              <w:rPr>
                <w:rFonts w:ascii="Arial Narrow" w:hAnsi="Arial Narrow" w:cs="Arial"/>
                <w:b/>
                <w:bCs/>
                <w:sz w:val="18"/>
                <w:szCs w:val="18"/>
              </w:rPr>
            </w:pPr>
          </w:p>
        </w:tc>
        <w:tc>
          <w:tcPr>
            <w:tcW w:w="1169" w:type="dxa"/>
            <w:vMerge/>
            <w:tcBorders>
              <w:top w:val="single" w:sz="4" w:space="0" w:color="BFBFBF"/>
              <w:left w:val="nil"/>
              <w:bottom w:val="nil"/>
              <w:right w:val="nil"/>
            </w:tcBorders>
            <w:vAlign w:val="center"/>
            <w:hideMark/>
          </w:tcPr>
          <w:p w14:paraId="5BA2880A" w14:textId="77777777" w:rsidR="0090485B" w:rsidRPr="009372FF" w:rsidRDefault="0090485B" w:rsidP="008F07B7">
            <w:pPr>
              <w:jc w:val="left"/>
              <w:rPr>
                <w:rFonts w:ascii="Arial Narrow" w:hAnsi="Arial Narrow" w:cs="Arial"/>
                <w:b/>
                <w:bCs/>
                <w:sz w:val="18"/>
                <w:szCs w:val="18"/>
              </w:rPr>
            </w:pPr>
          </w:p>
        </w:tc>
        <w:tc>
          <w:tcPr>
            <w:tcW w:w="970" w:type="dxa"/>
            <w:tcBorders>
              <w:top w:val="single" w:sz="4" w:space="0" w:color="748B9E"/>
              <w:left w:val="nil"/>
              <w:bottom w:val="nil"/>
              <w:right w:val="nil"/>
            </w:tcBorders>
            <w:shd w:val="clear" w:color="000000" w:fill="C7CFD8"/>
            <w:vAlign w:val="center"/>
            <w:hideMark/>
          </w:tcPr>
          <w:p w14:paraId="0549D3FC"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Amount </w:t>
            </w:r>
          </w:p>
        </w:tc>
        <w:tc>
          <w:tcPr>
            <w:tcW w:w="992" w:type="dxa"/>
            <w:tcBorders>
              <w:top w:val="single" w:sz="4" w:space="0" w:color="748B9E"/>
              <w:left w:val="nil"/>
              <w:bottom w:val="nil"/>
              <w:right w:val="nil"/>
            </w:tcBorders>
            <w:shd w:val="clear" w:color="000000" w:fill="C7CFD8"/>
            <w:vAlign w:val="center"/>
            <w:hideMark/>
          </w:tcPr>
          <w:p w14:paraId="7C5610AF"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 </w:t>
            </w:r>
          </w:p>
        </w:tc>
        <w:tc>
          <w:tcPr>
            <w:tcW w:w="1219" w:type="dxa"/>
            <w:tcBorders>
              <w:top w:val="single" w:sz="4" w:space="0" w:color="BFBFBF"/>
              <w:left w:val="nil"/>
              <w:bottom w:val="nil"/>
              <w:right w:val="nil"/>
            </w:tcBorders>
            <w:shd w:val="clear" w:color="auto" w:fill="C7CFD8"/>
            <w:vAlign w:val="center"/>
            <w:hideMark/>
          </w:tcPr>
          <w:p w14:paraId="0CCAF4E0" w14:textId="77777777" w:rsidR="0090485B" w:rsidRPr="009372FF" w:rsidRDefault="0090485B" w:rsidP="008F07B7">
            <w:pPr>
              <w:jc w:val="left"/>
              <w:rPr>
                <w:rFonts w:ascii="Arial Narrow" w:hAnsi="Arial Narrow" w:cs="Arial"/>
                <w:b/>
                <w:bCs/>
                <w:sz w:val="18"/>
                <w:szCs w:val="18"/>
              </w:rPr>
            </w:pPr>
          </w:p>
        </w:tc>
      </w:tr>
      <w:tr w:rsidR="0090485B" w:rsidRPr="009372FF" w14:paraId="6EED593A" w14:textId="77777777" w:rsidTr="008F07B7">
        <w:trPr>
          <w:trHeight w:val="227"/>
          <w:jc w:val="center"/>
        </w:trPr>
        <w:tc>
          <w:tcPr>
            <w:tcW w:w="320" w:type="dxa"/>
            <w:vMerge/>
            <w:tcBorders>
              <w:top w:val="nil"/>
              <w:left w:val="nil"/>
              <w:bottom w:val="single" w:sz="4" w:space="0" w:color="BFBFBF"/>
              <w:right w:val="nil"/>
            </w:tcBorders>
            <w:vAlign w:val="center"/>
            <w:hideMark/>
          </w:tcPr>
          <w:p w14:paraId="4732BDA0" w14:textId="77777777" w:rsidR="0090485B" w:rsidRPr="009372FF" w:rsidRDefault="0090485B" w:rsidP="008F07B7">
            <w:pPr>
              <w:jc w:val="left"/>
              <w:rPr>
                <w:rFonts w:cs="Arial"/>
                <w:b/>
                <w:bCs/>
              </w:rPr>
            </w:pPr>
          </w:p>
        </w:tc>
        <w:tc>
          <w:tcPr>
            <w:tcW w:w="2893" w:type="dxa"/>
            <w:vMerge/>
            <w:tcBorders>
              <w:top w:val="nil"/>
              <w:left w:val="nil"/>
              <w:bottom w:val="single" w:sz="4" w:space="0" w:color="BFBFBF"/>
              <w:right w:val="nil"/>
            </w:tcBorders>
            <w:vAlign w:val="center"/>
            <w:hideMark/>
          </w:tcPr>
          <w:p w14:paraId="00A17BEB" w14:textId="77777777" w:rsidR="0090485B" w:rsidRPr="009372FF" w:rsidRDefault="0090485B" w:rsidP="008F07B7">
            <w:pPr>
              <w:jc w:val="left"/>
              <w:rPr>
                <w:rFonts w:cs="Arial"/>
                <w:b/>
                <w:bCs/>
              </w:rPr>
            </w:pPr>
          </w:p>
        </w:tc>
        <w:tc>
          <w:tcPr>
            <w:tcW w:w="1169" w:type="dxa"/>
            <w:tcBorders>
              <w:top w:val="nil"/>
              <w:left w:val="nil"/>
              <w:bottom w:val="nil"/>
              <w:right w:val="nil"/>
            </w:tcBorders>
            <w:shd w:val="clear" w:color="000000" w:fill="C7CFD8"/>
            <w:vAlign w:val="center"/>
            <w:hideMark/>
          </w:tcPr>
          <w:p w14:paraId="4E1BA336"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A </w:t>
            </w:r>
          </w:p>
        </w:tc>
        <w:tc>
          <w:tcPr>
            <w:tcW w:w="1169" w:type="dxa"/>
            <w:tcBorders>
              <w:top w:val="nil"/>
              <w:left w:val="nil"/>
              <w:bottom w:val="nil"/>
              <w:right w:val="nil"/>
            </w:tcBorders>
            <w:shd w:val="clear" w:color="000000" w:fill="C7CFD8"/>
            <w:noWrap/>
            <w:vAlign w:val="center"/>
            <w:hideMark/>
          </w:tcPr>
          <w:p w14:paraId="15513B58"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B </w:t>
            </w:r>
          </w:p>
        </w:tc>
        <w:tc>
          <w:tcPr>
            <w:tcW w:w="970" w:type="dxa"/>
            <w:tcBorders>
              <w:top w:val="nil"/>
              <w:left w:val="nil"/>
              <w:bottom w:val="nil"/>
              <w:right w:val="nil"/>
            </w:tcBorders>
            <w:shd w:val="clear" w:color="000000" w:fill="C7CFD8"/>
            <w:vAlign w:val="center"/>
            <w:hideMark/>
          </w:tcPr>
          <w:p w14:paraId="685E4D0C"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C </w:t>
            </w:r>
          </w:p>
        </w:tc>
        <w:tc>
          <w:tcPr>
            <w:tcW w:w="992" w:type="dxa"/>
            <w:tcBorders>
              <w:top w:val="nil"/>
              <w:left w:val="nil"/>
              <w:bottom w:val="nil"/>
              <w:right w:val="nil"/>
            </w:tcBorders>
            <w:shd w:val="clear" w:color="000000" w:fill="C7CFD8"/>
            <w:vAlign w:val="center"/>
            <w:hideMark/>
          </w:tcPr>
          <w:p w14:paraId="04BEBA67"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14:paraId="2401AA42" w14:textId="77777777" w:rsidR="0090485B" w:rsidRPr="009372FF" w:rsidRDefault="0090485B" w:rsidP="008F07B7">
            <w:pPr>
              <w:jc w:val="center"/>
              <w:rPr>
                <w:rFonts w:ascii="Arial Narrow" w:hAnsi="Arial Narrow" w:cs="Arial"/>
                <w:b/>
                <w:bCs/>
                <w:sz w:val="18"/>
                <w:szCs w:val="18"/>
              </w:rPr>
            </w:pPr>
            <w:r w:rsidRPr="009372FF">
              <w:rPr>
                <w:rFonts w:ascii="Arial Narrow" w:hAnsi="Arial Narrow" w:cs="Arial"/>
                <w:b/>
                <w:bCs/>
                <w:sz w:val="18"/>
                <w:szCs w:val="18"/>
              </w:rPr>
              <w:t xml:space="preserve">D=B+C </w:t>
            </w:r>
          </w:p>
        </w:tc>
      </w:tr>
      <w:tr w:rsidR="0090485B" w:rsidRPr="009372FF" w14:paraId="4C1BF523" w14:textId="77777777" w:rsidTr="008F07B7">
        <w:trPr>
          <w:trHeight w:val="192"/>
          <w:jc w:val="center"/>
        </w:trPr>
        <w:tc>
          <w:tcPr>
            <w:tcW w:w="320" w:type="dxa"/>
            <w:tcBorders>
              <w:top w:val="nil"/>
              <w:left w:val="nil"/>
              <w:bottom w:val="nil"/>
              <w:right w:val="nil"/>
            </w:tcBorders>
            <w:shd w:val="clear" w:color="auto" w:fill="auto"/>
            <w:noWrap/>
            <w:vAlign w:val="bottom"/>
            <w:hideMark/>
          </w:tcPr>
          <w:p w14:paraId="2284E934" w14:textId="77777777" w:rsidR="0090485B" w:rsidRPr="009372FF" w:rsidRDefault="0090485B" w:rsidP="008F07B7">
            <w:pPr>
              <w:jc w:val="center"/>
              <w:rPr>
                <w:rFonts w:ascii="Arial Narrow" w:hAnsi="Arial Narrow" w:cs="Arial"/>
                <w:b/>
                <w:bCs/>
                <w:sz w:val="18"/>
                <w:szCs w:val="18"/>
              </w:rPr>
            </w:pPr>
          </w:p>
        </w:tc>
        <w:tc>
          <w:tcPr>
            <w:tcW w:w="2893" w:type="dxa"/>
            <w:tcBorders>
              <w:top w:val="nil"/>
              <w:left w:val="nil"/>
              <w:bottom w:val="nil"/>
              <w:right w:val="nil"/>
            </w:tcBorders>
            <w:shd w:val="clear" w:color="auto" w:fill="auto"/>
            <w:vAlign w:val="bottom"/>
            <w:hideMark/>
          </w:tcPr>
          <w:p w14:paraId="5FF32F5A" w14:textId="77777777" w:rsidR="0090485B" w:rsidRPr="009372FF" w:rsidRDefault="0090485B" w:rsidP="008F07B7">
            <w:pPr>
              <w:jc w:val="left"/>
              <w:rPr>
                <w:rFonts w:ascii="Times New Roman" w:hAnsi="Times New Roman"/>
              </w:rPr>
            </w:pPr>
          </w:p>
        </w:tc>
        <w:tc>
          <w:tcPr>
            <w:tcW w:w="1169" w:type="dxa"/>
            <w:tcBorders>
              <w:top w:val="single" w:sz="4" w:space="0" w:color="BFBFBF"/>
              <w:left w:val="nil"/>
              <w:bottom w:val="nil"/>
              <w:right w:val="nil"/>
            </w:tcBorders>
            <w:shd w:val="clear" w:color="auto" w:fill="auto"/>
            <w:vAlign w:val="bottom"/>
            <w:hideMark/>
          </w:tcPr>
          <w:p w14:paraId="0F6C8A22" w14:textId="77777777" w:rsidR="0090485B" w:rsidRPr="009372FF" w:rsidRDefault="0090485B" w:rsidP="008F07B7">
            <w:pPr>
              <w:jc w:val="center"/>
              <w:rPr>
                <w:rFonts w:cs="Arial"/>
                <w:b/>
                <w:bCs/>
              </w:rPr>
            </w:pPr>
            <w:r w:rsidRPr="009372FF">
              <w:rPr>
                <w:rFonts w:cs="Arial"/>
                <w:b/>
                <w:bCs/>
              </w:rPr>
              <w:t> </w:t>
            </w:r>
          </w:p>
        </w:tc>
        <w:tc>
          <w:tcPr>
            <w:tcW w:w="1169" w:type="dxa"/>
            <w:tcBorders>
              <w:top w:val="single" w:sz="4" w:space="0" w:color="BFBFBF"/>
              <w:left w:val="nil"/>
              <w:bottom w:val="nil"/>
              <w:right w:val="nil"/>
            </w:tcBorders>
            <w:shd w:val="clear" w:color="auto" w:fill="auto"/>
            <w:vAlign w:val="bottom"/>
            <w:hideMark/>
          </w:tcPr>
          <w:p w14:paraId="51FBE62F" w14:textId="77777777" w:rsidR="0090485B" w:rsidRPr="009372FF" w:rsidRDefault="0090485B" w:rsidP="008F07B7">
            <w:pPr>
              <w:jc w:val="center"/>
              <w:rPr>
                <w:rFonts w:cs="Arial"/>
                <w:b/>
                <w:bCs/>
              </w:rPr>
            </w:pPr>
            <w:r w:rsidRPr="009372FF">
              <w:rPr>
                <w:rFonts w:cs="Arial"/>
                <w:b/>
                <w:bCs/>
              </w:rPr>
              <w:t> </w:t>
            </w:r>
          </w:p>
        </w:tc>
        <w:tc>
          <w:tcPr>
            <w:tcW w:w="970" w:type="dxa"/>
            <w:tcBorders>
              <w:top w:val="single" w:sz="4" w:space="0" w:color="BFBFBF"/>
              <w:left w:val="nil"/>
              <w:bottom w:val="nil"/>
              <w:right w:val="nil"/>
            </w:tcBorders>
            <w:shd w:val="clear" w:color="auto" w:fill="auto"/>
            <w:vAlign w:val="bottom"/>
            <w:hideMark/>
          </w:tcPr>
          <w:p w14:paraId="47BA7CE1" w14:textId="77777777" w:rsidR="0090485B" w:rsidRPr="009372FF" w:rsidRDefault="0090485B" w:rsidP="008F07B7">
            <w:pPr>
              <w:jc w:val="center"/>
              <w:rPr>
                <w:rFonts w:cs="Arial"/>
                <w:b/>
                <w:bCs/>
              </w:rPr>
            </w:pPr>
            <w:r w:rsidRPr="009372FF">
              <w:rPr>
                <w:rFonts w:cs="Arial"/>
                <w:b/>
                <w:bCs/>
              </w:rPr>
              <w:t> </w:t>
            </w:r>
          </w:p>
        </w:tc>
        <w:tc>
          <w:tcPr>
            <w:tcW w:w="992" w:type="dxa"/>
            <w:tcBorders>
              <w:top w:val="single" w:sz="4" w:space="0" w:color="BFBFBF"/>
              <w:left w:val="nil"/>
              <w:bottom w:val="nil"/>
              <w:right w:val="nil"/>
            </w:tcBorders>
            <w:shd w:val="clear" w:color="auto" w:fill="auto"/>
            <w:vAlign w:val="bottom"/>
            <w:hideMark/>
          </w:tcPr>
          <w:p w14:paraId="58559B7A" w14:textId="77777777" w:rsidR="0090485B" w:rsidRPr="009372FF" w:rsidRDefault="0090485B" w:rsidP="008F07B7">
            <w:pPr>
              <w:jc w:val="center"/>
              <w:rPr>
                <w:rFonts w:cs="Arial"/>
                <w:b/>
                <w:bCs/>
              </w:rPr>
            </w:pPr>
            <w:r w:rsidRPr="009372FF">
              <w:rPr>
                <w:rFonts w:cs="Arial"/>
                <w:b/>
                <w:bCs/>
              </w:rPr>
              <w:t> </w:t>
            </w:r>
          </w:p>
        </w:tc>
        <w:tc>
          <w:tcPr>
            <w:tcW w:w="1219" w:type="dxa"/>
            <w:tcBorders>
              <w:top w:val="single" w:sz="4" w:space="0" w:color="BFBFBF"/>
              <w:left w:val="nil"/>
              <w:bottom w:val="nil"/>
              <w:right w:val="nil"/>
            </w:tcBorders>
            <w:shd w:val="clear" w:color="auto" w:fill="auto"/>
            <w:vAlign w:val="bottom"/>
            <w:hideMark/>
          </w:tcPr>
          <w:p w14:paraId="673A8C0E" w14:textId="77777777" w:rsidR="0090485B" w:rsidRPr="009372FF" w:rsidRDefault="0090485B" w:rsidP="008F07B7">
            <w:pPr>
              <w:jc w:val="center"/>
              <w:rPr>
                <w:rFonts w:cs="Arial"/>
                <w:b/>
                <w:bCs/>
              </w:rPr>
            </w:pPr>
            <w:r w:rsidRPr="009372FF">
              <w:rPr>
                <w:rFonts w:cs="Arial"/>
                <w:b/>
                <w:bCs/>
              </w:rPr>
              <w:t> </w:t>
            </w:r>
          </w:p>
        </w:tc>
      </w:tr>
      <w:tr w:rsidR="0090485B" w:rsidRPr="009372FF" w14:paraId="21CDC8A2" w14:textId="77777777" w:rsidTr="008F07B7">
        <w:trPr>
          <w:trHeight w:val="301"/>
          <w:jc w:val="center"/>
        </w:trPr>
        <w:tc>
          <w:tcPr>
            <w:tcW w:w="3213" w:type="dxa"/>
            <w:gridSpan w:val="2"/>
            <w:tcBorders>
              <w:top w:val="nil"/>
              <w:left w:val="nil"/>
              <w:bottom w:val="nil"/>
              <w:right w:val="nil"/>
            </w:tcBorders>
            <w:shd w:val="clear" w:color="auto" w:fill="auto"/>
            <w:noWrap/>
            <w:vAlign w:val="center"/>
            <w:hideMark/>
          </w:tcPr>
          <w:p w14:paraId="679829D0" w14:textId="77777777" w:rsidR="0090485B" w:rsidRPr="009372FF" w:rsidRDefault="0090485B" w:rsidP="008F07B7">
            <w:pPr>
              <w:jc w:val="left"/>
              <w:rPr>
                <w:rFonts w:ascii="Arial Narrow" w:hAnsi="Arial Narrow" w:cs="Arial"/>
                <w:b/>
                <w:bCs/>
                <w:sz w:val="22"/>
                <w:szCs w:val="22"/>
              </w:rPr>
            </w:pPr>
            <w:r w:rsidRPr="009372FF">
              <w:rPr>
                <w:rFonts w:ascii="Arial Narrow" w:hAnsi="Arial Narrow" w:cs="Arial"/>
                <w:b/>
                <w:bCs/>
                <w:sz w:val="22"/>
                <w:szCs w:val="22"/>
              </w:rPr>
              <w:t>A.  Personnel Resources</w:t>
            </w:r>
          </w:p>
        </w:tc>
        <w:tc>
          <w:tcPr>
            <w:tcW w:w="1169" w:type="dxa"/>
            <w:tcBorders>
              <w:top w:val="nil"/>
              <w:left w:val="nil"/>
              <w:bottom w:val="nil"/>
              <w:right w:val="nil"/>
            </w:tcBorders>
            <w:shd w:val="clear" w:color="auto" w:fill="auto"/>
            <w:vAlign w:val="center"/>
            <w:hideMark/>
          </w:tcPr>
          <w:p w14:paraId="5388F231" w14:textId="77777777" w:rsidR="0090485B" w:rsidRPr="009372FF" w:rsidRDefault="0090485B" w:rsidP="008F07B7">
            <w:pPr>
              <w:jc w:val="right"/>
              <w:rPr>
                <w:rFonts w:ascii="Arial Narrow" w:hAnsi="Arial Narrow" w:cs="Arial"/>
                <w:b/>
                <w:bCs/>
                <w:sz w:val="22"/>
                <w:szCs w:val="22"/>
              </w:rPr>
            </w:pPr>
          </w:p>
        </w:tc>
        <w:tc>
          <w:tcPr>
            <w:tcW w:w="1169" w:type="dxa"/>
            <w:tcBorders>
              <w:top w:val="nil"/>
              <w:left w:val="nil"/>
              <w:bottom w:val="nil"/>
              <w:right w:val="nil"/>
            </w:tcBorders>
            <w:shd w:val="clear" w:color="auto" w:fill="auto"/>
            <w:vAlign w:val="center"/>
            <w:hideMark/>
          </w:tcPr>
          <w:p w14:paraId="47C035A4"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33D6A760"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4CDFDCB3"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3229C2A" w14:textId="77777777" w:rsidR="0090485B" w:rsidRPr="009372FF" w:rsidRDefault="0090485B" w:rsidP="008F07B7">
            <w:pPr>
              <w:jc w:val="right"/>
              <w:rPr>
                <w:rFonts w:ascii="Times New Roman" w:hAnsi="Times New Roman"/>
              </w:rPr>
            </w:pPr>
          </w:p>
        </w:tc>
      </w:tr>
      <w:tr w:rsidR="0090485B" w:rsidRPr="009372FF" w14:paraId="5097EE11" w14:textId="77777777" w:rsidTr="008F07B7">
        <w:trPr>
          <w:trHeight w:val="355"/>
          <w:jc w:val="center"/>
        </w:trPr>
        <w:tc>
          <w:tcPr>
            <w:tcW w:w="320" w:type="dxa"/>
            <w:tcBorders>
              <w:top w:val="nil"/>
              <w:left w:val="nil"/>
              <w:bottom w:val="nil"/>
              <w:right w:val="nil"/>
            </w:tcBorders>
            <w:shd w:val="clear" w:color="auto" w:fill="auto"/>
            <w:noWrap/>
            <w:vAlign w:val="bottom"/>
            <w:hideMark/>
          </w:tcPr>
          <w:p w14:paraId="6E96AC5D"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center"/>
            <w:hideMark/>
          </w:tcPr>
          <w:p w14:paraId="255F70DC"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Posts</w:t>
            </w:r>
          </w:p>
        </w:tc>
        <w:tc>
          <w:tcPr>
            <w:tcW w:w="1169" w:type="dxa"/>
            <w:tcBorders>
              <w:top w:val="nil"/>
              <w:left w:val="nil"/>
              <w:bottom w:val="nil"/>
              <w:right w:val="nil"/>
            </w:tcBorders>
            <w:shd w:val="clear" w:color="auto" w:fill="auto"/>
            <w:vAlign w:val="center"/>
            <w:hideMark/>
          </w:tcPr>
          <w:p w14:paraId="5979722D" w14:textId="77777777" w:rsidR="0090485B" w:rsidRPr="009372FF" w:rsidRDefault="0090485B" w:rsidP="008F07B7">
            <w:pPr>
              <w:jc w:val="right"/>
              <w:rPr>
                <w:rFonts w:ascii="Arial Narrow" w:hAnsi="Arial Narrow" w:cs="Arial"/>
              </w:rPr>
            </w:pPr>
            <w:r w:rsidRPr="009372FF">
              <w:rPr>
                <w:rFonts w:ascii="Arial Narrow" w:hAnsi="Arial Narrow" w:cs="Arial"/>
              </w:rPr>
              <w:t>4,281</w:t>
            </w:r>
          </w:p>
        </w:tc>
        <w:tc>
          <w:tcPr>
            <w:tcW w:w="1169" w:type="dxa"/>
            <w:tcBorders>
              <w:top w:val="nil"/>
              <w:left w:val="nil"/>
              <w:bottom w:val="nil"/>
              <w:right w:val="nil"/>
            </w:tcBorders>
            <w:shd w:val="clear" w:color="auto" w:fill="auto"/>
            <w:vAlign w:val="center"/>
            <w:hideMark/>
          </w:tcPr>
          <w:p w14:paraId="231E026A" w14:textId="77777777" w:rsidR="0090485B" w:rsidRPr="009372FF" w:rsidRDefault="0090485B" w:rsidP="008F07B7">
            <w:pPr>
              <w:jc w:val="right"/>
              <w:rPr>
                <w:rFonts w:ascii="Arial Narrow" w:hAnsi="Arial Narrow" w:cs="Arial"/>
              </w:rPr>
            </w:pPr>
            <w:r w:rsidRPr="009372FF">
              <w:rPr>
                <w:rFonts w:ascii="Arial Narrow" w:hAnsi="Arial Narrow" w:cs="Arial"/>
              </w:rPr>
              <w:t>4,688</w:t>
            </w:r>
          </w:p>
        </w:tc>
        <w:tc>
          <w:tcPr>
            <w:tcW w:w="970" w:type="dxa"/>
            <w:tcBorders>
              <w:top w:val="nil"/>
              <w:left w:val="nil"/>
              <w:bottom w:val="nil"/>
              <w:right w:val="nil"/>
            </w:tcBorders>
            <w:shd w:val="clear" w:color="auto" w:fill="auto"/>
            <w:vAlign w:val="center"/>
            <w:hideMark/>
          </w:tcPr>
          <w:p w14:paraId="514F5CB8" w14:textId="684A339F" w:rsidR="0090485B" w:rsidRPr="009372FF" w:rsidRDefault="00796FB9" w:rsidP="008F07B7">
            <w:pPr>
              <w:jc w:val="right"/>
              <w:rPr>
                <w:rFonts w:ascii="Arial Narrow" w:hAnsi="Arial Narrow" w:cs="Arial"/>
              </w:rPr>
            </w:pPr>
            <w:r>
              <w:rPr>
                <w:rFonts w:ascii="Arial Narrow" w:hAnsi="Arial Narrow" w:cs="Arial"/>
              </w:rPr>
              <w:t>104</w:t>
            </w:r>
          </w:p>
        </w:tc>
        <w:tc>
          <w:tcPr>
            <w:tcW w:w="992" w:type="dxa"/>
            <w:tcBorders>
              <w:top w:val="nil"/>
              <w:left w:val="nil"/>
              <w:bottom w:val="nil"/>
              <w:right w:val="nil"/>
            </w:tcBorders>
            <w:shd w:val="clear" w:color="auto" w:fill="auto"/>
            <w:vAlign w:val="center"/>
            <w:hideMark/>
          </w:tcPr>
          <w:p w14:paraId="6CA4F23B" w14:textId="77777777" w:rsidR="0090485B" w:rsidRPr="009372FF" w:rsidRDefault="0090485B" w:rsidP="008F07B7">
            <w:pPr>
              <w:jc w:val="right"/>
              <w:rPr>
                <w:rFonts w:ascii="Arial Narrow" w:hAnsi="Arial Narrow" w:cs="Arial"/>
              </w:rPr>
            </w:pPr>
            <w:r w:rsidRPr="009372FF">
              <w:rPr>
                <w:rFonts w:ascii="Arial Narrow" w:hAnsi="Arial Narrow" w:cs="Arial"/>
              </w:rPr>
              <w:t>2%</w:t>
            </w:r>
          </w:p>
        </w:tc>
        <w:tc>
          <w:tcPr>
            <w:tcW w:w="1219" w:type="dxa"/>
            <w:tcBorders>
              <w:top w:val="nil"/>
              <w:left w:val="nil"/>
              <w:bottom w:val="nil"/>
              <w:right w:val="nil"/>
            </w:tcBorders>
            <w:shd w:val="clear" w:color="auto" w:fill="auto"/>
            <w:vAlign w:val="center"/>
            <w:hideMark/>
          </w:tcPr>
          <w:p w14:paraId="0EEDB726" w14:textId="01AB561A" w:rsidR="0090485B" w:rsidRPr="009372FF" w:rsidRDefault="0090485B" w:rsidP="00796FB9">
            <w:pPr>
              <w:jc w:val="right"/>
              <w:rPr>
                <w:rFonts w:ascii="Arial Narrow" w:hAnsi="Arial Narrow" w:cs="Arial"/>
              </w:rPr>
            </w:pPr>
            <w:r w:rsidRPr="009372FF">
              <w:rPr>
                <w:rFonts w:ascii="Arial Narrow" w:hAnsi="Arial Narrow" w:cs="Arial"/>
              </w:rPr>
              <w:t>4,7</w:t>
            </w:r>
            <w:r w:rsidR="00796FB9">
              <w:rPr>
                <w:rFonts w:ascii="Arial Narrow" w:hAnsi="Arial Narrow" w:cs="Arial"/>
              </w:rPr>
              <w:t>92</w:t>
            </w:r>
          </w:p>
        </w:tc>
      </w:tr>
      <w:tr w:rsidR="0090485B" w:rsidRPr="009372FF" w14:paraId="3EFEFF6A" w14:textId="77777777" w:rsidTr="008F07B7">
        <w:trPr>
          <w:trHeight w:val="342"/>
          <w:jc w:val="center"/>
        </w:trPr>
        <w:tc>
          <w:tcPr>
            <w:tcW w:w="320" w:type="dxa"/>
            <w:tcBorders>
              <w:top w:val="nil"/>
              <w:left w:val="nil"/>
              <w:bottom w:val="nil"/>
              <w:right w:val="nil"/>
            </w:tcBorders>
            <w:shd w:val="clear" w:color="auto" w:fill="auto"/>
            <w:noWrap/>
            <w:vAlign w:val="bottom"/>
            <w:hideMark/>
          </w:tcPr>
          <w:p w14:paraId="6F94E408"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14:paraId="3DFCE94A"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Temporary</w:t>
            </w:r>
            <w:r>
              <w:rPr>
                <w:rFonts w:ascii="Arial Narrow" w:hAnsi="Arial Narrow" w:cs="Arial"/>
                <w:i/>
                <w:iCs/>
                <w:color w:val="000000"/>
              </w:rPr>
              <w:t xml:space="preserve"> </w:t>
            </w:r>
            <w:r w:rsidRPr="009372FF">
              <w:rPr>
                <w:rFonts w:ascii="Arial Narrow" w:hAnsi="Arial Narrow" w:cs="Arial"/>
                <w:i/>
                <w:iCs/>
                <w:color w:val="000000"/>
              </w:rPr>
              <w:t>Staff</w:t>
            </w:r>
          </w:p>
        </w:tc>
        <w:tc>
          <w:tcPr>
            <w:tcW w:w="1169" w:type="dxa"/>
            <w:tcBorders>
              <w:top w:val="nil"/>
              <w:left w:val="nil"/>
              <w:bottom w:val="nil"/>
              <w:right w:val="nil"/>
            </w:tcBorders>
            <w:shd w:val="clear" w:color="auto" w:fill="auto"/>
            <w:vAlign w:val="center"/>
            <w:hideMark/>
          </w:tcPr>
          <w:p w14:paraId="2A8E8264" w14:textId="77777777" w:rsidR="0090485B" w:rsidRPr="009372FF" w:rsidRDefault="0090485B" w:rsidP="008F07B7">
            <w:pPr>
              <w:jc w:val="right"/>
              <w:rPr>
                <w:rFonts w:ascii="Arial Narrow" w:hAnsi="Arial Narrow" w:cs="Arial"/>
              </w:rPr>
            </w:pPr>
            <w:r w:rsidRPr="009372FF">
              <w:rPr>
                <w:rFonts w:ascii="Arial Narrow" w:hAnsi="Arial Narrow" w:cs="Arial"/>
              </w:rPr>
              <w:t>88</w:t>
            </w:r>
          </w:p>
        </w:tc>
        <w:tc>
          <w:tcPr>
            <w:tcW w:w="1169" w:type="dxa"/>
            <w:tcBorders>
              <w:top w:val="nil"/>
              <w:left w:val="nil"/>
              <w:bottom w:val="nil"/>
              <w:right w:val="nil"/>
            </w:tcBorders>
            <w:shd w:val="clear" w:color="auto" w:fill="auto"/>
            <w:vAlign w:val="center"/>
            <w:hideMark/>
          </w:tcPr>
          <w:p w14:paraId="382D0D3F" w14:textId="77777777" w:rsidR="0090485B" w:rsidRPr="009372FF" w:rsidRDefault="0090485B" w:rsidP="008F07B7">
            <w:pPr>
              <w:jc w:val="right"/>
              <w:rPr>
                <w:rFonts w:ascii="Arial Narrow" w:hAnsi="Arial Narrow" w:cs="Arial"/>
              </w:rPr>
            </w:pPr>
            <w:r w:rsidRPr="009372FF">
              <w:rPr>
                <w:rFonts w:ascii="Arial Narrow" w:hAnsi="Arial Narrow" w:cs="Arial"/>
              </w:rPr>
              <w:t>251</w:t>
            </w:r>
          </w:p>
        </w:tc>
        <w:tc>
          <w:tcPr>
            <w:tcW w:w="970" w:type="dxa"/>
            <w:tcBorders>
              <w:top w:val="nil"/>
              <w:left w:val="nil"/>
              <w:bottom w:val="nil"/>
              <w:right w:val="nil"/>
            </w:tcBorders>
            <w:shd w:val="clear" w:color="auto" w:fill="auto"/>
            <w:vAlign w:val="center"/>
            <w:hideMark/>
          </w:tcPr>
          <w:p w14:paraId="3361F856" w14:textId="77777777" w:rsidR="0090485B" w:rsidRPr="009372FF" w:rsidRDefault="0090485B" w:rsidP="008F07B7">
            <w:pPr>
              <w:jc w:val="right"/>
              <w:rPr>
                <w:rFonts w:ascii="Arial Narrow" w:hAnsi="Arial Narrow" w:cs="Arial"/>
              </w:rPr>
            </w:pPr>
            <w:r w:rsidRPr="009372FF">
              <w:rPr>
                <w:rFonts w:ascii="Arial Narrow" w:hAnsi="Arial Narrow" w:cs="Arial"/>
              </w:rPr>
              <w:t>275</w:t>
            </w:r>
          </w:p>
        </w:tc>
        <w:tc>
          <w:tcPr>
            <w:tcW w:w="992" w:type="dxa"/>
            <w:tcBorders>
              <w:top w:val="nil"/>
              <w:left w:val="nil"/>
              <w:bottom w:val="nil"/>
              <w:right w:val="nil"/>
            </w:tcBorders>
            <w:shd w:val="clear" w:color="auto" w:fill="auto"/>
            <w:vAlign w:val="center"/>
            <w:hideMark/>
          </w:tcPr>
          <w:p w14:paraId="5080DBE6" w14:textId="77777777" w:rsidR="0090485B" w:rsidRPr="009372FF" w:rsidRDefault="0090485B" w:rsidP="008F07B7">
            <w:pPr>
              <w:jc w:val="right"/>
              <w:rPr>
                <w:rFonts w:ascii="Arial Narrow" w:hAnsi="Arial Narrow" w:cs="Arial"/>
              </w:rPr>
            </w:pPr>
            <w:r w:rsidRPr="009372FF">
              <w:rPr>
                <w:rFonts w:ascii="Arial Narrow" w:hAnsi="Arial Narrow" w:cs="Arial"/>
              </w:rPr>
              <w:t>109%</w:t>
            </w:r>
          </w:p>
        </w:tc>
        <w:tc>
          <w:tcPr>
            <w:tcW w:w="1219" w:type="dxa"/>
            <w:tcBorders>
              <w:top w:val="nil"/>
              <w:left w:val="nil"/>
              <w:bottom w:val="nil"/>
              <w:right w:val="nil"/>
            </w:tcBorders>
            <w:shd w:val="clear" w:color="auto" w:fill="auto"/>
            <w:vAlign w:val="center"/>
            <w:hideMark/>
          </w:tcPr>
          <w:p w14:paraId="7A80EC87" w14:textId="77777777" w:rsidR="0090485B" w:rsidRPr="009372FF" w:rsidRDefault="0090485B" w:rsidP="008F07B7">
            <w:pPr>
              <w:jc w:val="right"/>
              <w:rPr>
                <w:rFonts w:ascii="Arial Narrow" w:hAnsi="Arial Narrow" w:cs="Arial"/>
              </w:rPr>
            </w:pPr>
            <w:r w:rsidRPr="009372FF">
              <w:rPr>
                <w:rFonts w:ascii="Arial Narrow" w:hAnsi="Arial Narrow" w:cs="Arial"/>
              </w:rPr>
              <w:t>526</w:t>
            </w:r>
          </w:p>
        </w:tc>
      </w:tr>
      <w:tr w:rsidR="0090485B" w:rsidRPr="009372FF" w14:paraId="22764303" w14:textId="77777777" w:rsidTr="008F07B7">
        <w:trPr>
          <w:trHeight w:val="342"/>
          <w:jc w:val="center"/>
        </w:trPr>
        <w:tc>
          <w:tcPr>
            <w:tcW w:w="320" w:type="dxa"/>
            <w:tcBorders>
              <w:top w:val="nil"/>
              <w:left w:val="nil"/>
              <w:bottom w:val="nil"/>
              <w:right w:val="nil"/>
            </w:tcBorders>
            <w:shd w:val="clear" w:color="auto" w:fill="auto"/>
            <w:noWrap/>
            <w:vAlign w:val="bottom"/>
            <w:hideMark/>
          </w:tcPr>
          <w:p w14:paraId="57994F76"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14:paraId="2F8A466C"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Other</w:t>
            </w:r>
            <w:r>
              <w:rPr>
                <w:rFonts w:ascii="Arial Narrow" w:hAnsi="Arial Narrow" w:cs="Arial"/>
                <w:i/>
                <w:iCs/>
                <w:color w:val="000000"/>
              </w:rPr>
              <w:t xml:space="preserve"> </w:t>
            </w:r>
            <w:r w:rsidRPr="009372FF">
              <w:rPr>
                <w:rFonts w:ascii="Arial Narrow" w:hAnsi="Arial Narrow" w:cs="Arial"/>
                <w:i/>
                <w:iCs/>
                <w:color w:val="000000"/>
              </w:rPr>
              <w:t>Staff</w:t>
            </w:r>
            <w:r>
              <w:rPr>
                <w:rFonts w:ascii="Arial Narrow" w:hAnsi="Arial Narrow" w:cs="Arial"/>
                <w:i/>
                <w:iCs/>
                <w:color w:val="000000"/>
              </w:rPr>
              <w:t xml:space="preserve"> </w:t>
            </w:r>
            <w:r w:rsidRPr="009372FF">
              <w:rPr>
                <w:rFonts w:ascii="Arial Narrow" w:hAnsi="Arial Narrow" w:cs="Arial"/>
                <w:i/>
                <w:iCs/>
                <w:color w:val="000000"/>
              </w:rPr>
              <w:t>costs</w:t>
            </w:r>
          </w:p>
        </w:tc>
        <w:tc>
          <w:tcPr>
            <w:tcW w:w="1169" w:type="dxa"/>
            <w:tcBorders>
              <w:top w:val="nil"/>
              <w:left w:val="nil"/>
              <w:bottom w:val="nil"/>
              <w:right w:val="nil"/>
            </w:tcBorders>
            <w:shd w:val="clear" w:color="auto" w:fill="auto"/>
            <w:vAlign w:val="center"/>
            <w:hideMark/>
          </w:tcPr>
          <w:p w14:paraId="66BC6DEE" w14:textId="77777777" w:rsidR="0090485B" w:rsidRPr="009372FF" w:rsidRDefault="0090485B" w:rsidP="008F07B7">
            <w:pPr>
              <w:jc w:val="right"/>
              <w:rPr>
                <w:rFonts w:ascii="Arial Narrow" w:hAnsi="Arial Narrow" w:cs="Arial"/>
              </w:rPr>
            </w:pPr>
            <w:r w:rsidRPr="009372FF">
              <w:rPr>
                <w:rFonts w:ascii="Arial Narrow" w:hAnsi="Arial Narrow" w:cs="Arial"/>
              </w:rPr>
              <w:t>2</w:t>
            </w:r>
          </w:p>
        </w:tc>
        <w:tc>
          <w:tcPr>
            <w:tcW w:w="1169" w:type="dxa"/>
            <w:tcBorders>
              <w:top w:val="nil"/>
              <w:left w:val="nil"/>
              <w:bottom w:val="nil"/>
              <w:right w:val="nil"/>
            </w:tcBorders>
            <w:shd w:val="clear" w:color="auto" w:fill="auto"/>
            <w:vAlign w:val="center"/>
            <w:hideMark/>
          </w:tcPr>
          <w:p w14:paraId="65D2355A"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70" w:type="dxa"/>
            <w:tcBorders>
              <w:top w:val="nil"/>
              <w:left w:val="nil"/>
              <w:bottom w:val="nil"/>
              <w:right w:val="nil"/>
            </w:tcBorders>
            <w:shd w:val="clear" w:color="auto" w:fill="auto"/>
            <w:vAlign w:val="center"/>
            <w:hideMark/>
          </w:tcPr>
          <w:p w14:paraId="4C559B21"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92" w:type="dxa"/>
            <w:tcBorders>
              <w:top w:val="nil"/>
              <w:left w:val="nil"/>
              <w:bottom w:val="single" w:sz="4" w:space="0" w:color="BFBFBF"/>
              <w:right w:val="nil"/>
            </w:tcBorders>
            <w:shd w:val="clear" w:color="auto" w:fill="auto"/>
            <w:vAlign w:val="center"/>
            <w:hideMark/>
          </w:tcPr>
          <w:p w14:paraId="0B2D2E3D"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1219" w:type="dxa"/>
            <w:tcBorders>
              <w:top w:val="nil"/>
              <w:left w:val="nil"/>
              <w:bottom w:val="nil"/>
              <w:right w:val="nil"/>
            </w:tcBorders>
            <w:shd w:val="clear" w:color="auto" w:fill="auto"/>
            <w:vAlign w:val="center"/>
            <w:hideMark/>
          </w:tcPr>
          <w:p w14:paraId="5F538731" w14:textId="77777777" w:rsidR="0090485B" w:rsidRPr="009372FF" w:rsidRDefault="0090485B" w:rsidP="008F07B7">
            <w:pPr>
              <w:jc w:val="right"/>
              <w:rPr>
                <w:rFonts w:ascii="Arial Narrow" w:hAnsi="Arial Narrow" w:cs="Arial"/>
              </w:rPr>
            </w:pPr>
            <w:r w:rsidRPr="009372FF">
              <w:rPr>
                <w:rFonts w:ascii="Arial Narrow" w:hAnsi="Arial Narrow" w:cs="Arial"/>
              </w:rPr>
              <w:t>-</w:t>
            </w:r>
          </w:p>
        </w:tc>
      </w:tr>
      <w:tr w:rsidR="0090485B" w:rsidRPr="009372FF" w14:paraId="6573541F" w14:textId="77777777" w:rsidTr="008F07B7">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14:paraId="2DF58642" w14:textId="77777777" w:rsidR="0090485B" w:rsidRPr="009372FF" w:rsidRDefault="0090485B" w:rsidP="008F07B7">
            <w:pPr>
              <w:jc w:val="left"/>
              <w:rPr>
                <w:rFonts w:cs="Arial"/>
                <w:b/>
                <w:bCs/>
              </w:rPr>
            </w:pPr>
            <w:r w:rsidRPr="009372FF">
              <w:rPr>
                <w:rFonts w:cs="Arial"/>
                <w:b/>
                <w:bCs/>
              </w:rPr>
              <w:t> </w:t>
            </w:r>
          </w:p>
        </w:tc>
        <w:tc>
          <w:tcPr>
            <w:tcW w:w="2893" w:type="dxa"/>
            <w:tcBorders>
              <w:top w:val="single" w:sz="4" w:space="0" w:color="AAB8C4"/>
              <w:left w:val="nil"/>
              <w:bottom w:val="single" w:sz="8" w:space="0" w:color="AAB8C4"/>
              <w:right w:val="nil"/>
            </w:tcBorders>
            <w:shd w:val="clear" w:color="auto" w:fill="auto"/>
            <w:vAlign w:val="center"/>
            <w:hideMark/>
          </w:tcPr>
          <w:p w14:paraId="3F2C6659" w14:textId="77777777" w:rsidR="0090485B" w:rsidRPr="009372FF" w:rsidRDefault="0090485B" w:rsidP="008F07B7">
            <w:pPr>
              <w:jc w:val="left"/>
              <w:rPr>
                <w:rFonts w:ascii="Arial Narrow" w:hAnsi="Arial Narrow" w:cs="Arial"/>
                <w:b/>
                <w:bCs/>
                <w:color w:val="000000"/>
              </w:rPr>
            </w:pPr>
            <w:r w:rsidRPr="009372FF">
              <w:rPr>
                <w:rFonts w:ascii="Arial Narrow" w:hAnsi="Arial Narrow" w:cs="Arial"/>
                <w:b/>
                <w:bCs/>
                <w:color w:val="000000"/>
              </w:rPr>
              <w:t>Total,</w:t>
            </w:r>
            <w:r>
              <w:rPr>
                <w:rFonts w:ascii="Arial Narrow" w:hAnsi="Arial Narrow" w:cs="Arial"/>
                <w:b/>
                <w:bCs/>
                <w:color w:val="000000"/>
              </w:rPr>
              <w:t xml:space="preserve"> </w:t>
            </w:r>
            <w:r w:rsidRPr="009372FF">
              <w:rPr>
                <w:rFonts w:ascii="Arial Narrow" w:hAnsi="Arial Narrow" w:cs="Arial"/>
                <w:b/>
                <w:bCs/>
                <w:color w:val="000000"/>
              </w:rPr>
              <w:t>A</w:t>
            </w:r>
          </w:p>
        </w:tc>
        <w:tc>
          <w:tcPr>
            <w:tcW w:w="1169" w:type="dxa"/>
            <w:tcBorders>
              <w:top w:val="single" w:sz="4" w:space="0" w:color="AAB8C4"/>
              <w:left w:val="nil"/>
              <w:bottom w:val="single" w:sz="8" w:space="0" w:color="AAB8C4"/>
              <w:right w:val="nil"/>
            </w:tcBorders>
            <w:shd w:val="clear" w:color="auto" w:fill="auto"/>
            <w:vAlign w:val="center"/>
            <w:hideMark/>
          </w:tcPr>
          <w:p w14:paraId="255F2C0A"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4,370</w:t>
            </w:r>
          </w:p>
        </w:tc>
        <w:tc>
          <w:tcPr>
            <w:tcW w:w="1169" w:type="dxa"/>
            <w:tcBorders>
              <w:top w:val="single" w:sz="4" w:space="0" w:color="AAB8C4"/>
              <w:left w:val="nil"/>
              <w:bottom w:val="single" w:sz="8" w:space="0" w:color="AAB8C4"/>
              <w:right w:val="nil"/>
            </w:tcBorders>
            <w:shd w:val="clear" w:color="auto" w:fill="auto"/>
            <w:vAlign w:val="center"/>
            <w:hideMark/>
          </w:tcPr>
          <w:p w14:paraId="4F294EF4"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4,939</w:t>
            </w:r>
          </w:p>
        </w:tc>
        <w:tc>
          <w:tcPr>
            <w:tcW w:w="970" w:type="dxa"/>
            <w:tcBorders>
              <w:top w:val="single" w:sz="4" w:space="0" w:color="BFBFBF"/>
              <w:left w:val="nil"/>
              <w:bottom w:val="single" w:sz="8" w:space="0" w:color="BFBFBF"/>
              <w:right w:val="nil"/>
            </w:tcBorders>
            <w:shd w:val="clear" w:color="auto" w:fill="auto"/>
            <w:vAlign w:val="center"/>
            <w:hideMark/>
          </w:tcPr>
          <w:p w14:paraId="7EC6BFE0" w14:textId="2512C6D0" w:rsidR="0090485B" w:rsidRPr="009372FF" w:rsidRDefault="0090485B" w:rsidP="00796FB9">
            <w:pPr>
              <w:jc w:val="right"/>
              <w:rPr>
                <w:rFonts w:ascii="Arial Narrow" w:hAnsi="Arial Narrow" w:cs="Arial"/>
                <w:b/>
                <w:bCs/>
              </w:rPr>
            </w:pPr>
            <w:r w:rsidRPr="009372FF">
              <w:rPr>
                <w:rFonts w:ascii="Arial Narrow" w:hAnsi="Arial Narrow" w:cs="Arial"/>
                <w:b/>
                <w:bCs/>
              </w:rPr>
              <w:t>3</w:t>
            </w:r>
            <w:r w:rsidR="00796FB9">
              <w:rPr>
                <w:rFonts w:ascii="Arial Narrow" w:hAnsi="Arial Narrow" w:cs="Arial"/>
                <w:b/>
                <w:bCs/>
              </w:rPr>
              <w:t>79</w:t>
            </w:r>
          </w:p>
        </w:tc>
        <w:tc>
          <w:tcPr>
            <w:tcW w:w="992" w:type="dxa"/>
            <w:tcBorders>
              <w:top w:val="nil"/>
              <w:left w:val="nil"/>
              <w:bottom w:val="single" w:sz="8" w:space="0" w:color="BFBFBF"/>
              <w:right w:val="nil"/>
            </w:tcBorders>
            <w:shd w:val="clear" w:color="auto" w:fill="auto"/>
            <w:vAlign w:val="center"/>
            <w:hideMark/>
          </w:tcPr>
          <w:p w14:paraId="29BC0164" w14:textId="5C61E936" w:rsidR="0090485B" w:rsidRPr="009372FF" w:rsidRDefault="00796FB9" w:rsidP="008F07B7">
            <w:pPr>
              <w:jc w:val="right"/>
              <w:rPr>
                <w:rFonts w:ascii="Arial Narrow" w:hAnsi="Arial Narrow" w:cs="Arial"/>
                <w:b/>
                <w:bCs/>
              </w:rPr>
            </w:pPr>
            <w:r>
              <w:rPr>
                <w:rFonts w:ascii="Arial Narrow" w:hAnsi="Arial Narrow" w:cs="Arial"/>
                <w:b/>
                <w:bCs/>
              </w:rPr>
              <w:t>8</w:t>
            </w:r>
            <w:r w:rsidR="0090485B" w:rsidRPr="009372FF">
              <w:rPr>
                <w:rFonts w:ascii="Arial Narrow" w:hAnsi="Arial Narrow" w:cs="Arial"/>
                <w:b/>
                <w:bCs/>
              </w:rPr>
              <w:t>%</w:t>
            </w:r>
          </w:p>
        </w:tc>
        <w:tc>
          <w:tcPr>
            <w:tcW w:w="1219" w:type="dxa"/>
            <w:tcBorders>
              <w:top w:val="single" w:sz="4" w:space="0" w:color="AAB8C4"/>
              <w:left w:val="nil"/>
              <w:bottom w:val="single" w:sz="8" w:space="0" w:color="AAB8C4"/>
              <w:right w:val="nil"/>
            </w:tcBorders>
            <w:shd w:val="clear" w:color="auto" w:fill="auto"/>
            <w:vAlign w:val="center"/>
            <w:hideMark/>
          </w:tcPr>
          <w:p w14:paraId="2C8E2D79" w14:textId="333CB0AF" w:rsidR="0090485B" w:rsidRPr="009372FF" w:rsidRDefault="00796FB9" w:rsidP="008F07B7">
            <w:pPr>
              <w:jc w:val="right"/>
              <w:rPr>
                <w:rFonts w:ascii="Arial Narrow" w:hAnsi="Arial Narrow" w:cs="Arial"/>
                <w:b/>
                <w:bCs/>
              </w:rPr>
            </w:pPr>
            <w:r>
              <w:rPr>
                <w:rFonts w:ascii="Arial Narrow" w:hAnsi="Arial Narrow" w:cs="Arial"/>
                <w:b/>
                <w:bCs/>
              </w:rPr>
              <w:t>5,319</w:t>
            </w:r>
          </w:p>
        </w:tc>
      </w:tr>
      <w:tr w:rsidR="0090485B" w:rsidRPr="009372FF" w14:paraId="534B52CA" w14:textId="77777777" w:rsidTr="008F07B7">
        <w:trPr>
          <w:trHeight w:val="141"/>
          <w:jc w:val="center"/>
        </w:trPr>
        <w:tc>
          <w:tcPr>
            <w:tcW w:w="320" w:type="dxa"/>
            <w:tcBorders>
              <w:top w:val="nil"/>
              <w:left w:val="nil"/>
              <w:bottom w:val="nil"/>
              <w:right w:val="nil"/>
            </w:tcBorders>
            <w:shd w:val="clear" w:color="auto" w:fill="auto"/>
            <w:noWrap/>
            <w:vAlign w:val="bottom"/>
            <w:hideMark/>
          </w:tcPr>
          <w:p w14:paraId="146F08F3" w14:textId="77777777" w:rsidR="0090485B" w:rsidRPr="009372FF" w:rsidRDefault="0090485B" w:rsidP="008F07B7">
            <w:pPr>
              <w:jc w:val="left"/>
              <w:rPr>
                <w:rFonts w:ascii="Arial Narrow" w:hAnsi="Arial Narrow" w:cs="Arial"/>
                <w:b/>
                <w:bCs/>
              </w:rPr>
            </w:pPr>
          </w:p>
        </w:tc>
        <w:tc>
          <w:tcPr>
            <w:tcW w:w="2893" w:type="dxa"/>
            <w:tcBorders>
              <w:top w:val="nil"/>
              <w:left w:val="nil"/>
              <w:bottom w:val="nil"/>
              <w:right w:val="nil"/>
            </w:tcBorders>
            <w:shd w:val="clear" w:color="auto" w:fill="auto"/>
            <w:vAlign w:val="bottom"/>
            <w:hideMark/>
          </w:tcPr>
          <w:p w14:paraId="02B70409" w14:textId="77777777" w:rsidR="0090485B" w:rsidRPr="009372FF" w:rsidRDefault="0090485B" w:rsidP="008F07B7">
            <w:pPr>
              <w:jc w:val="left"/>
              <w:rPr>
                <w:rFonts w:ascii="Times New Roman" w:hAnsi="Times New Roman"/>
              </w:rPr>
            </w:pPr>
          </w:p>
        </w:tc>
        <w:tc>
          <w:tcPr>
            <w:tcW w:w="1169" w:type="dxa"/>
            <w:tcBorders>
              <w:top w:val="nil"/>
              <w:left w:val="nil"/>
              <w:bottom w:val="nil"/>
              <w:right w:val="nil"/>
            </w:tcBorders>
            <w:shd w:val="clear" w:color="auto" w:fill="auto"/>
            <w:vAlign w:val="bottom"/>
            <w:hideMark/>
          </w:tcPr>
          <w:p w14:paraId="422271C3" w14:textId="77777777" w:rsidR="0090485B" w:rsidRPr="009372FF" w:rsidRDefault="0090485B" w:rsidP="008F07B7">
            <w:pPr>
              <w:jc w:val="right"/>
              <w:rPr>
                <w:rFonts w:ascii="Times New Roman" w:hAnsi="Times New Roman"/>
              </w:rPr>
            </w:pPr>
          </w:p>
        </w:tc>
        <w:tc>
          <w:tcPr>
            <w:tcW w:w="1169" w:type="dxa"/>
            <w:tcBorders>
              <w:top w:val="nil"/>
              <w:left w:val="nil"/>
              <w:bottom w:val="nil"/>
              <w:right w:val="nil"/>
            </w:tcBorders>
            <w:shd w:val="clear" w:color="auto" w:fill="auto"/>
            <w:vAlign w:val="bottom"/>
            <w:hideMark/>
          </w:tcPr>
          <w:p w14:paraId="3E730AED"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bottom"/>
            <w:hideMark/>
          </w:tcPr>
          <w:p w14:paraId="5E7702B5"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bottom"/>
            <w:hideMark/>
          </w:tcPr>
          <w:p w14:paraId="16AFC714"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7074FE43" w14:textId="77777777" w:rsidR="0090485B" w:rsidRPr="009372FF" w:rsidRDefault="0090485B" w:rsidP="008F07B7">
            <w:pPr>
              <w:jc w:val="right"/>
              <w:rPr>
                <w:rFonts w:ascii="Times New Roman" w:hAnsi="Times New Roman"/>
              </w:rPr>
            </w:pPr>
          </w:p>
        </w:tc>
      </w:tr>
      <w:tr w:rsidR="0090485B" w:rsidRPr="009372FF" w14:paraId="3C63B1A8" w14:textId="77777777" w:rsidTr="008F07B7">
        <w:trPr>
          <w:trHeight w:val="342"/>
          <w:jc w:val="center"/>
        </w:trPr>
        <w:tc>
          <w:tcPr>
            <w:tcW w:w="3213" w:type="dxa"/>
            <w:gridSpan w:val="2"/>
            <w:tcBorders>
              <w:top w:val="nil"/>
              <w:left w:val="nil"/>
              <w:bottom w:val="nil"/>
              <w:right w:val="nil"/>
            </w:tcBorders>
            <w:shd w:val="clear" w:color="auto" w:fill="auto"/>
            <w:noWrap/>
            <w:vAlign w:val="center"/>
            <w:hideMark/>
          </w:tcPr>
          <w:p w14:paraId="0BB3F25E" w14:textId="77777777" w:rsidR="0090485B" w:rsidRPr="009372FF" w:rsidRDefault="0090485B" w:rsidP="008F07B7">
            <w:pPr>
              <w:jc w:val="left"/>
              <w:rPr>
                <w:rFonts w:ascii="Arial Narrow" w:hAnsi="Arial Narrow" w:cs="Arial"/>
                <w:b/>
                <w:bCs/>
                <w:sz w:val="22"/>
                <w:szCs w:val="22"/>
              </w:rPr>
            </w:pPr>
            <w:r w:rsidRPr="009372FF">
              <w:rPr>
                <w:rFonts w:ascii="Arial Narrow" w:hAnsi="Arial Narrow" w:cs="Arial"/>
                <w:b/>
                <w:bCs/>
                <w:sz w:val="22"/>
                <w:szCs w:val="22"/>
              </w:rPr>
              <w:t>B.  Non-Personnel Resources</w:t>
            </w:r>
          </w:p>
        </w:tc>
        <w:tc>
          <w:tcPr>
            <w:tcW w:w="1169" w:type="dxa"/>
            <w:tcBorders>
              <w:top w:val="nil"/>
              <w:left w:val="nil"/>
              <w:bottom w:val="nil"/>
              <w:right w:val="nil"/>
            </w:tcBorders>
            <w:shd w:val="clear" w:color="auto" w:fill="auto"/>
            <w:vAlign w:val="center"/>
            <w:hideMark/>
          </w:tcPr>
          <w:p w14:paraId="1165B19B" w14:textId="77777777" w:rsidR="0090485B" w:rsidRPr="009372FF" w:rsidRDefault="0090485B" w:rsidP="008F07B7">
            <w:pPr>
              <w:jc w:val="right"/>
              <w:rPr>
                <w:rFonts w:ascii="Arial Narrow" w:hAnsi="Arial Narrow" w:cs="Arial"/>
                <w:b/>
                <w:bCs/>
                <w:sz w:val="22"/>
                <w:szCs w:val="22"/>
              </w:rPr>
            </w:pPr>
          </w:p>
        </w:tc>
        <w:tc>
          <w:tcPr>
            <w:tcW w:w="1169" w:type="dxa"/>
            <w:tcBorders>
              <w:top w:val="nil"/>
              <w:left w:val="nil"/>
              <w:bottom w:val="nil"/>
              <w:right w:val="nil"/>
            </w:tcBorders>
            <w:shd w:val="clear" w:color="auto" w:fill="auto"/>
            <w:vAlign w:val="center"/>
            <w:hideMark/>
          </w:tcPr>
          <w:p w14:paraId="055B364B"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173E8A74"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55524840"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50AA9D5C" w14:textId="77777777" w:rsidR="0090485B" w:rsidRPr="009372FF" w:rsidRDefault="0090485B" w:rsidP="008F07B7">
            <w:pPr>
              <w:jc w:val="right"/>
              <w:rPr>
                <w:rFonts w:ascii="Times New Roman" w:hAnsi="Times New Roman"/>
              </w:rPr>
            </w:pPr>
          </w:p>
        </w:tc>
      </w:tr>
      <w:tr w:rsidR="0090485B" w:rsidRPr="009372FF" w14:paraId="5FD053F2"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57A34EB3"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bottom"/>
            <w:hideMark/>
          </w:tcPr>
          <w:p w14:paraId="2F0F0C9C" w14:textId="77777777" w:rsidR="0090485B" w:rsidRPr="009372FF" w:rsidRDefault="0090485B" w:rsidP="008F07B7">
            <w:pPr>
              <w:jc w:val="left"/>
              <w:rPr>
                <w:rFonts w:ascii="Arial Narrow" w:hAnsi="Arial Narrow" w:cs="Arial"/>
                <w:b/>
                <w:bCs/>
              </w:rPr>
            </w:pPr>
            <w:r w:rsidRPr="009372FF">
              <w:rPr>
                <w:rFonts w:ascii="Arial Narrow" w:hAnsi="Arial Narrow" w:cs="Arial"/>
                <w:b/>
                <w:bCs/>
              </w:rPr>
              <w:t>Internships</w:t>
            </w:r>
            <w:r>
              <w:rPr>
                <w:rFonts w:ascii="Arial Narrow" w:hAnsi="Arial Narrow" w:cs="Arial"/>
                <w:b/>
                <w:bCs/>
              </w:rPr>
              <w:t xml:space="preserve"> </w:t>
            </w:r>
            <w:r w:rsidRPr="009372FF">
              <w:rPr>
                <w:rFonts w:ascii="Arial Narrow" w:hAnsi="Arial Narrow" w:cs="Arial"/>
                <w:b/>
                <w:bCs/>
              </w:rPr>
              <w:t>and</w:t>
            </w:r>
            <w:r>
              <w:rPr>
                <w:rFonts w:ascii="Arial Narrow" w:hAnsi="Arial Narrow" w:cs="Arial"/>
                <w:b/>
                <w:bCs/>
              </w:rPr>
              <w:t xml:space="preserve"> </w:t>
            </w:r>
            <w:r w:rsidRPr="009372FF">
              <w:rPr>
                <w:rFonts w:ascii="Arial Narrow" w:hAnsi="Arial Narrow" w:cs="Arial"/>
                <w:b/>
                <w:bCs/>
              </w:rPr>
              <w:t>Fellowships</w:t>
            </w:r>
          </w:p>
        </w:tc>
        <w:tc>
          <w:tcPr>
            <w:tcW w:w="1169" w:type="dxa"/>
            <w:tcBorders>
              <w:top w:val="nil"/>
              <w:left w:val="nil"/>
              <w:bottom w:val="nil"/>
              <w:right w:val="nil"/>
            </w:tcBorders>
            <w:shd w:val="clear" w:color="auto" w:fill="auto"/>
            <w:vAlign w:val="bottom"/>
            <w:hideMark/>
          </w:tcPr>
          <w:p w14:paraId="6F637F81" w14:textId="77777777" w:rsidR="0090485B" w:rsidRPr="009372FF" w:rsidRDefault="0090485B" w:rsidP="008F07B7">
            <w:pPr>
              <w:jc w:val="right"/>
              <w:rPr>
                <w:rFonts w:ascii="Arial Narrow" w:hAnsi="Arial Narrow" w:cs="Arial"/>
                <w:b/>
                <w:bCs/>
              </w:rPr>
            </w:pPr>
          </w:p>
        </w:tc>
        <w:tc>
          <w:tcPr>
            <w:tcW w:w="1169" w:type="dxa"/>
            <w:tcBorders>
              <w:top w:val="nil"/>
              <w:left w:val="nil"/>
              <w:bottom w:val="nil"/>
              <w:right w:val="nil"/>
            </w:tcBorders>
            <w:shd w:val="clear" w:color="auto" w:fill="auto"/>
            <w:vAlign w:val="bottom"/>
            <w:hideMark/>
          </w:tcPr>
          <w:p w14:paraId="571F78F7"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bottom"/>
            <w:hideMark/>
          </w:tcPr>
          <w:p w14:paraId="6D70745E"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bottom"/>
            <w:hideMark/>
          </w:tcPr>
          <w:p w14:paraId="0E2D35C9"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77750867" w14:textId="77777777" w:rsidR="0090485B" w:rsidRPr="009372FF" w:rsidRDefault="0090485B" w:rsidP="008F07B7">
            <w:pPr>
              <w:jc w:val="right"/>
              <w:rPr>
                <w:rFonts w:ascii="Times New Roman" w:hAnsi="Times New Roman"/>
              </w:rPr>
            </w:pPr>
          </w:p>
        </w:tc>
      </w:tr>
      <w:tr w:rsidR="0090485B" w:rsidRPr="009372FF" w14:paraId="1D9E652D"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563166EB"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bottom"/>
            <w:hideMark/>
          </w:tcPr>
          <w:p w14:paraId="404636D0" w14:textId="77777777" w:rsidR="0090485B" w:rsidRPr="009372FF" w:rsidRDefault="0090485B" w:rsidP="008F07B7">
            <w:pPr>
              <w:ind w:firstLineChars="200" w:firstLine="400"/>
              <w:jc w:val="left"/>
              <w:rPr>
                <w:rFonts w:ascii="Arial Narrow" w:hAnsi="Arial Narrow" w:cs="Arial"/>
                <w:i/>
                <w:iCs/>
              </w:rPr>
            </w:pPr>
            <w:r w:rsidRPr="009372FF">
              <w:rPr>
                <w:rFonts w:ascii="Arial Narrow" w:hAnsi="Arial Narrow" w:cs="Arial"/>
                <w:i/>
                <w:iCs/>
              </w:rPr>
              <w:t>Internships</w:t>
            </w:r>
          </w:p>
        </w:tc>
        <w:tc>
          <w:tcPr>
            <w:tcW w:w="1169" w:type="dxa"/>
            <w:tcBorders>
              <w:top w:val="nil"/>
              <w:left w:val="nil"/>
              <w:bottom w:val="nil"/>
              <w:right w:val="nil"/>
            </w:tcBorders>
            <w:shd w:val="clear" w:color="auto" w:fill="auto"/>
            <w:vAlign w:val="center"/>
            <w:hideMark/>
          </w:tcPr>
          <w:p w14:paraId="60B1A38D" w14:textId="77777777" w:rsidR="0090485B" w:rsidRPr="009372FF" w:rsidRDefault="0090485B" w:rsidP="008F07B7">
            <w:pPr>
              <w:jc w:val="right"/>
              <w:rPr>
                <w:rFonts w:ascii="Arial Narrow" w:hAnsi="Arial Narrow" w:cs="Arial"/>
              </w:rPr>
            </w:pPr>
            <w:r w:rsidRPr="009372FF">
              <w:rPr>
                <w:rFonts w:ascii="Arial Narrow" w:hAnsi="Arial Narrow" w:cs="Arial"/>
              </w:rPr>
              <w:t>70</w:t>
            </w:r>
          </w:p>
        </w:tc>
        <w:tc>
          <w:tcPr>
            <w:tcW w:w="1169" w:type="dxa"/>
            <w:tcBorders>
              <w:top w:val="nil"/>
              <w:left w:val="nil"/>
              <w:bottom w:val="nil"/>
              <w:right w:val="nil"/>
            </w:tcBorders>
            <w:shd w:val="clear" w:color="auto" w:fill="auto"/>
            <w:vAlign w:val="center"/>
            <w:hideMark/>
          </w:tcPr>
          <w:p w14:paraId="19DC37D5"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c>
          <w:tcPr>
            <w:tcW w:w="970" w:type="dxa"/>
            <w:tcBorders>
              <w:top w:val="nil"/>
              <w:left w:val="nil"/>
              <w:bottom w:val="nil"/>
              <w:right w:val="nil"/>
            </w:tcBorders>
            <w:shd w:val="clear" w:color="auto" w:fill="auto"/>
            <w:vAlign w:val="center"/>
            <w:hideMark/>
          </w:tcPr>
          <w:p w14:paraId="3056B787"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992" w:type="dxa"/>
            <w:tcBorders>
              <w:top w:val="nil"/>
              <w:left w:val="nil"/>
              <w:bottom w:val="nil"/>
              <w:right w:val="nil"/>
            </w:tcBorders>
            <w:shd w:val="clear" w:color="auto" w:fill="auto"/>
            <w:vAlign w:val="center"/>
            <w:hideMark/>
          </w:tcPr>
          <w:p w14:paraId="09CB8505" w14:textId="77777777" w:rsidR="0090485B" w:rsidRPr="009372FF" w:rsidRDefault="0090485B" w:rsidP="008F07B7">
            <w:pPr>
              <w:jc w:val="right"/>
              <w:rPr>
                <w:rFonts w:ascii="Arial Narrow" w:hAnsi="Arial Narrow" w:cs="Arial"/>
              </w:rPr>
            </w:pPr>
            <w:r w:rsidRPr="009372FF">
              <w:rPr>
                <w:rFonts w:ascii="Arial Narrow" w:hAnsi="Arial Narrow" w:cs="Arial"/>
              </w:rPr>
              <w:t>7%</w:t>
            </w:r>
          </w:p>
        </w:tc>
        <w:tc>
          <w:tcPr>
            <w:tcW w:w="1219" w:type="dxa"/>
            <w:tcBorders>
              <w:top w:val="nil"/>
              <w:left w:val="nil"/>
              <w:bottom w:val="nil"/>
              <w:right w:val="nil"/>
            </w:tcBorders>
            <w:shd w:val="clear" w:color="auto" w:fill="auto"/>
            <w:vAlign w:val="center"/>
            <w:hideMark/>
          </w:tcPr>
          <w:p w14:paraId="5FBAD586"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r>
      <w:tr w:rsidR="0090485B" w:rsidRPr="009372FF" w14:paraId="62CF6AB7"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609C2D9D"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628EB7B3" w14:textId="77777777" w:rsidR="0090485B" w:rsidRPr="009372FF" w:rsidRDefault="0090485B" w:rsidP="008F07B7">
            <w:pPr>
              <w:ind w:firstLineChars="200" w:firstLine="400"/>
              <w:jc w:val="left"/>
              <w:rPr>
                <w:rFonts w:ascii="Arial Narrow" w:hAnsi="Arial Narrow" w:cs="Arial"/>
                <w:i/>
                <w:iCs/>
              </w:rPr>
            </w:pPr>
            <w:r w:rsidRPr="009372FF">
              <w:rPr>
                <w:rFonts w:ascii="Arial Narrow" w:hAnsi="Arial Narrow" w:cs="Arial"/>
                <w:i/>
                <w:iCs/>
              </w:rPr>
              <w:t>Fellowships</w:t>
            </w:r>
          </w:p>
        </w:tc>
        <w:tc>
          <w:tcPr>
            <w:tcW w:w="1169" w:type="dxa"/>
            <w:tcBorders>
              <w:top w:val="nil"/>
              <w:left w:val="nil"/>
              <w:bottom w:val="nil"/>
              <w:right w:val="nil"/>
            </w:tcBorders>
            <w:shd w:val="clear" w:color="auto" w:fill="auto"/>
            <w:vAlign w:val="center"/>
            <w:hideMark/>
          </w:tcPr>
          <w:p w14:paraId="182A3BCD"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1169" w:type="dxa"/>
            <w:tcBorders>
              <w:top w:val="nil"/>
              <w:left w:val="nil"/>
              <w:bottom w:val="nil"/>
              <w:right w:val="nil"/>
            </w:tcBorders>
            <w:shd w:val="clear" w:color="auto" w:fill="auto"/>
            <w:vAlign w:val="center"/>
            <w:hideMark/>
          </w:tcPr>
          <w:p w14:paraId="2744DEEC" w14:textId="77777777" w:rsidR="0090485B" w:rsidRPr="009372FF" w:rsidRDefault="0090485B" w:rsidP="008F07B7">
            <w:pPr>
              <w:jc w:val="right"/>
              <w:rPr>
                <w:rFonts w:ascii="Arial Narrow" w:hAnsi="Arial Narrow" w:cs="Arial"/>
              </w:rPr>
            </w:pPr>
            <w:r w:rsidRPr="009372FF">
              <w:rPr>
                <w:rFonts w:ascii="Arial Narrow" w:hAnsi="Arial Narrow" w:cs="Arial"/>
              </w:rPr>
              <w:t>65</w:t>
            </w:r>
          </w:p>
        </w:tc>
        <w:tc>
          <w:tcPr>
            <w:tcW w:w="970" w:type="dxa"/>
            <w:tcBorders>
              <w:top w:val="nil"/>
              <w:left w:val="nil"/>
              <w:bottom w:val="nil"/>
              <w:right w:val="nil"/>
            </w:tcBorders>
            <w:shd w:val="clear" w:color="auto" w:fill="auto"/>
            <w:vAlign w:val="center"/>
            <w:hideMark/>
          </w:tcPr>
          <w:p w14:paraId="1828C719"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992" w:type="dxa"/>
            <w:tcBorders>
              <w:top w:val="nil"/>
              <w:left w:val="nil"/>
              <w:bottom w:val="nil"/>
              <w:right w:val="nil"/>
            </w:tcBorders>
            <w:shd w:val="clear" w:color="auto" w:fill="auto"/>
            <w:vAlign w:val="center"/>
            <w:hideMark/>
          </w:tcPr>
          <w:p w14:paraId="6F6AC8DF" w14:textId="77777777" w:rsidR="0090485B" w:rsidRPr="009372FF" w:rsidRDefault="0090485B" w:rsidP="008F07B7">
            <w:pPr>
              <w:jc w:val="right"/>
              <w:rPr>
                <w:rFonts w:ascii="Arial Narrow" w:hAnsi="Arial Narrow" w:cs="Arial"/>
              </w:rPr>
            </w:pPr>
            <w:r w:rsidRPr="009372FF">
              <w:rPr>
                <w:rFonts w:ascii="Arial Narrow" w:hAnsi="Arial Narrow" w:cs="Arial"/>
              </w:rPr>
              <w:t>1%</w:t>
            </w:r>
          </w:p>
        </w:tc>
        <w:tc>
          <w:tcPr>
            <w:tcW w:w="1219" w:type="dxa"/>
            <w:tcBorders>
              <w:top w:val="nil"/>
              <w:left w:val="nil"/>
              <w:bottom w:val="nil"/>
              <w:right w:val="nil"/>
            </w:tcBorders>
            <w:shd w:val="clear" w:color="auto" w:fill="auto"/>
            <w:vAlign w:val="center"/>
            <w:hideMark/>
          </w:tcPr>
          <w:p w14:paraId="6EA8F517" w14:textId="77777777" w:rsidR="0090485B" w:rsidRPr="009372FF" w:rsidRDefault="0090485B" w:rsidP="008F07B7">
            <w:pPr>
              <w:jc w:val="right"/>
              <w:rPr>
                <w:rFonts w:ascii="Arial Narrow" w:hAnsi="Arial Narrow" w:cs="Arial"/>
              </w:rPr>
            </w:pPr>
            <w:r w:rsidRPr="009372FF">
              <w:rPr>
                <w:rFonts w:ascii="Arial Narrow" w:hAnsi="Arial Narrow" w:cs="Arial"/>
              </w:rPr>
              <w:t>65</w:t>
            </w:r>
          </w:p>
        </w:tc>
      </w:tr>
      <w:tr w:rsidR="0090485B" w:rsidRPr="009372FF" w14:paraId="29F7DA24" w14:textId="77777777" w:rsidTr="008F07B7">
        <w:trPr>
          <w:trHeight w:val="314"/>
          <w:jc w:val="center"/>
        </w:trPr>
        <w:tc>
          <w:tcPr>
            <w:tcW w:w="320" w:type="dxa"/>
            <w:tcBorders>
              <w:top w:val="nil"/>
              <w:left w:val="nil"/>
              <w:bottom w:val="single" w:sz="4" w:space="0" w:color="AAB8C4"/>
              <w:right w:val="nil"/>
            </w:tcBorders>
            <w:shd w:val="clear" w:color="auto" w:fill="auto"/>
            <w:noWrap/>
            <w:vAlign w:val="bottom"/>
            <w:hideMark/>
          </w:tcPr>
          <w:p w14:paraId="4A3DD5F5" w14:textId="77777777" w:rsidR="0090485B" w:rsidRPr="009372FF" w:rsidRDefault="0090485B" w:rsidP="008F07B7">
            <w:pPr>
              <w:jc w:val="left"/>
              <w:rPr>
                <w:rFonts w:cs="Arial"/>
              </w:rPr>
            </w:pPr>
            <w:r w:rsidRPr="009372FF">
              <w:rPr>
                <w:rFonts w:cs="Arial"/>
              </w:rPr>
              <w:t> </w:t>
            </w:r>
          </w:p>
        </w:tc>
        <w:tc>
          <w:tcPr>
            <w:tcW w:w="2893" w:type="dxa"/>
            <w:tcBorders>
              <w:top w:val="nil"/>
              <w:left w:val="nil"/>
              <w:bottom w:val="single" w:sz="4" w:space="0" w:color="AAB8C4"/>
              <w:right w:val="nil"/>
            </w:tcBorders>
            <w:shd w:val="clear" w:color="auto" w:fill="auto"/>
            <w:vAlign w:val="bottom"/>
            <w:hideMark/>
          </w:tcPr>
          <w:p w14:paraId="4145EBED" w14:textId="77777777" w:rsidR="0090485B" w:rsidRPr="009372FF" w:rsidRDefault="0090485B" w:rsidP="008F07B7">
            <w:pPr>
              <w:jc w:val="left"/>
              <w:rPr>
                <w:rFonts w:ascii="Arial Narrow" w:hAnsi="Arial Narrow" w:cs="Arial"/>
                <w:b/>
                <w:bCs/>
              </w:rPr>
            </w:pPr>
            <w:r w:rsidRPr="009372FF">
              <w:rPr>
                <w:rFonts w:ascii="Arial Narrow" w:hAnsi="Arial Narrow" w:cs="Arial"/>
                <w:b/>
                <w:bCs/>
              </w:rPr>
              <w:t>Sub-total</w:t>
            </w:r>
          </w:p>
        </w:tc>
        <w:tc>
          <w:tcPr>
            <w:tcW w:w="1169" w:type="dxa"/>
            <w:tcBorders>
              <w:top w:val="nil"/>
              <w:left w:val="nil"/>
              <w:bottom w:val="single" w:sz="4" w:space="0" w:color="AAB8C4"/>
              <w:right w:val="nil"/>
            </w:tcBorders>
            <w:shd w:val="clear" w:color="auto" w:fill="auto"/>
            <w:vAlign w:val="center"/>
            <w:hideMark/>
          </w:tcPr>
          <w:p w14:paraId="3278A75C"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70</w:t>
            </w:r>
          </w:p>
        </w:tc>
        <w:tc>
          <w:tcPr>
            <w:tcW w:w="1169" w:type="dxa"/>
            <w:tcBorders>
              <w:top w:val="nil"/>
              <w:left w:val="nil"/>
              <w:bottom w:val="single" w:sz="4" w:space="0" w:color="AAB8C4"/>
              <w:right w:val="nil"/>
            </w:tcBorders>
            <w:shd w:val="clear" w:color="auto" w:fill="auto"/>
            <w:vAlign w:val="center"/>
            <w:hideMark/>
          </w:tcPr>
          <w:p w14:paraId="59B93A1B"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69</w:t>
            </w:r>
          </w:p>
        </w:tc>
        <w:tc>
          <w:tcPr>
            <w:tcW w:w="970" w:type="dxa"/>
            <w:tcBorders>
              <w:top w:val="nil"/>
              <w:left w:val="nil"/>
              <w:bottom w:val="single" w:sz="4" w:space="0" w:color="BFBFBF"/>
              <w:right w:val="nil"/>
            </w:tcBorders>
            <w:shd w:val="clear" w:color="auto" w:fill="auto"/>
            <w:vAlign w:val="center"/>
            <w:hideMark/>
          </w:tcPr>
          <w:p w14:paraId="31F6F4CD" w14:textId="77777777" w:rsidR="0090485B" w:rsidRPr="009372FF" w:rsidRDefault="0090485B" w:rsidP="008F07B7">
            <w:pPr>
              <w:jc w:val="right"/>
              <w:rPr>
                <w:rFonts w:ascii="Arial Narrow" w:hAnsi="Arial Narrow" w:cs="Arial"/>
              </w:rPr>
            </w:pPr>
            <w:r w:rsidRPr="009372FF">
              <w:rPr>
                <w:rFonts w:ascii="Arial Narrow" w:hAnsi="Arial Narrow" w:cs="Arial"/>
              </w:rPr>
              <w:t>1</w:t>
            </w:r>
          </w:p>
        </w:tc>
        <w:tc>
          <w:tcPr>
            <w:tcW w:w="992" w:type="dxa"/>
            <w:tcBorders>
              <w:top w:val="nil"/>
              <w:left w:val="nil"/>
              <w:bottom w:val="single" w:sz="4" w:space="0" w:color="BFBFBF"/>
              <w:right w:val="nil"/>
            </w:tcBorders>
            <w:shd w:val="clear" w:color="auto" w:fill="auto"/>
            <w:vAlign w:val="center"/>
            <w:hideMark/>
          </w:tcPr>
          <w:p w14:paraId="6A1A31E3" w14:textId="77777777" w:rsidR="0090485B" w:rsidRPr="009372FF" w:rsidRDefault="0090485B" w:rsidP="008F07B7">
            <w:pPr>
              <w:jc w:val="right"/>
              <w:rPr>
                <w:rFonts w:ascii="Arial Narrow" w:hAnsi="Arial Narrow" w:cs="Arial"/>
              </w:rPr>
            </w:pPr>
            <w:r w:rsidRPr="009372FF">
              <w:rPr>
                <w:rFonts w:ascii="Arial Narrow" w:hAnsi="Arial Narrow" w:cs="Arial"/>
              </w:rPr>
              <w:t>1%</w:t>
            </w:r>
          </w:p>
        </w:tc>
        <w:tc>
          <w:tcPr>
            <w:tcW w:w="1219" w:type="dxa"/>
            <w:tcBorders>
              <w:top w:val="nil"/>
              <w:left w:val="nil"/>
              <w:bottom w:val="single" w:sz="4" w:space="0" w:color="AAB8C4"/>
              <w:right w:val="nil"/>
            </w:tcBorders>
            <w:shd w:val="clear" w:color="auto" w:fill="auto"/>
            <w:vAlign w:val="center"/>
            <w:hideMark/>
          </w:tcPr>
          <w:p w14:paraId="09F8D45E"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70</w:t>
            </w:r>
          </w:p>
        </w:tc>
      </w:tr>
      <w:tr w:rsidR="0090485B" w:rsidRPr="009372FF" w14:paraId="17E2682E" w14:textId="77777777" w:rsidTr="008F07B7">
        <w:trPr>
          <w:trHeight w:val="407"/>
          <w:jc w:val="center"/>
        </w:trPr>
        <w:tc>
          <w:tcPr>
            <w:tcW w:w="320" w:type="dxa"/>
            <w:tcBorders>
              <w:top w:val="nil"/>
              <w:left w:val="nil"/>
              <w:bottom w:val="nil"/>
              <w:right w:val="nil"/>
            </w:tcBorders>
            <w:shd w:val="clear" w:color="auto" w:fill="auto"/>
            <w:noWrap/>
            <w:vAlign w:val="bottom"/>
            <w:hideMark/>
          </w:tcPr>
          <w:p w14:paraId="24784F34" w14:textId="77777777" w:rsidR="0090485B" w:rsidRPr="009372FF" w:rsidRDefault="0090485B" w:rsidP="008F07B7">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14:paraId="3683333E" w14:textId="77777777" w:rsidR="0090485B" w:rsidRPr="009372FF" w:rsidRDefault="0090485B" w:rsidP="008F07B7">
            <w:pPr>
              <w:jc w:val="left"/>
              <w:rPr>
                <w:rFonts w:ascii="Arial Narrow" w:hAnsi="Arial Narrow" w:cs="Arial"/>
                <w:b/>
                <w:bCs/>
              </w:rPr>
            </w:pPr>
            <w:r w:rsidRPr="009372FF">
              <w:rPr>
                <w:rFonts w:ascii="Arial Narrow" w:hAnsi="Arial Narrow" w:cs="Arial"/>
                <w:b/>
                <w:bCs/>
              </w:rPr>
              <w:t>Travel,</w:t>
            </w:r>
            <w:r>
              <w:rPr>
                <w:rFonts w:ascii="Arial Narrow" w:hAnsi="Arial Narrow" w:cs="Arial"/>
                <w:b/>
                <w:bCs/>
              </w:rPr>
              <w:t xml:space="preserve"> </w:t>
            </w:r>
            <w:r w:rsidRPr="009372FF">
              <w:rPr>
                <w:rFonts w:ascii="Arial Narrow" w:hAnsi="Arial Narrow" w:cs="Arial"/>
                <w:b/>
                <w:bCs/>
              </w:rPr>
              <w:t>Training</w:t>
            </w:r>
            <w:r>
              <w:rPr>
                <w:rFonts w:ascii="Arial Narrow" w:hAnsi="Arial Narrow" w:cs="Arial"/>
                <w:b/>
                <w:bCs/>
              </w:rPr>
              <w:t xml:space="preserve"> </w:t>
            </w:r>
            <w:r w:rsidRPr="009372FF">
              <w:rPr>
                <w:rFonts w:ascii="Arial Narrow" w:hAnsi="Arial Narrow" w:cs="Arial"/>
                <w:b/>
                <w:bCs/>
              </w:rPr>
              <w:t>and</w:t>
            </w:r>
            <w:r>
              <w:rPr>
                <w:rFonts w:ascii="Arial Narrow" w:hAnsi="Arial Narrow" w:cs="Arial"/>
                <w:b/>
                <w:bCs/>
              </w:rPr>
              <w:t xml:space="preserve"> </w:t>
            </w:r>
            <w:r w:rsidRPr="009372FF">
              <w:rPr>
                <w:rFonts w:ascii="Arial Narrow" w:hAnsi="Arial Narrow" w:cs="Arial"/>
                <w:b/>
                <w:bCs/>
              </w:rPr>
              <w:t>Grants</w:t>
            </w:r>
          </w:p>
        </w:tc>
        <w:tc>
          <w:tcPr>
            <w:tcW w:w="1169" w:type="dxa"/>
            <w:tcBorders>
              <w:top w:val="nil"/>
              <w:left w:val="nil"/>
              <w:bottom w:val="nil"/>
              <w:right w:val="nil"/>
            </w:tcBorders>
            <w:shd w:val="clear" w:color="auto" w:fill="auto"/>
            <w:vAlign w:val="center"/>
            <w:hideMark/>
          </w:tcPr>
          <w:p w14:paraId="62519196" w14:textId="77777777" w:rsidR="0090485B" w:rsidRPr="009372FF" w:rsidRDefault="0090485B" w:rsidP="008F07B7">
            <w:pPr>
              <w:jc w:val="right"/>
              <w:rPr>
                <w:rFonts w:ascii="Arial Narrow" w:hAnsi="Arial Narrow" w:cs="Arial"/>
                <w:b/>
                <w:bCs/>
              </w:rPr>
            </w:pPr>
          </w:p>
        </w:tc>
        <w:tc>
          <w:tcPr>
            <w:tcW w:w="1169" w:type="dxa"/>
            <w:tcBorders>
              <w:top w:val="nil"/>
              <w:left w:val="nil"/>
              <w:bottom w:val="nil"/>
              <w:right w:val="nil"/>
            </w:tcBorders>
            <w:shd w:val="clear" w:color="auto" w:fill="auto"/>
            <w:vAlign w:val="center"/>
            <w:hideMark/>
          </w:tcPr>
          <w:p w14:paraId="6E4B0CF1"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503C7781"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3AC176BE"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2AF51990" w14:textId="77777777" w:rsidR="0090485B" w:rsidRPr="009372FF" w:rsidRDefault="0090485B" w:rsidP="008F07B7">
            <w:pPr>
              <w:jc w:val="right"/>
              <w:rPr>
                <w:rFonts w:ascii="Times New Roman" w:hAnsi="Times New Roman"/>
              </w:rPr>
            </w:pPr>
          </w:p>
        </w:tc>
      </w:tr>
      <w:tr w:rsidR="0090485B" w:rsidRPr="009372FF" w14:paraId="211400BC"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63C36F65"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bottom"/>
            <w:hideMark/>
          </w:tcPr>
          <w:p w14:paraId="5B9568DB"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Staff</w:t>
            </w:r>
            <w:r>
              <w:rPr>
                <w:rFonts w:ascii="Arial Narrow" w:hAnsi="Arial Narrow" w:cs="Arial"/>
                <w:i/>
                <w:iCs/>
                <w:color w:val="000000"/>
              </w:rPr>
              <w:t xml:space="preserve"> </w:t>
            </w:r>
            <w:r w:rsidRPr="009372FF">
              <w:rPr>
                <w:rFonts w:ascii="Arial Narrow" w:hAnsi="Arial Narrow" w:cs="Arial"/>
                <w:i/>
                <w:iCs/>
                <w:color w:val="000000"/>
              </w:rPr>
              <w:t>missions</w:t>
            </w:r>
          </w:p>
        </w:tc>
        <w:tc>
          <w:tcPr>
            <w:tcW w:w="1169" w:type="dxa"/>
            <w:tcBorders>
              <w:top w:val="nil"/>
              <w:left w:val="nil"/>
              <w:bottom w:val="nil"/>
              <w:right w:val="nil"/>
            </w:tcBorders>
            <w:shd w:val="clear" w:color="auto" w:fill="auto"/>
            <w:vAlign w:val="center"/>
            <w:hideMark/>
          </w:tcPr>
          <w:p w14:paraId="0DE47A5F" w14:textId="77777777" w:rsidR="0090485B" w:rsidRPr="009372FF" w:rsidRDefault="0090485B" w:rsidP="008F07B7">
            <w:pPr>
              <w:jc w:val="right"/>
              <w:rPr>
                <w:rFonts w:ascii="Arial Narrow" w:hAnsi="Arial Narrow" w:cs="Arial"/>
              </w:rPr>
            </w:pPr>
            <w:r w:rsidRPr="009372FF">
              <w:rPr>
                <w:rFonts w:ascii="Arial Narrow" w:hAnsi="Arial Narrow" w:cs="Arial"/>
              </w:rPr>
              <w:t>441</w:t>
            </w:r>
          </w:p>
        </w:tc>
        <w:tc>
          <w:tcPr>
            <w:tcW w:w="1169" w:type="dxa"/>
            <w:tcBorders>
              <w:top w:val="nil"/>
              <w:left w:val="nil"/>
              <w:bottom w:val="nil"/>
              <w:right w:val="nil"/>
            </w:tcBorders>
            <w:shd w:val="clear" w:color="auto" w:fill="auto"/>
            <w:vAlign w:val="center"/>
            <w:hideMark/>
          </w:tcPr>
          <w:p w14:paraId="113735B4" w14:textId="77777777" w:rsidR="0090485B" w:rsidRPr="009372FF" w:rsidRDefault="0090485B" w:rsidP="008F07B7">
            <w:pPr>
              <w:jc w:val="right"/>
              <w:rPr>
                <w:rFonts w:ascii="Arial Narrow" w:hAnsi="Arial Narrow" w:cs="Arial"/>
              </w:rPr>
            </w:pPr>
            <w:r w:rsidRPr="009372FF">
              <w:rPr>
                <w:rFonts w:ascii="Arial Narrow" w:hAnsi="Arial Narrow" w:cs="Arial"/>
              </w:rPr>
              <w:t>500</w:t>
            </w:r>
          </w:p>
        </w:tc>
        <w:tc>
          <w:tcPr>
            <w:tcW w:w="970" w:type="dxa"/>
            <w:tcBorders>
              <w:top w:val="nil"/>
              <w:left w:val="nil"/>
              <w:bottom w:val="nil"/>
              <w:right w:val="nil"/>
            </w:tcBorders>
            <w:shd w:val="clear" w:color="auto" w:fill="auto"/>
            <w:vAlign w:val="center"/>
            <w:hideMark/>
          </w:tcPr>
          <w:p w14:paraId="0E13EDCB" w14:textId="3A52EAEA" w:rsidR="0090485B" w:rsidRPr="009372FF" w:rsidRDefault="0090485B" w:rsidP="00091D98">
            <w:pPr>
              <w:jc w:val="right"/>
              <w:rPr>
                <w:rFonts w:ascii="Arial Narrow" w:hAnsi="Arial Narrow" w:cs="Arial"/>
              </w:rPr>
            </w:pPr>
            <w:r w:rsidRPr="009372FF">
              <w:rPr>
                <w:rFonts w:ascii="Arial Narrow" w:hAnsi="Arial Narrow" w:cs="Arial"/>
              </w:rPr>
              <w:t>(1</w:t>
            </w:r>
            <w:r w:rsidR="00091D98">
              <w:rPr>
                <w:rFonts w:ascii="Arial Narrow" w:hAnsi="Arial Narrow" w:cs="Arial"/>
              </w:rPr>
              <w:t>51</w:t>
            </w:r>
            <w:r w:rsidRPr="009372FF">
              <w:rPr>
                <w:rFonts w:ascii="Arial Narrow" w:hAnsi="Arial Narrow" w:cs="Arial"/>
              </w:rPr>
              <w:t>)</w:t>
            </w:r>
          </w:p>
        </w:tc>
        <w:tc>
          <w:tcPr>
            <w:tcW w:w="992" w:type="dxa"/>
            <w:tcBorders>
              <w:top w:val="nil"/>
              <w:left w:val="nil"/>
              <w:bottom w:val="nil"/>
              <w:right w:val="nil"/>
            </w:tcBorders>
            <w:shd w:val="clear" w:color="auto" w:fill="auto"/>
            <w:vAlign w:val="center"/>
            <w:hideMark/>
          </w:tcPr>
          <w:p w14:paraId="2D964F73" w14:textId="1A0AD579" w:rsidR="0090485B" w:rsidRPr="009372FF" w:rsidRDefault="0090485B" w:rsidP="00091D98">
            <w:pPr>
              <w:jc w:val="right"/>
              <w:rPr>
                <w:rFonts w:ascii="Arial Narrow" w:hAnsi="Arial Narrow" w:cs="Arial"/>
              </w:rPr>
            </w:pPr>
            <w:r w:rsidRPr="009372FF">
              <w:rPr>
                <w:rFonts w:ascii="Arial Narrow" w:hAnsi="Arial Narrow" w:cs="Arial"/>
              </w:rPr>
              <w:t>-</w:t>
            </w:r>
            <w:r w:rsidR="00091D98">
              <w:rPr>
                <w:rFonts w:ascii="Arial Narrow" w:hAnsi="Arial Narrow" w:cs="Arial"/>
              </w:rPr>
              <w:t>30</w:t>
            </w:r>
            <w:r w:rsidRPr="009372FF">
              <w:rPr>
                <w:rFonts w:ascii="Arial Narrow" w:hAnsi="Arial Narrow" w:cs="Arial"/>
              </w:rPr>
              <w:t>%</w:t>
            </w:r>
          </w:p>
        </w:tc>
        <w:tc>
          <w:tcPr>
            <w:tcW w:w="1219" w:type="dxa"/>
            <w:tcBorders>
              <w:top w:val="nil"/>
              <w:left w:val="nil"/>
              <w:bottom w:val="nil"/>
              <w:right w:val="nil"/>
            </w:tcBorders>
            <w:shd w:val="clear" w:color="auto" w:fill="auto"/>
            <w:vAlign w:val="center"/>
            <w:hideMark/>
          </w:tcPr>
          <w:p w14:paraId="7A72CC49" w14:textId="2CAC3ADB" w:rsidR="0090485B" w:rsidRPr="009372FF" w:rsidRDefault="0090485B" w:rsidP="00091D98">
            <w:pPr>
              <w:jc w:val="right"/>
              <w:rPr>
                <w:rFonts w:ascii="Arial Narrow" w:hAnsi="Arial Narrow" w:cs="Arial"/>
              </w:rPr>
            </w:pPr>
            <w:r w:rsidRPr="009372FF">
              <w:rPr>
                <w:rFonts w:ascii="Arial Narrow" w:hAnsi="Arial Narrow" w:cs="Arial"/>
              </w:rPr>
              <w:t>3</w:t>
            </w:r>
            <w:r w:rsidR="00091D98">
              <w:rPr>
                <w:rFonts w:ascii="Arial Narrow" w:hAnsi="Arial Narrow" w:cs="Arial"/>
              </w:rPr>
              <w:t>49</w:t>
            </w:r>
          </w:p>
        </w:tc>
      </w:tr>
      <w:tr w:rsidR="0090485B" w:rsidRPr="009372FF" w14:paraId="0AB3EA0C"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176CFBA6"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4AFED07E"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Third</w:t>
            </w:r>
            <w:r>
              <w:rPr>
                <w:rFonts w:ascii="Arial Narrow" w:hAnsi="Arial Narrow" w:cs="Arial"/>
                <w:i/>
                <w:iCs/>
                <w:color w:val="000000"/>
              </w:rPr>
              <w:t xml:space="preserve"> </w:t>
            </w:r>
            <w:r w:rsidRPr="009372FF">
              <w:rPr>
                <w:rFonts w:ascii="Arial Narrow" w:hAnsi="Arial Narrow" w:cs="Arial"/>
                <w:i/>
                <w:iCs/>
                <w:color w:val="000000"/>
              </w:rPr>
              <w:t>Party</w:t>
            </w:r>
            <w:r>
              <w:rPr>
                <w:rFonts w:ascii="Arial Narrow" w:hAnsi="Arial Narrow" w:cs="Arial"/>
                <w:i/>
                <w:iCs/>
                <w:color w:val="000000"/>
              </w:rPr>
              <w:t xml:space="preserve"> </w:t>
            </w:r>
            <w:r w:rsidRPr="009372FF">
              <w:rPr>
                <w:rFonts w:ascii="Arial Narrow" w:hAnsi="Arial Narrow" w:cs="Arial"/>
                <w:i/>
                <w:iCs/>
                <w:color w:val="000000"/>
              </w:rPr>
              <w:t>Travel</w:t>
            </w:r>
          </w:p>
        </w:tc>
        <w:tc>
          <w:tcPr>
            <w:tcW w:w="1169" w:type="dxa"/>
            <w:tcBorders>
              <w:top w:val="nil"/>
              <w:left w:val="nil"/>
              <w:bottom w:val="nil"/>
              <w:right w:val="nil"/>
            </w:tcBorders>
            <w:shd w:val="clear" w:color="auto" w:fill="auto"/>
            <w:vAlign w:val="center"/>
            <w:hideMark/>
          </w:tcPr>
          <w:p w14:paraId="2C914CAA" w14:textId="77777777" w:rsidR="0090485B" w:rsidRPr="009372FF" w:rsidRDefault="0090485B" w:rsidP="008F07B7">
            <w:pPr>
              <w:jc w:val="right"/>
              <w:rPr>
                <w:rFonts w:ascii="Arial Narrow" w:hAnsi="Arial Narrow" w:cs="Arial"/>
              </w:rPr>
            </w:pPr>
            <w:r w:rsidRPr="009372FF">
              <w:rPr>
                <w:rFonts w:ascii="Arial Narrow" w:hAnsi="Arial Narrow" w:cs="Arial"/>
              </w:rPr>
              <w:t>4</w:t>
            </w:r>
          </w:p>
        </w:tc>
        <w:tc>
          <w:tcPr>
            <w:tcW w:w="1169" w:type="dxa"/>
            <w:tcBorders>
              <w:top w:val="nil"/>
              <w:left w:val="nil"/>
              <w:bottom w:val="nil"/>
              <w:right w:val="nil"/>
            </w:tcBorders>
            <w:shd w:val="clear" w:color="auto" w:fill="auto"/>
            <w:vAlign w:val="center"/>
            <w:hideMark/>
          </w:tcPr>
          <w:p w14:paraId="5D36D5E5" w14:textId="77777777" w:rsidR="0090485B" w:rsidRPr="009372FF" w:rsidRDefault="0090485B" w:rsidP="008F07B7">
            <w:pPr>
              <w:jc w:val="right"/>
              <w:rPr>
                <w:rFonts w:ascii="Arial Narrow" w:hAnsi="Arial Narrow" w:cs="Arial"/>
              </w:rPr>
            </w:pPr>
            <w:r w:rsidRPr="009372FF">
              <w:rPr>
                <w:rFonts w:ascii="Arial Narrow" w:hAnsi="Arial Narrow" w:cs="Arial"/>
              </w:rPr>
              <w:t>25</w:t>
            </w:r>
          </w:p>
        </w:tc>
        <w:tc>
          <w:tcPr>
            <w:tcW w:w="970" w:type="dxa"/>
            <w:tcBorders>
              <w:top w:val="nil"/>
              <w:left w:val="nil"/>
              <w:bottom w:val="nil"/>
              <w:right w:val="nil"/>
            </w:tcBorders>
            <w:shd w:val="clear" w:color="auto" w:fill="auto"/>
            <w:vAlign w:val="center"/>
            <w:hideMark/>
          </w:tcPr>
          <w:p w14:paraId="1BB89E9D" w14:textId="77777777" w:rsidR="0090485B" w:rsidRPr="009372FF" w:rsidRDefault="0090485B" w:rsidP="008F07B7">
            <w:pPr>
              <w:jc w:val="right"/>
              <w:rPr>
                <w:rFonts w:ascii="Arial Narrow" w:hAnsi="Arial Narrow" w:cs="Arial"/>
              </w:rPr>
            </w:pPr>
            <w:r w:rsidRPr="009372FF">
              <w:rPr>
                <w:rFonts w:ascii="Arial Narrow" w:hAnsi="Arial Narrow" w:cs="Arial"/>
              </w:rPr>
              <w:t>(13)</w:t>
            </w:r>
          </w:p>
        </w:tc>
        <w:tc>
          <w:tcPr>
            <w:tcW w:w="992" w:type="dxa"/>
            <w:tcBorders>
              <w:top w:val="nil"/>
              <w:left w:val="nil"/>
              <w:bottom w:val="nil"/>
              <w:right w:val="nil"/>
            </w:tcBorders>
            <w:shd w:val="clear" w:color="auto" w:fill="auto"/>
            <w:vAlign w:val="center"/>
            <w:hideMark/>
          </w:tcPr>
          <w:p w14:paraId="14A9C082" w14:textId="77777777" w:rsidR="0090485B" w:rsidRPr="009372FF" w:rsidRDefault="0090485B" w:rsidP="008F07B7">
            <w:pPr>
              <w:jc w:val="right"/>
              <w:rPr>
                <w:rFonts w:ascii="Arial Narrow" w:hAnsi="Arial Narrow" w:cs="Arial"/>
              </w:rPr>
            </w:pPr>
            <w:r w:rsidRPr="009372FF">
              <w:rPr>
                <w:rFonts w:ascii="Arial Narrow" w:hAnsi="Arial Narrow" w:cs="Arial"/>
              </w:rPr>
              <w:t>-52%</w:t>
            </w:r>
          </w:p>
        </w:tc>
        <w:tc>
          <w:tcPr>
            <w:tcW w:w="1219" w:type="dxa"/>
            <w:tcBorders>
              <w:top w:val="nil"/>
              <w:left w:val="nil"/>
              <w:bottom w:val="nil"/>
              <w:right w:val="nil"/>
            </w:tcBorders>
            <w:shd w:val="clear" w:color="auto" w:fill="auto"/>
            <w:vAlign w:val="center"/>
            <w:hideMark/>
          </w:tcPr>
          <w:p w14:paraId="4F4AFC0A" w14:textId="77777777" w:rsidR="0090485B" w:rsidRPr="009372FF" w:rsidRDefault="0090485B" w:rsidP="008F07B7">
            <w:pPr>
              <w:jc w:val="right"/>
              <w:rPr>
                <w:rFonts w:ascii="Arial Narrow" w:hAnsi="Arial Narrow" w:cs="Arial"/>
              </w:rPr>
            </w:pPr>
            <w:r w:rsidRPr="009372FF">
              <w:rPr>
                <w:rFonts w:ascii="Arial Narrow" w:hAnsi="Arial Narrow" w:cs="Arial"/>
              </w:rPr>
              <w:t>12</w:t>
            </w:r>
          </w:p>
        </w:tc>
      </w:tr>
      <w:tr w:rsidR="0090485B" w:rsidRPr="009372FF" w14:paraId="2EFFEF31" w14:textId="77777777" w:rsidTr="008F07B7">
        <w:trPr>
          <w:trHeight w:val="314"/>
          <w:jc w:val="center"/>
        </w:trPr>
        <w:tc>
          <w:tcPr>
            <w:tcW w:w="320" w:type="dxa"/>
            <w:tcBorders>
              <w:top w:val="nil"/>
              <w:left w:val="nil"/>
              <w:bottom w:val="single" w:sz="4" w:space="0" w:color="AAB8C4"/>
              <w:right w:val="nil"/>
            </w:tcBorders>
            <w:shd w:val="clear" w:color="auto" w:fill="auto"/>
            <w:noWrap/>
            <w:vAlign w:val="bottom"/>
            <w:hideMark/>
          </w:tcPr>
          <w:p w14:paraId="33267CBE" w14:textId="77777777" w:rsidR="0090485B" w:rsidRPr="009372FF" w:rsidRDefault="0090485B" w:rsidP="008F07B7">
            <w:pPr>
              <w:jc w:val="left"/>
              <w:rPr>
                <w:rFonts w:cs="Arial"/>
              </w:rPr>
            </w:pPr>
            <w:r w:rsidRPr="009372FF">
              <w:rPr>
                <w:rFonts w:cs="Arial"/>
              </w:rPr>
              <w:t> </w:t>
            </w:r>
          </w:p>
        </w:tc>
        <w:tc>
          <w:tcPr>
            <w:tcW w:w="2893" w:type="dxa"/>
            <w:tcBorders>
              <w:top w:val="nil"/>
              <w:left w:val="nil"/>
              <w:bottom w:val="single" w:sz="4" w:space="0" w:color="AAB8C4"/>
              <w:right w:val="nil"/>
            </w:tcBorders>
            <w:shd w:val="clear" w:color="auto" w:fill="auto"/>
            <w:vAlign w:val="bottom"/>
            <w:hideMark/>
          </w:tcPr>
          <w:p w14:paraId="668C4935" w14:textId="77777777" w:rsidR="0090485B" w:rsidRPr="009372FF" w:rsidRDefault="0090485B" w:rsidP="008F07B7">
            <w:pPr>
              <w:jc w:val="left"/>
              <w:rPr>
                <w:rFonts w:ascii="Arial Narrow" w:hAnsi="Arial Narrow" w:cs="Arial"/>
                <w:b/>
                <w:bCs/>
              </w:rPr>
            </w:pPr>
            <w:r w:rsidRPr="009372FF">
              <w:rPr>
                <w:rFonts w:ascii="Arial Narrow" w:hAnsi="Arial Narrow" w:cs="Arial"/>
                <w:b/>
                <w:bCs/>
              </w:rPr>
              <w:t>Sub-total</w:t>
            </w:r>
          </w:p>
        </w:tc>
        <w:tc>
          <w:tcPr>
            <w:tcW w:w="1169" w:type="dxa"/>
            <w:tcBorders>
              <w:top w:val="nil"/>
              <w:left w:val="nil"/>
              <w:bottom w:val="single" w:sz="4" w:space="0" w:color="AAB8C4"/>
              <w:right w:val="nil"/>
            </w:tcBorders>
            <w:shd w:val="clear" w:color="auto" w:fill="auto"/>
            <w:vAlign w:val="center"/>
            <w:hideMark/>
          </w:tcPr>
          <w:p w14:paraId="2EE15B55"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446</w:t>
            </w:r>
          </w:p>
        </w:tc>
        <w:tc>
          <w:tcPr>
            <w:tcW w:w="1169" w:type="dxa"/>
            <w:tcBorders>
              <w:top w:val="nil"/>
              <w:left w:val="nil"/>
              <w:bottom w:val="single" w:sz="4" w:space="0" w:color="AAB8C4"/>
              <w:right w:val="nil"/>
            </w:tcBorders>
            <w:shd w:val="clear" w:color="auto" w:fill="auto"/>
            <w:vAlign w:val="center"/>
            <w:hideMark/>
          </w:tcPr>
          <w:p w14:paraId="1679A6FF"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525</w:t>
            </w:r>
          </w:p>
        </w:tc>
        <w:tc>
          <w:tcPr>
            <w:tcW w:w="970" w:type="dxa"/>
            <w:tcBorders>
              <w:top w:val="nil"/>
              <w:left w:val="nil"/>
              <w:bottom w:val="single" w:sz="4" w:space="0" w:color="BFBFBF"/>
              <w:right w:val="nil"/>
            </w:tcBorders>
            <w:shd w:val="clear" w:color="auto" w:fill="auto"/>
            <w:vAlign w:val="center"/>
            <w:hideMark/>
          </w:tcPr>
          <w:p w14:paraId="54083351" w14:textId="665AAA5D" w:rsidR="0090485B" w:rsidRPr="009372FF" w:rsidRDefault="0090485B" w:rsidP="00091D98">
            <w:pPr>
              <w:jc w:val="right"/>
              <w:rPr>
                <w:rFonts w:ascii="Arial Narrow" w:hAnsi="Arial Narrow" w:cs="Arial"/>
              </w:rPr>
            </w:pPr>
            <w:r w:rsidRPr="009372FF">
              <w:rPr>
                <w:rFonts w:ascii="Arial Narrow" w:hAnsi="Arial Narrow" w:cs="Arial"/>
              </w:rPr>
              <w:t>(1</w:t>
            </w:r>
            <w:r w:rsidR="00091D98">
              <w:rPr>
                <w:rFonts w:ascii="Arial Narrow" w:hAnsi="Arial Narrow" w:cs="Arial"/>
              </w:rPr>
              <w:t>64</w:t>
            </w:r>
            <w:r w:rsidRPr="009372FF">
              <w:rPr>
                <w:rFonts w:ascii="Arial Narrow" w:hAnsi="Arial Narrow" w:cs="Arial"/>
              </w:rPr>
              <w:t>)</w:t>
            </w:r>
          </w:p>
        </w:tc>
        <w:tc>
          <w:tcPr>
            <w:tcW w:w="992" w:type="dxa"/>
            <w:tcBorders>
              <w:top w:val="nil"/>
              <w:left w:val="nil"/>
              <w:bottom w:val="single" w:sz="4" w:space="0" w:color="BFBFBF"/>
              <w:right w:val="nil"/>
            </w:tcBorders>
            <w:shd w:val="clear" w:color="auto" w:fill="auto"/>
            <w:vAlign w:val="center"/>
            <w:hideMark/>
          </w:tcPr>
          <w:p w14:paraId="59A58A7C" w14:textId="3F46A493" w:rsidR="0090485B" w:rsidRPr="009372FF" w:rsidRDefault="0090485B" w:rsidP="00091D98">
            <w:pPr>
              <w:jc w:val="right"/>
              <w:rPr>
                <w:rFonts w:ascii="Arial Narrow" w:hAnsi="Arial Narrow" w:cs="Arial"/>
              </w:rPr>
            </w:pPr>
            <w:r w:rsidRPr="009372FF">
              <w:rPr>
                <w:rFonts w:ascii="Arial Narrow" w:hAnsi="Arial Narrow" w:cs="Arial"/>
              </w:rPr>
              <w:t>-</w:t>
            </w:r>
            <w:r w:rsidR="00091D98">
              <w:rPr>
                <w:rFonts w:ascii="Arial Narrow" w:hAnsi="Arial Narrow" w:cs="Arial"/>
              </w:rPr>
              <w:t>31</w:t>
            </w:r>
            <w:r w:rsidRPr="009372FF">
              <w:rPr>
                <w:rFonts w:ascii="Arial Narrow" w:hAnsi="Arial Narrow" w:cs="Arial"/>
              </w:rPr>
              <w:t>%</w:t>
            </w:r>
          </w:p>
        </w:tc>
        <w:tc>
          <w:tcPr>
            <w:tcW w:w="1219" w:type="dxa"/>
            <w:tcBorders>
              <w:top w:val="nil"/>
              <w:left w:val="nil"/>
              <w:bottom w:val="single" w:sz="4" w:space="0" w:color="AAB8C4"/>
              <w:right w:val="nil"/>
            </w:tcBorders>
            <w:shd w:val="clear" w:color="auto" w:fill="auto"/>
            <w:vAlign w:val="center"/>
            <w:hideMark/>
          </w:tcPr>
          <w:p w14:paraId="3EBE8BA4" w14:textId="14247FBC" w:rsidR="0090485B" w:rsidRPr="009372FF" w:rsidRDefault="0090485B" w:rsidP="00091D98">
            <w:pPr>
              <w:jc w:val="right"/>
              <w:rPr>
                <w:rFonts w:ascii="Arial Narrow" w:hAnsi="Arial Narrow" w:cs="Arial"/>
                <w:b/>
                <w:bCs/>
              </w:rPr>
            </w:pPr>
            <w:r w:rsidRPr="009372FF">
              <w:rPr>
                <w:rFonts w:ascii="Arial Narrow" w:hAnsi="Arial Narrow" w:cs="Arial"/>
                <w:b/>
                <w:bCs/>
              </w:rPr>
              <w:t>3</w:t>
            </w:r>
            <w:r w:rsidR="00091D98">
              <w:rPr>
                <w:rFonts w:ascii="Arial Narrow" w:hAnsi="Arial Narrow" w:cs="Arial"/>
                <w:b/>
                <w:bCs/>
              </w:rPr>
              <w:t>61</w:t>
            </w:r>
          </w:p>
        </w:tc>
      </w:tr>
      <w:tr w:rsidR="0090485B" w:rsidRPr="009372FF" w14:paraId="1818F23D" w14:textId="77777777" w:rsidTr="008F07B7">
        <w:trPr>
          <w:trHeight w:val="407"/>
          <w:jc w:val="center"/>
        </w:trPr>
        <w:tc>
          <w:tcPr>
            <w:tcW w:w="320" w:type="dxa"/>
            <w:tcBorders>
              <w:top w:val="nil"/>
              <w:left w:val="nil"/>
              <w:bottom w:val="nil"/>
              <w:right w:val="nil"/>
            </w:tcBorders>
            <w:shd w:val="clear" w:color="auto" w:fill="auto"/>
            <w:noWrap/>
            <w:vAlign w:val="bottom"/>
            <w:hideMark/>
          </w:tcPr>
          <w:p w14:paraId="2B87F1C2" w14:textId="77777777" w:rsidR="0090485B" w:rsidRPr="009372FF" w:rsidRDefault="0090485B" w:rsidP="008F07B7">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14:paraId="195279D8" w14:textId="77777777" w:rsidR="0090485B" w:rsidRPr="009372FF" w:rsidRDefault="0090485B" w:rsidP="008F07B7">
            <w:pPr>
              <w:jc w:val="left"/>
              <w:rPr>
                <w:rFonts w:ascii="Arial Narrow" w:hAnsi="Arial Narrow" w:cs="Arial"/>
                <w:b/>
                <w:bCs/>
              </w:rPr>
            </w:pPr>
            <w:r w:rsidRPr="009372FF">
              <w:rPr>
                <w:rFonts w:ascii="Arial Narrow" w:hAnsi="Arial Narrow" w:cs="Arial"/>
                <w:b/>
                <w:bCs/>
              </w:rPr>
              <w:t>Contractual</w:t>
            </w:r>
            <w:r>
              <w:rPr>
                <w:rFonts w:ascii="Arial Narrow" w:hAnsi="Arial Narrow" w:cs="Arial"/>
                <w:b/>
                <w:bCs/>
              </w:rPr>
              <w:t xml:space="preserve"> </w:t>
            </w:r>
            <w:r w:rsidRPr="009372FF">
              <w:rPr>
                <w:rFonts w:ascii="Arial Narrow" w:hAnsi="Arial Narrow" w:cs="Arial"/>
                <w:b/>
                <w:bCs/>
              </w:rPr>
              <w:t>Services</w:t>
            </w:r>
          </w:p>
        </w:tc>
        <w:tc>
          <w:tcPr>
            <w:tcW w:w="1169" w:type="dxa"/>
            <w:tcBorders>
              <w:top w:val="nil"/>
              <w:left w:val="nil"/>
              <w:bottom w:val="nil"/>
              <w:right w:val="nil"/>
            </w:tcBorders>
            <w:shd w:val="clear" w:color="auto" w:fill="auto"/>
            <w:vAlign w:val="center"/>
            <w:hideMark/>
          </w:tcPr>
          <w:p w14:paraId="0C190932" w14:textId="77777777" w:rsidR="0090485B" w:rsidRPr="009372FF" w:rsidRDefault="0090485B" w:rsidP="008F07B7">
            <w:pPr>
              <w:jc w:val="right"/>
              <w:rPr>
                <w:rFonts w:ascii="Arial Narrow" w:hAnsi="Arial Narrow" w:cs="Arial"/>
                <w:b/>
                <w:bCs/>
              </w:rPr>
            </w:pPr>
          </w:p>
        </w:tc>
        <w:tc>
          <w:tcPr>
            <w:tcW w:w="1169" w:type="dxa"/>
            <w:tcBorders>
              <w:top w:val="nil"/>
              <w:left w:val="nil"/>
              <w:bottom w:val="nil"/>
              <w:right w:val="nil"/>
            </w:tcBorders>
            <w:shd w:val="clear" w:color="auto" w:fill="auto"/>
            <w:vAlign w:val="center"/>
            <w:hideMark/>
          </w:tcPr>
          <w:p w14:paraId="37827FB5"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246A139B"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147ED46A"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60A79556" w14:textId="77777777" w:rsidR="0090485B" w:rsidRPr="009372FF" w:rsidRDefault="0090485B" w:rsidP="008F07B7">
            <w:pPr>
              <w:jc w:val="right"/>
              <w:rPr>
                <w:rFonts w:ascii="Times New Roman" w:hAnsi="Times New Roman"/>
              </w:rPr>
            </w:pPr>
          </w:p>
        </w:tc>
      </w:tr>
      <w:tr w:rsidR="0090485B" w:rsidRPr="009372FF" w14:paraId="6AFA9F3F"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1011DA84"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bottom"/>
            <w:hideMark/>
          </w:tcPr>
          <w:p w14:paraId="17F8B0F4"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Conferences</w:t>
            </w:r>
          </w:p>
        </w:tc>
        <w:tc>
          <w:tcPr>
            <w:tcW w:w="1169" w:type="dxa"/>
            <w:tcBorders>
              <w:top w:val="nil"/>
              <w:left w:val="nil"/>
              <w:bottom w:val="nil"/>
              <w:right w:val="nil"/>
            </w:tcBorders>
            <w:shd w:val="clear" w:color="auto" w:fill="auto"/>
            <w:vAlign w:val="center"/>
            <w:hideMark/>
          </w:tcPr>
          <w:p w14:paraId="3AA9408E" w14:textId="77777777" w:rsidR="0090485B" w:rsidRPr="009372FF" w:rsidRDefault="0090485B" w:rsidP="008F07B7">
            <w:pPr>
              <w:jc w:val="right"/>
              <w:rPr>
                <w:rFonts w:ascii="Arial Narrow" w:hAnsi="Arial Narrow" w:cs="Arial"/>
              </w:rPr>
            </w:pPr>
            <w:r w:rsidRPr="009372FF">
              <w:rPr>
                <w:rFonts w:ascii="Arial Narrow" w:hAnsi="Arial Narrow" w:cs="Arial"/>
              </w:rPr>
              <w:t>139</w:t>
            </w:r>
          </w:p>
        </w:tc>
        <w:tc>
          <w:tcPr>
            <w:tcW w:w="1169" w:type="dxa"/>
            <w:tcBorders>
              <w:top w:val="nil"/>
              <w:left w:val="nil"/>
              <w:bottom w:val="nil"/>
              <w:right w:val="nil"/>
            </w:tcBorders>
            <w:shd w:val="clear" w:color="auto" w:fill="auto"/>
            <w:vAlign w:val="center"/>
            <w:hideMark/>
          </w:tcPr>
          <w:p w14:paraId="0A1E5F1B" w14:textId="77777777" w:rsidR="0090485B" w:rsidRPr="009372FF" w:rsidRDefault="0090485B" w:rsidP="008F07B7">
            <w:pPr>
              <w:jc w:val="right"/>
              <w:rPr>
                <w:rFonts w:ascii="Arial Narrow" w:hAnsi="Arial Narrow" w:cs="Arial"/>
              </w:rPr>
            </w:pPr>
            <w:r w:rsidRPr="009372FF">
              <w:rPr>
                <w:rFonts w:ascii="Arial Narrow" w:hAnsi="Arial Narrow" w:cs="Arial"/>
              </w:rPr>
              <w:t>160</w:t>
            </w:r>
          </w:p>
        </w:tc>
        <w:tc>
          <w:tcPr>
            <w:tcW w:w="970" w:type="dxa"/>
            <w:tcBorders>
              <w:top w:val="nil"/>
              <w:left w:val="nil"/>
              <w:bottom w:val="nil"/>
              <w:right w:val="nil"/>
            </w:tcBorders>
            <w:shd w:val="clear" w:color="auto" w:fill="auto"/>
            <w:vAlign w:val="center"/>
            <w:hideMark/>
          </w:tcPr>
          <w:p w14:paraId="4A334847" w14:textId="77777777" w:rsidR="0090485B" w:rsidRPr="009372FF" w:rsidRDefault="0090485B" w:rsidP="008F07B7">
            <w:pPr>
              <w:jc w:val="right"/>
              <w:rPr>
                <w:rFonts w:ascii="Arial Narrow" w:hAnsi="Arial Narrow" w:cs="Arial"/>
              </w:rPr>
            </w:pPr>
            <w:r w:rsidRPr="009372FF">
              <w:rPr>
                <w:rFonts w:ascii="Arial Narrow" w:hAnsi="Arial Narrow" w:cs="Arial"/>
              </w:rPr>
              <w:t>20</w:t>
            </w:r>
          </w:p>
        </w:tc>
        <w:tc>
          <w:tcPr>
            <w:tcW w:w="992" w:type="dxa"/>
            <w:tcBorders>
              <w:top w:val="nil"/>
              <w:left w:val="nil"/>
              <w:bottom w:val="nil"/>
              <w:right w:val="nil"/>
            </w:tcBorders>
            <w:shd w:val="clear" w:color="auto" w:fill="auto"/>
            <w:vAlign w:val="center"/>
            <w:hideMark/>
          </w:tcPr>
          <w:p w14:paraId="2C68B1D9" w14:textId="77777777" w:rsidR="0090485B" w:rsidRPr="009372FF" w:rsidRDefault="0090485B" w:rsidP="008F07B7">
            <w:pPr>
              <w:jc w:val="right"/>
              <w:rPr>
                <w:rFonts w:ascii="Arial Narrow" w:hAnsi="Arial Narrow" w:cs="Arial"/>
              </w:rPr>
            </w:pPr>
            <w:r w:rsidRPr="009372FF">
              <w:rPr>
                <w:rFonts w:ascii="Arial Narrow" w:hAnsi="Arial Narrow" w:cs="Arial"/>
              </w:rPr>
              <w:t>13%</w:t>
            </w:r>
          </w:p>
        </w:tc>
        <w:tc>
          <w:tcPr>
            <w:tcW w:w="1219" w:type="dxa"/>
            <w:tcBorders>
              <w:top w:val="nil"/>
              <w:left w:val="nil"/>
              <w:bottom w:val="nil"/>
              <w:right w:val="nil"/>
            </w:tcBorders>
            <w:shd w:val="clear" w:color="auto" w:fill="auto"/>
            <w:vAlign w:val="center"/>
            <w:hideMark/>
          </w:tcPr>
          <w:p w14:paraId="477B9471" w14:textId="77777777" w:rsidR="0090485B" w:rsidRPr="009372FF" w:rsidRDefault="0090485B" w:rsidP="008F07B7">
            <w:pPr>
              <w:jc w:val="right"/>
              <w:rPr>
                <w:rFonts w:ascii="Arial Narrow" w:hAnsi="Arial Narrow" w:cs="Arial"/>
              </w:rPr>
            </w:pPr>
            <w:r w:rsidRPr="009372FF">
              <w:rPr>
                <w:rFonts w:ascii="Arial Narrow" w:hAnsi="Arial Narrow" w:cs="Arial"/>
              </w:rPr>
              <w:t>180</w:t>
            </w:r>
          </w:p>
        </w:tc>
      </w:tr>
      <w:tr w:rsidR="0090485B" w:rsidRPr="009372FF" w14:paraId="7FBE6C6F"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2BBC18D1"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6A10D72D"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Publishing</w:t>
            </w:r>
          </w:p>
        </w:tc>
        <w:tc>
          <w:tcPr>
            <w:tcW w:w="1169" w:type="dxa"/>
            <w:tcBorders>
              <w:top w:val="nil"/>
              <w:left w:val="nil"/>
              <w:bottom w:val="nil"/>
              <w:right w:val="nil"/>
            </w:tcBorders>
            <w:shd w:val="clear" w:color="auto" w:fill="auto"/>
            <w:vAlign w:val="center"/>
            <w:hideMark/>
          </w:tcPr>
          <w:p w14:paraId="231BBD9B" w14:textId="77777777" w:rsidR="0090485B" w:rsidRPr="009372FF" w:rsidRDefault="0090485B" w:rsidP="008F07B7">
            <w:pPr>
              <w:jc w:val="right"/>
              <w:rPr>
                <w:rFonts w:ascii="Arial Narrow" w:hAnsi="Arial Narrow" w:cs="Arial"/>
              </w:rPr>
            </w:pPr>
            <w:r w:rsidRPr="009372FF">
              <w:rPr>
                <w:rFonts w:ascii="Arial Narrow" w:hAnsi="Arial Narrow" w:cs="Arial"/>
              </w:rPr>
              <w:t>1</w:t>
            </w:r>
          </w:p>
        </w:tc>
        <w:tc>
          <w:tcPr>
            <w:tcW w:w="1169" w:type="dxa"/>
            <w:tcBorders>
              <w:top w:val="nil"/>
              <w:left w:val="nil"/>
              <w:bottom w:val="nil"/>
              <w:right w:val="nil"/>
            </w:tcBorders>
            <w:shd w:val="clear" w:color="auto" w:fill="auto"/>
            <w:vAlign w:val="center"/>
            <w:hideMark/>
          </w:tcPr>
          <w:p w14:paraId="7A459821" w14:textId="6A8F9174" w:rsidR="0090485B" w:rsidRPr="009372FF" w:rsidRDefault="00C54298" w:rsidP="008F07B7">
            <w:pPr>
              <w:jc w:val="right"/>
              <w:rPr>
                <w:rFonts w:ascii="Arial Narrow" w:hAnsi="Arial Narrow" w:cs="Arial"/>
              </w:rPr>
            </w:pPr>
            <w:r>
              <w:rPr>
                <w:rFonts w:ascii="Arial Narrow" w:hAnsi="Arial Narrow" w:cs="Arial"/>
              </w:rPr>
              <w:t>-</w:t>
            </w:r>
          </w:p>
        </w:tc>
        <w:tc>
          <w:tcPr>
            <w:tcW w:w="970" w:type="dxa"/>
            <w:tcBorders>
              <w:top w:val="nil"/>
              <w:left w:val="nil"/>
              <w:bottom w:val="nil"/>
              <w:right w:val="nil"/>
            </w:tcBorders>
            <w:shd w:val="clear" w:color="auto" w:fill="auto"/>
            <w:vAlign w:val="center"/>
            <w:hideMark/>
          </w:tcPr>
          <w:p w14:paraId="5AEA2C5D"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92" w:type="dxa"/>
            <w:tcBorders>
              <w:top w:val="nil"/>
              <w:left w:val="nil"/>
              <w:bottom w:val="nil"/>
              <w:right w:val="nil"/>
            </w:tcBorders>
            <w:shd w:val="clear" w:color="auto" w:fill="auto"/>
            <w:vAlign w:val="center"/>
            <w:hideMark/>
          </w:tcPr>
          <w:p w14:paraId="64B4C7B8"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1219" w:type="dxa"/>
            <w:tcBorders>
              <w:top w:val="nil"/>
              <w:left w:val="nil"/>
              <w:bottom w:val="nil"/>
              <w:right w:val="nil"/>
            </w:tcBorders>
            <w:shd w:val="clear" w:color="auto" w:fill="auto"/>
            <w:vAlign w:val="center"/>
            <w:hideMark/>
          </w:tcPr>
          <w:p w14:paraId="065ED92E"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r>
      <w:tr w:rsidR="0090485B" w:rsidRPr="009372FF" w14:paraId="42FCF5A2"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4752DD67"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510494A7"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Individual</w:t>
            </w:r>
            <w:r>
              <w:rPr>
                <w:rFonts w:ascii="Arial Narrow" w:hAnsi="Arial Narrow" w:cs="Arial"/>
                <w:i/>
                <w:iCs/>
                <w:color w:val="000000"/>
              </w:rPr>
              <w:t xml:space="preserve"> </w:t>
            </w:r>
            <w:r w:rsidRPr="009372FF">
              <w:rPr>
                <w:rFonts w:ascii="Arial Narrow" w:hAnsi="Arial Narrow" w:cs="Arial"/>
                <w:i/>
                <w:iCs/>
                <w:color w:val="000000"/>
              </w:rPr>
              <w:t>Contractual</w:t>
            </w:r>
            <w:r>
              <w:rPr>
                <w:rFonts w:ascii="Arial Narrow" w:hAnsi="Arial Narrow" w:cs="Arial"/>
                <w:i/>
                <w:iCs/>
                <w:color w:val="000000"/>
              </w:rPr>
              <w:t xml:space="preserve"> </w:t>
            </w:r>
            <w:r w:rsidRPr="009372FF">
              <w:rPr>
                <w:rFonts w:ascii="Arial Narrow" w:hAnsi="Arial Narrow" w:cs="Arial"/>
                <w:i/>
                <w:iCs/>
                <w:color w:val="000000"/>
              </w:rPr>
              <w:t>Services</w:t>
            </w:r>
          </w:p>
        </w:tc>
        <w:tc>
          <w:tcPr>
            <w:tcW w:w="1169" w:type="dxa"/>
            <w:tcBorders>
              <w:top w:val="nil"/>
              <w:left w:val="nil"/>
              <w:bottom w:val="nil"/>
              <w:right w:val="nil"/>
            </w:tcBorders>
            <w:shd w:val="clear" w:color="auto" w:fill="auto"/>
            <w:vAlign w:val="center"/>
            <w:hideMark/>
          </w:tcPr>
          <w:p w14:paraId="37C7BB83" w14:textId="77777777" w:rsidR="0090485B" w:rsidRPr="009372FF" w:rsidRDefault="0090485B" w:rsidP="008F07B7">
            <w:pPr>
              <w:jc w:val="right"/>
              <w:rPr>
                <w:rFonts w:ascii="Arial Narrow" w:hAnsi="Arial Narrow" w:cs="Arial"/>
              </w:rPr>
            </w:pPr>
            <w:r w:rsidRPr="009372FF">
              <w:rPr>
                <w:rFonts w:ascii="Arial Narrow" w:hAnsi="Arial Narrow" w:cs="Arial"/>
              </w:rPr>
              <w:t>6</w:t>
            </w:r>
          </w:p>
        </w:tc>
        <w:tc>
          <w:tcPr>
            <w:tcW w:w="1169" w:type="dxa"/>
            <w:tcBorders>
              <w:top w:val="nil"/>
              <w:left w:val="nil"/>
              <w:bottom w:val="nil"/>
              <w:right w:val="nil"/>
            </w:tcBorders>
            <w:shd w:val="clear" w:color="auto" w:fill="auto"/>
            <w:vAlign w:val="center"/>
            <w:hideMark/>
          </w:tcPr>
          <w:p w14:paraId="04715933" w14:textId="77777777" w:rsidR="0090485B" w:rsidRPr="009372FF" w:rsidRDefault="0090485B" w:rsidP="008F07B7">
            <w:pPr>
              <w:jc w:val="right"/>
              <w:rPr>
                <w:rFonts w:ascii="Arial Narrow" w:hAnsi="Arial Narrow" w:cs="Arial"/>
              </w:rPr>
            </w:pPr>
            <w:r w:rsidRPr="009372FF">
              <w:rPr>
                <w:rFonts w:ascii="Arial Narrow" w:hAnsi="Arial Narrow" w:cs="Arial"/>
              </w:rPr>
              <w:t>20</w:t>
            </w:r>
          </w:p>
        </w:tc>
        <w:tc>
          <w:tcPr>
            <w:tcW w:w="970" w:type="dxa"/>
            <w:tcBorders>
              <w:top w:val="nil"/>
              <w:left w:val="nil"/>
              <w:bottom w:val="nil"/>
              <w:right w:val="nil"/>
            </w:tcBorders>
            <w:shd w:val="clear" w:color="auto" w:fill="auto"/>
            <w:vAlign w:val="center"/>
            <w:hideMark/>
          </w:tcPr>
          <w:p w14:paraId="0B77AD62" w14:textId="77777777" w:rsidR="0090485B" w:rsidRPr="009372FF" w:rsidRDefault="0090485B" w:rsidP="008F07B7">
            <w:pPr>
              <w:jc w:val="right"/>
              <w:rPr>
                <w:rFonts w:ascii="Arial Narrow" w:hAnsi="Arial Narrow" w:cs="Arial"/>
              </w:rPr>
            </w:pPr>
            <w:r w:rsidRPr="009372FF">
              <w:rPr>
                <w:rFonts w:ascii="Arial Narrow" w:hAnsi="Arial Narrow" w:cs="Arial"/>
              </w:rPr>
              <w:t>(15)</w:t>
            </w:r>
          </w:p>
        </w:tc>
        <w:tc>
          <w:tcPr>
            <w:tcW w:w="992" w:type="dxa"/>
            <w:tcBorders>
              <w:top w:val="nil"/>
              <w:left w:val="nil"/>
              <w:bottom w:val="nil"/>
              <w:right w:val="nil"/>
            </w:tcBorders>
            <w:shd w:val="clear" w:color="auto" w:fill="auto"/>
            <w:vAlign w:val="center"/>
            <w:hideMark/>
          </w:tcPr>
          <w:p w14:paraId="09433064" w14:textId="77777777" w:rsidR="0090485B" w:rsidRPr="009372FF" w:rsidRDefault="0090485B" w:rsidP="008F07B7">
            <w:pPr>
              <w:jc w:val="right"/>
              <w:rPr>
                <w:rFonts w:ascii="Arial Narrow" w:hAnsi="Arial Narrow" w:cs="Arial"/>
              </w:rPr>
            </w:pPr>
            <w:r w:rsidRPr="009372FF">
              <w:rPr>
                <w:rFonts w:ascii="Arial Narrow" w:hAnsi="Arial Narrow" w:cs="Arial"/>
              </w:rPr>
              <w:t>-75%</w:t>
            </w:r>
          </w:p>
        </w:tc>
        <w:tc>
          <w:tcPr>
            <w:tcW w:w="1219" w:type="dxa"/>
            <w:tcBorders>
              <w:top w:val="nil"/>
              <w:left w:val="nil"/>
              <w:bottom w:val="nil"/>
              <w:right w:val="nil"/>
            </w:tcBorders>
            <w:shd w:val="clear" w:color="auto" w:fill="auto"/>
            <w:vAlign w:val="center"/>
            <w:hideMark/>
          </w:tcPr>
          <w:p w14:paraId="71A4311C"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r>
      <w:tr w:rsidR="0090485B" w:rsidRPr="009372FF" w14:paraId="5AE35B01"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7D68286E"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1FE40956"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Other</w:t>
            </w:r>
            <w:r>
              <w:rPr>
                <w:rFonts w:ascii="Arial Narrow" w:hAnsi="Arial Narrow" w:cs="Arial"/>
                <w:i/>
                <w:iCs/>
                <w:color w:val="000000"/>
              </w:rPr>
              <w:t xml:space="preserve"> </w:t>
            </w:r>
            <w:r w:rsidRPr="009372FF">
              <w:rPr>
                <w:rFonts w:ascii="Arial Narrow" w:hAnsi="Arial Narrow" w:cs="Arial"/>
                <w:i/>
                <w:iCs/>
                <w:color w:val="000000"/>
              </w:rPr>
              <w:t>Contractual</w:t>
            </w:r>
            <w:r>
              <w:rPr>
                <w:rFonts w:ascii="Arial Narrow" w:hAnsi="Arial Narrow" w:cs="Arial"/>
                <w:i/>
                <w:iCs/>
                <w:color w:val="000000"/>
              </w:rPr>
              <w:t xml:space="preserve"> </w:t>
            </w:r>
            <w:r w:rsidRPr="009372FF">
              <w:rPr>
                <w:rFonts w:ascii="Arial Narrow" w:hAnsi="Arial Narrow" w:cs="Arial"/>
                <w:i/>
                <w:iCs/>
                <w:color w:val="000000"/>
              </w:rPr>
              <w:t>Services</w:t>
            </w:r>
          </w:p>
        </w:tc>
        <w:tc>
          <w:tcPr>
            <w:tcW w:w="1169" w:type="dxa"/>
            <w:tcBorders>
              <w:top w:val="nil"/>
              <w:left w:val="nil"/>
              <w:bottom w:val="nil"/>
              <w:right w:val="nil"/>
            </w:tcBorders>
            <w:shd w:val="clear" w:color="auto" w:fill="auto"/>
            <w:vAlign w:val="center"/>
            <w:hideMark/>
          </w:tcPr>
          <w:p w14:paraId="0A46E803" w14:textId="77777777" w:rsidR="0090485B" w:rsidRPr="009372FF" w:rsidRDefault="0090485B" w:rsidP="008F07B7">
            <w:pPr>
              <w:jc w:val="right"/>
              <w:rPr>
                <w:rFonts w:ascii="Arial Narrow" w:hAnsi="Arial Narrow" w:cs="Arial"/>
              </w:rPr>
            </w:pPr>
            <w:r w:rsidRPr="009372FF">
              <w:rPr>
                <w:rFonts w:ascii="Arial Narrow" w:hAnsi="Arial Narrow" w:cs="Arial"/>
              </w:rPr>
              <w:t>580</w:t>
            </w:r>
          </w:p>
        </w:tc>
        <w:tc>
          <w:tcPr>
            <w:tcW w:w="1169" w:type="dxa"/>
            <w:tcBorders>
              <w:top w:val="nil"/>
              <w:left w:val="nil"/>
              <w:bottom w:val="nil"/>
              <w:right w:val="nil"/>
            </w:tcBorders>
            <w:shd w:val="clear" w:color="auto" w:fill="auto"/>
            <w:vAlign w:val="center"/>
            <w:hideMark/>
          </w:tcPr>
          <w:p w14:paraId="5D3F5E4E" w14:textId="77777777" w:rsidR="0090485B" w:rsidRPr="009372FF" w:rsidRDefault="0090485B" w:rsidP="008F07B7">
            <w:pPr>
              <w:jc w:val="right"/>
              <w:rPr>
                <w:rFonts w:ascii="Arial Narrow" w:hAnsi="Arial Narrow" w:cs="Arial"/>
              </w:rPr>
            </w:pPr>
            <w:r w:rsidRPr="009372FF">
              <w:rPr>
                <w:rFonts w:ascii="Arial Narrow" w:hAnsi="Arial Narrow" w:cs="Arial"/>
              </w:rPr>
              <w:t>385</w:t>
            </w:r>
          </w:p>
        </w:tc>
        <w:tc>
          <w:tcPr>
            <w:tcW w:w="970" w:type="dxa"/>
            <w:tcBorders>
              <w:top w:val="nil"/>
              <w:left w:val="nil"/>
              <w:bottom w:val="nil"/>
              <w:right w:val="nil"/>
            </w:tcBorders>
            <w:shd w:val="clear" w:color="auto" w:fill="auto"/>
            <w:vAlign w:val="center"/>
            <w:hideMark/>
          </w:tcPr>
          <w:p w14:paraId="6311BE69" w14:textId="77777777" w:rsidR="0090485B" w:rsidRPr="009372FF" w:rsidRDefault="0090485B" w:rsidP="008F07B7">
            <w:pPr>
              <w:jc w:val="right"/>
              <w:rPr>
                <w:rFonts w:ascii="Arial Narrow" w:hAnsi="Arial Narrow" w:cs="Arial"/>
              </w:rPr>
            </w:pPr>
            <w:r w:rsidRPr="009372FF">
              <w:rPr>
                <w:rFonts w:ascii="Arial Narrow" w:hAnsi="Arial Narrow" w:cs="Arial"/>
              </w:rPr>
              <w:t>20</w:t>
            </w:r>
          </w:p>
        </w:tc>
        <w:tc>
          <w:tcPr>
            <w:tcW w:w="992" w:type="dxa"/>
            <w:tcBorders>
              <w:top w:val="nil"/>
              <w:left w:val="nil"/>
              <w:bottom w:val="nil"/>
              <w:right w:val="nil"/>
            </w:tcBorders>
            <w:shd w:val="clear" w:color="auto" w:fill="auto"/>
            <w:vAlign w:val="center"/>
            <w:hideMark/>
          </w:tcPr>
          <w:p w14:paraId="3AC2A773"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c>
          <w:tcPr>
            <w:tcW w:w="1219" w:type="dxa"/>
            <w:tcBorders>
              <w:top w:val="nil"/>
              <w:left w:val="nil"/>
              <w:bottom w:val="nil"/>
              <w:right w:val="nil"/>
            </w:tcBorders>
            <w:shd w:val="clear" w:color="auto" w:fill="auto"/>
            <w:vAlign w:val="center"/>
            <w:hideMark/>
          </w:tcPr>
          <w:p w14:paraId="589EB06E" w14:textId="77777777" w:rsidR="0090485B" w:rsidRPr="009372FF" w:rsidRDefault="0090485B" w:rsidP="008F07B7">
            <w:pPr>
              <w:jc w:val="right"/>
              <w:rPr>
                <w:rFonts w:ascii="Arial Narrow" w:hAnsi="Arial Narrow" w:cs="Arial"/>
              </w:rPr>
            </w:pPr>
            <w:r w:rsidRPr="009372FF">
              <w:rPr>
                <w:rFonts w:ascii="Arial Narrow" w:hAnsi="Arial Narrow" w:cs="Arial"/>
              </w:rPr>
              <w:t>405</w:t>
            </w:r>
          </w:p>
        </w:tc>
      </w:tr>
      <w:tr w:rsidR="0090485B" w:rsidRPr="009372FF" w14:paraId="580C1C78" w14:textId="77777777" w:rsidTr="008F07B7">
        <w:trPr>
          <w:trHeight w:val="314"/>
          <w:jc w:val="center"/>
        </w:trPr>
        <w:tc>
          <w:tcPr>
            <w:tcW w:w="320" w:type="dxa"/>
            <w:tcBorders>
              <w:top w:val="nil"/>
              <w:left w:val="nil"/>
              <w:bottom w:val="single" w:sz="4" w:space="0" w:color="AAB8C4"/>
              <w:right w:val="nil"/>
            </w:tcBorders>
            <w:shd w:val="clear" w:color="auto" w:fill="auto"/>
            <w:noWrap/>
            <w:vAlign w:val="bottom"/>
            <w:hideMark/>
          </w:tcPr>
          <w:p w14:paraId="5F27168B" w14:textId="77777777" w:rsidR="0090485B" w:rsidRPr="009372FF" w:rsidRDefault="0090485B" w:rsidP="008F07B7">
            <w:pPr>
              <w:jc w:val="left"/>
              <w:rPr>
                <w:rFonts w:cs="Arial"/>
              </w:rPr>
            </w:pPr>
            <w:r w:rsidRPr="009372FF">
              <w:rPr>
                <w:rFonts w:cs="Arial"/>
              </w:rPr>
              <w:t> </w:t>
            </w:r>
          </w:p>
        </w:tc>
        <w:tc>
          <w:tcPr>
            <w:tcW w:w="2893" w:type="dxa"/>
            <w:tcBorders>
              <w:top w:val="nil"/>
              <w:left w:val="nil"/>
              <w:bottom w:val="single" w:sz="4" w:space="0" w:color="AAB8C4"/>
              <w:right w:val="nil"/>
            </w:tcBorders>
            <w:shd w:val="clear" w:color="auto" w:fill="auto"/>
            <w:vAlign w:val="bottom"/>
            <w:hideMark/>
          </w:tcPr>
          <w:p w14:paraId="7998C2E3" w14:textId="77777777" w:rsidR="0090485B" w:rsidRPr="009372FF" w:rsidRDefault="0090485B" w:rsidP="008F07B7">
            <w:pPr>
              <w:jc w:val="left"/>
              <w:rPr>
                <w:rFonts w:ascii="Arial Narrow" w:hAnsi="Arial Narrow" w:cs="Arial"/>
                <w:b/>
                <w:bCs/>
              </w:rPr>
            </w:pPr>
            <w:r w:rsidRPr="009372FF">
              <w:rPr>
                <w:rFonts w:ascii="Arial Narrow" w:hAnsi="Arial Narrow" w:cs="Arial"/>
                <w:b/>
                <w:bCs/>
              </w:rPr>
              <w:t>Sub-total</w:t>
            </w:r>
          </w:p>
        </w:tc>
        <w:tc>
          <w:tcPr>
            <w:tcW w:w="1169" w:type="dxa"/>
            <w:tcBorders>
              <w:top w:val="nil"/>
              <w:left w:val="nil"/>
              <w:bottom w:val="single" w:sz="4" w:space="0" w:color="AAB8C4"/>
              <w:right w:val="nil"/>
            </w:tcBorders>
            <w:shd w:val="clear" w:color="auto" w:fill="auto"/>
            <w:vAlign w:val="center"/>
            <w:hideMark/>
          </w:tcPr>
          <w:p w14:paraId="747969FC"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726</w:t>
            </w:r>
          </w:p>
        </w:tc>
        <w:tc>
          <w:tcPr>
            <w:tcW w:w="1169" w:type="dxa"/>
            <w:tcBorders>
              <w:top w:val="nil"/>
              <w:left w:val="nil"/>
              <w:bottom w:val="single" w:sz="4" w:space="0" w:color="AAB8C4"/>
              <w:right w:val="nil"/>
            </w:tcBorders>
            <w:shd w:val="clear" w:color="auto" w:fill="auto"/>
            <w:vAlign w:val="center"/>
            <w:hideMark/>
          </w:tcPr>
          <w:p w14:paraId="70E3DB8F"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565</w:t>
            </w:r>
          </w:p>
        </w:tc>
        <w:tc>
          <w:tcPr>
            <w:tcW w:w="970" w:type="dxa"/>
            <w:tcBorders>
              <w:top w:val="nil"/>
              <w:left w:val="nil"/>
              <w:bottom w:val="single" w:sz="4" w:space="0" w:color="BFBFBF"/>
              <w:right w:val="nil"/>
            </w:tcBorders>
            <w:shd w:val="clear" w:color="auto" w:fill="auto"/>
            <w:vAlign w:val="center"/>
            <w:hideMark/>
          </w:tcPr>
          <w:p w14:paraId="706AF641" w14:textId="77777777" w:rsidR="0090485B" w:rsidRPr="009372FF" w:rsidRDefault="0090485B" w:rsidP="008F07B7">
            <w:pPr>
              <w:jc w:val="right"/>
              <w:rPr>
                <w:rFonts w:ascii="Arial Narrow" w:hAnsi="Arial Narrow" w:cs="Arial"/>
              </w:rPr>
            </w:pPr>
            <w:r w:rsidRPr="009372FF">
              <w:rPr>
                <w:rFonts w:ascii="Arial Narrow" w:hAnsi="Arial Narrow" w:cs="Arial"/>
              </w:rPr>
              <w:t>25</w:t>
            </w:r>
          </w:p>
        </w:tc>
        <w:tc>
          <w:tcPr>
            <w:tcW w:w="992" w:type="dxa"/>
            <w:tcBorders>
              <w:top w:val="nil"/>
              <w:left w:val="nil"/>
              <w:bottom w:val="single" w:sz="4" w:space="0" w:color="BFBFBF"/>
              <w:right w:val="nil"/>
            </w:tcBorders>
            <w:shd w:val="clear" w:color="auto" w:fill="auto"/>
            <w:vAlign w:val="center"/>
            <w:hideMark/>
          </w:tcPr>
          <w:p w14:paraId="52761ED0" w14:textId="77777777" w:rsidR="0090485B" w:rsidRPr="009372FF" w:rsidRDefault="0090485B" w:rsidP="008F07B7">
            <w:pPr>
              <w:jc w:val="right"/>
              <w:rPr>
                <w:rFonts w:ascii="Arial Narrow" w:hAnsi="Arial Narrow" w:cs="Arial"/>
              </w:rPr>
            </w:pPr>
            <w:r w:rsidRPr="009372FF">
              <w:rPr>
                <w:rFonts w:ascii="Arial Narrow" w:hAnsi="Arial Narrow" w:cs="Arial"/>
              </w:rPr>
              <w:t>4%</w:t>
            </w:r>
          </w:p>
        </w:tc>
        <w:tc>
          <w:tcPr>
            <w:tcW w:w="1219" w:type="dxa"/>
            <w:tcBorders>
              <w:top w:val="nil"/>
              <w:left w:val="nil"/>
              <w:bottom w:val="single" w:sz="4" w:space="0" w:color="AAB8C4"/>
              <w:right w:val="nil"/>
            </w:tcBorders>
            <w:shd w:val="clear" w:color="auto" w:fill="auto"/>
            <w:vAlign w:val="center"/>
            <w:hideMark/>
          </w:tcPr>
          <w:p w14:paraId="1888ED81"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590</w:t>
            </w:r>
          </w:p>
        </w:tc>
      </w:tr>
      <w:tr w:rsidR="0090485B" w:rsidRPr="009372FF" w14:paraId="0116A2A7"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63AD00AE" w14:textId="77777777" w:rsidR="0090485B" w:rsidRPr="009372FF" w:rsidRDefault="0090485B" w:rsidP="008F07B7">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14:paraId="7F001249" w14:textId="77777777" w:rsidR="0090485B" w:rsidRPr="009372FF" w:rsidRDefault="0090485B" w:rsidP="008F07B7">
            <w:pPr>
              <w:jc w:val="left"/>
              <w:rPr>
                <w:rFonts w:ascii="Arial Narrow" w:hAnsi="Arial Narrow" w:cs="Arial"/>
                <w:b/>
                <w:bCs/>
              </w:rPr>
            </w:pPr>
            <w:r w:rsidRPr="009372FF">
              <w:rPr>
                <w:rFonts w:ascii="Arial Narrow" w:hAnsi="Arial Narrow" w:cs="Arial"/>
                <w:b/>
                <w:bCs/>
              </w:rPr>
              <w:t>Operating</w:t>
            </w:r>
            <w:r>
              <w:rPr>
                <w:rFonts w:ascii="Arial Narrow" w:hAnsi="Arial Narrow" w:cs="Arial"/>
                <w:b/>
                <w:bCs/>
              </w:rPr>
              <w:t xml:space="preserve"> </w:t>
            </w:r>
            <w:r w:rsidRPr="009372FF">
              <w:rPr>
                <w:rFonts w:ascii="Arial Narrow" w:hAnsi="Arial Narrow" w:cs="Arial"/>
                <w:b/>
                <w:bCs/>
              </w:rPr>
              <w:t>Expenses</w:t>
            </w:r>
          </w:p>
        </w:tc>
        <w:tc>
          <w:tcPr>
            <w:tcW w:w="1169" w:type="dxa"/>
            <w:tcBorders>
              <w:top w:val="nil"/>
              <w:left w:val="nil"/>
              <w:bottom w:val="nil"/>
              <w:right w:val="nil"/>
            </w:tcBorders>
            <w:shd w:val="clear" w:color="auto" w:fill="auto"/>
            <w:vAlign w:val="center"/>
            <w:hideMark/>
          </w:tcPr>
          <w:p w14:paraId="40CA7D1F" w14:textId="77777777" w:rsidR="0090485B" w:rsidRPr="009372FF" w:rsidRDefault="0090485B" w:rsidP="008F07B7">
            <w:pPr>
              <w:jc w:val="right"/>
              <w:rPr>
                <w:rFonts w:ascii="Arial Narrow" w:hAnsi="Arial Narrow" w:cs="Arial"/>
                <w:b/>
                <w:bCs/>
              </w:rPr>
            </w:pPr>
          </w:p>
        </w:tc>
        <w:tc>
          <w:tcPr>
            <w:tcW w:w="1169" w:type="dxa"/>
            <w:tcBorders>
              <w:top w:val="nil"/>
              <w:left w:val="nil"/>
              <w:bottom w:val="nil"/>
              <w:right w:val="nil"/>
            </w:tcBorders>
            <w:shd w:val="clear" w:color="auto" w:fill="auto"/>
            <w:vAlign w:val="center"/>
            <w:hideMark/>
          </w:tcPr>
          <w:p w14:paraId="332ED8D1"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27409980"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744D9997"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600A2ABE" w14:textId="77777777" w:rsidR="0090485B" w:rsidRPr="009372FF" w:rsidRDefault="0090485B" w:rsidP="008F07B7">
            <w:pPr>
              <w:jc w:val="right"/>
              <w:rPr>
                <w:rFonts w:ascii="Times New Roman" w:hAnsi="Times New Roman"/>
              </w:rPr>
            </w:pPr>
          </w:p>
        </w:tc>
      </w:tr>
      <w:tr w:rsidR="0090485B" w:rsidRPr="009372FF" w14:paraId="7279421F" w14:textId="77777777" w:rsidTr="008F07B7">
        <w:trPr>
          <w:trHeight w:val="314"/>
          <w:jc w:val="center"/>
        </w:trPr>
        <w:tc>
          <w:tcPr>
            <w:tcW w:w="320" w:type="dxa"/>
            <w:tcBorders>
              <w:top w:val="nil"/>
              <w:left w:val="nil"/>
              <w:bottom w:val="single" w:sz="4" w:space="0" w:color="AAB8C4"/>
              <w:right w:val="nil"/>
            </w:tcBorders>
            <w:shd w:val="clear" w:color="auto" w:fill="auto"/>
            <w:noWrap/>
            <w:vAlign w:val="bottom"/>
            <w:hideMark/>
          </w:tcPr>
          <w:p w14:paraId="5C6A9C29" w14:textId="77777777" w:rsidR="0090485B" w:rsidRPr="009372FF" w:rsidRDefault="0090485B" w:rsidP="008F07B7">
            <w:pPr>
              <w:jc w:val="left"/>
              <w:rPr>
                <w:rFonts w:cs="Arial"/>
              </w:rPr>
            </w:pPr>
            <w:r w:rsidRPr="009372FF">
              <w:rPr>
                <w:rFonts w:cs="Arial"/>
              </w:rPr>
              <w:t> </w:t>
            </w:r>
          </w:p>
        </w:tc>
        <w:tc>
          <w:tcPr>
            <w:tcW w:w="2893" w:type="dxa"/>
            <w:tcBorders>
              <w:top w:val="nil"/>
              <w:left w:val="nil"/>
              <w:bottom w:val="single" w:sz="4" w:space="0" w:color="AAB8C4"/>
              <w:right w:val="nil"/>
            </w:tcBorders>
            <w:shd w:val="clear" w:color="auto" w:fill="auto"/>
            <w:vAlign w:val="bottom"/>
            <w:hideMark/>
          </w:tcPr>
          <w:p w14:paraId="00F5B348" w14:textId="77777777" w:rsidR="0090485B" w:rsidRPr="009372FF" w:rsidRDefault="0090485B" w:rsidP="008F07B7">
            <w:pPr>
              <w:jc w:val="left"/>
              <w:rPr>
                <w:rFonts w:ascii="Arial Narrow" w:hAnsi="Arial Narrow" w:cs="Arial"/>
                <w:b/>
                <w:bCs/>
              </w:rPr>
            </w:pPr>
            <w:r w:rsidRPr="009372FF">
              <w:rPr>
                <w:rFonts w:ascii="Arial Narrow" w:hAnsi="Arial Narrow" w:cs="Arial"/>
                <w:b/>
                <w:bCs/>
              </w:rPr>
              <w:t>Sub-total</w:t>
            </w:r>
          </w:p>
        </w:tc>
        <w:tc>
          <w:tcPr>
            <w:tcW w:w="1169" w:type="dxa"/>
            <w:tcBorders>
              <w:top w:val="nil"/>
              <w:left w:val="nil"/>
              <w:bottom w:val="single" w:sz="4" w:space="0" w:color="AAB8C4"/>
              <w:right w:val="nil"/>
            </w:tcBorders>
            <w:shd w:val="clear" w:color="auto" w:fill="auto"/>
            <w:vAlign w:val="center"/>
            <w:hideMark/>
          </w:tcPr>
          <w:p w14:paraId="6CEB7CB0"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1,239</w:t>
            </w:r>
          </w:p>
        </w:tc>
        <w:tc>
          <w:tcPr>
            <w:tcW w:w="1169" w:type="dxa"/>
            <w:tcBorders>
              <w:top w:val="nil"/>
              <w:left w:val="nil"/>
              <w:bottom w:val="single" w:sz="4" w:space="0" w:color="AAB8C4"/>
              <w:right w:val="nil"/>
            </w:tcBorders>
            <w:shd w:val="clear" w:color="auto" w:fill="auto"/>
            <w:vAlign w:val="center"/>
            <w:hideMark/>
          </w:tcPr>
          <w:p w14:paraId="211B5A3C"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1,239</w:t>
            </w:r>
          </w:p>
        </w:tc>
        <w:tc>
          <w:tcPr>
            <w:tcW w:w="970" w:type="dxa"/>
            <w:tcBorders>
              <w:top w:val="nil"/>
              <w:left w:val="nil"/>
              <w:bottom w:val="single" w:sz="4" w:space="0" w:color="BFBFBF"/>
              <w:right w:val="nil"/>
            </w:tcBorders>
            <w:shd w:val="clear" w:color="auto" w:fill="auto"/>
            <w:vAlign w:val="center"/>
            <w:hideMark/>
          </w:tcPr>
          <w:p w14:paraId="31617D33" w14:textId="77777777" w:rsidR="0090485B" w:rsidRPr="009372FF" w:rsidRDefault="0090485B" w:rsidP="008F07B7">
            <w:pPr>
              <w:jc w:val="right"/>
              <w:rPr>
                <w:rFonts w:ascii="Arial Narrow" w:hAnsi="Arial Narrow" w:cs="Arial"/>
              </w:rPr>
            </w:pPr>
            <w:r w:rsidRPr="009372FF">
              <w:rPr>
                <w:rFonts w:ascii="Arial Narrow" w:hAnsi="Arial Narrow" w:cs="Arial"/>
              </w:rPr>
              <w:t>46</w:t>
            </w:r>
          </w:p>
        </w:tc>
        <w:tc>
          <w:tcPr>
            <w:tcW w:w="992" w:type="dxa"/>
            <w:tcBorders>
              <w:top w:val="nil"/>
              <w:left w:val="nil"/>
              <w:bottom w:val="single" w:sz="4" w:space="0" w:color="BFBFBF"/>
              <w:right w:val="nil"/>
            </w:tcBorders>
            <w:shd w:val="clear" w:color="auto" w:fill="auto"/>
            <w:vAlign w:val="center"/>
            <w:hideMark/>
          </w:tcPr>
          <w:p w14:paraId="040CD95C" w14:textId="77777777" w:rsidR="0090485B" w:rsidRPr="009372FF" w:rsidRDefault="0090485B" w:rsidP="008F07B7">
            <w:pPr>
              <w:jc w:val="right"/>
              <w:rPr>
                <w:rFonts w:ascii="Arial Narrow" w:hAnsi="Arial Narrow" w:cs="Arial"/>
              </w:rPr>
            </w:pPr>
            <w:r w:rsidRPr="009372FF">
              <w:rPr>
                <w:rFonts w:ascii="Arial Narrow" w:hAnsi="Arial Narrow" w:cs="Arial"/>
              </w:rPr>
              <w:t>4%</w:t>
            </w:r>
          </w:p>
        </w:tc>
        <w:tc>
          <w:tcPr>
            <w:tcW w:w="1219" w:type="dxa"/>
            <w:tcBorders>
              <w:top w:val="nil"/>
              <w:left w:val="nil"/>
              <w:bottom w:val="single" w:sz="4" w:space="0" w:color="BFBFBF"/>
              <w:right w:val="nil"/>
            </w:tcBorders>
            <w:shd w:val="clear" w:color="auto" w:fill="auto"/>
            <w:vAlign w:val="center"/>
            <w:hideMark/>
          </w:tcPr>
          <w:p w14:paraId="7BFB4B00"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1,285</w:t>
            </w:r>
          </w:p>
        </w:tc>
      </w:tr>
      <w:tr w:rsidR="0090485B" w:rsidRPr="009372FF" w14:paraId="460E8065" w14:textId="77777777" w:rsidTr="008F07B7">
        <w:trPr>
          <w:trHeight w:val="461"/>
          <w:jc w:val="center"/>
        </w:trPr>
        <w:tc>
          <w:tcPr>
            <w:tcW w:w="320" w:type="dxa"/>
            <w:tcBorders>
              <w:top w:val="nil"/>
              <w:left w:val="nil"/>
              <w:bottom w:val="nil"/>
              <w:right w:val="nil"/>
            </w:tcBorders>
            <w:shd w:val="clear" w:color="auto" w:fill="auto"/>
            <w:noWrap/>
            <w:vAlign w:val="bottom"/>
            <w:hideMark/>
          </w:tcPr>
          <w:p w14:paraId="30EA9AAB" w14:textId="77777777" w:rsidR="0090485B" w:rsidRPr="009372FF" w:rsidRDefault="0090485B" w:rsidP="008F07B7">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14:paraId="333C7241" w14:textId="77777777" w:rsidR="0090485B" w:rsidRPr="009372FF" w:rsidRDefault="0090485B" w:rsidP="008F07B7">
            <w:pPr>
              <w:jc w:val="left"/>
              <w:rPr>
                <w:rFonts w:ascii="Arial Narrow" w:hAnsi="Arial Narrow" w:cs="Arial"/>
                <w:b/>
                <w:bCs/>
              </w:rPr>
            </w:pPr>
            <w:r w:rsidRPr="009372FF">
              <w:rPr>
                <w:rFonts w:ascii="Arial Narrow" w:hAnsi="Arial Narrow" w:cs="Arial"/>
                <w:b/>
                <w:bCs/>
              </w:rPr>
              <w:t>Equipment</w:t>
            </w:r>
            <w:r>
              <w:rPr>
                <w:rFonts w:ascii="Arial Narrow" w:hAnsi="Arial Narrow" w:cs="Arial"/>
                <w:b/>
                <w:bCs/>
              </w:rPr>
              <w:t xml:space="preserve"> </w:t>
            </w:r>
            <w:r w:rsidRPr="009372FF">
              <w:rPr>
                <w:rFonts w:ascii="Arial Narrow" w:hAnsi="Arial Narrow" w:cs="Arial"/>
                <w:b/>
                <w:bCs/>
              </w:rPr>
              <w:t>and</w:t>
            </w:r>
            <w:r>
              <w:rPr>
                <w:rFonts w:ascii="Arial Narrow" w:hAnsi="Arial Narrow" w:cs="Arial"/>
                <w:b/>
                <w:bCs/>
              </w:rPr>
              <w:t xml:space="preserve"> </w:t>
            </w:r>
            <w:r w:rsidRPr="009372FF">
              <w:rPr>
                <w:rFonts w:ascii="Arial Narrow" w:hAnsi="Arial Narrow" w:cs="Arial"/>
                <w:b/>
                <w:bCs/>
              </w:rPr>
              <w:t>Supplies</w:t>
            </w:r>
          </w:p>
        </w:tc>
        <w:tc>
          <w:tcPr>
            <w:tcW w:w="1169" w:type="dxa"/>
            <w:tcBorders>
              <w:top w:val="nil"/>
              <w:left w:val="nil"/>
              <w:bottom w:val="nil"/>
              <w:right w:val="nil"/>
            </w:tcBorders>
            <w:shd w:val="clear" w:color="auto" w:fill="auto"/>
            <w:vAlign w:val="center"/>
            <w:hideMark/>
          </w:tcPr>
          <w:p w14:paraId="30F8032D" w14:textId="77777777" w:rsidR="0090485B" w:rsidRPr="009372FF" w:rsidRDefault="0090485B" w:rsidP="008F07B7">
            <w:pPr>
              <w:jc w:val="right"/>
              <w:rPr>
                <w:rFonts w:ascii="Arial Narrow" w:hAnsi="Arial Narrow" w:cs="Arial"/>
                <w:b/>
                <w:bCs/>
              </w:rPr>
            </w:pPr>
          </w:p>
        </w:tc>
        <w:tc>
          <w:tcPr>
            <w:tcW w:w="1169" w:type="dxa"/>
            <w:tcBorders>
              <w:top w:val="nil"/>
              <w:left w:val="nil"/>
              <w:bottom w:val="nil"/>
              <w:right w:val="nil"/>
            </w:tcBorders>
            <w:shd w:val="clear" w:color="auto" w:fill="auto"/>
            <w:vAlign w:val="center"/>
            <w:hideMark/>
          </w:tcPr>
          <w:p w14:paraId="359EADD7" w14:textId="77777777" w:rsidR="0090485B" w:rsidRPr="009372FF" w:rsidRDefault="0090485B" w:rsidP="008F07B7">
            <w:pPr>
              <w:jc w:val="right"/>
              <w:rPr>
                <w:rFonts w:ascii="Times New Roman" w:hAnsi="Times New Roman"/>
              </w:rPr>
            </w:pPr>
          </w:p>
        </w:tc>
        <w:tc>
          <w:tcPr>
            <w:tcW w:w="970" w:type="dxa"/>
            <w:tcBorders>
              <w:top w:val="nil"/>
              <w:left w:val="nil"/>
              <w:bottom w:val="nil"/>
              <w:right w:val="nil"/>
            </w:tcBorders>
            <w:shd w:val="clear" w:color="auto" w:fill="auto"/>
            <w:vAlign w:val="center"/>
            <w:hideMark/>
          </w:tcPr>
          <w:p w14:paraId="237FD870" w14:textId="77777777" w:rsidR="0090485B" w:rsidRPr="009372FF" w:rsidRDefault="0090485B" w:rsidP="008F07B7">
            <w:pPr>
              <w:jc w:val="right"/>
              <w:rPr>
                <w:rFonts w:ascii="Times New Roman" w:hAnsi="Times New Roman"/>
              </w:rPr>
            </w:pPr>
          </w:p>
        </w:tc>
        <w:tc>
          <w:tcPr>
            <w:tcW w:w="992" w:type="dxa"/>
            <w:tcBorders>
              <w:top w:val="nil"/>
              <w:left w:val="nil"/>
              <w:bottom w:val="nil"/>
              <w:right w:val="nil"/>
            </w:tcBorders>
            <w:shd w:val="clear" w:color="auto" w:fill="auto"/>
            <w:vAlign w:val="center"/>
            <w:hideMark/>
          </w:tcPr>
          <w:p w14:paraId="7A9F1787" w14:textId="77777777" w:rsidR="0090485B" w:rsidRPr="009372FF" w:rsidRDefault="0090485B" w:rsidP="008F07B7">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45683E3" w14:textId="77777777" w:rsidR="0090485B" w:rsidRPr="009372FF" w:rsidRDefault="0090485B" w:rsidP="008F07B7">
            <w:pPr>
              <w:jc w:val="right"/>
              <w:rPr>
                <w:rFonts w:ascii="Times New Roman" w:hAnsi="Times New Roman"/>
              </w:rPr>
            </w:pPr>
          </w:p>
        </w:tc>
      </w:tr>
      <w:tr w:rsidR="0090485B" w:rsidRPr="009372FF" w14:paraId="7FEF348E"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35606FDE" w14:textId="77777777" w:rsidR="0090485B" w:rsidRPr="009372FF" w:rsidRDefault="0090485B" w:rsidP="008F07B7">
            <w:pPr>
              <w:jc w:val="left"/>
              <w:rPr>
                <w:rFonts w:ascii="Times New Roman" w:hAnsi="Times New Roman"/>
              </w:rPr>
            </w:pPr>
          </w:p>
        </w:tc>
        <w:tc>
          <w:tcPr>
            <w:tcW w:w="2893" w:type="dxa"/>
            <w:tcBorders>
              <w:top w:val="nil"/>
              <w:left w:val="nil"/>
              <w:bottom w:val="nil"/>
              <w:right w:val="nil"/>
            </w:tcBorders>
            <w:shd w:val="clear" w:color="auto" w:fill="auto"/>
            <w:vAlign w:val="bottom"/>
            <w:hideMark/>
          </w:tcPr>
          <w:p w14:paraId="4FB074EF"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Furniture</w:t>
            </w:r>
            <w:r>
              <w:rPr>
                <w:rFonts w:ascii="Arial Narrow" w:hAnsi="Arial Narrow" w:cs="Arial"/>
                <w:i/>
                <w:iCs/>
                <w:color w:val="000000"/>
              </w:rPr>
              <w:t xml:space="preserve"> </w:t>
            </w:r>
            <w:r w:rsidRPr="009372FF">
              <w:rPr>
                <w:rFonts w:ascii="Arial Narrow" w:hAnsi="Arial Narrow" w:cs="Arial"/>
                <w:i/>
                <w:iCs/>
                <w:color w:val="000000"/>
              </w:rPr>
              <w:t>and</w:t>
            </w:r>
            <w:r>
              <w:rPr>
                <w:rFonts w:ascii="Arial Narrow" w:hAnsi="Arial Narrow" w:cs="Arial"/>
                <w:i/>
                <w:iCs/>
                <w:color w:val="000000"/>
              </w:rPr>
              <w:t xml:space="preserve"> </w:t>
            </w:r>
            <w:r w:rsidRPr="009372FF">
              <w:rPr>
                <w:rFonts w:ascii="Arial Narrow" w:hAnsi="Arial Narrow" w:cs="Arial"/>
                <w:i/>
                <w:iCs/>
                <w:color w:val="000000"/>
              </w:rPr>
              <w:t>Equipment</w:t>
            </w:r>
          </w:p>
        </w:tc>
        <w:tc>
          <w:tcPr>
            <w:tcW w:w="1169" w:type="dxa"/>
            <w:tcBorders>
              <w:top w:val="nil"/>
              <w:left w:val="nil"/>
              <w:bottom w:val="nil"/>
              <w:right w:val="nil"/>
            </w:tcBorders>
            <w:shd w:val="clear" w:color="auto" w:fill="auto"/>
            <w:vAlign w:val="center"/>
            <w:hideMark/>
          </w:tcPr>
          <w:p w14:paraId="3F82D422" w14:textId="77777777" w:rsidR="0090485B" w:rsidRPr="009372FF" w:rsidRDefault="0090485B" w:rsidP="008F07B7">
            <w:pPr>
              <w:jc w:val="right"/>
              <w:rPr>
                <w:rFonts w:ascii="Arial Narrow" w:hAnsi="Arial Narrow" w:cs="Arial"/>
              </w:rPr>
            </w:pPr>
            <w:r w:rsidRPr="009372FF">
              <w:rPr>
                <w:rFonts w:ascii="Arial Narrow" w:hAnsi="Arial Narrow" w:cs="Arial"/>
              </w:rPr>
              <w:t>1</w:t>
            </w:r>
          </w:p>
        </w:tc>
        <w:tc>
          <w:tcPr>
            <w:tcW w:w="1169" w:type="dxa"/>
            <w:tcBorders>
              <w:top w:val="nil"/>
              <w:left w:val="nil"/>
              <w:bottom w:val="nil"/>
              <w:right w:val="nil"/>
            </w:tcBorders>
            <w:shd w:val="clear" w:color="auto" w:fill="auto"/>
            <w:vAlign w:val="center"/>
            <w:hideMark/>
          </w:tcPr>
          <w:p w14:paraId="1910F7FE"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c>
          <w:tcPr>
            <w:tcW w:w="970" w:type="dxa"/>
            <w:tcBorders>
              <w:top w:val="nil"/>
              <w:left w:val="nil"/>
              <w:bottom w:val="nil"/>
              <w:right w:val="nil"/>
            </w:tcBorders>
            <w:shd w:val="clear" w:color="auto" w:fill="auto"/>
            <w:vAlign w:val="center"/>
            <w:hideMark/>
          </w:tcPr>
          <w:p w14:paraId="3B06845F"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92" w:type="dxa"/>
            <w:tcBorders>
              <w:top w:val="nil"/>
              <w:left w:val="nil"/>
              <w:bottom w:val="nil"/>
              <w:right w:val="nil"/>
            </w:tcBorders>
            <w:shd w:val="clear" w:color="auto" w:fill="auto"/>
            <w:vAlign w:val="center"/>
            <w:hideMark/>
          </w:tcPr>
          <w:p w14:paraId="0410F3BA"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1219" w:type="dxa"/>
            <w:tcBorders>
              <w:top w:val="nil"/>
              <w:left w:val="nil"/>
              <w:bottom w:val="nil"/>
              <w:right w:val="nil"/>
            </w:tcBorders>
            <w:shd w:val="clear" w:color="auto" w:fill="auto"/>
            <w:vAlign w:val="center"/>
            <w:hideMark/>
          </w:tcPr>
          <w:p w14:paraId="1962D76D"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r>
      <w:tr w:rsidR="0090485B" w:rsidRPr="009372FF" w14:paraId="677A8F35" w14:textId="77777777" w:rsidTr="008F07B7">
        <w:trPr>
          <w:trHeight w:val="314"/>
          <w:jc w:val="center"/>
        </w:trPr>
        <w:tc>
          <w:tcPr>
            <w:tcW w:w="320" w:type="dxa"/>
            <w:tcBorders>
              <w:top w:val="nil"/>
              <w:left w:val="nil"/>
              <w:bottom w:val="nil"/>
              <w:right w:val="nil"/>
            </w:tcBorders>
            <w:shd w:val="clear" w:color="auto" w:fill="auto"/>
            <w:noWrap/>
            <w:vAlign w:val="bottom"/>
            <w:hideMark/>
          </w:tcPr>
          <w:p w14:paraId="16C02220" w14:textId="77777777" w:rsidR="0090485B" w:rsidRPr="009372FF" w:rsidRDefault="0090485B" w:rsidP="008F07B7">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14:paraId="63E9E6E3" w14:textId="77777777" w:rsidR="0090485B" w:rsidRPr="009372FF" w:rsidRDefault="0090485B" w:rsidP="008F07B7">
            <w:pPr>
              <w:ind w:firstLineChars="200" w:firstLine="400"/>
              <w:jc w:val="left"/>
              <w:rPr>
                <w:rFonts w:ascii="Arial Narrow" w:hAnsi="Arial Narrow" w:cs="Arial"/>
                <w:i/>
                <w:iCs/>
                <w:color w:val="000000"/>
              </w:rPr>
            </w:pPr>
            <w:r w:rsidRPr="009372FF">
              <w:rPr>
                <w:rFonts w:ascii="Arial Narrow" w:hAnsi="Arial Narrow" w:cs="Arial"/>
                <w:i/>
                <w:iCs/>
                <w:color w:val="000000"/>
              </w:rPr>
              <w:t>Supplies</w:t>
            </w:r>
            <w:r>
              <w:rPr>
                <w:rFonts w:ascii="Arial Narrow" w:hAnsi="Arial Narrow" w:cs="Arial"/>
                <w:i/>
                <w:iCs/>
                <w:color w:val="000000"/>
              </w:rPr>
              <w:t xml:space="preserve"> </w:t>
            </w:r>
            <w:r w:rsidRPr="009372FF">
              <w:rPr>
                <w:rFonts w:ascii="Arial Narrow" w:hAnsi="Arial Narrow" w:cs="Arial"/>
                <w:i/>
                <w:iCs/>
                <w:color w:val="000000"/>
              </w:rPr>
              <w:t>and</w:t>
            </w:r>
            <w:r>
              <w:rPr>
                <w:rFonts w:ascii="Arial Narrow" w:hAnsi="Arial Narrow" w:cs="Arial"/>
                <w:i/>
                <w:iCs/>
                <w:color w:val="000000"/>
              </w:rPr>
              <w:t xml:space="preserve"> </w:t>
            </w:r>
            <w:r w:rsidRPr="009372FF">
              <w:rPr>
                <w:rFonts w:ascii="Arial Narrow" w:hAnsi="Arial Narrow" w:cs="Arial"/>
                <w:i/>
                <w:iCs/>
                <w:color w:val="000000"/>
              </w:rPr>
              <w:t>Materials</w:t>
            </w:r>
          </w:p>
        </w:tc>
        <w:tc>
          <w:tcPr>
            <w:tcW w:w="1169" w:type="dxa"/>
            <w:tcBorders>
              <w:top w:val="nil"/>
              <w:left w:val="nil"/>
              <w:bottom w:val="nil"/>
              <w:right w:val="nil"/>
            </w:tcBorders>
            <w:shd w:val="clear" w:color="auto" w:fill="auto"/>
            <w:vAlign w:val="center"/>
            <w:hideMark/>
          </w:tcPr>
          <w:p w14:paraId="1F4B7453" w14:textId="77777777" w:rsidR="0090485B" w:rsidRPr="009372FF" w:rsidRDefault="0090485B" w:rsidP="008F07B7">
            <w:pPr>
              <w:jc w:val="right"/>
              <w:rPr>
                <w:rFonts w:ascii="Arial Narrow" w:hAnsi="Arial Narrow" w:cs="Arial"/>
              </w:rPr>
            </w:pPr>
            <w:r w:rsidRPr="009372FF">
              <w:rPr>
                <w:rFonts w:ascii="Arial Narrow" w:hAnsi="Arial Narrow" w:cs="Arial"/>
              </w:rPr>
              <w:t>2</w:t>
            </w:r>
          </w:p>
        </w:tc>
        <w:tc>
          <w:tcPr>
            <w:tcW w:w="1169" w:type="dxa"/>
            <w:tcBorders>
              <w:top w:val="nil"/>
              <w:left w:val="nil"/>
              <w:bottom w:val="nil"/>
              <w:right w:val="nil"/>
            </w:tcBorders>
            <w:shd w:val="clear" w:color="auto" w:fill="auto"/>
            <w:vAlign w:val="center"/>
            <w:hideMark/>
          </w:tcPr>
          <w:p w14:paraId="2CBA502C"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c>
          <w:tcPr>
            <w:tcW w:w="970" w:type="dxa"/>
            <w:tcBorders>
              <w:top w:val="nil"/>
              <w:left w:val="nil"/>
              <w:bottom w:val="nil"/>
              <w:right w:val="nil"/>
            </w:tcBorders>
            <w:shd w:val="clear" w:color="auto" w:fill="auto"/>
            <w:vAlign w:val="center"/>
            <w:hideMark/>
          </w:tcPr>
          <w:p w14:paraId="02A26E6C"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92" w:type="dxa"/>
            <w:tcBorders>
              <w:top w:val="nil"/>
              <w:left w:val="nil"/>
              <w:bottom w:val="nil"/>
              <w:right w:val="nil"/>
            </w:tcBorders>
            <w:shd w:val="clear" w:color="auto" w:fill="auto"/>
            <w:vAlign w:val="center"/>
            <w:hideMark/>
          </w:tcPr>
          <w:p w14:paraId="2C72CED2"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1219" w:type="dxa"/>
            <w:tcBorders>
              <w:top w:val="nil"/>
              <w:left w:val="nil"/>
              <w:bottom w:val="nil"/>
              <w:right w:val="nil"/>
            </w:tcBorders>
            <w:shd w:val="clear" w:color="auto" w:fill="auto"/>
            <w:vAlign w:val="center"/>
            <w:hideMark/>
          </w:tcPr>
          <w:p w14:paraId="4B7520DD" w14:textId="77777777" w:rsidR="0090485B" w:rsidRPr="009372FF" w:rsidRDefault="0090485B" w:rsidP="008F07B7">
            <w:pPr>
              <w:jc w:val="right"/>
              <w:rPr>
                <w:rFonts w:ascii="Arial Narrow" w:hAnsi="Arial Narrow" w:cs="Arial"/>
              </w:rPr>
            </w:pPr>
            <w:r w:rsidRPr="009372FF">
              <w:rPr>
                <w:rFonts w:ascii="Arial Narrow" w:hAnsi="Arial Narrow" w:cs="Arial"/>
              </w:rPr>
              <w:t>5</w:t>
            </w:r>
          </w:p>
        </w:tc>
      </w:tr>
      <w:tr w:rsidR="0090485B" w:rsidRPr="009372FF" w14:paraId="5AA43012" w14:textId="77777777" w:rsidTr="008F07B7">
        <w:trPr>
          <w:trHeight w:val="314"/>
          <w:jc w:val="center"/>
        </w:trPr>
        <w:tc>
          <w:tcPr>
            <w:tcW w:w="320" w:type="dxa"/>
            <w:tcBorders>
              <w:top w:val="nil"/>
              <w:left w:val="nil"/>
              <w:bottom w:val="single" w:sz="4" w:space="0" w:color="AAB8C4"/>
              <w:right w:val="nil"/>
            </w:tcBorders>
            <w:shd w:val="clear" w:color="auto" w:fill="auto"/>
            <w:noWrap/>
            <w:vAlign w:val="bottom"/>
            <w:hideMark/>
          </w:tcPr>
          <w:p w14:paraId="63D4C4AF" w14:textId="77777777" w:rsidR="0090485B" w:rsidRPr="009372FF" w:rsidRDefault="0090485B" w:rsidP="008F07B7">
            <w:pPr>
              <w:jc w:val="left"/>
              <w:rPr>
                <w:rFonts w:cs="Arial"/>
              </w:rPr>
            </w:pPr>
            <w:r w:rsidRPr="009372FF">
              <w:rPr>
                <w:rFonts w:cs="Arial"/>
              </w:rPr>
              <w:t> </w:t>
            </w:r>
          </w:p>
        </w:tc>
        <w:tc>
          <w:tcPr>
            <w:tcW w:w="2893" w:type="dxa"/>
            <w:tcBorders>
              <w:top w:val="nil"/>
              <w:left w:val="nil"/>
              <w:bottom w:val="single" w:sz="4" w:space="0" w:color="AAB8C4"/>
              <w:right w:val="nil"/>
            </w:tcBorders>
            <w:shd w:val="clear" w:color="auto" w:fill="auto"/>
            <w:vAlign w:val="bottom"/>
            <w:hideMark/>
          </w:tcPr>
          <w:p w14:paraId="748A6502" w14:textId="77777777" w:rsidR="0090485B" w:rsidRPr="009372FF" w:rsidRDefault="0090485B" w:rsidP="008F07B7">
            <w:pPr>
              <w:jc w:val="left"/>
              <w:rPr>
                <w:rFonts w:ascii="Arial Narrow" w:hAnsi="Arial Narrow" w:cs="Arial"/>
                <w:b/>
                <w:bCs/>
              </w:rPr>
            </w:pPr>
            <w:r w:rsidRPr="009372FF">
              <w:rPr>
                <w:rFonts w:ascii="Arial Narrow" w:hAnsi="Arial Narrow" w:cs="Arial"/>
                <w:b/>
                <w:bCs/>
              </w:rPr>
              <w:t>Sub-total</w:t>
            </w:r>
          </w:p>
        </w:tc>
        <w:tc>
          <w:tcPr>
            <w:tcW w:w="1169" w:type="dxa"/>
            <w:tcBorders>
              <w:top w:val="nil"/>
              <w:left w:val="nil"/>
              <w:bottom w:val="single" w:sz="4" w:space="0" w:color="AAB8C4"/>
              <w:right w:val="nil"/>
            </w:tcBorders>
            <w:shd w:val="clear" w:color="auto" w:fill="auto"/>
            <w:vAlign w:val="center"/>
            <w:hideMark/>
          </w:tcPr>
          <w:p w14:paraId="7C51EC18"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3</w:t>
            </w:r>
          </w:p>
        </w:tc>
        <w:tc>
          <w:tcPr>
            <w:tcW w:w="1169" w:type="dxa"/>
            <w:tcBorders>
              <w:top w:val="nil"/>
              <w:left w:val="nil"/>
              <w:bottom w:val="single" w:sz="4" w:space="0" w:color="AAB8C4"/>
              <w:right w:val="nil"/>
            </w:tcBorders>
            <w:shd w:val="clear" w:color="auto" w:fill="auto"/>
            <w:vAlign w:val="center"/>
            <w:hideMark/>
          </w:tcPr>
          <w:p w14:paraId="6DDB43FC"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10</w:t>
            </w:r>
          </w:p>
        </w:tc>
        <w:tc>
          <w:tcPr>
            <w:tcW w:w="970" w:type="dxa"/>
            <w:tcBorders>
              <w:top w:val="nil"/>
              <w:left w:val="nil"/>
              <w:bottom w:val="nil"/>
              <w:right w:val="nil"/>
            </w:tcBorders>
            <w:shd w:val="clear" w:color="auto" w:fill="auto"/>
            <w:vAlign w:val="center"/>
            <w:hideMark/>
          </w:tcPr>
          <w:p w14:paraId="0FCC10B6" w14:textId="77777777" w:rsidR="0090485B" w:rsidRPr="009372FF" w:rsidRDefault="0090485B" w:rsidP="008F07B7">
            <w:pPr>
              <w:jc w:val="right"/>
              <w:rPr>
                <w:rFonts w:ascii="Arial Narrow" w:hAnsi="Arial Narrow" w:cs="Arial"/>
              </w:rPr>
            </w:pPr>
            <w:r w:rsidRPr="009372FF">
              <w:rPr>
                <w:rFonts w:ascii="Arial Narrow" w:hAnsi="Arial Narrow" w:cs="Arial"/>
              </w:rPr>
              <w:t>-</w:t>
            </w:r>
          </w:p>
        </w:tc>
        <w:tc>
          <w:tcPr>
            <w:tcW w:w="992" w:type="dxa"/>
            <w:tcBorders>
              <w:top w:val="nil"/>
              <w:left w:val="nil"/>
              <w:bottom w:val="nil"/>
              <w:right w:val="nil"/>
            </w:tcBorders>
            <w:shd w:val="clear" w:color="auto" w:fill="auto"/>
            <w:vAlign w:val="center"/>
            <w:hideMark/>
          </w:tcPr>
          <w:p w14:paraId="22A9DAD4" w14:textId="77777777" w:rsidR="0090485B" w:rsidRPr="009372FF" w:rsidRDefault="0090485B" w:rsidP="008F07B7">
            <w:pPr>
              <w:jc w:val="right"/>
              <w:rPr>
                <w:rFonts w:ascii="Arial Narrow" w:hAnsi="Arial Narrow" w:cs="Arial"/>
              </w:rPr>
            </w:pPr>
            <w:r w:rsidRPr="009372FF">
              <w:rPr>
                <w:rFonts w:ascii="Arial Narrow" w:hAnsi="Arial Narrow" w:cs="Arial"/>
              </w:rPr>
              <w:t>0%</w:t>
            </w:r>
          </w:p>
        </w:tc>
        <w:tc>
          <w:tcPr>
            <w:tcW w:w="1219" w:type="dxa"/>
            <w:tcBorders>
              <w:top w:val="nil"/>
              <w:left w:val="nil"/>
              <w:bottom w:val="single" w:sz="4" w:space="0" w:color="AAB8C4"/>
              <w:right w:val="nil"/>
            </w:tcBorders>
            <w:shd w:val="clear" w:color="auto" w:fill="auto"/>
            <w:vAlign w:val="center"/>
            <w:hideMark/>
          </w:tcPr>
          <w:p w14:paraId="693CC025"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10</w:t>
            </w:r>
          </w:p>
        </w:tc>
      </w:tr>
      <w:tr w:rsidR="0090485B" w:rsidRPr="009372FF" w14:paraId="2D910D60" w14:textId="77777777" w:rsidTr="008F07B7">
        <w:trPr>
          <w:trHeight w:val="314"/>
          <w:jc w:val="center"/>
        </w:trPr>
        <w:tc>
          <w:tcPr>
            <w:tcW w:w="320" w:type="dxa"/>
            <w:tcBorders>
              <w:top w:val="nil"/>
              <w:left w:val="nil"/>
              <w:bottom w:val="single" w:sz="8" w:space="0" w:color="AAB8C4"/>
              <w:right w:val="nil"/>
            </w:tcBorders>
            <w:shd w:val="clear" w:color="auto" w:fill="auto"/>
            <w:noWrap/>
            <w:vAlign w:val="bottom"/>
            <w:hideMark/>
          </w:tcPr>
          <w:p w14:paraId="67D4FA34" w14:textId="77777777" w:rsidR="0090485B" w:rsidRPr="009372FF" w:rsidRDefault="0090485B" w:rsidP="008F07B7">
            <w:pPr>
              <w:jc w:val="left"/>
              <w:rPr>
                <w:rFonts w:cs="Arial"/>
                <w:b/>
                <w:bCs/>
              </w:rPr>
            </w:pPr>
            <w:r w:rsidRPr="009372FF">
              <w:rPr>
                <w:rFonts w:cs="Arial"/>
                <w:b/>
                <w:bCs/>
              </w:rPr>
              <w:t> </w:t>
            </w:r>
          </w:p>
        </w:tc>
        <w:tc>
          <w:tcPr>
            <w:tcW w:w="2893" w:type="dxa"/>
            <w:tcBorders>
              <w:top w:val="nil"/>
              <w:left w:val="nil"/>
              <w:bottom w:val="single" w:sz="8" w:space="0" w:color="AAB8C4"/>
              <w:right w:val="nil"/>
            </w:tcBorders>
            <w:shd w:val="clear" w:color="auto" w:fill="auto"/>
            <w:vAlign w:val="bottom"/>
            <w:hideMark/>
          </w:tcPr>
          <w:p w14:paraId="708F8AA8" w14:textId="77777777" w:rsidR="0090485B" w:rsidRPr="009372FF" w:rsidRDefault="0090485B" w:rsidP="008F07B7">
            <w:pPr>
              <w:jc w:val="left"/>
              <w:rPr>
                <w:rFonts w:ascii="Arial Narrow" w:hAnsi="Arial Narrow" w:cs="Arial"/>
                <w:b/>
                <w:bCs/>
                <w:color w:val="000000"/>
              </w:rPr>
            </w:pPr>
            <w:r w:rsidRPr="009372FF">
              <w:rPr>
                <w:rFonts w:ascii="Arial Narrow" w:hAnsi="Arial Narrow" w:cs="Arial"/>
                <w:b/>
                <w:bCs/>
                <w:color w:val="000000"/>
              </w:rPr>
              <w:t>Total,</w:t>
            </w:r>
            <w:r>
              <w:rPr>
                <w:rFonts w:ascii="Arial Narrow" w:hAnsi="Arial Narrow" w:cs="Arial"/>
                <w:b/>
                <w:bCs/>
                <w:color w:val="000000"/>
              </w:rPr>
              <w:t xml:space="preserve"> </w:t>
            </w:r>
            <w:r w:rsidRPr="009372FF">
              <w:rPr>
                <w:rFonts w:ascii="Arial Narrow" w:hAnsi="Arial Narrow" w:cs="Arial"/>
                <w:b/>
                <w:bCs/>
                <w:color w:val="000000"/>
              </w:rPr>
              <w:t>B</w:t>
            </w:r>
          </w:p>
        </w:tc>
        <w:tc>
          <w:tcPr>
            <w:tcW w:w="1169" w:type="dxa"/>
            <w:tcBorders>
              <w:top w:val="nil"/>
              <w:left w:val="nil"/>
              <w:bottom w:val="single" w:sz="8" w:space="0" w:color="AAB8C4"/>
              <w:right w:val="nil"/>
            </w:tcBorders>
            <w:shd w:val="clear" w:color="auto" w:fill="auto"/>
            <w:vAlign w:val="center"/>
            <w:hideMark/>
          </w:tcPr>
          <w:p w14:paraId="4DC75334"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2,484</w:t>
            </w:r>
          </w:p>
        </w:tc>
        <w:tc>
          <w:tcPr>
            <w:tcW w:w="1169" w:type="dxa"/>
            <w:tcBorders>
              <w:top w:val="nil"/>
              <w:left w:val="nil"/>
              <w:bottom w:val="single" w:sz="8" w:space="0" w:color="AAB8C4"/>
              <w:right w:val="nil"/>
            </w:tcBorders>
            <w:shd w:val="clear" w:color="auto" w:fill="auto"/>
            <w:vAlign w:val="center"/>
            <w:hideMark/>
          </w:tcPr>
          <w:p w14:paraId="72CFDB9D"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2,408</w:t>
            </w:r>
          </w:p>
        </w:tc>
        <w:tc>
          <w:tcPr>
            <w:tcW w:w="970" w:type="dxa"/>
            <w:tcBorders>
              <w:top w:val="single" w:sz="4" w:space="0" w:color="BFBFBF"/>
              <w:left w:val="nil"/>
              <w:bottom w:val="single" w:sz="8" w:space="0" w:color="BFBFBF"/>
              <w:right w:val="nil"/>
            </w:tcBorders>
            <w:shd w:val="clear" w:color="auto" w:fill="auto"/>
            <w:vAlign w:val="center"/>
            <w:hideMark/>
          </w:tcPr>
          <w:p w14:paraId="2B28FB31" w14:textId="57450B17" w:rsidR="0090485B" w:rsidRPr="009372FF" w:rsidRDefault="0090485B" w:rsidP="00091D98">
            <w:pPr>
              <w:jc w:val="right"/>
              <w:rPr>
                <w:rFonts w:ascii="Arial Narrow" w:hAnsi="Arial Narrow" w:cs="Arial"/>
                <w:b/>
                <w:bCs/>
              </w:rPr>
            </w:pPr>
            <w:r w:rsidRPr="009372FF">
              <w:rPr>
                <w:rFonts w:ascii="Arial Narrow" w:hAnsi="Arial Narrow" w:cs="Arial"/>
                <w:b/>
                <w:bCs/>
              </w:rPr>
              <w:t>(</w:t>
            </w:r>
            <w:r w:rsidR="00091D98">
              <w:rPr>
                <w:rFonts w:ascii="Arial Narrow" w:hAnsi="Arial Narrow" w:cs="Arial"/>
                <w:b/>
                <w:bCs/>
              </w:rPr>
              <w:t>92</w:t>
            </w:r>
            <w:r w:rsidRPr="009372FF">
              <w:rPr>
                <w:rFonts w:ascii="Arial Narrow" w:hAnsi="Arial Narrow" w:cs="Arial"/>
                <w:b/>
                <w:bCs/>
              </w:rPr>
              <w:t>)</w:t>
            </w:r>
          </w:p>
        </w:tc>
        <w:tc>
          <w:tcPr>
            <w:tcW w:w="992" w:type="dxa"/>
            <w:tcBorders>
              <w:top w:val="single" w:sz="4" w:space="0" w:color="BFBFBF"/>
              <w:left w:val="nil"/>
              <w:bottom w:val="single" w:sz="8" w:space="0" w:color="BFBFBF"/>
              <w:right w:val="nil"/>
            </w:tcBorders>
            <w:shd w:val="clear" w:color="auto" w:fill="auto"/>
            <w:vAlign w:val="center"/>
            <w:hideMark/>
          </w:tcPr>
          <w:p w14:paraId="5E3942AB" w14:textId="0EC74940" w:rsidR="0090485B" w:rsidRPr="009372FF" w:rsidRDefault="0090485B" w:rsidP="00091D98">
            <w:pPr>
              <w:jc w:val="right"/>
              <w:rPr>
                <w:rFonts w:ascii="Arial Narrow" w:hAnsi="Arial Narrow" w:cs="Arial"/>
                <w:b/>
                <w:bCs/>
              </w:rPr>
            </w:pPr>
            <w:r w:rsidRPr="009372FF">
              <w:rPr>
                <w:rFonts w:ascii="Arial Narrow" w:hAnsi="Arial Narrow" w:cs="Arial"/>
                <w:b/>
                <w:bCs/>
              </w:rPr>
              <w:t>-</w:t>
            </w:r>
            <w:r w:rsidR="00091D98">
              <w:rPr>
                <w:rFonts w:ascii="Arial Narrow" w:hAnsi="Arial Narrow" w:cs="Arial"/>
                <w:b/>
                <w:bCs/>
              </w:rPr>
              <w:t>4</w:t>
            </w:r>
            <w:r w:rsidRPr="009372FF">
              <w:rPr>
                <w:rFonts w:ascii="Arial Narrow" w:hAnsi="Arial Narrow" w:cs="Arial"/>
                <w:b/>
                <w:bCs/>
              </w:rPr>
              <w:t>%</w:t>
            </w:r>
          </w:p>
        </w:tc>
        <w:tc>
          <w:tcPr>
            <w:tcW w:w="1219" w:type="dxa"/>
            <w:tcBorders>
              <w:top w:val="nil"/>
              <w:left w:val="nil"/>
              <w:bottom w:val="single" w:sz="8" w:space="0" w:color="AAB8C4"/>
              <w:right w:val="nil"/>
            </w:tcBorders>
            <w:shd w:val="clear" w:color="auto" w:fill="auto"/>
            <w:vAlign w:val="center"/>
            <w:hideMark/>
          </w:tcPr>
          <w:p w14:paraId="55BF78FB" w14:textId="0E51D234" w:rsidR="0090485B" w:rsidRPr="009372FF" w:rsidRDefault="0090485B" w:rsidP="00091D98">
            <w:pPr>
              <w:jc w:val="right"/>
              <w:rPr>
                <w:rFonts w:ascii="Arial Narrow" w:hAnsi="Arial Narrow" w:cs="Arial"/>
                <w:b/>
                <w:bCs/>
              </w:rPr>
            </w:pPr>
            <w:r w:rsidRPr="009372FF">
              <w:rPr>
                <w:rFonts w:ascii="Arial Narrow" w:hAnsi="Arial Narrow" w:cs="Arial"/>
                <w:b/>
                <w:bCs/>
              </w:rPr>
              <w:t>2,3</w:t>
            </w:r>
            <w:r w:rsidR="00091D98">
              <w:rPr>
                <w:rFonts w:ascii="Arial Narrow" w:hAnsi="Arial Narrow" w:cs="Arial"/>
                <w:b/>
                <w:bCs/>
              </w:rPr>
              <w:t>16</w:t>
            </w:r>
          </w:p>
        </w:tc>
      </w:tr>
      <w:tr w:rsidR="0090485B" w:rsidRPr="009372FF" w14:paraId="5958D7EC" w14:textId="77777777" w:rsidTr="008F07B7">
        <w:trPr>
          <w:trHeight w:val="314"/>
          <w:jc w:val="center"/>
        </w:trPr>
        <w:tc>
          <w:tcPr>
            <w:tcW w:w="320" w:type="dxa"/>
            <w:tcBorders>
              <w:top w:val="nil"/>
              <w:left w:val="nil"/>
              <w:bottom w:val="single" w:sz="8" w:space="0" w:color="AAB8C4"/>
              <w:right w:val="nil"/>
            </w:tcBorders>
            <w:shd w:val="clear" w:color="auto" w:fill="auto"/>
            <w:noWrap/>
            <w:vAlign w:val="bottom"/>
            <w:hideMark/>
          </w:tcPr>
          <w:p w14:paraId="30BAEDB3" w14:textId="77777777" w:rsidR="0090485B" w:rsidRPr="009372FF" w:rsidRDefault="0090485B" w:rsidP="008F07B7">
            <w:pPr>
              <w:jc w:val="left"/>
              <w:rPr>
                <w:rFonts w:cs="Arial"/>
                <w:b/>
                <w:bCs/>
              </w:rPr>
            </w:pPr>
            <w:r w:rsidRPr="009372FF">
              <w:rPr>
                <w:rFonts w:cs="Arial"/>
                <w:b/>
                <w:bCs/>
              </w:rPr>
              <w:t> </w:t>
            </w:r>
          </w:p>
        </w:tc>
        <w:tc>
          <w:tcPr>
            <w:tcW w:w="2893" w:type="dxa"/>
            <w:tcBorders>
              <w:top w:val="nil"/>
              <w:left w:val="nil"/>
              <w:bottom w:val="single" w:sz="8" w:space="0" w:color="AAB8C4"/>
              <w:right w:val="nil"/>
            </w:tcBorders>
            <w:shd w:val="clear" w:color="auto" w:fill="auto"/>
            <w:vAlign w:val="center"/>
            <w:hideMark/>
          </w:tcPr>
          <w:p w14:paraId="0E3DACFE" w14:textId="77777777" w:rsidR="0090485B" w:rsidRPr="009372FF" w:rsidRDefault="0090485B" w:rsidP="008F07B7">
            <w:pPr>
              <w:jc w:val="left"/>
              <w:rPr>
                <w:rFonts w:ascii="Arial Narrow" w:hAnsi="Arial Narrow" w:cs="Arial"/>
                <w:b/>
                <w:bCs/>
              </w:rPr>
            </w:pPr>
            <w:r w:rsidRPr="009372FF">
              <w:rPr>
                <w:rFonts w:ascii="Arial Narrow" w:hAnsi="Arial Narrow" w:cs="Arial"/>
                <w:b/>
                <w:bCs/>
              </w:rPr>
              <w:t>TOTAL,</w:t>
            </w:r>
            <w:r>
              <w:rPr>
                <w:rFonts w:ascii="Arial Narrow" w:hAnsi="Arial Narrow" w:cs="Arial"/>
                <w:b/>
                <w:bCs/>
              </w:rPr>
              <w:t xml:space="preserve"> </w:t>
            </w:r>
            <w:r w:rsidRPr="009372FF">
              <w:rPr>
                <w:rFonts w:ascii="Arial Narrow" w:hAnsi="Arial Narrow" w:cs="Arial"/>
                <w:b/>
                <w:bCs/>
              </w:rPr>
              <w:t>A+B</w:t>
            </w:r>
          </w:p>
        </w:tc>
        <w:tc>
          <w:tcPr>
            <w:tcW w:w="1169" w:type="dxa"/>
            <w:tcBorders>
              <w:top w:val="nil"/>
              <w:left w:val="nil"/>
              <w:bottom w:val="single" w:sz="8" w:space="0" w:color="AAB8C4"/>
              <w:right w:val="nil"/>
            </w:tcBorders>
            <w:shd w:val="clear" w:color="auto" w:fill="auto"/>
            <w:vAlign w:val="center"/>
            <w:hideMark/>
          </w:tcPr>
          <w:p w14:paraId="6F225241"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6,854</w:t>
            </w:r>
          </w:p>
        </w:tc>
        <w:tc>
          <w:tcPr>
            <w:tcW w:w="1169" w:type="dxa"/>
            <w:tcBorders>
              <w:top w:val="nil"/>
              <w:left w:val="nil"/>
              <w:bottom w:val="single" w:sz="8" w:space="0" w:color="AAB8C4"/>
              <w:right w:val="nil"/>
            </w:tcBorders>
            <w:shd w:val="clear" w:color="auto" w:fill="auto"/>
            <w:vAlign w:val="center"/>
            <w:hideMark/>
          </w:tcPr>
          <w:p w14:paraId="12BA7A7B"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7,347</w:t>
            </w:r>
          </w:p>
        </w:tc>
        <w:tc>
          <w:tcPr>
            <w:tcW w:w="970" w:type="dxa"/>
            <w:tcBorders>
              <w:top w:val="single" w:sz="4" w:space="0" w:color="BFBFBF"/>
              <w:left w:val="nil"/>
              <w:bottom w:val="single" w:sz="8" w:space="0" w:color="BFBFBF"/>
              <w:right w:val="nil"/>
            </w:tcBorders>
            <w:shd w:val="clear" w:color="auto" w:fill="auto"/>
            <w:vAlign w:val="center"/>
            <w:hideMark/>
          </w:tcPr>
          <w:p w14:paraId="16F985B2"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287</w:t>
            </w:r>
          </w:p>
        </w:tc>
        <w:tc>
          <w:tcPr>
            <w:tcW w:w="992" w:type="dxa"/>
            <w:tcBorders>
              <w:top w:val="nil"/>
              <w:left w:val="nil"/>
              <w:bottom w:val="single" w:sz="8" w:space="0" w:color="BFBFBF"/>
              <w:right w:val="nil"/>
            </w:tcBorders>
            <w:shd w:val="clear" w:color="auto" w:fill="auto"/>
            <w:vAlign w:val="center"/>
            <w:hideMark/>
          </w:tcPr>
          <w:p w14:paraId="7D8ABC4D"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14:paraId="4E66D07B" w14:textId="77777777" w:rsidR="0090485B" w:rsidRPr="009372FF" w:rsidRDefault="0090485B" w:rsidP="008F07B7">
            <w:pPr>
              <w:jc w:val="right"/>
              <w:rPr>
                <w:rFonts w:ascii="Arial Narrow" w:hAnsi="Arial Narrow" w:cs="Arial"/>
                <w:b/>
                <w:bCs/>
              </w:rPr>
            </w:pPr>
            <w:r w:rsidRPr="009372FF">
              <w:rPr>
                <w:rFonts w:ascii="Arial Narrow" w:hAnsi="Arial Narrow" w:cs="Arial"/>
                <w:b/>
                <w:bCs/>
              </w:rPr>
              <w:t>7,635</w:t>
            </w:r>
          </w:p>
        </w:tc>
      </w:tr>
    </w:tbl>
    <w:p w14:paraId="40605F63" w14:textId="77777777" w:rsidR="0090485B" w:rsidRDefault="0090485B" w:rsidP="0090485B">
      <w:pPr>
        <w:rPr>
          <w:spacing w:val="-2"/>
        </w:rPr>
      </w:pPr>
    </w:p>
    <w:p w14:paraId="4C382CF6" w14:textId="77777777" w:rsidR="0090485B" w:rsidRPr="00421986" w:rsidRDefault="0090485B" w:rsidP="0090485B">
      <w:pPr>
        <w:rPr>
          <w:b/>
          <w:spacing w:val="-2"/>
          <w:szCs w:val="24"/>
        </w:rPr>
      </w:pPr>
    </w:p>
    <w:p w14:paraId="2221A499" w14:textId="77777777" w:rsidR="0090485B" w:rsidRPr="00115442" w:rsidRDefault="0090485B" w:rsidP="0090485B">
      <w:pPr>
        <w:pStyle w:val="Heading2"/>
      </w:pPr>
      <w:bookmarkStart w:id="494" w:name="_Toc77931057"/>
      <w:r w:rsidRPr="00115442">
        <w:t>Staff resourcing</w:t>
      </w:r>
      <w:bookmarkEnd w:id="494"/>
    </w:p>
    <w:p w14:paraId="7FB44324" w14:textId="77777777" w:rsidR="0090485B" w:rsidRPr="00421986" w:rsidRDefault="0090485B" w:rsidP="0090485B">
      <w:pPr>
        <w:pStyle w:val="ListParagraph"/>
        <w:keepNext/>
        <w:ind w:left="0"/>
        <w:contextualSpacing w:val="0"/>
      </w:pPr>
    </w:p>
    <w:p w14:paraId="4180B9CF" w14:textId="77777777" w:rsidR="0090485B" w:rsidRPr="00421986" w:rsidRDefault="0090485B" w:rsidP="0090485B">
      <w:pPr>
        <w:pStyle w:val="ListParagraph"/>
        <w:keepNext/>
        <w:tabs>
          <w:tab w:val="left" w:pos="851"/>
        </w:tabs>
        <w:ind w:left="0"/>
        <w:contextualSpacing w:val="0"/>
        <w:rPr>
          <w:spacing w:val="-2"/>
        </w:rPr>
      </w:pPr>
      <w:r w:rsidRPr="00421986">
        <w:rPr>
          <w:spacing w:val="-2"/>
        </w:rPr>
        <w:t xml:space="preserve">The increase in number of members of </w:t>
      </w:r>
      <w:r>
        <w:rPr>
          <w:spacing w:val="-2"/>
        </w:rPr>
        <w:t>the Union</w:t>
      </w:r>
      <w:r w:rsidRPr="00421986">
        <w:rPr>
          <w:spacing w:val="-2"/>
        </w:rPr>
        <w:t xml:space="preserve"> and States covered by the </w:t>
      </w:r>
      <w:r>
        <w:rPr>
          <w:spacing w:val="-2"/>
        </w:rPr>
        <w:t>UPOV Convention</w:t>
      </w:r>
      <w:r w:rsidRPr="00421986">
        <w:rPr>
          <w:spacing w:val="-2"/>
        </w:rPr>
        <w:t xml:space="preserve"> has continued to increase (see Figure 2), also accompanied in recent years by a significant increase in the number of States and organizations seeking advice on laws (see Figure 3).  </w:t>
      </w:r>
    </w:p>
    <w:p w14:paraId="02650C40" w14:textId="77777777" w:rsidR="0090485B" w:rsidRPr="00421986" w:rsidRDefault="0090485B" w:rsidP="0090485B">
      <w:pPr>
        <w:tabs>
          <w:tab w:val="left" w:pos="567"/>
        </w:tabs>
        <w:rPr>
          <w:spacing w:val="-2"/>
        </w:rPr>
      </w:pPr>
    </w:p>
    <w:p w14:paraId="7993A2C0" w14:textId="77777777" w:rsidR="0090485B" w:rsidRPr="00421986" w:rsidRDefault="0090485B" w:rsidP="0090485B">
      <w:pPr>
        <w:pStyle w:val="ListParagraph"/>
        <w:tabs>
          <w:tab w:val="left" w:pos="851"/>
        </w:tabs>
        <w:ind w:left="0"/>
        <w:contextualSpacing w:val="0"/>
        <w:rPr>
          <w:spacing w:val="-2"/>
        </w:rPr>
      </w:pPr>
      <w:r w:rsidRPr="0095067F">
        <w:t xml:space="preserve">UPOV has continuously used agency workers since 2014 to provide administrative assistance.  Since 2017, three agency workers have been present in the UPOV Office to provide </w:t>
      </w:r>
      <w:r w:rsidRPr="0095067F">
        <w:rPr>
          <w:spacing w:val="-2"/>
        </w:rPr>
        <w:t xml:space="preserve">legal administrative assistance for UPOV activities support and administrative assistance related to IT developments.  The discontinuation of the </w:t>
      </w:r>
      <w:r w:rsidRPr="0095067F">
        <w:rPr>
          <w:spacing w:val="-2"/>
        </w:rPr>
        <w:lastRenderedPageBreak/>
        <w:t xml:space="preserve">UPOV-WIPO arrangement for the PLUTO database necessitated the recruitment of an IT Support Officer in the 2020-2021 </w:t>
      </w:r>
      <w:r>
        <w:rPr>
          <w:spacing w:val="-2"/>
        </w:rPr>
        <w:t>b</w:t>
      </w:r>
      <w:r w:rsidRPr="0095067F">
        <w:rPr>
          <w:spacing w:val="-2"/>
        </w:rPr>
        <w:t>iennium.</w:t>
      </w:r>
    </w:p>
    <w:p w14:paraId="2FD7A61A" w14:textId="77777777" w:rsidR="0090485B" w:rsidRPr="00421986" w:rsidRDefault="0090485B" w:rsidP="0090485B">
      <w:pPr>
        <w:tabs>
          <w:tab w:val="left" w:pos="567"/>
        </w:tabs>
        <w:rPr>
          <w:spacing w:val="-2"/>
        </w:rPr>
      </w:pPr>
    </w:p>
    <w:p w14:paraId="7F0BF1B5" w14:textId="77777777" w:rsidR="0090485B" w:rsidRPr="00421986" w:rsidRDefault="0090485B" w:rsidP="0090485B">
      <w:pPr>
        <w:pStyle w:val="ListParagraph"/>
        <w:tabs>
          <w:tab w:val="left" w:pos="851"/>
        </w:tabs>
        <w:ind w:left="0"/>
        <w:contextualSpacing w:val="0"/>
        <w:rPr>
          <w:spacing w:val="-2"/>
        </w:rPr>
      </w:pPr>
      <w:r w:rsidRPr="00421986">
        <w:rPr>
          <w:spacing w:val="-2"/>
        </w:rPr>
        <w:t>The tasks currently being performed by the three agency workers indicated above have become a core part of UPOV</w:t>
      </w:r>
      <w:r>
        <w:rPr>
          <w:spacing w:val="-2"/>
        </w:rPr>
        <w:t>’</w:t>
      </w:r>
      <w:r w:rsidRPr="00421986">
        <w:rPr>
          <w:spacing w:val="-2"/>
        </w:rPr>
        <w:t xml:space="preserve">s work and are planned to be transformed into posts during the period of the </w:t>
      </w:r>
      <w:r w:rsidRPr="00421986">
        <w:t>Strategic Business Plan 2021-2025</w:t>
      </w:r>
      <w:r w:rsidRPr="00421986">
        <w:rPr>
          <w:spacing w:val="-2"/>
        </w:rPr>
        <w:t xml:space="preserve"> in order to ensure continuity and stability in UPOV</w:t>
      </w:r>
      <w:r>
        <w:rPr>
          <w:spacing w:val="-2"/>
        </w:rPr>
        <w:t>’</w:t>
      </w:r>
      <w:r w:rsidRPr="00421986">
        <w:rPr>
          <w:spacing w:val="-2"/>
        </w:rPr>
        <w:t xml:space="preserve">s work, subject to sufficient and reliable income.  </w:t>
      </w:r>
    </w:p>
    <w:p w14:paraId="0844AAC9" w14:textId="77777777" w:rsidR="0090485B" w:rsidRPr="00421986" w:rsidRDefault="0090485B" w:rsidP="0090485B">
      <w:pPr>
        <w:tabs>
          <w:tab w:val="left" w:pos="567"/>
        </w:tabs>
        <w:rPr>
          <w:spacing w:val="-2"/>
        </w:rPr>
      </w:pPr>
    </w:p>
    <w:p w14:paraId="4D58A893" w14:textId="77777777" w:rsidR="0090485B" w:rsidRPr="00421986" w:rsidRDefault="0090485B" w:rsidP="0090485B">
      <w:pPr>
        <w:pStyle w:val="ListParagraph"/>
        <w:tabs>
          <w:tab w:val="left" w:pos="851"/>
        </w:tabs>
        <w:ind w:left="0"/>
        <w:contextualSpacing w:val="0"/>
        <w:rPr>
          <w:spacing w:val="-2"/>
        </w:rPr>
      </w:pPr>
      <w:r w:rsidRPr="00421986">
        <w:rPr>
          <w:spacing w:val="-2"/>
        </w:rPr>
        <w:t xml:space="preserve">Any additional administrative work arising, for example, from expansion of </w:t>
      </w:r>
      <w:r>
        <w:rPr>
          <w:spacing w:val="-2"/>
        </w:rPr>
        <w:t>UPOV PRISMA</w:t>
      </w:r>
      <w:r w:rsidRPr="00421986">
        <w:rPr>
          <w:spacing w:val="-2"/>
        </w:rPr>
        <w:t>, enhancements to the PLUTO database and increased activity from additional extrabudgetary funds should be financially self-sustaining and would be covered by agency workers</w:t>
      </w:r>
      <w:r>
        <w:rPr>
          <w:spacing w:val="-2"/>
        </w:rPr>
        <w:t xml:space="preserve"> or outsourcing</w:t>
      </w:r>
      <w:r w:rsidRPr="00421986">
        <w:rPr>
          <w:spacing w:val="-2"/>
        </w:rPr>
        <w:t xml:space="preserve">. </w:t>
      </w:r>
    </w:p>
    <w:p w14:paraId="5D47FB26" w14:textId="77777777" w:rsidR="0090485B" w:rsidRPr="00421986" w:rsidRDefault="0090485B" w:rsidP="0090485B">
      <w:pPr>
        <w:tabs>
          <w:tab w:val="left" w:pos="567"/>
        </w:tabs>
        <w:rPr>
          <w:spacing w:val="-2"/>
        </w:rPr>
      </w:pPr>
    </w:p>
    <w:p w14:paraId="2D7AC24A" w14:textId="77777777" w:rsidR="0090485B" w:rsidRPr="00421986" w:rsidRDefault="0090485B" w:rsidP="0090485B">
      <w:pPr>
        <w:pStyle w:val="ListParagraph"/>
        <w:tabs>
          <w:tab w:val="left" w:pos="851"/>
        </w:tabs>
        <w:ind w:left="0"/>
        <w:contextualSpacing w:val="0"/>
        <w:rPr>
          <w:spacing w:val="-2"/>
        </w:rPr>
      </w:pPr>
      <w:r w:rsidRPr="00421986">
        <w:rPr>
          <w:spacing w:val="-2"/>
        </w:rPr>
        <w:t xml:space="preserve">UPOV has received valuable support from the fellowship program in the form of </w:t>
      </w:r>
      <w:r>
        <w:rPr>
          <w:spacing w:val="-2"/>
        </w:rPr>
        <w:t>experienced</w:t>
      </w:r>
      <w:r w:rsidRPr="00421986">
        <w:rPr>
          <w:spacing w:val="-2"/>
        </w:rPr>
        <w:t xml:space="preserve"> experts being seconded from members of </w:t>
      </w:r>
      <w:r>
        <w:rPr>
          <w:spacing w:val="-2"/>
        </w:rPr>
        <w:t>the Union</w:t>
      </w:r>
      <w:r w:rsidRPr="00421986">
        <w:rPr>
          <w:spacing w:val="-2"/>
        </w:rPr>
        <w:t xml:space="preserve">, notably in relation to </w:t>
      </w:r>
      <w:r>
        <w:rPr>
          <w:spacing w:val="-2"/>
        </w:rPr>
        <w:t>UPOV PRISMA</w:t>
      </w:r>
      <w:r w:rsidRPr="00421986">
        <w:rPr>
          <w:spacing w:val="-2"/>
        </w:rPr>
        <w:t>, PLUTO database, GENIE database and maintenance of the UPOV Code</w:t>
      </w:r>
      <w:r>
        <w:rPr>
          <w:spacing w:val="-2"/>
        </w:rPr>
        <w:t>s</w:t>
      </w:r>
      <w:r w:rsidRPr="00421986">
        <w:rPr>
          <w:spacing w:val="-2"/>
        </w:rPr>
        <w:t xml:space="preserve">.  Provision in the Program and Budget for the </w:t>
      </w:r>
      <w:r>
        <w:rPr>
          <w:spacing w:val="-2"/>
        </w:rPr>
        <w:t>2022</w:t>
      </w:r>
      <w:r>
        <w:rPr>
          <w:spacing w:val="-2"/>
        </w:rPr>
        <w:noBreakHyphen/>
        <w:t>2023</w:t>
      </w:r>
      <w:r w:rsidRPr="00421986">
        <w:rPr>
          <w:spacing w:val="-2"/>
        </w:rPr>
        <w:t xml:space="preserve"> </w:t>
      </w:r>
      <w:r>
        <w:rPr>
          <w:spacing w:val="-2"/>
        </w:rPr>
        <w:t>B</w:t>
      </w:r>
      <w:r w:rsidRPr="00421986">
        <w:rPr>
          <w:spacing w:val="-2"/>
        </w:rPr>
        <w:t xml:space="preserve">iennium will be made for two </w:t>
      </w:r>
      <w:r>
        <w:rPr>
          <w:spacing w:val="-2"/>
        </w:rPr>
        <w:t>f</w:t>
      </w:r>
      <w:r w:rsidRPr="00421986">
        <w:rPr>
          <w:spacing w:val="-2"/>
        </w:rPr>
        <w:t>ellows.</w:t>
      </w:r>
    </w:p>
    <w:p w14:paraId="597C506C" w14:textId="77777777" w:rsidR="0090485B" w:rsidRPr="00421986" w:rsidRDefault="0090485B" w:rsidP="0090485B">
      <w:pPr>
        <w:tabs>
          <w:tab w:val="left" w:pos="567"/>
        </w:tabs>
        <w:rPr>
          <w:spacing w:val="-2"/>
        </w:rPr>
      </w:pPr>
    </w:p>
    <w:p w14:paraId="11261A47" w14:textId="77777777" w:rsidR="0090485B" w:rsidRPr="00421986" w:rsidRDefault="0090485B" w:rsidP="0090485B">
      <w:pPr>
        <w:pStyle w:val="ListParagraph"/>
        <w:tabs>
          <w:tab w:val="left" w:pos="851"/>
        </w:tabs>
        <w:ind w:left="0"/>
        <w:contextualSpacing w:val="0"/>
        <w:rPr>
          <w:spacing w:val="-2"/>
        </w:rPr>
      </w:pPr>
      <w:r w:rsidRPr="00421986">
        <w:rPr>
          <w:spacing w:val="-2"/>
        </w:rPr>
        <w:t xml:space="preserve">An area where it is hoped that members of </w:t>
      </w:r>
      <w:r>
        <w:rPr>
          <w:spacing w:val="-2"/>
        </w:rPr>
        <w:t>the Union</w:t>
      </w:r>
      <w:r w:rsidRPr="00421986">
        <w:rPr>
          <w:spacing w:val="-2"/>
        </w:rPr>
        <w:t xml:space="preserve"> will be able to provide further support for UPOV</w:t>
      </w:r>
      <w:r>
        <w:rPr>
          <w:spacing w:val="-2"/>
        </w:rPr>
        <w:t>’</w:t>
      </w:r>
      <w:r w:rsidRPr="00421986">
        <w:rPr>
          <w:spacing w:val="-2"/>
        </w:rPr>
        <w:t xml:space="preserve">s work would be to arrange for </w:t>
      </w:r>
      <w:r w:rsidRPr="00421986">
        <w:t xml:space="preserve">Junior Professional Officers (JPOs) to be assigned to UPOV.  </w:t>
      </w:r>
      <w:r>
        <w:t xml:space="preserve">One JPO has been foreseen </w:t>
      </w:r>
      <w:r w:rsidRPr="00421986">
        <w:rPr>
          <w:spacing w:val="-2"/>
        </w:rPr>
        <w:t xml:space="preserve">in the Program and Budget for the </w:t>
      </w:r>
      <w:r>
        <w:rPr>
          <w:spacing w:val="-2"/>
        </w:rPr>
        <w:t>2022</w:t>
      </w:r>
      <w:r>
        <w:rPr>
          <w:spacing w:val="-2"/>
        </w:rPr>
        <w:noBreakHyphen/>
        <w:t>2023</w:t>
      </w:r>
      <w:r w:rsidRPr="00421986">
        <w:rPr>
          <w:spacing w:val="-2"/>
        </w:rPr>
        <w:t xml:space="preserve"> </w:t>
      </w:r>
      <w:r>
        <w:rPr>
          <w:spacing w:val="-2"/>
        </w:rPr>
        <w:t>B</w:t>
      </w:r>
      <w:r w:rsidRPr="00421986">
        <w:rPr>
          <w:spacing w:val="-2"/>
        </w:rPr>
        <w:t>iennium.</w:t>
      </w:r>
    </w:p>
    <w:p w14:paraId="7DCABD80" w14:textId="77777777" w:rsidR="0090485B" w:rsidRPr="00421986" w:rsidRDefault="0090485B" w:rsidP="0090485B">
      <w:pPr>
        <w:tabs>
          <w:tab w:val="left" w:pos="567"/>
        </w:tabs>
      </w:pPr>
    </w:p>
    <w:p w14:paraId="65D4E20A" w14:textId="77777777" w:rsidR="0090485B" w:rsidRPr="00C20F3E" w:rsidRDefault="0090485B" w:rsidP="0090485B">
      <w:pPr>
        <w:tabs>
          <w:tab w:val="left" w:pos="567"/>
        </w:tabs>
      </w:pPr>
      <w:r w:rsidRPr="003732FA">
        <w:rPr>
          <w:spacing w:val="-2"/>
        </w:rPr>
        <w:t xml:space="preserve">The Program and Budget for the </w:t>
      </w:r>
      <w:r>
        <w:rPr>
          <w:snapToGrid w:val="0"/>
          <w:spacing w:val="-2"/>
          <w:szCs w:val="24"/>
        </w:rPr>
        <w:t>2022</w:t>
      </w:r>
      <w:r>
        <w:rPr>
          <w:snapToGrid w:val="0"/>
          <w:spacing w:val="-2"/>
          <w:szCs w:val="24"/>
        </w:rPr>
        <w:noBreakHyphen/>
        <w:t>2023</w:t>
      </w:r>
      <w:r w:rsidRPr="003732FA">
        <w:rPr>
          <w:snapToGrid w:val="0"/>
          <w:spacing w:val="-2"/>
          <w:szCs w:val="24"/>
        </w:rPr>
        <w:t xml:space="preserve"> </w:t>
      </w:r>
      <w:r w:rsidRPr="003732FA">
        <w:rPr>
          <w:spacing w:val="-2"/>
        </w:rPr>
        <w:t xml:space="preserve">Biennium anticipates an additional post in the professional category (see Table 5)  This corresponds to one post in the general service category being reclassified to the professional category to reflect additional responsibilities concerning financial administration and a new post in the general service category to provide legal administrative assistance (provided by an agency worker since 2017).  </w:t>
      </w:r>
      <w:r w:rsidRPr="00C20F3E">
        <w:t>The post of the Secretary</w:t>
      </w:r>
      <w:r w:rsidRPr="00C20F3E">
        <w:noBreakHyphen/>
        <w:t xml:space="preserve">General is included within this count, but at no cost, because the current Director General of WIPO has declined any salary or allowance from his functions as Secretary-General of UPOV. </w:t>
      </w:r>
    </w:p>
    <w:p w14:paraId="32F0944B" w14:textId="77777777" w:rsidR="0090485B" w:rsidRPr="003732FA" w:rsidRDefault="0090485B" w:rsidP="0090485B">
      <w:pPr>
        <w:tabs>
          <w:tab w:val="left" w:pos="567"/>
        </w:tabs>
        <w:rPr>
          <w:spacing w:val="-2"/>
        </w:rPr>
      </w:pPr>
    </w:p>
    <w:p w14:paraId="5275C1FC" w14:textId="77777777" w:rsidR="0090485B" w:rsidRDefault="0090485B" w:rsidP="0090485B">
      <w:pPr>
        <w:jc w:val="center"/>
        <w:rPr>
          <w:rFonts w:cs="Arial"/>
          <w:b/>
          <w:bCs/>
          <w:color w:val="26724C" w:themeColor="accent1" w:themeShade="BF"/>
        </w:rPr>
      </w:pPr>
      <w:r w:rsidRPr="008B40C0">
        <w:rPr>
          <w:rFonts w:cs="Arial"/>
          <w:b/>
          <w:bCs/>
          <w:color w:val="26724C" w:themeColor="accent1" w:themeShade="BF"/>
        </w:rPr>
        <w:t xml:space="preserve">Table 5:  Budget </w:t>
      </w:r>
      <w:r>
        <w:rPr>
          <w:rFonts w:cs="Arial"/>
          <w:b/>
          <w:bCs/>
          <w:color w:val="26724C" w:themeColor="accent1" w:themeShade="BF"/>
        </w:rPr>
        <w:t>2022</w:t>
      </w:r>
      <w:r>
        <w:rPr>
          <w:rFonts w:cs="Arial"/>
          <w:b/>
          <w:bCs/>
          <w:color w:val="26724C" w:themeColor="accent1" w:themeShade="BF"/>
        </w:rPr>
        <w:noBreakHyphen/>
        <w:t>2023</w:t>
      </w:r>
      <w:r w:rsidRPr="008B40C0">
        <w:rPr>
          <w:rFonts w:cs="Arial"/>
          <w:b/>
          <w:bCs/>
          <w:color w:val="26724C" w:themeColor="accent1" w:themeShade="BF"/>
        </w:rPr>
        <w:t>:  Posts by Category</w:t>
      </w:r>
    </w:p>
    <w:p w14:paraId="0A9FB7FE" w14:textId="77777777" w:rsidR="0090485B" w:rsidRPr="008B40C0" w:rsidRDefault="0090485B" w:rsidP="0090485B">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90485B" w:rsidRPr="00E17B5B" w14:paraId="53B3A6F9" w14:textId="77777777" w:rsidTr="008F07B7">
        <w:trPr>
          <w:trHeight w:val="460"/>
          <w:jc w:val="center"/>
        </w:trPr>
        <w:tc>
          <w:tcPr>
            <w:tcW w:w="2260" w:type="dxa"/>
            <w:tcBorders>
              <w:top w:val="nil"/>
              <w:left w:val="nil"/>
              <w:bottom w:val="nil"/>
              <w:right w:val="nil"/>
            </w:tcBorders>
            <w:shd w:val="clear" w:color="000000" w:fill="C7CFD8"/>
            <w:vAlign w:val="center"/>
            <w:hideMark/>
          </w:tcPr>
          <w:p w14:paraId="2C623DC7"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Post Category </w:t>
            </w:r>
          </w:p>
        </w:tc>
        <w:tc>
          <w:tcPr>
            <w:tcW w:w="1480" w:type="dxa"/>
            <w:tcBorders>
              <w:top w:val="nil"/>
              <w:left w:val="nil"/>
              <w:bottom w:val="nil"/>
              <w:right w:val="nil"/>
            </w:tcBorders>
            <w:shd w:val="clear" w:color="000000" w:fill="C7CFD8"/>
            <w:vAlign w:val="center"/>
            <w:hideMark/>
          </w:tcPr>
          <w:p w14:paraId="4FE8BF1A"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2018-2019</w:t>
            </w:r>
            <w:r w:rsidRPr="00E17B5B">
              <w:rPr>
                <w:rFonts w:ascii="Arial Narrow" w:hAnsi="Arial Narrow" w:cs="Arial"/>
                <w:b/>
                <w:bCs/>
                <w:sz w:val="18"/>
                <w:szCs w:val="18"/>
              </w:rPr>
              <w:br/>
              <w:t xml:space="preserve">Actual </w:t>
            </w:r>
          </w:p>
        </w:tc>
        <w:tc>
          <w:tcPr>
            <w:tcW w:w="1440" w:type="dxa"/>
            <w:tcBorders>
              <w:top w:val="nil"/>
              <w:left w:val="nil"/>
              <w:bottom w:val="nil"/>
              <w:right w:val="nil"/>
            </w:tcBorders>
            <w:shd w:val="clear" w:color="000000" w:fill="C7CFD8"/>
            <w:vAlign w:val="center"/>
            <w:hideMark/>
          </w:tcPr>
          <w:p w14:paraId="2EF8310C"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2020-2021</w:t>
            </w:r>
            <w:r w:rsidRPr="00E17B5B">
              <w:rPr>
                <w:rFonts w:ascii="Arial Narrow" w:hAnsi="Arial Narrow" w:cs="Arial"/>
                <w:b/>
                <w:bCs/>
                <w:sz w:val="18"/>
                <w:szCs w:val="18"/>
              </w:rPr>
              <w:br/>
              <w:t xml:space="preserve">Budget  </w:t>
            </w:r>
          </w:p>
        </w:tc>
        <w:tc>
          <w:tcPr>
            <w:tcW w:w="1400" w:type="dxa"/>
            <w:tcBorders>
              <w:top w:val="nil"/>
              <w:left w:val="nil"/>
              <w:bottom w:val="nil"/>
              <w:right w:val="nil"/>
            </w:tcBorders>
            <w:shd w:val="clear" w:color="000000" w:fill="C7CFD8"/>
            <w:vAlign w:val="center"/>
            <w:hideMark/>
          </w:tcPr>
          <w:p w14:paraId="027E62B8"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Variation </w:t>
            </w:r>
          </w:p>
        </w:tc>
        <w:tc>
          <w:tcPr>
            <w:tcW w:w="1400" w:type="dxa"/>
            <w:tcBorders>
              <w:top w:val="nil"/>
              <w:left w:val="nil"/>
              <w:bottom w:val="nil"/>
              <w:right w:val="nil"/>
            </w:tcBorders>
            <w:shd w:val="clear" w:color="000000" w:fill="C7CFD8"/>
            <w:vAlign w:val="center"/>
            <w:hideMark/>
          </w:tcPr>
          <w:p w14:paraId="459DD9A7"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w:t>
            </w:r>
            <w:r>
              <w:rPr>
                <w:rFonts w:ascii="Arial Narrow" w:hAnsi="Arial Narrow" w:cs="Arial"/>
                <w:b/>
                <w:bCs/>
                <w:sz w:val="18"/>
                <w:szCs w:val="18"/>
              </w:rPr>
              <w:t>2022</w:t>
            </w:r>
            <w:r>
              <w:rPr>
                <w:rFonts w:ascii="Arial Narrow" w:hAnsi="Arial Narrow" w:cs="Arial"/>
                <w:b/>
                <w:bCs/>
                <w:sz w:val="18"/>
                <w:szCs w:val="18"/>
              </w:rPr>
              <w:noBreakHyphen/>
              <w:t>2023</w:t>
            </w:r>
            <w:r w:rsidRPr="00E17B5B">
              <w:rPr>
                <w:rFonts w:ascii="Arial Narrow" w:hAnsi="Arial Narrow" w:cs="Arial"/>
                <w:b/>
                <w:bCs/>
                <w:sz w:val="18"/>
                <w:szCs w:val="18"/>
              </w:rPr>
              <w:t xml:space="preserve"> Proposed </w:t>
            </w:r>
          </w:p>
        </w:tc>
      </w:tr>
      <w:tr w:rsidR="0090485B" w:rsidRPr="00E17B5B" w14:paraId="4D4C0041" w14:textId="77777777" w:rsidTr="008F07B7">
        <w:trPr>
          <w:trHeight w:val="250"/>
          <w:jc w:val="center"/>
        </w:trPr>
        <w:tc>
          <w:tcPr>
            <w:tcW w:w="2260" w:type="dxa"/>
            <w:tcBorders>
              <w:top w:val="nil"/>
              <w:left w:val="nil"/>
              <w:bottom w:val="nil"/>
              <w:right w:val="nil"/>
            </w:tcBorders>
            <w:shd w:val="clear" w:color="000000" w:fill="C7CFD8"/>
            <w:vAlign w:val="center"/>
            <w:hideMark/>
          </w:tcPr>
          <w:p w14:paraId="2E197DFE"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23034374"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A </w:t>
            </w:r>
          </w:p>
        </w:tc>
        <w:tc>
          <w:tcPr>
            <w:tcW w:w="1440" w:type="dxa"/>
            <w:tcBorders>
              <w:top w:val="nil"/>
              <w:left w:val="nil"/>
              <w:bottom w:val="nil"/>
              <w:right w:val="nil"/>
            </w:tcBorders>
            <w:shd w:val="clear" w:color="000000" w:fill="C7CFD8"/>
            <w:vAlign w:val="center"/>
            <w:hideMark/>
          </w:tcPr>
          <w:p w14:paraId="4F3F8C3C"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B </w:t>
            </w:r>
          </w:p>
        </w:tc>
        <w:tc>
          <w:tcPr>
            <w:tcW w:w="1400" w:type="dxa"/>
            <w:tcBorders>
              <w:top w:val="nil"/>
              <w:left w:val="nil"/>
              <w:bottom w:val="nil"/>
              <w:right w:val="nil"/>
            </w:tcBorders>
            <w:shd w:val="clear" w:color="000000" w:fill="C7CFD8"/>
            <w:vAlign w:val="center"/>
            <w:hideMark/>
          </w:tcPr>
          <w:p w14:paraId="53F3C47E"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C-B </w:t>
            </w:r>
          </w:p>
        </w:tc>
        <w:tc>
          <w:tcPr>
            <w:tcW w:w="1400" w:type="dxa"/>
            <w:tcBorders>
              <w:top w:val="nil"/>
              <w:left w:val="nil"/>
              <w:bottom w:val="nil"/>
              <w:right w:val="nil"/>
            </w:tcBorders>
            <w:shd w:val="clear" w:color="000000" w:fill="C7CFD8"/>
            <w:vAlign w:val="center"/>
            <w:hideMark/>
          </w:tcPr>
          <w:p w14:paraId="49C608CA"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C </w:t>
            </w:r>
          </w:p>
        </w:tc>
      </w:tr>
      <w:tr w:rsidR="0090485B" w:rsidRPr="00E17B5B" w14:paraId="74313E72" w14:textId="77777777" w:rsidTr="008F07B7">
        <w:trPr>
          <w:trHeight w:val="150"/>
          <w:jc w:val="center"/>
        </w:trPr>
        <w:tc>
          <w:tcPr>
            <w:tcW w:w="2260" w:type="dxa"/>
            <w:tcBorders>
              <w:top w:val="nil"/>
              <w:left w:val="nil"/>
              <w:bottom w:val="nil"/>
              <w:right w:val="nil"/>
            </w:tcBorders>
            <w:shd w:val="clear" w:color="auto" w:fill="auto"/>
            <w:hideMark/>
          </w:tcPr>
          <w:p w14:paraId="77B29367" w14:textId="77777777" w:rsidR="0090485B" w:rsidRPr="00E17B5B" w:rsidRDefault="0090485B" w:rsidP="008F07B7">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14:paraId="18CDD5CC" w14:textId="77777777" w:rsidR="0090485B" w:rsidRPr="00E17B5B" w:rsidRDefault="0090485B" w:rsidP="008F07B7">
            <w:pPr>
              <w:rPr>
                <w:rFonts w:ascii="Times New Roman" w:hAnsi="Times New Roman"/>
              </w:rPr>
            </w:pPr>
          </w:p>
        </w:tc>
        <w:tc>
          <w:tcPr>
            <w:tcW w:w="1440" w:type="dxa"/>
            <w:tcBorders>
              <w:top w:val="nil"/>
              <w:left w:val="nil"/>
              <w:bottom w:val="nil"/>
              <w:right w:val="nil"/>
            </w:tcBorders>
            <w:shd w:val="clear" w:color="auto" w:fill="auto"/>
            <w:hideMark/>
          </w:tcPr>
          <w:p w14:paraId="2B8FC4DC" w14:textId="77777777" w:rsidR="0090485B" w:rsidRPr="00E17B5B" w:rsidRDefault="0090485B" w:rsidP="008F07B7">
            <w:pPr>
              <w:jc w:val="center"/>
              <w:rPr>
                <w:rFonts w:ascii="Times New Roman" w:hAnsi="Times New Roman"/>
              </w:rPr>
            </w:pPr>
          </w:p>
        </w:tc>
        <w:tc>
          <w:tcPr>
            <w:tcW w:w="1400" w:type="dxa"/>
            <w:tcBorders>
              <w:top w:val="nil"/>
              <w:left w:val="nil"/>
              <w:bottom w:val="nil"/>
              <w:right w:val="nil"/>
            </w:tcBorders>
            <w:shd w:val="clear" w:color="auto" w:fill="auto"/>
            <w:hideMark/>
          </w:tcPr>
          <w:p w14:paraId="457FE5EB" w14:textId="77777777" w:rsidR="0090485B" w:rsidRPr="00E17B5B" w:rsidRDefault="0090485B" w:rsidP="008F07B7">
            <w:pPr>
              <w:jc w:val="center"/>
              <w:rPr>
                <w:rFonts w:ascii="Times New Roman" w:hAnsi="Times New Roman"/>
              </w:rPr>
            </w:pPr>
          </w:p>
        </w:tc>
        <w:tc>
          <w:tcPr>
            <w:tcW w:w="1400" w:type="dxa"/>
            <w:tcBorders>
              <w:top w:val="nil"/>
              <w:left w:val="nil"/>
              <w:bottom w:val="nil"/>
              <w:right w:val="nil"/>
            </w:tcBorders>
            <w:shd w:val="clear" w:color="auto" w:fill="auto"/>
            <w:hideMark/>
          </w:tcPr>
          <w:p w14:paraId="56A43279" w14:textId="77777777" w:rsidR="0090485B" w:rsidRPr="00E17B5B" w:rsidRDefault="0090485B" w:rsidP="008F07B7">
            <w:pPr>
              <w:jc w:val="left"/>
              <w:rPr>
                <w:rFonts w:ascii="Times New Roman" w:hAnsi="Times New Roman"/>
              </w:rPr>
            </w:pPr>
          </w:p>
        </w:tc>
      </w:tr>
      <w:tr w:rsidR="0090485B" w:rsidRPr="00E17B5B" w14:paraId="5AA0234C" w14:textId="77777777" w:rsidTr="008F07B7">
        <w:trPr>
          <w:trHeight w:val="330"/>
          <w:jc w:val="center"/>
        </w:trPr>
        <w:tc>
          <w:tcPr>
            <w:tcW w:w="2260" w:type="dxa"/>
            <w:tcBorders>
              <w:top w:val="nil"/>
              <w:left w:val="nil"/>
              <w:bottom w:val="nil"/>
              <w:right w:val="nil"/>
            </w:tcBorders>
            <w:shd w:val="clear" w:color="auto" w:fill="auto"/>
            <w:hideMark/>
          </w:tcPr>
          <w:p w14:paraId="20358A3C" w14:textId="77777777" w:rsidR="0090485B" w:rsidRPr="00E17B5B" w:rsidRDefault="0090485B" w:rsidP="008F07B7">
            <w:pPr>
              <w:rPr>
                <w:rFonts w:ascii="Arial Narrow" w:hAnsi="Arial Narrow" w:cs="Arial"/>
              </w:rPr>
            </w:pPr>
            <w:r w:rsidRPr="00E17B5B">
              <w:rPr>
                <w:rFonts w:ascii="Arial Narrow" w:hAnsi="Arial Narrow" w:cs="Arial"/>
              </w:rPr>
              <w:t>Directors</w:t>
            </w:r>
          </w:p>
        </w:tc>
        <w:tc>
          <w:tcPr>
            <w:tcW w:w="1480" w:type="dxa"/>
            <w:tcBorders>
              <w:top w:val="nil"/>
              <w:left w:val="nil"/>
              <w:bottom w:val="nil"/>
              <w:right w:val="nil"/>
            </w:tcBorders>
            <w:shd w:val="clear" w:color="auto" w:fill="auto"/>
            <w:hideMark/>
          </w:tcPr>
          <w:p w14:paraId="4104EC26" w14:textId="77777777" w:rsidR="0090485B" w:rsidRPr="00E17B5B" w:rsidRDefault="0090485B" w:rsidP="008F07B7">
            <w:pPr>
              <w:jc w:val="center"/>
              <w:rPr>
                <w:rFonts w:ascii="Arial Narrow" w:hAnsi="Arial Narrow" w:cs="Arial"/>
              </w:rPr>
            </w:pPr>
            <w:r w:rsidRPr="00E17B5B">
              <w:rPr>
                <w:rFonts w:ascii="Arial Narrow" w:hAnsi="Arial Narrow" w:cs="Arial"/>
              </w:rPr>
              <w:t>3</w:t>
            </w:r>
          </w:p>
        </w:tc>
        <w:tc>
          <w:tcPr>
            <w:tcW w:w="1440" w:type="dxa"/>
            <w:tcBorders>
              <w:top w:val="nil"/>
              <w:left w:val="nil"/>
              <w:bottom w:val="nil"/>
              <w:right w:val="nil"/>
            </w:tcBorders>
            <w:shd w:val="clear" w:color="auto" w:fill="auto"/>
            <w:hideMark/>
          </w:tcPr>
          <w:p w14:paraId="74E44B2A" w14:textId="77777777" w:rsidR="0090485B" w:rsidRPr="00E17B5B" w:rsidRDefault="0090485B" w:rsidP="008F07B7">
            <w:pPr>
              <w:jc w:val="center"/>
              <w:rPr>
                <w:rFonts w:ascii="Arial Narrow" w:hAnsi="Arial Narrow" w:cs="Arial"/>
              </w:rPr>
            </w:pPr>
            <w:r w:rsidRPr="00E17B5B">
              <w:rPr>
                <w:rFonts w:ascii="Arial Narrow" w:hAnsi="Arial Narrow" w:cs="Arial"/>
              </w:rPr>
              <w:t>3</w:t>
            </w:r>
          </w:p>
        </w:tc>
        <w:tc>
          <w:tcPr>
            <w:tcW w:w="1400" w:type="dxa"/>
            <w:tcBorders>
              <w:top w:val="nil"/>
              <w:left w:val="nil"/>
              <w:bottom w:val="nil"/>
              <w:right w:val="nil"/>
            </w:tcBorders>
            <w:shd w:val="clear" w:color="auto" w:fill="auto"/>
            <w:hideMark/>
          </w:tcPr>
          <w:p w14:paraId="75247088" w14:textId="77777777" w:rsidR="0090485B" w:rsidRPr="00E17B5B" w:rsidRDefault="0090485B" w:rsidP="008F07B7">
            <w:pPr>
              <w:jc w:val="center"/>
              <w:rPr>
                <w:rFonts w:ascii="Arial Narrow" w:hAnsi="Arial Narrow" w:cs="Arial"/>
              </w:rPr>
            </w:pPr>
            <w:r w:rsidRPr="00E17B5B">
              <w:rPr>
                <w:rFonts w:ascii="Arial Narrow" w:hAnsi="Arial Narrow" w:cs="Arial"/>
              </w:rPr>
              <w:t>-</w:t>
            </w:r>
          </w:p>
        </w:tc>
        <w:tc>
          <w:tcPr>
            <w:tcW w:w="1400" w:type="dxa"/>
            <w:tcBorders>
              <w:top w:val="nil"/>
              <w:left w:val="nil"/>
              <w:bottom w:val="nil"/>
              <w:right w:val="nil"/>
            </w:tcBorders>
            <w:shd w:val="clear" w:color="auto" w:fill="auto"/>
            <w:hideMark/>
          </w:tcPr>
          <w:p w14:paraId="11FE0F5D" w14:textId="77777777" w:rsidR="0090485B" w:rsidRPr="00E17B5B" w:rsidRDefault="0090485B" w:rsidP="008F07B7">
            <w:pPr>
              <w:jc w:val="center"/>
              <w:rPr>
                <w:rFonts w:ascii="Arial Narrow" w:hAnsi="Arial Narrow" w:cs="Arial"/>
              </w:rPr>
            </w:pPr>
            <w:r w:rsidRPr="00E17B5B">
              <w:rPr>
                <w:rFonts w:ascii="Arial Narrow" w:hAnsi="Arial Narrow" w:cs="Arial"/>
              </w:rPr>
              <w:t>3</w:t>
            </w:r>
          </w:p>
        </w:tc>
      </w:tr>
      <w:tr w:rsidR="0090485B" w:rsidRPr="00E17B5B" w14:paraId="34753FAA" w14:textId="77777777" w:rsidTr="008F07B7">
        <w:trPr>
          <w:trHeight w:val="330"/>
          <w:jc w:val="center"/>
        </w:trPr>
        <w:tc>
          <w:tcPr>
            <w:tcW w:w="2260" w:type="dxa"/>
            <w:tcBorders>
              <w:top w:val="nil"/>
              <w:left w:val="nil"/>
              <w:bottom w:val="nil"/>
              <w:right w:val="nil"/>
            </w:tcBorders>
            <w:shd w:val="clear" w:color="auto" w:fill="auto"/>
            <w:hideMark/>
          </w:tcPr>
          <w:p w14:paraId="4C770382" w14:textId="77777777" w:rsidR="0090485B" w:rsidRPr="00E17B5B" w:rsidRDefault="0090485B" w:rsidP="008F07B7">
            <w:pPr>
              <w:rPr>
                <w:rFonts w:ascii="Arial Narrow" w:hAnsi="Arial Narrow" w:cs="Arial"/>
              </w:rPr>
            </w:pPr>
            <w:r w:rsidRPr="00E17B5B">
              <w:rPr>
                <w:rFonts w:ascii="Arial Narrow" w:hAnsi="Arial Narrow" w:cs="Arial"/>
              </w:rPr>
              <w:t>Professionals</w:t>
            </w:r>
          </w:p>
        </w:tc>
        <w:tc>
          <w:tcPr>
            <w:tcW w:w="1480" w:type="dxa"/>
            <w:tcBorders>
              <w:top w:val="nil"/>
              <w:left w:val="nil"/>
              <w:bottom w:val="nil"/>
              <w:right w:val="nil"/>
            </w:tcBorders>
            <w:shd w:val="clear" w:color="auto" w:fill="auto"/>
            <w:hideMark/>
          </w:tcPr>
          <w:p w14:paraId="0CCE7775" w14:textId="77777777" w:rsidR="0090485B" w:rsidRPr="00E17B5B" w:rsidRDefault="0090485B" w:rsidP="008F07B7">
            <w:pPr>
              <w:jc w:val="center"/>
              <w:rPr>
                <w:rFonts w:ascii="Arial Narrow" w:hAnsi="Arial Narrow" w:cs="Arial"/>
              </w:rPr>
            </w:pPr>
            <w:r w:rsidRPr="00E17B5B">
              <w:rPr>
                <w:rFonts w:ascii="Arial Narrow" w:hAnsi="Arial Narrow" w:cs="Arial"/>
              </w:rPr>
              <w:t>4</w:t>
            </w:r>
          </w:p>
        </w:tc>
        <w:tc>
          <w:tcPr>
            <w:tcW w:w="1440" w:type="dxa"/>
            <w:tcBorders>
              <w:top w:val="nil"/>
              <w:left w:val="nil"/>
              <w:bottom w:val="nil"/>
              <w:right w:val="nil"/>
            </w:tcBorders>
            <w:shd w:val="clear" w:color="auto" w:fill="auto"/>
            <w:hideMark/>
          </w:tcPr>
          <w:p w14:paraId="67C98630" w14:textId="77777777" w:rsidR="0090485B" w:rsidRPr="00E17B5B" w:rsidRDefault="0090485B" w:rsidP="008F07B7">
            <w:pPr>
              <w:jc w:val="center"/>
              <w:rPr>
                <w:rFonts w:ascii="Arial Narrow" w:hAnsi="Arial Narrow" w:cs="Arial"/>
              </w:rPr>
            </w:pPr>
            <w:r w:rsidRPr="00E17B5B">
              <w:rPr>
                <w:rFonts w:ascii="Arial Narrow" w:hAnsi="Arial Narrow" w:cs="Arial"/>
              </w:rPr>
              <w:t>5</w:t>
            </w:r>
          </w:p>
        </w:tc>
        <w:tc>
          <w:tcPr>
            <w:tcW w:w="1400" w:type="dxa"/>
            <w:tcBorders>
              <w:top w:val="nil"/>
              <w:left w:val="nil"/>
              <w:bottom w:val="nil"/>
              <w:right w:val="nil"/>
            </w:tcBorders>
            <w:shd w:val="clear" w:color="auto" w:fill="auto"/>
            <w:hideMark/>
          </w:tcPr>
          <w:p w14:paraId="392DD29A" w14:textId="77777777" w:rsidR="0090485B" w:rsidRPr="00E17B5B" w:rsidRDefault="0090485B" w:rsidP="008F07B7">
            <w:pPr>
              <w:jc w:val="center"/>
              <w:rPr>
                <w:rFonts w:ascii="Arial Narrow" w:hAnsi="Arial Narrow" w:cs="Arial"/>
              </w:rPr>
            </w:pPr>
            <w:r w:rsidRPr="00E17B5B">
              <w:rPr>
                <w:rFonts w:ascii="Arial Narrow" w:hAnsi="Arial Narrow" w:cs="Arial"/>
              </w:rPr>
              <w:t>1</w:t>
            </w:r>
          </w:p>
        </w:tc>
        <w:tc>
          <w:tcPr>
            <w:tcW w:w="1400" w:type="dxa"/>
            <w:tcBorders>
              <w:top w:val="nil"/>
              <w:left w:val="nil"/>
              <w:bottom w:val="nil"/>
              <w:right w:val="nil"/>
            </w:tcBorders>
            <w:shd w:val="clear" w:color="auto" w:fill="auto"/>
            <w:hideMark/>
          </w:tcPr>
          <w:p w14:paraId="2DF53EC1" w14:textId="77777777" w:rsidR="0090485B" w:rsidRPr="00E17B5B" w:rsidRDefault="0090485B" w:rsidP="008F07B7">
            <w:pPr>
              <w:jc w:val="center"/>
              <w:rPr>
                <w:rFonts w:ascii="Arial Narrow" w:hAnsi="Arial Narrow" w:cs="Arial"/>
              </w:rPr>
            </w:pPr>
            <w:r w:rsidRPr="00E17B5B">
              <w:rPr>
                <w:rFonts w:ascii="Arial Narrow" w:hAnsi="Arial Narrow" w:cs="Arial"/>
              </w:rPr>
              <w:t>6</w:t>
            </w:r>
          </w:p>
        </w:tc>
      </w:tr>
      <w:tr w:rsidR="0090485B" w:rsidRPr="00E17B5B" w14:paraId="2579799E" w14:textId="77777777" w:rsidTr="008F07B7">
        <w:trPr>
          <w:trHeight w:val="330"/>
          <w:jc w:val="center"/>
        </w:trPr>
        <w:tc>
          <w:tcPr>
            <w:tcW w:w="2260" w:type="dxa"/>
            <w:tcBorders>
              <w:top w:val="nil"/>
              <w:left w:val="nil"/>
              <w:bottom w:val="nil"/>
              <w:right w:val="nil"/>
            </w:tcBorders>
            <w:shd w:val="clear" w:color="auto" w:fill="auto"/>
            <w:hideMark/>
          </w:tcPr>
          <w:p w14:paraId="11183686" w14:textId="77777777" w:rsidR="0090485B" w:rsidRPr="00E17B5B" w:rsidRDefault="0090485B" w:rsidP="008F07B7">
            <w:pPr>
              <w:rPr>
                <w:rFonts w:ascii="Arial Narrow" w:hAnsi="Arial Narrow" w:cs="Arial"/>
              </w:rPr>
            </w:pPr>
            <w:r w:rsidRPr="00E17B5B">
              <w:rPr>
                <w:rFonts w:ascii="Arial Narrow" w:hAnsi="Arial Narrow" w:cs="Arial"/>
              </w:rPr>
              <w:t>General Service</w:t>
            </w:r>
          </w:p>
        </w:tc>
        <w:tc>
          <w:tcPr>
            <w:tcW w:w="1480" w:type="dxa"/>
            <w:tcBorders>
              <w:top w:val="nil"/>
              <w:left w:val="nil"/>
              <w:bottom w:val="nil"/>
              <w:right w:val="nil"/>
            </w:tcBorders>
            <w:shd w:val="clear" w:color="auto" w:fill="auto"/>
            <w:hideMark/>
          </w:tcPr>
          <w:p w14:paraId="68F07D62" w14:textId="77777777" w:rsidR="0090485B" w:rsidRPr="00E17B5B" w:rsidRDefault="0090485B" w:rsidP="008F07B7">
            <w:pPr>
              <w:jc w:val="center"/>
              <w:rPr>
                <w:rFonts w:ascii="Arial Narrow" w:hAnsi="Arial Narrow" w:cs="Arial"/>
              </w:rPr>
            </w:pPr>
            <w:r w:rsidRPr="00E17B5B">
              <w:rPr>
                <w:rFonts w:ascii="Arial Narrow" w:hAnsi="Arial Narrow" w:cs="Arial"/>
              </w:rPr>
              <w:t>5</w:t>
            </w:r>
          </w:p>
        </w:tc>
        <w:tc>
          <w:tcPr>
            <w:tcW w:w="1440" w:type="dxa"/>
            <w:tcBorders>
              <w:top w:val="nil"/>
              <w:left w:val="nil"/>
              <w:bottom w:val="nil"/>
              <w:right w:val="nil"/>
            </w:tcBorders>
            <w:shd w:val="clear" w:color="auto" w:fill="auto"/>
            <w:hideMark/>
          </w:tcPr>
          <w:p w14:paraId="6D06F61C" w14:textId="77777777" w:rsidR="0090485B" w:rsidRPr="00E17B5B" w:rsidRDefault="0090485B" w:rsidP="008F07B7">
            <w:pPr>
              <w:jc w:val="center"/>
              <w:rPr>
                <w:rFonts w:ascii="Arial Narrow" w:hAnsi="Arial Narrow" w:cs="Arial"/>
              </w:rPr>
            </w:pPr>
            <w:r w:rsidRPr="00E17B5B">
              <w:rPr>
                <w:rFonts w:ascii="Arial Narrow" w:hAnsi="Arial Narrow" w:cs="Arial"/>
              </w:rPr>
              <w:t>4</w:t>
            </w:r>
          </w:p>
        </w:tc>
        <w:tc>
          <w:tcPr>
            <w:tcW w:w="1400" w:type="dxa"/>
            <w:tcBorders>
              <w:top w:val="nil"/>
              <w:left w:val="nil"/>
              <w:bottom w:val="nil"/>
              <w:right w:val="nil"/>
            </w:tcBorders>
            <w:shd w:val="clear" w:color="auto" w:fill="auto"/>
            <w:hideMark/>
          </w:tcPr>
          <w:p w14:paraId="3F1C8463" w14:textId="77777777" w:rsidR="0090485B" w:rsidRPr="00E17B5B" w:rsidRDefault="0090485B" w:rsidP="008F07B7">
            <w:pPr>
              <w:jc w:val="center"/>
              <w:rPr>
                <w:rFonts w:ascii="Arial Narrow" w:hAnsi="Arial Narrow" w:cs="Arial"/>
              </w:rPr>
            </w:pPr>
            <w:r w:rsidRPr="00E17B5B">
              <w:rPr>
                <w:rFonts w:ascii="Arial Narrow" w:hAnsi="Arial Narrow" w:cs="Arial"/>
              </w:rPr>
              <w:t>-</w:t>
            </w:r>
          </w:p>
        </w:tc>
        <w:tc>
          <w:tcPr>
            <w:tcW w:w="1400" w:type="dxa"/>
            <w:tcBorders>
              <w:top w:val="nil"/>
              <w:left w:val="nil"/>
              <w:bottom w:val="nil"/>
              <w:right w:val="nil"/>
            </w:tcBorders>
            <w:shd w:val="clear" w:color="auto" w:fill="auto"/>
            <w:hideMark/>
          </w:tcPr>
          <w:p w14:paraId="440F9950" w14:textId="77777777" w:rsidR="0090485B" w:rsidRPr="00E17B5B" w:rsidRDefault="0090485B" w:rsidP="008F07B7">
            <w:pPr>
              <w:jc w:val="center"/>
              <w:rPr>
                <w:rFonts w:ascii="Arial Narrow" w:hAnsi="Arial Narrow" w:cs="Arial"/>
              </w:rPr>
            </w:pPr>
            <w:r w:rsidRPr="00E17B5B">
              <w:rPr>
                <w:rFonts w:ascii="Arial Narrow" w:hAnsi="Arial Narrow" w:cs="Arial"/>
              </w:rPr>
              <w:t>4</w:t>
            </w:r>
          </w:p>
        </w:tc>
      </w:tr>
      <w:tr w:rsidR="0090485B" w:rsidRPr="00E17B5B" w14:paraId="1B329E13" w14:textId="77777777" w:rsidTr="008F07B7">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403B56EC" w14:textId="77777777" w:rsidR="0090485B" w:rsidRPr="00E17B5B" w:rsidRDefault="0090485B" w:rsidP="008F07B7">
            <w:pPr>
              <w:rPr>
                <w:rFonts w:ascii="Arial Narrow" w:hAnsi="Arial Narrow" w:cs="Arial"/>
                <w:b/>
                <w:bCs/>
              </w:rPr>
            </w:pPr>
            <w:r w:rsidRPr="00E17B5B">
              <w:rPr>
                <w:rFonts w:ascii="Arial Narrow" w:hAnsi="Arial Narrow" w:cs="Arial"/>
                <w:b/>
                <w:bCs/>
              </w:rPr>
              <w:t>Total</w:t>
            </w:r>
          </w:p>
        </w:tc>
        <w:tc>
          <w:tcPr>
            <w:tcW w:w="1480" w:type="dxa"/>
            <w:tcBorders>
              <w:top w:val="single" w:sz="4" w:space="0" w:color="AAB8C4"/>
              <w:left w:val="nil"/>
              <w:bottom w:val="single" w:sz="8" w:space="0" w:color="AAB8C4"/>
              <w:right w:val="nil"/>
            </w:tcBorders>
            <w:shd w:val="clear" w:color="auto" w:fill="auto"/>
            <w:vAlign w:val="center"/>
            <w:hideMark/>
          </w:tcPr>
          <w:p w14:paraId="3F82823D" w14:textId="77777777" w:rsidR="0090485B" w:rsidRPr="00E17B5B" w:rsidRDefault="0090485B" w:rsidP="008F07B7">
            <w:pPr>
              <w:jc w:val="center"/>
              <w:rPr>
                <w:rFonts w:ascii="Arial Narrow" w:hAnsi="Arial Narrow" w:cs="Arial"/>
                <w:b/>
                <w:bCs/>
              </w:rPr>
            </w:pPr>
            <w:r w:rsidRPr="00E17B5B">
              <w:rPr>
                <w:rFonts w:ascii="Arial Narrow" w:hAnsi="Arial Narrow" w:cs="Arial"/>
                <w:b/>
                <w:bCs/>
              </w:rPr>
              <w:t>12</w:t>
            </w:r>
          </w:p>
        </w:tc>
        <w:tc>
          <w:tcPr>
            <w:tcW w:w="1440" w:type="dxa"/>
            <w:tcBorders>
              <w:top w:val="single" w:sz="4" w:space="0" w:color="AAB8C4"/>
              <w:left w:val="nil"/>
              <w:bottom w:val="single" w:sz="8" w:space="0" w:color="AAB8C4"/>
              <w:right w:val="nil"/>
            </w:tcBorders>
            <w:shd w:val="clear" w:color="auto" w:fill="auto"/>
            <w:vAlign w:val="center"/>
            <w:hideMark/>
          </w:tcPr>
          <w:p w14:paraId="0CCB2439" w14:textId="77777777" w:rsidR="0090485B" w:rsidRPr="00E17B5B" w:rsidRDefault="0090485B" w:rsidP="008F07B7">
            <w:pPr>
              <w:jc w:val="center"/>
              <w:rPr>
                <w:rFonts w:ascii="Arial Narrow" w:hAnsi="Arial Narrow" w:cs="Arial"/>
                <w:b/>
                <w:bCs/>
              </w:rPr>
            </w:pPr>
            <w:r w:rsidRPr="00E17B5B">
              <w:rPr>
                <w:rFonts w:ascii="Arial Narrow" w:hAnsi="Arial Narrow" w:cs="Arial"/>
                <w:b/>
                <w:bCs/>
              </w:rPr>
              <w:t>12</w:t>
            </w:r>
          </w:p>
        </w:tc>
        <w:tc>
          <w:tcPr>
            <w:tcW w:w="1400" w:type="dxa"/>
            <w:tcBorders>
              <w:top w:val="single" w:sz="4" w:space="0" w:color="AAB8C4"/>
              <w:left w:val="nil"/>
              <w:bottom w:val="single" w:sz="8" w:space="0" w:color="AAB8C4"/>
              <w:right w:val="nil"/>
            </w:tcBorders>
            <w:shd w:val="clear" w:color="auto" w:fill="auto"/>
            <w:vAlign w:val="center"/>
            <w:hideMark/>
          </w:tcPr>
          <w:p w14:paraId="68394BD0" w14:textId="77777777" w:rsidR="0090485B" w:rsidRPr="00E17B5B" w:rsidRDefault="0090485B" w:rsidP="008F07B7">
            <w:pPr>
              <w:jc w:val="center"/>
              <w:rPr>
                <w:rFonts w:ascii="Arial Narrow" w:hAnsi="Arial Narrow" w:cs="Arial"/>
              </w:rPr>
            </w:pPr>
            <w:r w:rsidRPr="00E17B5B">
              <w:rPr>
                <w:rFonts w:ascii="Arial Narrow" w:hAnsi="Arial Narrow" w:cs="Arial"/>
              </w:rPr>
              <w:t>1</w:t>
            </w:r>
          </w:p>
        </w:tc>
        <w:tc>
          <w:tcPr>
            <w:tcW w:w="1400" w:type="dxa"/>
            <w:tcBorders>
              <w:top w:val="single" w:sz="4" w:space="0" w:color="AAB8C4"/>
              <w:left w:val="nil"/>
              <w:bottom w:val="single" w:sz="8" w:space="0" w:color="AAB8C4"/>
              <w:right w:val="nil"/>
            </w:tcBorders>
            <w:shd w:val="clear" w:color="auto" w:fill="auto"/>
            <w:vAlign w:val="center"/>
            <w:hideMark/>
          </w:tcPr>
          <w:p w14:paraId="791E51BC" w14:textId="77777777" w:rsidR="0090485B" w:rsidRPr="00E17B5B" w:rsidRDefault="0090485B" w:rsidP="008F07B7">
            <w:pPr>
              <w:jc w:val="center"/>
              <w:rPr>
                <w:rFonts w:ascii="Arial Narrow" w:hAnsi="Arial Narrow" w:cs="Arial"/>
                <w:b/>
                <w:bCs/>
              </w:rPr>
            </w:pPr>
            <w:r w:rsidRPr="00E17B5B">
              <w:rPr>
                <w:rFonts w:ascii="Arial Narrow" w:hAnsi="Arial Narrow" w:cs="Arial"/>
                <w:b/>
                <w:bCs/>
              </w:rPr>
              <w:t>13</w:t>
            </w:r>
          </w:p>
        </w:tc>
      </w:tr>
    </w:tbl>
    <w:p w14:paraId="7FE6ED48" w14:textId="77777777" w:rsidR="0090485B" w:rsidRPr="00421986" w:rsidRDefault="0090485B" w:rsidP="0090485B">
      <w:pPr>
        <w:rPr>
          <w:spacing w:val="-2"/>
          <w:szCs w:val="24"/>
        </w:rPr>
      </w:pPr>
    </w:p>
    <w:p w14:paraId="5929CDB4" w14:textId="77777777" w:rsidR="0090485B" w:rsidRDefault="0090485B" w:rsidP="0090485B">
      <w:pPr>
        <w:jc w:val="left"/>
      </w:pPr>
    </w:p>
    <w:p w14:paraId="33C5579F" w14:textId="77777777" w:rsidR="0090485B" w:rsidRDefault="0090485B" w:rsidP="0090485B">
      <w:r w:rsidRPr="00421986">
        <w:rPr>
          <w:spacing w:val="-2"/>
        </w:rPr>
        <w:t xml:space="preserve">The table below provides an indication of the </w:t>
      </w:r>
      <w:r w:rsidRPr="00421986">
        <w:t xml:space="preserve">human resources, other than staff occupying posts, i.e. temporary staff, agency workers, </w:t>
      </w:r>
      <w:r w:rsidRPr="00421986">
        <w:rPr>
          <w:rFonts w:cs="Arial"/>
        </w:rPr>
        <w:t>J</w:t>
      </w:r>
      <w:r>
        <w:rPr>
          <w:rFonts w:cs="Arial"/>
        </w:rPr>
        <w:t>P</w:t>
      </w:r>
      <w:r w:rsidRPr="00421986">
        <w:rPr>
          <w:rFonts w:cs="Arial"/>
        </w:rPr>
        <w:t xml:space="preserve">Os, interns and fellows, which may be utilized in the </w:t>
      </w:r>
      <w:r>
        <w:rPr>
          <w:rFonts w:cs="Arial"/>
        </w:rPr>
        <w:t>2022</w:t>
      </w:r>
      <w:r>
        <w:rPr>
          <w:rFonts w:cs="Arial"/>
        </w:rPr>
        <w:noBreakHyphen/>
        <w:t>2023</w:t>
      </w:r>
      <w:r w:rsidRPr="00421986">
        <w:rPr>
          <w:rFonts w:cs="Arial"/>
        </w:rPr>
        <w:t xml:space="preserve"> </w:t>
      </w:r>
      <w:r>
        <w:rPr>
          <w:rFonts w:cs="Arial"/>
        </w:rPr>
        <w:t>b</w:t>
      </w:r>
      <w:r w:rsidRPr="00421986">
        <w:rPr>
          <w:rFonts w:cs="Arial"/>
        </w:rPr>
        <w:t xml:space="preserve">iennium, </w:t>
      </w:r>
      <w:r w:rsidRPr="00421986">
        <w:t xml:space="preserve">subject to the availability of resources from the regular budget, </w:t>
      </w:r>
      <w:r>
        <w:t>extrabudgetary</w:t>
      </w:r>
      <w:r w:rsidRPr="00421986">
        <w:t xml:space="preserve"> funds and provision of personnel resources by members of </w:t>
      </w:r>
      <w:r>
        <w:t>the Union</w:t>
      </w:r>
      <w:r w:rsidRPr="00421986">
        <w:t>.</w:t>
      </w:r>
    </w:p>
    <w:p w14:paraId="34BF3173" w14:textId="77777777" w:rsidR="0090485B" w:rsidRDefault="0090485B" w:rsidP="0090485B"/>
    <w:p w14:paraId="25D8D595" w14:textId="77777777" w:rsidR="0090485B" w:rsidRPr="00421986" w:rsidRDefault="0090485B" w:rsidP="0090485B"/>
    <w:tbl>
      <w:tblPr>
        <w:tblW w:w="6580" w:type="dxa"/>
        <w:jc w:val="center"/>
        <w:tblLook w:val="04A0" w:firstRow="1" w:lastRow="0" w:firstColumn="1" w:lastColumn="0" w:noHBand="0" w:noVBand="1"/>
      </w:tblPr>
      <w:tblGrid>
        <w:gridCol w:w="2260"/>
        <w:gridCol w:w="1480"/>
        <w:gridCol w:w="1440"/>
        <w:gridCol w:w="1400"/>
      </w:tblGrid>
      <w:tr w:rsidR="0090485B" w:rsidRPr="00181C7C" w14:paraId="1D744FA2" w14:textId="77777777" w:rsidTr="008F07B7">
        <w:trPr>
          <w:trHeight w:val="520"/>
          <w:jc w:val="center"/>
        </w:trPr>
        <w:tc>
          <w:tcPr>
            <w:tcW w:w="2260" w:type="dxa"/>
            <w:vMerge w:val="restart"/>
            <w:tcBorders>
              <w:top w:val="nil"/>
              <w:left w:val="nil"/>
              <w:bottom w:val="nil"/>
              <w:right w:val="nil"/>
            </w:tcBorders>
            <w:shd w:val="clear" w:color="000000" w:fill="C7CFD8"/>
            <w:vAlign w:val="bottom"/>
            <w:hideMark/>
          </w:tcPr>
          <w:p w14:paraId="0A866F94" w14:textId="77777777" w:rsidR="0090485B" w:rsidRPr="00181C7C" w:rsidRDefault="0090485B" w:rsidP="008F07B7">
            <w:pPr>
              <w:jc w:val="left"/>
              <w:rPr>
                <w:rFonts w:ascii="Arial Narrow" w:hAnsi="Arial Narrow" w:cs="Arial"/>
              </w:rPr>
            </w:pPr>
            <w:r w:rsidRPr="00181C7C">
              <w:rPr>
                <w:rFonts w:ascii="Arial Narrow" w:hAnsi="Arial Narrow" w:cs="Arial"/>
              </w:rPr>
              <w:t> </w:t>
            </w:r>
          </w:p>
        </w:tc>
        <w:tc>
          <w:tcPr>
            <w:tcW w:w="1480" w:type="dxa"/>
            <w:tcBorders>
              <w:top w:val="nil"/>
              <w:left w:val="nil"/>
              <w:bottom w:val="nil"/>
              <w:right w:val="nil"/>
            </w:tcBorders>
            <w:shd w:val="clear" w:color="000000" w:fill="C7CFD8"/>
            <w:vAlign w:val="center"/>
            <w:hideMark/>
          </w:tcPr>
          <w:p w14:paraId="627327F4" w14:textId="77777777" w:rsidR="0090485B" w:rsidRPr="00181C7C" w:rsidRDefault="0090485B" w:rsidP="008F07B7">
            <w:pPr>
              <w:jc w:val="center"/>
              <w:rPr>
                <w:rFonts w:ascii="Arial Narrow" w:hAnsi="Arial Narrow" w:cs="Arial"/>
                <w:b/>
                <w:bCs/>
                <w:i/>
                <w:iCs/>
              </w:rPr>
            </w:pPr>
            <w:r w:rsidRPr="00181C7C">
              <w:rPr>
                <w:rFonts w:ascii="Arial Narrow" w:hAnsi="Arial Narrow" w:cs="Arial"/>
                <w:b/>
                <w:bCs/>
                <w:i/>
                <w:iCs/>
              </w:rPr>
              <w:t>2018-2019</w:t>
            </w:r>
          </w:p>
        </w:tc>
        <w:tc>
          <w:tcPr>
            <w:tcW w:w="1440" w:type="dxa"/>
            <w:tcBorders>
              <w:top w:val="nil"/>
              <w:left w:val="nil"/>
              <w:bottom w:val="nil"/>
              <w:right w:val="nil"/>
            </w:tcBorders>
            <w:shd w:val="clear" w:color="000000" w:fill="C7CFD8"/>
            <w:vAlign w:val="center"/>
            <w:hideMark/>
          </w:tcPr>
          <w:p w14:paraId="76D09567" w14:textId="77777777" w:rsidR="0090485B" w:rsidRPr="00181C7C" w:rsidRDefault="0090485B" w:rsidP="008F07B7">
            <w:pPr>
              <w:jc w:val="center"/>
              <w:rPr>
                <w:rFonts w:ascii="Arial Narrow" w:hAnsi="Arial Narrow" w:cs="Arial"/>
                <w:b/>
                <w:bCs/>
                <w:i/>
                <w:iCs/>
              </w:rPr>
            </w:pPr>
            <w:r w:rsidRPr="00181C7C">
              <w:rPr>
                <w:rFonts w:ascii="Arial Narrow" w:hAnsi="Arial Narrow" w:cs="Arial"/>
                <w:b/>
                <w:bCs/>
                <w:i/>
                <w:iCs/>
              </w:rPr>
              <w:t>2020</w:t>
            </w:r>
            <w:r w:rsidRPr="00181C7C">
              <w:rPr>
                <w:rFonts w:ascii="Arial Narrow" w:hAnsi="Arial Narrow" w:cs="Arial"/>
                <w:b/>
                <w:bCs/>
                <w:i/>
                <w:iCs/>
              </w:rPr>
              <w:noBreakHyphen/>
              <w:t>2021 Proposed</w:t>
            </w:r>
          </w:p>
        </w:tc>
        <w:tc>
          <w:tcPr>
            <w:tcW w:w="1400" w:type="dxa"/>
            <w:tcBorders>
              <w:top w:val="nil"/>
              <w:left w:val="nil"/>
              <w:bottom w:val="nil"/>
              <w:right w:val="nil"/>
            </w:tcBorders>
            <w:shd w:val="clear" w:color="000000" w:fill="C7CFD8"/>
            <w:vAlign w:val="center"/>
            <w:hideMark/>
          </w:tcPr>
          <w:p w14:paraId="3B00817C" w14:textId="77777777" w:rsidR="0090485B" w:rsidRPr="00181C7C" w:rsidRDefault="0090485B" w:rsidP="008F07B7">
            <w:pPr>
              <w:jc w:val="center"/>
              <w:rPr>
                <w:rFonts w:ascii="Arial Narrow" w:hAnsi="Arial Narrow" w:cs="Arial"/>
                <w:b/>
                <w:bCs/>
                <w:i/>
                <w:iCs/>
              </w:rPr>
            </w:pPr>
            <w:r>
              <w:rPr>
                <w:rFonts w:ascii="Arial Narrow" w:hAnsi="Arial Narrow" w:cs="Arial"/>
                <w:b/>
                <w:bCs/>
                <w:i/>
                <w:iCs/>
              </w:rPr>
              <w:t>2022</w:t>
            </w:r>
            <w:r>
              <w:rPr>
                <w:rFonts w:ascii="Arial Narrow" w:hAnsi="Arial Narrow" w:cs="Arial"/>
                <w:b/>
                <w:bCs/>
                <w:i/>
                <w:iCs/>
              </w:rPr>
              <w:noBreakHyphen/>
              <w:t>2023</w:t>
            </w:r>
            <w:r w:rsidRPr="00181C7C">
              <w:rPr>
                <w:rFonts w:ascii="Arial Narrow" w:hAnsi="Arial Narrow" w:cs="Arial"/>
                <w:b/>
                <w:bCs/>
                <w:i/>
                <w:iCs/>
              </w:rPr>
              <w:t xml:space="preserve"> Proposed</w:t>
            </w:r>
          </w:p>
        </w:tc>
      </w:tr>
      <w:tr w:rsidR="0090485B" w:rsidRPr="00181C7C" w14:paraId="6503FB7A" w14:textId="77777777" w:rsidTr="008F07B7">
        <w:trPr>
          <w:trHeight w:val="260"/>
          <w:jc w:val="center"/>
        </w:trPr>
        <w:tc>
          <w:tcPr>
            <w:tcW w:w="2260" w:type="dxa"/>
            <w:vMerge/>
            <w:tcBorders>
              <w:top w:val="nil"/>
              <w:left w:val="nil"/>
              <w:bottom w:val="nil"/>
              <w:right w:val="nil"/>
            </w:tcBorders>
            <w:vAlign w:val="center"/>
            <w:hideMark/>
          </w:tcPr>
          <w:p w14:paraId="121FCEAC" w14:textId="77777777" w:rsidR="0090485B" w:rsidRPr="00181C7C" w:rsidRDefault="0090485B" w:rsidP="008F07B7">
            <w:pPr>
              <w:jc w:val="left"/>
              <w:rPr>
                <w:rFonts w:ascii="Arial Narrow" w:hAnsi="Arial Narrow" w:cs="Arial"/>
              </w:rPr>
            </w:pPr>
          </w:p>
        </w:tc>
        <w:tc>
          <w:tcPr>
            <w:tcW w:w="1480" w:type="dxa"/>
            <w:tcBorders>
              <w:top w:val="nil"/>
              <w:left w:val="nil"/>
              <w:bottom w:val="nil"/>
              <w:right w:val="nil"/>
            </w:tcBorders>
            <w:shd w:val="clear" w:color="000000" w:fill="C7CFD8"/>
            <w:vAlign w:val="center"/>
            <w:hideMark/>
          </w:tcPr>
          <w:p w14:paraId="694867A3" w14:textId="77777777" w:rsidR="0090485B" w:rsidRPr="00181C7C" w:rsidRDefault="0090485B" w:rsidP="008F07B7">
            <w:pPr>
              <w:jc w:val="center"/>
              <w:rPr>
                <w:rFonts w:ascii="Arial Narrow" w:hAnsi="Arial Narrow" w:cs="Arial"/>
                <w:b/>
                <w:bCs/>
                <w:i/>
                <w:iCs/>
              </w:rPr>
            </w:pPr>
            <w:r w:rsidRPr="00181C7C">
              <w:rPr>
                <w:rFonts w:ascii="Arial Narrow" w:hAnsi="Arial Narrow" w:cs="Arial"/>
                <w:b/>
                <w:bCs/>
                <w:i/>
                <w:iCs/>
              </w:rPr>
              <w:t>A</w:t>
            </w:r>
          </w:p>
        </w:tc>
        <w:tc>
          <w:tcPr>
            <w:tcW w:w="1440" w:type="dxa"/>
            <w:tcBorders>
              <w:top w:val="nil"/>
              <w:left w:val="nil"/>
              <w:bottom w:val="nil"/>
              <w:right w:val="nil"/>
            </w:tcBorders>
            <w:shd w:val="clear" w:color="000000" w:fill="C7CFD8"/>
            <w:vAlign w:val="center"/>
            <w:hideMark/>
          </w:tcPr>
          <w:p w14:paraId="19BCB92D" w14:textId="77777777" w:rsidR="0090485B" w:rsidRPr="00181C7C" w:rsidRDefault="0090485B" w:rsidP="008F07B7">
            <w:pPr>
              <w:jc w:val="center"/>
              <w:rPr>
                <w:rFonts w:ascii="Arial Narrow" w:hAnsi="Arial Narrow" w:cs="Arial"/>
                <w:b/>
                <w:bCs/>
                <w:i/>
                <w:iCs/>
              </w:rPr>
            </w:pPr>
            <w:r w:rsidRPr="00181C7C">
              <w:rPr>
                <w:rFonts w:ascii="Arial Narrow" w:hAnsi="Arial Narrow" w:cs="Arial"/>
                <w:b/>
                <w:bCs/>
                <w:i/>
                <w:iCs/>
              </w:rPr>
              <w:t>B</w:t>
            </w:r>
          </w:p>
        </w:tc>
        <w:tc>
          <w:tcPr>
            <w:tcW w:w="1400" w:type="dxa"/>
            <w:tcBorders>
              <w:top w:val="nil"/>
              <w:left w:val="nil"/>
              <w:bottom w:val="nil"/>
              <w:right w:val="nil"/>
            </w:tcBorders>
            <w:shd w:val="clear" w:color="000000" w:fill="C7CFD8"/>
            <w:vAlign w:val="center"/>
            <w:hideMark/>
          </w:tcPr>
          <w:p w14:paraId="7818A878" w14:textId="77777777" w:rsidR="0090485B" w:rsidRPr="00181C7C" w:rsidRDefault="0090485B" w:rsidP="008F07B7">
            <w:pPr>
              <w:jc w:val="center"/>
              <w:rPr>
                <w:rFonts w:ascii="Arial Narrow" w:hAnsi="Arial Narrow" w:cs="Arial"/>
                <w:b/>
                <w:bCs/>
                <w:i/>
                <w:iCs/>
              </w:rPr>
            </w:pPr>
            <w:r w:rsidRPr="00181C7C">
              <w:rPr>
                <w:rFonts w:ascii="Arial Narrow" w:hAnsi="Arial Narrow" w:cs="Arial"/>
                <w:b/>
                <w:bCs/>
                <w:i/>
                <w:iCs/>
              </w:rPr>
              <w:t>C</w:t>
            </w:r>
          </w:p>
        </w:tc>
      </w:tr>
      <w:tr w:rsidR="0090485B" w:rsidRPr="00181C7C" w14:paraId="512E4640" w14:textId="77777777" w:rsidTr="008F07B7">
        <w:trPr>
          <w:trHeight w:val="260"/>
          <w:jc w:val="center"/>
        </w:trPr>
        <w:tc>
          <w:tcPr>
            <w:tcW w:w="2260" w:type="dxa"/>
            <w:tcBorders>
              <w:top w:val="nil"/>
              <w:left w:val="nil"/>
              <w:bottom w:val="nil"/>
              <w:right w:val="nil"/>
            </w:tcBorders>
            <w:shd w:val="clear" w:color="auto" w:fill="auto"/>
            <w:vAlign w:val="center"/>
            <w:hideMark/>
          </w:tcPr>
          <w:p w14:paraId="64D36922" w14:textId="77777777" w:rsidR="0090485B" w:rsidRPr="00181C7C" w:rsidRDefault="0090485B" w:rsidP="008F07B7">
            <w:pPr>
              <w:jc w:val="left"/>
              <w:rPr>
                <w:rFonts w:ascii="Arial Narrow" w:hAnsi="Arial Narrow" w:cs="Arial"/>
              </w:rPr>
            </w:pPr>
            <w:r w:rsidRPr="00181C7C">
              <w:rPr>
                <w:rFonts w:ascii="Arial Narrow" w:hAnsi="Arial Narrow" w:cs="Arial"/>
              </w:rPr>
              <w:t>Temporary Staff</w:t>
            </w:r>
          </w:p>
        </w:tc>
        <w:tc>
          <w:tcPr>
            <w:tcW w:w="1480" w:type="dxa"/>
            <w:tcBorders>
              <w:top w:val="nil"/>
              <w:left w:val="nil"/>
              <w:bottom w:val="nil"/>
              <w:right w:val="nil"/>
            </w:tcBorders>
            <w:shd w:val="clear" w:color="auto" w:fill="auto"/>
            <w:vAlign w:val="center"/>
            <w:hideMark/>
          </w:tcPr>
          <w:p w14:paraId="1D753A2F"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c>
          <w:tcPr>
            <w:tcW w:w="1440" w:type="dxa"/>
            <w:tcBorders>
              <w:top w:val="nil"/>
              <w:left w:val="nil"/>
              <w:bottom w:val="nil"/>
              <w:right w:val="nil"/>
            </w:tcBorders>
            <w:shd w:val="clear" w:color="auto" w:fill="auto"/>
            <w:vAlign w:val="center"/>
            <w:hideMark/>
          </w:tcPr>
          <w:p w14:paraId="3545E814"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c>
          <w:tcPr>
            <w:tcW w:w="1400" w:type="dxa"/>
            <w:tcBorders>
              <w:top w:val="nil"/>
              <w:left w:val="nil"/>
              <w:bottom w:val="nil"/>
              <w:right w:val="nil"/>
            </w:tcBorders>
            <w:shd w:val="clear" w:color="auto" w:fill="auto"/>
            <w:vAlign w:val="center"/>
            <w:hideMark/>
          </w:tcPr>
          <w:p w14:paraId="55E51A49"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r>
      <w:tr w:rsidR="0090485B" w:rsidRPr="00181C7C" w14:paraId="1F064FB8" w14:textId="77777777" w:rsidTr="008F07B7">
        <w:trPr>
          <w:trHeight w:val="260"/>
          <w:jc w:val="center"/>
        </w:trPr>
        <w:tc>
          <w:tcPr>
            <w:tcW w:w="2260" w:type="dxa"/>
            <w:tcBorders>
              <w:top w:val="nil"/>
              <w:left w:val="nil"/>
              <w:bottom w:val="nil"/>
              <w:right w:val="nil"/>
            </w:tcBorders>
            <w:shd w:val="clear" w:color="auto" w:fill="auto"/>
            <w:vAlign w:val="center"/>
            <w:hideMark/>
          </w:tcPr>
          <w:p w14:paraId="7749D605" w14:textId="77777777" w:rsidR="0090485B" w:rsidRPr="00181C7C" w:rsidRDefault="0090485B" w:rsidP="008F07B7">
            <w:pPr>
              <w:jc w:val="left"/>
              <w:rPr>
                <w:rFonts w:ascii="Arial Narrow" w:hAnsi="Arial Narrow" w:cs="Arial"/>
              </w:rPr>
            </w:pPr>
            <w:r w:rsidRPr="00181C7C">
              <w:rPr>
                <w:rFonts w:ascii="Arial Narrow" w:hAnsi="Arial Narrow" w:cs="Arial"/>
              </w:rPr>
              <w:t>Agency Workers</w:t>
            </w:r>
          </w:p>
        </w:tc>
        <w:tc>
          <w:tcPr>
            <w:tcW w:w="1480" w:type="dxa"/>
            <w:tcBorders>
              <w:top w:val="nil"/>
              <w:left w:val="nil"/>
              <w:bottom w:val="nil"/>
              <w:right w:val="nil"/>
            </w:tcBorders>
            <w:shd w:val="clear" w:color="auto" w:fill="auto"/>
            <w:vAlign w:val="center"/>
            <w:hideMark/>
          </w:tcPr>
          <w:p w14:paraId="66A476AC" w14:textId="77777777" w:rsidR="0090485B" w:rsidRPr="00181C7C" w:rsidRDefault="0090485B" w:rsidP="008F07B7">
            <w:pPr>
              <w:jc w:val="center"/>
              <w:rPr>
                <w:rFonts w:ascii="Arial Narrow" w:hAnsi="Arial Narrow" w:cs="Arial"/>
              </w:rPr>
            </w:pPr>
            <w:r w:rsidRPr="00181C7C">
              <w:rPr>
                <w:rFonts w:ascii="Arial Narrow" w:hAnsi="Arial Narrow" w:cs="Arial"/>
              </w:rPr>
              <w:t>3</w:t>
            </w:r>
          </w:p>
        </w:tc>
        <w:tc>
          <w:tcPr>
            <w:tcW w:w="1440" w:type="dxa"/>
            <w:tcBorders>
              <w:top w:val="nil"/>
              <w:left w:val="nil"/>
              <w:bottom w:val="nil"/>
              <w:right w:val="nil"/>
            </w:tcBorders>
            <w:shd w:val="clear" w:color="auto" w:fill="auto"/>
            <w:vAlign w:val="center"/>
            <w:hideMark/>
          </w:tcPr>
          <w:p w14:paraId="4E69A43D"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c>
          <w:tcPr>
            <w:tcW w:w="1400" w:type="dxa"/>
            <w:tcBorders>
              <w:top w:val="nil"/>
              <w:left w:val="nil"/>
              <w:bottom w:val="nil"/>
              <w:right w:val="nil"/>
            </w:tcBorders>
            <w:shd w:val="clear" w:color="auto" w:fill="auto"/>
            <w:vAlign w:val="center"/>
            <w:hideMark/>
          </w:tcPr>
          <w:p w14:paraId="45CE8663"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r>
      <w:tr w:rsidR="0090485B" w:rsidRPr="00181C7C" w14:paraId="280EF262" w14:textId="77777777" w:rsidTr="008F07B7">
        <w:trPr>
          <w:trHeight w:val="260"/>
          <w:jc w:val="center"/>
        </w:trPr>
        <w:tc>
          <w:tcPr>
            <w:tcW w:w="2260" w:type="dxa"/>
            <w:tcBorders>
              <w:top w:val="nil"/>
              <w:left w:val="nil"/>
              <w:bottom w:val="nil"/>
              <w:right w:val="nil"/>
            </w:tcBorders>
            <w:shd w:val="clear" w:color="auto" w:fill="auto"/>
            <w:vAlign w:val="center"/>
            <w:hideMark/>
          </w:tcPr>
          <w:p w14:paraId="502D11D2" w14:textId="77777777" w:rsidR="0090485B" w:rsidRPr="00181C7C" w:rsidRDefault="0090485B" w:rsidP="008F07B7">
            <w:pPr>
              <w:jc w:val="left"/>
              <w:rPr>
                <w:rFonts w:ascii="Arial Narrow" w:hAnsi="Arial Narrow" w:cs="Arial"/>
              </w:rPr>
            </w:pPr>
            <w:r w:rsidRPr="00181C7C">
              <w:rPr>
                <w:rFonts w:ascii="Arial Narrow" w:hAnsi="Arial Narrow" w:cs="Arial"/>
              </w:rPr>
              <w:t>Fellow</w:t>
            </w:r>
            <w:r>
              <w:rPr>
                <w:rFonts w:ascii="Arial Narrow" w:hAnsi="Arial Narrow" w:cs="Arial"/>
              </w:rPr>
              <w:t>s</w:t>
            </w:r>
          </w:p>
        </w:tc>
        <w:tc>
          <w:tcPr>
            <w:tcW w:w="1480" w:type="dxa"/>
            <w:tcBorders>
              <w:top w:val="nil"/>
              <w:left w:val="nil"/>
              <w:bottom w:val="nil"/>
              <w:right w:val="nil"/>
            </w:tcBorders>
            <w:shd w:val="clear" w:color="auto" w:fill="auto"/>
            <w:vAlign w:val="center"/>
            <w:hideMark/>
          </w:tcPr>
          <w:p w14:paraId="6C11862B"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c>
          <w:tcPr>
            <w:tcW w:w="1440" w:type="dxa"/>
            <w:tcBorders>
              <w:top w:val="nil"/>
              <w:left w:val="nil"/>
              <w:bottom w:val="nil"/>
              <w:right w:val="nil"/>
            </w:tcBorders>
            <w:shd w:val="clear" w:color="auto" w:fill="auto"/>
            <w:vAlign w:val="center"/>
            <w:hideMark/>
          </w:tcPr>
          <w:p w14:paraId="77551A80"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c>
          <w:tcPr>
            <w:tcW w:w="1400" w:type="dxa"/>
            <w:tcBorders>
              <w:top w:val="nil"/>
              <w:left w:val="nil"/>
              <w:bottom w:val="nil"/>
              <w:right w:val="nil"/>
            </w:tcBorders>
            <w:shd w:val="clear" w:color="auto" w:fill="auto"/>
            <w:vAlign w:val="center"/>
            <w:hideMark/>
          </w:tcPr>
          <w:p w14:paraId="16E69C82"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r>
      <w:tr w:rsidR="0090485B" w:rsidRPr="00181C7C" w14:paraId="144B3429" w14:textId="77777777" w:rsidTr="008F07B7">
        <w:trPr>
          <w:trHeight w:val="260"/>
          <w:jc w:val="center"/>
        </w:trPr>
        <w:tc>
          <w:tcPr>
            <w:tcW w:w="2260" w:type="dxa"/>
            <w:tcBorders>
              <w:top w:val="nil"/>
              <w:left w:val="nil"/>
              <w:bottom w:val="nil"/>
              <w:right w:val="nil"/>
            </w:tcBorders>
            <w:shd w:val="clear" w:color="auto" w:fill="auto"/>
            <w:vAlign w:val="center"/>
            <w:hideMark/>
          </w:tcPr>
          <w:p w14:paraId="60755432" w14:textId="77777777" w:rsidR="0090485B" w:rsidRPr="00181C7C" w:rsidRDefault="0090485B" w:rsidP="008F07B7">
            <w:pPr>
              <w:jc w:val="left"/>
              <w:rPr>
                <w:rFonts w:ascii="Arial Narrow" w:hAnsi="Arial Narrow" w:cs="Arial"/>
              </w:rPr>
            </w:pPr>
            <w:r w:rsidRPr="00181C7C">
              <w:rPr>
                <w:rFonts w:ascii="Arial Narrow" w:hAnsi="Arial Narrow" w:cs="Arial"/>
              </w:rPr>
              <w:t>Junior Professional Officer</w:t>
            </w:r>
            <w:r>
              <w:rPr>
                <w:rFonts w:ascii="Arial Narrow" w:hAnsi="Arial Narrow" w:cs="Arial"/>
              </w:rPr>
              <w:t>s</w:t>
            </w:r>
          </w:p>
        </w:tc>
        <w:tc>
          <w:tcPr>
            <w:tcW w:w="1480" w:type="dxa"/>
            <w:tcBorders>
              <w:top w:val="nil"/>
              <w:left w:val="nil"/>
              <w:bottom w:val="nil"/>
              <w:right w:val="nil"/>
            </w:tcBorders>
            <w:shd w:val="clear" w:color="auto" w:fill="auto"/>
            <w:vAlign w:val="center"/>
            <w:hideMark/>
          </w:tcPr>
          <w:p w14:paraId="102BDDA8" w14:textId="77777777" w:rsidR="0090485B" w:rsidRPr="00181C7C" w:rsidRDefault="0090485B" w:rsidP="008F07B7">
            <w:pPr>
              <w:jc w:val="center"/>
              <w:rPr>
                <w:rFonts w:ascii="Arial Narrow" w:hAnsi="Arial Narrow" w:cs="Arial"/>
              </w:rPr>
            </w:pPr>
            <w:r w:rsidRPr="00181C7C">
              <w:rPr>
                <w:rFonts w:ascii="Arial Narrow" w:hAnsi="Arial Narrow" w:cs="Arial"/>
              </w:rPr>
              <w:t>0</w:t>
            </w:r>
          </w:p>
        </w:tc>
        <w:tc>
          <w:tcPr>
            <w:tcW w:w="1440" w:type="dxa"/>
            <w:tcBorders>
              <w:top w:val="nil"/>
              <w:left w:val="nil"/>
              <w:bottom w:val="nil"/>
              <w:right w:val="nil"/>
            </w:tcBorders>
            <w:shd w:val="clear" w:color="auto" w:fill="auto"/>
            <w:vAlign w:val="center"/>
            <w:hideMark/>
          </w:tcPr>
          <w:p w14:paraId="7DE32130"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c>
          <w:tcPr>
            <w:tcW w:w="1400" w:type="dxa"/>
            <w:tcBorders>
              <w:top w:val="nil"/>
              <w:left w:val="nil"/>
              <w:bottom w:val="nil"/>
              <w:right w:val="nil"/>
            </w:tcBorders>
            <w:shd w:val="clear" w:color="auto" w:fill="auto"/>
            <w:vAlign w:val="center"/>
            <w:hideMark/>
          </w:tcPr>
          <w:p w14:paraId="0D7D2042"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r>
      <w:tr w:rsidR="0090485B" w:rsidRPr="00181C7C" w14:paraId="16FBFB84" w14:textId="77777777" w:rsidTr="008F07B7">
        <w:trPr>
          <w:trHeight w:val="260"/>
          <w:jc w:val="center"/>
        </w:trPr>
        <w:tc>
          <w:tcPr>
            <w:tcW w:w="2260" w:type="dxa"/>
            <w:tcBorders>
              <w:top w:val="nil"/>
              <w:left w:val="nil"/>
              <w:bottom w:val="nil"/>
              <w:right w:val="nil"/>
            </w:tcBorders>
            <w:shd w:val="clear" w:color="auto" w:fill="auto"/>
            <w:vAlign w:val="center"/>
            <w:hideMark/>
          </w:tcPr>
          <w:p w14:paraId="241CB481" w14:textId="77777777" w:rsidR="0090485B" w:rsidRPr="00181C7C" w:rsidRDefault="0090485B" w:rsidP="008F07B7">
            <w:pPr>
              <w:jc w:val="left"/>
              <w:rPr>
                <w:rFonts w:ascii="Arial Narrow" w:hAnsi="Arial Narrow" w:cs="Arial"/>
              </w:rPr>
            </w:pPr>
            <w:r w:rsidRPr="00181C7C">
              <w:rPr>
                <w:rFonts w:ascii="Arial Narrow" w:hAnsi="Arial Narrow" w:cs="Arial"/>
              </w:rPr>
              <w:t>Intern</w:t>
            </w:r>
            <w:r>
              <w:rPr>
                <w:rFonts w:ascii="Arial Narrow" w:hAnsi="Arial Narrow" w:cs="Arial"/>
              </w:rPr>
              <w:t>s</w:t>
            </w:r>
          </w:p>
        </w:tc>
        <w:tc>
          <w:tcPr>
            <w:tcW w:w="1480" w:type="dxa"/>
            <w:tcBorders>
              <w:top w:val="nil"/>
              <w:left w:val="nil"/>
              <w:bottom w:val="nil"/>
              <w:right w:val="nil"/>
            </w:tcBorders>
            <w:shd w:val="clear" w:color="auto" w:fill="auto"/>
            <w:vAlign w:val="center"/>
            <w:hideMark/>
          </w:tcPr>
          <w:p w14:paraId="7C4587C2"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c>
          <w:tcPr>
            <w:tcW w:w="1440" w:type="dxa"/>
            <w:tcBorders>
              <w:top w:val="nil"/>
              <w:left w:val="nil"/>
              <w:bottom w:val="nil"/>
              <w:right w:val="nil"/>
            </w:tcBorders>
            <w:shd w:val="clear" w:color="auto" w:fill="auto"/>
            <w:vAlign w:val="center"/>
            <w:hideMark/>
          </w:tcPr>
          <w:p w14:paraId="127627F2" w14:textId="77777777" w:rsidR="0090485B" w:rsidRPr="00181C7C" w:rsidRDefault="0090485B" w:rsidP="008F07B7">
            <w:pPr>
              <w:jc w:val="center"/>
              <w:rPr>
                <w:rFonts w:ascii="Arial Narrow" w:hAnsi="Arial Narrow" w:cs="Arial"/>
              </w:rPr>
            </w:pPr>
            <w:r w:rsidRPr="00181C7C">
              <w:rPr>
                <w:rFonts w:ascii="Arial Narrow" w:hAnsi="Arial Narrow" w:cs="Arial"/>
              </w:rPr>
              <w:t>2</w:t>
            </w:r>
          </w:p>
        </w:tc>
        <w:tc>
          <w:tcPr>
            <w:tcW w:w="1400" w:type="dxa"/>
            <w:tcBorders>
              <w:top w:val="nil"/>
              <w:left w:val="nil"/>
              <w:bottom w:val="nil"/>
              <w:right w:val="nil"/>
            </w:tcBorders>
            <w:shd w:val="clear" w:color="auto" w:fill="auto"/>
            <w:vAlign w:val="center"/>
            <w:hideMark/>
          </w:tcPr>
          <w:p w14:paraId="59E73C2A" w14:textId="77777777" w:rsidR="0090485B" w:rsidRPr="00181C7C" w:rsidRDefault="0090485B" w:rsidP="008F07B7">
            <w:pPr>
              <w:jc w:val="center"/>
              <w:rPr>
                <w:rFonts w:ascii="Arial Narrow" w:hAnsi="Arial Narrow" w:cs="Arial"/>
              </w:rPr>
            </w:pPr>
            <w:r w:rsidRPr="00181C7C">
              <w:rPr>
                <w:rFonts w:ascii="Arial Narrow" w:hAnsi="Arial Narrow" w:cs="Arial"/>
              </w:rPr>
              <w:t>1</w:t>
            </w:r>
          </w:p>
        </w:tc>
      </w:tr>
    </w:tbl>
    <w:p w14:paraId="5BECABC7" w14:textId="77777777" w:rsidR="0090485B" w:rsidRDefault="0090485B" w:rsidP="0090485B"/>
    <w:p w14:paraId="2186CD4F" w14:textId="77777777" w:rsidR="0090485B" w:rsidRDefault="0090485B" w:rsidP="0090485B"/>
    <w:p w14:paraId="4B7F0546" w14:textId="77777777" w:rsidR="0090485B" w:rsidRDefault="0090485B" w:rsidP="0090485B">
      <w:pPr>
        <w:pStyle w:val="Heading3"/>
      </w:pPr>
      <w:r>
        <w:br w:type="page"/>
      </w:r>
    </w:p>
    <w:p w14:paraId="62FA2366" w14:textId="77777777" w:rsidR="0090485B" w:rsidRPr="00115442" w:rsidRDefault="0090485B" w:rsidP="0090485B">
      <w:pPr>
        <w:pStyle w:val="Heading2"/>
      </w:pPr>
      <w:bookmarkStart w:id="495" w:name="_Toc77931058"/>
      <w:r w:rsidRPr="00115442">
        <w:lastRenderedPageBreak/>
        <w:t>Allocation of Expenditure by Sub-program</w:t>
      </w:r>
      <w:bookmarkEnd w:id="495"/>
    </w:p>
    <w:p w14:paraId="312CD925" w14:textId="77777777" w:rsidR="0090485B" w:rsidRPr="00421986" w:rsidRDefault="0090485B" w:rsidP="0090485B">
      <w:pPr>
        <w:jc w:val="left"/>
        <w:rPr>
          <w:color w:val="000000"/>
        </w:rPr>
      </w:pPr>
    </w:p>
    <w:p w14:paraId="20933929" w14:textId="77777777" w:rsidR="0090485B" w:rsidRPr="00421986" w:rsidRDefault="0090485B" w:rsidP="0090485B">
      <w:pPr>
        <w:tabs>
          <w:tab w:val="left" w:pos="567"/>
        </w:tabs>
      </w:pPr>
      <w:r w:rsidRPr="00421986">
        <w:t xml:space="preserve">The proposed Program and Budget for the </w:t>
      </w:r>
      <w:r w:rsidRPr="00421986">
        <w:rPr>
          <w:snapToGrid w:val="0"/>
          <w:spacing w:val="-2"/>
          <w:szCs w:val="24"/>
        </w:rPr>
        <w:t>202</w:t>
      </w:r>
      <w:r>
        <w:rPr>
          <w:snapToGrid w:val="0"/>
          <w:spacing w:val="-2"/>
          <w:szCs w:val="24"/>
        </w:rPr>
        <w:t>0-20</w:t>
      </w:r>
      <w:r w:rsidRPr="00421986">
        <w:rPr>
          <w:snapToGrid w:val="0"/>
          <w:spacing w:val="-2"/>
          <w:szCs w:val="24"/>
        </w:rPr>
        <w:t>21</w:t>
      </w:r>
      <w:r w:rsidRPr="00421986">
        <w:rPr>
          <w:spacing w:val="-2"/>
          <w:szCs w:val="24"/>
        </w:rPr>
        <w:t xml:space="preserve"> </w:t>
      </w:r>
      <w:r>
        <w:t>B</w:t>
      </w:r>
      <w:r w:rsidRPr="00421986">
        <w:t>iennium is split into four sub­programs</w:t>
      </w:r>
      <w:r>
        <w:t xml:space="preserve"> (see Table 6)</w:t>
      </w:r>
      <w:r w:rsidRPr="00421986">
        <w:t xml:space="preserve">:  </w:t>
      </w:r>
    </w:p>
    <w:p w14:paraId="4B048FC5" w14:textId="77777777" w:rsidR="0090485B" w:rsidRPr="00421986" w:rsidRDefault="0090485B" w:rsidP="0090485B">
      <w:pPr>
        <w:tabs>
          <w:tab w:val="left" w:pos="567"/>
        </w:tabs>
      </w:pPr>
    </w:p>
    <w:p w14:paraId="090C430C" w14:textId="77777777" w:rsidR="0090485B" w:rsidRPr="00421986" w:rsidRDefault="0090485B" w:rsidP="0090485B">
      <w:pPr>
        <w:keepNext/>
        <w:autoSpaceDE w:val="0"/>
        <w:autoSpaceDN w:val="0"/>
        <w:adjustRightInd w:val="0"/>
        <w:ind w:left="1417" w:hanging="850"/>
        <w:jc w:val="left"/>
        <w:rPr>
          <w:bCs/>
          <w:szCs w:val="24"/>
        </w:rPr>
      </w:pPr>
      <w:r w:rsidRPr="00421986">
        <w:rPr>
          <w:bCs/>
          <w:szCs w:val="24"/>
        </w:rPr>
        <w:t>UV.1:</w:t>
      </w:r>
      <w:r w:rsidRPr="00421986">
        <w:rPr>
          <w:bCs/>
          <w:szCs w:val="24"/>
        </w:rPr>
        <w:tab/>
        <w:t>Overall Policy on Plant Variety Protection</w:t>
      </w:r>
    </w:p>
    <w:p w14:paraId="3674EBF7" w14:textId="77777777" w:rsidR="0090485B" w:rsidRPr="00421986" w:rsidRDefault="0090485B" w:rsidP="0090485B">
      <w:pPr>
        <w:ind w:left="1417" w:hanging="850"/>
        <w:jc w:val="left"/>
      </w:pPr>
      <w:r w:rsidRPr="00421986">
        <w:t>UV.2:</w:t>
      </w:r>
      <w:r w:rsidRPr="00421986">
        <w:tab/>
        <w:t xml:space="preserve">Services to </w:t>
      </w:r>
      <w:r>
        <w:t>the Union</w:t>
      </w:r>
      <w:r w:rsidRPr="00421986">
        <w:t xml:space="preserve"> for Enhancing the Effectiveness of the UPOV System</w:t>
      </w:r>
    </w:p>
    <w:p w14:paraId="3E8D3CF2" w14:textId="77777777" w:rsidR="0090485B" w:rsidRPr="00421986" w:rsidRDefault="0090485B" w:rsidP="0090485B">
      <w:pPr>
        <w:ind w:left="1417" w:hanging="850"/>
        <w:jc w:val="left"/>
      </w:pPr>
      <w:r w:rsidRPr="00421986">
        <w:t>UV.3:</w:t>
      </w:r>
      <w:r w:rsidRPr="00421986">
        <w:tab/>
        <w:t>Raising Awareness and Assistance in the Introduction and Implementation of the UPOV System</w:t>
      </w:r>
    </w:p>
    <w:p w14:paraId="4B67DE10" w14:textId="77777777" w:rsidR="0090485B" w:rsidRPr="00421986" w:rsidRDefault="0090485B" w:rsidP="0090485B">
      <w:pPr>
        <w:ind w:left="1417" w:hanging="850"/>
        <w:jc w:val="left"/>
      </w:pPr>
      <w:r w:rsidRPr="00421986">
        <w:rPr>
          <w:bCs/>
          <w:szCs w:val="24"/>
        </w:rPr>
        <w:t>UV.4:</w:t>
      </w:r>
      <w:r w:rsidRPr="00421986">
        <w:rPr>
          <w:bCs/>
          <w:szCs w:val="24"/>
        </w:rPr>
        <w:tab/>
        <w:t>External Relations</w:t>
      </w:r>
    </w:p>
    <w:p w14:paraId="6ABEF6F5" w14:textId="77777777" w:rsidR="0090485B" w:rsidRPr="00421986" w:rsidRDefault="0090485B" w:rsidP="0090485B">
      <w:pPr>
        <w:tabs>
          <w:tab w:val="left" w:pos="567"/>
        </w:tabs>
      </w:pPr>
    </w:p>
    <w:p w14:paraId="3B150B77" w14:textId="77777777" w:rsidR="0090485B" w:rsidRPr="00421986" w:rsidRDefault="0090485B" w:rsidP="0090485B">
      <w:pPr>
        <w:tabs>
          <w:tab w:val="left" w:pos="567"/>
        </w:tabs>
      </w:pPr>
      <w:r w:rsidRPr="00421986">
        <w:t xml:space="preserve">Personnel resources have been allocated </w:t>
      </w:r>
      <w:r>
        <w:t>to each</w:t>
      </w:r>
      <w:r w:rsidRPr="00421986">
        <w:t xml:space="preserve"> sub-program as a proportion of the staff time that is anticipated to be spent on each sub-program.  Non-personnel expenditures have been distributed </w:t>
      </w:r>
      <w:r>
        <w:t xml:space="preserve">to the </w:t>
      </w:r>
      <w:r w:rsidRPr="00421986">
        <w:t>sub</w:t>
      </w:r>
      <w:r w:rsidRPr="00421986">
        <w:noBreakHyphen/>
        <w:t>program</w:t>
      </w:r>
      <w:r>
        <w:t>s</w:t>
      </w:r>
      <w:r w:rsidRPr="00421986">
        <w:t xml:space="preserve"> in anticipation of their respective activities.  It should be noted that </w:t>
      </w:r>
      <w:r>
        <w:t xml:space="preserve">the </w:t>
      </w:r>
      <w:r w:rsidRPr="00421986">
        <w:t xml:space="preserve">expenditure </w:t>
      </w:r>
      <w:r>
        <w:t>related to the</w:t>
      </w:r>
      <w:r w:rsidRPr="00421986">
        <w:t xml:space="preserve"> administrative services rendered </w:t>
      </w:r>
      <w:r>
        <w:t xml:space="preserve">by WIPO </w:t>
      </w:r>
      <w:r w:rsidRPr="00421986">
        <w:t>to UPOV appear under Sub-program UV.2.</w:t>
      </w:r>
      <w:r>
        <w:t xml:space="preserve">  The costs of the services rendered and potential cost efficiency measures will be reviewed in 2022.  The results of this analysis will be reflected in the Program and Budget for the 2024-2025 Biennium.  </w:t>
      </w:r>
    </w:p>
    <w:p w14:paraId="3165B4BD" w14:textId="77777777" w:rsidR="0090485B" w:rsidRPr="00421986" w:rsidRDefault="0090485B" w:rsidP="0090485B">
      <w:pPr>
        <w:tabs>
          <w:tab w:val="left" w:pos="567"/>
        </w:tabs>
      </w:pPr>
    </w:p>
    <w:p w14:paraId="25D38EB4" w14:textId="77777777" w:rsidR="0090485B" w:rsidRPr="00421986" w:rsidRDefault="0090485B" w:rsidP="0090485B">
      <w:pPr>
        <w:keepNext/>
        <w:jc w:val="center"/>
        <w:rPr>
          <w:rFonts w:cs="Arial"/>
        </w:rPr>
      </w:pPr>
      <w:r w:rsidRPr="008B40C0">
        <w:rPr>
          <w:rFonts w:cs="Arial"/>
          <w:b/>
          <w:bCs/>
          <w:color w:val="26724C" w:themeColor="accent1" w:themeShade="BF"/>
        </w:rPr>
        <w:t xml:space="preserve">Table 6:  Proposed Budget </w:t>
      </w:r>
      <w:r>
        <w:rPr>
          <w:rFonts w:cs="Arial"/>
          <w:b/>
          <w:bCs/>
          <w:color w:val="26724C" w:themeColor="accent1" w:themeShade="BF"/>
        </w:rPr>
        <w:t>2022</w:t>
      </w:r>
      <w:r>
        <w:rPr>
          <w:rFonts w:cs="Arial"/>
          <w:b/>
          <w:bCs/>
          <w:color w:val="26724C" w:themeColor="accent1" w:themeShade="BF"/>
        </w:rPr>
        <w:noBreakHyphen/>
        <w:t>2023</w:t>
      </w:r>
      <w:r w:rsidRPr="008B40C0">
        <w:rPr>
          <w:rFonts w:cs="Arial"/>
          <w:b/>
          <w:bCs/>
          <w:color w:val="26724C" w:themeColor="accent1" w:themeShade="BF"/>
        </w:rPr>
        <w:t xml:space="preserve">: Allocation by </w:t>
      </w:r>
      <w:r>
        <w:rPr>
          <w:rFonts w:cs="Arial"/>
          <w:b/>
          <w:bCs/>
          <w:color w:val="26724C" w:themeColor="accent1" w:themeShade="BF"/>
        </w:rPr>
        <w:t>Cost Category</w:t>
      </w:r>
      <w:r w:rsidRPr="008B40C0">
        <w:rPr>
          <w:rFonts w:cs="Arial"/>
          <w:b/>
          <w:bCs/>
          <w:color w:val="26724C" w:themeColor="accent1" w:themeShade="BF"/>
        </w:rPr>
        <w:br/>
      </w:r>
      <w:r w:rsidRPr="00C20F3E">
        <w:rPr>
          <w:rFonts w:cs="Arial"/>
          <w:i/>
          <w:sz w:val="18"/>
          <w:szCs w:val="18"/>
        </w:rPr>
        <w:t>(in thousands of Swiss francs)</w:t>
      </w:r>
    </w:p>
    <w:p w14:paraId="40165347" w14:textId="77777777" w:rsidR="0090485B" w:rsidRPr="00421986" w:rsidRDefault="0090485B" w:rsidP="0090485B">
      <w:pPr>
        <w:keepNext/>
        <w:tabs>
          <w:tab w:val="left" w:pos="567"/>
        </w:tabs>
      </w:pPr>
    </w:p>
    <w:tbl>
      <w:tblPr>
        <w:tblW w:w="7985" w:type="dxa"/>
        <w:jc w:val="center"/>
        <w:tblLook w:val="04A0" w:firstRow="1" w:lastRow="0" w:firstColumn="1" w:lastColumn="0" w:noHBand="0" w:noVBand="1"/>
      </w:tblPr>
      <w:tblGrid>
        <w:gridCol w:w="1208"/>
        <w:gridCol w:w="2620"/>
        <w:gridCol w:w="816"/>
        <w:gridCol w:w="851"/>
        <w:gridCol w:w="819"/>
        <w:gridCol w:w="820"/>
        <w:gridCol w:w="851"/>
      </w:tblGrid>
      <w:tr w:rsidR="0090485B" w:rsidRPr="00E17B5B" w14:paraId="2DC075C0" w14:textId="77777777" w:rsidTr="008F07B7">
        <w:trPr>
          <w:trHeight w:val="209"/>
          <w:jc w:val="center"/>
        </w:trPr>
        <w:tc>
          <w:tcPr>
            <w:tcW w:w="3828" w:type="dxa"/>
            <w:gridSpan w:val="2"/>
            <w:vMerge w:val="restart"/>
            <w:tcBorders>
              <w:top w:val="nil"/>
              <w:left w:val="nil"/>
              <w:bottom w:val="nil"/>
              <w:right w:val="nil"/>
            </w:tcBorders>
            <w:shd w:val="clear" w:color="000000" w:fill="C7CFD8"/>
            <w:vAlign w:val="center"/>
            <w:hideMark/>
          </w:tcPr>
          <w:p w14:paraId="33859400" w14:textId="77777777" w:rsidR="0090485B" w:rsidRPr="00E17B5B" w:rsidRDefault="0090485B" w:rsidP="008F07B7">
            <w:pPr>
              <w:rPr>
                <w:rFonts w:ascii="Arial Narrow" w:hAnsi="Arial Narrow" w:cs="Arial"/>
                <w:b/>
                <w:bCs/>
                <w:sz w:val="18"/>
                <w:szCs w:val="18"/>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14:paraId="268B893C"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 Sub-program </w:t>
            </w:r>
          </w:p>
        </w:tc>
        <w:tc>
          <w:tcPr>
            <w:tcW w:w="851" w:type="dxa"/>
            <w:vMerge w:val="restart"/>
            <w:tcBorders>
              <w:top w:val="nil"/>
              <w:left w:val="nil"/>
              <w:bottom w:val="nil"/>
              <w:right w:val="nil"/>
            </w:tcBorders>
            <w:shd w:val="clear" w:color="000000" w:fill="C7CFD8"/>
            <w:vAlign w:val="center"/>
            <w:hideMark/>
          </w:tcPr>
          <w:p w14:paraId="521C9657"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Total </w:t>
            </w:r>
          </w:p>
        </w:tc>
      </w:tr>
      <w:tr w:rsidR="0090485B" w:rsidRPr="00E17B5B" w14:paraId="6CB477DC" w14:textId="77777777" w:rsidTr="008F07B7">
        <w:trPr>
          <w:trHeight w:val="202"/>
          <w:jc w:val="center"/>
        </w:trPr>
        <w:tc>
          <w:tcPr>
            <w:tcW w:w="3828" w:type="dxa"/>
            <w:gridSpan w:val="2"/>
            <w:vMerge/>
            <w:tcBorders>
              <w:top w:val="nil"/>
              <w:left w:val="nil"/>
              <w:bottom w:val="nil"/>
              <w:right w:val="nil"/>
            </w:tcBorders>
            <w:vAlign w:val="center"/>
            <w:hideMark/>
          </w:tcPr>
          <w:p w14:paraId="4B72210A" w14:textId="77777777" w:rsidR="0090485B" w:rsidRPr="00E17B5B" w:rsidRDefault="0090485B" w:rsidP="008F07B7">
            <w:pPr>
              <w:jc w:val="left"/>
              <w:rPr>
                <w:rFonts w:ascii="Arial Narrow" w:hAnsi="Arial Narrow" w:cs="Arial"/>
                <w:b/>
                <w:bCs/>
                <w:sz w:val="18"/>
                <w:szCs w:val="18"/>
              </w:rPr>
            </w:pPr>
          </w:p>
        </w:tc>
        <w:tc>
          <w:tcPr>
            <w:tcW w:w="816" w:type="dxa"/>
            <w:tcBorders>
              <w:top w:val="nil"/>
              <w:left w:val="nil"/>
              <w:bottom w:val="nil"/>
              <w:right w:val="nil"/>
            </w:tcBorders>
            <w:shd w:val="clear" w:color="000000" w:fill="C7CFD8"/>
            <w:vAlign w:val="center"/>
            <w:hideMark/>
          </w:tcPr>
          <w:p w14:paraId="746A51C0"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UV.1 </w:t>
            </w:r>
          </w:p>
        </w:tc>
        <w:tc>
          <w:tcPr>
            <w:tcW w:w="851" w:type="dxa"/>
            <w:tcBorders>
              <w:top w:val="nil"/>
              <w:left w:val="nil"/>
              <w:bottom w:val="nil"/>
              <w:right w:val="nil"/>
            </w:tcBorders>
            <w:shd w:val="clear" w:color="000000" w:fill="C7CFD8"/>
            <w:vAlign w:val="center"/>
            <w:hideMark/>
          </w:tcPr>
          <w:p w14:paraId="2DCF19C7"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UV.2 </w:t>
            </w:r>
          </w:p>
        </w:tc>
        <w:tc>
          <w:tcPr>
            <w:tcW w:w="819" w:type="dxa"/>
            <w:tcBorders>
              <w:top w:val="nil"/>
              <w:left w:val="nil"/>
              <w:bottom w:val="nil"/>
              <w:right w:val="nil"/>
            </w:tcBorders>
            <w:shd w:val="clear" w:color="000000" w:fill="C7CFD8"/>
            <w:vAlign w:val="center"/>
            <w:hideMark/>
          </w:tcPr>
          <w:p w14:paraId="7D1CB7D6"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UV.3 </w:t>
            </w:r>
          </w:p>
        </w:tc>
        <w:tc>
          <w:tcPr>
            <w:tcW w:w="820" w:type="dxa"/>
            <w:tcBorders>
              <w:top w:val="nil"/>
              <w:left w:val="nil"/>
              <w:bottom w:val="nil"/>
              <w:right w:val="nil"/>
            </w:tcBorders>
            <w:shd w:val="clear" w:color="000000" w:fill="C7CFD8"/>
            <w:vAlign w:val="center"/>
            <w:hideMark/>
          </w:tcPr>
          <w:p w14:paraId="51C5970F" w14:textId="77777777" w:rsidR="0090485B" w:rsidRPr="00E17B5B" w:rsidRDefault="0090485B" w:rsidP="008F07B7">
            <w:pPr>
              <w:jc w:val="center"/>
              <w:rPr>
                <w:rFonts w:ascii="Arial Narrow" w:hAnsi="Arial Narrow" w:cs="Arial"/>
                <w:b/>
                <w:bCs/>
                <w:sz w:val="18"/>
                <w:szCs w:val="18"/>
              </w:rPr>
            </w:pPr>
            <w:r w:rsidRPr="00E17B5B">
              <w:rPr>
                <w:rFonts w:ascii="Arial Narrow" w:hAnsi="Arial Narrow" w:cs="Arial"/>
                <w:b/>
                <w:bCs/>
                <w:sz w:val="18"/>
                <w:szCs w:val="18"/>
              </w:rPr>
              <w:t xml:space="preserve">UV.4 </w:t>
            </w:r>
          </w:p>
        </w:tc>
        <w:tc>
          <w:tcPr>
            <w:tcW w:w="851" w:type="dxa"/>
            <w:vMerge/>
            <w:tcBorders>
              <w:top w:val="nil"/>
              <w:left w:val="nil"/>
              <w:bottom w:val="nil"/>
              <w:right w:val="nil"/>
            </w:tcBorders>
            <w:vAlign w:val="center"/>
            <w:hideMark/>
          </w:tcPr>
          <w:p w14:paraId="24410047" w14:textId="77777777" w:rsidR="0090485B" w:rsidRPr="00E17B5B" w:rsidRDefault="0090485B" w:rsidP="008F07B7">
            <w:pPr>
              <w:jc w:val="left"/>
              <w:rPr>
                <w:rFonts w:ascii="Arial Narrow" w:hAnsi="Arial Narrow" w:cs="Arial"/>
                <w:b/>
                <w:bCs/>
                <w:sz w:val="18"/>
                <w:szCs w:val="18"/>
              </w:rPr>
            </w:pPr>
          </w:p>
        </w:tc>
      </w:tr>
      <w:tr w:rsidR="0090485B" w:rsidRPr="00E17B5B" w14:paraId="6F32B985" w14:textId="77777777" w:rsidTr="008F07B7">
        <w:trPr>
          <w:trHeight w:val="150"/>
          <w:jc w:val="center"/>
        </w:trPr>
        <w:tc>
          <w:tcPr>
            <w:tcW w:w="3828" w:type="dxa"/>
            <w:gridSpan w:val="2"/>
            <w:tcBorders>
              <w:top w:val="nil"/>
              <w:left w:val="nil"/>
              <w:bottom w:val="nil"/>
              <w:right w:val="nil"/>
            </w:tcBorders>
            <w:shd w:val="clear" w:color="auto" w:fill="auto"/>
            <w:vAlign w:val="bottom"/>
            <w:hideMark/>
          </w:tcPr>
          <w:p w14:paraId="62672B7B" w14:textId="77777777" w:rsidR="0090485B" w:rsidRPr="00E17B5B" w:rsidRDefault="0090485B" w:rsidP="008F07B7">
            <w:pPr>
              <w:jc w:val="center"/>
              <w:rPr>
                <w:rFonts w:ascii="Arial Narrow" w:hAnsi="Arial Narrow" w:cs="Arial"/>
                <w:b/>
                <w:bCs/>
                <w:sz w:val="18"/>
                <w:szCs w:val="18"/>
              </w:rPr>
            </w:pPr>
          </w:p>
        </w:tc>
        <w:tc>
          <w:tcPr>
            <w:tcW w:w="816" w:type="dxa"/>
            <w:tcBorders>
              <w:top w:val="nil"/>
              <w:left w:val="nil"/>
              <w:bottom w:val="nil"/>
              <w:right w:val="nil"/>
            </w:tcBorders>
            <w:shd w:val="clear" w:color="auto" w:fill="auto"/>
            <w:vAlign w:val="bottom"/>
            <w:hideMark/>
          </w:tcPr>
          <w:p w14:paraId="2AFBF191" w14:textId="77777777" w:rsidR="0090485B" w:rsidRPr="00E17B5B" w:rsidRDefault="0090485B" w:rsidP="008F07B7">
            <w:pPr>
              <w:jc w:val="left"/>
              <w:rPr>
                <w:rFonts w:ascii="Times New Roman" w:hAnsi="Times New Roman"/>
              </w:rPr>
            </w:pPr>
          </w:p>
        </w:tc>
        <w:tc>
          <w:tcPr>
            <w:tcW w:w="851" w:type="dxa"/>
            <w:tcBorders>
              <w:top w:val="nil"/>
              <w:left w:val="nil"/>
              <w:bottom w:val="nil"/>
              <w:right w:val="nil"/>
            </w:tcBorders>
            <w:shd w:val="clear" w:color="auto" w:fill="auto"/>
            <w:vAlign w:val="bottom"/>
            <w:hideMark/>
          </w:tcPr>
          <w:p w14:paraId="1E6F0006"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2360B070"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4F5D6C63"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E13F88B" w14:textId="77777777" w:rsidR="0090485B" w:rsidRPr="00E17B5B" w:rsidRDefault="0090485B" w:rsidP="008F07B7">
            <w:pPr>
              <w:jc w:val="right"/>
              <w:rPr>
                <w:rFonts w:ascii="Times New Roman" w:hAnsi="Times New Roman"/>
              </w:rPr>
            </w:pPr>
          </w:p>
        </w:tc>
      </w:tr>
      <w:tr w:rsidR="0090485B" w:rsidRPr="00E17B5B" w14:paraId="28832769" w14:textId="77777777" w:rsidTr="008F07B7">
        <w:trPr>
          <w:trHeight w:val="397"/>
          <w:jc w:val="center"/>
        </w:trPr>
        <w:tc>
          <w:tcPr>
            <w:tcW w:w="3828" w:type="dxa"/>
            <w:gridSpan w:val="2"/>
            <w:tcBorders>
              <w:top w:val="nil"/>
              <w:left w:val="nil"/>
              <w:bottom w:val="nil"/>
              <w:right w:val="nil"/>
            </w:tcBorders>
            <w:shd w:val="clear" w:color="auto" w:fill="auto"/>
            <w:vAlign w:val="center"/>
            <w:hideMark/>
          </w:tcPr>
          <w:p w14:paraId="08041908" w14:textId="77777777" w:rsidR="0090485B" w:rsidRPr="00E17B5B" w:rsidRDefault="0090485B" w:rsidP="008F07B7">
            <w:pPr>
              <w:jc w:val="left"/>
              <w:rPr>
                <w:rFonts w:ascii="Arial Narrow" w:hAnsi="Arial Narrow" w:cs="Arial"/>
                <w:b/>
                <w:bCs/>
              </w:rPr>
            </w:pPr>
            <w:r w:rsidRPr="00E17B5B">
              <w:rPr>
                <w:rFonts w:ascii="Arial Narrow" w:hAnsi="Arial Narrow" w:cs="Arial"/>
                <w:b/>
                <w:bCs/>
              </w:rPr>
              <w:t>A.  Personnel Resources</w:t>
            </w:r>
          </w:p>
        </w:tc>
        <w:tc>
          <w:tcPr>
            <w:tcW w:w="816" w:type="dxa"/>
            <w:tcBorders>
              <w:top w:val="nil"/>
              <w:left w:val="nil"/>
              <w:bottom w:val="nil"/>
              <w:right w:val="nil"/>
            </w:tcBorders>
            <w:shd w:val="clear" w:color="auto" w:fill="auto"/>
            <w:vAlign w:val="center"/>
            <w:hideMark/>
          </w:tcPr>
          <w:p w14:paraId="2041092C" w14:textId="73F9BFF9" w:rsidR="0090485B" w:rsidRPr="00E17B5B" w:rsidRDefault="0090485B" w:rsidP="00E10E1B">
            <w:pPr>
              <w:jc w:val="right"/>
              <w:rPr>
                <w:rFonts w:ascii="Arial Narrow" w:hAnsi="Arial Narrow" w:cs="Arial"/>
                <w:b/>
                <w:bCs/>
              </w:rPr>
            </w:pPr>
            <w:r w:rsidRPr="00E17B5B">
              <w:rPr>
                <w:rFonts w:ascii="Arial Narrow" w:hAnsi="Arial Narrow" w:cs="Arial"/>
                <w:b/>
                <w:bCs/>
              </w:rPr>
              <w:t>77</w:t>
            </w:r>
            <w:r w:rsidR="00E10E1B">
              <w:rPr>
                <w:rFonts w:ascii="Arial Narrow" w:hAnsi="Arial Narrow" w:cs="Arial"/>
                <w:b/>
                <w:bCs/>
              </w:rPr>
              <w:t>1</w:t>
            </w:r>
          </w:p>
        </w:tc>
        <w:tc>
          <w:tcPr>
            <w:tcW w:w="851" w:type="dxa"/>
            <w:tcBorders>
              <w:top w:val="nil"/>
              <w:left w:val="nil"/>
              <w:bottom w:val="nil"/>
              <w:right w:val="nil"/>
            </w:tcBorders>
            <w:shd w:val="clear" w:color="auto" w:fill="auto"/>
            <w:vAlign w:val="center"/>
            <w:hideMark/>
          </w:tcPr>
          <w:p w14:paraId="7A099879" w14:textId="4F469E4E" w:rsidR="0090485B" w:rsidRPr="00E17B5B" w:rsidRDefault="0090485B" w:rsidP="00E10E1B">
            <w:pPr>
              <w:jc w:val="right"/>
              <w:rPr>
                <w:rFonts w:ascii="Arial Narrow" w:hAnsi="Arial Narrow" w:cs="Arial"/>
                <w:b/>
                <w:bCs/>
              </w:rPr>
            </w:pPr>
            <w:r w:rsidRPr="00E17B5B">
              <w:rPr>
                <w:rFonts w:ascii="Arial Narrow" w:hAnsi="Arial Narrow" w:cs="Arial"/>
                <w:b/>
                <w:bCs/>
              </w:rPr>
              <w:t>2,68</w:t>
            </w:r>
            <w:r w:rsidR="00E10E1B">
              <w:rPr>
                <w:rFonts w:ascii="Arial Narrow" w:hAnsi="Arial Narrow" w:cs="Arial"/>
                <w:b/>
                <w:bCs/>
              </w:rPr>
              <w:t>6</w:t>
            </w:r>
          </w:p>
        </w:tc>
        <w:tc>
          <w:tcPr>
            <w:tcW w:w="819" w:type="dxa"/>
            <w:tcBorders>
              <w:top w:val="nil"/>
              <w:left w:val="nil"/>
              <w:bottom w:val="nil"/>
              <w:right w:val="nil"/>
            </w:tcBorders>
            <w:shd w:val="clear" w:color="auto" w:fill="auto"/>
            <w:vAlign w:val="center"/>
            <w:hideMark/>
          </w:tcPr>
          <w:p w14:paraId="5D2B62B3" w14:textId="6333F113" w:rsidR="0090485B" w:rsidRPr="00E17B5B" w:rsidRDefault="0090485B" w:rsidP="00E10E1B">
            <w:pPr>
              <w:jc w:val="right"/>
              <w:rPr>
                <w:rFonts w:ascii="Arial Narrow" w:hAnsi="Arial Narrow" w:cs="Arial"/>
                <w:b/>
                <w:bCs/>
              </w:rPr>
            </w:pPr>
            <w:r w:rsidRPr="00E17B5B">
              <w:rPr>
                <w:rFonts w:ascii="Arial Narrow" w:hAnsi="Arial Narrow" w:cs="Arial"/>
                <w:b/>
                <w:bCs/>
              </w:rPr>
              <w:t>1,3</w:t>
            </w:r>
            <w:r w:rsidR="00E10E1B">
              <w:rPr>
                <w:rFonts w:ascii="Arial Narrow" w:hAnsi="Arial Narrow" w:cs="Arial"/>
                <w:b/>
                <w:bCs/>
              </w:rPr>
              <w:t>30</w:t>
            </w:r>
          </w:p>
        </w:tc>
        <w:tc>
          <w:tcPr>
            <w:tcW w:w="820" w:type="dxa"/>
            <w:tcBorders>
              <w:top w:val="nil"/>
              <w:left w:val="nil"/>
              <w:bottom w:val="nil"/>
              <w:right w:val="nil"/>
            </w:tcBorders>
            <w:shd w:val="clear" w:color="auto" w:fill="auto"/>
            <w:vAlign w:val="center"/>
            <w:hideMark/>
          </w:tcPr>
          <w:p w14:paraId="647659E5" w14:textId="5AB43E77" w:rsidR="0090485B" w:rsidRPr="00E17B5B" w:rsidRDefault="0090485B" w:rsidP="00E10E1B">
            <w:pPr>
              <w:jc w:val="right"/>
              <w:rPr>
                <w:rFonts w:ascii="Arial Narrow" w:hAnsi="Arial Narrow" w:cs="Arial"/>
                <w:b/>
                <w:bCs/>
              </w:rPr>
            </w:pPr>
            <w:r w:rsidRPr="00E17B5B">
              <w:rPr>
                <w:rFonts w:ascii="Arial Narrow" w:hAnsi="Arial Narrow" w:cs="Arial"/>
                <w:b/>
                <w:bCs/>
              </w:rPr>
              <w:t>53</w:t>
            </w:r>
            <w:r w:rsidR="00E10E1B">
              <w:rPr>
                <w:rFonts w:ascii="Arial Narrow" w:hAnsi="Arial Narrow" w:cs="Arial"/>
                <w:b/>
                <w:bCs/>
              </w:rPr>
              <w:t>2</w:t>
            </w:r>
          </w:p>
        </w:tc>
        <w:tc>
          <w:tcPr>
            <w:tcW w:w="851" w:type="dxa"/>
            <w:tcBorders>
              <w:top w:val="nil"/>
              <w:left w:val="nil"/>
              <w:bottom w:val="nil"/>
              <w:right w:val="nil"/>
            </w:tcBorders>
            <w:shd w:val="clear" w:color="auto" w:fill="auto"/>
            <w:vAlign w:val="center"/>
            <w:hideMark/>
          </w:tcPr>
          <w:p w14:paraId="2B63A379" w14:textId="4FCD4FE5" w:rsidR="0090485B" w:rsidRPr="00E17B5B" w:rsidRDefault="0090485B" w:rsidP="00E10E1B">
            <w:pPr>
              <w:jc w:val="right"/>
              <w:rPr>
                <w:rFonts w:ascii="Arial Narrow" w:hAnsi="Arial Narrow" w:cs="Arial"/>
                <w:b/>
                <w:bCs/>
              </w:rPr>
            </w:pPr>
            <w:r w:rsidRPr="00E17B5B">
              <w:rPr>
                <w:rFonts w:ascii="Arial Narrow" w:hAnsi="Arial Narrow" w:cs="Arial"/>
                <w:b/>
                <w:bCs/>
              </w:rPr>
              <w:t>5,3</w:t>
            </w:r>
            <w:r w:rsidR="00E10E1B">
              <w:rPr>
                <w:rFonts w:ascii="Arial Narrow" w:hAnsi="Arial Narrow" w:cs="Arial"/>
                <w:b/>
                <w:bCs/>
              </w:rPr>
              <w:t>19</w:t>
            </w:r>
          </w:p>
        </w:tc>
      </w:tr>
      <w:tr w:rsidR="0090485B" w:rsidRPr="00E17B5B" w14:paraId="5DBA393B" w14:textId="77777777" w:rsidTr="008F07B7">
        <w:trPr>
          <w:trHeight w:val="268"/>
          <w:jc w:val="center"/>
        </w:trPr>
        <w:tc>
          <w:tcPr>
            <w:tcW w:w="1208" w:type="dxa"/>
            <w:tcBorders>
              <w:top w:val="nil"/>
              <w:left w:val="nil"/>
              <w:bottom w:val="nil"/>
              <w:right w:val="nil"/>
            </w:tcBorders>
            <w:shd w:val="clear" w:color="auto" w:fill="auto"/>
            <w:hideMark/>
          </w:tcPr>
          <w:p w14:paraId="4A8BA170" w14:textId="77777777" w:rsidR="0090485B" w:rsidRPr="00E17B5B" w:rsidRDefault="0090485B" w:rsidP="008F07B7">
            <w:pPr>
              <w:jc w:val="right"/>
              <w:rPr>
                <w:rFonts w:ascii="Arial Narrow" w:hAnsi="Arial Narrow" w:cs="Arial"/>
                <w:b/>
                <w:bCs/>
              </w:rPr>
            </w:pPr>
          </w:p>
        </w:tc>
        <w:tc>
          <w:tcPr>
            <w:tcW w:w="2620" w:type="dxa"/>
            <w:tcBorders>
              <w:top w:val="nil"/>
              <w:left w:val="nil"/>
              <w:bottom w:val="nil"/>
              <w:right w:val="nil"/>
            </w:tcBorders>
            <w:shd w:val="clear" w:color="auto" w:fill="auto"/>
            <w:hideMark/>
          </w:tcPr>
          <w:p w14:paraId="69BD2BAA" w14:textId="77777777" w:rsidR="0090485B" w:rsidRPr="00E17B5B" w:rsidRDefault="0090485B" w:rsidP="008F07B7">
            <w:pPr>
              <w:jc w:val="left"/>
              <w:rPr>
                <w:rFonts w:ascii="Arial Narrow" w:hAnsi="Arial Narrow" w:cs="Arial"/>
                <w:i/>
                <w:iCs/>
              </w:rPr>
            </w:pPr>
            <w:r w:rsidRPr="00E17B5B">
              <w:rPr>
                <w:rFonts w:ascii="Arial Narrow" w:hAnsi="Arial Narrow" w:cs="Arial"/>
                <w:i/>
                <w:iCs/>
              </w:rPr>
              <w:t>Posts</w:t>
            </w:r>
          </w:p>
        </w:tc>
        <w:tc>
          <w:tcPr>
            <w:tcW w:w="816" w:type="dxa"/>
            <w:tcBorders>
              <w:top w:val="nil"/>
              <w:left w:val="nil"/>
              <w:bottom w:val="nil"/>
              <w:right w:val="nil"/>
            </w:tcBorders>
            <w:shd w:val="clear" w:color="auto" w:fill="auto"/>
            <w:hideMark/>
          </w:tcPr>
          <w:p w14:paraId="1940FAC4" w14:textId="127ED6EA" w:rsidR="0090485B" w:rsidRPr="00E17B5B" w:rsidRDefault="00E10E1B" w:rsidP="008F07B7">
            <w:pPr>
              <w:jc w:val="right"/>
              <w:rPr>
                <w:rFonts w:ascii="Arial Narrow" w:hAnsi="Arial Narrow" w:cs="Arial"/>
              </w:rPr>
            </w:pPr>
            <w:r>
              <w:rPr>
                <w:rFonts w:ascii="Arial Narrow" w:hAnsi="Arial Narrow" w:cs="Arial"/>
              </w:rPr>
              <w:t>719</w:t>
            </w:r>
          </w:p>
        </w:tc>
        <w:tc>
          <w:tcPr>
            <w:tcW w:w="851" w:type="dxa"/>
            <w:tcBorders>
              <w:top w:val="nil"/>
              <w:left w:val="nil"/>
              <w:bottom w:val="nil"/>
              <w:right w:val="nil"/>
            </w:tcBorders>
            <w:shd w:val="clear" w:color="auto" w:fill="auto"/>
            <w:hideMark/>
          </w:tcPr>
          <w:p w14:paraId="6CE0FB28" w14:textId="270796DE" w:rsidR="0090485B" w:rsidRPr="00E17B5B" w:rsidRDefault="00E10E1B" w:rsidP="008F07B7">
            <w:pPr>
              <w:jc w:val="right"/>
              <w:rPr>
                <w:rFonts w:ascii="Arial Narrow" w:hAnsi="Arial Narrow" w:cs="Arial"/>
              </w:rPr>
            </w:pPr>
            <w:r>
              <w:rPr>
                <w:rFonts w:ascii="Arial Narrow" w:hAnsi="Arial Narrow" w:cs="Arial"/>
              </w:rPr>
              <w:t>2,396</w:t>
            </w:r>
          </w:p>
        </w:tc>
        <w:tc>
          <w:tcPr>
            <w:tcW w:w="819" w:type="dxa"/>
            <w:tcBorders>
              <w:top w:val="nil"/>
              <w:left w:val="nil"/>
              <w:bottom w:val="nil"/>
              <w:right w:val="nil"/>
            </w:tcBorders>
            <w:shd w:val="clear" w:color="auto" w:fill="auto"/>
            <w:hideMark/>
          </w:tcPr>
          <w:p w14:paraId="0E101217" w14:textId="69337D8A" w:rsidR="0090485B" w:rsidRPr="00E17B5B" w:rsidRDefault="00E10E1B" w:rsidP="008F07B7">
            <w:pPr>
              <w:jc w:val="right"/>
              <w:rPr>
                <w:rFonts w:ascii="Arial Narrow" w:hAnsi="Arial Narrow" w:cs="Arial"/>
              </w:rPr>
            </w:pPr>
            <w:r>
              <w:rPr>
                <w:rFonts w:ascii="Arial Narrow" w:hAnsi="Arial Narrow" w:cs="Arial"/>
              </w:rPr>
              <w:t>1,198</w:t>
            </w:r>
          </w:p>
        </w:tc>
        <w:tc>
          <w:tcPr>
            <w:tcW w:w="820" w:type="dxa"/>
            <w:tcBorders>
              <w:top w:val="nil"/>
              <w:left w:val="nil"/>
              <w:bottom w:val="nil"/>
              <w:right w:val="nil"/>
            </w:tcBorders>
            <w:shd w:val="clear" w:color="auto" w:fill="auto"/>
            <w:hideMark/>
          </w:tcPr>
          <w:p w14:paraId="1992A6D8" w14:textId="77640E7E" w:rsidR="0090485B" w:rsidRPr="00E17B5B" w:rsidRDefault="00E10E1B" w:rsidP="008F07B7">
            <w:pPr>
              <w:jc w:val="right"/>
              <w:rPr>
                <w:rFonts w:ascii="Arial Narrow" w:hAnsi="Arial Narrow" w:cs="Arial"/>
              </w:rPr>
            </w:pPr>
            <w:r>
              <w:rPr>
                <w:rFonts w:ascii="Arial Narrow" w:hAnsi="Arial Narrow" w:cs="Arial"/>
              </w:rPr>
              <w:t>479</w:t>
            </w:r>
          </w:p>
        </w:tc>
        <w:tc>
          <w:tcPr>
            <w:tcW w:w="851" w:type="dxa"/>
            <w:tcBorders>
              <w:top w:val="nil"/>
              <w:left w:val="nil"/>
              <w:bottom w:val="nil"/>
              <w:right w:val="nil"/>
            </w:tcBorders>
            <w:shd w:val="clear" w:color="auto" w:fill="auto"/>
            <w:hideMark/>
          </w:tcPr>
          <w:p w14:paraId="2A175F92" w14:textId="548CDF2C" w:rsidR="0090485B" w:rsidRPr="00E17B5B" w:rsidRDefault="00E10E1B" w:rsidP="008F07B7">
            <w:pPr>
              <w:jc w:val="right"/>
              <w:rPr>
                <w:rFonts w:ascii="Arial Narrow" w:hAnsi="Arial Narrow" w:cs="Arial"/>
              </w:rPr>
            </w:pPr>
            <w:r>
              <w:rPr>
                <w:rFonts w:ascii="Arial Narrow" w:hAnsi="Arial Narrow" w:cs="Arial"/>
              </w:rPr>
              <w:t>4,792</w:t>
            </w:r>
          </w:p>
        </w:tc>
      </w:tr>
      <w:tr w:rsidR="0090485B" w:rsidRPr="00E17B5B" w14:paraId="63672FAA" w14:textId="77777777" w:rsidTr="008F07B7">
        <w:trPr>
          <w:trHeight w:val="268"/>
          <w:jc w:val="center"/>
        </w:trPr>
        <w:tc>
          <w:tcPr>
            <w:tcW w:w="1208" w:type="dxa"/>
            <w:tcBorders>
              <w:top w:val="nil"/>
              <w:left w:val="nil"/>
              <w:bottom w:val="single" w:sz="4" w:space="0" w:color="AAB8C4"/>
              <w:right w:val="nil"/>
            </w:tcBorders>
            <w:shd w:val="clear" w:color="auto" w:fill="auto"/>
            <w:hideMark/>
          </w:tcPr>
          <w:p w14:paraId="4C327A6E" w14:textId="77777777" w:rsidR="0090485B" w:rsidRPr="00E17B5B" w:rsidRDefault="0090485B" w:rsidP="008F07B7">
            <w:pPr>
              <w:jc w:val="left"/>
              <w:rPr>
                <w:rFonts w:ascii="Arial Narrow" w:hAnsi="Arial Narrow" w:cs="Arial"/>
              </w:rPr>
            </w:pPr>
            <w:r w:rsidRPr="00E17B5B">
              <w:rPr>
                <w:rFonts w:ascii="Arial Narrow" w:hAnsi="Arial Narrow" w:cs="Arial"/>
              </w:rPr>
              <w:t> </w:t>
            </w:r>
          </w:p>
        </w:tc>
        <w:tc>
          <w:tcPr>
            <w:tcW w:w="2620" w:type="dxa"/>
            <w:tcBorders>
              <w:top w:val="nil"/>
              <w:left w:val="nil"/>
              <w:bottom w:val="single" w:sz="4" w:space="0" w:color="AAB8C4"/>
              <w:right w:val="nil"/>
            </w:tcBorders>
            <w:shd w:val="clear" w:color="auto" w:fill="auto"/>
            <w:hideMark/>
          </w:tcPr>
          <w:p w14:paraId="478F9A50" w14:textId="77777777" w:rsidR="0090485B" w:rsidRPr="00E17B5B" w:rsidRDefault="0090485B" w:rsidP="008F07B7">
            <w:pPr>
              <w:jc w:val="left"/>
              <w:rPr>
                <w:rFonts w:ascii="Arial Narrow" w:hAnsi="Arial Narrow" w:cs="Arial"/>
                <w:i/>
                <w:iCs/>
                <w:color w:val="000000"/>
              </w:rPr>
            </w:pPr>
            <w:r w:rsidRPr="00E17B5B">
              <w:rPr>
                <w:rFonts w:ascii="Arial Narrow" w:hAnsi="Arial Narrow" w:cs="Arial"/>
                <w:i/>
                <w:iCs/>
                <w:color w:val="000000"/>
              </w:rPr>
              <w:t>Temporary</w:t>
            </w:r>
            <w:r>
              <w:rPr>
                <w:rFonts w:ascii="Arial Narrow" w:hAnsi="Arial Narrow" w:cs="Arial"/>
                <w:i/>
                <w:iCs/>
                <w:color w:val="000000"/>
              </w:rPr>
              <w:t xml:space="preserve"> </w:t>
            </w:r>
            <w:r w:rsidRPr="00E17B5B">
              <w:rPr>
                <w:rFonts w:ascii="Arial Narrow" w:hAnsi="Arial Narrow" w:cs="Arial"/>
                <w:i/>
                <w:iCs/>
                <w:color w:val="000000"/>
              </w:rPr>
              <w:t>Staff</w:t>
            </w:r>
          </w:p>
        </w:tc>
        <w:tc>
          <w:tcPr>
            <w:tcW w:w="816" w:type="dxa"/>
            <w:tcBorders>
              <w:top w:val="nil"/>
              <w:left w:val="nil"/>
              <w:bottom w:val="single" w:sz="4" w:space="0" w:color="AAB8C4"/>
              <w:right w:val="nil"/>
            </w:tcBorders>
            <w:shd w:val="clear" w:color="auto" w:fill="auto"/>
            <w:hideMark/>
          </w:tcPr>
          <w:p w14:paraId="6B1FCC6C" w14:textId="77777777" w:rsidR="0090485B" w:rsidRPr="00E17B5B" w:rsidRDefault="0090485B" w:rsidP="008F07B7">
            <w:pPr>
              <w:jc w:val="right"/>
              <w:rPr>
                <w:rFonts w:ascii="Arial Narrow" w:hAnsi="Arial Narrow" w:cs="Arial"/>
              </w:rPr>
            </w:pPr>
            <w:r w:rsidRPr="00E17B5B">
              <w:rPr>
                <w:rFonts w:ascii="Arial Narrow" w:hAnsi="Arial Narrow" w:cs="Arial"/>
              </w:rPr>
              <w:t>53</w:t>
            </w:r>
          </w:p>
        </w:tc>
        <w:tc>
          <w:tcPr>
            <w:tcW w:w="851" w:type="dxa"/>
            <w:tcBorders>
              <w:top w:val="nil"/>
              <w:left w:val="nil"/>
              <w:bottom w:val="single" w:sz="4" w:space="0" w:color="AAB8C4"/>
              <w:right w:val="nil"/>
            </w:tcBorders>
            <w:shd w:val="clear" w:color="auto" w:fill="auto"/>
            <w:hideMark/>
          </w:tcPr>
          <w:p w14:paraId="3DF23183" w14:textId="3B5A8E4D" w:rsidR="0090485B" w:rsidRPr="00E17B5B" w:rsidRDefault="00E10E1B" w:rsidP="008F07B7">
            <w:pPr>
              <w:jc w:val="right"/>
              <w:rPr>
                <w:rFonts w:ascii="Arial Narrow" w:hAnsi="Arial Narrow" w:cs="Arial"/>
              </w:rPr>
            </w:pPr>
            <w:r>
              <w:rPr>
                <w:rFonts w:ascii="Arial Narrow" w:hAnsi="Arial Narrow" w:cs="Arial"/>
              </w:rPr>
              <w:t>290</w:t>
            </w:r>
          </w:p>
        </w:tc>
        <w:tc>
          <w:tcPr>
            <w:tcW w:w="819" w:type="dxa"/>
            <w:tcBorders>
              <w:top w:val="nil"/>
              <w:left w:val="nil"/>
              <w:bottom w:val="single" w:sz="4" w:space="0" w:color="AAB8C4"/>
              <w:right w:val="nil"/>
            </w:tcBorders>
            <w:shd w:val="clear" w:color="auto" w:fill="auto"/>
            <w:hideMark/>
          </w:tcPr>
          <w:p w14:paraId="0F62462F" w14:textId="77777777" w:rsidR="0090485B" w:rsidRPr="00E17B5B" w:rsidRDefault="0090485B" w:rsidP="008F07B7">
            <w:pPr>
              <w:jc w:val="right"/>
              <w:rPr>
                <w:rFonts w:ascii="Arial Narrow" w:hAnsi="Arial Narrow" w:cs="Arial"/>
              </w:rPr>
            </w:pPr>
            <w:r w:rsidRPr="00E17B5B">
              <w:rPr>
                <w:rFonts w:ascii="Arial Narrow" w:hAnsi="Arial Narrow" w:cs="Arial"/>
              </w:rPr>
              <w:t>132</w:t>
            </w:r>
          </w:p>
        </w:tc>
        <w:tc>
          <w:tcPr>
            <w:tcW w:w="820" w:type="dxa"/>
            <w:tcBorders>
              <w:top w:val="nil"/>
              <w:left w:val="nil"/>
              <w:bottom w:val="single" w:sz="4" w:space="0" w:color="AAB8C4"/>
              <w:right w:val="nil"/>
            </w:tcBorders>
            <w:shd w:val="clear" w:color="auto" w:fill="auto"/>
            <w:hideMark/>
          </w:tcPr>
          <w:p w14:paraId="482B3983" w14:textId="77777777" w:rsidR="0090485B" w:rsidRPr="00E17B5B" w:rsidRDefault="0090485B" w:rsidP="008F07B7">
            <w:pPr>
              <w:jc w:val="right"/>
              <w:rPr>
                <w:rFonts w:ascii="Arial Narrow" w:hAnsi="Arial Narrow" w:cs="Arial"/>
              </w:rPr>
            </w:pPr>
            <w:r w:rsidRPr="00E17B5B">
              <w:rPr>
                <w:rFonts w:ascii="Arial Narrow" w:hAnsi="Arial Narrow" w:cs="Arial"/>
              </w:rPr>
              <w:t>53</w:t>
            </w:r>
          </w:p>
        </w:tc>
        <w:tc>
          <w:tcPr>
            <w:tcW w:w="851" w:type="dxa"/>
            <w:tcBorders>
              <w:top w:val="nil"/>
              <w:left w:val="nil"/>
              <w:bottom w:val="single" w:sz="4" w:space="0" w:color="AAB8C4"/>
              <w:right w:val="nil"/>
            </w:tcBorders>
            <w:shd w:val="clear" w:color="auto" w:fill="auto"/>
            <w:hideMark/>
          </w:tcPr>
          <w:p w14:paraId="3D4A3886" w14:textId="77777777" w:rsidR="0090485B" w:rsidRPr="00E17B5B" w:rsidRDefault="0090485B" w:rsidP="008F07B7">
            <w:pPr>
              <w:jc w:val="right"/>
              <w:rPr>
                <w:rFonts w:ascii="Arial Narrow" w:hAnsi="Arial Narrow" w:cs="Arial"/>
              </w:rPr>
            </w:pPr>
            <w:r w:rsidRPr="00E17B5B">
              <w:rPr>
                <w:rFonts w:ascii="Arial Narrow" w:hAnsi="Arial Narrow" w:cs="Arial"/>
              </w:rPr>
              <w:t>526</w:t>
            </w:r>
          </w:p>
        </w:tc>
      </w:tr>
      <w:tr w:rsidR="0090485B" w:rsidRPr="00E17B5B" w14:paraId="113B38E2" w14:textId="77777777" w:rsidTr="008F07B7">
        <w:trPr>
          <w:trHeight w:val="202"/>
          <w:jc w:val="center"/>
        </w:trPr>
        <w:tc>
          <w:tcPr>
            <w:tcW w:w="1208" w:type="dxa"/>
            <w:tcBorders>
              <w:top w:val="nil"/>
              <w:left w:val="nil"/>
              <w:bottom w:val="nil"/>
              <w:right w:val="nil"/>
            </w:tcBorders>
            <w:shd w:val="clear" w:color="auto" w:fill="auto"/>
            <w:hideMark/>
          </w:tcPr>
          <w:p w14:paraId="089C7570"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7551F3A5" w14:textId="77777777" w:rsidR="0090485B" w:rsidRPr="00E17B5B" w:rsidRDefault="0090485B" w:rsidP="008F07B7">
            <w:pPr>
              <w:jc w:val="left"/>
              <w:rPr>
                <w:rFonts w:ascii="Times New Roman" w:hAnsi="Times New Roman"/>
              </w:rPr>
            </w:pPr>
          </w:p>
        </w:tc>
        <w:tc>
          <w:tcPr>
            <w:tcW w:w="816" w:type="dxa"/>
            <w:tcBorders>
              <w:top w:val="nil"/>
              <w:left w:val="nil"/>
              <w:bottom w:val="nil"/>
              <w:right w:val="nil"/>
            </w:tcBorders>
            <w:shd w:val="clear" w:color="auto" w:fill="auto"/>
            <w:hideMark/>
          </w:tcPr>
          <w:p w14:paraId="63FCF65A"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hideMark/>
          </w:tcPr>
          <w:p w14:paraId="7A83CCCF"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hideMark/>
          </w:tcPr>
          <w:p w14:paraId="2D55138B"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hideMark/>
          </w:tcPr>
          <w:p w14:paraId="33DB762B"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hideMark/>
          </w:tcPr>
          <w:p w14:paraId="05510BB8" w14:textId="77777777" w:rsidR="0090485B" w:rsidRPr="00E17B5B" w:rsidRDefault="0090485B" w:rsidP="008F07B7">
            <w:pPr>
              <w:jc w:val="right"/>
              <w:rPr>
                <w:rFonts w:ascii="Times New Roman" w:hAnsi="Times New Roman"/>
              </w:rPr>
            </w:pPr>
          </w:p>
        </w:tc>
      </w:tr>
      <w:tr w:rsidR="0090485B" w:rsidRPr="00E17B5B" w14:paraId="339FAA4E" w14:textId="77777777" w:rsidTr="008F07B7">
        <w:trPr>
          <w:trHeight w:val="256"/>
          <w:jc w:val="center"/>
        </w:trPr>
        <w:tc>
          <w:tcPr>
            <w:tcW w:w="3828" w:type="dxa"/>
            <w:gridSpan w:val="2"/>
            <w:tcBorders>
              <w:top w:val="nil"/>
              <w:left w:val="nil"/>
              <w:bottom w:val="nil"/>
              <w:right w:val="nil"/>
            </w:tcBorders>
            <w:shd w:val="clear" w:color="auto" w:fill="auto"/>
            <w:vAlign w:val="center"/>
            <w:hideMark/>
          </w:tcPr>
          <w:p w14:paraId="280201EE" w14:textId="77777777" w:rsidR="0090485B" w:rsidRPr="00E17B5B" w:rsidRDefault="0090485B" w:rsidP="008F07B7">
            <w:pPr>
              <w:jc w:val="left"/>
              <w:rPr>
                <w:rFonts w:ascii="Arial Narrow" w:hAnsi="Arial Narrow" w:cs="Arial"/>
                <w:b/>
                <w:bCs/>
              </w:rPr>
            </w:pPr>
            <w:r w:rsidRPr="00E17B5B">
              <w:rPr>
                <w:rFonts w:ascii="Arial Narrow" w:hAnsi="Arial Narrow" w:cs="Arial"/>
                <w:b/>
                <w:bCs/>
              </w:rPr>
              <w:t>B.  Non-Personnel Resources</w:t>
            </w:r>
          </w:p>
        </w:tc>
        <w:tc>
          <w:tcPr>
            <w:tcW w:w="816" w:type="dxa"/>
            <w:tcBorders>
              <w:top w:val="nil"/>
              <w:left w:val="nil"/>
              <w:bottom w:val="nil"/>
              <w:right w:val="nil"/>
            </w:tcBorders>
            <w:shd w:val="clear" w:color="auto" w:fill="auto"/>
            <w:vAlign w:val="center"/>
            <w:hideMark/>
          </w:tcPr>
          <w:p w14:paraId="7010DA67" w14:textId="77777777" w:rsidR="0090485B" w:rsidRPr="00E17B5B" w:rsidRDefault="0090485B" w:rsidP="008F07B7">
            <w:pPr>
              <w:jc w:val="right"/>
              <w:rPr>
                <w:rFonts w:ascii="Arial Narrow" w:hAnsi="Arial Narrow" w:cs="Arial"/>
                <w:b/>
                <w:bCs/>
              </w:rPr>
            </w:pPr>
            <w:r w:rsidRPr="00E17B5B">
              <w:rPr>
                <w:rFonts w:ascii="Arial Narrow" w:hAnsi="Arial Narrow" w:cs="Arial"/>
                <w:b/>
                <w:bCs/>
              </w:rPr>
              <w:t>45</w:t>
            </w:r>
          </w:p>
        </w:tc>
        <w:tc>
          <w:tcPr>
            <w:tcW w:w="851" w:type="dxa"/>
            <w:tcBorders>
              <w:top w:val="nil"/>
              <w:left w:val="nil"/>
              <w:bottom w:val="nil"/>
              <w:right w:val="nil"/>
            </w:tcBorders>
            <w:shd w:val="clear" w:color="auto" w:fill="auto"/>
            <w:vAlign w:val="center"/>
            <w:hideMark/>
          </w:tcPr>
          <w:p w14:paraId="5197A48B" w14:textId="1C11E85B" w:rsidR="0090485B" w:rsidRPr="00E17B5B" w:rsidRDefault="0090485B" w:rsidP="00E10E1B">
            <w:pPr>
              <w:jc w:val="right"/>
              <w:rPr>
                <w:rFonts w:ascii="Arial Narrow" w:hAnsi="Arial Narrow" w:cs="Arial"/>
                <w:b/>
                <w:bCs/>
              </w:rPr>
            </w:pPr>
            <w:r w:rsidRPr="00E17B5B">
              <w:rPr>
                <w:rFonts w:ascii="Arial Narrow" w:hAnsi="Arial Narrow" w:cs="Arial"/>
                <w:b/>
                <w:bCs/>
              </w:rPr>
              <w:t>1,80</w:t>
            </w:r>
            <w:r w:rsidR="00E10E1B">
              <w:rPr>
                <w:rFonts w:ascii="Arial Narrow" w:hAnsi="Arial Narrow" w:cs="Arial"/>
                <w:b/>
                <w:bCs/>
              </w:rPr>
              <w:t>1</w:t>
            </w:r>
          </w:p>
        </w:tc>
        <w:tc>
          <w:tcPr>
            <w:tcW w:w="819" w:type="dxa"/>
            <w:tcBorders>
              <w:top w:val="nil"/>
              <w:left w:val="nil"/>
              <w:bottom w:val="nil"/>
              <w:right w:val="nil"/>
            </w:tcBorders>
            <w:shd w:val="clear" w:color="auto" w:fill="auto"/>
            <w:vAlign w:val="center"/>
            <w:hideMark/>
          </w:tcPr>
          <w:p w14:paraId="41903D8A" w14:textId="760BB05D" w:rsidR="0090485B" w:rsidRPr="00E17B5B" w:rsidRDefault="00E10E1B" w:rsidP="008F07B7">
            <w:pPr>
              <w:jc w:val="right"/>
              <w:rPr>
                <w:rFonts w:ascii="Arial Narrow" w:hAnsi="Arial Narrow" w:cs="Arial"/>
                <w:b/>
                <w:bCs/>
              </w:rPr>
            </w:pPr>
            <w:r>
              <w:rPr>
                <w:rFonts w:ascii="Arial Narrow" w:hAnsi="Arial Narrow" w:cs="Arial"/>
                <w:b/>
                <w:bCs/>
              </w:rPr>
              <w:t>343</w:t>
            </w:r>
          </w:p>
        </w:tc>
        <w:tc>
          <w:tcPr>
            <w:tcW w:w="820" w:type="dxa"/>
            <w:tcBorders>
              <w:top w:val="nil"/>
              <w:left w:val="nil"/>
              <w:bottom w:val="nil"/>
              <w:right w:val="nil"/>
            </w:tcBorders>
            <w:shd w:val="clear" w:color="auto" w:fill="auto"/>
            <w:vAlign w:val="center"/>
            <w:hideMark/>
          </w:tcPr>
          <w:p w14:paraId="5595B731" w14:textId="3979E0AA" w:rsidR="0090485B" w:rsidRPr="00E17B5B" w:rsidRDefault="00E10E1B" w:rsidP="008F07B7">
            <w:pPr>
              <w:jc w:val="right"/>
              <w:rPr>
                <w:rFonts w:ascii="Arial Narrow" w:hAnsi="Arial Narrow" w:cs="Arial"/>
                <w:b/>
                <w:bCs/>
              </w:rPr>
            </w:pPr>
            <w:r>
              <w:rPr>
                <w:rFonts w:ascii="Arial Narrow" w:hAnsi="Arial Narrow" w:cs="Arial"/>
                <w:b/>
                <w:bCs/>
              </w:rPr>
              <w:t>128</w:t>
            </w:r>
          </w:p>
        </w:tc>
        <w:tc>
          <w:tcPr>
            <w:tcW w:w="851" w:type="dxa"/>
            <w:tcBorders>
              <w:top w:val="nil"/>
              <w:left w:val="nil"/>
              <w:bottom w:val="nil"/>
              <w:right w:val="nil"/>
            </w:tcBorders>
            <w:shd w:val="clear" w:color="auto" w:fill="auto"/>
            <w:vAlign w:val="center"/>
            <w:hideMark/>
          </w:tcPr>
          <w:p w14:paraId="6BA1A764" w14:textId="13AC9D6C" w:rsidR="0090485B" w:rsidRPr="00E17B5B" w:rsidRDefault="00E10E1B" w:rsidP="008F07B7">
            <w:pPr>
              <w:jc w:val="right"/>
              <w:rPr>
                <w:rFonts w:ascii="Arial Narrow" w:hAnsi="Arial Narrow" w:cs="Arial"/>
                <w:b/>
                <w:bCs/>
              </w:rPr>
            </w:pPr>
            <w:r>
              <w:rPr>
                <w:rFonts w:ascii="Arial Narrow" w:hAnsi="Arial Narrow" w:cs="Arial"/>
                <w:b/>
                <w:bCs/>
              </w:rPr>
              <w:t>2,316</w:t>
            </w:r>
          </w:p>
        </w:tc>
      </w:tr>
      <w:tr w:rsidR="0090485B" w:rsidRPr="00E17B5B" w14:paraId="43725A04" w14:textId="77777777" w:rsidTr="008F07B7">
        <w:trPr>
          <w:trHeight w:val="303"/>
          <w:jc w:val="center"/>
        </w:trPr>
        <w:tc>
          <w:tcPr>
            <w:tcW w:w="3828" w:type="dxa"/>
            <w:gridSpan w:val="2"/>
            <w:tcBorders>
              <w:top w:val="nil"/>
              <w:left w:val="nil"/>
              <w:bottom w:val="nil"/>
              <w:right w:val="nil"/>
            </w:tcBorders>
            <w:shd w:val="clear" w:color="auto" w:fill="auto"/>
            <w:vAlign w:val="center"/>
            <w:hideMark/>
          </w:tcPr>
          <w:p w14:paraId="0F55394C"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Internships and Fellowships</w:t>
            </w:r>
          </w:p>
        </w:tc>
        <w:tc>
          <w:tcPr>
            <w:tcW w:w="816" w:type="dxa"/>
            <w:tcBorders>
              <w:top w:val="nil"/>
              <w:left w:val="nil"/>
              <w:bottom w:val="nil"/>
              <w:right w:val="nil"/>
            </w:tcBorders>
            <w:shd w:val="clear" w:color="auto" w:fill="auto"/>
            <w:hideMark/>
          </w:tcPr>
          <w:p w14:paraId="5383CC9C" w14:textId="77777777" w:rsidR="0090485B" w:rsidRPr="00E17B5B" w:rsidRDefault="0090485B" w:rsidP="008F07B7">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hideMark/>
          </w:tcPr>
          <w:p w14:paraId="024D58C3"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hideMark/>
          </w:tcPr>
          <w:p w14:paraId="6C52ED61"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hideMark/>
          </w:tcPr>
          <w:p w14:paraId="44699974"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hideMark/>
          </w:tcPr>
          <w:p w14:paraId="2230C13F" w14:textId="77777777" w:rsidR="0090485B" w:rsidRPr="00E17B5B" w:rsidRDefault="0090485B" w:rsidP="008F07B7">
            <w:pPr>
              <w:jc w:val="right"/>
              <w:rPr>
                <w:rFonts w:ascii="Times New Roman" w:hAnsi="Times New Roman"/>
              </w:rPr>
            </w:pPr>
          </w:p>
        </w:tc>
      </w:tr>
      <w:tr w:rsidR="0090485B" w:rsidRPr="00E17B5B" w14:paraId="126582C5" w14:textId="77777777" w:rsidTr="008F07B7">
        <w:trPr>
          <w:trHeight w:val="268"/>
          <w:jc w:val="center"/>
        </w:trPr>
        <w:tc>
          <w:tcPr>
            <w:tcW w:w="1208" w:type="dxa"/>
            <w:tcBorders>
              <w:top w:val="nil"/>
              <w:left w:val="nil"/>
              <w:bottom w:val="nil"/>
              <w:right w:val="nil"/>
            </w:tcBorders>
            <w:shd w:val="clear" w:color="auto" w:fill="auto"/>
            <w:hideMark/>
          </w:tcPr>
          <w:p w14:paraId="14F413E9" w14:textId="77777777" w:rsidR="0090485B" w:rsidRPr="00E17B5B" w:rsidRDefault="0090485B" w:rsidP="008F07B7">
            <w:pPr>
              <w:jc w:val="right"/>
              <w:rPr>
                <w:rFonts w:ascii="Times New Roman" w:hAnsi="Times New Roman"/>
              </w:rPr>
            </w:pPr>
          </w:p>
        </w:tc>
        <w:tc>
          <w:tcPr>
            <w:tcW w:w="2620" w:type="dxa"/>
            <w:tcBorders>
              <w:top w:val="nil"/>
              <w:left w:val="nil"/>
              <w:bottom w:val="nil"/>
              <w:right w:val="nil"/>
            </w:tcBorders>
            <w:shd w:val="clear" w:color="auto" w:fill="auto"/>
            <w:hideMark/>
          </w:tcPr>
          <w:p w14:paraId="72AC9DEB" w14:textId="77777777" w:rsidR="0090485B" w:rsidRPr="00E17B5B" w:rsidRDefault="0090485B" w:rsidP="008F07B7">
            <w:pPr>
              <w:jc w:val="left"/>
              <w:rPr>
                <w:rFonts w:ascii="Arial Narrow" w:hAnsi="Arial Narrow" w:cs="Arial"/>
                <w:i/>
                <w:iCs/>
              </w:rPr>
            </w:pPr>
            <w:r w:rsidRPr="00E17B5B">
              <w:rPr>
                <w:rFonts w:ascii="Arial Narrow" w:hAnsi="Arial Narrow" w:cs="Arial"/>
                <w:i/>
                <w:iCs/>
              </w:rPr>
              <w:t>Internships</w:t>
            </w:r>
          </w:p>
        </w:tc>
        <w:tc>
          <w:tcPr>
            <w:tcW w:w="816" w:type="dxa"/>
            <w:tcBorders>
              <w:top w:val="nil"/>
              <w:left w:val="nil"/>
              <w:bottom w:val="nil"/>
              <w:right w:val="nil"/>
            </w:tcBorders>
            <w:shd w:val="clear" w:color="auto" w:fill="auto"/>
            <w:hideMark/>
          </w:tcPr>
          <w:p w14:paraId="63333D20"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3FBCDF19"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c>
          <w:tcPr>
            <w:tcW w:w="819" w:type="dxa"/>
            <w:tcBorders>
              <w:top w:val="nil"/>
              <w:left w:val="nil"/>
              <w:bottom w:val="nil"/>
              <w:right w:val="nil"/>
            </w:tcBorders>
            <w:shd w:val="clear" w:color="auto" w:fill="auto"/>
            <w:hideMark/>
          </w:tcPr>
          <w:p w14:paraId="4BC7A031"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hideMark/>
          </w:tcPr>
          <w:p w14:paraId="44595709"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326CC8F1"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r>
      <w:tr w:rsidR="0090485B" w:rsidRPr="00E17B5B" w14:paraId="69957B8B" w14:textId="77777777" w:rsidTr="008F07B7">
        <w:trPr>
          <w:trHeight w:val="268"/>
          <w:jc w:val="center"/>
        </w:trPr>
        <w:tc>
          <w:tcPr>
            <w:tcW w:w="1208" w:type="dxa"/>
            <w:tcBorders>
              <w:top w:val="nil"/>
              <w:left w:val="nil"/>
              <w:bottom w:val="nil"/>
              <w:right w:val="nil"/>
            </w:tcBorders>
            <w:shd w:val="clear" w:color="auto" w:fill="auto"/>
            <w:hideMark/>
          </w:tcPr>
          <w:p w14:paraId="5B568267"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20D58429" w14:textId="77777777" w:rsidR="0090485B" w:rsidRPr="00E17B5B" w:rsidRDefault="0090485B" w:rsidP="008F07B7">
            <w:pPr>
              <w:jc w:val="left"/>
              <w:rPr>
                <w:rFonts w:ascii="Arial Narrow" w:hAnsi="Arial Narrow" w:cs="Arial"/>
                <w:i/>
                <w:iCs/>
              </w:rPr>
            </w:pPr>
            <w:r w:rsidRPr="00E17B5B">
              <w:rPr>
                <w:rFonts w:ascii="Arial Narrow" w:hAnsi="Arial Narrow" w:cs="Arial"/>
                <w:i/>
                <w:iCs/>
              </w:rPr>
              <w:t>Fellowships</w:t>
            </w:r>
          </w:p>
        </w:tc>
        <w:tc>
          <w:tcPr>
            <w:tcW w:w="816" w:type="dxa"/>
            <w:tcBorders>
              <w:top w:val="nil"/>
              <w:left w:val="nil"/>
              <w:bottom w:val="nil"/>
              <w:right w:val="nil"/>
            </w:tcBorders>
            <w:shd w:val="clear" w:color="auto" w:fill="auto"/>
            <w:hideMark/>
          </w:tcPr>
          <w:p w14:paraId="3A3BCB19"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22EB4C62" w14:textId="77777777" w:rsidR="0090485B" w:rsidRPr="00E17B5B" w:rsidRDefault="0090485B" w:rsidP="008F07B7">
            <w:pPr>
              <w:jc w:val="right"/>
              <w:rPr>
                <w:rFonts w:ascii="Arial Narrow" w:hAnsi="Arial Narrow" w:cs="Arial"/>
              </w:rPr>
            </w:pPr>
            <w:r w:rsidRPr="00E17B5B">
              <w:rPr>
                <w:rFonts w:ascii="Arial Narrow" w:hAnsi="Arial Narrow" w:cs="Arial"/>
              </w:rPr>
              <w:t>33</w:t>
            </w:r>
          </w:p>
        </w:tc>
        <w:tc>
          <w:tcPr>
            <w:tcW w:w="819" w:type="dxa"/>
            <w:tcBorders>
              <w:top w:val="nil"/>
              <w:left w:val="nil"/>
              <w:bottom w:val="nil"/>
              <w:right w:val="nil"/>
            </w:tcBorders>
            <w:shd w:val="clear" w:color="auto" w:fill="auto"/>
            <w:hideMark/>
          </w:tcPr>
          <w:p w14:paraId="37DE1E53" w14:textId="77777777" w:rsidR="0090485B" w:rsidRPr="00E17B5B" w:rsidRDefault="0090485B" w:rsidP="008F07B7">
            <w:pPr>
              <w:jc w:val="right"/>
              <w:rPr>
                <w:rFonts w:ascii="Arial Narrow" w:hAnsi="Arial Narrow" w:cs="Arial"/>
              </w:rPr>
            </w:pPr>
            <w:r w:rsidRPr="00E17B5B">
              <w:rPr>
                <w:rFonts w:ascii="Arial Narrow" w:hAnsi="Arial Narrow" w:cs="Arial"/>
              </w:rPr>
              <w:t>33</w:t>
            </w:r>
          </w:p>
        </w:tc>
        <w:tc>
          <w:tcPr>
            <w:tcW w:w="820" w:type="dxa"/>
            <w:tcBorders>
              <w:top w:val="nil"/>
              <w:left w:val="nil"/>
              <w:bottom w:val="nil"/>
              <w:right w:val="nil"/>
            </w:tcBorders>
            <w:shd w:val="clear" w:color="auto" w:fill="auto"/>
            <w:hideMark/>
          </w:tcPr>
          <w:p w14:paraId="5F3E1E02"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6D1213FB" w14:textId="77777777" w:rsidR="0090485B" w:rsidRPr="00E17B5B" w:rsidRDefault="0090485B" w:rsidP="008F07B7">
            <w:pPr>
              <w:jc w:val="right"/>
              <w:rPr>
                <w:rFonts w:ascii="Arial Narrow" w:hAnsi="Arial Narrow" w:cs="Arial"/>
              </w:rPr>
            </w:pPr>
            <w:r w:rsidRPr="00E17B5B">
              <w:rPr>
                <w:rFonts w:ascii="Arial Narrow" w:hAnsi="Arial Narrow" w:cs="Arial"/>
              </w:rPr>
              <w:t>65</w:t>
            </w:r>
          </w:p>
        </w:tc>
      </w:tr>
      <w:tr w:rsidR="0090485B" w:rsidRPr="00E17B5B" w14:paraId="18BBB1B4" w14:textId="77777777" w:rsidTr="008F07B7">
        <w:trPr>
          <w:trHeight w:val="268"/>
          <w:jc w:val="center"/>
        </w:trPr>
        <w:tc>
          <w:tcPr>
            <w:tcW w:w="3828" w:type="dxa"/>
            <w:gridSpan w:val="2"/>
            <w:tcBorders>
              <w:top w:val="nil"/>
              <w:left w:val="nil"/>
              <w:bottom w:val="nil"/>
              <w:right w:val="nil"/>
            </w:tcBorders>
            <w:shd w:val="clear" w:color="auto" w:fill="auto"/>
            <w:vAlign w:val="center"/>
            <w:hideMark/>
          </w:tcPr>
          <w:p w14:paraId="26B16AF9"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Travel, Training and Grants</w:t>
            </w:r>
          </w:p>
        </w:tc>
        <w:tc>
          <w:tcPr>
            <w:tcW w:w="816" w:type="dxa"/>
            <w:tcBorders>
              <w:top w:val="nil"/>
              <w:left w:val="nil"/>
              <w:bottom w:val="nil"/>
              <w:right w:val="nil"/>
            </w:tcBorders>
            <w:shd w:val="clear" w:color="auto" w:fill="auto"/>
            <w:vAlign w:val="center"/>
            <w:hideMark/>
          </w:tcPr>
          <w:p w14:paraId="7F61A660" w14:textId="77777777" w:rsidR="0090485B" w:rsidRPr="00E17B5B" w:rsidRDefault="0090485B" w:rsidP="008F07B7">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14:paraId="60389B7F"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vAlign w:val="center"/>
            <w:hideMark/>
          </w:tcPr>
          <w:p w14:paraId="76B24341"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vAlign w:val="center"/>
            <w:hideMark/>
          </w:tcPr>
          <w:p w14:paraId="2FCB18F0"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center"/>
            <w:hideMark/>
          </w:tcPr>
          <w:p w14:paraId="1D8880A3" w14:textId="77777777" w:rsidR="0090485B" w:rsidRPr="00E17B5B" w:rsidRDefault="0090485B" w:rsidP="008F07B7">
            <w:pPr>
              <w:jc w:val="right"/>
              <w:rPr>
                <w:rFonts w:ascii="Times New Roman" w:hAnsi="Times New Roman"/>
              </w:rPr>
            </w:pPr>
          </w:p>
        </w:tc>
      </w:tr>
      <w:tr w:rsidR="0090485B" w:rsidRPr="00E17B5B" w14:paraId="3288EFD9" w14:textId="77777777" w:rsidTr="008F07B7">
        <w:trPr>
          <w:trHeight w:val="268"/>
          <w:jc w:val="center"/>
        </w:trPr>
        <w:tc>
          <w:tcPr>
            <w:tcW w:w="1208" w:type="dxa"/>
            <w:tcBorders>
              <w:top w:val="nil"/>
              <w:left w:val="nil"/>
              <w:bottom w:val="nil"/>
              <w:right w:val="nil"/>
            </w:tcBorders>
            <w:shd w:val="clear" w:color="auto" w:fill="auto"/>
            <w:hideMark/>
          </w:tcPr>
          <w:p w14:paraId="739CFA9D" w14:textId="77777777" w:rsidR="0090485B" w:rsidRPr="00E17B5B" w:rsidRDefault="0090485B" w:rsidP="008F07B7">
            <w:pPr>
              <w:jc w:val="right"/>
              <w:rPr>
                <w:rFonts w:ascii="Times New Roman" w:hAnsi="Times New Roman"/>
              </w:rPr>
            </w:pPr>
          </w:p>
        </w:tc>
        <w:tc>
          <w:tcPr>
            <w:tcW w:w="2620" w:type="dxa"/>
            <w:tcBorders>
              <w:top w:val="nil"/>
              <w:left w:val="nil"/>
              <w:bottom w:val="nil"/>
              <w:right w:val="nil"/>
            </w:tcBorders>
            <w:shd w:val="clear" w:color="auto" w:fill="auto"/>
            <w:hideMark/>
          </w:tcPr>
          <w:p w14:paraId="68474A06" w14:textId="77777777" w:rsidR="0090485B" w:rsidRPr="00E17B5B" w:rsidRDefault="0090485B" w:rsidP="008F07B7">
            <w:pPr>
              <w:jc w:val="left"/>
              <w:rPr>
                <w:rFonts w:ascii="Arial Narrow" w:hAnsi="Arial Narrow" w:cs="Arial"/>
                <w:i/>
                <w:iCs/>
              </w:rPr>
            </w:pPr>
            <w:r w:rsidRPr="00E17B5B">
              <w:rPr>
                <w:rFonts w:ascii="Arial Narrow" w:hAnsi="Arial Narrow" w:cs="Arial"/>
                <w:i/>
                <w:iCs/>
              </w:rPr>
              <w:t>Staff</w:t>
            </w:r>
            <w:r>
              <w:rPr>
                <w:rFonts w:ascii="Arial Narrow" w:hAnsi="Arial Narrow" w:cs="Arial"/>
                <w:i/>
                <w:iCs/>
              </w:rPr>
              <w:t xml:space="preserve"> </w:t>
            </w:r>
            <w:r w:rsidRPr="00E17B5B">
              <w:rPr>
                <w:rFonts w:ascii="Arial Narrow" w:hAnsi="Arial Narrow" w:cs="Arial"/>
                <w:i/>
                <w:iCs/>
              </w:rPr>
              <w:t>Missions</w:t>
            </w:r>
          </w:p>
        </w:tc>
        <w:tc>
          <w:tcPr>
            <w:tcW w:w="816" w:type="dxa"/>
            <w:tcBorders>
              <w:top w:val="nil"/>
              <w:left w:val="nil"/>
              <w:bottom w:val="nil"/>
              <w:right w:val="nil"/>
            </w:tcBorders>
            <w:shd w:val="clear" w:color="auto" w:fill="auto"/>
            <w:hideMark/>
          </w:tcPr>
          <w:p w14:paraId="11EFC517"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3668AEF7" w14:textId="601FEC88" w:rsidR="0090485B" w:rsidRPr="00E17B5B" w:rsidRDefault="00E10E1B" w:rsidP="008F07B7">
            <w:pPr>
              <w:jc w:val="right"/>
              <w:rPr>
                <w:rFonts w:ascii="Arial Narrow" w:hAnsi="Arial Narrow" w:cs="Arial"/>
              </w:rPr>
            </w:pPr>
            <w:r>
              <w:rPr>
                <w:rFonts w:ascii="Arial Narrow" w:hAnsi="Arial Narrow" w:cs="Arial"/>
              </w:rPr>
              <w:t>70</w:t>
            </w:r>
          </w:p>
        </w:tc>
        <w:tc>
          <w:tcPr>
            <w:tcW w:w="819" w:type="dxa"/>
            <w:tcBorders>
              <w:top w:val="nil"/>
              <w:left w:val="nil"/>
              <w:bottom w:val="nil"/>
              <w:right w:val="nil"/>
            </w:tcBorders>
            <w:shd w:val="clear" w:color="auto" w:fill="auto"/>
            <w:hideMark/>
          </w:tcPr>
          <w:p w14:paraId="690D08A1" w14:textId="43C2155E" w:rsidR="0090485B" w:rsidRPr="00E17B5B" w:rsidRDefault="0090485B" w:rsidP="00E10E1B">
            <w:pPr>
              <w:jc w:val="right"/>
              <w:rPr>
                <w:rFonts w:ascii="Arial Narrow" w:hAnsi="Arial Narrow" w:cs="Arial"/>
              </w:rPr>
            </w:pPr>
            <w:r w:rsidRPr="00E17B5B">
              <w:rPr>
                <w:rFonts w:ascii="Arial Narrow" w:hAnsi="Arial Narrow" w:cs="Arial"/>
              </w:rPr>
              <w:t>19</w:t>
            </w:r>
            <w:r w:rsidR="00E10E1B">
              <w:rPr>
                <w:rFonts w:ascii="Arial Narrow" w:hAnsi="Arial Narrow" w:cs="Arial"/>
              </w:rPr>
              <w:t>2</w:t>
            </w:r>
          </w:p>
        </w:tc>
        <w:tc>
          <w:tcPr>
            <w:tcW w:w="820" w:type="dxa"/>
            <w:tcBorders>
              <w:top w:val="nil"/>
              <w:left w:val="nil"/>
              <w:bottom w:val="nil"/>
              <w:right w:val="nil"/>
            </w:tcBorders>
            <w:shd w:val="clear" w:color="auto" w:fill="auto"/>
            <w:hideMark/>
          </w:tcPr>
          <w:p w14:paraId="3410EC98" w14:textId="07BA8993" w:rsidR="0090485B" w:rsidRPr="00E17B5B" w:rsidRDefault="00E10E1B" w:rsidP="008F07B7">
            <w:pPr>
              <w:jc w:val="right"/>
              <w:rPr>
                <w:rFonts w:ascii="Arial Narrow" w:hAnsi="Arial Narrow" w:cs="Arial"/>
              </w:rPr>
            </w:pPr>
            <w:r>
              <w:rPr>
                <w:rFonts w:ascii="Arial Narrow" w:hAnsi="Arial Narrow" w:cs="Arial"/>
              </w:rPr>
              <w:t>87</w:t>
            </w:r>
          </w:p>
        </w:tc>
        <w:tc>
          <w:tcPr>
            <w:tcW w:w="851" w:type="dxa"/>
            <w:tcBorders>
              <w:top w:val="nil"/>
              <w:left w:val="nil"/>
              <w:bottom w:val="nil"/>
              <w:right w:val="nil"/>
            </w:tcBorders>
            <w:shd w:val="clear" w:color="auto" w:fill="auto"/>
            <w:hideMark/>
          </w:tcPr>
          <w:p w14:paraId="08515079" w14:textId="1A3C7863" w:rsidR="0090485B" w:rsidRPr="00E17B5B" w:rsidRDefault="0090485B" w:rsidP="00E10E1B">
            <w:pPr>
              <w:jc w:val="right"/>
              <w:rPr>
                <w:rFonts w:ascii="Arial Narrow" w:hAnsi="Arial Narrow" w:cs="Arial"/>
              </w:rPr>
            </w:pPr>
            <w:r w:rsidRPr="00E17B5B">
              <w:rPr>
                <w:rFonts w:ascii="Arial Narrow" w:hAnsi="Arial Narrow" w:cs="Arial"/>
              </w:rPr>
              <w:t>3</w:t>
            </w:r>
            <w:r w:rsidR="00E10E1B">
              <w:rPr>
                <w:rFonts w:ascii="Arial Narrow" w:hAnsi="Arial Narrow" w:cs="Arial"/>
              </w:rPr>
              <w:t>49</w:t>
            </w:r>
          </w:p>
        </w:tc>
      </w:tr>
      <w:tr w:rsidR="0090485B" w:rsidRPr="00E17B5B" w14:paraId="26C07D22" w14:textId="77777777" w:rsidTr="008F07B7">
        <w:trPr>
          <w:trHeight w:val="268"/>
          <w:jc w:val="center"/>
        </w:trPr>
        <w:tc>
          <w:tcPr>
            <w:tcW w:w="1208" w:type="dxa"/>
            <w:tcBorders>
              <w:top w:val="nil"/>
              <w:left w:val="nil"/>
              <w:bottom w:val="nil"/>
              <w:right w:val="nil"/>
            </w:tcBorders>
            <w:shd w:val="clear" w:color="auto" w:fill="auto"/>
            <w:hideMark/>
          </w:tcPr>
          <w:p w14:paraId="4A663305"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4DC022D4" w14:textId="77777777" w:rsidR="0090485B" w:rsidRPr="00E17B5B" w:rsidRDefault="0090485B" w:rsidP="008F07B7">
            <w:pPr>
              <w:jc w:val="left"/>
              <w:rPr>
                <w:rFonts w:ascii="Arial Narrow" w:hAnsi="Arial Narrow" w:cs="Arial"/>
                <w:i/>
                <w:iCs/>
              </w:rPr>
            </w:pPr>
            <w:r w:rsidRPr="00E17B5B">
              <w:rPr>
                <w:rFonts w:ascii="Arial Narrow" w:hAnsi="Arial Narrow" w:cs="Arial"/>
                <w:i/>
                <w:iCs/>
              </w:rPr>
              <w:t>Third</w:t>
            </w:r>
            <w:r>
              <w:rPr>
                <w:rFonts w:ascii="Arial Narrow" w:hAnsi="Arial Narrow" w:cs="Arial"/>
                <w:i/>
                <w:iCs/>
              </w:rPr>
              <w:t xml:space="preserve"> </w:t>
            </w:r>
            <w:r w:rsidRPr="00E17B5B">
              <w:rPr>
                <w:rFonts w:ascii="Arial Narrow" w:hAnsi="Arial Narrow" w:cs="Arial"/>
                <w:i/>
                <w:iCs/>
              </w:rPr>
              <w:t>Party</w:t>
            </w:r>
            <w:r>
              <w:rPr>
                <w:rFonts w:ascii="Arial Narrow" w:hAnsi="Arial Narrow" w:cs="Arial"/>
                <w:i/>
                <w:iCs/>
              </w:rPr>
              <w:t xml:space="preserve"> </w:t>
            </w:r>
            <w:r w:rsidRPr="00E17B5B">
              <w:rPr>
                <w:rFonts w:ascii="Arial Narrow" w:hAnsi="Arial Narrow" w:cs="Arial"/>
                <w:i/>
                <w:iCs/>
              </w:rPr>
              <w:t>Travel</w:t>
            </w:r>
          </w:p>
        </w:tc>
        <w:tc>
          <w:tcPr>
            <w:tcW w:w="816" w:type="dxa"/>
            <w:tcBorders>
              <w:top w:val="nil"/>
              <w:left w:val="nil"/>
              <w:bottom w:val="nil"/>
              <w:right w:val="nil"/>
            </w:tcBorders>
            <w:shd w:val="clear" w:color="auto" w:fill="auto"/>
            <w:hideMark/>
          </w:tcPr>
          <w:p w14:paraId="5F04FAF3"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5D1C379C"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19" w:type="dxa"/>
            <w:tcBorders>
              <w:top w:val="nil"/>
              <w:left w:val="nil"/>
              <w:bottom w:val="nil"/>
              <w:right w:val="nil"/>
            </w:tcBorders>
            <w:shd w:val="clear" w:color="auto" w:fill="auto"/>
            <w:hideMark/>
          </w:tcPr>
          <w:p w14:paraId="1E8E34C4" w14:textId="77777777" w:rsidR="0090485B" w:rsidRPr="00E17B5B" w:rsidRDefault="0090485B" w:rsidP="008F07B7">
            <w:pPr>
              <w:jc w:val="right"/>
              <w:rPr>
                <w:rFonts w:ascii="Arial Narrow" w:hAnsi="Arial Narrow" w:cs="Arial"/>
              </w:rPr>
            </w:pPr>
            <w:r w:rsidRPr="00E17B5B">
              <w:rPr>
                <w:rFonts w:ascii="Arial Narrow" w:hAnsi="Arial Narrow" w:cs="Arial"/>
              </w:rPr>
              <w:t>12</w:t>
            </w:r>
          </w:p>
        </w:tc>
        <w:tc>
          <w:tcPr>
            <w:tcW w:w="820" w:type="dxa"/>
            <w:tcBorders>
              <w:top w:val="nil"/>
              <w:left w:val="nil"/>
              <w:bottom w:val="nil"/>
              <w:right w:val="nil"/>
            </w:tcBorders>
            <w:shd w:val="clear" w:color="auto" w:fill="auto"/>
            <w:hideMark/>
          </w:tcPr>
          <w:p w14:paraId="508AF58E"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7DFB24D2" w14:textId="77777777" w:rsidR="0090485B" w:rsidRPr="00E17B5B" w:rsidRDefault="0090485B" w:rsidP="008F07B7">
            <w:pPr>
              <w:jc w:val="right"/>
              <w:rPr>
                <w:rFonts w:ascii="Arial Narrow" w:hAnsi="Arial Narrow" w:cs="Arial"/>
              </w:rPr>
            </w:pPr>
            <w:r w:rsidRPr="00E17B5B">
              <w:rPr>
                <w:rFonts w:ascii="Arial Narrow" w:hAnsi="Arial Narrow" w:cs="Arial"/>
              </w:rPr>
              <w:t>12</w:t>
            </w:r>
          </w:p>
        </w:tc>
      </w:tr>
      <w:tr w:rsidR="0090485B" w:rsidRPr="00E17B5B" w14:paraId="3AB29CD1" w14:textId="77777777" w:rsidTr="008F07B7">
        <w:trPr>
          <w:trHeight w:val="268"/>
          <w:jc w:val="center"/>
        </w:trPr>
        <w:tc>
          <w:tcPr>
            <w:tcW w:w="3828" w:type="dxa"/>
            <w:gridSpan w:val="2"/>
            <w:tcBorders>
              <w:top w:val="nil"/>
              <w:left w:val="nil"/>
              <w:bottom w:val="nil"/>
              <w:right w:val="nil"/>
            </w:tcBorders>
            <w:shd w:val="clear" w:color="auto" w:fill="auto"/>
            <w:vAlign w:val="center"/>
            <w:hideMark/>
          </w:tcPr>
          <w:p w14:paraId="418D4A1B"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Contractual Services</w:t>
            </w:r>
          </w:p>
        </w:tc>
        <w:tc>
          <w:tcPr>
            <w:tcW w:w="816" w:type="dxa"/>
            <w:tcBorders>
              <w:top w:val="nil"/>
              <w:left w:val="nil"/>
              <w:bottom w:val="nil"/>
              <w:right w:val="nil"/>
            </w:tcBorders>
            <w:shd w:val="clear" w:color="auto" w:fill="auto"/>
            <w:vAlign w:val="center"/>
            <w:hideMark/>
          </w:tcPr>
          <w:p w14:paraId="6460D5F5" w14:textId="77777777" w:rsidR="0090485B" w:rsidRPr="00E17B5B" w:rsidRDefault="0090485B" w:rsidP="008F07B7">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14:paraId="71FD0446"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vAlign w:val="center"/>
            <w:hideMark/>
          </w:tcPr>
          <w:p w14:paraId="1299DD54"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vAlign w:val="center"/>
            <w:hideMark/>
          </w:tcPr>
          <w:p w14:paraId="33CCA892"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center"/>
            <w:hideMark/>
          </w:tcPr>
          <w:p w14:paraId="4D6BC6B3" w14:textId="77777777" w:rsidR="0090485B" w:rsidRPr="00E17B5B" w:rsidRDefault="0090485B" w:rsidP="008F07B7">
            <w:pPr>
              <w:jc w:val="right"/>
              <w:rPr>
                <w:rFonts w:ascii="Times New Roman" w:hAnsi="Times New Roman"/>
              </w:rPr>
            </w:pPr>
          </w:p>
        </w:tc>
      </w:tr>
      <w:tr w:rsidR="0090485B" w:rsidRPr="00E17B5B" w14:paraId="060D13B2" w14:textId="77777777" w:rsidTr="008F07B7">
        <w:trPr>
          <w:trHeight w:val="268"/>
          <w:jc w:val="center"/>
        </w:trPr>
        <w:tc>
          <w:tcPr>
            <w:tcW w:w="1208" w:type="dxa"/>
            <w:tcBorders>
              <w:top w:val="nil"/>
              <w:left w:val="nil"/>
              <w:bottom w:val="nil"/>
              <w:right w:val="nil"/>
            </w:tcBorders>
            <w:shd w:val="clear" w:color="auto" w:fill="auto"/>
            <w:hideMark/>
          </w:tcPr>
          <w:p w14:paraId="7136C4F5" w14:textId="77777777" w:rsidR="0090485B" w:rsidRPr="00E17B5B" w:rsidRDefault="0090485B" w:rsidP="008F07B7">
            <w:pPr>
              <w:jc w:val="right"/>
              <w:rPr>
                <w:rFonts w:ascii="Times New Roman" w:hAnsi="Times New Roman"/>
              </w:rPr>
            </w:pPr>
          </w:p>
        </w:tc>
        <w:tc>
          <w:tcPr>
            <w:tcW w:w="2620" w:type="dxa"/>
            <w:tcBorders>
              <w:top w:val="nil"/>
              <w:left w:val="nil"/>
              <w:bottom w:val="nil"/>
              <w:right w:val="nil"/>
            </w:tcBorders>
            <w:shd w:val="clear" w:color="auto" w:fill="auto"/>
            <w:hideMark/>
          </w:tcPr>
          <w:p w14:paraId="5D2ECC56" w14:textId="77777777" w:rsidR="0090485B" w:rsidRPr="00E17B5B" w:rsidRDefault="0090485B" w:rsidP="008F07B7">
            <w:pPr>
              <w:jc w:val="left"/>
              <w:rPr>
                <w:rFonts w:ascii="Arial Narrow" w:hAnsi="Arial Narrow" w:cs="Arial"/>
                <w:i/>
                <w:iCs/>
              </w:rPr>
            </w:pPr>
            <w:r w:rsidRPr="00E17B5B">
              <w:rPr>
                <w:rFonts w:ascii="Arial Narrow" w:hAnsi="Arial Narrow" w:cs="Arial"/>
                <w:i/>
                <w:iCs/>
              </w:rPr>
              <w:t>Conferences</w:t>
            </w:r>
          </w:p>
        </w:tc>
        <w:tc>
          <w:tcPr>
            <w:tcW w:w="816" w:type="dxa"/>
            <w:tcBorders>
              <w:top w:val="nil"/>
              <w:left w:val="nil"/>
              <w:bottom w:val="nil"/>
              <w:right w:val="nil"/>
            </w:tcBorders>
            <w:shd w:val="clear" w:color="auto" w:fill="auto"/>
            <w:hideMark/>
          </w:tcPr>
          <w:p w14:paraId="6761D748" w14:textId="77777777" w:rsidR="0090485B" w:rsidRPr="00E17B5B" w:rsidRDefault="0090485B" w:rsidP="008F07B7">
            <w:pPr>
              <w:jc w:val="right"/>
              <w:rPr>
                <w:rFonts w:ascii="Arial Narrow" w:hAnsi="Arial Narrow" w:cs="Arial"/>
              </w:rPr>
            </w:pPr>
            <w:r w:rsidRPr="00E17B5B">
              <w:rPr>
                <w:rFonts w:ascii="Arial Narrow" w:hAnsi="Arial Narrow" w:cs="Arial"/>
              </w:rPr>
              <w:t>45</w:t>
            </w:r>
          </w:p>
        </w:tc>
        <w:tc>
          <w:tcPr>
            <w:tcW w:w="851" w:type="dxa"/>
            <w:tcBorders>
              <w:top w:val="nil"/>
              <w:left w:val="nil"/>
              <w:bottom w:val="nil"/>
              <w:right w:val="nil"/>
            </w:tcBorders>
            <w:shd w:val="clear" w:color="auto" w:fill="auto"/>
            <w:hideMark/>
          </w:tcPr>
          <w:p w14:paraId="2F8CCF68" w14:textId="77777777" w:rsidR="0090485B" w:rsidRPr="00E17B5B" w:rsidRDefault="0090485B" w:rsidP="008F07B7">
            <w:pPr>
              <w:jc w:val="right"/>
              <w:rPr>
                <w:rFonts w:ascii="Arial Narrow" w:hAnsi="Arial Narrow" w:cs="Arial"/>
              </w:rPr>
            </w:pPr>
            <w:r w:rsidRPr="00E17B5B">
              <w:rPr>
                <w:rFonts w:ascii="Arial Narrow" w:hAnsi="Arial Narrow" w:cs="Arial"/>
              </w:rPr>
              <w:t>135</w:t>
            </w:r>
          </w:p>
        </w:tc>
        <w:tc>
          <w:tcPr>
            <w:tcW w:w="819" w:type="dxa"/>
            <w:tcBorders>
              <w:top w:val="nil"/>
              <w:left w:val="nil"/>
              <w:bottom w:val="nil"/>
              <w:right w:val="nil"/>
            </w:tcBorders>
            <w:shd w:val="clear" w:color="auto" w:fill="auto"/>
            <w:hideMark/>
          </w:tcPr>
          <w:p w14:paraId="47FD91FC"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hideMark/>
          </w:tcPr>
          <w:p w14:paraId="65D65C24"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6B99CAFC" w14:textId="77777777" w:rsidR="0090485B" w:rsidRPr="00E17B5B" w:rsidRDefault="0090485B" w:rsidP="008F07B7">
            <w:pPr>
              <w:jc w:val="right"/>
              <w:rPr>
                <w:rFonts w:ascii="Arial Narrow" w:hAnsi="Arial Narrow" w:cs="Arial"/>
              </w:rPr>
            </w:pPr>
            <w:r w:rsidRPr="00E17B5B">
              <w:rPr>
                <w:rFonts w:ascii="Arial Narrow" w:hAnsi="Arial Narrow" w:cs="Arial"/>
              </w:rPr>
              <w:t>180</w:t>
            </w:r>
          </w:p>
        </w:tc>
      </w:tr>
      <w:tr w:rsidR="0090485B" w:rsidRPr="00E17B5B" w14:paraId="5A9A467C" w14:textId="77777777" w:rsidTr="008F07B7">
        <w:trPr>
          <w:trHeight w:val="268"/>
          <w:jc w:val="center"/>
        </w:trPr>
        <w:tc>
          <w:tcPr>
            <w:tcW w:w="1208" w:type="dxa"/>
            <w:tcBorders>
              <w:top w:val="nil"/>
              <w:left w:val="nil"/>
              <w:bottom w:val="nil"/>
              <w:right w:val="nil"/>
            </w:tcBorders>
            <w:shd w:val="clear" w:color="auto" w:fill="auto"/>
            <w:hideMark/>
          </w:tcPr>
          <w:p w14:paraId="3EB947BD"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650200B7" w14:textId="77777777" w:rsidR="0090485B" w:rsidRPr="00E17B5B" w:rsidRDefault="0090485B" w:rsidP="008F07B7">
            <w:pPr>
              <w:jc w:val="left"/>
              <w:rPr>
                <w:rFonts w:ascii="Arial Narrow" w:hAnsi="Arial Narrow" w:cs="Arial"/>
                <w:i/>
                <w:iCs/>
              </w:rPr>
            </w:pPr>
            <w:r w:rsidRPr="00E17B5B">
              <w:rPr>
                <w:rFonts w:ascii="Arial Narrow" w:hAnsi="Arial Narrow" w:cs="Arial"/>
                <w:i/>
                <w:iCs/>
              </w:rPr>
              <w:t>Publishing</w:t>
            </w:r>
          </w:p>
        </w:tc>
        <w:tc>
          <w:tcPr>
            <w:tcW w:w="816" w:type="dxa"/>
            <w:tcBorders>
              <w:top w:val="nil"/>
              <w:left w:val="nil"/>
              <w:bottom w:val="nil"/>
              <w:right w:val="nil"/>
            </w:tcBorders>
            <w:shd w:val="clear" w:color="auto" w:fill="auto"/>
            <w:hideMark/>
          </w:tcPr>
          <w:p w14:paraId="18E24B44"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3C6E40ED"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19" w:type="dxa"/>
            <w:tcBorders>
              <w:top w:val="nil"/>
              <w:left w:val="nil"/>
              <w:bottom w:val="nil"/>
              <w:right w:val="nil"/>
            </w:tcBorders>
            <w:shd w:val="clear" w:color="auto" w:fill="auto"/>
            <w:hideMark/>
          </w:tcPr>
          <w:p w14:paraId="6CBD9A0A"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hideMark/>
          </w:tcPr>
          <w:p w14:paraId="40CB5896"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54123C25" w14:textId="77777777" w:rsidR="0090485B" w:rsidRPr="00E17B5B" w:rsidRDefault="0090485B" w:rsidP="008F07B7">
            <w:pPr>
              <w:jc w:val="right"/>
              <w:rPr>
                <w:rFonts w:ascii="Arial Narrow" w:hAnsi="Arial Narrow" w:cs="Arial"/>
              </w:rPr>
            </w:pPr>
            <w:r w:rsidRPr="00E17B5B">
              <w:rPr>
                <w:rFonts w:ascii="Arial Narrow" w:hAnsi="Arial Narrow" w:cs="Arial"/>
              </w:rPr>
              <w:t>-</w:t>
            </w:r>
          </w:p>
        </w:tc>
      </w:tr>
      <w:tr w:rsidR="0090485B" w:rsidRPr="00E17B5B" w14:paraId="4EC503CA" w14:textId="77777777" w:rsidTr="008F07B7">
        <w:trPr>
          <w:trHeight w:val="268"/>
          <w:jc w:val="center"/>
        </w:trPr>
        <w:tc>
          <w:tcPr>
            <w:tcW w:w="1208" w:type="dxa"/>
            <w:tcBorders>
              <w:top w:val="nil"/>
              <w:left w:val="nil"/>
              <w:bottom w:val="nil"/>
              <w:right w:val="nil"/>
            </w:tcBorders>
            <w:shd w:val="clear" w:color="auto" w:fill="auto"/>
            <w:hideMark/>
          </w:tcPr>
          <w:p w14:paraId="6B8EE43A"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63D67576" w14:textId="77777777" w:rsidR="0090485B" w:rsidRPr="00E17B5B" w:rsidRDefault="0090485B" w:rsidP="008F07B7">
            <w:pPr>
              <w:jc w:val="left"/>
              <w:rPr>
                <w:rFonts w:ascii="Arial Narrow" w:hAnsi="Arial Narrow" w:cs="Arial"/>
                <w:i/>
                <w:iCs/>
              </w:rPr>
            </w:pPr>
            <w:r w:rsidRPr="00E17B5B">
              <w:rPr>
                <w:rFonts w:ascii="Arial Narrow" w:hAnsi="Arial Narrow" w:cs="Arial"/>
                <w:i/>
                <w:iCs/>
              </w:rPr>
              <w:t>Individual</w:t>
            </w:r>
            <w:r>
              <w:rPr>
                <w:rFonts w:ascii="Arial Narrow" w:hAnsi="Arial Narrow" w:cs="Arial"/>
                <w:i/>
                <w:iCs/>
              </w:rPr>
              <w:t xml:space="preserve"> </w:t>
            </w:r>
            <w:r w:rsidRPr="00E17B5B">
              <w:rPr>
                <w:rFonts w:ascii="Arial Narrow" w:hAnsi="Arial Narrow" w:cs="Arial"/>
                <w:i/>
                <w:iCs/>
              </w:rPr>
              <w:t>Contractual</w:t>
            </w:r>
            <w:r>
              <w:rPr>
                <w:rFonts w:ascii="Arial Narrow" w:hAnsi="Arial Narrow" w:cs="Arial"/>
                <w:i/>
                <w:iCs/>
              </w:rPr>
              <w:t xml:space="preserve"> </w:t>
            </w:r>
            <w:r w:rsidRPr="00E17B5B">
              <w:rPr>
                <w:rFonts w:ascii="Arial Narrow" w:hAnsi="Arial Narrow" w:cs="Arial"/>
                <w:i/>
                <w:iCs/>
              </w:rPr>
              <w:t>Services</w:t>
            </w:r>
          </w:p>
        </w:tc>
        <w:tc>
          <w:tcPr>
            <w:tcW w:w="816" w:type="dxa"/>
            <w:tcBorders>
              <w:top w:val="nil"/>
              <w:left w:val="nil"/>
              <w:bottom w:val="nil"/>
              <w:right w:val="nil"/>
            </w:tcBorders>
            <w:shd w:val="clear" w:color="auto" w:fill="auto"/>
            <w:hideMark/>
          </w:tcPr>
          <w:p w14:paraId="35651B64"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02D897E9"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19" w:type="dxa"/>
            <w:tcBorders>
              <w:top w:val="nil"/>
              <w:left w:val="nil"/>
              <w:bottom w:val="nil"/>
              <w:right w:val="nil"/>
            </w:tcBorders>
            <w:shd w:val="clear" w:color="auto" w:fill="auto"/>
            <w:hideMark/>
          </w:tcPr>
          <w:p w14:paraId="4A486B2F"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c>
          <w:tcPr>
            <w:tcW w:w="820" w:type="dxa"/>
            <w:tcBorders>
              <w:top w:val="nil"/>
              <w:left w:val="nil"/>
              <w:bottom w:val="nil"/>
              <w:right w:val="nil"/>
            </w:tcBorders>
            <w:shd w:val="clear" w:color="auto" w:fill="auto"/>
            <w:hideMark/>
          </w:tcPr>
          <w:p w14:paraId="5744C3FD"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041FB08F"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r>
      <w:tr w:rsidR="0090485B" w:rsidRPr="00E17B5B" w14:paraId="7D8CF5D2" w14:textId="77777777" w:rsidTr="008F07B7">
        <w:trPr>
          <w:trHeight w:val="268"/>
          <w:jc w:val="center"/>
        </w:trPr>
        <w:tc>
          <w:tcPr>
            <w:tcW w:w="1208" w:type="dxa"/>
            <w:tcBorders>
              <w:top w:val="nil"/>
              <w:left w:val="nil"/>
              <w:bottom w:val="nil"/>
              <w:right w:val="nil"/>
            </w:tcBorders>
            <w:shd w:val="clear" w:color="auto" w:fill="auto"/>
            <w:hideMark/>
          </w:tcPr>
          <w:p w14:paraId="772F2BCE"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67B06C5A" w14:textId="77777777" w:rsidR="0090485B" w:rsidRPr="00E17B5B" w:rsidRDefault="0090485B" w:rsidP="008F07B7">
            <w:pPr>
              <w:jc w:val="left"/>
              <w:rPr>
                <w:rFonts w:ascii="Arial Narrow" w:hAnsi="Arial Narrow" w:cs="Arial"/>
                <w:i/>
                <w:iCs/>
              </w:rPr>
            </w:pPr>
            <w:r w:rsidRPr="00E17B5B">
              <w:rPr>
                <w:rFonts w:ascii="Arial Narrow" w:hAnsi="Arial Narrow" w:cs="Arial"/>
                <w:i/>
                <w:iCs/>
              </w:rPr>
              <w:t>Other</w:t>
            </w:r>
            <w:r>
              <w:rPr>
                <w:rFonts w:ascii="Arial Narrow" w:hAnsi="Arial Narrow" w:cs="Arial"/>
                <w:i/>
                <w:iCs/>
              </w:rPr>
              <w:t xml:space="preserve"> </w:t>
            </w:r>
            <w:r w:rsidRPr="00E17B5B">
              <w:rPr>
                <w:rFonts w:ascii="Arial Narrow" w:hAnsi="Arial Narrow" w:cs="Arial"/>
                <w:i/>
                <w:iCs/>
              </w:rPr>
              <w:t>Contractual</w:t>
            </w:r>
            <w:r>
              <w:rPr>
                <w:rFonts w:ascii="Arial Narrow" w:hAnsi="Arial Narrow" w:cs="Arial"/>
                <w:i/>
                <w:iCs/>
              </w:rPr>
              <w:t xml:space="preserve"> </w:t>
            </w:r>
            <w:r w:rsidRPr="00E17B5B">
              <w:rPr>
                <w:rFonts w:ascii="Arial Narrow" w:hAnsi="Arial Narrow" w:cs="Arial"/>
                <w:i/>
                <w:iCs/>
              </w:rPr>
              <w:t>Services</w:t>
            </w:r>
          </w:p>
        </w:tc>
        <w:tc>
          <w:tcPr>
            <w:tcW w:w="816" w:type="dxa"/>
            <w:tcBorders>
              <w:top w:val="nil"/>
              <w:left w:val="nil"/>
              <w:bottom w:val="nil"/>
              <w:right w:val="nil"/>
            </w:tcBorders>
            <w:shd w:val="clear" w:color="auto" w:fill="auto"/>
            <w:hideMark/>
          </w:tcPr>
          <w:p w14:paraId="7639B5E6"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1F042667" w14:textId="77777777" w:rsidR="0090485B" w:rsidRPr="00E17B5B" w:rsidRDefault="0090485B" w:rsidP="008F07B7">
            <w:pPr>
              <w:jc w:val="right"/>
              <w:rPr>
                <w:rFonts w:ascii="Arial Narrow" w:hAnsi="Arial Narrow" w:cs="Arial"/>
              </w:rPr>
            </w:pPr>
            <w:r w:rsidRPr="00E17B5B">
              <w:rPr>
                <w:rFonts w:ascii="Arial Narrow" w:hAnsi="Arial Narrow" w:cs="Arial"/>
              </w:rPr>
              <w:t>263</w:t>
            </w:r>
          </w:p>
        </w:tc>
        <w:tc>
          <w:tcPr>
            <w:tcW w:w="819" w:type="dxa"/>
            <w:tcBorders>
              <w:top w:val="nil"/>
              <w:left w:val="nil"/>
              <w:bottom w:val="nil"/>
              <w:right w:val="nil"/>
            </w:tcBorders>
            <w:shd w:val="clear" w:color="auto" w:fill="auto"/>
            <w:hideMark/>
          </w:tcPr>
          <w:p w14:paraId="7D41FBFB" w14:textId="77777777" w:rsidR="0090485B" w:rsidRPr="00E17B5B" w:rsidRDefault="0090485B" w:rsidP="008F07B7">
            <w:pPr>
              <w:jc w:val="right"/>
              <w:rPr>
                <w:rFonts w:ascii="Arial Narrow" w:hAnsi="Arial Narrow" w:cs="Arial"/>
              </w:rPr>
            </w:pPr>
            <w:r w:rsidRPr="00E17B5B">
              <w:rPr>
                <w:rFonts w:ascii="Arial Narrow" w:hAnsi="Arial Narrow" w:cs="Arial"/>
              </w:rPr>
              <w:t>101</w:t>
            </w:r>
          </w:p>
        </w:tc>
        <w:tc>
          <w:tcPr>
            <w:tcW w:w="820" w:type="dxa"/>
            <w:tcBorders>
              <w:top w:val="nil"/>
              <w:left w:val="nil"/>
              <w:bottom w:val="nil"/>
              <w:right w:val="nil"/>
            </w:tcBorders>
            <w:shd w:val="clear" w:color="auto" w:fill="auto"/>
            <w:hideMark/>
          </w:tcPr>
          <w:p w14:paraId="676CBFB9" w14:textId="77777777" w:rsidR="0090485B" w:rsidRPr="00E17B5B" w:rsidRDefault="0090485B" w:rsidP="008F07B7">
            <w:pPr>
              <w:jc w:val="right"/>
              <w:rPr>
                <w:rFonts w:ascii="Arial Narrow" w:hAnsi="Arial Narrow" w:cs="Arial"/>
              </w:rPr>
            </w:pPr>
            <w:r w:rsidRPr="00E17B5B">
              <w:rPr>
                <w:rFonts w:ascii="Arial Narrow" w:hAnsi="Arial Narrow" w:cs="Arial"/>
              </w:rPr>
              <w:t>41</w:t>
            </w:r>
          </w:p>
        </w:tc>
        <w:tc>
          <w:tcPr>
            <w:tcW w:w="851" w:type="dxa"/>
            <w:tcBorders>
              <w:top w:val="nil"/>
              <w:left w:val="nil"/>
              <w:bottom w:val="nil"/>
              <w:right w:val="nil"/>
            </w:tcBorders>
            <w:shd w:val="clear" w:color="auto" w:fill="auto"/>
            <w:hideMark/>
          </w:tcPr>
          <w:p w14:paraId="5203F9A4" w14:textId="77777777" w:rsidR="0090485B" w:rsidRPr="00E17B5B" w:rsidRDefault="0090485B" w:rsidP="008F07B7">
            <w:pPr>
              <w:jc w:val="right"/>
              <w:rPr>
                <w:rFonts w:ascii="Arial Narrow" w:hAnsi="Arial Narrow" w:cs="Arial"/>
              </w:rPr>
            </w:pPr>
            <w:r w:rsidRPr="00E17B5B">
              <w:rPr>
                <w:rFonts w:ascii="Arial Narrow" w:hAnsi="Arial Narrow" w:cs="Arial"/>
              </w:rPr>
              <w:t>405</w:t>
            </w:r>
          </w:p>
        </w:tc>
      </w:tr>
      <w:tr w:rsidR="0090485B" w:rsidRPr="00E17B5B" w14:paraId="7093D77A" w14:textId="77777777" w:rsidTr="008F07B7">
        <w:trPr>
          <w:trHeight w:val="326"/>
          <w:jc w:val="center"/>
        </w:trPr>
        <w:tc>
          <w:tcPr>
            <w:tcW w:w="3828" w:type="dxa"/>
            <w:gridSpan w:val="2"/>
            <w:tcBorders>
              <w:top w:val="nil"/>
              <w:left w:val="nil"/>
              <w:bottom w:val="nil"/>
              <w:right w:val="nil"/>
            </w:tcBorders>
            <w:shd w:val="clear" w:color="auto" w:fill="auto"/>
            <w:vAlign w:val="center"/>
            <w:hideMark/>
          </w:tcPr>
          <w:p w14:paraId="23BF730D"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Operating Expenses</w:t>
            </w:r>
          </w:p>
        </w:tc>
        <w:tc>
          <w:tcPr>
            <w:tcW w:w="816" w:type="dxa"/>
            <w:tcBorders>
              <w:top w:val="nil"/>
              <w:left w:val="nil"/>
              <w:bottom w:val="nil"/>
              <w:right w:val="nil"/>
            </w:tcBorders>
            <w:shd w:val="clear" w:color="auto" w:fill="auto"/>
            <w:vAlign w:val="center"/>
            <w:hideMark/>
          </w:tcPr>
          <w:p w14:paraId="02AD73A5"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vAlign w:val="center"/>
            <w:hideMark/>
          </w:tcPr>
          <w:p w14:paraId="533A4414" w14:textId="77777777" w:rsidR="0090485B" w:rsidRPr="00E17B5B" w:rsidRDefault="0090485B" w:rsidP="008F07B7">
            <w:pPr>
              <w:jc w:val="right"/>
              <w:rPr>
                <w:rFonts w:ascii="Arial Narrow" w:hAnsi="Arial Narrow" w:cs="Arial"/>
              </w:rPr>
            </w:pPr>
            <w:r w:rsidRPr="00E17B5B">
              <w:rPr>
                <w:rFonts w:ascii="Arial Narrow" w:hAnsi="Arial Narrow" w:cs="Arial"/>
              </w:rPr>
              <w:t>1,285</w:t>
            </w:r>
          </w:p>
        </w:tc>
        <w:tc>
          <w:tcPr>
            <w:tcW w:w="819" w:type="dxa"/>
            <w:tcBorders>
              <w:top w:val="nil"/>
              <w:left w:val="nil"/>
              <w:bottom w:val="nil"/>
              <w:right w:val="nil"/>
            </w:tcBorders>
            <w:shd w:val="clear" w:color="auto" w:fill="auto"/>
            <w:vAlign w:val="center"/>
            <w:hideMark/>
          </w:tcPr>
          <w:p w14:paraId="7D528383"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vAlign w:val="center"/>
            <w:hideMark/>
          </w:tcPr>
          <w:p w14:paraId="618C3E09"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vAlign w:val="center"/>
            <w:hideMark/>
          </w:tcPr>
          <w:p w14:paraId="5C34CC70" w14:textId="77777777" w:rsidR="0090485B" w:rsidRPr="00E17B5B" w:rsidRDefault="0090485B" w:rsidP="008F07B7">
            <w:pPr>
              <w:jc w:val="right"/>
              <w:rPr>
                <w:rFonts w:ascii="Arial Narrow" w:hAnsi="Arial Narrow" w:cs="Arial"/>
              </w:rPr>
            </w:pPr>
            <w:r w:rsidRPr="00E17B5B">
              <w:rPr>
                <w:rFonts w:ascii="Arial Narrow" w:hAnsi="Arial Narrow" w:cs="Arial"/>
              </w:rPr>
              <w:t>1,285</w:t>
            </w:r>
          </w:p>
        </w:tc>
      </w:tr>
      <w:tr w:rsidR="0090485B" w:rsidRPr="00E17B5B" w14:paraId="02C58127" w14:textId="77777777" w:rsidTr="008F07B7">
        <w:trPr>
          <w:trHeight w:val="268"/>
          <w:jc w:val="center"/>
        </w:trPr>
        <w:tc>
          <w:tcPr>
            <w:tcW w:w="3828" w:type="dxa"/>
            <w:gridSpan w:val="2"/>
            <w:tcBorders>
              <w:top w:val="nil"/>
              <w:left w:val="nil"/>
              <w:bottom w:val="nil"/>
              <w:right w:val="nil"/>
            </w:tcBorders>
            <w:shd w:val="clear" w:color="auto" w:fill="auto"/>
            <w:vAlign w:val="center"/>
            <w:hideMark/>
          </w:tcPr>
          <w:p w14:paraId="72BE47A6"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Equipment and Supplies</w:t>
            </w:r>
          </w:p>
        </w:tc>
        <w:tc>
          <w:tcPr>
            <w:tcW w:w="816" w:type="dxa"/>
            <w:tcBorders>
              <w:top w:val="nil"/>
              <w:left w:val="nil"/>
              <w:bottom w:val="nil"/>
              <w:right w:val="nil"/>
            </w:tcBorders>
            <w:shd w:val="clear" w:color="auto" w:fill="auto"/>
            <w:vAlign w:val="center"/>
            <w:hideMark/>
          </w:tcPr>
          <w:p w14:paraId="08CF8D8A" w14:textId="77777777" w:rsidR="0090485B" w:rsidRPr="00E17B5B" w:rsidRDefault="0090485B" w:rsidP="008F07B7">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14:paraId="1D759FB5"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vAlign w:val="center"/>
            <w:hideMark/>
          </w:tcPr>
          <w:p w14:paraId="447C9B8D"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vAlign w:val="center"/>
            <w:hideMark/>
          </w:tcPr>
          <w:p w14:paraId="7B683DEC"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center"/>
            <w:hideMark/>
          </w:tcPr>
          <w:p w14:paraId="691C6E6F" w14:textId="77777777" w:rsidR="0090485B" w:rsidRPr="00E17B5B" w:rsidRDefault="0090485B" w:rsidP="008F07B7">
            <w:pPr>
              <w:jc w:val="right"/>
              <w:rPr>
                <w:rFonts w:ascii="Times New Roman" w:hAnsi="Times New Roman"/>
              </w:rPr>
            </w:pPr>
          </w:p>
        </w:tc>
      </w:tr>
      <w:tr w:rsidR="0090485B" w:rsidRPr="00E17B5B" w14:paraId="6CFE7BEB" w14:textId="77777777" w:rsidTr="008F07B7">
        <w:trPr>
          <w:trHeight w:val="268"/>
          <w:jc w:val="center"/>
        </w:trPr>
        <w:tc>
          <w:tcPr>
            <w:tcW w:w="1208" w:type="dxa"/>
            <w:tcBorders>
              <w:top w:val="nil"/>
              <w:left w:val="nil"/>
              <w:bottom w:val="nil"/>
              <w:right w:val="nil"/>
            </w:tcBorders>
            <w:shd w:val="clear" w:color="auto" w:fill="auto"/>
            <w:hideMark/>
          </w:tcPr>
          <w:p w14:paraId="6DF86D10" w14:textId="77777777" w:rsidR="0090485B" w:rsidRPr="00E17B5B" w:rsidRDefault="0090485B" w:rsidP="008F07B7">
            <w:pPr>
              <w:jc w:val="right"/>
              <w:rPr>
                <w:rFonts w:ascii="Times New Roman" w:hAnsi="Times New Roman"/>
              </w:rPr>
            </w:pPr>
          </w:p>
        </w:tc>
        <w:tc>
          <w:tcPr>
            <w:tcW w:w="2620" w:type="dxa"/>
            <w:tcBorders>
              <w:top w:val="nil"/>
              <w:left w:val="nil"/>
              <w:bottom w:val="nil"/>
              <w:right w:val="nil"/>
            </w:tcBorders>
            <w:shd w:val="clear" w:color="auto" w:fill="auto"/>
            <w:hideMark/>
          </w:tcPr>
          <w:p w14:paraId="6E7CEBFC" w14:textId="77777777" w:rsidR="0090485B" w:rsidRPr="00E17B5B" w:rsidRDefault="0090485B" w:rsidP="008F07B7">
            <w:pPr>
              <w:jc w:val="left"/>
              <w:rPr>
                <w:rFonts w:ascii="Arial Narrow" w:hAnsi="Arial Narrow" w:cs="Arial"/>
                <w:i/>
                <w:iCs/>
              </w:rPr>
            </w:pPr>
            <w:r w:rsidRPr="00E17B5B">
              <w:rPr>
                <w:rFonts w:ascii="Arial Narrow" w:hAnsi="Arial Narrow" w:cs="Arial"/>
                <w:i/>
                <w:iCs/>
              </w:rPr>
              <w:t>Furniture</w:t>
            </w:r>
            <w:r>
              <w:rPr>
                <w:rFonts w:ascii="Arial Narrow" w:hAnsi="Arial Narrow" w:cs="Arial"/>
                <w:i/>
                <w:iCs/>
              </w:rPr>
              <w:t xml:space="preserve"> </w:t>
            </w:r>
            <w:r w:rsidRPr="00E17B5B">
              <w:rPr>
                <w:rFonts w:ascii="Arial Narrow" w:hAnsi="Arial Narrow" w:cs="Arial"/>
                <w:i/>
                <w:iCs/>
              </w:rPr>
              <w:t>and</w:t>
            </w:r>
            <w:r>
              <w:rPr>
                <w:rFonts w:ascii="Arial Narrow" w:hAnsi="Arial Narrow" w:cs="Arial"/>
                <w:i/>
                <w:iCs/>
              </w:rPr>
              <w:t xml:space="preserve"> </w:t>
            </w:r>
            <w:r w:rsidRPr="00E17B5B">
              <w:rPr>
                <w:rFonts w:ascii="Arial Narrow" w:hAnsi="Arial Narrow" w:cs="Arial"/>
                <w:i/>
                <w:iCs/>
              </w:rPr>
              <w:t>Equipment</w:t>
            </w:r>
          </w:p>
        </w:tc>
        <w:tc>
          <w:tcPr>
            <w:tcW w:w="816" w:type="dxa"/>
            <w:tcBorders>
              <w:top w:val="nil"/>
              <w:left w:val="nil"/>
              <w:bottom w:val="nil"/>
              <w:right w:val="nil"/>
            </w:tcBorders>
            <w:shd w:val="clear" w:color="auto" w:fill="auto"/>
            <w:hideMark/>
          </w:tcPr>
          <w:p w14:paraId="497605FA"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4FD02328"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c>
          <w:tcPr>
            <w:tcW w:w="819" w:type="dxa"/>
            <w:tcBorders>
              <w:top w:val="nil"/>
              <w:left w:val="nil"/>
              <w:bottom w:val="nil"/>
              <w:right w:val="nil"/>
            </w:tcBorders>
            <w:shd w:val="clear" w:color="auto" w:fill="auto"/>
            <w:hideMark/>
          </w:tcPr>
          <w:p w14:paraId="7EE19F7A"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hideMark/>
          </w:tcPr>
          <w:p w14:paraId="30B00561"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6BCB3007"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r>
      <w:tr w:rsidR="0090485B" w:rsidRPr="00E17B5B" w14:paraId="6A3C83D4" w14:textId="77777777" w:rsidTr="008F07B7">
        <w:trPr>
          <w:trHeight w:val="326"/>
          <w:jc w:val="center"/>
        </w:trPr>
        <w:tc>
          <w:tcPr>
            <w:tcW w:w="1208" w:type="dxa"/>
            <w:tcBorders>
              <w:top w:val="nil"/>
              <w:left w:val="nil"/>
              <w:bottom w:val="nil"/>
              <w:right w:val="nil"/>
            </w:tcBorders>
            <w:shd w:val="clear" w:color="auto" w:fill="auto"/>
            <w:hideMark/>
          </w:tcPr>
          <w:p w14:paraId="79E4DE7A"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hideMark/>
          </w:tcPr>
          <w:p w14:paraId="5C37F51D" w14:textId="77777777" w:rsidR="0090485B" w:rsidRPr="00E17B5B" w:rsidRDefault="0090485B" w:rsidP="008F07B7">
            <w:pPr>
              <w:jc w:val="left"/>
              <w:rPr>
                <w:rFonts w:ascii="Arial Narrow" w:hAnsi="Arial Narrow" w:cs="Arial"/>
                <w:i/>
                <w:iCs/>
              </w:rPr>
            </w:pPr>
            <w:r w:rsidRPr="00E17B5B">
              <w:rPr>
                <w:rFonts w:ascii="Arial Narrow" w:hAnsi="Arial Narrow" w:cs="Arial"/>
                <w:i/>
                <w:iCs/>
              </w:rPr>
              <w:t>Supplies</w:t>
            </w:r>
            <w:r>
              <w:rPr>
                <w:rFonts w:ascii="Arial Narrow" w:hAnsi="Arial Narrow" w:cs="Arial"/>
                <w:i/>
                <w:iCs/>
              </w:rPr>
              <w:t xml:space="preserve"> </w:t>
            </w:r>
            <w:r w:rsidRPr="00E17B5B">
              <w:rPr>
                <w:rFonts w:ascii="Arial Narrow" w:hAnsi="Arial Narrow" w:cs="Arial"/>
                <w:i/>
                <w:iCs/>
              </w:rPr>
              <w:t>and</w:t>
            </w:r>
            <w:r>
              <w:rPr>
                <w:rFonts w:ascii="Arial Narrow" w:hAnsi="Arial Narrow" w:cs="Arial"/>
                <w:i/>
                <w:iCs/>
              </w:rPr>
              <w:t xml:space="preserve"> </w:t>
            </w:r>
            <w:r w:rsidRPr="00E17B5B">
              <w:rPr>
                <w:rFonts w:ascii="Arial Narrow" w:hAnsi="Arial Narrow" w:cs="Arial"/>
                <w:i/>
                <w:iCs/>
              </w:rPr>
              <w:t>Materials</w:t>
            </w:r>
          </w:p>
        </w:tc>
        <w:tc>
          <w:tcPr>
            <w:tcW w:w="816" w:type="dxa"/>
            <w:tcBorders>
              <w:top w:val="nil"/>
              <w:left w:val="nil"/>
              <w:bottom w:val="nil"/>
              <w:right w:val="nil"/>
            </w:tcBorders>
            <w:shd w:val="clear" w:color="auto" w:fill="auto"/>
            <w:hideMark/>
          </w:tcPr>
          <w:p w14:paraId="69C3510B"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05090856"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c>
          <w:tcPr>
            <w:tcW w:w="819" w:type="dxa"/>
            <w:tcBorders>
              <w:top w:val="nil"/>
              <w:left w:val="nil"/>
              <w:bottom w:val="nil"/>
              <w:right w:val="nil"/>
            </w:tcBorders>
            <w:shd w:val="clear" w:color="auto" w:fill="auto"/>
            <w:hideMark/>
          </w:tcPr>
          <w:p w14:paraId="46918FF4"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20" w:type="dxa"/>
            <w:tcBorders>
              <w:top w:val="nil"/>
              <w:left w:val="nil"/>
              <w:bottom w:val="nil"/>
              <w:right w:val="nil"/>
            </w:tcBorders>
            <w:shd w:val="clear" w:color="auto" w:fill="auto"/>
            <w:hideMark/>
          </w:tcPr>
          <w:p w14:paraId="594C4CC5" w14:textId="77777777" w:rsidR="0090485B" w:rsidRPr="00E17B5B" w:rsidRDefault="0090485B" w:rsidP="008F07B7">
            <w:pPr>
              <w:jc w:val="right"/>
              <w:rPr>
                <w:rFonts w:ascii="Arial Narrow" w:hAnsi="Arial Narrow" w:cs="Arial"/>
              </w:rPr>
            </w:pPr>
            <w:r w:rsidRPr="00E17B5B">
              <w:rPr>
                <w:rFonts w:ascii="Arial Narrow" w:hAnsi="Arial Narrow" w:cs="Arial"/>
              </w:rPr>
              <w:t>-</w:t>
            </w:r>
          </w:p>
        </w:tc>
        <w:tc>
          <w:tcPr>
            <w:tcW w:w="851" w:type="dxa"/>
            <w:tcBorders>
              <w:top w:val="nil"/>
              <w:left w:val="nil"/>
              <w:bottom w:val="nil"/>
              <w:right w:val="nil"/>
            </w:tcBorders>
            <w:shd w:val="clear" w:color="auto" w:fill="auto"/>
            <w:hideMark/>
          </w:tcPr>
          <w:p w14:paraId="5F2A0632" w14:textId="77777777" w:rsidR="0090485B" w:rsidRPr="00E17B5B" w:rsidRDefault="0090485B" w:rsidP="008F07B7">
            <w:pPr>
              <w:jc w:val="right"/>
              <w:rPr>
                <w:rFonts w:ascii="Arial Narrow" w:hAnsi="Arial Narrow" w:cs="Arial"/>
              </w:rPr>
            </w:pPr>
            <w:r w:rsidRPr="00E17B5B">
              <w:rPr>
                <w:rFonts w:ascii="Arial Narrow" w:hAnsi="Arial Narrow" w:cs="Arial"/>
              </w:rPr>
              <w:t>5</w:t>
            </w:r>
          </w:p>
        </w:tc>
      </w:tr>
      <w:tr w:rsidR="0090485B" w:rsidRPr="00E17B5B" w14:paraId="489FB249" w14:textId="77777777" w:rsidTr="008F07B7">
        <w:trPr>
          <w:trHeight w:val="57"/>
          <w:jc w:val="center"/>
        </w:trPr>
        <w:tc>
          <w:tcPr>
            <w:tcW w:w="1208" w:type="dxa"/>
            <w:tcBorders>
              <w:top w:val="nil"/>
              <w:left w:val="nil"/>
              <w:bottom w:val="nil"/>
              <w:right w:val="nil"/>
            </w:tcBorders>
            <w:shd w:val="clear" w:color="auto" w:fill="auto"/>
            <w:vAlign w:val="bottom"/>
            <w:hideMark/>
          </w:tcPr>
          <w:p w14:paraId="2E9A49C9" w14:textId="77777777" w:rsidR="0090485B" w:rsidRPr="00E17B5B" w:rsidRDefault="0090485B" w:rsidP="008F07B7">
            <w:pPr>
              <w:jc w:val="right"/>
              <w:rPr>
                <w:rFonts w:ascii="Arial Narrow" w:hAnsi="Arial Narrow" w:cs="Arial"/>
              </w:rPr>
            </w:pPr>
          </w:p>
        </w:tc>
        <w:tc>
          <w:tcPr>
            <w:tcW w:w="2620" w:type="dxa"/>
            <w:tcBorders>
              <w:top w:val="nil"/>
              <w:left w:val="nil"/>
              <w:bottom w:val="nil"/>
              <w:right w:val="nil"/>
            </w:tcBorders>
            <w:shd w:val="clear" w:color="auto" w:fill="auto"/>
            <w:vAlign w:val="bottom"/>
            <w:hideMark/>
          </w:tcPr>
          <w:p w14:paraId="700D81D4" w14:textId="77777777" w:rsidR="0090485B" w:rsidRPr="00E17B5B" w:rsidRDefault="0090485B" w:rsidP="008F07B7">
            <w:pPr>
              <w:jc w:val="left"/>
              <w:rPr>
                <w:rFonts w:ascii="Times New Roman" w:hAnsi="Times New Roman"/>
              </w:rPr>
            </w:pPr>
          </w:p>
        </w:tc>
        <w:tc>
          <w:tcPr>
            <w:tcW w:w="816" w:type="dxa"/>
            <w:tcBorders>
              <w:top w:val="nil"/>
              <w:left w:val="nil"/>
              <w:bottom w:val="nil"/>
              <w:right w:val="nil"/>
            </w:tcBorders>
            <w:shd w:val="clear" w:color="auto" w:fill="auto"/>
            <w:vAlign w:val="bottom"/>
            <w:hideMark/>
          </w:tcPr>
          <w:p w14:paraId="513A8BBD"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E0FB6E3" w14:textId="77777777" w:rsidR="0090485B" w:rsidRPr="00E17B5B" w:rsidRDefault="0090485B" w:rsidP="008F07B7">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4BE80B84" w14:textId="77777777" w:rsidR="0090485B" w:rsidRPr="00E17B5B" w:rsidRDefault="0090485B" w:rsidP="008F07B7">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200E93C2" w14:textId="77777777" w:rsidR="0090485B" w:rsidRPr="00E17B5B" w:rsidRDefault="0090485B" w:rsidP="008F07B7">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6A4733EB" w14:textId="77777777" w:rsidR="0090485B" w:rsidRPr="00E17B5B" w:rsidRDefault="0090485B" w:rsidP="008F07B7">
            <w:pPr>
              <w:jc w:val="right"/>
              <w:rPr>
                <w:rFonts w:ascii="Times New Roman" w:hAnsi="Times New Roman"/>
              </w:rPr>
            </w:pPr>
          </w:p>
        </w:tc>
      </w:tr>
      <w:tr w:rsidR="0090485B" w:rsidRPr="00E17B5B" w14:paraId="55E57007" w14:textId="77777777" w:rsidTr="008F07B7">
        <w:trPr>
          <w:trHeight w:val="268"/>
          <w:jc w:val="center"/>
        </w:trPr>
        <w:tc>
          <w:tcPr>
            <w:tcW w:w="1208" w:type="dxa"/>
            <w:tcBorders>
              <w:top w:val="single" w:sz="4" w:space="0" w:color="AAB8C4"/>
              <w:left w:val="nil"/>
              <w:bottom w:val="single" w:sz="8" w:space="0" w:color="AAB8C4"/>
              <w:right w:val="nil"/>
            </w:tcBorders>
            <w:shd w:val="clear" w:color="auto" w:fill="auto"/>
            <w:vAlign w:val="center"/>
            <w:hideMark/>
          </w:tcPr>
          <w:p w14:paraId="31877449" w14:textId="77777777" w:rsidR="0090485B" w:rsidRPr="00E17B5B" w:rsidRDefault="0090485B" w:rsidP="008F07B7">
            <w:pPr>
              <w:ind w:firstLineChars="200" w:firstLine="400"/>
              <w:jc w:val="left"/>
              <w:rPr>
                <w:rFonts w:ascii="Arial Narrow" w:hAnsi="Arial Narrow" w:cs="Arial"/>
                <w:b/>
                <w:bCs/>
              </w:rPr>
            </w:pPr>
            <w:r w:rsidRPr="00E17B5B">
              <w:rPr>
                <w:rFonts w:ascii="Arial Narrow" w:hAnsi="Arial Narrow" w:cs="Arial"/>
                <w:b/>
                <w:bCs/>
              </w:rPr>
              <w:t>TOTAL</w:t>
            </w:r>
          </w:p>
        </w:tc>
        <w:tc>
          <w:tcPr>
            <w:tcW w:w="2620" w:type="dxa"/>
            <w:tcBorders>
              <w:top w:val="single" w:sz="4" w:space="0" w:color="AAB8C4"/>
              <w:left w:val="nil"/>
              <w:bottom w:val="single" w:sz="8" w:space="0" w:color="AAB8C4"/>
              <w:right w:val="nil"/>
            </w:tcBorders>
            <w:shd w:val="clear" w:color="auto" w:fill="auto"/>
            <w:vAlign w:val="center"/>
            <w:hideMark/>
          </w:tcPr>
          <w:p w14:paraId="3484DF39" w14:textId="77777777" w:rsidR="0090485B" w:rsidRPr="00E17B5B" w:rsidRDefault="0090485B" w:rsidP="008F07B7">
            <w:pPr>
              <w:jc w:val="left"/>
              <w:rPr>
                <w:rFonts w:ascii="Arial Narrow" w:hAnsi="Arial Narrow" w:cs="Arial"/>
                <w:b/>
                <w:bCs/>
              </w:rPr>
            </w:pPr>
          </w:p>
        </w:tc>
        <w:tc>
          <w:tcPr>
            <w:tcW w:w="816" w:type="dxa"/>
            <w:tcBorders>
              <w:top w:val="single" w:sz="4" w:space="0" w:color="AAB8C4"/>
              <w:left w:val="nil"/>
              <w:bottom w:val="single" w:sz="8" w:space="0" w:color="AAB8C4"/>
              <w:right w:val="nil"/>
            </w:tcBorders>
            <w:shd w:val="clear" w:color="auto" w:fill="auto"/>
            <w:vAlign w:val="center"/>
            <w:hideMark/>
          </w:tcPr>
          <w:p w14:paraId="68746B37" w14:textId="1CE33958" w:rsidR="0090485B" w:rsidRPr="00E17B5B" w:rsidRDefault="0090485B" w:rsidP="00E10E1B">
            <w:pPr>
              <w:jc w:val="right"/>
              <w:rPr>
                <w:rFonts w:ascii="Arial Narrow" w:hAnsi="Arial Narrow" w:cs="Arial"/>
                <w:b/>
                <w:bCs/>
              </w:rPr>
            </w:pPr>
            <w:r w:rsidRPr="00E17B5B">
              <w:rPr>
                <w:rFonts w:ascii="Arial Narrow" w:hAnsi="Arial Narrow" w:cs="Arial"/>
                <w:b/>
                <w:bCs/>
              </w:rPr>
              <w:t>81</w:t>
            </w:r>
            <w:r w:rsidR="00E10E1B">
              <w:rPr>
                <w:rFonts w:ascii="Arial Narrow" w:hAnsi="Arial Narrow" w:cs="Arial"/>
                <w:b/>
                <w:bCs/>
              </w:rPr>
              <w:t>6</w:t>
            </w:r>
          </w:p>
        </w:tc>
        <w:tc>
          <w:tcPr>
            <w:tcW w:w="851" w:type="dxa"/>
            <w:tcBorders>
              <w:top w:val="single" w:sz="4" w:space="0" w:color="AAB8C4"/>
              <w:left w:val="nil"/>
              <w:bottom w:val="single" w:sz="8" w:space="0" w:color="AAB8C4"/>
              <w:right w:val="nil"/>
            </w:tcBorders>
            <w:shd w:val="clear" w:color="auto" w:fill="auto"/>
            <w:vAlign w:val="center"/>
            <w:hideMark/>
          </w:tcPr>
          <w:p w14:paraId="55421131" w14:textId="541BB477" w:rsidR="0090485B" w:rsidRPr="00E17B5B" w:rsidRDefault="0090485B" w:rsidP="00E10E1B">
            <w:pPr>
              <w:jc w:val="right"/>
              <w:rPr>
                <w:rFonts w:ascii="Arial Narrow" w:hAnsi="Arial Narrow" w:cs="Arial"/>
                <w:b/>
                <w:bCs/>
              </w:rPr>
            </w:pPr>
            <w:r w:rsidRPr="00E17B5B">
              <w:rPr>
                <w:rFonts w:ascii="Arial Narrow" w:hAnsi="Arial Narrow" w:cs="Arial"/>
                <w:b/>
                <w:bCs/>
              </w:rPr>
              <w:t>4,48</w:t>
            </w:r>
            <w:r w:rsidR="00E10E1B">
              <w:rPr>
                <w:rFonts w:ascii="Arial Narrow" w:hAnsi="Arial Narrow" w:cs="Arial"/>
                <w:b/>
                <w:bCs/>
              </w:rPr>
              <w:t>6</w:t>
            </w:r>
          </w:p>
        </w:tc>
        <w:tc>
          <w:tcPr>
            <w:tcW w:w="819" w:type="dxa"/>
            <w:tcBorders>
              <w:top w:val="single" w:sz="4" w:space="0" w:color="AAB8C4"/>
              <w:left w:val="nil"/>
              <w:bottom w:val="single" w:sz="8" w:space="0" w:color="AAB8C4"/>
              <w:right w:val="nil"/>
            </w:tcBorders>
            <w:shd w:val="clear" w:color="auto" w:fill="auto"/>
            <w:vAlign w:val="center"/>
            <w:hideMark/>
          </w:tcPr>
          <w:p w14:paraId="629A7A70" w14:textId="45E72EB8" w:rsidR="0090485B" w:rsidRPr="00E17B5B" w:rsidRDefault="0090485B" w:rsidP="00E10E1B">
            <w:pPr>
              <w:jc w:val="right"/>
              <w:rPr>
                <w:rFonts w:ascii="Arial Narrow" w:hAnsi="Arial Narrow" w:cs="Arial"/>
                <w:b/>
                <w:bCs/>
              </w:rPr>
            </w:pPr>
            <w:r w:rsidRPr="00E17B5B">
              <w:rPr>
                <w:rFonts w:ascii="Arial Narrow" w:hAnsi="Arial Narrow" w:cs="Arial"/>
                <w:b/>
                <w:bCs/>
              </w:rPr>
              <w:t>1,67</w:t>
            </w:r>
            <w:r w:rsidR="00E10E1B">
              <w:rPr>
                <w:rFonts w:ascii="Arial Narrow" w:hAnsi="Arial Narrow" w:cs="Arial"/>
                <w:b/>
                <w:bCs/>
              </w:rPr>
              <w:t>2</w:t>
            </w:r>
          </w:p>
        </w:tc>
        <w:tc>
          <w:tcPr>
            <w:tcW w:w="820" w:type="dxa"/>
            <w:tcBorders>
              <w:top w:val="single" w:sz="4" w:space="0" w:color="AAB8C4"/>
              <w:left w:val="nil"/>
              <w:bottom w:val="single" w:sz="8" w:space="0" w:color="AAB8C4"/>
              <w:right w:val="nil"/>
            </w:tcBorders>
            <w:shd w:val="clear" w:color="auto" w:fill="auto"/>
            <w:vAlign w:val="center"/>
            <w:hideMark/>
          </w:tcPr>
          <w:p w14:paraId="5B57FB45" w14:textId="50F81B7D" w:rsidR="0090485B" w:rsidRPr="00E17B5B" w:rsidRDefault="0090485B" w:rsidP="00E10E1B">
            <w:pPr>
              <w:jc w:val="right"/>
              <w:rPr>
                <w:rFonts w:ascii="Arial Narrow" w:hAnsi="Arial Narrow" w:cs="Arial"/>
                <w:b/>
                <w:bCs/>
              </w:rPr>
            </w:pPr>
            <w:r w:rsidRPr="00E17B5B">
              <w:rPr>
                <w:rFonts w:ascii="Arial Narrow" w:hAnsi="Arial Narrow" w:cs="Arial"/>
                <w:b/>
                <w:bCs/>
              </w:rPr>
              <w:t>66</w:t>
            </w:r>
            <w:r w:rsidR="00E10E1B">
              <w:rPr>
                <w:rFonts w:ascii="Arial Narrow" w:hAnsi="Arial Narrow" w:cs="Arial"/>
                <w:b/>
                <w:bCs/>
              </w:rPr>
              <w:t>0</w:t>
            </w:r>
          </w:p>
        </w:tc>
        <w:tc>
          <w:tcPr>
            <w:tcW w:w="851" w:type="dxa"/>
            <w:tcBorders>
              <w:top w:val="single" w:sz="4" w:space="0" w:color="AAB8C4"/>
              <w:left w:val="nil"/>
              <w:bottom w:val="single" w:sz="8" w:space="0" w:color="AAB8C4"/>
              <w:right w:val="nil"/>
            </w:tcBorders>
            <w:shd w:val="clear" w:color="auto" w:fill="auto"/>
            <w:vAlign w:val="center"/>
            <w:hideMark/>
          </w:tcPr>
          <w:p w14:paraId="594F6513" w14:textId="77777777" w:rsidR="0090485B" w:rsidRPr="00E17B5B" w:rsidRDefault="0090485B" w:rsidP="008F07B7">
            <w:pPr>
              <w:jc w:val="right"/>
              <w:rPr>
                <w:rFonts w:ascii="Arial Narrow" w:hAnsi="Arial Narrow" w:cs="Arial"/>
                <w:b/>
                <w:bCs/>
              </w:rPr>
            </w:pPr>
            <w:r w:rsidRPr="00E17B5B">
              <w:rPr>
                <w:rFonts w:ascii="Arial Narrow" w:hAnsi="Arial Narrow" w:cs="Arial"/>
                <w:b/>
                <w:bCs/>
              </w:rPr>
              <w:t>7,635</w:t>
            </w:r>
          </w:p>
        </w:tc>
      </w:tr>
    </w:tbl>
    <w:p w14:paraId="5E07AC7C" w14:textId="77777777" w:rsidR="0090485B" w:rsidRPr="00421986" w:rsidRDefault="0090485B" w:rsidP="0090485B">
      <w:pPr>
        <w:keepNext/>
        <w:tabs>
          <w:tab w:val="left" w:pos="567"/>
        </w:tabs>
      </w:pPr>
    </w:p>
    <w:p w14:paraId="6770F91F" w14:textId="77777777" w:rsidR="0090485B" w:rsidRPr="00421986" w:rsidRDefault="0090485B" w:rsidP="0090485B">
      <w:pPr>
        <w:jc w:val="left"/>
        <w:rPr>
          <w:color w:val="000000"/>
        </w:rPr>
      </w:pPr>
    </w:p>
    <w:p w14:paraId="7411FF90" w14:textId="77777777" w:rsidR="0090485B" w:rsidRDefault="0090485B" w:rsidP="0090485B">
      <w:r>
        <w:br w:type="page"/>
      </w:r>
    </w:p>
    <w:p w14:paraId="71862754" w14:textId="77777777" w:rsidR="0090485B" w:rsidRDefault="0090485B" w:rsidP="0090485B">
      <w:r w:rsidRPr="00C20F3E">
        <w:lastRenderedPageBreak/>
        <w:t>Table 7</w:t>
      </w:r>
      <w:r w:rsidRPr="00421986">
        <w:t xml:space="preserve"> provides the budget variations by sub-program between the budget 20</w:t>
      </w:r>
      <w:r>
        <w:t>20</w:t>
      </w:r>
      <w:r w:rsidRPr="00421986">
        <w:t>-20</w:t>
      </w:r>
      <w:r>
        <w:t>21</w:t>
      </w:r>
      <w:r w:rsidRPr="00421986">
        <w:t xml:space="preserve"> and the proposed budget </w:t>
      </w:r>
      <w:r>
        <w:rPr>
          <w:snapToGrid w:val="0"/>
          <w:spacing w:val="-2"/>
          <w:szCs w:val="24"/>
        </w:rPr>
        <w:t>2022</w:t>
      </w:r>
      <w:r>
        <w:rPr>
          <w:snapToGrid w:val="0"/>
          <w:spacing w:val="-2"/>
          <w:szCs w:val="24"/>
        </w:rPr>
        <w:noBreakHyphen/>
        <w:t>2023</w:t>
      </w:r>
      <w:r w:rsidRPr="00421986">
        <w:t>.</w:t>
      </w:r>
    </w:p>
    <w:p w14:paraId="429FB0A2" w14:textId="77777777" w:rsidR="0090485B" w:rsidRDefault="0090485B" w:rsidP="0090485B"/>
    <w:p w14:paraId="03481F15" w14:textId="77777777" w:rsidR="0090485B" w:rsidRPr="0022343E" w:rsidRDefault="0090485B" w:rsidP="0090485B"/>
    <w:p w14:paraId="00DD0F25" w14:textId="77777777" w:rsidR="0090485B" w:rsidRDefault="0090485B" w:rsidP="0090485B">
      <w:pPr>
        <w:jc w:val="center"/>
        <w:rPr>
          <w:rFonts w:cs="Arial"/>
          <w:i/>
          <w:iCs/>
          <w:color w:val="000000"/>
        </w:rPr>
      </w:pPr>
      <w:r w:rsidRPr="008B40C0">
        <w:rPr>
          <w:rFonts w:cs="Arial"/>
          <w:b/>
          <w:bCs/>
          <w:color w:val="26724C" w:themeColor="accent1" w:themeShade="BF"/>
        </w:rPr>
        <w:t>Table 7:  Budget Variation by Sub-program</w:t>
      </w:r>
      <w:r w:rsidRPr="00421986">
        <w:rPr>
          <w:rFonts w:cs="Arial"/>
          <w:b/>
          <w:bCs/>
          <w:color w:val="000000"/>
        </w:rPr>
        <w:t xml:space="preserve"> </w:t>
      </w:r>
      <w:r w:rsidRPr="00421986">
        <w:rPr>
          <w:rFonts w:cs="Arial"/>
          <w:b/>
          <w:bCs/>
          <w:color w:val="000000"/>
        </w:rPr>
        <w:br/>
      </w:r>
      <w:r w:rsidRPr="00C20F3E">
        <w:rPr>
          <w:rFonts w:cs="Arial"/>
          <w:i/>
          <w:iCs/>
          <w:color w:val="000000"/>
          <w:sz w:val="18"/>
          <w:szCs w:val="18"/>
        </w:rPr>
        <w:t>(in thousands of Swiss francs)</w:t>
      </w:r>
    </w:p>
    <w:p w14:paraId="3B9ABFDB" w14:textId="77777777" w:rsidR="0090485B" w:rsidRDefault="0090485B" w:rsidP="0090485B">
      <w:pPr>
        <w:jc w:val="center"/>
        <w:rPr>
          <w:rFonts w:cs="Arial"/>
          <w:i/>
          <w:iCs/>
          <w:color w:val="000000"/>
        </w:rPr>
      </w:pPr>
    </w:p>
    <w:tbl>
      <w:tblPr>
        <w:tblW w:w="5700" w:type="dxa"/>
        <w:jc w:val="center"/>
        <w:tblLook w:val="04A0" w:firstRow="1" w:lastRow="0" w:firstColumn="1" w:lastColumn="0" w:noHBand="0" w:noVBand="1"/>
      </w:tblPr>
      <w:tblGrid>
        <w:gridCol w:w="1156"/>
        <w:gridCol w:w="1056"/>
        <w:gridCol w:w="1017"/>
        <w:gridCol w:w="976"/>
        <w:gridCol w:w="1495"/>
      </w:tblGrid>
      <w:tr w:rsidR="0090485B" w:rsidRPr="008E72BA" w14:paraId="6A7FD6EB" w14:textId="77777777" w:rsidTr="008F07B7">
        <w:trPr>
          <w:trHeight w:val="270"/>
          <w:jc w:val="center"/>
        </w:trPr>
        <w:tc>
          <w:tcPr>
            <w:tcW w:w="1156" w:type="dxa"/>
            <w:vMerge w:val="restart"/>
            <w:tcBorders>
              <w:top w:val="nil"/>
              <w:left w:val="nil"/>
              <w:bottom w:val="nil"/>
              <w:right w:val="nil"/>
            </w:tcBorders>
            <w:shd w:val="clear" w:color="000000" w:fill="C7CFD8"/>
            <w:noWrap/>
            <w:vAlign w:val="center"/>
            <w:hideMark/>
          </w:tcPr>
          <w:p w14:paraId="3ABF14FC"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Sub-program </w:t>
            </w:r>
          </w:p>
        </w:tc>
        <w:tc>
          <w:tcPr>
            <w:tcW w:w="1056" w:type="dxa"/>
            <w:tcBorders>
              <w:top w:val="nil"/>
              <w:left w:val="nil"/>
              <w:bottom w:val="nil"/>
              <w:right w:val="nil"/>
            </w:tcBorders>
            <w:shd w:val="clear" w:color="000000" w:fill="C7CFD8"/>
            <w:vAlign w:val="center"/>
            <w:hideMark/>
          </w:tcPr>
          <w:p w14:paraId="4F94EBE0"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2020-2021 </w:t>
            </w:r>
          </w:p>
        </w:tc>
        <w:tc>
          <w:tcPr>
            <w:tcW w:w="1993" w:type="dxa"/>
            <w:gridSpan w:val="2"/>
            <w:tcBorders>
              <w:top w:val="nil"/>
              <w:left w:val="nil"/>
              <w:bottom w:val="single" w:sz="4" w:space="0" w:color="748B9E"/>
              <w:right w:val="nil"/>
            </w:tcBorders>
            <w:shd w:val="clear" w:color="000000" w:fill="C7CFD8"/>
            <w:vAlign w:val="center"/>
            <w:hideMark/>
          </w:tcPr>
          <w:p w14:paraId="1F29D289"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Variation </w:t>
            </w:r>
          </w:p>
        </w:tc>
        <w:tc>
          <w:tcPr>
            <w:tcW w:w="1495" w:type="dxa"/>
            <w:tcBorders>
              <w:top w:val="nil"/>
              <w:left w:val="nil"/>
              <w:bottom w:val="nil"/>
              <w:right w:val="nil"/>
            </w:tcBorders>
            <w:shd w:val="clear" w:color="000000" w:fill="C7CFD8"/>
            <w:vAlign w:val="center"/>
            <w:hideMark/>
          </w:tcPr>
          <w:p w14:paraId="227E834D"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 </w:t>
            </w:r>
            <w:r>
              <w:rPr>
                <w:rFonts w:ascii="Arial Narrow" w:hAnsi="Arial Narrow" w:cs="Arial"/>
                <w:b/>
                <w:bCs/>
                <w:sz w:val="18"/>
                <w:szCs w:val="18"/>
              </w:rPr>
              <w:t>2022</w:t>
            </w:r>
            <w:r>
              <w:rPr>
                <w:rFonts w:ascii="Arial Narrow" w:hAnsi="Arial Narrow" w:cs="Arial"/>
                <w:b/>
                <w:bCs/>
                <w:sz w:val="18"/>
                <w:szCs w:val="18"/>
              </w:rPr>
              <w:noBreakHyphen/>
              <w:t>2023</w:t>
            </w:r>
            <w:r w:rsidRPr="008E72BA">
              <w:rPr>
                <w:rFonts w:ascii="Arial Narrow" w:hAnsi="Arial Narrow" w:cs="Arial"/>
                <w:b/>
                <w:bCs/>
                <w:sz w:val="18"/>
                <w:szCs w:val="18"/>
              </w:rPr>
              <w:t xml:space="preserve"> </w:t>
            </w:r>
          </w:p>
        </w:tc>
      </w:tr>
      <w:tr w:rsidR="0090485B" w:rsidRPr="008E72BA" w14:paraId="5057FCA6" w14:textId="77777777" w:rsidTr="008F07B7">
        <w:trPr>
          <w:trHeight w:val="240"/>
          <w:jc w:val="center"/>
        </w:trPr>
        <w:tc>
          <w:tcPr>
            <w:tcW w:w="1156" w:type="dxa"/>
            <w:vMerge/>
            <w:tcBorders>
              <w:top w:val="nil"/>
              <w:left w:val="nil"/>
              <w:bottom w:val="nil"/>
              <w:right w:val="nil"/>
            </w:tcBorders>
            <w:vAlign w:val="center"/>
            <w:hideMark/>
          </w:tcPr>
          <w:p w14:paraId="4564ED2E" w14:textId="77777777" w:rsidR="0090485B" w:rsidRPr="008E72BA" w:rsidRDefault="0090485B" w:rsidP="008F07B7">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vAlign w:val="center"/>
            <w:hideMark/>
          </w:tcPr>
          <w:p w14:paraId="4BEBE88F"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Budget </w:t>
            </w:r>
          </w:p>
        </w:tc>
        <w:tc>
          <w:tcPr>
            <w:tcW w:w="1017" w:type="dxa"/>
            <w:tcBorders>
              <w:top w:val="nil"/>
              <w:left w:val="nil"/>
              <w:bottom w:val="nil"/>
              <w:right w:val="nil"/>
            </w:tcBorders>
            <w:shd w:val="clear" w:color="000000" w:fill="C7CFD8"/>
            <w:vAlign w:val="center"/>
            <w:hideMark/>
          </w:tcPr>
          <w:p w14:paraId="3445908A"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Amount </w:t>
            </w:r>
          </w:p>
        </w:tc>
        <w:tc>
          <w:tcPr>
            <w:tcW w:w="976" w:type="dxa"/>
            <w:tcBorders>
              <w:top w:val="nil"/>
              <w:left w:val="nil"/>
              <w:bottom w:val="nil"/>
              <w:right w:val="nil"/>
            </w:tcBorders>
            <w:shd w:val="clear" w:color="000000" w:fill="C7CFD8"/>
            <w:vAlign w:val="center"/>
            <w:hideMark/>
          </w:tcPr>
          <w:p w14:paraId="6BC6C8C2"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14:paraId="4410B762"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Proposed </w:t>
            </w:r>
          </w:p>
        </w:tc>
      </w:tr>
      <w:tr w:rsidR="0090485B" w:rsidRPr="008E72BA" w14:paraId="624E3737" w14:textId="77777777" w:rsidTr="008F07B7">
        <w:trPr>
          <w:trHeight w:val="250"/>
          <w:jc w:val="center"/>
        </w:trPr>
        <w:tc>
          <w:tcPr>
            <w:tcW w:w="1156" w:type="dxa"/>
            <w:vMerge/>
            <w:tcBorders>
              <w:top w:val="nil"/>
              <w:left w:val="nil"/>
              <w:bottom w:val="nil"/>
              <w:right w:val="nil"/>
            </w:tcBorders>
            <w:vAlign w:val="center"/>
            <w:hideMark/>
          </w:tcPr>
          <w:p w14:paraId="5A84422C" w14:textId="77777777" w:rsidR="0090485B" w:rsidRPr="008E72BA" w:rsidRDefault="0090485B" w:rsidP="008F07B7">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noWrap/>
            <w:vAlign w:val="center"/>
            <w:hideMark/>
          </w:tcPr>
          <w:p w14:paraId="1EEB71F8"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A </w:t>
            </w:r>
          </w:p>
        </w:tc>
        <w:tc>
          <w:tcPr>
            <w:tcW w:w="1017" w:type="dxa"/>
            <w:tcBorders>
              <w:top w:val="nil"/>
              <w:left w:val="nil"/>
              <w:bottom w:val="nil"/>
              <w:right w:val="nil"/>
            </w:tcBorders>
            <w:shd w:val="clear" w:color="000000" w:fill="C7CFD8"/>
            <w:vAlign w:val="center"/>
            <w:hideMark/>
          </w:tcPr>
          <w:p w14:paraId="498004B8"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B </w:t>
            </w:r>
          </w:p>
        </w:tc>
        <w:tc>
          <w:tcPr>
            <w:tcW w:w="976" w:type="dxa"/>
            <w:tcBorders>
              <w:top w:val="nil"/>
              <w:left w:val="nil"/>
              <w:bottom w:val="nil"/>
              <w:right w:val="nil"/>
            </w:tcBorders>
            <w:shd w:val="clear" w:color="000000" w:fill="C7CFD8"/>
            <w:vAlign w:val="center"/>
            <w:hideMark/>
          </w:tcPr>
          <w:p w14:paraId="4F41E793"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B/A</w:t>
            </w:r>
          </w:p>
        </w:tc>
        <w:tc>
          <w:tcPr>
            <w:tcW w:w="1495" w:type="dxa"/>
            <w:tcBorders>
              <w:top w:val="nil"/>
              <w:left w:val="nil"/>
              <w:bottom w:val="nil"/>
              <w:right w:val="nil"/>
            </w:tcBorders>
            <w:shd w:val="clear" w:color="000000" w:fill="C7CFD8"/>
            <w:noWrap/>
            <w:vAlign w:val="center"/>
            <w:hideMark/>
          </w:tcPr>
          <w:p w14:paraId="2E5DDF59" w14:textId="77777777" w:rsidR="0090485B" w:rsidRPr="008E72BA" w:rsidRDefault="0090485B" w:rsidP="008F07B7">
            <w:pPr>
              <w:jc w:val="center"/>
              <w:rPr>
                <w:rFonts w:ascii="Arial Narrow" w:hAnsi="Arial Narrow" w:cs="Arial"/>
                <w:b/>
                <w:bCs/>
                <w:sz w:val="18"/>
                <w:szCs w:val="18"/>
              </w:rPr>
            </w:pPr>
            <w:r w:rsidRPr="008E72BA">
              <w:rPr>
                <w:rFonts w:ascii="Arial Narrow" w:hAnsi="Arial Narrow" w:cs="Arial"/>
                <w:b/>
                <w:bCs/>
                <w:sz w:val="18"/>
                <w:szCs w:val="18"/>
              </w:rPr>
              <w:t xml:space="preserve">C=A+B </w:t>
            </w:r>
          </w:p>
        </w:tc>
      </w:tr>
      <w:tr w:rsidR="0090485B" w:rsidRPr="008E72BA" w14:paraId="6E92A015" w14:textId="77777777" w:rsidTr="008F07B7">
        <w:trPr>
          <w:trHeight w:val="105"/>
          <w:jc w:val="center"/>
        </w:trPr>
        <w:tc>
          <w:tcPr>
            <w:tcW w:w="1156" w:type="dxa"/>
            <w:tcBorders>
              <w:top w:val="nil"/>
              <w:left w:val="nil"/>
              <w:bottom w:val="nil"/>
              <w:right w:val="nil"/>
            </w:tcBorders>
            <w:shd w:val="clear" w:color="auto" w:fill="auto"/>
            <w:hideMark/>
          </w:tcPr>
          <w:p w14:paraId="6DA929AC" w14:textId="77777777" w:rsidR="0090485B" w:rsidRPr="008E72BA" w:rsidRDefault="0090485B" w:rsidP="008F07B7">
            <w:pPr>
              <w:jc w:val="center"/>
              <w:rPr>
                <w:rFonts w:ascii="Arial Narrow" w:hAnsi="Arial Narrow" w:cs="Arial"/>
                <w:b/>
                <w:bCs/>
                <w:sz w:val="18"/>
                <w:szCs w:val="18"/>
              </w:rPr>
            </w:pPr>
          </w:p>
        </w:tc>
        <w:tc>
          <w:tcPr>
            <w:tcW w:w="1056" w:type="dxa"/>
            <w:tcBorders>
              <w:top w:val="nil"/>
              <w:left w:val="nil"/>
              <w:bottom w:val="nil"/>
              <w:right w:val="nil"/>
            </w:tcBorders>
            <w:shd w:val="clear" w:color="auto" w:fill="auto"/>
            <w:hideMark/>
          </w:tcPr>
          <w:p w14:paraId="0DB08C85" w14:textId="77777777" w:rsidR="0090485B" w:rsidRPr="008E72BA" w:rsidRDefault="0090485B" w:rsidP="008F07B7">
            <w:pPr>
              <w:jc w:val="center"/>
              <w:rPr>
                <w:rFonts w:ascii="Times New Roman" w:hAnsi="Times New Roman"/>
              </w:rPr>
            </w:pPr>
          </w:p>
        </w:tc>
        <w:tc>
          <w:tcPr>
            <w:tcW w:w="1017" w:type="dxa"/>
            <w:tcBorders>
              <w:top w:val="nil"/>
              <w:left w:val="nil"/>
              <w:bottom w:val="nil"/>
              <w:right w:val="nil"/>
            </w:tcBorders>
            <w:shd w:val="clear" w:color="auto" w:fill="auto"/>
            <w:hideMark/>
          </w:tcPr>
          <w:p w14:paraId="490B867C" w14:textId="77777777" w:rsidR="0090485B" w:rsidRPr="008E72BA" w:rsidRDefault="0090485B" w:rsidP="008F07B7">
            <w:pPr>
              <w:jc w:val="right"/>
              <w:rPr>
                <w:rFonts w:ascii="Times New Roman" w:hAnsi="Times New Roman"/>
              </w:rPr>
            </w:pPr>
          </w:p>
        </w:tc>
        <w:tc>
          <w:tcPr>
            <w:tcW w:w="976" w:type="dxa"/>
            <w:tcBorders>
              <w:top w:val="nil"/>
              <w:left w:val="nil"/>
              <w:bottom w:val="nil"/>
              <w:right w:val="nil"/>
            </w:tcBorders>
            <w:shd w:val="clear" w:color="auto" w:fill="auto"/>
            <w:hideMark/>
          </w:tcPr>
          <w:p w14:paraId="5A33176A" w14:textId="77777777" w:rsidR="0090485B" w:rsidRPr="008E72BA" w:rsidRDefault="0090485B" w:rsidP="008F07B7">
            <w:pPr>
              <w:jc w:val="right"/>
              <w:rPr>
                <w:rFonts w:ascii="Times New Roman" w:hAnsi="Times New Roman"/>
              </w:rPr>
            </w:pPr>
          </w:p>
        </w:tc>
        <w:tc>
          <w:tcPr>
            <w:tcW w:w="1495" w:type="dxa"/>
            <w:tcBorders>
              <w:top w:val="nil"/>
              <w:left w:val="nil"/>
              <w:bottom w:val="nil"/>
              <w:right w:val="nil"/>
            </w:tcBorders>
            <w:shd w:val="clear" w:color="auto" w:fill="auto"/>
            <w:hideMark/>
          </w:tcPr>
          <w:p w14:paraId="75162B93" w14:textId="77777777" w:rsidR="0090485B" w:rsidRPr="008E72BA" w:rsidRDefault="0090485B" w:rsidP="008F07B7">
            <w:pPr>
              <w:jc w:val="right"/>
              <w:rPr>
                <w:rFonts w:ascii="Times New Roman" w:hAnsi="Times New Roman"/>
              </w:rPr>
            </w:pPr>
          </w:p>
        </w:tc>
      </w:tr>
      <w:tr w:rsidR="0090485B" w:rsidRPr="008E72BA" w14:paraId="649DC750" w14:textId="77777777" w:rsidTr="008F07B7">
        <w:trPr>
          <w:trHeight w:val="315"/>
          <w:jc w:val="center"/>
        </w:trPr>
        <w:tc>
          <w:tcPr>
            <w:tcW w:w="1156" w:type="dxa"/>
            <w:tcBorders>
              <w:top w:val="nil"/>
              <w:left w:val="nil"/>
              <w:bottom w:val="nil"/>
              <w:right w:val="nil"/>
            </w:tcBorders>
            <w:shd w:val="clear" w:color="auto" w:fill="auto"/>
            <w:hideMark/>
          </w:tcPr>
          <w:p w14:paraId="0A14453C" w14:textId="77777777" w:rsidR="0090485B" w:rsidRPr="008E72BA" w:rsidRDefault="0090485B" w:rsidP="008F07B7">
            <w:pPr>
              <w:jc w:val="center"/>
              <w:rPr>
                <w:rFonts w:ascii="Arial Narrow" w:hAnsi="Arial Narrow" w:cs="Arial"/>
                <w:color w:val="000000"/>
              </w:rPr>
            </w:pPr>
            <w:r w:rsidRPr="008E72BA">
              <w:rPr>
                <w:rFonts w:ascii="Arial Narrow" w:hAnsi="Arial Narrow" w:cs="Arial"/>
                <w:color w:val="000000"/>
              </w:rPr>
              <w:t>UV.1</w:t>
            </w:r>
          </w:p>
        </w:tc>
        <w:tc>
          <w:tcPr>
            <w:tcW w:w="1056" w:type="dxa"/>
            <w:tcBorders>
              <w:top w:val="nil"/>
              <w:left w:val="nil"/>
              <w:bottom w:val="nil"/>
              <w:right w:val="nil"/>
            </w:tcBorders>
            <w:shd w:val="clear" w:color="auto" w:fill="auto"/>
            <w:hideMark/>
          </w:tcPr>
          <w:p w14:paraId="46B0CF29" w14:textId="77777777" w:rsidR="0090485B" w:rsidRPr="008E72BA" w:rsidRDefault="0090485B" w:rsidP="008F07B7">
            <w:pPr>
              <w:jc w:val="right"/>
              <w:rPr>
                <w:rFonts w:ascii="Arial Narrow" w:hAnsi="Arial Narrow" w:cs="Arial"/>
                <w:color w:val="000000"/>
              </w:rPr>
            </w:pPr>
            <w:r w:rsidRPr="008E72BA">
              <w:rPr>
                <w:rFonts w:ascii="Arial Narrow" w:hAnsi="Arial Narrow" w:cs="Arial"/>
                <w:color w:val="000000"/>
              </w:rPr>
              <w:t>798</w:t>
            </w:r>
          </w:p>
        </w:tc>
        <w:tc>
          <w:tcPr>
            <w:tcW w:w="1017" w:type="dxa"/>
            <w:tcBorders>
              <w:top w:val="nil"/>
              <w:left w:val="nil"/>
              <w:bottom w:val="nil"/>
              <w:right w:val="nil"/>
            </w:tcBorders>
            <w:shd w:val="clear" w:color="auto" w:fill="auto"/>
            <w:hideMark/>
          </w:tcPr>
          <w:p w14:paraId="080832DC" w14:textId="594371A9" w:rsidR="0090485B" w:rsidRPr="008E72BA" w:rsidRDefault="0090485B" w:rsidP="00ED5835">
            <w:pPr>
              <w:jc w:val="right"/>
              <w:rPr>
                <w:rFonts w:ascii="Arial Narrow" w:hAnsi="Arial Narrow" w:cs="Arial"/>
                <w:color w:val="000000"/>
              </w:rPr>
            </w:pPr>
            <w:r w:rsidRPr="008E72BA">
              <w:rPr>
                <w:rFonts w:ascii="Arial Narrow" w:hAnsi="Arial Narrow" w:cs="Arial"/>
                <w:color w:val="000000"/>
              </w:rPr>
              <w:t>1</w:t>
            </w:r>
            <w:r w:rsidR="00ED5835">
              <w:rPr>
                <w:rFonts w:ascii="Arial Narrow" w:hAnsi="Arial Narrow" w:cs="Arial"/>
                <w:color w:val="000000"/>
              </w:rPr>
              <w:t>8</w:t>
            </w:r>
          </w:p>
        </w:tc>
        <w:tc>
          <w:tcPr>
            <w:tcW w:w="976" w:type="dxa"/>
            <w:tcBorders>
              <w:top w:val="nil"/>
              <w:left w:val="nil"/>
              <w:bottom w:val="nil"/>
              <w:right w:val="nil"/>
            </w:tcBorders>
            <w:shd w:val="clear" w:color="auto" w:fill="auto"/>
            <w:noWrap/>
            <w:vAlign w:val="center"/>
            <w:hideMark/>
          </w:tcPr>
          <w:p w14:paraId="3D93E908" w14:textId="0B6C45C7" w:rsidR="0090485B" w:rsidRPr="008E72BA" w:rsidRDefault="0090485B" w:rsidP="00ED5835">
            <w:pPr>
              <w:jc w:val="right"/>
              <w:rPr>
                <w:rFonts w:ascii="Arial Narrow" w:hAnsi="Arial Narrow" w:cs="Arial"/>
              </w:rPr>
            </w:pPr>
            <w:r w:rsidRPr="008E72BA">
              <w:rPr>
                <w:rFonts w:ascii="Arial Narrow" w:hAnsi="Arial Narrow" w:cs="Arial"/>
              </w:rPr>
              <w:t>2.</w:t>
            </w:r>
            <w:r w:rsidR="00ED5835">
              <w:rPr>
                <w:rFonts w:ascii="Arial Narrow" w:hAnsi="Arial Narrow" w:cs="Arial"/>
              </w:rPr>
              <w:t>3</w:t>
            </w:r>
            <w:r w:rsidRPr="008E72BA">
              <w:rPr>
                <w:rFonts w:ascii="Arial Narrow" w:hAnsi="Arial Narrow" w:cs="Arial"/>
              </w:rPr>
              <w:t>%</w:t>
            </w:r>
          </w:p>
        </w:tc>
        <w:tc>
          <w:tcPr>
            <w:tcW w:w="1495" w:type="dxa"/>
            <w:tcBorders>
              <w:top w:val="nil"/>
              <w:left w:val="nil"/>
              <w:bottom w:val="nil"/>
              <w:right w:val="nil"/>
            </w:tcBorders>
            <w:shd w:val="clear" w:color="auto" w:fill="auto"/>
            <w:hideMark/>
          </w:tcPr>
          <w:p w14:paraId="6E5F99D7" w14:textId="53BD8D8D" w:rsidR="0090485B" w:rsidRPr="008E72BA" w:rsidRDefault="0090485B" w:rsidP="00ED5835">
            <w:pPr>
              <w:jc w:val="right"/>
              <w:rPr>
                <w:rFonts w:ascii="Arial Narrow" w:hAnsi="Arial Narrow" w:cs="Arial"/>
                <w:color w:val="000000"/>
              </w:rPr>
            </w:pPr>
            <w:r w:rsidRPr="008E72BA">
              <w:rPr>
                <w:rFonts w:ascii="Arial Narrow" w:hAnsi="Arial Narrow" w:cs="Arial"/>
                <w:color w:val="000000"/>
              </w:rPr>
              <w:t>81</w:t>
            </w:r>
            <w:r w:rsidR="00ED5835">
              <w:rPr>
                <w:rFonts w:ascii="Arial Narrow" w:hAnsi="Arial Narrow" w:cs="Arial"/>
                <w:color w:val="000000"/>
              </w:rPr>
              <w:t>6</w:t>
            </w:r>
          </w:p>
        </w:tc>
      </w:tr>
      <w:tr w:rsidR="0090485B" w:rsidRPr="008E72BA" w14:paraId="26017B96" w14:textId="77777777" w:rsidTr="008F07B7">
        <w:trPr>
          <w:trHeight w:val="315"/>
          <w:jc w:val="center"/>
        </w:trPr>
        <w:tc>
          <w:tcPr>
            <w:tcW w:w="1156" w:type="dxa"/>
            <w:tcBorders>
              <w:top w:val="nil"/>
              <w:left w:val="nil"/>
              <w:bottom w:val="nil"/>
              <w:right w:val="nil"/>
            </w:tcBorders>
            <w:shd w:val="clear" w:color="auto" w:fill="auto"/>
            <w:hideMark/>
          </w:tcPr>
          <w:p w14:paraId="13F42BCC" w14:textId="77777777" w:rsidR="0090485B" w:rsidRPr="008E72BA" w:rsidRDefault="0090485B" w:rsidP="008F07B7">
            <w:pPr>
              <w:jc w:val="center"/>
              <w:rPr>
                <w:rFonts w:ascii="Arial Narrow" w:hAnsi="Arial Narrow" w:cs="Arial"/>
                <w:color w:val="000000"/>
              </w:rPr>
            </w:pPr>
            <w:r w:rsidRPr="008E72BA">
              <w:rPr>
                <w:rFonts w:ascii="Arial Narrow" w:hAnsi="Arial Narrow" w:cs="Arial"/>
                <w:color w:val="000000"/>
              </w:rPr>
              <w:t>UV.2</w:t>
            </w:r>
          </w:p>
        </w:tc>
        <w:tc>
          <w:tcPr>
            <w:tcW w:w="1056" w:type="dxa"/>
            <w:tcBorders>
              <w:top w:val="nil"/>
              <w:left w:val="nil"/>
              <w:bottom w:val="nil"/>
              <w:right w:val="nil"/>
            </w:tcBorders>
            <w:shd w:val="clear" w:color="auto" w:fill="auto"/>
            <w:hideMark/>
          </w:tcPr>
          <w:p w14:paraId="1940DB85" w14:textId="77777777" w:rsidR="0090485B" w:rsidRPr="008E72BA" w:rsidRDefault="0090485B" w:rsidP="008F07B7">
            <w:pPr>
              <w:jc w:val="right"/>
              <w:rPr>
                <w:rFonts w:ascii="Arial Narrow" w:hAnsi="Arial Narrow" w:cs="Arial"/>
                <w:color w:val="000000"/>
              </w:rPr>
            </w:pPr>
            <w:r w:rsidRPr="008E72BA">
              <w:rPr>
                <w:rFonts w:ascii="Arial Narrow" w:hAnsi="Arial Narrow" w:cs="Arial"/>
                <w:color w:val="000000"/>
              </w:rPr>
              <w:t>4,268</w:t>
            </w:r>
          </w:p>
        </w:tc>
        <w:tc>
          <w:tcPr>
            <w:tcW w:w="1017" w:type="dxa"/>
            <w:tcBorders>
              <w:top w:val="nil"/>
              <w:left w:val="nil"/>
              <w:bottom w:val="nil"/>
              <w:right w:val="nil"/>
            </w:tcBorders>
            <w:shd w:val="clear" w:color="auto" w:fill="auto"/>
            <w:hideMark/>
          </w:tcPr>
          <w:p w14:paraId="68324FCF" w14:textId="29EC4526" w:rsidR="0090485B" w:rsidRPr="008E72BA" w:rsidRDefault="00ED5835" w:rsidP="008F07B7">
            <w:pPr>
              <w:jc w:val="right"/>
              <w:rPr>
                <w:rFonts w:ascii="Arial Narrow" w:hAnsi="Arial Narrow" w:cs="Arial"/>
                <w:color w:val="000000"/>
              </w:rPr>
            </w:pPr>
            <w:r>
              <w:rPr>
                <w:rFonts w:ascii="Arial Narrow" w:hAnsi="Arial Narrow" w:cs="Arial"/>
                <w:color w:val="000000"/>
              </w:rPr>
              <w:t>218</w:t>
            </w:r>
          </w:p>
        </w:tc>
        <w:tc>
          <w:tcPr>
            <w:tcW w:w="976" w:type="dxa"/>
            <w:tcBorders>
              <w:top w:val="nil"/>
              <w:left w:val="nil"/>
              <w:bottom w:val="nil"/>
              <w:right w:val="nil"/>
            </w:tcBorders>
            <w:shd w:val="clear" w:color="auto" w:fill="auto"/>
            <w:noWrap/>
            <w:vAlign w:val="center"/>
            <w:hideMark/>
          </w:tcPr>
          <w:p w14:paraId="6D2CB7E0" w14:textId="68257DFF" w:rsidR="0090485B" w:rsidRPr="008E72BA" w:rsidRDefault="00ED5835" w:rsidP="008F07B7">
            <w:pPr>
              <w:jc w:val="right"/>
              <w:rPr>
                <w:rFonts w:ascii="Arial Narrow" w:hAnsi="Arial Narrow" w:cs="Arial"/>
              </w:rPr>
            </w:pPr>
            <w:r>
              <w:rPr>
                <w:rFonts w:ascii="Arial Narrow" w:hAnsi="Arial Narrow" w:cs="Arial"/>
              </w:rPr>
              <w:t>5.1</w:t>
            </w:r>
            <w:r w:rsidR="0090485B" w:rsidRPr="008E72BA">
              <w:rPr>
                <w:rFonts w:ascii="Arial Narrow" w:hAnsi="Arial Narrow" w:cs="Arial"/>
              </w:rPr>
              <w:t>%</w:t>
            </w:r>
          </w:p>
        </w:tc>
        <w:tc>
          <w:tcPr>
            <w:tcW w:w="1495" w:type="dxa"/>
            <w:tcBorders>
              <w:top w:val="nil"/>
              <w:left w:val="nil"/>
              <w:bottom w:val="nil"/>
              <w:right w:val="nil"/>
            </w:tcBorders>
            <w:shd w:val="clear" w:color="auto" w:fill="auto"/>
            <w:hideMark/>
          </w:tcPr>
          <w:p w14:paraId="6796F9FE" w14:textId="015F8C83" w:rsidR="0090485B" w:rsidRPr="008E72BA" w:rsidRDefault="00ED5835" w:rsidP="008F07B7">
            <w:pPr>
              <w:jc w:val="right"/>
              <w:rPr>
                <w:rFonts w:ascii="Arial Narrow" w:hAnsi="Arial Narrow" w:cs="Arial"/>
                <w:color w:val="000000"/>
              </w:rPr>
            </w:pPr>
            <w:r>
              <w:rPr>
                <w:rFonts w:ascii="Arial Narrow" w:hAnsi="Arial Narrow" w:cs="Arial"/>
                <w:color w:val="000000"/>
              </w:rPr>
              <w:t>4,486</w:t>
            </w:r>
          </w:p>
        </w:tc>
      </w:tr>
      <w:tr w:rsidR="0090485B" w:rsidRPr="008E72BA" w14:paraId="381B1CC6" w14:textId="77777777" w:rsidTr="008F07B7">
        <w:trPr>
          <w:trHeight w:val="330"/>
          <w:jc w:val="center"/>
        </w:trPr>
        <w:tc>
          <w:tcPr>
            <w:tcW w:w="1156" w:type="dxa"/>
            <w:tcBorders>
              <w:top w:val="nil"/>
              <w:left w:val="nil"/>
              <w:bottom w:val="nil"/>
              <w:right w:val="nil"/>
            </w:tcBorders>
            <w:shd w:val="clear" w:color="auto" w:fill="auto"/>
            <w:hideMark/>
          </w:tcPr>
          <w:p w14:paraId="21EEFC11" w14:textId="77777777" w:rsidR="0090485B" w:rsidRPr="008E72BA" w:rsidRDefault="0090485B" w:rsidP="008F07B7">
            <w:pPr>
              <w:jc w:val="center"/>
              <w:rPr>
                <w:rFonts w:ascii="Arial Narrow" w:hAnsi="Arial Narrow" w:cs="Arial"/>
                <w:color w:val="000000"/>
              </w:rPr>
            </w:pPr>
            <w:r w:rsidRPr="008E72BA">
              <w:rPr>
                <w:rFonts w:ascii="Arial Narrow" w:hAnsi="Arial Narrow" w:cs="Arial"/>
                <w:color w:val="000000"/>
              </w:rPr>
              <w:t>UV.3</w:t>
            </w:r>
          </w:p>
        </w:tc>
        <w:tc>
          <w:tcPr>
            <w:tcW w:w="1056" w:type="dxa"/>
            <w:tcBorders>
              <w:top w:val="nil"/>
              <w:left w:val="nil"/>
              <w:bottom w:val="nil"/>
              <w:right w:val="nil"/>
            </w:tcBorders>
            <w:shd w:val="clear" w:color="auto" w:fill="auto"/>
            <w:hideMark/>
          </w:tcPr>
          <w:p w14:paraId="6848D218" w14:textId="77777777" w:rsidR="0090485B" w:rsidRPr="008E72BA" w:rsidRDefault="0090485B" w:rsidP="008F07B7">
            <w:pPr>
              <w:jc w:val="right"/>
              <w:rPr>
                <w:rFonts w:ascii="Arial Narrow" w:hAnsi="Arial Narrow" w:cs="Arial"/>
                <w:color w:val="000000"/>
              </w:rPr>
            </w:pPr>
            <w:r w:rsidRPr="008E72BA">
              <w:rPr>
                <w:rFonts w:ascii="Arial Narrow" w:hAnsi="Arial Narrow" w:cs="Arial"/>
                <w:color w:val="000000"/>
              </w:rPr>
              <w:t>1,633</w:t>
            </w:r>
          </w:p>
        </w:tc>
        <w:tc>
          <w:tcPr>
            <w:tcW w:w="1017" w:type="dxa"/>
            <w:tcBorders>
              <w:top w:val="nil"/>
              <w:left w:val="nil"/>
              <w:bottom w:val="nil"/>
              <w:right w:val="nil"/>
            </w:tcBorders>
            <w:shd w:val="clear" w:color="auto" w:fill="auto"/>
            <w:hideMark/>
          </w:tcPr>
          <w:p w14:paraId="4CB0CC38" w14:textId="499E2E25" w:rsidR="0090485B" w:rsidRPr="008E72BA" w:rsidRDefault="00ED5835" w:rsidP="008F07B7">
            <w:pPr>
              <w:jc w:val="right"/>
              <w:rPr>
                <w:rFonts w:ascii="Arial Narrow" w:hAnsi="Arial Narrow" w:cs="Arial"/>
                <w:color w:val="000000"/>
              </w:rPr>
            </w:pPr>
            <w:r>
              <w:rPr>
                <w:rFonts w:ascii="Arial Narrow" w:hAnsi="Arial Narrow" w:cs="Arial"/>
                <w:color w:val="000000"/>
              </w:rPr>
              <w:t>39</w:t>
            </w:r>
          </w:p>
        </w:tc>
        <w:tc>
          <w:tcPr>
            <w:tcW w:w="976" w:type="dxa"/>
            <w:tcBorders>
              <w:top w:val="nil"/>
              <w:left w:val="nil"/>
              <w:bottom w:val="nil"/>
              <w:right w:val="nil"/>
            </w:tcBorders>
            <w:shd w:val="clear" w:color="auto" w:fill="auto"/>
            <w:noWrap/>
            <w:vAlign w:val="center"/>
            <w:hideMark/>
          </w:tcPr>
          <w:p w14:paraId="35975098" w14:textId="545D0FE4" w:rsidR="0090485B" w:rsidRPr="008E72BA" w:rsidRDefault="00ED5835" w:rsidP="008F07B7">
            <w:pPr>
              <w:jc w:val="right"/>
              <w:rPr>
                <w:rFonts w:ascii="Arial Narrow" w:hAnsi="Arial Narrow" w:cs="Arial"/>
              </w:rPr>
            </w:pPr>
            <w:r>
              <w:rPr>
                <w:rFonts w:ascii="Arial Narrow" w:hAnsi="Arial Narrow" w:cs="Arial"/>
              </w:rPr>
              <w:t>2.4</w:t>
            </w:r>
            <w:r w:rsidR="0090485B" w:rsidRPr="008E72BA">
              <w:rPr>
                <w:rFonts w:ascii="Arial Narrow" w:hAnsi="Arial Narrow" w:cs="Arial"/>
              </w:rPr>
              <w:t>%</w:t>
            </w:r>
          </w:p>
        </w:tc>
        <w:tc>
          <w:tcPr>
            <w:tcW w:w="1495" w:type="dxa"/>
            <w:tcBorders>
              <w:top w:val="nil"/>
              <w:left w:val="nil"/>
              <w:bottom w:val="nil"/>
              <w:right w:val="nil"/>
            </w:tcBorders>
            <w:shd w:val="clear" w:color="auto" w:fill="auto"/>
            <w:hideMark/>
          </w:tcPr>
          <w:p w14:paraId="08FB9F4E" w14:textId="113789F4" w:rsidR="0090485B" w:rsidRPr="008E72BA" w:rsidRDefault="00ED5835" w:rsidP="008F07B7">
            <w:pPr>
              <w:jc w:val="right"/>
              <w:rPr>
                <w:rFonts w:ascii="Arial Narrow" w:hAnsi="Arial Narrow" w:cs="Arial"/>
                <w:color w:val="000000"/>
              </w:rPr>
            </w:pPr>
            <w:r>
              <w:rPr>
                <w:rFonts w:ascii="Arial Narrow" w:hAnsi="Arial Narrow" w:cs="Arial"/>
                <w:color w:val="000000"/>
              </w:rPr>
              <w:t>1,672</w:t>
            </w:r>
          </w:p>
        </w:tc>
      </w:tr>
      <w:tr w:rsidR="0090485B" w:rsidRPr="008E72BA" w14:paraId="71A73A4B" w14:textId="77777777" w:rsidTr="008F07B7">
        <w:trPr>
          <w:trHeight w:val="330"/>
          <w:jc w:val="center"/>
        </w:trPr>
        <w:tc>
          <w:tcPr>
            <w:tcW w:w="1156" w:type="dxa"/>
            <w:tcBorders>
              <w:top w:val="nil"/>
              <w:left w:val="nil"/>
              <w:bottom w:val="nil"/>
              <w:right w:val="nil"/>
            </w:tcBorders>
            <w:shd w:val="clear" w:color="auto" w:fill="auto"/>
            <w:hideMark/>
          </w:tcPr>
          <w:p w14:paraId="032B9C91" w14:textId="77777777" w:rsidR="0090485B" w:rsidRPr="008E72BA" w:rsidRDefault="0090485B" w:rsidP="008F07B7">
            <w:pPr>
              <w:jc w:val="center"/>
              <w:rPr>
                <w:rFonts w:ascii="Arial Narrow" w:hAnsi="Arial Narrow" w:cs="Arial"/>
                <w:color w:val="000000"/>
              </w:rPr>
            </w:pPr>
            <w:r w:rsidRPr="008E72BA">
              <w:rPr>
                <w:rFonts w:ascii="Arial Narrow" w:hAnsi="Arial Narrow" w:cs="Arial"/>
                <w:color w:val="000000"/>
              </w:rPr>
              <w:t>UV.4</w:t>
            </w:r>
          </w:p>
        </w:tc>
        <w:tc>
          <w:tcPr>
            <w:tcW w:w="1056" w:type="dxa"/>
            <w:tcBorders>
              <w:top w:val="nil"/>
              <w:left w:val="nil"/>
              <w:bottom w:val="nil"/>
              <w:right w:val="nil"/>
            </w:tcBorders>
            <w:shd w:val="clear" w:color="auto" w:fill="auto"/>
            <w:hideMark/>
          </w:tcPr>
          <w:p w14:paraId="3B2228D7" w14:textId="77777777" w:rsidR="0090485B" w:rsidRPr="008E72BA" w:rsidRDefault="0090485B" w:rsidP="008F07B7">
            <w:pPr>
              <w:jc w:val="right"/>
              <w:rPr>
                <w:rFonts w:ascii="Arial Narrow" w:hAnsi="Arial Narrow" w:cs="Arial"/>
                <w:color w:val="000000"/>
              </w:rPr>
            </w:pPr>
            <w:r w:rsidRPr="008E72BA">
              <w:rPr>
                <w:rFonts w:ascii="Arial Narrow" w:hAnsi="Arial Narrow" w:cs="Arial"/>
                <w:color w:val="000000"/>
              </w:rPr>
              <w:t>648</w:t>
            </w:r>
          </w:p>
        </w:tc>
        <w:tc>
          <w:tcPr>
            <w:tcW w:w="1017" w:type="dxa"/>
            <w:tcBorders>
              <w:top w:val="nil"/>
              <w:left w:val="nil"/>
              <w:bottom w:val="nil"/>
              <w:right w:val="nil"/>
            </w:tcBorders>
            <w:shd w:val="clear" w:color="auto" w:fill="auto"/>
            <w:hideMark/>
          </w:tcPr>
          <w:p w14:paraId="2885827F" w14:textId="1AB40D3D" w:rsidR="0090485B" w:rsidRPr="008E72BA" w:rsidRDefault="00ED5835" w:rsidP="008F07B7">
            <w:pPr>
              <w:jc w:val="right"/>
              <w:rPr>
                <w:rFonts w:ascii="Arial Narrow" w:hAnsi="Arial Narrow" w:cs="Arial"/>
                <w:color w:val="000000"/>
              </w:rPr>
            </w:pPr>
            <w:r>
              <w:rPr>
                <w:rFonts w:ascii="Arial Narrow" w:hAnsi="Arial Narrow" w:cs="Arial"/>
                <w:color w:val="000000"/>
              </w:rPr>
              <w:t>12</w:t>
            </w:r>
          </w:p>
        </w:tc>
        <w:tc>
          <w:tcPr>
            <w:tcW w:w="976" w:type="dxa"/>
            <w:tcBorders>
              <w:top w:val="nil"/>
              <w:left w:val="nil"/>
              <w:bottom w:val="nil"/>
              <w:right w:val="nil"/>
            </w:tcBorders>
            <w:shd w:val="clear" w:color="auto" w:fill="auto"/>
            <w:noWrap/>
            <w:vAlign w:val="center"/>
            <w:hideMark/>
          </w:tcPr>
          <w:p w14:paraId="24EC0A12" w14:textId="086CAE76" w:rsidR="0090485B" w:rsidRPr="008E72BA" w:rsidRDefault="00ED5835" w:rsidP="00ED5835">
            <w:pPr>
              <w:jc w:val="right"/>
              <w:rPr>
                <w:rFonts w:ascii="Arial Narrow" w:hAnsi="Arial Narrow" w:cs="Arial"/>
              </w:rPr>
            </w:pPr>
            <w:r>
              <w:rPr>
                <w:rFonts w:ascii="Arial Narrow" w:hAnsi="Arial Narrow" w:cs="Arial"/>
              </w:rPr>
              <w:t>1</w:t>
            </w:r>
            <w:r w:rsidR="0090485B" w:rsidRPr="008E72BA">
              <w:rPr>
                <w:rFonts w:ascii="Arial Narrow" w:hAnsi="Arial Narrow" w:cs="Arial"/>
              </w:rPr>
              <w:t>.</w:t>
            </w:r>
            <w:r>
              <w:rPr>
                <w:rFonts w:ascii="Arial Narrow" w:hAnsi="Arial Narrow" w:cs="Arial"/>
              </w:rPr>
              <w:t>8</w:t>
            </w:r>
            <w:r w:rsidR="0090485B" w:rsidRPr="008E72BA">
              <w:rPr>
                <w:rFonts w:ascii="Arial Narrow" w:hAnsi="Arial Narrow" w:cs="Arial"/>
              </w:rPr>
              <w:t>%</w:t>
            </w:r>
          </w:p>
        </w:tc>
        <w:tc>
          <w:tcPr>
            <w:tcW w:w="1495" w:type="dxa"/>
            <w:tcBorders>
              <w:top w:val="nil"/>
              <w:left w:val="nil"/>
              <w:bottom w:val="nil"/>
              <w:right w:val="nil"/>
            </w:tcBorders>
            <w:shd w:val="clear" w:color="auto" w:fill="auto"/>
            <w:hideMark/>
          </w:tcPr>
          <w:p w14:paraId="0E4B1668" w14:textId="4C6D9B6A" w:rsidR="0090485B" w:rsidRPr="008E72BA" w:rsidRDefault="0090485B" w:rsidP="008F07B7">
            <w:pPr>
              <w:jc w:val="right"/>
              <w:rPr>
                <w:rFonts w:ascii="Arial Narrow" w:hAnsi="Arial Narrow" w:cs="Arial"/>
                <w:color w:val="000000"/>
              </w:rPr>
            </w:pPr>
            <w:r w:rsidRPr="008E72BA">
              <w:rPr>
                <w:rFonts w:ascii="Arial Narrow" w:hAnsi="Arial Narrow" w:cs="Arial"/>
                <w:color w:val="000000"/>
              </w:rPr>
              <w:t>6</w:t>
            </w:r>
            <w:r w:rsidR="00ED5835">
              <w:rPr>
                <w:rFonts w:ascii="Arial Narrow" w:hAnsi="Arial Narrow" w:cs="Arial"/>
                <w:color w:val="000000"/>
              </w:rPr>
              <w:t>60</w:t>
            </w:r>
          </w:p>
        </w:tc>
      </w:tr>
      <w:tr w:rsidR="0090485B" w:rsidRPr="008E72BA" w14:paraId="27AB668E" w14:textId="77777777" w:rsidTr="008F07B7">
        <w:trPr>
          <w:trHeight w:val="105"/>
          <w:jc w:val="center"/>
        </w:trPr>
        <w:tc>
          <w:tcPr>
            <w:tcW w:w="1156" w:type="dxa"/>
            <w:tcBorders>
              <w:top w:val="nil"/>
              <w:left w:val="nil"/>
              <w:bottom w:val="nil"/>
              <w:right w:val="nil"/>
            </w:tcBorders>
            <w:shd w:val="clear" w:color="auto" w:fill="auto"/>
            <w:hideMark/>
          </w:tcPr>
          <w:p w14:paraId="37743706" w14:textId="77777777" w:rsidR="0090485B" w:rsidRPr="008E72BA" w:rsidRDefault="0090485B" w:rsidP="008F07B7">
            <w:pPr>
              <w:jc w:val="right"/>
              <w:rPr>
                <w:rFonts w:ascii="Arial Narrow" w:hAnsi="Arial Narrow" w:cs="Arial"/>
                <w:color w:val="000000"/>
              </w:rPr>
            </w:pPr>
          </w:p>
        </w:tc>
        <w:tc>
          <w:tcPr>
            <w:tcW w:w="1056" w:type="dxa"/>
            <w:tcBorders>
              <w:top w:val="nil"/>
              <w:left w:val="nil"/>
              <w:bottom w:val="nil"/>
              <w:right w:val="nil"/>
            </w:tcBorders>
            <w:shd w:val="clear" w:color="auto" w:fill="auto"/>
            <w:hideMark/>
          </w:tcPr>
          <w:p w14:paraId="006FAAB0" w14:textId="77777777" w:rsidR="0090485B" w:rsidRPr="008E72BA" w:rsidRDefault="0090485B" w:rsidP="008F07B7">
            <w:pPr>
              <w:jc w:val="center"/>
              <w:rPr>
                <w:rFonts w:ascii="Times New Roman" w:hAnsi="Times New Roman"/>
              </w:rPr>
            </w:pPr>
          </w:p>
        </w:tc>
        <w:tc>
          <w:tcPr>
            <w:tcW w:w="1017" w:type="dxa"/>
            <w:tcBorders>
              <w:top w:val="nil"/>
              <w:left w:val="nil"/>
              <w:bottom w:val="nil"/>
              <w:right w:val="nil"/>
            </w:tcBorders>
            <w:shd w:val="clear" w:color="auto" w:fill="auto"/>
            <w:hideMark/>
          </w:tcPr>
          <w:p w14:paraId="56F3DCAE" w14:textId="77777777" w:rsidR="0090485B" w:rsidRPr="008E72BA" w:rsidRDefault="0090485B" w:rsidP="008F07B7">
            <w:pPr>
              <w:jc w:val="right"/>
              <w:rPr>
                <w:rFonts w:ascii="Times New Roman" w:hAnsi="Times New Roman"/>
              </w:rPr>
            </w:pPr>
          </w:p>
        </w:tc>
        <w:tc>
          <w:tcPr>
            <w:tcW w:w="976" w:type="dxa"/>
            <w:tcBorders>
              <w:top w:val="nil"/>
              <w:left w:val="nil"/>
              <w:bottom w:val="nil"/>
              <w:right w:val="nil"/>
            </w:tcBorders>
            <w:shd w:val="clear" w:color="auto" w:fill="auto"/>
            <w:noWrap/>
            <w:vAlign w:val="center"/>
            <w:hideMark/>
          </w:tcPr>
          <w:p w14:paraId="6465E8A2" w14:textId="77777777" w:rsidR="0090485B" w:rsidRPr="008E72BA" w:rsidRDefault="0090485B" w:rsidP="008F07B7">
            <w:pPr>
              <w:jc w:val="right"/>
              <w:rPr>
                <w:rFonts w:ascii="Times New Roman" w:hAnsi="Times New Roman"/>
              </w:rPr>
            </w:pPr>
          </w:p>
        </w:tc>
        <w:tc>
          <w:tcPr>
            <w:tcW w:w="1495" w:type="dxa"/>
            <w:tcBorders>
              <w:top w:val="nil"/>
              <w:left w:val="nil"/>
              <w:bottom w:val="nil"/>
              <w:right w:val="nil"/>
            </w:tcBorders>
            <w:shd w:val="clear" w:color="auto" w:fill="auto"/>
            <w:hideMark/>
          </w:tcPr>
          <w:p w14:paraId="349A89F6" w14:textId="77777777" w:rsidR="0090485B" w:rsidRPr="008E72BA" w:rsidRDefault="0090485B" w:rsidP="008F07B7">
            <w:pPr>
              <w:jc w:val="right"/>
              <w:rPr>
                <w:rFonts w:ascii="Times New Roman" w:hAnsi="Times New Roman"/>
              </w:rPr>
            </w:pPr>
          </w:p>
        </w:tc>
      </w:tr>
      <w:tr w:rsidR="0090485B" w:rsidRPr="008E72BA" w14:paraId="31994CC9" w14:textId="77777777" w:rsidTr="008F07B7">
        <w:trPr>
          <w:trHeight w:val="345"/>
          <w:jc w:val="center"/>
        </w:trPr>
        <w:tc>
          <w:tcPr>
            <w:tcW w:w="1156" w:type="dxa"/>
            <w:tcBorders>
              <w:top w:val="single" w:sz="4" w:space="0" w:color="AAB8C4"/>
              <w:left w:val="nil"/>
              <w:bottom w:val="single" w:sz="8" w:space="0" w:color="AAB8C4"/>
              <w:right w:val="nil"/>
            </w:tcBorders>
            <w:shd w:val="clear" w:color="auto" w:fill="auto"/>
            <w:vAlign w:val="center"/>
            <w:hideMark/>
          </w:tcPr>
          <w:p w14:paraId="758A144C" w14:textId="77777777" w:rsidR="0090485B" w:rsidRPr="008E72BA" w:rsidRDefault="0090485B" w:rsidP="008F07B7">
            <w:pPr>
              <w:jc w:val="center"/>
              <w:rPr>
                <w:rFonts w:ascii="Arial Narrow" w:hAnsi="Arial Narrow" w:cs="Arial"/>
                <w:b/>
                <w:bCs/>
                <w:color w:val="000000"/>
              </w:rPr>
            </w:pPr>
            <w:r w:rsidRPr="008E72BA">
              <w:rPr>
                <w:rFonts w:ascii="Arial Narrow" w:hAnsi="Arial Narrow" w:cs="Arial"/>
                <w:b/>
                <w:bCs/>
                <w:color w:val="000000"/>
              </w:rPr>
              <w:t>TOTAL</w:t>
            </w:r>
          </w:p>
        </w:tc>
        <w:tc>
          <w:tcPr>
            <w:tcW w:w="1056" w:type="dxa"/>
            <w:tcBorders>
              <w:top w:val="single" w:sz="4" w:space="0" w:color="AAB8C4"/>
              <w:left w:val="nil"/>
              <w:bottom w:val="single" w:sz="8" w:space="0" w:color="AAB8C4"/>
              <w:right w:val="nil"/>
            </w:tcBorders>
            <w:shd w:val="clear" w:color="auto" w:fill="auto"/>
            <w:vAlign w:val="center"/>
            <w:hideMark/>
          </w:tcPr>
          <w:p w14:paraId="4D39A916" w14:textId="77777777" w:rsidR="0090485B" w:rsidRPr="008E72BA" w:rsidRDefault="0090485B" w:rsidP="008F07B7">
            <w:pPr>
              <w:jc w:val="right"/>
              <w:rPr>
                <w:rFonts w:ascii="Arial Narrow" w:hAnsi="Arial Narrow" w:cs="Arial"/>
                <w:b/>
                <w:bCs/>
                <w:color w:val="000000"/>
              </w:rPr>
            </w:pPr>
            <w:r w:rsidRPr="008E72BA">
              <w:rPr>
                <w:rFonts w:ascii="Arial Narrow" w:hAnsi="Arial Narrow" w:cs="Arial"/>
                <w:b/>
                <w:bCs/>
                <w:color w:val="000000"/>
              </w:rPr>
              <w:t>7,347</w:t>
            </w:r>
          </w:p>
        </w:tc>
        <w:tc>
          <w:tcPr>
            <w:tcW w:w="1017" w:type="dxa"/>
            <w:tcBorders>
              <w:top w:val="single" w:sz="4" w:space="0" w:color="AAB8C4"/>
              <w:left w:val="nil"/>
              <w:bottom w:val="single" w:sz="8" w:space="0" w:color="AAB8C4"/>
              <w:right w:val="nil"/>
            </w:tcBorders>
            <w:shd w:val="clear" w:color="auto" w:fill="auto"/>
            <w:vAlign w:val="center"/>
            <w:hideMark/>
          </w:tcPr>
          <w:p w14:paraId="38188609" w14:textId="77777777" w:rsidR="0090485B" w:rsidRPr="008E72BA" w:rsidRDefault="0090485B" w:rsidP="008F07B7">
            <w:pPr>
              <w:jc w:val="right"/>
              <w:rPr>
                <w:rFonts w:ascii="Arial Narrow" w:hAnsi="Arial Narrow" w:cs="Arial"/>
                <w:b/>
                <w:bCs/>
                <w:color w:val="000000"/>
              </w:rPr>
            </w:pPr>
            <w:r w:rsidRPr="008E72BA">
              <w:rPr>
                <w:rFonts w:ascii="Arial Narrow" w:hAnsi="Arial Narrow" w:cs="Arial"/>
                <w:b/>
                <w:bCs/>
                <w:color w:val="000000"/>
              </w:rPr>
              <w:t>287</w:t>
            </w:r>
          </w:p>
        </w:tc>
        <w:tc>
          <w:tcPr>
            <w:tcW w:w="976" w:type="dxa"/>
            <w:tcBorders>
              <w:top w:val="single" w:sz="4" w:space="0" w:color="BFBFBF"/>
              <w:left w:val="nil"/>
              <w:bottom w:val="single" w:sz="8" w:space="0" w:color="BFBFBF"/>
              <w:right w:val="nil"/>
            </w:tcBorders>
            <w:shd w:val="clear" w:color="auto" w:fill="auto"/>
            <w:noWrap/>
            <w:vAlign w:val="center"/>
            <w:hideMark/>
          </w:tcPr>
          <w:p w14:paraId="1FDAE754" w14:textId="77777777" w:rsidR="0090485B" w:rsidRPr="008E72BA" w:rsidRDefault="0090485B" w:rsidP="008F07B7">
            <w:pPr>
              <w:jc w:val="right"/>
              <w:rPr>
                <w:rFonts w:ascii="Arial Narrow" w:hAnsi="Arial Narrow" w:cs="Arial"/>
                <w:b/>
                <w:bCs/>
              </w:rPr>
            </w:pPr>
            <w:r w:rsidRPr="008E72BA">
              <w:rPr>
                <w:rFonts w:ascii="Arial Narrow" w:hAnsi="Arial Narrow" w:cs="Arial"/>
                <w:b/>
                <w:bCs/>
              </w:rPr>
              <w:t>3.9%</w:t>
            </w:r>
          </w:p>
        </w:tc>
        <w:tc>
          <w:tcPr>
            <w:tcW w:w="1495" w:type="dxa"/>
            <w:tcBorders>
              <w:top w:val="single" w:sz="4" w:space="0" w:color="AAB8C4"/>
              <w:left w:val="nil"/>
              <w:bottom w:val="single" w:sz="8" w:space="0" w:color="AAB8C4"/>
              <w:right w:val="nil"/>
            </w:tcBorders>
            <w:shd w:val="clear" w:color="auto" w:fill="auto"/>
            <w:vAlign w:val="center"/>
            <w:hideMark/>
          </w:tcPr>
          <w:p w14:paraId="2BE9561C" w14:textId="77777777" w:rsidR="0090485B" w:rsidRPr="008E72BA" w:rsidRDefault="0090485B" w:rsidP="008F07B7">
            <w:pPr>
              <w:jc w:val="right"/>
              <w:rPr>
                <w:rFonts w:ascii="Arial Narrow" w:hAnsi="Arial Narrow" w:cs="Arial"/>
                <w:b/>
                <w:bCs/>
                <w:color w:val="000000"/>
              </w:rPr>
            </w:pPr>
            <w:r w:rsidRPr="008E72BA">
              <w:rPr>
                <w:rFonts w:ascii="Arial Narrow" w:hAnsi="Arial Narrow" w:cs="Arial"/>
                <w:b/>
                <w:bCs/>
                <w:color w:val="000000"/>
              </w:rPr>
              <w:t>7,635</w:t>
            </w:r>
          </w:p>
        </w:tc>
      </w:tr>
    </w:tbl>
    <w:p w14:paraId="612381FA" w14:textId="77777777" w:rsidR="0090485B" w:rsidRPr="00421986" w:rsidRDefault="0090485B" w:rsidP="0090485B">
      <w:pPr>
        <w:jc w:val="left"/>
        <w:rPr>
          <w:b/>
        </w:rPr>
      </w:pPr>
    </w:p>
    <w:p w14:paraId="2A3E2E2F" w14:textId="77777777" w:rsidR="0090485B" w:rsidRDefault="0090485B" w:rsidP="0090485B">
      <w:pPr>
        <w:jc w:val="left"/>
        <w:rPr>
          <w:caps/>
          <w:color w:val="26724C" w:themeColor="accent1" w:themeShade="BF"/>
          <w:sz w:val="32"/>
          <w:szCs w:val="24"/>
        </w:rPr>
      </w:pPr>
      <w:r>
        <w:br w:type="page"/>
      </w:r>
    </w:p>
    <w:p w14:paraId="2E7E9D2A" w14:textId="77777777" w:rsidR="0090485B" w:rsidRPr="00421986" w:rsidRDefault="0090485B" w:rsidP="0090485B">
      <w:pPr>
        <w:pStyle w:val="Heading1"/>
        <w:numPr>
          <w:ilvl w:val="0"/>
          <w:numId w:val="12"/>
        </w:numPr>
        <w:ind w:left="567" w:hanging="567"/>
      </w:pPr>
      <w:bookmarkStart w:id="496" w:name="_Toc77931059"/>
      <w:r w:rsidRPr="00421986">
        <w:lastRenderedPageBreak/>
        <w:t>FINANCIAL INDICATORS 2016</w:t>
      </w:r>
      <w:r>
        <w:t>-20</w:t>
      </w:r>
      <w:r w:rsidRPr="00421986">
        <w:t>25</w:t>
      </w:r>
      <w:bookmarkEnd w:id="496"/>
    </w:p>
    <w:p w14:paraId="4A6010CD" w14:textId="77777777" w:rsidR="0090485B" w:rsidRPr="00421986" w:rsidRDefault="0090485B" w:rsidP="0090485B"/>
    <w:p w14:paraId="62715952" w14:textId="77777777" w:rsidR="0090485B" w:rsidRPr="00421986" w:rsidRDefault="0090485B" w:rsidP="0090485B">
      <w:pPr>
        <w:tabs>
          <w:tab w:val="left" w:pos="567"/>
        </w:tabs>
      </w:pPr>
      <w:r w:rsidRPr="00421986">
        <w:t xml:space="preserve">The Program and Budget for the </w:t>
      </w:r>
      <w:r>
        <w:rPr>
          <w:snapToGrid w:val="0"/>
          <w:spacing w:val="-2"/>
          <w:szCs w:val="24"/>
        </w:rPr>
        <w:t>2022</w:t>
      </w:r>
      <w:r>
        <w:rPr>
          <w:snapToGrid w:val="0"/>
          <w:spacing w:val="-2"/>
          <w:szCs w:val="24"/>
        </w:rPr>
        <w:noBreakHyphen/>
        <w:t>2023</w:t>
      </w:r>
      <w:r w:rsidRPr="00421986">
        <w:rPr>
          <w:snapToGrid w:val="0"/>
          <w:spacing w:val="-2"/>
          <w:szCs w:val="24"/>
        </w:rPr>
        <w:t xml:space="preserve"> </w:t>
      </w:r>
      <w:r w:rsidRPr="00421986">
        <w:t>Biennium includes a presentation of financial indicators covering a 10-year period, including two years beyond the new biennium and informa</w:t>
      </w:r>
      <w:r>
        <w:t>tion from the recent past.  The </w:t>
      </w:r>
      <w:r w:rsidRPr="00421986">
        <w:t xml:space="preserve">presentation of the financial indicators is intended to put the proposed budget for the </w:t>
      </w:r>
      <w:r>
        <w:rPr>
          <w:snapToGrid w:val="0"/>
          <w:spacing w:val="-2"/>
          <w:szCs w:val="24"/>
        </w:rPr>
        <w:t>2022</w:t>
      </w:r>
      <w:r>
        <w:rPr>
          <w:snapToGrid w:val="0"/>
          <w:spacing w:val="-2"/>
          <w:szCs w:val="24"/>
        </w:rPr>
        <w:noBreakHyphen/>
        <w:t>2023</w:t>
      </w:r>
      <w:r w:rsidRPr="00421986">
        <w:rPr>
          <w:snapToGrid w:val="0"/>
          <w:spacing w:val="-2"/>
          <w:szCs w:val="24"/>
        </w:rPr>
        <w:t xml:space="preserve"> </w:t>
      </w:r>
      <w:r>
        <w:t>biennium</w:t>
      </w:r>
      <w:r w:rsidRPr="00421986">
        <w:t xml:space="preserve"> into context by indicating trends and assessing future financial sustainability.  This information is provided to facilitate members</w:t>
      </w:r>
      <w:r>
        <w:t>’</w:t>
      </w:r>
      <w:r w:rsidRPr="00421986">
        <w:t xml:space="preserve"> review and decision on the proposed Program and Budget, and it should not be construed as constituting any specific financial commitment or approval beyond 2023.</w:t>
      </w:r>
    </w:p>
    <w:p w14:paraId="317C7841" w14:textId="77777777" w:rsidR="0090485B" w:rsidRPr="00421986" w:rsidRDefault="0090485B" w:rsidP="0090485B">
      <w:pPr>
        <w:tabs>
          <w:tab w:val="left" w:pos="567"/>
        </w:tabs>
      </w:pPr>
    </w:p>
    <w:p w14:paraId="0F1E2ACF" w14:textId="77777777" w:rsidR="0090485B" w:rsidRPr="00421986" w:rsidRDefault="0090485B" w:rsidP="0090485B">
      <w:pPr>
        <w:tabs>
          <w:tab w:val="left" w:pos="567"/>
        </w:tabs>
      </w:pPr>
      <w:r w:rsidRPr="00E1290F">
        <w:t>The anticipated evolution of the regular budget</w:t>
      </w:r>
      <w:r w:rsidRPr="009E2EF9">
        <w:t>,</w:t>
      </w:r>
      <w:r w:rsidRPr="00E1290F">
        <w:t xml:space="preserve"> as far as income, expenditures and reserve and working capital fund levels are concerned</w:t>
      </w:r>
      <w:r w:rsidRPr="009E2EF9">
        <w:t>, is shown in</w:t>
      </w:r>
      <w:r w:rsidRPr="00E1290F">
        <w:t xml:space="preserve"> Table 8 and Figure 12</w:t>
      </w:r>
      <w:r>
        <w:t>.</w:t>
      </w:r>
    </w:p>
    <w:p w14:paraId="135D0ED5" w14:textId="77777777" w:rsidR="0090485B" w:rsidRDefault="0090485B" w:rsidP="0090485B">
      <w:pPr>
        <w:rPr>
          <w:spacing w:val="-2"/>
          <w:szCs w:val="24"/>
        </w:rPr>
      </w:pPr>
    </w:p>
    <w:p w14:paraId="740ECDBA" w14:textId="77777777" w:rsidR="0090485B" w:rsidRDefault="0090485B" w:rsidP="0090485B">
      <w:pPr>
        <w:rPr>
          <w:spacing w:val="-2"/>
          <w:szCs w:val="24"/>
        </w:rPr>
      </w:pPr>
    </w:p>
    <w:p w14:paraId="76F75C4B" w14:textId="77777777" w:rsidR="0090485B" w:rsidRPr="00421986" w:rsidRDefault="0090485B" w:rsidP="0090485B">
      <w:pPr>
        <w:rPr>
          <w:spacing w:val="-2"/>
          <w:szCs w:val="24"/>
        </w:rPr>
      </w:pPr>
    </w:p>
    <w:p w14:paraId="0A9C8FAD" w14:textId="77777777" w:rsidR="0090485B" w:rsidRDefault="0090485B" w:rsidP="0090485B">
      <w:pPr>
        <w:jc w:val="center"/>
        <w:rPr>
          <w:rFonts w:cs="Arial"/>
          <w:i/>
          <w:iCs/>
          <w:sz w:val="18"/>
          <w:szCs w:val="18"/>
        </w:rPr>
      </w:pPr>
      <w:r w:rsidRPr="008B40C0">
        <w:rPr>
          <w:rFonts w:cs="Arial"/>
          <w:b/>
          <w:bCs/>
          <w:color w:val="26724C" w:themeColor="accent1" w:themeShade="BF"/>
        </w:rPr>
        <w:t xml:space="preserve">Table </w:t>
      </w:r>
      <w:r>
        <w:rPr>
          <w:rFonts w:cs="Arial"/>
          <w:b/>
          <w:bCs/>
          <w:color w:val="26724C" w:themeColor="accent1" w:themeShade="BF"/>
        </w:rPr>
        <w:t>8</w:t>
      </w:r>
      <w:r w:rsidRPr="008B40C0">
        <w:rPr>
          <w:rFonts w:cs="Arial"/>
          <w:b/>
          <w:bCs/>
          <w:color w:val="26724C" w:themeColor="accent1" w:themeShade="BF"/>
        </w:rPr>
        <w:t>:  Income, Expenditure and Reserves for 2016</w:t>
      </w:r>
      <w:r>
        <w:rPr>
          <w:rFonts w:cs="Arial"/>
          <w:b/>
          <w:bCs/>
          <w:color w:val="26724C" w:themeColor="accent1" w:themeShade="BF"/>
        </w:rPr>
        <w:t>-20</w:t>
      </w:r>
      <w:r w:rsidRPr="008B40C0">
        <w:rPr>
          <w:rFonts w:cs="Arial"/>
          <w:b/>
          <w:bCs/>
          <w:color w:val="26724C" w:themeColor="accent1" w:themeShade="BF"/>
        </w:rPr>
        <w:t>25</w:t>
      </w:r>
      <w:r w:rsidRPr="00421986">
        <w:rPr>
          <w:rFonts w:cs="Arial"/>
          <w:b/>
          <w:bCs/>
        </w:rPr>
        <w:br/>
      </w:r>
      <w:r w:rsidRPr="00C20F3E">
        <w:rPr>
          <w:rFonts w:cs="Arial"/>
          <w:i/>
          <w:iCs/>
          <w:sz w:val="18"/>
          <w:szCs w:val="18"/>
        </w:rPr>
        <w:t>(in thousands of Swiss francs)</w:t>
      </w:r>
    </w:p>
    <w:p w14:paraId="33409F03" w14:textId="77777777" w:rsidR="0090485B" w:rsidRPr="00C20F3E" w:rsidRDefault="0090485B" w:rsidP="0090485B">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90485B" w:rsidRPr="00E62C40" w14:paraId="2DC04038" w14:textId="77777777" w:rsidTr="008F07B7">
        <w:trPr>
          <w:trHeight w:val="260"/>
          <w:jc w:val="center"/>
        </w:trPr>
        <w:tc>
          <w:tcPr>
            <w:tcW w:w="2396" w:type="dxa"/>
            <w:tcBorders>
              <w:top w:val="nil"/>
              <w:left w:val="nil"/>
              <w:bottom w:val="nil"/>
              <w:right w:val="nil"/>
            </w:tcBorders>
            <w:shd w:val="clear" w:color="000000" w:fill="FFFFFF"/>
            <w:noWrap/>
            <w:vAlign w:val="bottom"/>
            <w:hideMark/>
          </w:tcPr>
          <w:p w14:paraId="512114A6" w14:textId="1C76C1B1" w:rsidR="0090485B" w:rsidRPr="00E62C40" w:rsidRDefault="0090485B" w:rsidP="008F07B7">
            <w:pPr>
              <w:jc w:val="left"/>
              <w:rPr>
                <w:rFonts w:cs="Arial"/>
                <w:i/>
                <w:iCs/>
              </w:rPr>
            </w:pPr>
          </w:p>
        </w:tc>
        <w:tc>
          <w:tcPr>
            <w:tcW w:w="1004" w:type="dxa"/>
            <w:tcBorders>
              <w:top w:val="nil"/>
              <w:left w:val="nil"/>
              <w:bottom w:val="nil"/>
              <w:right w:val="nil"/>
            </w:tcBorders>
            <w:shd w:val="clear" w:color="000000" w:fill="FFFFFF"/>
            <w:noWrap/>
            <w:vAlign w:val="bottom"/>
            <w:hideMark/>
          </w:tcPr>
          <w:p w14:paraId="7D2206FB" w14:textId="77777777" w:rsidR="0090485B" w:rsidRPr="00E62C40" w:rsidRDefault="0090485B" w:rsidP="008F07B7">
            <w:pPr>
              <w:jc w:val="left"/>
              <w:rPr>
                <w:rFonts w:cs="Arial"/>
              </w:rPr>
            </w:pPr>
            <w:r w:rsidRPr="00E62C40">
              <w:rPr>
                <w:rFonts w:cs="Arial"/>
              </w:rPr>
              <w:t> </w:t>
            </w:r>
          </w:p>
        </w:tc>
        <w:tc>
          <w:tcPr>
            <w:tcW w:w="1036" w:type="dxa"/>
            <w:tcBorders>
              <w:top w:val="nil"/>
              <w:left w:val="nil"/>
              <w:bottom w:val="nil"/>
              <w:right w:val="nil"/>
            </w:tcBorders>
            <w:shd w:val="clear" w:color="000000" w:fill="FFFFFF"/>
            <w:noWrap/>
            <w:vAlign w:val="bottom"/>
            <w:hideMark/>
          </w:tcPr>
          <w:p w14:paraId="1D72D3DB" w14:textId="77777777" w:rsidR="0090485B" w:rsidRPr="00E62C40" w:rsidRDefault="0090485B" w:rsidP="008F07B7">
            <w:pPr>
              <w:jc w:val="left"/>
              <w:rPr>
                <w:rFonts w:cs="Arial"/>
              </w:rPr>
            </w:pPr>
            <w:r w:rsidRPr="00E62C40">
              <w:rPr>
                <w:rFonts w:cs="Arial"/>
              </w:rPr>
              <w:t> </w:t>
            </w:r>
          </w:p>
        </w:tc>
        <w:tc>
          <w:tcPr>
            <w:tcW w:w="1216" w:type="dxa"/>
            <w:tcBorders>
              <w:top w:val="nil"/>
              <w:left w:val="nil"/>
              <w:bottom w:val="nil"/>
              <w:right w:val="nil"/>
            </w:tcBorders>
            <w:shd w:val="clear" w:color="000000" w:fill="FFFFFF"/>
            <w:noWrap/>
            <w:vAlign w:val="bottom"/>
            <w:hideMark/>
          </w:tcPr>
          <w:p w14:paraId="59363806" w14:textId="77777777" w:rsidR="0090485B" w:rsidRPr="00E62C40" w:rsidRDefault="0090485B" w:rsidP="008F07B7">
            <w:pPr>
              <w:jc w:val="left"/>
              <w:rPr>
                <w:rFonts w:cs="Arial"/>
              </w:rPr>
            </w:pPr>
            <w:r w:rsidRPr="00E62C40">
              <w:rPr>
                <w:rFonts w:cs="Arial"/>
              </w:rPr>
              <w:t> </w:t>
            </w:r>
          </w:p>
        </w:tc>
        <w:tc>
          <w:tcPr>
            <w:tcW w:w="1216" w:type="dxa"/>
            <w:tcBorders>
              <w:top w:val="nil"/>
              <w:left w:val="nil"/>
              <w:bottom w:val="nil"/>
              <w:right w:val="nil"/>
            </w:tcBorders>
            <w:shd w:val="clear" w:color="000000" w:fill="FFFFFF"/>
            <w:noWrap/>
            <w:vAlign w:val="bottom"/>
            <w:hideMark/>
          </w:tcPr>
          <w:p w14:paraId="10101241" w14:textId="77777777" w:rsidR="0090485B" w:rsidRPr="00E62C40" w:rsidRDefault="0090485B" w:rsidP="008F07B7">
            <w:pPr>
              <w:jc w:val="left"/>
              <w:rPr>
                <w:rFonts w:cs="Arial"/>
              </w:rPr>
            </w:pPr>
            <w:r w:rsidRPr="00E62C40">
              <w:rPr>
                <w:rFonts w:cs="Arial"/>
              </w:rPr>
              <w:t> </w:t>
            </w:r>
          </w:p>
        </w:tc>
        <w:tc>
          <w:tcPr>
            <w:tcW w:w="1256" w:type="dxa"/>
            <w:tcBorders>
              <w:top w:val="nil"/>
              <w:left w:val="nil"/>
              <w:bottom w:val="nil"/>
              <w:right w:val="nil"/>
            </w:tcBorders>
            <w:shd w:val="clear" w:color="auto" w:fill="auto"/>
            <w:noWrap/>
            <w:vAlign w:val="bottom"/>
            <w:hideMark/>
          </w:tcPr>
          <w:p w14:paraId="5398F372" w14:textId="77777777" w:rsidR="0090485B" w:rsidRPr="00E62C40" w:rsidRDefault="0090485B" w:rsidP="008F07B7">
            <w:pPr>
              <w:jc w:val="left"/>
              <w:rPr>
                <w:rFonts w:cs="Arial"/>
              </w:rPr>
            </w:pPr>
          </w:p>
        </w:tc>
      </w:tr>
      <w:tr w:rsidR="0090485B" w:rsidRPr="00E62C40" w14:paraId="3D39F923" w14:textId="77777777" w:rsidTr="008F07B7">
        <w:trPr>
          <w:trHeight w:val="330"/>
          <w:jc w:val="center"/>
        </w:trPr>
        <w:tc>
          <w:tcPr>
            <w:tcW w:w="2396" w:type="dxa"/>
            <w:tcBorders>
              <w:top w:val="nil"/>
              <w:left w:val="nil"/>
              <w:bottom w:val="nil"/>
              <w:right w:val="nil"/>
            </w:tcBorders>
            <w:shd w:val="clear" w:color="000000" w:fill="C7CFD8"/>
            <w:vAlign w:val="center"/>
            <w:hideMark/>
          </w:tcPr>
          <w:p w14:paraId="436C7C16" w14:textId="77777777" w:rsidR="0090485B" w:rsidRPr="00E62C40" w:rsidRDefault="0090485B" w:rsidP="008F07B7">
            <w:pPr>
              <w:jc w:val="center"/>
              <w:rPr>
                <w:rFonts w:cs="Arial"/>
                <w:i/>
                <w:iCs/>
                <w:color w:val="000000"/>
              </w:rPr>
            </w:pPr>
            <w:r w:rsidRPr="00E62C40">
              <w:rPr>
                <w:rFonts w:cs="Arial"/>
                <w:i/>
                <w:iCs/>
                <w:color w:val="000000"/>
              </w:rPr>
              <w:t> </w:t>
            </w:r>
          </w:p>
        </w:tc>
        <w:tc>
          <w:tcPr>
            <w:tcW w:w="2042" w:type="dxa"/>
            <w:gridSpan w:val="2"/>
            <w:tcBorders>
              <w:top w:val="nil"/>
              <w:left w:val="nil"/>
              <w:bottom w:val="single" w:sz="4" w:space="0" w:color="748B9E"/>
              <w:right w:val="nil"/>
            </w:tcBorders>
            <w:shd w:val="clear" w:color="000000" w:fill="C7CFD8"/>
            <w:vAlign w:val="center"/>
            <w:hideMark/>
          </w:tcPr>
          <w:p w14:paraId="33E1265E"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 xml:space="preserve">Actual </w:t>
            </w:r>
          </w:p>
        </w:tc>
        <w:tc>
          <w:tcPr>
            <w:tcW w:w="1216" w:type="dxa"/>
            <w:tcBorders>
              <w:top w:val="nil"/>
              <w:left w:val="nil"/>
              <w:bottom w:val="nil"/>
              <w:right w:val="nil"/>
            </w:tcBorders>
            <w:shd w:val="clear" w:color="000000" w:fill="C7CFD8"/>
            <w:vAlign w:val="center"/>
            <w:hideMark/>
          </w:tcPr>
          <w:p w14:paraId="5F89BDD6"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 xml:space="preserve">Budget </w:t>
            </w:r>
          </w:p>
        </w:tc>
        <w:tc>
          <w:tcPr>
            <w:tcW w:w="1216" w:type="dxa"/>
            <w:tcBorders>
              <w:top w:val="nil"/>
              <w:left w:val="nil"/>
              <w:bottom w:val="nil"/>
              <w:right w:val="nil"/>
            </w:tcBorders>
            <w:shd w:val="clear" w:color="000000" w:fill="C7CFD8"/>
            <w:vAlign w:val="center"/>
            <w:hideMark/>
          </w:tcPr>
          <w:p w14:paraId="4244A4D7"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 xml:space="preserve">Proposed </w:t>
            </w:r>
          </w:p>
        </w:tc>
        <w:tc>
          <w:tcPr>
            <w:tcW w:w="1256" w:type="dxa"/>
            <w:tcBorders>
              <w:top w:val="nil"/>
              <w:left w:val="nil"/>
              <w:bottom w:val="nil"/>
              <w:right w:val="nil"/>
            </w:tcBorders>
            <w:shd w:val="clear" w:color="000000" w:fill="C7CFD8"/>
            <w:vAlign w:val="center"/>
            <w:hideMark/>
          </w:tcPr>
          <w:p w14:paraId="5E74ADBC"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 xml:space="preserve">Estimated </w:t>
            </w:r>
          </w:p>
        </w:tc>
      </w:tr>
      <w:tr w:rsidR="0090485B" w:rsidRPr="00E62C40" w14:paraId="264AAC98" w14:textId="77777777" w:rsidTr="008F07B7">
        <w:trPr>
          <w:trHeight w:val="330"/>
          <w:jc w:val="center"/>
        </w:trPr>
        <w:tc>
          <w:tcPr>
            <w:tcW w:w="2396" w:type="dxa"/>
            <w:tcBorders>
              <w:top w:val="nil"/>
              <w:left w:val="nil"/>
              <w:bottom w:val="nil"/>
              <w:right w:val="nil"/>
            </w:tcBorders>
            <w:shd w:val="clear" w:color="000000" w:fill="C7CFD8"/>
            <w:vAlign w:val="center"/>
            <w:hideMark/>
          </w:tcPr>
          <w:p w14:paraId="74178682" w14:textId="77777777" w:rsidR="0090485B" w:rsidRPr="00E62C40" w:rsidRDefault="0090485B" w:rsidP="008F07B7">
            <w:pPr>
              <w:jc w:val="right"/>
              <w:rPr>
                <w:rFonts w:cs="Arial"/>
                <w:i/>
                <w:iCs/>
                <w:color w:val="000000"/>
              </w:rPr>
            </w:pPr>
            <w:r w:rsidRPr="00E62C40">
              <w:rPr>
                <w:rFonts w:cs="Arial"/>
                <w:i/>
                <w:iCs/>
                <w:color w:val="000000"/>
              </w:rPr>
              <w:t> </w:t>
            </w:r>
          </w:p>
        </w:tc>
        <w:tc>
          <w:tcPr>
            <w:tcW w:w="1004" w:type="dxa"/>
            <w:tcBorders>
              <w:top w:val="nil"/>
              <w:left w:val="nil"/>
              <w:bottom w:val="nil"/>
              <w:right w:val="nil"/>
            </w:tcBorders>
            <w:shd w:val="clear" w:color="000000" w:fill="C7CFD8"/>
            <w:vAlign w:val="center"/>
            <w:hideMark/>
          </w:tcPr>
          <w:p w14:paraId="45901E6A" w14:textId="77777777" w:rsidR="0090485B" w:rsidRPr="00E62C40" w:rsidRDefault="0090485B" w:rsidP="008F07B7">
            <w:pPr>
              <w:jc w:val="center"/>
              <w:rPr>
                <w:rFonts w:ascii="Arial Narrow" w:hAnsi="Arial Narrow" w:cs="Arial"/>
                <w:b/>
                <w:bCs/>
                <w:sz w:val="18"/>
                <w:szCs w:val="18"/>
              </w:rPr>
            </w:pPr>
            <w:r>
              <w:rPr>
                <w:rFonts w:ascii="Arial Narrow" w:hAnsi="Arial Narrow" w:cs="Arial"/>
                <w:b/>
                <w:bCs/>
                <w:sz w:val="18"/>
                <w:szCs w:val="18"/>
              </w:rPr>
              <w:t>2016-20</w:t>
            </w:r>
            <w:r w:rsidRPr="00E62C40">
              <w:rPr>
                <w:rFonts w:ascii="Arial Narrow" w:hAnsi="Arial Narrow" w:cs="Arial"/>
                <w:b/>
                <w:bCs/>
                <w:sz w:val="18"/>
                <w:szCs w:val="18"/>
              </w:rPr>
              <w:t>17</w:t>
            </w:r>
          </w:p>
        </w:tc>
        <w:tc>
          <w:tcPr>
            <w:tcW w:w="1036" w:type="dxa"/>
            <w:tcBorders>
              <w:top w:val="nil"/>
              <w:left w:val="nil"/>
              <w:bottom w:val="nil"/>
              <w:right w:val="nil"/>
            </w:tcBorders>
            <w:shd w:val="clear" w:color="000000" w:fill="C7CFD8"/>
            <w:vAlign w:val="center"/>
            <w:hideMark/>
          </w:tcPr>
          <w:p w14:paraId="44EBA5A5"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2018</w:t>
            </w:r>
            <w:r>
              <w:rPr>
                <w:rFonts w:ascii="Arial Narrow" w:hAnsi="Arial Narrow" w:cs="Arial"/>
                <w:b/>
                <w:bCs/>
                <w:sz w:val="18"/>
                <w:szCs w:val="18"/>
              </w:rPr>
              <w:t>-20</w:t>
            </w:r>
            <w:r w:rsidRPr="00E62C40">
              <w:rPr>
                <w:rFonts w:ascii="Arial Narrow" w:hAnsi="Arial Narrow" w:cs="Arial"/>
                <w:b/>
                <w:bCs/>
                <w:sz w:val="18"/>
                <w:szCs w:val="18"/>
              </w:rPr>
              <w:t>19</w:t>
            </w:r>
          </w:p>
        </w:tc>
        <w:tc>
          <w:tcPr>
            <w:tcW w:w="1216" w:type="dxa"/>
            <w:tcBorders>
              <w:top w:val="nil"/>
              <w:left w:val="nil"/>
              <w:bottom w:val="nil"/>
              <w:right w:val="nil"/>
            </w:tcBorders>
            <w:shd w:val="clear" w:color="000000" w:fill="C7CFD8"/>
            <w:noWrap/>
            <w:vAlign w:val="center"/>
            <w:hideMark/>
          </w:tcPr>
          <w:p w14:paraId="1F3E7C51"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2020</w:t>
            </w:r>
            <w:r>
              <w:rPr>
                <w:rFonts w:ascii="Arial Narrow" w:hAnsi="Arial Narrow" w:cs="Arial"/>
                <w:b/>
                <w:bCs/>
                <w:sz w:val="18"/>
                <w:szCs w:val="18"/>
              </w:rPr>
              <w:t>-20</w:t>
            </w:r>
            <w:r w:rsidRPr="00E62C40">
              <w:rPr>
                <w:rFonts w:ascii="Arial Narrow" w:hAnsi="Arial Narrow" w:cs="Arial"/>
                <w:b/>
                <w:bCs/>
                <w:sz w:val="18"/>
                <w:szCs w:val="18"/>
              </w:rPr>
              <w:t xml:space="preserve">21 </w:t>
            </w:r>
          </w:p>
        </w:tc>
        <w:tc>
          <w:tcPr>
            <w:tcW w:w="1216" w:type="dxa"/>
            <w:tcBorders>
              <w:top w:val="nil"/>
              <w:left w:val="nil"/>
              <w:bottom w:val="nil"/>
              <w:right w:val="nil"/>
            </w:tcBorders>
            <w:shd w:val="clear" w:color="000000" w:fill="C7CFD8"/>
            <w:noWrap/>
            <w:vAlign w:val="center"/>
            <w:hideMark/>
          </w:tcPr>
          <w:p w14:paraId="3B33ECF1"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2022</w:t>
            </w:r>
            <w:r>
              <w:rPr>
                <w:rFonts w:ascii="Arial Narrow" w:hAnsi="Arial Narrow" w:cs="Arial"/>
                <w:b/>
                <w:bCs/>
                <w:sz w:val="18"/>
                <w:szCs w:val="18"/>
              </w:rPr>
              <w:t>-20</w:t>
            </w:r>
            <w:r w:rsidRPr="00E62C40">
              <w:rPr>
                <w:rFonts w:ascii="Arial Narrow" w:hAnsi="Arial Narrow" w:cs="Arial"/>
                <w:b/>
                <w:bCs/>
                <w:sz w:val="18"/>
                <w:szCs w:val="18"/>
              </w:rPr>
              <w:t xml:space="preserve">23 </w:t>
            </w:r>
          </w:p>
        </w:tc>
        <w:tc>
          <w:tcPr>
            <w:tcW w:w="1256" w:type="dxa"/>
            <w:tcBorders>
              <w:top w:val="nil"/>
              <w:left w:val="nil"/>
              <w:bottom w:val="nil"/>
              <w:right w:val="nil"/>
            </w:tcBorders>
            <w:shd w:val="clear" w:color="000000" w:fill="C7CFD8"/>
            <w:noWrap/>
            <w:vAlign w:val="center"/>
            <w:hideMark/>
          </w:tcPr>
          <w:p w14:paraId="5215B842" w14:textId="77777777" w:rsidR="0090485B" w:rsidRPr="00E62C40" w:rsidRDefault="0090485B" w:rsidP="008F07B7">
            <w:pPr>
              <w:jc w:val="center"/>
              <w:rPr>
                <w:rFonts w:ascii="Arial Narrow" w:hAnsi="Arial Narrow" w:cs="Arial"/>
                <w:b/>
                <w:bCs/>
                <w:sz w:val="18"/>
                <w:szCs w:val="18"/>
              </w:rPr>
            </w:pPr>
            <w:r w:rsidRPr="00E62C40">
              <w:rPr>
                <w:rFonts w:ascii="Arial Narrow" w:hAnsi="Arial Narrow" w:cs="Arial"/>
                <w:b/>
                <w:bCs/>
                <w:sz w:val="18"/>
                <w:szCs w:val="18"/>
              </w:rPr>
              <w:t>2024</w:t>
            </w:r>
            <w:r>
              <w:rPr>
                <w:rFonts w:ascii="Arial Narrow" w:hAnsi="Arial Narrow" w:cs="Arial"/>
                <w:b/>
                <w:bCs/>
                <w:sz w:val="18"/>
                <w:szCs w:val="18"/>
              </w:rPr>
              <w:t>-20</w:t>
            </w:r>
            <w:r w:rsidRPr="00E62C40">
              <w:rPr>
                <w:rFonts w:ascii="Arial Narrow" w:hAnsi="Arial Narrow" w:cs="Arial"/>
                <w:b/>
                <w:bCs/>
                <w:sz w:val="18"/>
                <w:szCs w:val="18"/>
              </w:rPr>
              <w:t xml:space="preserve">25 </w:t>
            </w:r>
          </w:p>
        </w:tc>
      </w:tr>
      <w:tr w:rsidR="0090485B" w:rsidRPr="00E62C40" w14:paraId="066D0EFE" w14:textId="77777777" w:rsidTr="008F07B7">
        <w:trPr>
          <w:trHeight w:val="420"/>
          <w:jc w:val="center"/>
        </w:trPr>
        <w:tc>
          <w:tcPr>
            <w:tcW w:w="2396" w:type="dxa"/>
            <w:tcBorders>
              <w:top w:val="nil"/>
              <w:left w:val="nil"/>
              <w:bottom w:val="nil"/>
              <w:right w:val="nil"/>
            </w:tcBorders>
            <w:shd w:val="clear" w:color="000000" w:fill="FFFFFF"/>
            <w:vAlign w:val="center"/>
            <w:hideMark/>
          </w:tcPr>
          <w:p w14:paraId="19CC1D49" w14:textId="77777777" w:rsidR="0090485B" w:rsidRPr="00E62C40" w:rsidRDefault="0090485B" w:rsidP="008F07B7">
            <w:pPr>
              <w:jc w:val="left"/>
              <w:rPr>
                <w:rFonts w:ascii="Arial Narrow" w:hAnsi="Arial Narrow" w:cs="Arial"/>
                <w:color w:val="000000"/>
              </w:rPr>
            </w:pPr>
            <w:r w:rsidRPr="00E62C40">
              <w:rPr>
                <w:rFonts w:ascii="Arial Narrow" w:hAnsi="Arial Narrow" w:cs="Arial"/>
                <w:color w:val="000000"/>
              </w:rPr>
              <w:t>Income</w:t>
            </w:r>
          </w:p>
        </w:tc>
        <w:tc>
          <w:tcPr>
            <w:tcW w:w="1004" w:type="dxa"/>
            <w:tcBorders>
              <w:top w:val="nil"/>
              <w:left w:val="nil"/>
              <w:bottom w:val="nil"/>
              <w:right w:val="nil"/>
            </w:tcBorders>
            <w:shd w:val="clear" w:color="000000" w:fill="FFFFFF"/>
            <w:vAlign w:val="center"/>
            <w:hideMark/>
          </w:tcPr>
          <w:p w14:paraId="468C39BC"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6,851</w:t>
            </w:r>
          </w:p>
        </w:tc>
        <w:tc>
          <w:tcPr>
            <w:tcW w:w="1036" w:type="dxa"/>
            <w:tcBorders>
              <w:top w:val="nil"/>
              <w:left w:val="nil"/>
              <w:bottom w:val="nil"/>
              <w:right w:val="nil"/>
            </w:tcBorders>
            <w:shd w:val="clear" w:color="000000" w:fill="FFFFFF"/>
            <w:vAlign w:val="center"/>
            <w:hideMark/>
          </w:tcPr>
          <w:p w14:paraId="0C8FAE54"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6,931</w:t>
            </w:r>
          </w:p>
        </w:tc>
        <w:tc>
          <w:tcPr>
            <w:tcW w:w="1216" w:type="dxa"/>
            <w:tcBorders>
              <w:top w:val="nil"/>
              <w:left w:val="nil"/>
              <w:bottom w:val="nil"/>
              <w:right w:val="nil"/>
            </w:tcBorders>
            <w:shd w:val="clear" w:color="000000" w:fill="FFFFFF"/>
            <w:vAlign w:val="center"/>
            <w:hideMark/>
          </w:tcPr>
          <w:p w14:paraId="7F1F757F"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7,347</w:t>
            </w:r>
          </w:p>
        </w:tc>
        <w:tc>
          <w:tcPr>
            <w:tcW w:w="1216" w:type="dxa"/>
            <w:tcBorders>
              <w:top w:val="nil"/>
              <w:left w:val="nil"/>
              <w:bottom w:val="nil"/>
              <w:right w:val="nil"/>
            </w:tcBorders>
            <w:shd w:val="clear" w:color="000000" w:fill="FFFFFF"/>
            <w:vAlign w:val="center"/>
            <w:hideMark/>
          </w:tcPr>
          <w:p w14:paraId="74EB970C" w14:textId="77777777" w:rsidR="0090485B" w:rsidRPr="00E62C40" w:rsidRDefault="0090485B" w:rsidP="008F07B7">
            <w:pPr>
              <w:jc w:val="right"/>
              <w:rPr>
                <w:rFonts w:ascii="Arial Narrow" w:hAnsi="Arial Narrow" w:cs="Arial"/>
              </w:rPr>
            </w:pPr>
            <w:r w:rsidRPr="00E62C40">
              <w:rPr>
                <w:rFonts w:ascii="Arial Narrow" w:hAnsi="Arial Narrow" w:cs="Arial"/>
              </w:rPr>
              <w:t>7,635</w:t>
            </w:r>
          </w:p>
        </w:tc>
        <w:tc>
          <w:tcPr>
            <w:tcW w:w="1256" w:type="dxa"/>
            <w:tcBorders>
              <w:top w:val="nil"/>
              <w:left w:val="nil"/>
              <w:bottom w:val="nil"/>
              <w:right w:val="nil"/>
            </w:tcBorders>
            <w:shd w:val="clear" w:color="000000" w:fill="FFFFFF"/>
            <w:vAlign w:val="center"/>
            <w:hideMark/>
          </w:tcPr>
          <w:p w14:paraId="0D0EA8C4" w14:textId="77777777" w:rsidR="0090485B" w:rsidRPr="00E62C40" w:rsidRDefault="0090485B" w:rsidP="008F07B7">
            <w:pPr>
              <w:jc w:val="right"/>
              <w:rPr>
                <w:rFonts w:ascii="Arial Narrow" w:hAnsi="Arial Narrow" w:cs="Arial"/>
              </w:rPr>
            </w:pPr>
            <w:r w:rsidRPr="00E62C40">
              <w:rPr>
                <w:rFonts w:ascii="Arial Narrow" w:hAnsi="Arial Narrow" w:cs="Arial"/>
              </w:rPr>
              <w:t>7,769</w:t>
            </w:r>
          </w:p>
        </w:tc>
      </w:tr>
      <w:tr w:rsidR="0090485B" w:rsidRPr="00E62C40" w14:paraId="0391AFAE" w14:textId="77777777" w:rsidTr="008F07B7">
        <w:trPr>
          <w:trHeight w:val="420"/>
          <w:jc w:val="center"/>
        </w:trPr>
        <w:tc>
          <w:tcPr>
            <w:tcW w:w="2396" w:type="dxa"/>
            <w:tcBorders>
              <w:top w:val="nil"/>
              <w:left w:val="nil"/>
              <w:bottom w:val="nil"/>
              <w:right w:val="nil"/>
            </w:tcBorders>
            <w:shd w:val="clear" w:color="000000" w:fill="FFFFFF"/>
            <w:vAlign w:val="center"/>
            <w:hideMark/>
          </w:tcPr>
          <w:p w14:paraId="20E4EB0F" w14:textId="77777777" w:rsidR="0090485B" w:rsidRPr="00E62C40" w:rsidRDefault="0090485B" w:rsidP="008F07B7">
            <w:pPr>
              <w:jc w:val="left"/>
              <w:rPr>
                <w:rFonts w:ascii="Arial Narrow" w:hAnsi="Arial Narrow" w:cs="Arial"/>
                <w:color w:val="000000"/>
              </w:rPr>
            </w:pPr>
            <w:r w:rsidRPr="00E62C40">
              <w:rPr>
                <w:rFonts w:ascii="Arial Narrow" w:hAnsi="Arial Narrow" w:cs="Arial"/>
                <w:color w:val="000000"/>
              </w:rPr>
              <w:t>Expenditure</w:t>
            </w:r>
          </w:p>
        </w:tc>
        <w:tc>
          <w:tcPr>
            <w:tcW w:w="1004" w:type="dxa"/>
            <w:tcBorders>
              <w:top w:val="nil"/>
              <w:left w:val="nil"/>
              <w:bottom w:val="nil"/>
              <w:right w:val="nil"/>
            </w:tcBorders>
            <w:shd w:val="clear" w:color="000000" w:fill="FFFFFF"/>
            <w:vAlign w:val="center"/>
            <w:hideMark/>
          </w:tcPr>
          <w:p w14:paraId="091A6E8D"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6,825</w:t>
            </w:r>
          </w:p>
        </w:tc>
        <w:tc>
          <w:tcPr>
            <w:tcW w:w="1036" w:type="dxa"/>
            <w:tcBorders>
              <w:top w:val="nil"/>
              <w:left w:val="nil"/>
              <w:bottom w:val="nil"/>
              <w:right w:val="nil"/>
            </w:tcBorders>
            <w:shd w:val="clear" w:color="000000" w:fill="FFFFFF"/>
            <w:vAlign w:val="center"/>
            <w:hideMark/>
          </w:tcPr>
          <w:p w14:paraId="560FD15E"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6,854</w:t>
            </w:r>
          </w:p>
        </w:tc>
        <w:tc>
          <w:tcPr>
            <w:tcW w:w="1216" w:type="dxa"/>
            <w:tcBorders>
              <w:top w:val="nil"/>
              <w:left w:val="nil"/>
              <w:bottom w:val="nil"/>
              <w:right w:val="nil"/>
            </w:tcBorders>
            <w:shd w:val="clear" w:color="000000" w:fill="FFFFFF"/>
            <w:vAlign w:val="center"/>
            <w:hideMark/>
          </w:tcPr>
          <w:p w14:paraId="37DFDB31" w14:textId="77777777" w:rsidR="0090485B" w:rsidRPr="00E62C40" w:rsidRDefault="0090485B" w:rsidP="008F07B7">
            <w:pPr>
              <w:jc w:val="right"/>
              <w:rPr>
                <w:rFonts w:ascii="Arial Narrow" w:hAnsi="Arial Narrow" w:cs="Arial"/>
                <w:color w:val="000000"/>
              </w:rPr>
            </w:pPr>
            <w:r w:rsidRPr="00E62C40">
              <w:rPr>
                <w:rFonts w:ascii="Arial Narrow" w:hAnsi="Arial Narrow" w:cs="Arial"/>
                <w:color w:val="000000"/>
              </w:rPr>
              <w:t>7,347</w:t>
            </w:r>
          </w:p>
        </w:tc>
        <w:tc>
          <w:tcPr>
            <w:tcW w:w="1216" w:type="dxa"/>
            <w:tcBorders>
              <w:top w:val="nil"/>
              <w:left w:val="nil"/>
              <w:bottom w:val="nil"/>
              <w:right w:val="nil"/>
            </w:tcBorders>
            <w:shd w:val="clear" w:color="000000" w:fill="FFFFFF"/>
            <w:vAlign w:val="center"/>
            <w:hideMark/>
          </w:tcPr>
          <w:p w14:paraId="21E8AAB0" w14:textId="77777777" w:rsidR="0090485B" w:rsidRPr="00E62C40" w:rsidRDefault="0090485B" w:rsidP="008F07B7">
            <w:pPr>
              <w:jc w:val="right"/>
              <w:rPr>
                <w:rFonts w:ascii="Arial Narrow" w:hAnsi="Arial Narrow" w:cs="Arial"/>
              </w:rPr>
            </w:pPr>
            <w:r w:rsidRPr="00E62C40">
              <w:rPr>
                <w:rFonts w:ascii="Arial Narrow" w:hAnsi="Arial Narrow" w:cs="Arial"/>
              </w:rPr>
              <w:t>7,635</w:t>
            </w:r>
          </w:p>
        </w:tc>
        <w:tc>
          <w:tcPr>
            <w:tcW w:w="1256" w:type="dxa"/>
            <w:tcBorders>
              <w:top w:val="nil"/>
              <w:left w:val="nil"/>
              <w:bottom w:val="nil"/>
              <w:right w:val="nil"/>
            </w:tcBorders>
            <w:shd w:val="clear" w:color="000000" w:fill="FFFFFF"/>
            <w:vAlign w:val="center"/>
            <w:hideMark/>
          </w:tcPr>
          <w:p w14:paraId="75E8EB24" w14:textId="77777777" w:rsidR="0090485B" w:rsidRPr="00E62C40" w:rsidRDefault="0090485B" w:rsidP="008F07B7">
            <w:pPr>
              <w:jc w:val="right"/>
              <w:rPr>
                <w:rFonts w:ascii="Arial Narrow" w:hAnsi="Arial Narrow" w:cs="Arial"/>
              </w:rPr>
            </w:pPr>
            <w:r w:rsidRPr="00E62C40">
              <w:rPr>
                <w:rFonts w:ascii="Arial Narrow" w:hAnsi="Arial Narrow" w:cs="Arial"/>
              </w:rPr>
              <w:t>7,769</w:t>
            </w:r>
          </w:p>
        </w:tc>
      </w:tr>
      <w:tr w:rsidR="0090485B" w:rsidRPr="00E62C40" w14:paraId="2AA39D55" w14:textId="77777777" w:rsidTr="008F07B7">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14:paraId="070D5366" w14:textId="77777777" w:rsidR="0090485B" w:rsidRPr="00E62C40" w:rsidRDefault="0090485B" w:rsidP="008F07B7">
            <w:pPr>
              <w:ind w:firstLineChars="100" w:firstLine="200"/>
              <w:jc w:val="left"/>
              <w:rPr>
                <w:rFonts w:ascii="Arial Narrow" w:hAnsi="Arial Narrow" w:cs="Arial"/>
                <w:i/>
                <w:iCs/>
                <w:color w:val="000000"/>
              </w:rPr>
            </w:pPr>
            <w:r w:rsidRPr="00E62C40">
              <w:rPr>
                <w:rFonts w:ascii="Arial Narrow" w:hAnsi="Arial Narrow" w:cs="Arial"/>
                <w:i/>
                <w:iCs/>
                <w:color w:val="000000"/>
              </w:rPr>
              <w:t>Difference</w:t>
            </w:r>
          </w:p>
        </w:tc>
        <w:tc>
          <w:tcPr>
            <w:tcW w:w="1004" w:type="dxa"/>
            <w:tcBorders>
              <w:top w:val="single" w:sz="4" w:space="0" w:color="AAB8C4"/>
              <w:left w:val="nil"/>
              <w:bottom w:val="single" w:sz="8" w:space="0" w:color="AAB8C4"/>
              <w:right w:val="nil"/>
            </w:tcBorders>
            <w:shd w:val="clear" w:color="000000" w:fill="FFFFFF"/>
            <w:vAlign w:val="center"/>
            <w:hideMark/>
          </w:tcPr>
          <w:p w14:paraId="2545117A" w14:textId="77777777" w:rsidR="0090485B" w:rsidRPr="00E62C40" w:rsidRDefault="0090485B" w:rsidP="008F07B7">
            <w:pPr>
              <w:jc w:val="right"/>
              <w:rPr>
                <w:rFonts w:ascii="Arial Narrow" w:hAnsi="Arial Narrow" w:cs="Arial"/>
                <w:i/>
                <w:iCs/>
                <w:color w:val="000000"/>
              </w:rPr>
            </w:pPr>
            <w:r w:rsidRPr="00E62C40">
              <w:rPr>
                <w:rFonts w:ascii="Arial Narrow" w:hAnsi="Arial Narrow" w:cs="Arial"/>
                <w:i/>
                <w:iCs/>
                <w:color w:val="000000"/>
              </w:rPr>
              <w:t>26</w:t>
            </w:r>
          </w:p>
        </w:tc>
        <w:tc>
          <w:tcPr>
            <w:tcW w:w="1036" w:type="dxa"/>
            <w:tcBorders>
              <w:top w:val="single" w:sz="4" w:space="0" w:color="AAB8C4"/>
              <w:left w:val="nil"/>
              <w:bottom w:val="single" w:sz="8" w:space="0" w:color="AAB8C4"/>
              <w:right w:val="nil"/>
            </w:tcBorders>
            <w:shd w:val="clear" w:color="000000" w:fill="FFFFFF"/>
            <w:vAlign w:val="center"/>
            <w:hideMark/>
          </w:tcPr>
          <w:p w14:paraId="65BC293E" w14:textId="77777777" w:rsidR="0090485B" w:rsidRPr="00E62C40" w:rsidRDefault="0090485B" w:rsidP="008F07B7">
            <w:pPr>
              <w:jc w:val="right"/>
              <w:rPr>
                <w:rFonts w:ascii="Arial Narrow" w:hAnsi="Arial Narrow" w:cs="Arial"/>
                <w:i/>
                <w:iCs/>
                <w:color w:val="000000"/>
              </w:rPr>
            </w:pPr>
            <w:r w:rsidRPr="00E62C40">
              <w:rPr>
                <w:rFonts w:ascii="Arial Narrow" w:hAnsi="Arial Narrow" w:cs="Arial"/>
                <w:i/>
                <w:iCs/>
                <w:color w:val="000000"/>
              </w:rPr>
              <w:t>76</w:t>
            </w:r>
          </w:p>
        </w:tc>
        <w:tc>
          <w:tcPr>
            <w:tcW w:w="1216" w:type="dxa"/>
            <w:tcBorders>
              <w:top w:val="single" w:sz="4" w:space="0" w:color="AAB8C4"/>
              <w:left w:val="nil"/>
              <w:bottom w:val="single" w:sz="8" w:space="0" w:color="AAB8C4"/>
              <w:right w:val="nil"/>
            </w:tcBorders>
            <w:shd w:val="clear" w:color="000000" w:fill="FFFFFF"/>
            <w:vAlign w:val="center"/>
            <w:hideMark/>
          </w:tcPr>
          <w:p w14:paraId="7E872B00" w14:textId="77777777" w:rsidR="0090485B" w:rsidRPr="00E62C40" w:rsidRDefault="0090485B" w:rsidP="008F07B7">
            <w:pPr>
              <w:jc w:val="right"/>
              <w:rPr>
                <w:rFonts w:ascii="Arial Narrow" w:hAnsi="Arial Narrow" w:cs="Arial"/>
                <w:i/>
                <w:iCs/>
                <w:color w:val="000000"/>
              </w:rPr>
            </w:pPr>
            <w:r w:rsidRPr="00E62C40">
              <w:rPr>
                <w:rFonts w:ascii="Arial Narrow" w:hAnsi="Arial Narrow" w:cs="Arial"/>
                <w:i/>
                <w:iCs/>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2289AC64" w14:textId="77777777" w:rsidR="0090485B" w:rsidRPr="00E62C40" w:rsidRDefault="0090485B" w:rsidP="008F07B7">
            <w:pPr>
              <w:jc w:val="right"/>
              <w:rPr>
                <w:rFonts w:ascii="Arial Narrow" w:hAnsi="Arial Narrow" w:cs="Arial"/>
                <w:i/>
                <w:iCs/>
                <w:color w:val="000000"/>
              </w:rPr>
            </w:pPr>
            <w:r w:rsidRPr="00E62C40">
              <w:rPr>
                <w:rFonts w:ascii="Arial Narrow" w:hAnsi="Arial Narrow" w:cs="Arial"/>
                <w:i/>
                <w:iCs/>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16A748E1" w14:textId="77777777" w:rsidR="0090485B" w:rsidRPr="00E62C40" w:rsidRDefault="0090485B" w:rsidP="008F07B7">
            <w:pPr>
              <w:jc w:val="right"/>
              <w:rPr>
                <w:rFonts w:ascii="Arial Narrow" w:hAnsi="Arial Narrow" w:cs="Arial"/>
                <w:i/>
                <w:iCs/>
                <w:color w:val="000000"/>
              </w:rPr>
            </w:pPr>
            <w:r w:rsidRPr="00E62C40">
              <w:rPr>
                <w:rFonts w:ascii="Arial Narrow" w:hAnsi="Arial Narrow" w:cs="Arial"/>
                <w:i/>
                <w:iCs/>
                <w:color w:val="000000"/>
              </w:rPr>
              <w:t>-</w:t>
            </w:r>
          </w:p>
        </w:tc>
      </w:tr>
    </w:tbl>
    <w:p w14:paraId="61D78531" w14:textId="77777777" w:rsidR="0090485B" w:rsidRDefault="0090485B" w:rsidP="0090485B">
      <w:pPr>
        <w:rPr>
          <w:rFonts w:cs="Arial"/>
          <w:b/>
          <w:bCs/>
        </w:rPr>
      </w:pPr>
    </w:p>
    <w:p w14:paraId="241D954D" w14:textId="77777777" w:rsidR="0090485B" w:rsidRDefault="0090485B" w:rsidP="0090485B">
      <w:pPr>
        <w:rPr>
          <w:rFonts w:cs="Arial"/>
          <w:b/>
          <w:bCs/>
        </w:rPr>
      </w:pPr>
    </w:p>
    <w:p w14:paraId="1DF55F0D" w14:textId="77777777" w:rsidR="0090485B" w:rsidRDefault="0090485B" w:rsidP="0090485B">
      <w:pPr>
        <w:rPr>
          <w:rFonts w:cs="Arial"/>
          <w:b/>
          <w:bCs/>
        </w:rPr>
      </w:pPr>
    </w:p>
    <w:p w14:paraId="694C326A" w14:textId="77777777" w:rsidR="0090485B" w:rsidRDefault="0090485B" w:rsidP="0090485B">
      <w:pPr>
        <w:keepNext/>
        <w:jc w:val="center"/>
        <w:rPr>
          <w:i/>
          <w:color w:val="26724C" w:themeColor="accent1" w:themeShade="BF"/>
          <w:sz w:val="18"/>
        </w:rPr>
      </w:pPr>
      <w:r w:rsidRPr="00755D48">
        <w:rPr>
          <w:i/>
          <w:color w:val="26724C" w:themeColor="accent1" w:themeShade="BF"/>
          <w:sz w:val="18"/>
        </w:rPr>
        <w:t>Figure 12.  Evolution of Income, Expenditure and Reserves for 2016-2024</w:t>
      </w:r>
    </w:p>
    <w:p w14:paraId="2B36EB4B" w14:textId="77777777" w:rsidR="0090485B" w:rsidRPr="00755D48" w:rsidRDefault="0090485B" w:rsidP="0090485B">
      <w:pPr>
        <w:keepNext/>
        <w:jc w:val="center"/>
        <w:rPr>
          <w:i/>
          <w:color w:val="26724C" w:themeColor="accent1" w:themeShade="BF"/>
          <w:sz w:val="18"/>
        </w:rPr>
      </w:pPr>
    </w:p>
    <w:p w14:paraId="74ED6D77" w14:textId="6FF44C89" w:rsidR="0090485B" w:rsidRPr="00421986" w:rsidRDefault="009E344B" w:rsidP="009E344B">
      <w:pPr>
        <w:jc w:val="center"/>
      </w:pPr>
      <w:r>
        <w:rPr>
          <w:noProof/>
        </w:rPr>
        <w:drawing>
          <wp:inline distT="0" distB="0" distL="0" distR="0" wp14:anchorId="6EE53CB3" wp14:editId="1DEEBA85">
            <wp:extent cx="5344343" cy="3471729"/>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2781" cy="3477210"/>
                    </a:xfrm>
                    <a:prstGeom prst="rect">
                      <a:avLst/>
                    </a:prstGeom>
                    <a:noFill/>
                  </pic:spPr>
                </pic:pic>
              </a:graphicData>
            </a:graphic>
          </wp:inline>
        </w:drawing>
      </w:r>
    </w:p>
    <w:p w14:paraId="538D6A89" w14:textId="77777777" w:rsidR="0090485B" w:rsidRPr="00421986" w:rsidRDefault="0090485B" w:rsidP="0090485B">
      <w:pPr>
        <w:jc w:val="left"/>
      </w:pPr>
    </w:p>
    <w:p w14:paraId="733CF0CB" w14:textId="77777777" w:rsidR="0090485B" w:rsidRDefault="0090485B" w:rsidP="0090485B">
      <w:pPr>
        <w:ind w:left="567" w:hanging="567"/>
      </w:pPr>
    </w:p>
    <w:p w14:paraId="03EE9296" w14:textId="77777777" w:rsidR="0090485B" w:rsidRPr="00421986" w:rsidRDefault="0090485B" w:rsidP="0090485B">
      <w:pPr>
        <w:ind w:left="567" w:hanging="567"/>
      </w:pPr>
    </w:p>
    <w:p w14:paraId="727A3B43" w14:textId="77777777" w:rsidR="0090485B" w:rsidRPr="00421986" w:rsidRDefault="0090485B" w:rsidP="0090485B">
      <w:pPr>
        <w:ind w:left="567" w:hanging="567"/>
        <w:jc w:val="right"/>
      </w:pPr>
      <w:r w:rsidRPr="00421986">
        <w:t>[Appendi</w:t>
      </w:r>
      <w:r>
        <w:t>ces</w:t>
      </w:r>
      <w:r w:rsidRPr="00421986">
        <w:t xml:space="preserve"> follow]</w:t>
      </w:r>
    </w:p>
    <w:p w14:paraId="56407113" w14:textId="77777777" w:rsidR="0090485B" w:rsidRPr="00421986" w:rsidRDefault="0090485B" w:rsidP="0090485B">
      <w:pPr>
        <w:ind w:left="567" w:hanging="567"/>
        <w:jc w:val="center"/>
      </w:pPr>
    </w:p>
    <w:p w14:paraId="013EC9F0" w14:textId="77777777" w:rsidR="0090485B" w:rsidRPr="00421986" w:rsidRDefault="0090485B" w:rsidP="0090485B">
      <w:pPr>
        <w:ind w:left="567" w:hanging="567"/>
        <w:jc w:val="right"/>
        <w:sectPr w:rsidR="0090485B" w:rsidRPr="00421986" w:rsidSect="00E6080D">
          <w:headerReference w:type="even" r:id="rId30"/>
          <w:headerReference w:type="default" r:id="rId31"/>
          <w:footerReference w:type="even" r:id="rId32"/>
          <w:footerReference w:type="default" r:id="rId33"/>
          <w:headerReference w:type="first" r:id="rId34"/>
          <w:footerReference w:type="first" r:id="rId35"/>
          <w:pgSz w:w="11907" w:h="16840" w:code="9"/>
          <w:pgMar w:top="510" w:right="1134" w:bottom="992" w:left="1134" w:header="510" w:footer="680" w:gutter="0"/>
          <w:pgNumType w:start="1"/>
          <w:cols w:space="720"/>
          <w:titlePg/>
          <w:docGrid w:linePitch="272"/>
        </w:sectPr>
      </w:pPr>
    </w:p>
    <w:p w14:paraId="60D59C1B" w14:textId="77777777" w:rsidR="0090485B" w:rsidRPr="00023B82" w:rsidRDefault="0090485B" w:rsidP="0090485B">
      <w:pPr>
        <w:pStyle w:val="Heading1"/>
        <w:numPr>
          <w:ilvl w:val="0"/>
          <w:numId w:val="12"/>
        </w:numPr>
        <w:ind w:left="567" w:hanging="567"/>
      </w:pPr>
      <w:bookmarkStart w:id="497" w:name="_Toc77931060"/>
      <w:r>
        <w:lastRenderedPageBreak/>
        <w:t>APPENDICES</w:t>
      </w:r>
      <w:bookmarkEnd w:id="497"/>
    </w:p>
    <w:p w14:paraId="7DD2A02E" w14:textId="77777777" w:rsidR="0090485B" w:rsidRDefault="0090485B" w:rsidP="0090485B">
      <w:pPr>
        <w:pStyle w:val="Heading2"/>
      </w:pPr>
    </w:p>
    <w:p w14:paraId="1458115B" w14:textId="030D4C39" w:rsidR="0090485B" w:rsidRPr="005E78BB" w:rsidRDefault="0090485B" w:rsidP="0090485B">
      <w:pPr>
        <w:pStyle w:val="Heading9"/>
      </w:pPr>
      <w:bookmarkStart w:id="498" w:name="_Toc63091108"/>
      <w:bookmarkStart w:id="499" w:name="_Toc63091305"/>
      <w:bookmarkStart w:id="500" w:name="_Toc63091835"/>
      <w:bookmarkStart w:id="501" w:name="_Toc63091109"/>
      <w:bookmarkStart w:id="502" w:name="_Toc63091306"/>
      <w:bookmarkStart w:id="503" w:name="_Toc63091836"/>
      <w:bookmarkStart w:id="504" w:name="_Toc77931061"/>
      <w:bookmarkEnd w:id="498"/>
      <w:bookmarkEnd w:id="499"/>
      <w:bookmarkEnd w:id="500"/>
      <w:bookmarkEnd w:id="501"/>
      <w:bookmarkEnd w:id="502"/>
      <w:bookmarkEnd w:id="503"/>
      <w:r w:rsidRPr="00651C04">
        <w:t>APPENDIX I</w:t>
      </w:r>
      <w:r>
        <w:tab/>
      </w:r>
      <w:r w:rsidRPr="00651C04">
        <w:t>Status in relation to the International Union for the Protection of New Varieties of Plants (U</w:t>
      </w:r>
      <w:r>
        <w:t>POV</w:t>
      </w:r>
      <w:r w:rsidRPr="00651C04">
        <w:t xml:space="preserve">) </w:t>
      </w:r>
      <w:r>
        <w:t>a</w:t>
      </w:r>
      <w:r w:rsidRPr="00651C04">
        <w:t>s o</w:t>
      </w:r>
      <w:r w:rsidRPr="00F4198D">
        <w:t xml:space="preserve">f </w:t>
      </w:r>
      <w:r w:rsidR="00D47EBE" w:rsidRPr="00F4198D">
        <w:t>March 3</w:t>
      </w:r>
      <w:r w:rsidRPr="00F4198D">
        <w:t>1, 2021</w:t>
      </w:r>
      <w:bookmarkEnd w:id="504"/>
    </w:p>
    <w:p w14:paraId="119E814A" w14:textId="3BA44634" w:rsidR="0090485B" w:rsidRPr="00421986" w:rsidRDefault="0090485B" w:rsidP="0090485B">
      <w:pPr>
        <w:ind w:left="2268" w:hanging="1984"/>
        <w:jc w:val="center"/>
        <w:rPr>
          <w:b/>
        </w:rPr>
      </w:pPr>
    </w:p>
    <w:p w14:paraId="08D2B453" w14:textId="77777777" w:rsidR="0090485B" w:rsidRPr="00421986" w:rsidRDefault="0090485B" w:rsidP="0090485B">
      <w:pPr>
        <w:rPr>
          <w:rFonts w:cs="Arial"/>
          <w:i/>
          <w:sz w:val="16"/>
          <w:szCs w:val="24"/>
        </w:rPr>
      </w:pPr>
    </w:p>
    <w:p w14:paraId="165C8FB9" w14:textId="77777777" w:rsidR="0090485B" w:rsidRPr="008B40C0" w:rsidRDefault="0090485B" w:rsidP="0090485B">
      <w:pPr>
        <w:ind w:left="284" w:hanging="284"/>
        <w:jc w:val="left"/>
        <w:rPr>
          <w:rFonts w:cs="Arial"/>
          <w:b/>
          <w:color w:val="26724C" w:themeColor="accent1" w:themeShade="BF"/>
          <w:sz w:val="18"/>
        </w:rPr>
      </w:pPr>
      <w:r>
        <w:rPr>
          <w:rFonts w:cs="Arial"/>
          <w:b/>
          <w:color w:val="26724C" w:themeColor="accent1" w:themeShade="BF"/>
          <w:sz w:val="18"/>
        </w:rPr>
        <w:t>A.</w:t>
      </w:r>
      <w:r>
        <w:rPr>
          <w:rFonts w:cs="Arial"/>
          <w:b/>
          <w:color w:val="26724C" w:themeColor="accent1" w:themeShade="BF"/>
          <w:sz w:val="18"/>
        </w:rPr>
        <w:tab/>
      </w:r>
      <w:r w:rsidRPr="008B40C0">
        <w:rPr>
          <w:rFonts w:cs="Arial"/>
          <w:b/>
          <w:color w:val="26724C" w:themeColor="accent1" w:themeShade="BF"/>
          <w:sz w:val="18"/>
        </w:rPr>
        <w:t>Members of UPOV</w:t>
      </w:r>
    </w:p>
    <w:p w14:paraId="78026F31" w14:textId="77777777" w:rsidR="0090485B" w:rsidRPr="00421986" w:rsidRDefault="0090485B" w:rsidP="0090485B">
      <w:pPr>
        <w:pStyle w:val="BodyText"/>
        <w:spacing w:before="120"/>
        <w:rPr>
          <w:rFonts w:cs="Arial"/>
          <w:sz w:val="16"/>
          <w:szCs w:val="16"/>
        </w:rPr>
      </w:pPr>
    </w:p>
    <w:p w14:paraId="1070937B" w14:textId="77777777" w:rsidR="0090485B" w:rsidRPr="00421986" w:rsidRDefault="0090485B" w:rsidP="0090485B">
      <w:pPr>
        <w:spacing w:before="40"/>
        <w:rPr>
          <w:rFonts w:cs="Arial"/>
          <w:sz w:val="16"/>
          <w:szCs w:val="16"/>
        </w:rPr>
        <w:sectPr w:rsidR="0090485B" w:rsidRPr="00421986" w:rsidSect="008F07B7">
          <w:headerReference w:type="even" r:id="rId36"/>
          <w:headerReference w:type="default" r:id="rId37"/>
          <w:footerReference w:type="even" r:id="rId38"/>
          <w:footerReference w:type="default" r:id="rId39"/>
          <w:headerReference w:type="first" r:id="rId40"/>
          <w:footerReference w:type="first" r:id="rId41"/>
          <w:pgSz w:w="11907" w:h="16840" w:code="9"/>
          <w:pgMar w:top="510" w:right="1134" w:bottom="851" w:left="1134" w:header="510" w:footer="624" w:gutter="0"/>
          <w:cols w:space="720"/>
          <w:docGrid w:linePitch="272"/>
        </w:sectPr>
      </w:pPr>
    </w:p>
    <w:p w14:paraId="49D67FB8" w14:textId="77777777" w:rsidR="0090485B" w:rsidRPr="00421986" w:rsidRDefault="0090485B" w:rsidP="0090485B">
      <w:pPr>
        <w:spacing w:before="40"/>
        <w:ind w:left="284" w:hanging="28"/>
        <w:jc w:val="left"/>
        <w:rPr>
          <w:rFonts w:cs="Arial"/>
          <w:sz w:val="16"/>
          <w:szCs w:val="16"/>
        </w:rPr>
      </w:pPr>
      <w:r w:rsidRPr="00421986">
        <w:rPr>
          <w:rFonts w:cs="Arial"/>
          <w:sz w:val="16"/>
          <w:szCs w:val="16"/>
        </w:rPr>
        <w:t>African Intellectual Property Organization</w:t>
      </w:r>
      <w:r w:rsidRPr="00421986">
        <w:rPr>
          <w:rFonts w:cs="Arial"/>
          <w:sz w:val="16"/>
          <w:szCs w:val="16"/>
          <w:vertAlign w:val="superscript"/>
        </w:rPr>
        <w:t>2, 4</w:t>
      </w:r>
    </w:p>
    <w:p w14:paraId="44EE8BDD"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Albania</w:t>
      </w:r>
      <w:r w:rsidRPr="008B40C0">
        <w:rPr>
          <w:rFonts w:cs="Arial"/>
          <w:sz w:val="16"/>
          <w:szCs w:val="16"/>
          <w:vertAlign w:val="superscript"/>
          <w:lang w:val="es-ES"/>
        </w:rPr>
        <w:t>2</w:t>
      </w:r>
    </w:p>
    <w:p w14:paraId="0E7864D8"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Argentina</w:t>
      </w:r>
      <w:r w:rsidRPr="008B40C0">
        <w:rPr>
          <w:rStyle w:val="FootnoteReference"/>
          <w:rFonts w:cs="Arial"/>
          <w:sz w:val="16"/>
          <w:szCs w:val="16"/>
          <w:lang w:val="es-ES"/>
        </w:rPr>
        <w:t>1</w:t>
      </w:r>
    </w:p>
    <w:p w14:paraId="3BC177DA"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Australia</w:t>
      </w:r>
      <w:r w:rsidRPr="008B40C0">
        <w:rPr>
          <w:rFonts w:cs="Arial"/>
          <w:sz w:val="16"/>
          <w:szCs w:val="16"/>
          <w:vertAlign w:val="superscript"/>
          <w:lang w:val="es-ES"/>
        </w:rPr>
        <w:t>2</w:t>
      </w:r>
    </w:p>
    <w:p w14:paraId="081FC7AE"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Austria</w:t>
      </w:r>
      <w:r w:rsidRPr="008B40C0">
        <w:rPr>
          <w:rStyle w:val="FootnoteReference"/>
          <w:rFonts w:cs="Arial"/>
          <w:sz w:val="16"/>
          <w:szCs w:val="16"/>
          <w:lang w:val="es-ES"/>
        </w:rPr>
        <w:t>2</w:t>
      </w:r>
    </w:p>
    <w:p w14:paraId="463C1DC0"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Azerbaijan</w:t>
      </w:r>
      <w:r w:rsidRPr="008B40C0">
        <w:rPr>
          <w:rFonts w:cs="Arial"/>
          <w:sz w:val="16"/>
          <w:szCs w:val="16"/>
          <w:vertAlign w:val="superscript"/>
          <w:lang w:val="es-ES"/>
        </w:rPr>
        <w:t>2</w:t>
      </w:r>
    </w:p>
    <w:p w14:paraId="0B4E29CB"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Belarus</w:t>
      </w:r>
      <w:r w:rsidRPr="008B40C0">
        <w:rPr>
          <w:rFonts w:cs="Arial"/>
          <w:sz w:val="16"/>
          <w:szCs w:val="16"/>
          <w:vertAlign w:val="superscript"/>
          <w:lang w:val="es-ES"/>
        </w:rPr>
        <w:t>2</w:t>
      </w:r>
    </w:p>
    <w:p w14:paraId="50A5F875" w14:textId="77777777" w:rsidR="0090485B" w:rsidRPr="00421986" w:rsidRDefault="0090485B" w:rsidP="0090485B">
      <w:pPr>
        <w:spacing w:before="40"/>
        <w:ind w:left="284"/>
        <w:jc w:val="left"/>
        <w:rPr>
          <w:rFonts w:cs="Arial"/>
          <w:sz w:val="16"/>
          <w:szCs w:val="16"/>
          <w:vertAlign w:val="superscript"/>
        </w:rPr>
      </w:pPr>
      <w:r w:rsidRPr="00421986">
        <w:rPr>
          <w:rFonts w:cs="Arial"/>
          <w:sz w:val="16"/>
          <w:szCs w:val="16"/>
        </w:rPr>
        <w:t>Belgium</w:t>
      </w:r>
      <w:r w:rsidRPr="00421986">
        <w:rPr>
          <w:rStyle w:val="FootnoteReference"/>
          <w:rFonts w:cs="Arial"/>
          <w:sz w:val="16"/>
          <w:szCs w:val="16"/>
        </w:rPr>
        <w:t>2</w:t>
      </w:r>
    </w:p>
    <w:p w14:paraId="0A3984B0" w14:textId="77777777" w:rsidR="0090485B" w:rsidRPr="00421986" w:rsidRDefault="0090485B" w:rsidP="0090485B">
      <w:pPr>
        <w:spacing w:before="40"/>
        <w:ind w:left="284" w:hanging="28"/>
        <w:jc w:val="left"/>
        <w:rPr>
          <w:rFonts w:cs="Arial"/>
          <w:sz w:val="16"/>
          <w:szCs w:val="16"/>
          <w:vertAlign w:val="superscript"/>
        </w:rPr>
      </w:pPr>
      <w:r w:rsidRPr="00421986">
        <w:rPr>
          <w:rFonts w:cs="Arial"/>
          <w:sz w:val="16"/>
          <w:szCs w:val="16"/>
        </w:rPr>
        <w:t>Bolivia (Plurinational State of)</w:t>
      </w:r>
      <w:r w:rsidRPr="00421986">
        <w:rPr>
          <w:rFonts w:cs="Arial"/>
          <w:sz w:val="16"/>
          <w:szCs w:val="16"/>
          <w:vertAlign w:val="superscript"/>
        </w:rPr>
        <w:t>1</w:t>
      </w:r>
    </w:p>
    <w:p w14:paraId="5BA401CB" w14:textId="77777777" w:rsidR="0090485B" w:rsidRPr="002B27ED" w:rsidRDefault="0090485B" w:rsidP="0090485B">
      <w:pPr>
        <w:spacing w:before="40"/>
        <w:ind w:left="284" w:hanging="28"/>
        <w:jc w:val="left"/>
        <w:rPr>
          <w:rFonts w:cs="Arial"/>
          <w:sz w:val="16"/>
          <w:szCs w:val="16"/>
          <w:lang w:val="es-ES"/>
        </w:rPr>
      </w:pPr>
      <w:r w:rsidRPr="002B27ED">
        <w:rPr>
          <w:rFonts w:cs="Arial"/>
          <w:sz w:val="16"/>
          <w:szCs w:val="16"/>
          <w:lang w:val="es-ES"/>
        </w:rPr>
        <w:t>Bosnia and Herzegovina</w:t>
      </w:r>
      <w:r w:rsidRPr="002B27ED">
        <w:rPr>
          <w:rFonts w:cs="Arial"/>
          <w:sz w:val="16"/>
          <w:szCs w:val="16"/>
          <w:vertAlign w:val="superscript"/>
          <w:lang w:val="es-ES"/>
        </w:rPr>
        <w:t>2</w:t>
      </w:r>
    </w:p>
    <w:p w14:paraId="3DE5A8E1"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Brazil</w:t>
      </w:r>
      <w:r w:rsidRPr="008B40C0">
        <w:rPr>
          <w:rFonts w:cs="Arial"/>
          <w:sz w:val="16"/>
          <w:szCs w:val="16"/>
          <w:vertAlign w:val="superscript"/>
          <w:lang w:val="es-ES"/>
        </w:rPr>
        <w:t>1</w:t>
      </w:r>
    </w:p>
    <w:p w14:paraId="2E8C9B4D"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Bulgaria</w:t>
      </w:r>
      <w:r w:rsidRPr="008B40C0">
        <w:rPr>
          <w:rFonts w:cs="Arial"/>
          <w:sz w:val="16"/>
          <w:szCs w:val="16"/>
          <w:vertAlign w:val="superscript"/>
          <w:lang w:val="es-ES"/>
        </w:rPr>
        <w:t>2</w:t>
      </w:r>
    </w:p>
    <w:p w14:paraId="632EB176"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Canada</w:t>
      </w:r>
      <w:r w:rsidRPr="008B40C0">
        <w:rPr>
          <w:rStyle w:val="FootnoteReference"/>
          <w:rFonts w:cs="Arial"/>
          <w:sz w:val="16"/>
          <w:szCs w:val="16"/>
          <w:lang w:val="es-ES"/>
        </w:rPr>
        <w:t>2</w:t>
      </w:r>
    </w:p>
    <w:p w14:paraId="115AE991"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Chile</w:t>
      </w:r>
      <w:r w:rsidRPr="008B40C0">
        <w:rPr>
          <w:rFonts w:cs="Arial"/>
          <w:sz w:val="16"/>
          <w:szCs w:val="16"/>
          <w:vertAlign w:val="superscript"/>
          <w:lang w:val="es-ES"/>
        </w:rPr>
        <w:t>1</w:t>
      </w:r>
    </w:p>
    <w:p w14:paraId="67BF1027" w14:textId="77777777" w:rsidR="0090485B" w:rsidRPr="008B40C0" w:rsidRDefault="0090485B" w:rsidP="0090485B">
      <w:pPr>
        <w:spacing w:before="40"/>
        <w:ind w:left="284"/>
        <w:jc w:val="left"/>
        <w:rPr>
          <w:rFonts w:cs="Arial"/>
          <w:sz w:val="16"/>
          <w:szCs w:val="16"/>
          <w:lang w:val="es-ES"/>
        </w:rPr>
      </w:pPr>
      <w:r w:rsidRPr="008B40C0">
        <w:rPr>
          <w:rFonts w:cs="Arial"/>
          <w:sz w:val="16"/>
          <w:szCs w:val="16"/>
          <w:lang w:val="es-ES"/>
        </w:rPr>
        <w:t>China</w:t>
      </w:r>
      <w:r w:rsidRPr="008B40C0">
        <w:rPr>
          <w:rFonts w:cs="Arial"/>
          <w:sz w:val="16"/>
          <w:szCs w:val="16"/>
          <w:vertAlign w:val="superscript"/>
          <w:lang w:val="es-ES"/>
        </w:rPr>
        <w:t>1</w:t>
      </w:r>
    </w:p>
    <w:p w14:paraId="27DB9604" w14:textId="77777777" w:rsidR="0090485B" w:rsidRPr="008B40C0" w:rsidRDefault="0090485B" w:rsidP="0090485B">
      <w:pPr>
        <w:keepNext/>
        <w:spacing w:before="40"/>
        <w:jc w:val="left"/>
        <w:rPr>
          <w:rFonts w:cs="Arial"/>
          <w:sz w:val="16"/>
          <w:szCs w:val="16"/>
          <w:lang w:val="es-ES"/>
        </w:rPr>
      </w:pPr>
      <w:r w:rsidRPr="008B40C0">
        <w:rPr>
          <w:rFonts w:cs="Arial"/>
          <w:sz w:val="16"/>
          <w:szCs w:val="16"/>
          <w:lang w:val="es-ES"/>
        </w:rPr>
        <w:t>Colombia</w:t>
      </w:r>
      <w:r w:rsidRPr="008B40C0">
        <w:rPr>
          <w:rFonts w:cs="Arial"/>
          <w:sz w:val="16"/>
          <w:szCs w:val="16"/>
          <w:vertAlign w:val="superscript"/>
          <w:lang w:val="es-ES"/>
        </w:rPr>
        <w:t>1</w:t>
      </w:r>
    </w:p>
    <w:p w14:paraId="2E16D5DF" w14:textId="77777777" w:rsidR="0090485B" w:rsidRPr="002B27ED" w:rsidRDefault="0090485B" w:rsidP="0090485B">
      <w:pPr>
        <w:keepNext/>
        <w:spacing w:before="40"/>
        <w:jc w:val="left"/>
        <w:rPr>
          <w:rFonts w:cs="Arial"/>
          <w:sz w:val="16"/>
          <w:szCs w:val="16"/>
          <w:lang w:val="es-ES"/>
        </w:rPr>
      </w:pPr>
      <w:r w:rsidRPr="002B27ED">
        <w:rPr>
          <w:rFonts w:cs="Arial"/>
          <w:sz w:val="16"/>
          <w:szCs w:val="16"/>
          <w:lang w:val="es-ES"/>
        </w:rPr>
        <w:t>Costa Rica</w:t>
      </w:r>
      <w:r w:rsidRPr="002B27ED">
        <w:rPr>
          <w:rFonts w:cs="Arial"/>
          <w:sz w:val="16"/>
          <w:szCs w:val="16"/>
          <w:vertAlign w:val="superscript"/>
          <w:lang w:val="es-ES"/>
        </w:rPr>
        <w:t>2</w:t>
      </w:r>
    </w:p>
    <w:p w14:paraId="3D178B40" w14:textId="77777777" w:rsidR="0090485B" w:rsidRPr="002B27ED" w:rsidRDefault="0090485B" w:rsidP="0090485B">
      <w:pPr>
        <w:spacing w:before="40"/>
        <w:jc w:val="left"/>
        <w:rPr>
          <w:rFonts w:cs="Arial"/>
          <w:sz w:val="16"/>
          <w:szCs w:val="16"/>
          <w:vertAlign w:val="superscript"/>
          <w:lang w:val="es-ES"/>
        </w:rPr>
      </w:pPr>
      <w:r w:rsidRPr="002B27ED">
        <w:rPr>
          <w:rFonts w:cs="Arial"/>
          <w:sz w:val="16"/>
          <w:szCs w:val="16"/>
          <w:lang w:val="es-ES"/>
        </w:rPr>
        <w:t>Croatia</w:t>
      </w:r>
      <w:r w:rsidRPr="002B27ED">
        <w:rPr>
          <w:rFonts w:cs="Arial"/>
          <w:sz w:val="16"/>
          <w:szCs w:val="16"/>
          <w:vertAlign w:val="superscript"/>
          <w:lang w:val="es-ES"/>
        </w:rPr>
        <w:t>2</w:t>
      </w:r>
    </w:p>
    <w:p w14:paraId="4B45FBC7" w14:textId="77777777" w:rsidR="0090485B" w:rsidRPr="00421986" w:rsidRDefault="0090485B" w:rsidP="0090485B">
      <w:pPr>
        <w:spacing w:before="40"/>
        <w:jc w:val="left"/>
        <w:rPr>
          <w:rFonts w:cs="Arial"/>
          <w:sz w:val="16"/>
          <w:szCs w:val="16"/>
        </w:rPr>
      </w:pPr>
      <w:r w:rsidRPr="00421986">
        <w:rPr>
          <w:rFonts w:cs="Arial"/>
          <w:sz w:val="16"/>
          <w:szCs w:val="16"/>
        </w:rPr>
        <w:t>Czech Republic</w:t>
      </w:r>
      <w:r w:rsidRPr="00421986">
        <w:rPr>
          <w:rFonts w:cs="Arial"/>
          <w:sz w:val="16"/>
          <w:szCs w:val="16"/>
          <w:vertAlign w:val="superscript"/>
        </w:rPr>
        <w:t>2</w:t>
      </w:r>
    </w:p>
    <w:p w14:paraId="56D8DFDA" w14:textId="77777777" w:rsidR="0090485B" w:rsidRPr="00421986" w:rsidRDefault="0090485B" w:rsidP="0090485B">
      <w:pPr>
        <w:spacing w:before="40"/>
        <w:jc w:val="left"/>
        <w:rPr>
          <w:rFonts w:cs="Arial"/>
          <w:sz w:val="16"/>
          <w:szCs w:val="16"/>
        </w:rPr>
      </w:pPr>
      <w:r w:rsidRPr="00421986">
        <w:rPr>
          <w:rFonts w:cs="Arial"/>
          <w:sz w:val="16"/>
          <w:szCs w:val="16"/>
        </w:rPr>
        <w:t>Denmark</w:t>
      </w:r>
      <w:r w:rsidRPr="00421986">
        <w:rPr>
          <w:rStyle w:val="FootnoteReference"/>
          <w:rFonts w:cs="Arial"/>
          <w:sz w:val="16"/>
          <w:szCs w:val="16"/>
        </w:rPr>
        <w:t>2</w:t>
      </w:r>
    </w:p>
    <w:p w14:paraId="591090E0" w14:textId="77777777" w:rsidR="0090485B" w:rsidRPr="00421986" w:rsidRDefault="0090485B" w:rsidP="0090485B">
      <w:pPr>
        <w:spacing w:before="40"/>
        <w:jc w:val="left"/>
        <w:rPr>
          <w:rFonts w:cs="Arial"/>
          <w:sz w:val="16"/>
          <w:szCs w:val="16"/>
        </w:rPr>
      </w:pPr>
      <w:r w:rsidRPr="00421986">
        <w:rPr>
          <w:rFonts w:cs="Arial"/>
          <w:sz w:val="16"/>
          <w:szCs w:val="16"/>
        </w:rPr>
        <w:t>Dominican Republic</w:t>
      </w:r>
      <w:r w:rsidRPr="00421986">
        <w:rPr>
          <w:rFonts w:cs="Arial"/>
          <w:sz w:val="16"/>
          <w:szCs w:val="16"/>
          <w:vertAlign w:val="superscript"/>
        </w:rPr>
        <w:t>2</w:t>
      </w:r>
    </w:p>
    <w:p w14:paraId="6B92C3AE" w14:textId="77777777" w:rsidR="0090485B" w:rsidRPr="00421986" w:rsidRDefault="0090485B" w:rsidP="0090485B">
      <w:pPr>
        <w:spacing w:before="40"/>
        <w:jc w:val="left"/>
        <w:rPr>
          <w:rFonts w:cs="Arial"/>
          <w:sz w:val="16"/>
          <w:szCs w:val="16"/>
        </w:rPr>
      </w:pPr>
      <w:r w:rsidRPr="00421986">
        <w:rPr>
          <w:rFonts w:cs="Arial"/>
          <w:sz w:val="16"/>
          <w:szCs w:val="16"/>
        </w:rPr>
        <w:t>Ecuador</w:t>
      </w:r>
      <w:r w:rsidRPr="00421986">
        <w:rPr>
          <w:rFonts w:cs="Arial"/>
          <w:sz w:val="16"/>
          <w:szCs w:val="16"/>
          <w:vertAlign w:val="superscript"/>
        </w:rPr>
        <w:t>1</w:t>
      </w:r>
    </w:p>
    <w:p w14:paraId="7869D009" w14:textId="77777777" w:rsidR="0090485B" w:rsidRPr="00421986" w:rsidRDefault="0090485B" w:rsidP="0090485B">
      <w:pPr>
        <w:spacing w:before="40"/>
        <w:jc w:val="left"/>
        <w:rPr>
          <w:rFonts w:cs="Arial"/>
          <w:sz w:val="16"/>
          <w:szCs w:val="16"/>
          <w:vertAlign w:val="superscript"/>
        </w:rPr>
      </w:pPr>
      <w:r w:rsidRPr="00421986">
        <w:rPr>
          <w:rFonts w:cs="Arial"/>
          <w:sz w:val="16"/>
          <w:szCs w:val="16"/>
        </w:rPr>
        <w:t>Egypt</w:t>
      </w:r>
      <w:r w:rsidRPr="00421986">
        <w:rPr>
          <w:rFonts w:cs="Arial"/>
          <w:sz w:val="16"/>
          <w:szCs w:val="16"/>
          <w:vertAlign w:val="superscript"/>
        </w:rPr>
        <w:t>2</w:t>
      </w:r>
    </w:p>
    <w:p w14:paraId="0E5EE3C8" w14:textId="77777777" w:rsidR="0090485B" w:rsidRPr="00421986" w:rsidRDefault="0090485B" w:rsidP="0090485B">
      <w:pPr>
        <w:spacing w:before="40"/>
        <w:jc w:val="left"/>
        <w:rPr>
          <w:rFonts w:cs="Arial"/>
          <w:sz w:val="16"/>
          <w:szCs w:val="16"/>
        </w:rPr>
      </w:pPr>
      <w:r w:rsidRPr="00421986">
        <w:rPr>
          <w:rFonts w:cs="Arial"/>
          <w:sz w:val="16"/>
          <w:szCs w:val="16"/>
        </w:rPr>
        <w:t>Estonia</w:t>
      </w:r>
      <w:r w:rsidRPr="00421986">
        <w:rPr>
          <w:rFonts w:cs="Arial"/>
          <w:sz w:val="16"/>
          <w:szCs w:val="16"/>
          <w:vertAlign w:val="superscript"/>
        </w:rPr>
        <w:t>2</w:t>
      </w:r>
    </w:p>
    <w:p w14:paraId="69552288" w14:textId="77777777" w:rsidR="0090485B" w:rsidRPr="00421986" w:rsidRDefault="0090485B" w:rsidP="0090485B">
      <w:pPr>
        <w:spacing w:before="40"/>
        <w:jc w:val="left"/>
        <w:rPr>
          <w:rFonts w:cs="Arial"/>
          <w:sz w:val="16"/>
          <w:szCs w:val="16"/>
          <w:vertAlign w:val="superscript"/>
        </w:rPr>
      </w:pPr>
      <w:r w:rsidRPr="00421986">
        <w:rPr>
          <w:rFonts w:cs="Arial"/>
          <w:sz w:val="16"/>
          <w:szCs w:val="16"/>
        </w:rPr>
        <w:t>European Union</w:t>
      </w:r>
      <w:r w:rsidRPr="00421986">
        <w:rPr>
          <w:rFonts w:cs="Arial"/>
          <w:sz w:val="16"/>
          <w:szCs w:val="16"/>
          <w:vertAlign w:val="superscript"/>
        </w:rPr>
        <w:t>2, 3</w:t>
      </w:r>
    </w:p>
    <w:p w14:paraId="021AA210" w14:textId="77777777" w:rsidR="0090485B" w:rsidRPr="00421986" w:rsidRDefault="0090485B" w:rsidP="0090485B">
      <w:pPr>
        <w:spacing w:before="40"/>
        <w:jc w:val="left"/>
        <w:rPr>
          <w:rFonts w:cs="Arial"/>
          <w:sz w:val="16"/>
          <w:szCs w:val="16"/>
        </w:rPr>
      </w:pPr>
      <w:r w:rsidRPr="00421986">
        <w:rPr>
          <w:rFonts w:cs="Arial"/>
          <w:sz w:val="16"/>
          <w:szCs w:val="16"/>
        </w:rPr>
        <w:t>Finland</w:t>
      </w:r>
      <w:r w:rsidRPr="00421986">
        <w:rPr>
          <w:rStyle w:val="FootnoteReference"/>
          <w:rFonts w:cs="Arial"/>
          <w:sz w:val="16"/>
          <w:szCs w:val="16"/>
        </w:rPr>
        <w:t>2</w:t>
      </w:r>
    </w:p>
    <w:p w14:paraId="52C7ED71" w14:textId="77777777" w:rsidR="0090485B" w:rsidRPr="00421986" w:rsidRDefault="0090485B" w:rsidP="0090485B">
      <w:pPr>
        <w:spacing w:before="40"/>
        <w:jc w:val="left"/>
        <w:rPr>
          <w:rFonts w:cs="Arial"/>
          <w:sz w:val="16"/>
          <w:szCs w:val="16"/>
        </w:rPr>
      </w:pPr>
      <w:r w:rsidRPr="00421986">
        <w:rPr>
          <w:rFonts w:cs="Arial"/>
          <w:sz w:val="16"/>
          <w:szCs w:val="16"/>
        </w:rPr>
        <w:t>France</w:t>
      </w:r>
      <w:r w:rsidRPr="00421986">
        <w:rPr>
          <w:rStyle w:val="FootnoteReference"/>
          <w:rFonts w:cs="Arial"/>
          <w:sz w:val="16"/>
          <w:szCs w:val="16"/>
        </w:rPr>
        <w:t>2</w:t>
      </w:r>
    </w:p>
    <w:p w14:paraId="5AECF9A5" w14:textId="77777777" w:rsidR="0090485B" w:rsidRPr="00421986" w:rsidRDefault="0090485B" w:rsidP="0090485B">
      <w:pPr>
        <w:spacing w:before="40"/>
        <w:jc w:val="left"/>
        <w:rPr>
          <w:rFonts w:cs="Arial"/>
          <w:sz w:val="16"/>
          <w:szCs w:val="16"/>
        </w:rPr>
      </w:pPr>
      <w:r w:rsidRPr="00421986">
        <w:rPr>
          <w:rFonts w:cs="Arial"/>
          <w:sz w:val="16"/>
          <w:szCs w:val="16"/>
        </w:rPr>
        <w:t>Georgia</w:t>
      </w:r>
      <w:r w:rsidRPr="00421986">
        <w:rPr>
          <w:rFonts w:cs="Arial"/>
          <w:sz w:val="16"/>
          <w:szCs w:val="16"/>
          <w:vertAlign w:val="superscript"/>
        </w:rPr>
        <w:t>2</w:t>
      </w:r>
    </w:p>
    <w:p w14:paraId="50320782"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Germany</w:t>
      </w:r>
      <w:r w:rsidRPr="002B27ED">
        <w:rPr>
          <w:rStyle w:val="FootnoteReference"/>
          <w:rFonts w:cs="Arial"/>
          <w:sz w:val="16"/>
          <w:szCs w:val="16"/>
          <w:lang w:val="de-DE"/>
        </w:rPr>
        <w:t>2</w:t>
      </w:r>
    </w:p>
    <w:p w14:paraId="2A56D487"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Hungary</w:t>
      </w:r>
      <w:r w:rsidRPr="002B27ED">
        <w:rPr>
          <w:rStyle w:val="FootnoteReference"/>
          <w:rFonts w:cs="Arial"/>
          <w:sz w:val="16"/>
          <w:szCs w:val="16"/>
          <w:lang w:val="de-DE"/>
        </w:rPr>
        <w:t>2</w:t>
      </w:r>
    </w:p>
    <w:p w14:paraId="602411C3"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Iceland</w:t>
      </w:r>
      <w:r w:rsidRPr="002B27ED">
        <w:rPr>
          <w:rStyle w:val="FootnoteReference"/>
          <w:rFonts w:cs="Arial"/>
          <w:sz w:val="16"/>
          <w:szCs w:val="16"/>
          <w:lang w:val="de-DE"/>
        </w:rPr>
        <w:t>2</w:t>
      </w:r>
    </w:p>
    <w:p w14:paraId="62CA540F"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Ireland</w:t>
      </w:r>
      <w:r w:rsidRPr="002B27ED">
        <w:rPr>
          <w:rStyle w:val="FootnoteReference"/>
          <w:rFonts w:cs="Arial"/>
          <w:sz w:val="16"/>
          <w:szCs w:val="16"/>
          <w:lang w:val="de-DE"/>
        </w:rPr>
        <w:t>2</w:t>
      </w:r>
    </w:p>
    <w:p w14:paraId="0707A4B6" w14:textId="77777777" w:rsidR="0090485B" w:rsidRPr="002B27ED" w:rsidRDefault="0090485B" w:rsidP="0090485B">
      <w:pPr>
        <w:keepNext/>
        <w:spacing w:before="40"/>
        <w:jc w:val="left"/>
        <w:rPr>
          <w:rFonts w:cs="Arial"/>
          <w:sz w:val="16"/>
          <w:szCs w:val="16"/>
          <w:vertAlign w:val="superscript"/>
          <w:lang w:val="de-DE"/>
        </w:rPr>
      </w:pPr>
      <w:r w:rsidRPr="002B27ED">
        <w:rPr>
          <w:rFonts w:cs="Arial"/>
          <w:sz w:val="16"/>
          <w:szCs w:val="16"/>
          <w:lang w:val="de-DE"/>
        </w:rPr>
        <w:t>Israel</w:t>
      </w:r>
      <w:r w:rsidRPr="002B27ED">
        <w:rPr>
          <w:rFonts w:cs="Arial"/>
          <w:sz w:val="16"/>
          <w:szCs w:val="16"/>
          <w:vertAlign w:val="superscript"/>
          <w:lang w:val="de-DE"/>
        </w:rPr>
        <w:t>2</w:t>
      </w:r>
    </w:p>
    <w:p w14:paraId="4B4684C0" w14:textId="77777777" w:rsidR="0090485B" w:rsidRPr="002B27ED" w:rsidRDefault="0090485B" w:rsidP="0090485B">
      <w:pPr>
        <w:keepNext/>
        <w:spacing w:before="40"/>
        <w:jc w:val="left"/>
        <w:rPr>
          <w:rFonts w:cs="Arial"/>
          <w:sz w:val="16"/>
          <w:szCs w:val="16"/>
          <w:lang w:val="de-DE"/>
        </w:rPr>
      </w:pPr>
      <w:r w:rsidRPr="002B27ED">
        <w:rPr>
          <w:rFonts w:cs="Arial"/>
          <w:sz w:val="16"/>
          <w:szCs w:val="16"/>
          <w:lang w:val="de-DE"/>
        </w:rPr>
        <w:t>Italy</w:t>
      </w:r>
      <w:r w:rsidRPr="002B27ED">
        <w:rPr>
          <w:rStyle w:val="FootnoteReference"/>
          <w:rFonts w:cs="Arial"/>
          <w:sz w:val="16"/>
          <w:szCs w:val="16"/>
          <w:lang w:val="de-DE"/>
        </w:rPr>
        <w:t>1</w:t>
      </w:r>
    </w:p>
    <w:p w14:paraId="6B5FA126" w14:textId="77777777" w:rsidR="0090485B" w:rsidRPr="002B27ED" w:rsidRDefault="0090485B" w:rsidP="0090485B">
      <w:pPr>
        <w:keepNext/>
        <w:spacing w:before="40"/>
        <w:jc w:val="left"/>
        <w:rPr>
          <w:rFonts w:cs="Arial"/>
          <w:sz w:val="16"/>
          <w:szCs w:val="16"/>
          <w:lang w:val="de-DE"/>
        </w:rPr>
      </w:pPr>
      <w:r w:rsidRPr="002B27ED">
        <w:rPr>
          <w:rFonts w:cs="Arial"/>
          <w:sz w:val="16"/>
          <w:szCs w:val="16"/>
          <w:lang w:val="de-DE"/>
        </w:rPr>
        <w:t>Japan</w:t>
      </w:r>
      <w:r w:rsidRPr="002B27ED">
        <w:rPr>
          <w:rFonts w:cs="Arial"/>
          <w:sz w:val="16"/>
          <w:szCs w:val="16"/>
          <w:vertAlign w:val="superscript"/>
          <w:lang w:val="de-DE"/>
        </w:rPr>
        <w:t>2</w:t>
      </w:r>
    </w:p>
    <w:p w14:paraId="4EB6221E"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Jordan</w:t>
      </w:r>
      <w:r w:rsidRPr="002B27ED">
        <w:rPr>
          <w:rFonts w:cs="Arial"/>
          <w:sz w:val="16"/>
          <w:szCs w:val="16"/>
          <w:vertAlign w:val="superscript"/>
          <w:lang w:val="de-DE"/>
        </w:rPr>
        <w:t>2</w:t>
      </w:r>
    </w:p>
    <w:p w14:paraId="3C47C7B8" w14:textId="77777777" w:rsidR="0090485B" w:rsidRPr="002B27ED" w:rsidRDefault="0090485B" w:rsidP="0090485B">
      <w:pPr>
        <w:spacing w:before="40"/>
        <w:jc w:val="left"/>
        <w:rPr>
          <w:rFonts w:cs="Arial"/>
          <w:sz w:val="16"/>
          <w:szCs w:val="16"/>
          <w:lang w:val="de-DE"/>
        </w:rPr>
      </w:pPr>
      <w:r w:rsidRPr="002B27ED">
        <w:rPr>
          <w:rFonts w:cs="Arial"/>
          <w:sz w:val="16"/>
          <w:szCs w:val="16"/>
          <w:lang w:val="de-DE"/>
        </w:rPr>
        <w:t>Kenya</w:t>
      </w:r>
      <w:r w:rsidRPr="002B27ED">
        <w:rPr>
          <w:rFonts w:cs="Arial"/>
          <w:sz w:val="16"/>
          <w:szCs w:val="16"/>
          <w:vertAlign w:val="superscript"/>
          <w:lang w:val="de-DE"/>
        </w:rPr>
        <w:t>2</w:t>
      </w:r>
    </w:p>
    <w:p w14:paraId="28C5AA1F" w14:textId="77777777" w:rsidR="0090485B" w:rsidRPr="008B40C0" w:rsidRDefault="0090485B" w:rsidP="0090485B">
      <w:pPr>
        <w:spacing w:before="40"/>
        <w:jc w:val="left"/>
        <w:rPr>
          <w:rFonts w:cs="Arial"/>
          <w:sz w:val="16"/>
          <w:szCs w:val="16"/>
          <w:lang w:val="es-ES"/>
        </w:rPr>
      </w:pPr>
      <w:r w:rsidRPr="008B40C0">
        <w:rPr>
          <w:rFonts w:cs="Arial"/>
          <w:sz w:val="16"/>
          <w:szCs w:val="16"/>
          <w:lang w:val="es-ES"/>
        </w:rPr>
        <w:t>Kyrgyzstan</w:t>
      </w:r>
      <w:r w:rsidRPr="008B40C0">
        <w:rPr>
          <w:rFonts w:cs="Arial"/>
          <w:sz w:val="16"/>
          <w:szCs w:val="16"/>
          <w:vertAlign w:val="superscript"/>
          <w:lang w:val="es-ES"/>
        </w:rPr>
        <w:t>2</w:t>
      </w:r>
    </w:p>
    <w:p w14:paraId="421C3DA7" w14:textId="77777777" w:rsidR="0090485B" w:rsidRPr="008B40C0" w:rsidRDefault="0090485B" w:rsidP="0090485B">
      <w:pPr>
        <w:spacing w:before="40"/>
        <w:jc w:val="left"/>
        <w:rPr>
          <w:rFonts w:cs="Arial"/>
          <w:sz w:val="16"/>
          <w:szCs w:val="16"/>
          <w:lang w:val="es-ES"/>
        </w:rPr>
      </w:pPr>
      <w:r w:rsidRPr="008B40C0">
        <w:rPr>
          <w:rFonts w:cs="Arial"/>
          <w:sz w:val="16"/>
          <w:szCs w:val="16"/>
          <w:lang w:val="es-ES"/>
        </w:rPr>
        <w:t>Latvia</w:t>
      </w:r>
      <w:r w:rsidRPr="008B40C0">
        <w:rPr>
          <w:rFonts w:cs="Arial"/>
          <w:sz w:val="16"/>
          <w:szCs w:val="16"/>
          <w:vertAlign w:val="superscript"/>
          <w:lang w:val="es-ES"/>
        </w:rPr>
        <w:t>2</w:t>
      </w:r>
    </w:p>
    <w:p w14:paraId="50761A11" w14:textId="77777777" w:rsidR="0090485B" w:rsidRPr="008B40C0" w:rsidRDefault="0090485B" w:rsidP="0090485B">
      <w:pPr>
        <w:spacing w:before="40"/>
        <w:jc w:val="left"/>
        <w:rPr>
          <w:rFonts w:cs="Arial"/>
          <w:sz w:val="16"/>
          <w:szCs w:val="16"/>
          <w:lang w:val="es-ES"/>
        </w:rPr>
      </w:pPr>
      <w:r w:rsidRPr="008B40C0">
        <w:rPr>
          <w:rFonts w:cs="Arial"/>
          <w:sz w:val="16"/>
          <w:szCs w:val="16"/>
          <w:lang w:val="es-ES"/>
        </w:rPr>
        <w:t>Lithuania</w:t>
      </w:r>
      <w:r w:rsidRPr="008B40C0">
        <w:rPr>
          <w:rFonts w:cs="Arial"/>
          <w:sz w:val="16"/>
          <w:szCs w:val="16"/>
          <w:vertAlign w:val="superscript"/>
          <w:lang w:val="es-ES"/>
        </w:rPr>
        <w:t>2</w:t>
      </w:r>
    </w:p>
    <w:p w14:paraId="5DD2D551" w14:textId="77777777" w:rsidR="0090485B" w:rsidRPr="008B40C0" w:rsidRDefault="0090485B" w:rsidP="0090485B">
      <w:pPr>
        <w:spacing w:before="40"/>
        <w:jc w:val="left"/>
        <w:rPr>
          <w:rFonts w:cs="Arial"/>
          <w:sz w:val="16"/>
          <w:szCs w:val="16"/>
          <w:vertAlign w:val="superscript"/>
          <w:lang w:val="es-ES"/>
        </w:rPr>
      </w:pPr>
      <w:r w:rsidRPr="008B40C0">
        <w:rPr>
          <w:rFonts w:cs="Arial"/>
          <w:sz w:val="16"/>
          <w:szCs w:val="16"/>
          <w:lang w:val="es-ES"/>
        </w:rPr>
        <w:t>Mexico</w:t>
      </w:r>
      <w:r w:rsidRPr="008B40C0">
        <w:rPr>
          <w:rFonts w:cs="Arial"/>
          <w:sz w:val="16"/>
          <w:szCs w:val="16"/>
          <w:vertAlign w:val="superscript"/>
          <w:lang w:val="es-ES"/>
        </w:rPr>
        <w:t>1</w:t>
      </w:r>
    </w:p>
    <w:p w14:paraId="7C4E67C7" w14:textId="77777777" w:rsidR="0090485B" w:rsidRPr="008B40C0" w:rsidRDefault="0090485B" w:rsidP="0090485B">
      <w:pPr>
        <w:spacing w:before="40"/>
        <w:jc w:val="left"/>
        <w:rPr>
          <w:rFonts w:cs="Arial"/>
          <w:sz w:val="16"/>
          <w:szCs w:val="16"/>
          <w:vertAlign w:val="superscript"/>
          <w:lang w:val="es-ES"/>
        </w:rPr>
      </w:pPr>
      <w:r w:rsidRPr="008B40C0">
        <w:rPr>
          <w:rFonts w:cs="Arial"/>
          <w:sz w:val="16"/>
          <w:szCs w:val="16"/>
          <w:lang w:val="es-ES"/>
        </w:rPr>
        <w:t>Montenegro</w:t>
      </w:r>
      <w:r w:rsidRPr="008B40C0">
        <w:rPr>
          <w:rFonts w:cs="Arial"/>
          <w:sz w:val="16"/>
          <w:szCs w:val="16"/>
          <w:vertAlign w:val="superscript"/>
          <w:lang w:val="es-ES"/>
        </w:rPr>
        <w:t>2</w:t>
      </w:r>
    </w:p>
    <w:p w14:paraId="66F037F3" w14:textId="77777777" w:rsidR="0090485B" w:rsidRPr="008B40C0" w:rsidRDefault="0090485B" w:rsidP="0090485B">
      <w:pPr>
        <w:spacing w:before="40"/>
        <w:jc w:val="left"/>
        <w:rPr>
          <w:rFonts w:cs="Arial"/>
          <w:sz w:val="16"/>
          <w:szCs w:val="16"/>
          <w:lang w:val="es-ES"/>
        </w:rPr>
      </w:pPr>
      <w:r w:rsidRPr="008B40C0">
        <w:rPr>
          <w:rFonts w:cs="Arial"/>
          <w:sz w:val="16"/>
          <w:szCs w:val="16"/>
          <w:lang w:val="es-ES"/>
        </w:rPr>
        <w:t>Morocco</w:t>
      </w:r>
      <w:r w:rsidRPr="008B40C0">
        <w:rPr>
          <w:rStyle w:val="FootnoteReference"/>
          <w:rFonts w:cs="Arial"/>
          <w:sz w:val="16"/>
          <w:szCs w:val="16"/>
          <w:lang w:val="es-ES"/>
        </w:rPr>
        <w:t>2</w:t>
      </w:r>
    </w:p>
    <w:p w14:paraId="289F4C75" w14:textId="77777777" w:rsidR="0090485B" w:rsidRPr="002B27ED" w:rsidRDefault="0090485B" w:rsidP="0090485B">
      <w:pPr>
        <w:spacing w:before="40"/>
        <w:jc w:val="left"/>
        <w:rPr>
          <w:rFonts w:cs="Arial"/>
          <w:sz w:val="16"/>
          <w:szCs w:val="16"/>
        </w:rPr>
      </w:pPr>
      <w:r w:rsidRPr="002B27ED">
        <w:rPr>
          <w:rFonts w:cs="Arial"/>
          <w:sz w:val="16"/>
          <w:szCs w:val="16"/>
        </w:rPr>
        <w:t>Netherlands</w:t>
      </w:r>
      <w:r w:rsidRPr="002B27ED">
        <w:rPr>
          <w:rFonts w:cs="Arial"/>
          <w:sz w:val="16"/>
          <w:szCs w:val="16"/>
          <w:vertAlign w:val="superscript"/>
        </w:rPr>
        <w:t>2</w:t>
      </w:r>
    </w:p>
    <w:p w14:paraId="0244DC8E" w14:textId="77777777" w:rsidR="0090485B" w:rsidRPr="002B27ED" w:rsidRDefault="0090485B" w:rsidP="0090485B">
      <w:pPr>
        <w:spacing w:before="40"/>
        <w:jc w:val="left"/>
        <w:rPr>
          <w:rFonts w:cs="Arial"/>
          <w:sz w:val="16"/>
          <w:szCs w:val="16"/>
        </w:rPr>
      </w:pPr>
      <w:r w:rsidRPr="002B27ED">
        <w:rPr>
          <w:rFonts w:cs="Arial"/>
          <w:sz w:val="16"/>
          <w:szCs w:val="16"/>
        </w:rPr>
        <w:t>New Zealand</w:t>
      </w:r>
      <w:r w:rsidRPr="002B27ED">
        <w:rPr>
          <w:rStyle w:val="FootnoteReference"/>
          <w:rFonts w:cs="Arial"/>
          <w:sz w:val="16"/>
          <w:szCs w:val="16"/>
        </w:rPr>
        <w:t>1</w:t>
      </w:r>
    </w:p>
    <w:p w14:paraId="26CDE1F8" w14:textId="77777777" w:rsidR="0090485B" w:rsidRPr="002B27ED" w:rsidRDefault="0090485B" w:rsidP="0090485B">
      <w:pPr>
        <w:spacing w:before="40"/>
        <w:jc w:val="left"/>
        <w:rPr>
          <w:rFonts w:cs="Arial"/>
          <w:sz w:val="16"/>
          <w:szCs w:val="16"/>
        </w:rPr>
      </w:pPr>
      <w:r w:rsidRPr="002B27ED">
        <w:rPr>
          <w:rFonts w:cs="Arial"/>
          <w:sz w:val="16"/>
          <w:szCs w:val="16"/>
        </w:rPr>
        <w:t>Nicaragua</w:t>
      </w:r>
      <w:r w:rsidRPr="002B27ED">
        <w:rPr>
          <w:rFonts w:cs="Arial"/>
          <w:sz w:val="16"/>
          <w:szCs w:val="16"/>
          <w:vertAlign w:val="superscript"/>
        </w:rPr>
        <w:t>1</w:t>
      </w:r>
    </w:p>
    <w:p w14:paraId="4362AB48" w14:textId="77777777" w:rsidR="0090485B" w:rsidRPr="002B27ED" w:rsidRDefault="0090485B" w:rsidP="0090485B">
      <w:pPr>
        <w:keepNext/>
        <w:spacing w:before="40"/>
        <w:ind w:left="28" w:hanging="28"/>
        <w:jc w:val="left"/>
        <w:rPr>
          <w:rFonts w:cs="Arial"/>
          <w:sz w:val="16"/>
          <w:szCs w:val="16"/>
        </w:rPr>
      </w:pPr>
      <w:r w:rsidRPr="002B27ED">
        <w:rPr>
          <w:rFonts w:cs="Arial"/>
          <w:sz w:val="16"/>
          <w:szCs w:val="16"/>
        </w:rPr>
        <w:t>North Macedonia</w:t>
      </w:r>
      <w:r w:rsidRPr="002B27ED">
        <w:rPr>
          <w:rFonts w:cs="Arial"/>
          <w:sz w:val="16"/>
          <w:szCs w:val="16"/>
          <w:vertAlign w:val="superscript"/>
        </w:rPr>
        <w:t>2</w:t>
      </w:r>
    </w:p>
    <w:p w14:paraId="3B51BEE0" w14:textId="77777777" w:rsidR="0090485B" w:rsidRPr="00C20F3E" w:rsidRDefault="0090485B" w:rsidP="0090485B">
      <w:pPr>
        <w:spacing w:before="40"/>
        <w:jc w:val="left"/>
        <w:rPr>
          <w:rFonts w:cs="Arial"/>
          <w:sz w:val="16"/>
          <w:szCs w:val="16"/>
          <w:lang w:val="es-ES"/>
        </w:rPr>
      </w:pPr>
      <w:r w:rsidRPr="00C20F3E">
        <w:rPr>
          <w:rFonts w:cs="Arial"/>
          <w:sz w:val="16"/>
          <w:szCs w:val="16"/>
          <w:lang w:val="es-ES"/>
        </w:rPr>
        <w:t>Norway</w:t>
      </w:r>
      <w:r w:rsidRPr="00C20F3E">
        <w:rPr>
          <w:rStyle w:val="FootnoteReference"/>
          <w:rFonts w:cs="Arial"/>
          <w:sz w:val="16"/>
          <w:szCs w:val="16"/>
          <w:lang w:val="es-ES"/>
        </w:rPr>
        <w:t>1</w:t>
      </w:r>
    </w:p>
    <w:p w14:paraId="4A14696C" w14:textId="77777777" w:rsidR="0090485B" w:rsidRPr="00C20F3E" w:rsidRDefault="0090485B" w:rsidP="0090485B">
      <w:pPr>
        <w:keepNext/>
        <w:spacing w:before="40"/>
        <w:jc w:val="left"/>
        <w:rPr>
          <w:rFonts w:cs="Arial"/>
          <w:sz w:val="16"/>
          <w:szCs w:val="16"/>
          <w:lang w:val="es-ES"/>
        </w:rPr>
      </w:pPr>
      <w:r w:rsidRPr="00C20F3E">
        <w:rPr>
          <w:rFonts w:cs="Arial"/>
          <w:sz w:val="16"/>
          <w:szCs w:val="16"/>
          <w:lang w:val="es-ES"/>
        </w:rPr>
        <w:t>Oman</w:t>
      </w:r>
      <w:r w:rsidRPr="00C20F3E">
        <w:rPr>
          <w:rFonts w:cs="Arial"/>
          <w:sz w:val="16"/>
          <w:szCs w:val="16"/>
          <w:vertAlign w:val="superscript"/>
          <w:lang w:val="es-ES"/>
        </w:rPr>
        <w:t>2</w:t>
      </w:r>
    </w:p>
    <w:p w14:paraId="0C1D2A1B" w14:textId="77777777" w:rsidR="0090485B" w:rsidRPr="00C20F3E" w:rsidRDefault="0090485B" w:rsidP="0090485B">
      <w:pPr>
        <w:keepNext/>
        <w:spacing w:before="40"/>
        <w:jc w:val="left"/>
        <w:rPr>
          <w:rFonts w:cs="Arial"/>
          <w:sz w:val="16"/>
          <w:szCs w:val="16"/>
          <w:vertAlign w:val="superscript"/>
          <w:lang w:val="es-ES"/>
        </w:rPr>
      </w:pPr>
      <w:r w:rsidRPr="00C20F3E">
        <w:rPr>
          <w:rFonts w:cs="Arial"/>
          <w:sz w:val="16"/>
          <w:szCs w:val="16"/>
          <w:lang w:val="es-ES"/>
        </w:rPr>
        <w:t>Panama</w:t>
      </w:r>
      <w:r w:rsidRPr="00C20F3E">
        <w:rPr>
          <w:rFonts w:cs="Arial"/>
          <w:sz w:val="16"/>
          <w:szCs w:val="16"/>
          <w:vertAlign w:val="superscript"/>
          <w:lang w:val="es-ES"/>
        </w:rPr>
        <w:t>2</w:t>
      </w:r>
    </w:p>
    <w:p w14:paraId="55E5076D" w14:textId="77777777" w:rsidR="0090485B" w:rsidRPr="00C20F3E" w:rsidRDefault="0090485B" w:rsidP="0090485B">
      <w:pPr>
        <w:keepNext/>
        <w:spacing w:before="40"/>
        <w:jc w:val="left"/>
        <w:rPr>
          <w:rFonts w:cs="Arial"/>
          <w:sz w:val="16"/>
          <w:szCs w:val="16"/>
          <w:lang w:val="es-ES"/>
        </w:rPr>
      </w:pPr>
      <w:r w:rsidRPr="00C20F3E">
        <w:rPr>
          <w:rFonts w:cs="Arial"/>
          <w:sz w:val="16"/>
          <w:szCs w:val="16"/>
          <w:lang w:val="es-ES"/>
        </w:rPr>
        <w:t>Paraguay</w:t>
      </w:r>
      <w:r w:rsidRPr="00C20F3E">
        <w:rPr>
          <w:rFonts w:cs="Arial"/>
          <w:sz w:val="16"/>
          <w:szCs w:val="16"/>
          <w:vertAlign w:val="superscript"/>
          <w:lang w:val="es-ES"/>
        </w:rPr>
        <w:t>1</w:t>
      </w:r>
    </w:p>
    <w:p w14:paraId="4E5AD496" w14:textId="77777777" w:rsidR="0090485B" w:rsidRPr="00C20F3E" w:rsidRDefault="0090485B" w:rsidP="0090485B">
      <w:pPr>
        <w:keepNext/>
        <w:spacing w:before="40"/>
        <w:jc w:val="left"/>
        <w:rPr>
          <w:rFonts w:cs="Arial"/>
          <w:sz w:val="16"/>
          <w:szCs w:val="16"/>
          <w:lang w:val="es-ES"/>
        </w:rPr>
      </w:pPr>
      <w:r w:rsidRPr="00C20F3E">
        <w:rPr>
          <w:rFonts w:cs="Arial"/>
          <w:sz w:val="16"/>
          <w:szCs w:val="16"/>
          <w:lang w:val="es-ES"/>
        </w:rPr>
        <w:t>Peru</w:t>
      </w:r>
      <w:r w:rsidRPr="00C20F3E">
        <w:rPr>
          <w:rFonts w:cs="Arial"/>
          <w:sz w:val="16"/>
          <w:szCs w:val="16"/>
          <w:vertAlign w:val="superscript"/>
          <w:lang w:val="es-ES"/>
        </w:rPr>
        <w:t>2</w:t>
      </w:r>
    </w:p>
    <w:p w14:paraId="0D9A5F3A" w14:textId="77777777" w:rsidR="0090485B" w:rsidRPr="00C20F3E" w:rsidRDefault="0090485B" w:rsidP="0090485B">
      <w:pPr>
        <w:pStyle w:val="BodyTextKeep"/>
        <w:spacing w:before="40" w:after="0"/>
        <w:rPr>
          <w:rFonts w:ascii="Arial" w:hAnsi="Arial" w:cs="Arial"/>
          <w:sz w:val="16"/>
          <w:szCs w:val="16"/>
          <w:vertAlign w:val="superscript"/>
          <w:lang w:val="es-ES"/>
        </w:rPr>
      </w:pPr>
      <w:r w:rsidRPr="00C20F3E">
        <w:rPr>
          <w:rFonts w:ascii="Arial" w:hAnsi="Arial" w:cs="Arial"/>
          <w:sz w:val="16"/>
          <w:szCs w:val="16"/>
          <w:lang w:val="es-ES"/>
        </w:rPr>
        <w:t>Poland</w:t>
      </w:r>
      <w:r w:rsidRPr="00C20F3E">
        <w:rPr>
          <w:rStyle w:val="FootnoteReference"/>
          <w:rFonts w:cs="Arial"/>
          <w:sz w:val="16"/>
          <w:szCs w:val="16"/>
          <w:lang w:val="es-ES"/>
        </w:rPr>
        <w:t>2</w:t>
      </w:r>
    </w:p>
    <w:p w14:paraId="7643FAA6" w14:textId="77777777" w:rsidR="0090485B" w:rsidRPr="002B27ED" w:rsidRDefault="0090485B" w:rsidP="0090485B">
      <w:pPr>
        <w:pStyle w:val="BodyTextKeep"/>
        <w:keepNext w:val="0"/>
        <w:spacing w:before="40" w:after="0"/>
        <w:rPr>
          <w:rFonts w:ascii="Arial" w:hAnsi="Arial" w:cs="Arial"/>
          <w:sz w:val="16"/>
          <w:szCs w:val="16"/>
          <w:vertAlign w:val="superscript"/>
        </w:rPr>
      </w:pPr>
      <w:r w:rsidRPr="002B27ED">
        <w:rPr>
          <w:rFonts w:ascii="Arial" w:hAnsi="Arial" w:cs="Arial"/>
          <w:sz w:val="16"/>
          <w:szCs w:val="16"/>
        </w:rPr>
        <w:t>Portugal</w:t>
      </w:r>
      <w:r w:rsidRPr="002B27ED">
        <w:rPr>
          <w:rFonts w:ascii="Arial" w:hAnsi="Arial" w:cs="Arial"/>
          <w:sz w:val="16"/>
          <w:szCs w:val="16"/>
          <w:vertAlign w:val="superscript"/>
        </w:rPr>
        <w:t>1</w:t>
      </w:r>
    </w:p>
    <w:p w14:paraId="28F3B68E" w14:textId="77777777" w:rsidR="0090485B" w:rsidRPr="00421986" w:rsidRDefault="0090485B" w:rsidP="0090485B">
      <w:pPr>
        <w:pStyle w:val="BodyTextKeep"/>
        <w:keepNext w:val="0"/>
        <w:spacing w:before="40" w:after="0"/>
        <w:rPr>
          <w:rFonts w:ascii="Arial" w:hAnsi="Arial" w:cs="Arial"/>
          <w:sz w:val="16"/>
          <w:szCs w:val="16"/>
          <w:vertAlign w:val="superscript"/>
        </w:rPr>
      </w:pPr>
      <w:r w:rsidRPr="00421986">
        <w:rPr>
          <w:rFonts w:ascii="Arial" w:hAnsi="Arial" w:cs="Arial"/>
          <w:sz w:val="16"/>
          <w:szCs w:val="16"/>
        </w:rPr>
        <w:t>Republic of Korea</w:t>
      </w:r>
      <w:r w:rsidRPr="00421986">
        <w:rPr>
          <w:rFonts w:ascii="Arial" w:hAnsi="Arial" w:cs="Arial"/>
          <w:sz w:val="16"/>
          <w:szCs w:val="16"/>
          <w:vertAlign w:val="superscript"/>
        </w:rPr>
        <w:t>2</w:t>
      </w:r>
    </w:p>
    <w:p w14:paraId="28AF2FFE" w14:textId="77777777" w:rsidR="0090485B" w:rsidRPr="00421986" w:rsidRDefault="0090485B" w:rsidP="0090485B">
      <w:pPr>
        <w:pStyle w:val="BodyTextKeep"/>
        <w:keepNext w:val="0"/>
        <w:spacing w:before="40" w:after="0"/>
        <w:rPr>
          <w:rFonts w:ascii="Arial" w:hAnsi="Arial" w:cs="Arial"/>
          <w:sz w:val="16"/>
          <w:szCs w:val="16"/>
          <w:vertAlign w:val="superscript"/>
        </w:rPr>
      </w:pPr>
      <w:r w:rsidRPr="00421986">
        <w:rPr>
          <w:rFonts w:ascii="Arial" w:hAnsi="Arial" w:cs="Arial"/>
          <w:sz w:val="16"/>
          <w:szCs w:val="16"/>
        </w:rPr>
        <w:t>Republic of Moldova</w:t>
      </w:r>
      <w:r w:rsidRPr="00421986">
        <w:rPr>
          <w:rFonts w:ascii="Arial" w:hAnsi="Arial" w:cs="Arial"/>
          <w:sz w:val="16"/>
          <w:szCs w:val="16"/>
          <w:vertAlign w:val="superscript"/>
        </w:rPr>
        <w:t>2</w:t>
      </w:r>
    </w:p>
    <w:p w14:paraId="63D0E4E9" w14:textId="77777777" w:rsidR="0090485B" w:rsidRPr="00421986" w:rsidRDefault="0090485B" w:rsidP="0090485B">
      <w:pPr>
        <w:pStyle w:val="BodyTextKeep"/>
        <w:keepNext w:val="0"/>
        <w:spacing w:before="40" w:after="0"/>
        <w:rPr>
          <w:rFonts w:ascii="Arial" w:hAnsi="Arial" w:cs="Arial"/>
          <w:sz w:val="16"/>
          <w:szCs w:val="16"/>
          <w:vertAlign w:val="superscript"/>
        </w:rPr>
      </w:pPr>
      <w:r w:rsidRPr="00421986">
        <w:rPr>
          <w:rFonts w:ascii="Arial" w:hAnsi="Arial" w:cs="Arial"/>
          <w:sz w:val="16"/>
          <w:szCs w:val="16"/>
        </w:rPr>
        <w:t>Romania</w:t>
      </w:r>
      <w:r w:rsidRPr="00421986">
        <w:rPr>
          <w:rFonts w:ascii="Arial" w:hAnsi="Arial" w:cs="Arial"/>
          <w:sz w:val="16"/>
          <w:szCs w:val="16"/>
          <w:vertAlign w:val="superscript"/>
        </w:rPr>
        <w:t>2</w:t>
      </w:r>
    </w:p>
    <w:p w14:paraId="5FEA9CFA" w14:textId="77777777" w:rsidR="0090485B" w:rsidRPr="00421986" w:rsidRDefault="0090485B" w:rsidP="0090485B">
      <w:pPr>
        <w:pStyle w:val="BodyTextKeep"/>
        <w:keepNext w:val="0"/>
        <w:spacing w:before="40" w:after="0"/>
        <w:rPr>
          <w:rFonts w:ascii="Arial" w:hAnsi="Arial" w:cs="Arial"/>
          <w:sz w:val="16"/>
          <w:szCs w:val="16"/>
        </w:rPr>
      </w:pPr>
      <w:r w:rsidRPr="00421986">
        <w:rPr>
          <w:rFonts w:ascii="Arial" w:hAnsi="Arial" w:cs="Arial"/>
          <w:sz w:val="16"/>
          <w:szCs w:val="16"/>
        </w:rPr>
        <w:t>Russian Federation</w:t>
      </w:r>
      <w:r w:rsidRPr="00421986">
        <w:rPr>
          <w:rFonts w:ascii="Arial" w:hAnsi="Arial" w:cs="Arial"/>
          <w:sz w:val="16"/>
          <w:szCs w:val="16"/>
          <w:vertAlign w:val="superscript"/>
        </w:rPr>
        <w:t>2</w:t>
      </w:r>
    </w:p>
    <w:p w14:paraId="044F4D13" w14:textId="5FDD9B13" w:rsidR="00D47EBE" w:rsidRDefault="00D47EBE" w:rsidP="00D47EBE">
      <w:pPr>
        <w:pStyle w:val="BodyTextKeep"/>
        <w:keepNext w:val="0"/>
        <w:spacing w:before="40" w:after="0"/>
        <w:rPr>
          <w:rFonts w:ascii="Arial" w:hAnsi="Arial" w:cs="Arial"/>
          <w:sz w:val="16"/>
          <w:szCs w:val="16"/>
        </w:rPr>
      </w:pPr>
      <w:r>
        <w:rPr>
          <w:rFonts w:ascii="Arial" w:hAnsi="Arial" w:cs="Arial"/>
          <w:sz w:val="16"/>
          <w:szCs w:val="16"/>
        </w:rPr>
        <w:t>Saint Vincent and the Grenadines</w:t>
      </w:r>
      <w:r>
        <w:rPr>
          <w:rFonts w:ascii="Arial" w:hAnsi="Arial" w:cs="Arial"/>
          <w:sz w:val="16"/>
          <w:szCs w:val="16"/>
          <w:vertAlign w:val="superscript"/>
        </w:rPr>
        <w:t>2</w:t>
      </w:r>
      <w:r>
        <w:rPr>
          <w:rFonts w:ascii="Arial" w:hAnsi="Arial" w:cs="Arial"/>
          <w:sz w:val="16"/>
          <w:szCs w:val="16"/>
        </w:rPr>
        <w:t xml:space="preserve"> </w:t>
      </w:r>
    </w:p>
    <w:p w14:paraId="469516F6" w14:textId="77777777" w:rsidR="0090485B" w:rsidRPr="00421986" w:rsidRDefault="0090485B" w:rsidP="0090485B">
      <w:pPr>
        <w:pStyle w:val="BodyTextKeep"/>
        <w:keepNext w:val="0"/>
        <w:spacing w:before="40" w:after="0"/>
        <w:rPr>
          <w:rFonts w:ascii="Arial" w:hAnsi="Arial" w:cs="Arial"/>
          <w:sz w:val="16"/>
          <w:szCs w:val="16"/>
        </w:rPr>
      </w:pPr>
      <w:r w:rsidRPr="00421986">
        <w:rPr>
          <w:rFonts w:ascii="Arial" w:hAnsi="Arial" w:cs="Arial"/>
          <w:sz w:val="16"/>
          <w:szCs w:val="16"/>
        </w:rPr>
        <w:t>Serbia</w:t>
      </w:r>
      <w:r w:rsidRPr="00421986">
        <w:rPr>
          <w:rFonts w:ascii="Arial" w:hAnsi="Arial" w:cs="Arial"/>
          <w:sz w:val="16"/>
          <w:szCs w:val="16"/>
          <w:vertAlign w:val="superscript"/>
        </w:rPr>
        <w:t>2</w:t>
      </w:r>
    </w:p>
    <w:p w14:paraId="609EA3AC" w14:textId="77777777" w:rsidR="0090485B" w:rsidRPr="00421986" w:rsidRDefault="0090485B" w:rsidP="0090485B">
      <w:pPr>
        <w:pStyle w:val="BodyTextKeep"/>
        <w:keepNext w:val="0"/>
        <w:spacing w:before="40" w:after="0"/>
        <w:rPr>
          <w:rFonts w:ascii="Arial" w:hAnsi="Arial" w:cs="Arial"/>
          <w:sz w:val="16"/>
          <w:szCs w:val="16"/>
        </w:rPr>
      </w:pPr>
      <w:r w:rsidRPr="00421986">
        <w:rPr>
          <w:rFonts w:ascii="Arial" w:hAnsi="Arial" w:cs="Arial"/>
          <w:sz w:val="16"/>
          <w:szCs w:val="16"/>
        </w:rPr>
        <w:t>Singapore</w:t>
      </w:r>
      <w:r w:rsidRPr="00421986">
        <w:rPr>
          <w:rFonts w:ascii="Arial" w:hAnsi="Arial" w:cs="Arial"/>
          <w:sz w:val="16"/>
          <w:szCs w:val="16"/>
          <w:vertAlign w:val="superscript"/>
        </w:rPr>
        <w:t>2</w:t>
      </w:r>
    </w:p>
    <w:p w14:paraId="40F9E230" w14:textId="77777777" w:rsidR="0090485B" w:rsidRPr="00421986" w:rsidRDefault="0090485B" w:rsidP="0090485B">
      <w:pPr>
        <w:spacing w:before="40"/>
        <w:jc w:val="left"/>
        <w:rPr>
          <w:rFonts w:cs="Arial"/>
          <w:sz w:val="16"/>
          <w:szCs w:val="16"/>
          <w:vertAlign w:val="superscript"/>
        </w:rPr>
      </w:pPr>
      <w:r w:rsidRPr="00421986">
        <w:rPr>
          <w:rFonts w:cs="Arial"/>
          <w:sz w:val="16"/>
          <w:szCs w:val="16"/>
        </w:rPr>
        <w:t>Slovakia</w:t>
      </w:r>
      <w:r w:rsidRPr="00421986">
        <w:rPr>
          <w:rFonts w:cs="Arial"/>
          <w:sz w:val="16"/>
          <w:szCs w:val="16"/>
          <w:vertAlign w:val="superscript"/>
        </w:rPr>
        <w:t>2</w:t>
      </w:r>
    </w:p>
    <w:p w14:paraId="4D672A12" w14:textId="77777777" w:rsidR="0090485B" w:rsidRPr="00421986" w:rsidRDefault="0090485B" w:rsidP="0090485B">
      <w:pPr>
        <w:spacing w:before="40"/>
        <w:jc w:val="left"/>
        <w:rPr>
          <w:rFonts w:cs="Arial"/>
          <w:sz w:val="16"/>
          <w:szCs w:val="16"/>
        </w:rPr>
      </w:pPr>
      <w:r w:rsidRPr="00421986">
        <w:rPr>
          <w:rFonts w:cs="Arial"/>
          <w:sz w:val="16"/>
          <w:szCs w:val="16"/>
        </w:rPr>
        <w:t>Slovenia</w:t>
      </w:r>
      <w:r w:rsidRPr="00421986">
        <w:rPr>
          <w:rFonts w:cs="Arial"/>
          <w:sz w:val="16"/>
          <w:szCs w:val="16"/>
          <w:vertAlign w:val="superscript"/>
        </w:rPr>
        <w:t>2</w:t>
      </w:r>
    </w:p>
    <w:p w14:paraId="09C5DE31" w14:textId="77777777" w:rsidR="0090485B" w:rsidRPr="00421986" w:rsidRDefault="0090485B" w:rsidP="0090485B">
      <w:pPr>
        <w:spacing w:before="40"/>
        <w:jc w:val="left"/>
        <w:rPr>
          <w:rFonts w:cs="Arial"/>
          <w:sz w:val="16"/>
          <w:szCs w:val="16"/>
        </w:rPr>
      </w:pPr>
      <w:r w:rsidRPr="00421986">
        <w:rPr>
          <w:rFonts w:cs="Arial"/>
          <w:sz w:val="16"/>
          <w:szCs w:val="16"/>
        </w:rPr>
        <w:t>South Africa</w:t>
      </w:r>
      <w:r w:rsidRPr="00421986">
        <w:rPr>
          <w:rStyle w:val="FootnoteReference"/>
          <w:rFonts w:cs="Arial"/>
          <w:sz w:val="16"/>
          <w:szCs w:val="16"/>
        </w:rPr>
        <w:t>1</w:t>
      </w:r>
    </w:p>
    <w:p w14:paraId="06E9B5A0" w14:textId="77777777" w:rsidR="0090485B" w:rsidRPr="00421986" w:rsidRDefault="0090485B" w:rsidP="0090485B">
      <w:pPr>
        <w:keepNext/>
        <w:spacing w:before="40"/>
        <w:jc w:val="left"/>
        <w:rPr>
          <w:rFonts w:cs="Arial"/>
          <w:sz w:val="16"/>
          <w:szCs w:val="16"/>
        </w:rPr>
      </w:pPr>
      <w:r w:rsidRPr="00421986">
        <w:rPr>
          <w:rFonts w:cs="Arial"/>
          <w:sz w:val="16"/>
          <w:szCs w:val="16"/>
        </w:rPr>
        <w:t>Spain</w:t>
      </w:r>
      <w:r w:rsidRPr="00421986">
        <w:rPr>
          <w:rStyle w:val="FootnoteReference"/>
          <w:rFonts w:cs="Arial"/>
          <w:sz w:val="16"/>
          <w:szCs w:val="16"/>
        </w:rPr>
        <w:t>2</w:t>
      </w:r>
    </w:p>
    <w:p w14:paraId="4EE97AF7" w14:textId="77777777" w:rsidR="0090485B" w:rsidRPr="00421986" w:rsidRDefault="0090485B" w:rsidP="0090485B">
      <w:pPr>
        <w:pStyle w:val="BodyTextKeep"/>
        <w:spacing w:before="40" w:after="0"/>
        <w:rPr>
          <w:rFonts w:ascii="Arial" w:hAnsi="Arial" w:cs="Arial"/>
          <w:sz w:val="16"/>
          <w:szCs w:val="16"/>
        </w:rPr>
      </w:pPr>
      <w:r w:rsidRPr="00421986">
        <w:rPr>
          <w:rFonts w:ascii="Arial" w:hAnsi="Arial" w:cs="Arial"/>
          <w:sz w:val="16"/>
          <w:szCs w:val="16"/>
        </w:rPr>
        <w:t>Sweden</w:t>
      </w:r>
      <w:r w:rsidRPr="00421986">
        <w:rPr>
          <w:rFonts w:ascii="Arial" w:hAnsi="Arial" w:cs="Arial"/>
          <w:sz w:val="16"/>
          <w:szCs w:val="16"/>
          <w:vertAlign w:val="superscript"/>
        </w:rPr>
        <w:t>2</w:t>
      </w:r>
    </w:p>
    <w:p w14:paraId="6E1F2647" w14:textId="77777777" w:rsidR="0090485B" w:rsidRPr="00421986" w:rsidRDefault="0090485B" w:rsidP="0090485B">
      <w:pPr>
        <w:keepNext/>
        <w:spacing w:before="40"/>
        <w:jc w:val="left"/>
        <w:rPr>
          <w:rFonts w:cs="Arial"/>
          <w:sz w:val="16"/>
          <w:szCs w:val="16"/>
        </w:rPr>
      </w:pPr>
      <w:r w:rsidRPr="00421986">
        <w:rPr>
          <w:rFonts w:cs="Arial"/>
          <w:sz w:val="16"/>
          <w:szCs w:val="16"/>
        </w:rPr>
        <w:t>Switzerland</w:t>
      </w:r>
      <w:r w:rsidRPr="00421986">
        <w:rPr>
          <w:rFonts w:cs="Arial"/>
          <w:sz w:val="16"/>
          <w:szCs w:val="16"/>
          <w:vertAlign w:val="superscript"/>
        </w:rPr>
        <w:t>2</w:t>
      </w:r>
    </w:p>
    <w:p w14:paraId="3C0C55BF" w14:textId="77777777" w:rsidR="0090485B" w:rsidRPr="00421986" w:rsidRDefault="0090485B" w:rsidP="0090485B">
      <w:pPr>
        <w:keepNext/>
        <w:spacing w:before="40"/>
        <w:jc w:val="left"/>
        <w:rPr>
          <w:rFonts w:cs="Arial"/>
          <w:sz w:val="16"/>
          <w:szCs w:val="16"/>
        </w:rPr>
      </w:pPr>
      <w:r w:rsidRPr="00421986">
        <w:rPr>
          <w:rFonts w:cs="Arial"/>
          <w:sz w:val="16"/>
          <w:szCs w:val="16"/>
        </w:rPr>
        <w:t>Trinidad and Tobago</w:t>
      </w:r>
      <w:r w:rsidRPr="00421986">
        <w:rPr>
          <w:rFonts w:cs="Arial"/>
          <w:sz w:val="16"/>
          <w:szCs w:val="16"/>
          <w:vertAlign w:val="superscript"/>
        </w:rPr>
        <w:t>1</w:t>
      </w:r>
    </w:p>
    <w:p w14:paraId="40426637" w14:textId="77777777" w:rsidR="0090485B" w:rsidRPr="00421986" w:rsidRDefault="0090485B" w:rsidP="0090485B">
      <w:pPr>
        <w:keepNext/>
        <w:spacing w:before="40"/>
        <w:jc w:val="left"/>
        <w:rPr>
          <w:rFonts w:cs="Arial"/>
          <w:sz w:val="16"/>
          <w:szCs w:val="16"/>
        </w:rPr>
      </w:pPr>
      <w:r w:rsidRPr="00421986">
        <w:rPr>
          <w:rFonts w:cs="Arial"/>
          <w:sz w:val="16"/>
          <w:szCs w:val="16"/>
        </w:rPr>
        <w:t>Tunisia</w:t>
      </w:r>
      <w:r w:rsidRPr="00421986">
        <w:rPr>
          <w:rFonts w:cs="Arial"/>
          <w:sz w:val="16"/>
          <w:szCs w:val="16"/>
          <w:vertAlign w:val="superscript"/>
        </w:rPr>
        <w:t>2</w:t>
      </w:r>
    </w:p>
    <w:p w14:paraId="4E58200D" w14:textId="77777777" w:rsidR="0090485B" w:rsidRPr="00421986" w:rsidRDefault="0090485B" w:rsidP="0090485B">
      <w:pPr>
        <w:keepNext/>
        <w:spacing w:before="40"/>
        <w:jc w:val="left"/>
        <w:rPr>
          <w:rFonts w:cs="Arial"/>
          <w:sz w:val="16"/>
          <w:szCs w:val="16"/>
        </w:rPr>
      </w:pPr>
      <w:r w:rsidRPr="00421986">
        <w:rPr>
          <w:rFonts w:cs="Arial"/>
          <w:sz w:val="16"/>
          <w:szCs w:val="16"/>
        </w:rPr>
        <w:t>Turkey</w:t>
      </w:r>
      <w:r w:rsidRPr="00421986">
        <w:rPr>
          <w:rFonts w:cs="Arial"/>
          <w:sz w:val="16"/>
          <w:szCs w:val="16"/>
          <w:vertAlign w:val="superscript"/>
        </w:rPr>
        <w:t>2</w:t>
      </w:r>
    </w:p>
    <w:p w14:paraId="25D264EC" w14:textId="77777777" w:rsidR="0090485B" w:rsidRPr="00421986" w:rsidRDefault="0090485B" w:rsidP="0090485B">
      <w:pPr>
        <w:spacing w:before="40"/>
        <w:jc w:val="left"/>
        <w:rPr>
          <w:rFonts w:cs="Arial"/>
          <w:sz w:val="16"/>
          <w:szCs w:val="16"/>
        </w:rPr>
      </w:pPr>
      <w:r w:rsidRPr="00421986">
        <w:rPr>
          <w:rFonts w:cs="Arial"/>
          <w:sz w:val="16"/>
          <w:szCs w:val="16"/>
        </w:rPr>
        <w:t>Ukraine</w:t>
      </w:r>
      <w:r w:rsidRPr="00421986">
        <w:rPr>
          <w:rFonts w:cs="Arial"/>
          <w:sz w:val="16"/>
          <w:szCs w:val="16"/>
          <w:vertAlign w:val="superscript"/>
        </w:rPr>
        <w:t>2</w:t>
      </w:r>
    </w:p>
    <w:p w14:paraId="13766F2E" w14:textId="77777777" w:rsidR="0090485B" w:rsidRPr="00421986" w:rsidRDefault="0090485B" w:rsidP="0090485B">
      <w:pPr>
        <w:spacing w:before="40"/>
        <w:jc w:val="left"/>
        <w:rPr>
          <w:rFonts w:cs="Arial"/>
          <w:sz w:val="16"/>
          <w:szCs w:val="16"/>
        </w:rPr>
      </w:pPr>
      <w:r w:rsidRPr="00421986">
        <w:rPr>
          <w:rFonts w:cs="Arial"/>
          <w:sz w:val="16"/>
          <w:szCs w:val="16"/>
        </w:rPr>
        <w:t>United Kingdom</w:t>
      </w:r>
      <w:r w:rsidRPr="00421986">
        <w:rPr>
          <w:rFonts w:cs="Arial"/>
          <w:sz w:val="16"/>
          <w:szCs w:val="16"/>
          <w:vertAlign w:val="superscript"/>
        </w:rPr>
        <w:t>2</w:t>
      </w:r>
    </w:p>
    <w:p w14:paraId="4193E917" w14:textId="77777777" w:rsidR="0090485B" w:rsidRPr="00421986" w:rsidRDefault="0090485B" w:rsidP="0090485B">
      <w:pPr>
        <w:spacing w:before="40"/>
        <w:ind w:left="28" w:hanging="28"/>
        <w:jc w:val="left"/>
        <w:rPr>
          <w:rFonts w:cs="Arial"/>
          <w:sz w:val="16"/>
          <w:szCs w:val="16"/>
        </w:rPr>
      </w:pPr>
      <w:r w:rsidRPr="00421986">
        <w:rPr>
          <w:rFonts w:cs="Arial"/>
          <w:sz w:val="16"/>
          <w:szCs w:val="16"/>
        </w:rPr>
        <w:t>United Republic of Tanzania</w:t>
      </w:r>
      <w:r w:rsidRPr="00421986">
        <w:rPr>
          <w:rFonts w:cs="Arial"/>
          <w:sz w:val="16"/>
          <w:szCs w:val="16"/>
          <w:vertAlign w:val="superscript"/>
        </w:rPr>
        <w:t>2</w:t>
      </w:r>
    </w:p>
    <w:p w14:paraId="6261E5BB" w14:textId="77777777" w:rsidR="0090485B" w:rsidRPr="00421986" w:rsidRDefault="0090485B" w:rsidP="0090485B">
      <w:pPr>
        <w:spacing w:before="40"/>
        <w:ind w:left="28" w:hanging="28"/>
        <w:jc w:val="left"/>
        <w:rPr>
          <w:rFonts w:cs="Arial"/>
          <w:sz w:val="16"/>
          <w:szCs w:val="16"/>
        </w:rPr>
      </w:pPr>
      <w:r w:rsidRPr="00421986">
        <w:rPr>
          <w:rFonts w:cs="Arial"/>
          <w:sz w:val="16"/>
          <w:szCs w:val="16"/>
        </w:rPr>
        <w:t>United States of America</w:t>
      </w:r>
      <w:r w:rsidRPr="00421986">
        <w:rPr>
          <w:rFonts w:cs="Arial"/>
          <w:sz w:val="16"/>
          <w:szCs w:val="16"/>
          <w:vertAlign w:val="superscript"/>
        </w:rPr>
        <w:t>2</w:t>
      </w:r>
    </w:p>
    <w:p w14:paraId="60B7109F" w14:textId="77777777" w:rsidR="0090485B" w:rsidRPr="00421986" w:rsidRDefault="0090485B" w:rsidP="0090485B">
      <w:pPr>
        <w:spacing w:before="40"/>
        <w:jc w:val="left"/>
        <w:rPr>
          <w:rFonts w:cs="Arial"/>
          <w:sz w:val="16"/>
          <w:szCs w:val="16"/>
        </w:rPr>
      </w:pPr>
      <w:r w:rsidRPr="00421986">
        <w:rPr>
          <w:rFonts w:cs="Arial"/>
          <w:sz w:val="16"/>
          <w:szCs w:val="16"/>
        </w:rPr>
        <w:t>Uruguay</w:t>
      </w:r>
      <w:r w:rsidRPr="00421986">
        <w:rPr>
          <w:rFonts w:cs="Arial"/>
          <w:sz w:val="16"/>
          <w:szCs w:val="16"/>
          <w:vertAlign w:val="superscript"/>
        </w:rPr>
        <w:t>1</w:t>
      </w:r>
    </w:p>
    <w:p w14:paraId="6A058DDC" w14:textId="77777777" w:rsidR="0090485B" w:rsidRPr="00421986" w:rsidRDefault="0090485B" w:rsidP="0090485B">
      <w:pPr>
        <w:spacing w:before="40"/>
        <w:jc w:val="left"/>
        <w:rPr>
          <w:rFonts w:cs="Arial"/>
          <w:sz w:val="16"/>
          <w:szCs w:val="16"/>
        </w:rPr>
      </w:pPr>
      <w:r w:rsidRPr="00421986">
        <w:rPr>
          <w:rFonts w:cs="Arial"/>
          <w:sz w:val="16"/>
          <w:szCs w:val="16"/>
        </w:rPr>
        <w:t>Uzbekistan</w:t>
      </w:r>
      <w:r w:rsidRPr="00421986">
        <w:rPr>
          <w:rFonts w:cs="Arial"/>
          <w:sz w:val="16"/>
          <w:szCs w:val="16"/>
          <w:vertAlign w:val="superscript"/>
        </w:rPr>
        <w:t>2</w:t>
      </w:r>
    </w:p>
    <w:p w14:paraId="7220128D" w14:textId="77777777" w:rsidR="0090485B" w:rsidRPr="00421986" w:rsidRDefault="0090485B" w:rsidP="0090485B">
      <w:pPr>
        <w:spacing w:before="40"/>
        <w:jc w:val="left"/>
        <w:rPr>
          <w:rFonts w:cs="Arial"/>
          <w:sz w:val="16"/>
          <w:szCs w:val="16"/>
        </w:rPr>
      </w:pPr>
      <w:r w:rsidRPr="00421986">
        <w:rPr>
          <w:noProof/>
        </w:rPr>
        <mc:AlternateContent>
          <mc:Choice Requires="wps">
            <w:drawing>
              <wp:anchor distT="0" distB="0" distL="114300" distR="114300" simplePos="0" relativeHeight="251659264" behindDoc="0" locked="0" layoutInCell="0" allowOverlap="1" wp14:anchorId="7B954129" wp14:editId="27F1AF97">
                <wp:simplePos x="0" y="0"/>
                <wp:positionH relativeFrom="column">
                  <wp:posOffset>535305</wp:posOffset>
                </wp:positionH>
                <wp:positionV relativeFrom="paragraph">
                  <wp:posOffset>367665</wp:posOffset>
                </wp:positionV>
                <wp:extent cx="892175" cy="228600"/>
                <wp:effectExtent l="0"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8D41" w14:textId="6DD45852" w:rsidR="00D94167" w:rsidRDefault="00D94167" w:rsidP="0090485B">
                            <w:pPr>
                              <w:ind w:right="53"/>
                              <w:jc w:val="right"/>
                              <w:rPr>
                                <w:rFonts w:cs="Arial"/>
                              </w:rPr>
                            </w:pPr>
                            <w:r>
                              <w:rPr>
                                <w:rFonts w:cs="Arial"/>
                                <w:sz w:val="16"/>
                                <w:szCs w:val="16"/>
                              </w:rPr>
                              <w:t>(Total 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54129" id="_x0000_t202" coordsize="21600,21600" o:spt="202" path="m,l,21600r21600,l21600,xe">
                <v:stroke joinstyle="miter"/>
                <v:path gradientshapeok="t" o:connecttype="rect"/>
              </v:shapetype>
              <v:shape id="Text Box 16" o:spid="_x0000_s1026" type="#_x0000_t202" style="position:absolute;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rg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" o:allowincell="f" filled="f" stroked="f">
                <v:textbox inset="0,0,0,0">
                  <w:txbxContent>
                    <w:p w14:paraId="617E8D41" w14:textId="6DD45852" w:rsidR="00D94167" w:rsidRDefault="00D94167" w:rsidP="0090485B">
                      <w:pPr>
                        <w:ind w:right="53"/>
                        <w:jc w:val="right"/>
                        <w:rPr>
                          <w:rFonts w:cs="Arial"/>
                        </w:rPr>
                      </w:pPr>
                      <w:r>
                        <w:rPr>
                          <w:rFonts w:cs="Arial"/>
                          <w:sz w:val="16"/>
                          <w:szCs w:val="16"/>
                        </w:rPr>
                        <w:t>(Total 77)</w:t>
                      </w:r>
                    </w:p>
                  </w:txbxContent>
                </v:textbox>
              </v:shape>
            </w:pict>
          </mc:Fallback>
        </mc:AlternateContent>
      </w:r>
      <w:r w:rsidRPr="00421986">
        <w:rPr>
          <w:rFonts w:cs="Arial"/>
          <w:sz w:val="16"/>
          <w:szCs w:val="16"/>
        </w:rPr>
        <w:t>Viet Nam</w:t>
      </w:r>
      <w:r w:rsidRPr="00421986">
        <w:rPr>
          <w:rFonts w:cs="Arial"/>
          <w:sz w:val="16"/>
          <w:szCs w:val="16"/>
          <w:vertAlign w:val="superscript"/>
        </w:rPr>
        <w:t>2</w:t>
      </w:r>
    </w:p>
    <w:p w14:paraId="53749F10" w14:textId="77777777" w:rsidR="0090485B" w:rsidRPr="00421986" w:rsidRDefault="0090485B" w:rsidP="0090485B">
      <w:pPr>
        <w:spacing w:before="40"/>
        <w:rPr>
          <w:rFonts w:cs="Arial"/>
          <w:sz w:val="16"/>
          <w:szCs w:val="16"/>
        </w:rPr>
        <w:sectPr w:rsidR="0090485B" w:rsidRPr="00421986" w:rsidSect="008F07B7">
          <w:headerReference w:type="even" r:id="rId42"/>
          <w:footerReference w:type="even" r:id="rId43"/>
          <w:footerReference w:type="default" r:id="rId44"/>
          <w:headerReference w:type="first" r:id="rId45"/>
          <w:footerReference w:type="first" r:id="rId46"/>
          <w:type w:val="continuous"/>
          <w:pgSz w:w="11907" w:h="16840" w:code="9"/>
          <w:pgMar w:top="340" w:right="851" w:bottom="567" w:left="851" w:header="510" w:footer="284" w:gutter="0"/>
          <w:cols w:num="5" w:space="0" w:equalWidth="0">
            <w:col w:w="2478" w:space="0"/>
            <w:col w:w="1972" w:space="0"/>
            <w:col w:w="1728" w:space="0"/>
            <w:col w:w="1759" w:space="0"/>
            <w:col w:w="2268"/>
          </w:cols>
          <w:docGrid w:linePitch="272"/>
        </w:sectPr>
      </w:pPr>
    </w:p>
    <w:p w14:paraId="3C06FBC2" w14:textId="77777777" w:rsidR="0090485B" w:rsidRPr="00421986" w:rsidRDefault="0090485B" w:rsidP="0090485B">
      <w:pPr>
        <w:spacing w:before="40"/>
        <w:jc w:val="right"/>
        <w:rPr>
          <w:rFonts w:cs="Arial"/>
          <w:sz w:val="16"/>
          <w:szCs w:val="16"/>
        </w:rPr>
      </w:pPr>
    </w:p>
    <w:p w14:paraId="72F51E3C" w14:textId="77777777" w:rsidR="0090485B" w:rsidRPr="00421986" w:rsidRDefault="0090485B" w:rsidP="0090485B">
      <w:pPr>
        <w:tabs>
          <w:tab w:val="left" w:pos="1418"/>
        </w:tabs>
        <w:spacing w:before="40" w:after="120"/>
        <w:jc w:val="left"/>
        <w:rPr>
          <w:sz w:val="16"/>
          <w:u w:val="single"/>
        </w:rPr>
      </w:pPr>
      <w:r w:rsidRPr="00421986">
        <w:rPr>
          <w:sz w:val="16"/>
          <w:u w:val="single"/>
        </w:rPr>
        <w:tab/>
      </w:r>
    </w:p>
    <w:p w14:paraId="4095DF0E" w14:textId="77777777" w:rsidR="0090485B" w:rsidRPr="00421986" w:rsidRDefault="0090485B" w:rsidP="0090485B">
      <w:pPr>
        <w:tabs>
          <w:tab w:val="left" w:pos="284"/>
        </w:tabs>
        <w:spacing w:after="60"/>
        <w:ind w:left="84"/>
        <w:rPr>
          <w:rFonts w:cs="Arial"/>
          <w:sz w:val="14"/>
          <w:szCs w:val="16"/>
        </w:rPr>
      </w:pPr>
      <w:r w:rsidRPr="00421986">
        <w:rPr>
          <w:rFonts w:cs="Arial"/>
          <w:sz w:val="14"/>
          <w:szCs w:val="16"/>
          <w:vertAlign w:val="superscript"/>
        </w:rPr>
        <w:t>1</w:t>
      </w:r>
      <w:r w:rsidRPr="00421986">
        <w:rPr>
          <w:rFonts w:cs="Arial"/>
          <w:sz w:val="14"/>
          <w:szCs w:val="16"/>
        </w:rPr>
        <w:tab/>
        <w:t>1978 Act is the latest Act by which 17 States are bound.</w:t>
      </w:r>
    </w:p>
    <w:p w14:paraId="509AEE48" w14:textId="62D3FB6B" w:rsidR="0090485B" w:rsidRPr="00421986" w:rsidRDefault="0090485B" w:rsidP="0090485B">
      <w:pPr>
        <w:tabs>
          <w:tab w:val="left" w:pos="284"/>
        </w:tabs>
        <w:spacing w:after="60"/>
        <w:ind w:left="84"/>
        <w:rPr>
          <w:rFonts w:cs="Arial"/>
          <w:sz w:val="14"/>
          <w:szCs w:val="16"/>
        </w:rPr>
      </w:pPr>
      <w:r w:rsidRPr="00421986">
        <w:rPr>
          <w:rFonts w:cs="Arial"/>
          <w:sz w:val="14"/>
          <w:szCs w:val="16"/>
          <w:vertAlign w:val="superscript"/>
        </w:rPr>
        <w:t>2</w:t>
      </w:r>
      <w:r w:rsidRPr="00421986">
        <w:rPr>
          <w:rFonts w:cs="Arial"/>
          <w:sz w:val="14"/>
          <w:szCs w:val="16"/>
        </w:rPr>
        <w:tab/>
        <w:t>1991 Act is the latest Act by which 5</w:t>
      </w:r>
      <w:r w:rsidR="00D47EBE">
        <w:rPr>
          <w:rFonts w:cs="Arial"/>
          <w:sz w:val="14"/>
          <w:szCs w:val="16"/>
        </w:rPr>
        <w:t>8</w:t>
      </w:r>
      <w:r w:rsidRPr="00421986">
        <w:rPr>
          <w:rFonts w:cs="Arial"/>
          <w:sz w:val="14"/>
          <w:szCs w:val="16"/>
        </w:rPr>
        <w:t xml:space="preserve"> States and 2 organizations are bound.</w:t>
      </w:r>
    </w:p>
    <w:p w14:paraId="62B423F5" w14:textId="77777777" w:rsidR="0090485B" w:rsidRPr="00421986" w:rsidRDefault="0090485B" w:rsidP="0090485B">
      <w:pPr>
        <w:tabs>
          <w:tab w:val="left" w:pos="284"/>
        </w:tabs>
        <w:spacing w:after="60"/>
        <w:ind w:left="284" w:hanging="200"/>
        <w:rPr>
          <w:rFonts w:cs="Arial"/>
          <w:sz w:val="14"/>
          <w:szCs w:val="16"/>
        </w:rPr>
      </w:pPr>
      <w:r w:rsidRPr="00421986">
        <w:rPr>
          <w:rFonts w:cs="Arial"/>
          <w:sz w:val="14"/>
          <w:szCs w:val="16"/>
          <w:vertAlign w:val="superscript"/>
        </w:rPr>
        <w:t>3</w:t>
      </w:r>
      <w:r w:rsidRPr="00421986">
        <w:rPr>
          <w:rFonts w:cs="Arial"/>
          <w:sz w:val="14"/>
          <w:szCs w:val="16"/>
        </w:rPr>
        <w:tab/>
        <w:t>Operates a plant breeders</w:t>
      </w:r>
      <w:r>
        <w:rPr>
          <w:rFonts w:cs="Arial"/>
          <w:sz w:val="14"/>
          <w:szCs w:val="16"/>
        </w:rPr>
        <w:t>’</w:t>
      </w:r>
      <w:r w:rsidRPr="00421986">
        <w:rPr>
          <w:rFonts w:cs="Arial"/>
          <w:sz w:val="14"/>
          <w:szCs w:val="16"/>
        </w:rPr>
        <w:t xml:space="preserve"> rights system which covers the territory of its 27 member States (Austria, Belgium, Bulgaria, Croatia, Cyprus, Czech Republic, Denmark, Estonia, Finland, France, Germany, Greece, Hungary, Ireland, Italy, Latvia, Lithuania, Luxembourg, Malta, Netherlands, Poland, Portugal, Romania, Slovakia, Slovenia, Spain, Sweden).</w:t>
      </w:r>
    </w:p>
    <w:p w14:paraId="33D46C1C" w14:textId="77777777" w:rsidR="0090485B" w:rsidRPr="00421986" w:rsidRDefault="0090485B" w:rsidP="0090485B">
      <w:pPr>
        <w:tabs>
          <w:tab w:val="left" w:pos="284"/>
        </w:tabs>
        <w:spacing w:after="60"/>
        <w:ind w:left="284" w:hanging="200"/>
        <w:rPr>
          <w:rFonts w:cs="Arial"/>
          <w:i/>
          <w:sz w:val="14"/>
          <w:szCs w:val="16"/>
        </w:rPr>
      </w:pPr>
      <w:r w:rsidRPr="00421986">
        <w:rPr>
          <w:rFonts w:cs="Arial"/>
          <w:sz w:val="14"/>
          <w:szCs w:val="16"/>
          <w:vertAlign w:val="superscript"/>
        </w:rPr>
        <w:t>4</w:t>
      </w:r>
      <w:r w:rsidRPr="00421986">
        <w:rPr>
          <w:rFonts w:cs="Arial"/>
          <w:sz w:val="14"/>
          <w:szCs w:val="16"/>
        </w:rPr>
        <w:tab/>
        <w:t>Operates a plant breeders</w:t>
      </w:r>
      <w:r>
        <w:rPr>
          <w:rFonts w:cs="Arial"/>
          <w:sz w:val="14"/>
          <w:szCs w:val="16"/>
        </w:rPr>
        <w:t>’</w:t>
      </w:r>
      <w:r w:rsidRPr="00421986">
        <w:rPr>
          <w:rFonts w:cs="Arial"/>
          <w:sz w:val="14"/>
          <w:szCs w:val="16"/>
        </w:rPr>
        <w:t xml:space="preserve"> rights system which covers the territory of its 17 member States </w:t>
      </w:r>
      <w:r w:rsidRPr="00421986">
        <w:rPr>
          <w:rFonts w:cs="Arial"/>
          <w:i/>
          <w:sz w:val="14"/>
          <w:szCs w:val="16"/>
        </w:rPr>
        <w:t>(Benin, Burkina Faso, Cameroon, Central African Republic, Chad, Comoros, Congo, Côte d</w:t>
      </w:r>
      <w:r>
        <w:rPr>
          <w:rFonts w:cs="Arial"/>
          <w:i/>
          <w:sz w:val="14"/>
          <w:szCs w:val="16"/>
        </w:rPr>
        <w:t>’</w:t>
      </w:r>
      <w:r w:rsidRPr="00421986">
        <w:rPr>
          <w:rFonts w:cs="Arial"/>
          <w:i/>
          <w:sz w:val="14"/>
          <w:szCs w:val="16"/>
        </w:rPr>
        <w:t>Ivoire, Equatorial Guinea, Gabon, Guinea, Guinea Bissau, Mali, Mauritania, Niger, Senegal, Togo).</w:t>
      </w:r>
    </w:p>
    <w:p w14:paraId="77443C8B" w14:textId="77777777" w:rsidR="0090485B" w:rsidRPr="00421986" w:rsidRDefault="0090485B" w:rsidP="0090485B">
      <w:pPr>
        <w:pStyle w:val="BodyText3"/>
        <w:tabs>
          <w:tab w:val="left" w:pos="284"/>
        </w:tabs>
        <w:spacing w:after="0" w:line="360" w:lineRule="auto"/>
        <w:jc w:val="both"/>
        <w:rPr>
          <w:rFonts w:ascii="Arial" w:hAnsi="Arial" w:cs="Arial"/>
          <w:sz w:val="18"/>
          <w:szCs w:val="20"/>
        </w:rPr>
      </w:pPr>
    </w:p>
    <w:p w14:paraId="0FD3A08D" w14:textId="77777777" w:rsidR="0090485B" w:rsidRPr="008B40C0" w:rsidRDefault="0090485B" w:rsidP="0090485B">
      <w:pPr>
        <w:ind w:left="284" w:hanging="284"/>
        <w:jc w:val="left"/>
        <w:rPr>
          <w:rFonts w:cs="Arial"/>
          <w:b/>
          <w:color w:val="26724C" w:themeColor="accent1" w:themeShade="BF"/>
          <w:spacing w:val="-2"/>
          <w:sz w:val="18"/>
          <w:szCs w:val="16"/>
        </w:rPr>
      </w:pPr>
      <w:r>
        <w:rPr>
          <w:rFonts w:cs="Arial"/>
          <w:b/>
          <w:color w:val="26724C" w:themeColor="accent1" w:themeShade="BF"/>
          <w:spacing w:val="-2"/>
          <w:sz w:val="18"/>
          <w:szCs w:val="16"/>
        </w:rPr>
        <w:t>B.</w:t>
      </w:r>
      <w:r>
        <w:rPr>
          <w:rFonts w:cs="Arial"/>
          <w:b/>
          <w:color w:val="26724C" w:themeColor="accent1" w:themeShade="BF"/>
          <w:spacing w:val="-2"/>
          <w:sz w:val="18"/>
          <w:szCs w:val="16"/>
        </w:rPr>
        <w:tab/>
      </w:r>
      <w:r w:rsidRPr="0016531D">
        <w:rPr>
          <w:rFonts w:cs="Arial"/>
          <w:b/>
          <w:color w:val="26724C" w:themeColor="accent1" w:themeShade="BF"/>
          <w:sz w:val="18"/>
        </w:rPr>
        <w:t>States</w:t>
      </w:r>
      <w:r w:rsidRPr="008B40C0">
        <w:rPr>
          <w:rFonts w:cs="Arial"/>
          <w:b/>
          <w:color w:val="26724C" w:themeColor="accent1" w:themeShade="BF"/>
          <w:spacing w:val="-2"/>
          <w:sz w:val="18"/>
          <w:szCs w:val="16"/>
        </w:rPr>
        <w:t xml:space="preserve"> and intergovernmental organizations which have initiated the procedure</w:t>
      </w:r>
      <w:r>
        <w:rPr>
          <w:rFonts w:cs="Arial"/>
          <w:b/>
          <w:color w:val="26724C" w:themeColor="accent1" w:themeShade="BF"/>
          <w:spacing w:val="-2"/>
          <w:sz w:val="18"/>
          <w:szCs w:val="16"/>
        </w:rPr>
        <w:t xml:space="preserve"> </w:t>
      </w:r>
      <w:r w:rsidRPr="008B40C0">
        <w:rPr>
          <w:rFonts w:cs="Arial"/>
          <w:b/>
          <w:color w:val="26724C" w:themeColor="accent1" w:themeShade="BF"/>
          <w:spacing w:val="-2"/>
          <w:sz w:val="18"/>
          <w:szCs w:val="16"/>
        </w:rPr>
        <w:t xml:space="preserve">for acceding to the </w:t>
      </w:r>
      <w:r>
        <w:rPr>
          <w:rFonts w:cs="Arial"/>
          <w:b/>
          <w:color w:val="26724C" w:themeColor="accent1" w:themeShade="BF"/>
          <w:spacing w:val="-2"/>
          <w:sz w:val="18"/>
          <w:szCs w:val="16"/>
        </w:rPr>
        <w:t>UPOV Convention</w:t>
      </w:r>
    </w:p>
    <w:p w14:paraId="44C30508" w14:textId="77777777" w:rsidR="0090485B" w:rsidRPr="00421986" w:rsidRDefault="0090485B" w:rsidP="0090485B">
      <w:pPr>
        <w:tabs>
          <w:tab w:val="left" w:pos="284"/>
        </w:tabs>
        <w:ind w:left="284"/>
        <w:rPr>
          <w:rFonts w:cs="Arial"/>
          <w:sz w:val="16"/>
          <w:szCs w:val="16"/>
        </w:rPr>
      </w:pPr>
    </w:p>
    <w:p w14:paraId="08A4EC83" w14:textId="396C17BE" w:rsidR="0090485B" w:rsidRPr="00421986" w:rsidRDefault="0090485B" w:rsidP="0090485B">
      <w:pPr>
        <w:keepNext/>
        <w:rPr>
          <w:rFonts w:cs="Arial"/>
          <w:i/>
          <w:sz w:val="16"/>
          <w:szCs w:val="16"/>
        </w:rPr>
      </w:pPr>
      <w:r w:rsidRPr="00421986">
        <w:rPr>
          <w:rFonts w:cs="Arial"/>
          <w:i/>
          <w:sz w:val="16"/>
          <w:szCs w:val="16"/>
        </w:rPr>
        <w:t>States (</w:t>
      </w:r>
      <w:r w:rsidR="00543806">
        <w:rPr>
          <w:rFonts w:cs="Arial"/>
          <w:i/>
          <w:sz w:val="16"/>
          <w:szCs w:val="16"/>
        </w:rPr>
        <w:t>19</w:t>
      </w:r>
      <w:r w:rsidRPr="00421986">
        <w:rPr>
          <w:rFonts w:cs="Arial"/>
          <w:i/>
          <w:sz w:val="16"/>
          <w:szCs w:val="16"/>
        </w:rPr>
        <w:t>):</w:t>
      </w:r>
    </w:p>
    <w:p w14:paraId="3A120095" w14:textId="77777777" w:rsidR="0090485B" w:rsidRPr="00421986" w:rsidRDefault="0090485B" w:rsidP="0090485B">
      <w:pPr>
        <w:keepNext/>
        <w:rPr>
          <w:rFonts w:cs="Arial"/>
          <w:sz w:val="10"/>
          <w:szCs w:val="16"/>
        </w:rPr>
      </w:pPr>
    </w:p>
    <w:p w14:paraId="5FAD274C" w14:textId="69621AD5" w:rsidR="0090485B" w:rsidRPr="00421986" w:rsidRDefault="0090485B" w:rsidP="0090485B">
      <w:pPr>
        <w:rPr>
          <w:rFonts w:cs="Arial"/>
          <w:spacing w:val="-2"/>
          <w:sz w:val="16"/>
          <w:szCs w:val="16"/>
        </w:rPr>
      </w:pPr>
      <w:r w:rsidRPr="00421986">
        <w:rPr>
          <w:rFonts w:cs="Arial"/>
          <w:spacing w:val="-2"/>
          <w:sz w:val="16"/>
          <w:szCs w:val="16"/>
        </w:rPr>
        <w:t>Afghanistan, Armenia, Brunei Darussalam, Ghana, Guatemala, Honduras, India, Iran (Islamic Republic of), Kazakhstan, Malaysia, Mauritius, Mongolia, Myanmar, Nigeria, Philippines, Tajikistan, United Arab Emirates, Venezuela (Bolivarian Republic of) and Zimbabwe</w:t>
      </w:r>
    </w:p>
    <w:p w14:paraId="10C98047" w14:textId="77777777" w:rsidR="0090485B" w:rsidRPr="00421986" w:rsidRDefault="0090485B" w:rsidP="0090485B">
      <w:pPr>
        <w:rPr>
          <w:rFonts w:cs="Arial"/>
          <w:sz w:val="16"/>
          <w:szCs w:val="16"/>
        </w:rPr>
      </w:pPr>
    </w:p>
    <w:p w14:paraId="1D4AEC53" w14:textId="77777777" w:rsidR="0090485B" w:rsidRPr="00421986" w:rsidRDefault="0090485B" w:rsidP="0090485B">
      <w:pPr>
        <w:rPr>
          <w:rFonts w:cs="Arial"/>
          <w:i/>
          <w:spacing w:val="-2"/>
          <w:sz w:val="16"/>
          <w:szCs w:val="16"/>
        </w:rPr>
      </w:pPr>
      <w:r w:rsidRPr="00421986">
        <w:rPr>
          <w:rFonts w:cs="Arial"/>
          <w:i/>
          <w:spacing w:val="-2"/>
          <w:sz w:val="16"/>
          <w:szCs w:val="16"/>
        </w:rPr>
        <w:t>Organization (1):</w:t>
      </w:r>
    </w:p>
    <w:p w14:paraId="5E58FF65" w14:textId="77777777" w:rsidR="0090485B" w:rsidRPr="00421986" w:rsidRDefault="0090485B" w:rsidP="0090485B">
      <w:pPr>
        <w:rPr>
          <w:rFonts w:cs="Arial"/>
          <w:spacing w:val="-2"/>
          <w:sz w:val="12"/>
          <w:szCs w:val="16"/>
        </w:rPr>
      </w:pPr>
    </w:p>
    <w:p w14:paraId="174ABE54" w14:textId="77777777" w:rsidR="0090485B" w:rsidRPr="00421986" w:rsidRDefault="0090485B" w:rsidP="0090485B">
      <w:pPr>
        <w:rPr>
          <w:rFonts w:cs="Arial"/>
          <w:sz w:val="16"/>
          <w:szCs w:val="24"/>
        </w:rPr>
      </w:pPr>
      <w:r w:rsidRPr="00421986">
        <w:rPr>
          <w:rFonts w:cs="Arial"/>
          <w:sz w:val="16"/>
          <w:szCs w:val="24"/>
        </w:rPr>
        <w:t xml:space="preserve">African Regional Intellectual Property Organization (ARIPO) </w:t>
      </w:r>
    </w:p>
    <w:p w14:paraId="297460ED" w14:textId="77777777" w:rsidR="0090485B" w:rsidRPr="00421986" w:rsidRDefault="0090485B" w:rsidP="0090485B">
      <w:pPr>
        <w:rPr>
          <w:rFonts w:cs="Arial"/>
          <w:sz w:val="16"/>
          <w:szCs w:val="16"/>
        </w:rPr>
      </w:pPr>
      <w:r w:rsidRPr="00421986">
        <w:rPr>
          <w:rFonts w:cs="Arial"/>
          <w:i/>
          <w:sz w:val="16"/>
          <w:szCs w:val="24"/>
        </w:rPr>
        <w:t xml:space="preserve">(member States of ARIPO (20):  Botswana, </w:t>
      </w:r>
      <w:r>
        <w:rPr>
          <w:rFonts w:cs="Arial"/>
          <w:i/>
          <w:sz w:val="16"/>
          <w:szCs w:val="24"/>
        </w:rPr>
        <w:t xml:space="preserve">Eswatini, </w:t>
      </w:r>
      <w:r w:rsidRPr="00421986">
        <w:rPr>
          <w:rFonts w:cs="Arial"/>
          <w:i/>
          <w:sz w:val="16"/>
          <w:szCs w:val="24"/>
        </w:rPr>
        <w:t>Gambia, Ghana, Kenya, Lesotho, Liberia, Malawi, Mauritius, Mozambique, Namibia, Rwanda, Sao Tome and Principe, Sierra Leone, Somalia, Sudan, Uganda, United Republic of Tanzania, Zambia, Zimbabwe)</w:t>
      </w:r>
    </w:p>
    <w:p w14:paraId="70B737B7" w14:textId="77777777" w:rsidR="0090485B" w:rsidRPr="00421986" w:rsidRDefault="0090485B" w:rsidP="0090485B">
      <w:pPr>
        <w:rPr>
          <w:rFonts w:cs="Arial"/>
          <w:sz w:val="16"/>
          <w:szCs w:val="16"/>
        </w:rPr>
      </w:pPr>
    </w:p>
    <w:p w14:paraId="3FE15C98" w14:textId="77777777" w:rsidR="0090485B" w:rsidRPr="00421986" w:rsidRDefault="0090485B" w:rsidP="0090485B">
      <w:pPr>
        <w:rPr>
          <w:rFonts w:cs="Arial"/>
          <w:sz w:val="16"/>
          <w:szCs w:val="16"/>
        </w:rPr>
      </w:pPr>
    </w:p>
    <w:p w14:paraId="43AA0976" w14:textId="77777777" w:rsidR="0090485B" w:rsidRPr="008B40C0" w:rsidRDefault="0090485B" w:rsidP="0090485B">
      <w:pPr>
        <w:ind w:left="284" w:hanging="284"/>
        <w:jc w:val="left"/>
        <w:rPr>
          <w:rFonts w:cs="Arial"/>
          <w:b/>
          <w:color w:val="26724C" w:themeColor="accent1" w:themeShade="BF"/>
          <w:sz w:val="18"/>
          <w:szCs w:val="24"/>
        </w:rPr>
      </w:pPr>
      <w:r>
        <w:rPr>
          <w:rFonts w:cs="Arial"/>
          <w:b/>
          <w:color w:val="26724C" w:themeColor="accent1" w:themeShade="BF"/>
          <w:sz w:val="18"/>
          <w:szCs w:val="24"/>
        </w:rPr>
        <w:t>C.</w:t>
      </w:r>
      <w:r>
        <w:rPr>
          <w:rFonts w:cs="Arial"/>
          <w:b/>
          <w:color w:val="26724C" w:themeColor="accent1" w:themeShade="BF"/>
          <w:sz w:val="18"/>
          <w:szCs w:val="24"/>
        </w:rPr>
        <w:tab/>
      </w:r>
      <w:r w:rsidRPr="0016531D">
        <w:rPr>
          <w:rFonts w:cs="Arial"/>
          <w:b/>
          <w:color w:val="26724C" w:themeColor="accent1" w:themeShade="BF"/>
          <w:sz w:val="18"/>
        </w:rPr>
        <w:t>States</w:t>
      </w:r>
      <w:r w:rsidRPr="008B40C0">
        <w:rPr>
          <w:rFonts w:cs="Arial"/>
          <w:b/>
          <w:color w:val="26724C" w:themeColor="accent1" w:themeShade="BF"/>
          <w:sz w:val="18"/>
          <w:szCs w:val="24"/>
        </w:rPr>
        <w:t xml:space="preserve"> and </w:t>
      </w:r>
      <w:r w:rsidRPr="0016531D">
        <w:rPr>
          <w:rFonts w:cs="Arial"/>
          <w:b/>
          <w:color w:val="26724C" w:themeColor="accent1" w:themeShade="BF"/>
          <w:spacing w:val="-2"/>
          <w:sz w:val="18"/>
          <w:szCs w:val="16"/>
        </w:rPr>
        <w:t>intergovernmental</w:t>
      </w:r>
      <w:r w:rsidRPr="008B40C0">
        <w:rPr>
          <w:rFonts w:cs="Arial"/>
          <w:b/>
          <w:color w:val="26724C" w:themeColor="accent1" w:themeShade="BF"/>
          <w:sz w:val="18"/>
          <w:szCs w:val="24"/>
        </w:rPr>
        <w:t xml:space="preserve"> organizations which have been in contact with the Office of </w:t>
      </w:r>
      <w:r>
        <w:rPr>
          <w:rFonts w:cs="Arial"/>
          <w:b/>
          <w:color w:val="26724C" w:themeColor="accent1" w:themeShade="BF"/>
          <w:sz w:val="18"/>
          <w:szCs w:val="24"/>
        </w:rPr>
        <w:t>the Union</w:t>
      </w:r>
      <w:r w:rsidRPr="008B40C0">
        <w:rPr>
          <w:rFonts w:cs="Arial"/>
          <w:b/>
          <w:color w:val="26724C" w:themeColor="accent1" w:themeShade="BF"/>
          <w:sz w:val="18"/>
          <w:szCs w:val="24"/>
        </w:rPr>
        <w:t xml:space="preserve"> for assistance in the development of laws based on the </w:t>
      </w:r>
      <w:r>
        <w:rPr>
          <w:rFonts w:cs="Arial"/>
          <w:b/>
          <w:color w:val="26724C" w:themeColor="accent1" w:themeShade="BF"/>
          <w:sz w:val="18"/>
          <w:szCs w:val="24"/>
        </w:rPr>
        <w:t>UPOV Convention</w:t>
      </w:r>
    </w:p>
    <w:p w14:paraId="6D39D054" w14:textId="77777777" w:rsidR="0090485B" w:rsidRPr="00421986" w:rsidRDefault="0090485B" w:rsidP="0090485B">
      <w:pPr>
        <w:jc w:val="center"/>
        <w:rPr>
          <w:rFonts w:cs="Arial"/>
          <w:b/>
          <w:sz w:val="18"/>
          <w:szCs w:val="24"/>
        </w:rPr>
      </w:pPr>
    </w:p>
    <w:p w14:paraId="5DFA05E6" w14:textId="77777777" w:rsidR="0090485B" w:rsidRPr="00421986" w:rsidRDefault="0090485B" w:rsidP="0090485B">
      <w:pPr>
        <w:keepNext/>
        <w:rPr>
          <w:rFonts w:cs="Arial"/>
          <w:i/>
          <w:sz w:val="16"/>
          <w:szCs w:val="24"/>
        </w:rPr>
      </w:pPr>
      <w:r w:rsidRPr="00421986">
        <w:rPr>
          <w:rFonts w:cs="Arial"/>
          <w:i/>
          <w:sz w:val="16"/>
          <w:szCs w:val="24"/>
        </w:rPr>
        <w:t>States (23):</w:t>
      </w:r>
    </w:p>
    <w:p w14:paraId="5BC12B3C" w14:textId="77777777" w:rsidR="0090485B" w:rsidRPr="00421986" w:rsidRDefault="0090485B" w:rsidP="0090485B">
      <w:pPr>
        <w:keepNext/>
        <w:rPr>
          <w:rFonts w:cs="Arial"/>
          <w:sz w:val="10"/>
          <w:szCs w:val="24"/>
        </w:rPr>
      </w:pPr>
    </w:p>
    <w:p w14:paraId="1CA47F1B" w14:textId="77777777" w:rsidR="0090485B" w:rsidRPr="00421986" w:rsidRDefault="0090485B" w:rsidP="0090485B">
      <w:pPr>
        <w:suppressAutoHyphens/>
        <w:rPr>
          <w:rFonts w:cs="Arial"/>
          <w:spacing w:val="-2"/>
          <w:sz w:val="16"/>
          <w:szCs w:val="24"/>
        </w:rPr>
      </w:pPr>
      <w:r w:rsidRPr="00421986">
        <w:rPr>
          <w:rFonts w:cs="Arial"/>
          <w:spacing w:val="-2"/>
          <w:sz w:val="16"/>
          <w:szCs w:val="16"/>
        </w:rPr>
        <w:t>Algeria, Bahrain, Barbados, Cambodia, Cuba, Cyprus, El Salvador, Indonesia, Iraq, Jamaica, Lao People</w:t>
      </w:r>
      <w:r>
        <w:rPr>
          <w:rFonts w:cs="Arial"/>
          <w:spacing w:val="-2"/>
          <w:sz w:val="16"/>
          <w:szCs w:val="16"/>
        </w:rPr>
        <w:t>’</w:t>
      </w:r>
      <w:r w:rsidRPr="00421986">
        <w:rPr>
          <w:rFonts w:cs="Arial"/>
          <w:spacing w:val="-2"/>
          <w:sz w:val="16"/>
          <w:szCs w:val="16"/>
        </w:rPr>
        <w:t>s Democratic Republic, Libya, Liechtenstein, Malawi, Mozambique, Namibia, Pakistan, Saudi Arabia, Sudan, Thailand, Tonga, Turkmenistan and Zambia</w:t>
      </w:r>
    </w:p>
    <w:p w14:paraId="6DACEE45" w14:textId="77777777" w:rsidR="0090485B" w:rsidRPr="00421986" w:rsidRDefault="0090485B" w:rsidP="0090485B">
      <w:pPr>
        <w:rPr>
          <w:rFonts w:cs="Arial"/>
          <w:sz w:val="16"/>
          <w:szCs w:val="24"/>
        </w:rPr>
      </w:pPr>
    </w:p>
    <w:p w14:paraId="1E3DC780" w14:textId="77777777" w:rsidR="0090485B" w:rsidRPr="00421986" w:rsidRDefault="0090485B" w:rsidP="0090485B">
      <w:pPr>
        <w:keepNext/>
        <w:rPr>
          <w:rFonts w:cs="Arial"/>
          <w:i/>
          <w:sz w:val="16"/>
          <w:szCs w:val="24"/>
        </w:rPr>
      </w:pPr>
      <w:r w:rsidRPr="00421986">
        <w:rPr>
          <w:rFonts w:cs="Arial"/>
          <w:i/>
          <w:sz w:val="16"/>
          <w:szCs w:val="24"/>
        </w:rPr>
        <w:t>Organization (1):</w:t>
      </w:r>
    </w:p>
    <w:p w14:paraId="431B4BD9" w14:textId="77777777" w:rsidR="0090485B" w:rsidRPr="00421986" w:rsidRDefault="0090485B" w:rsidP="0090485B">
      <w:pPr>
        <w:keepNext/>
        <w:rPr>
          <w:rFonts w:cs="Arial"/>
          <w:sz w:val="10"/>
          <w:szCs w:val="24"/>
        </w:rPr>
      </w:pPr>
    </w:p>
    <w:p w14:paraId="09398F37" w14:textId="77777777" w:rsidR="0090485B" w:rsidRPr="00421986" w:rsidRDefault="0090485B" w:rsidP="0090485B">
      <w:pPr>
        <w:rPr>
          <w:rFonts w:cs="Arial"/>
          <w:sz w:val="16"/>
          <w:szCs w:val="24"/>
        </w:rPr>
      </w:pPr>
      <w:r w:rsidRPr="00421986">
        <w:rPr>
          <w:rFonts w:cs="Arial"/>
          <w:sz w:val="16"/>
          <w:szCs w:val="24"/>
        </w:rPr>
        <w:t xml:space="preserve">Southern African Development Community (SADC) </w:t>
      </w:r>
    </w:p>
    <w:p w14:paraId="0037DA1F" w14:textId="77777777" w:rsidR="0090485B" w:rsidRPr="00421986" w:rsidRDefault="0090485B" w:rsidP="0090485B">
      <w:pPr>
        <w:rPr>
          <w:rFonts w:cs="Arial"/>
          <w:i/>
          <w:sz w:val="16"/>
          <w:szCs w:val="24"/>
        </w:rPr>
      </w:pPr>
      <w:r w:rsidRPr="00421986">
        <w:rPr>
          <w:rFonts w:cs="Arial"/>
          <w:i/>
          <w:sz w:val="16"/>
          <w:szCs w:val="24"/>
        </w:rPr>
        <w:t>(member States of SADC (15):  Angola, Botswana, Democratic Republic of the Congo, Eswatini, Lesotho, Madagascar, Malawi, Mauritius, Mozambique, Namibia, Seychelles, South Africa, United Republic of Tanzania, Zambia, Zimbabwe)</w:t>
      </w:r>
    </w:p>
    <w:p w14:paraId="79B78005" w14:textId="77777777" w:rsidR="0090485B" w:rsidRPr="00421986" w:rsidRDefault="0090485B" w:rsidP="0090485B"/>
    <w:p w14:paraId="0FB738D5" w14:textId="77777777" w:rsidR="0090485B" w:rsidRPr="00421986" w:rsidRDefault="0090485B" w:rsidP="0090485B">
      <w:pPr>
        <w:rPr>
          <w:rFonts w:cs="Arial"/>
          <w:snapToGrid w:val="0"/>
          <w:color w:val="000000"/>
        </w:rPr>
      </w:pPr>
    </w:p>
    <w:p w14:paraId="030BEC5E" w14:textId="77777777" w:rsidR="0090485B" w:rsidRPr="00421986" w:rsidRDefault="0090485B" w:rsidP="0090485B">
      <w:pPr>
        <w:rPr>
          <w:rFonts w:cs="Arial"/>
          <w:snapToGrid w:val="0"/>
          <w:color w:val="000000"/>
        </w:rPr>
      </w:pPr>
    </w:p>
    <w:p w14:paraId="7B779355" w14:textId="77777777" w:rsidR="0090485B" w:rsidRPr="00421986" w:rsidRDefault="0090485B" w:rsidP="0090485B">
      <w:pPr>
        <w:pStyle w:val="Endofdocument"/>
        <w:jc w:val="right"/>
        <w:rPr>
          <w:rFonts w:ascii="Arial" w:hAnsi="Arial" w:cs="Arial"/>
          <w:snapToGrid w:val="0"/>
          <w:color w:val="000000"/>
          <w:sz w:val="20"/>
        </w:rPr>
      </w:pPr>
      <w:r w:rsidRPr="00421986">
        <w:rPr>
          <w:rFonts w:ascii="Arial" w:hAnsi="Arial" w:cs="Arial"/>
          <w:snapToGrid w:val="0"/>
          <w:color w:val="000000"/>
          <w:sz w:val="20"/>
        </w:rPr>
        <w:t>[Appendix II follows]</w:t>
      </w:r>
    </w:p>
    <w:p w14:paraId="355C2522" w14:textId="77777777" w:rsidR="0090485B" w:rsidRPr="00421986" w:rsidRDefault="0090485B" w:rsidP="0090485B">
      <w:pPr>
        <w:pStyle w:val="Endofdocument"/>
        <w:jc w:val="both"/>
        <w:rPr>
          <w:rFonts w:ascii="Arial" w:hAnsi="Arial" w:cs="Arial"/>
          <w:snapToGrid w:val="0"/>
          <w:color w:val="000000"/>
          <w:sz w:val="20"/>
        </w:rPr>
        <w:sectPr w:rsidR="0090485B" w:rsidRPr="00421986" w:rsidSect="008F07B7">
          <w:headerReference w:type="even" r:id="rId47"/>
          <w:footerReference w:type="even" r:id="rId48"/>
          <w:footerReference w:type="default" r:id="rId49"/>
          <w:headerReference w:type="first" r:id="rId50"/>
          <w:footerReference w:type="first" r:id="rId51"/>
          <w:type w:val="continuous"/>
          <w:pgSz w:w="11907" w:h="16840" w:code="9"/>
          <w:pgMar w:top="510" w:right="1134" w:bottom="1134" w:left="1134" w:header="510" w:footer="624" w:gutter="0"/>
          <w:cols w:space="720"/>
        </w:sectPr>
      </w:pPr>
    </w:p>
    <w:p w14:paraId="2B09607F" w14:textId="7F253968" w:rsidR="0090485B" w:rsidRPr="00651C04" w:rsidRDefault="0090485B" w:rsidP="0090485B">
      <w:pPr>
        <w:pStyle w:val="Heading9"/>
      </w:pPr>
      <w:bookmarkStart w:id="505" w:name="_Toc77931062"/>
      <w:r>
        <w:lastRenderedPageBreak/>
        <w:t>APPENDIX II</w:t>
      </w:r>
      <w:r>
        <w:tab/>
      </w:r>
      <w:r w:rsidRPr="005A16B0">
        <w:t xml:space="preserve">Contributions of members as of </w:t>
      </w:r>
      <w:r w:rsidR="0016008B" w:rsidRPr="005A16B0">
        <w:t xml:space="preserve">March </w:t>
      </w:r>
      <w:r w:rsidR="0099006B" w:rsidRPr="005A16B0">
        <w:t>3</w:t>
      </w:r>
      <w:r w:rsidRPr="005A16B0">
        <w:t>1, 2021</w:t>
      </w:r>
      <w:bookmarkEnd w:id="505"/>
    </w:p>
    <w:p w14:paraId="21C7A521" w14:textId="77777777" w:rsidR="0090485B" w:rsidRDefault="0090485B" w:rsidP="0090485B">
      <w:pPr>
        <w:jc w:val="center"/>
        <w:rPr>
          <w:i/>
          <w:sz w:val="18"/>
          <w:szCs w:val="18"/>
        </w:rPr>
      </w:pPr>
    </w:p>
    <w:p w14:paraId="0316B749" w14:textId="77777777" w:rsidR="0090485B" w:rsidRDefault="0090485B" w:rsidP="0090485B">
      <w:pPr>
        <w:spacing w:after="120"/>
        <w:jc w:val="center"/>
        <w:rPr>
          <w:i/>
          <w:sz w:val="18"/>
          <w:szCs w:val="18"/>
        </w:rPr>
      </w:pPr>
      <w:r w:rsidRPr="00C20F3E">
        <w:rPr>
          <w:i/>
          <w:sz w:val="18"/>
          <w:szCs w:val="18"/>
        </w:rPr>
        <w:t>(in Swiss Francs)</w:t>
      </w:r>
    </w:p>
    <w:p w14:paraId="31E8B76C" w14:textId="77777777" w:rsidR="0099006B" w:rsidRPr="00C20F3E" w:rsidRDefault="0099006B" w:rsidP="0090485B">
      <w:pPr>
        <w:spacing w:after="120"/>
        <w:jc w:val="center"/>
        <w:rPr>
          <w:i/>
          <w:caps/>
          <w:sz w:val="18"/>
          <w:szCs w:val="18"/>
        </w:rPr>
      </w:pPr>
    </w:p>
    <w:tbl>
      <w:tblPr>
        <w:tblW w:w="9896" w:type="dxa"/>
        <w:tblLook w:val="04A0" w:firstRow="1" w:lastRow="0" w:firstColumn="1" w:lastColumn="0" w:noHBand="0" w:noVBand="1"/>
      </w:tblPr>
      <w:tblGrid>
        <w:gridCol w:w="1276"/>
        <w:gridCol w:w="1276"/>
        <w:gridCol w:w="3474"/>
        <w:gridCol w:w="1001"/>
        <w:gridCol w:w="1392"/>
        <w:gridCol w:w="1477"/>
      </w:tblGrid>
      <w:tr w:rsidR="0090485B" w:rsidRPr="00C05E9C" w14:paraId="5CCBBC6E" w14:textId="77777777" w:rsidTr="008F07B7">
        <w:trPr>
          <w:trHeight w:val="472"/>
          <w:tblHeader/>
        </w:trPr>
        <w:tc>
          <w:tcPr>
            <w:tcW w:w="1276" w:type="dxa"/>
            <w:tcBorders>
              <w:top w:val="nil"/>
              <w:left w:val="nil"/>
              <w:bottom w:val="nil"/>
              <w:right w:val="nil"/>
            </w:tcBorders>
            <w:shd w:val="clear" w:color="000000" w:fill="C7CFD8"/>
            <w:vAlign w:val="center"/>
            <w:hideMark/>
          </w:tcPr>
          <w:p w14:paraId="47D173BD"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2020</w:t>
            </w:r>
          </w:p>
        </w:tc>
        <w:tc>
          <w:tcPr>
            <w:tcW w:w="1276" w:type="dxa"/>
            <w:tcBorders>
              <w:top w:val="nil"/>
              <w:left w:val="nil"/>
              <w:bottom w:val="nil"/>
              <w:right w:val="nil"/>
            </w:tcBorders>
            <w:shd w:val="clear" w:color="000000" w:fill="C7CFD8"/>
            <w:vAlign w:val="center"/>
            <w:hideMark/>
          </w:tcPr>
          <w:p w14:paraId="4951FAC4"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2021</w:t>
            </w:r>
          </w:p>
        </w:tc>
        <w:tc>
          <w:tcPr>
            <w:tcW w:w="3474" w:type="dxa"/>
            <w:vMerge w:val="restart"/>
            <w:tcBorders>
              <w:top w:val="nil"/>
              <w:left w:val="nil"/>
              <w:bottom w:val="single" w:sz="8" w:space="0" w:color="BFBFBF"/>
              <w:right w:val="nil"/>
            </w:tcBorders>
            <w:shd w:val="clear" w:color="000000" w:fill="C7CFD8"/>
            <w:vAlign w:val="center"/>
            <w:hideMark/>
          </w:tcPr>
          <w:p w14:paraId="690E1AA0"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Members</w:t>
            </w:r>
          </w:p>
        </w:tc>
        <w:tc>
          <w:tcPr>
            <w:tcW w:w="1001" w:type="dxa"/>
            <w:tcBorders>
              <w:top w:val="nil"/>
              <w:left w:val="nil"/>
              <w:bottom w:val="nil"/>
              <w:right w:val="nil"/>
            </w:tcBorders>
            <w:shd w:val="clear" w:color="000000" w:fill="C7CFD8"/>
            <w:vAlign w:val="center"/>
            <w:hideMark/>
          </w:tcPr>
          <w:p w14:paraId="5D205BC4"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Number</w:t>
            </w:r>
          </w:p>
        </w:tc>
        <w:tc>
          <w:tcPr>
            <w:tcW w:w="1392" w:type="dxa"/>
            <w:tcBorders>
              <w:top w:val="nil"/>
              <w:left w:val="nil"/>
              <w:bottom w:val="nil"/>
              <w:right w:val="nil"/>
            </w:tcBorders>
            <w:shd w:val="clear" w:color="000000" w:fill="C7CFD8"/>
            <w:vAlign w:val="center"/>
            <w:hideMark/>
          </w:tcPr>
          <w:p w14:paraId="3D6D60C5"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2022</w:t>
            </w:r>
          </w:p>
        </w:tc>
        <w:tc>
          <w:tcPr>
            <w:tcW w:w="1477" w:type="dxa"/>
            <w:tcBorders>
              <w:top w:val="nil"/>
              <w:left w:val="nil"/>
              <w:bottom w:val="nil"/>
              <w:right w:val="nil"/>
            </w:tcBorders>
            <w:shd w:val="clear" w:color="000000" w:fill="C7CFD8"/>
            <w:vAlign w:val="center"/>
            <w:hideMark/>
          </w:tcPr>
          <w:p w14:paraId="282634FE"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2023</w:t>
            </w:r>
          </w:p>
        </w:tc>
      </w:tr>
      <w:tr w:rsidR="0090485B" w:rsidRPr="00C05E9C" w14:paraId="5C4F9EEE" w14:textId="77777777" w:rsidTr="008F07B7">
        <w:trPr>
          <w:trHeight w:val="462"/>
          <w:tblHeader/>
        </w:trPr>
        <w:tc>
          <w:tcPr>
            <w:tcW w:w="1276" w:type="dxa"/>
            <w:tcBorders>
              <w:top w:val="nil"/>
              <w:left w:val="nil"/>
              <w:bottom w:val="single" w:sz="8" w:space="0" w:color="BFBFBF"/>
              <w:right w:val="nil"/>
            </w:tcBorders>
            <w:shd w:val="clear" w:color="000000" w:fill="C7CFD8"/>
            <w:hideMark/>
          </w:tcPr>
          <w:p w14:paraId="0F089EBB"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Invoiced</w:t>
            </w:r>
          </w:p>
        </w:tc>
        <w:tc>
          <w:tcPr>
            <w:tcW w:w="1276" w:type="dxa"/>
            <w:tcBorders>
              <w:top w:val="nil"/>
              <w:left w:val="nil"/>
              <w:bottom w:val="single" w:sz="8" w:space="0" w:color="BFBFBF"/>
              <w:right w:val="nil"/>
            </w:tcBorders>
            <w:shd w:val="clear" w:color="000000" w:fill="C7CFD8"/>
            <w:hideMark/>
          </w:tcPr>
          <w:p w14:paraId="58BE2C72"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Invoiced</w:t>
            </w:r>
          </w:p>
        </w:tc>
        <w:tc>
          <w:tcPr>
            <w:tcW w:w="3474" w:type="dxa"/>
            <w:vMerge/>
            <w:tcBorders>
              <w:top w:val="nil"/>
              <w:left w:val="nil"/>
              <w:bottom w:val="single" w:sz="8" w:space="0" w:color="BFBFBF"/>
              <w:right w:val="nil"/>
            </w:tcBorders>
            <w:vAlign w:val="center"/>
            <w:hideMark/>
          </w:tcPr>
          <w:p w14:paraId="12BBFA51" w14:textId="77777777" w:rsidR="0090485B" w:rsidRPr="00C05E9C" w:rsidRDefault="0090485B" w:rsidP="008F07B7">
            <w:pPr>
              <w:jc w:val="left"/>
              <w:rPr>
                <w:rFonts w:ascii="Arial Narrow" w:hAnsi="Arial Narrow" w:cs="Arial"/>
                <w:b/>
                <w:bCs/>
                <w:color w:val="000000"/>
                <w:sz w:val="18"/>
                <w:szCs w:val="18"/>
              </w:rPr>
            </w:pPr>
          </w:p>
        </w:tc>
        <w:tc>
          <w:tcPr>
            <w:tcW w:w="1001" w:type="dxa"/>
            <w:tcBorders>
              <w:top w:val="nil"/>
              <w:left w:val="nil"/>
              <w:bottom w:val="single" w:sz="8" w:space="0" w:color="BFBFBF"/>
              <w:right w:val="nil"/>
            </w:tcBorders>
            <w:shd w:val="clear" w:color="000000" w:fill="C7CFD8"/>
            <w:hideMark/>
          </w:tcPr>
          <w:p w14:paraId="507EB44A"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of Units</w:t>
            </w:r>
          </w:p>
        </w:tc>
        <w:tc>
          <w:tcPr>
            <w:tcW w:w="1392" w:type="dxa"/>
            <w:tcBorders>
              <w:top w:val="nil"/>
              <w:left w:val="nil"/>
              <w:bottom w:val="single" w:sz="8" w:space="0" w:color="BFBFBF"/>
              <w:right w:val="nil"/>
            </w:tcBorders>
            <w:shd w:val="clear" w:color="000000" w:fill="C7CFD8"/>
            <w:vAlign w:val="center"/>
            <w:hideMark/>
          </w:tcPr>
          <w:p w14:paraId="27D763EF"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Estimated for invoicing</w:t>
            </w:r>
          </w:p>
        </w:tc>
        <w:tc>
          <w:tcPr>
            <w:tcW w:w="1477" w:type="dxa"/>
            <w:tcBorders>
              <w:top w:val="nil"/>
              <w:left w:val="nil"/>
              <w:bottom w:val="single" w:sz="8" w:space="0" w:color="BFBFBF"/>
              <w:right w:val="nil"/>
            </w:tcBorders>
            <w:shd w:val="clear" w:color="000000" w:fill="C7CFD8"/>
            <w:vAlign w:val="center"/>
            <w:hideMark/>
          </w:tcPr>
          <w:p w14:paraId="0D2194A1" w14:textId="77777777" w:rsidR="0090485B" w:rsidRPr="00C05E9C" w:rsidRDefault="0090485B" w:rsidP="008F07B7">
            <w:pPr>
              <w:jc w:val="center"/>
              <w:rPr>
                <w:rFonts w:ascii="Arial Narrow" w:hAnsi="Arial Narrow" w:cs="Arial"/>
                <w:b/>
                <w:bCs/>
                <w:color w:val="000000"/>
                <w:sz w:val="18"/>
                <w:szCs w:val="18"/>
              </w:rPr>
            </w:pPr>
            <w:r w:rsidRPr="00C05E9C">
              <w:rPr>
                <w:rFonts w:ascii="Arial Narrow" w:hAnsi="Arial Narrow" w:cs="Arial"/>
                <w:b/>
                <w:bCs/>
                <w:color w:val="000000"/>
                <w:sz w:val="18"/>
                <w:szCs w:val="18"/>
              </w:rPr>
              <w:t>Estimated for invoicing</w:t>
            </w:r>
          </w:p>
        </w:tc>
      </w:tr>
      <w:tr w:rsidR="0090485B" w:rsidRPr="00C05E9C" w14:paraId="58D05E41" w14:textId="77777777" w:rsidTr="008F07B7">
        <w:trPr>
          <w:trHeight w:val="162"/>
        </w:trPr>
        <w:tc>
          <w:tcPr>
            <w:tcW w:w="1276" w:type="dxa"/>
            <w:tcBorders>
              <w:top w:val="nil"/>
              <w:left w:val="nil"/>
              <w:bottom w:val="nil"/>
              <w:right w:val="nil"/>
            </w:tcBorders>
            <w:shd w:val="clear" w:color="auto" w:fill="auto"/>
            <w:vAlign w:val="center"/>
            <w:hideMark/>
          </w:tcPr>
          <w:p w14:paraId="7591045F" w14:textId="77777777" w:rsidR="0090485B" w:rsidRPr="00C05E9C" w:rsidRDefault="0090485B" w:rsidP="008F07B7">
            <w:pPr>
              <w:jc w:val="center"/>
              <w:rPr>
                <w:rFonts w:ascii="Arial Narrow" w:hAnsi="Arial Narrow" w:cs="Arial"/>
                <w:b/>
                <w:bCs/>
                <w:color w:val="000000"/>
                <w:sz w:val="18"/>
                <w:szCs w:val="18"/>
              </w:rPr>
            </w:pPr>
          </w:p>
        </w:tc>
        <w:tc>
          <w:tcPr>
            <w:tcW w:w="1276" w:type="dxa"/>
            <w:tcBorders>
              <w:top w:val="nil"/>
              <w:left w:val="nil"/>
              <w:bottom w:val="nil"/>
              <w:right w:val="nil"/>
            </w:tcBorders>
            <w:shd w:val="clear" w:color="auto" w:fill="auto"/>
            <w:vAlign w:val="center"/>
            <w:hideMark/>
          </w:tcPr>
          <w:p w14:paraId="5761B0A3" w14:textId="77777777" w:rsidR="0090485B" w:rsidRPr="00C05E9C" w:rsidRDefault="0090485B" w:rsidP="008F07B7">
            <w:pPr>
              <w:jc w:val="right"/>
              <w:rPr>
                <w:rFonts w:ascii="Times New Roman" w:hAnsi="Times New Roman"/>
              </w:rPr>
            </w:pPr>
          </w:p>
        </w:tc>
        <w:tc>
          <w:tcPr>
            <w:tcW w:w="3474" w:type="dxa"/>
            <w:tcBorders>
              <w:top w:val="nil"/>
              <w:left w:val="nil"/>
              <w:bottom w:val="nil"/>
              <w:right w:val="nil"/>
            </w:tcBorders>
            <w:shd w:val="clear" w:color="auto" w:fill="auto"/>
            <w:vAlign w:val="center"/>
            <w:hideMark/>
          </w:tcPr>
          <w:p w14:paraId="59C24E6E" w14:textId="77777777" w:rsidR="0090485B" w:rsidRPr="00C05E9C" w:rsidRDefault="0090485B" w:rsidP="008F07B7">
            <w:pPr>
              <w:jc w:val="right"/>
              <w:rPr>
                <w:rFonts w:ascii="Times New Roman" w:hAnsi="Times New Roman"/>
              </w:rPr>
            </w:pPr>
          </w:p>
        </w:tc>
        <w:tc>
          <w:tcPr>
            <w:tcW w:w="1001" w:type="dxa"/>
            <w:tcBorders>
              <w:top w:val="nil"/>
              <w:left w:val="nil"/>
              <w:bottom w:val="nil"/>
              <w:right w:val="nil"/>
            </w:tcBorders>
            <w:shd w:val="clear" w:color="auto" w:fill="auto"/>
            <w:vAlign w:val="center"/>
            <w:hideMark/>
          </w:tcPr>
          <w:p w14:paraId="0E47BD69" w14:textId="77777777" w:rsidR="0090485B" w:rsidRPr="00C05E9C" w:rsidRDefault="0090485B" w:rsidP="008F07B7">
            <w:pPr>
              <w:rPr>
                <w:rFonts w:ascii="Times New Roman" w:hAnsi="Times New Roman"/>
              </w:rPr>
            </w:pPr>
          </w:p>
        </w:tc>
        <w:tc>
          <w:tcPr>
            <w:tcW w:w="1392" w:type="dxa"/>
            <w:tcBorders>
              <w:top w:val="nil"/>
              <w:left w:val="nil"/>
              <w:bottom w:val="nil"/>
              <w:right w:val="nil"/>
            </w:tcBorders>
            <w:shd w:val="clear" w:color="auto" w:fill="auto"/>
            <w:vAlign w:val="center"/>
            <w:hideMark/>
          </w:tcPr>
          <w:p w14:paraId="713A2AC0" w14:textId="77777777" w:rsidR="0090485B" w:rsidRPr="00C05E9C" w:rsidRDefault="0090485B" w:rsidP="008F07B7">
            <w:pPr>
              <w:jc w:val="left"/>
              <w:rPr>
                <w:rFonts w:ascii="Times New Roman" w:hAnsi="Times New Roman"/>
              </w:rPr>
            </w:pPr>
          </w:p>
        </w:tc>
        <w:tc>
          <w:tcPr>
            <w:tcW w:w="1477" w:type="dxa"/>
            <w:tcBorders>
              <w:top w:val="nil"/>
              <w:left w:val="nil"/>
              <w:bottom w:val="nil"/>
              <w:right w:val="nil"/>
            </w:tcBorders>
            <w:shd w:val="clear" w:color="auto" w:fill="auto"/>
            <w:vAlign w:val="center"/>
            <w:hideMark/>
          </w:tcPr>
          <w:p w14:paraId="5F86FE23" w14:textId="77777777" w:rsidR="0090485B" w:rsidRPr="00C05E9C" w:rsidRDefault="0090485B" w:rsidP="008F07B7">
            <w:pPr>
              <w:jc w:val="right"/>
              <w:rPr>
                <w:rFonts w:ascii="Times New Roman" w:hAnsi="Times New Roman"/>
              </w:rPr>
            </w:pPr>
          </w:p>
        </w:tc>
      </w:tr>
      <w:tr w:rsidR="0090485B" w:rsidRPr="00C05E9C" w14:paraId="2F065577" w14:textId="77777777" w:rsidTr="008F07B7">
        <w:trPr>
          <w:trHeight w:val="256"/>
        </w:trPr>
        <w:tc>
          <w:tcPr>
            <w:tcW w:w="1276" w:type="dxa"/>
            <w:tcBorders>
              <w:top w:val="nil"/>
              <w:left w:val="nil"/>
              <w:bottom w:val="nil"/>
              <w:right w:val="nil"/>
            </w:tcBorders>
            <w:shd w:val="clear" w:color="auto" w:fill="auto"/>
            <w:vAlign w:val="center"/>
            <w:hideMark/>
          </w:tcPr>
          <w:p w14:paraId="4CBCBFC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015F8C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5F6C38F"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African Intellectual Property Organization (OAPI)</w:t>
            </w:r>
          </w:p>
        </w:tc>
        <w:tc>
          <w:tcPr>
            <w:tcW w:w="1001" w:type="dxa"/>
            <w:tcBorders>
              <w:top w:val="nil"/>
              <w:left w:val="nil"/>
              <w:bottom w:val="nil"/>
              <w:right w:val="nil"/>
            </w:tcBorders>
            <w:shd w:val="clear" w:color="auto" w:fill="auto"/>
            <w:vAlign w:val="center"/>
            <w:hideMark/>
          </w:tcPr>
          <w:p w14:paraId="46B9452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C9EC87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27DCBF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7C5247A2" w14:textId="77777777" w:rsidTr="008F07B7">
        <w:trPr>
          <w:trHeight w:val="256"/>
        </w:trPr>
        <w:tc>
          <w:tcPr>
            <w:tcW w:w="1276" w:type="dxa"/>
            <w:tcBorders>
              <w:top w:val="nil"/>
              <w:left w:val="nil"/>
              <w:bottom w:val="nil"/>
              <w:right w:val="nil"/>
            </w:tcBorders>
            <w:shd w:val="clear" w:color="auto" w:fill="auto"/>
            <w:vAlign w:val="center"/>
            <w:hideMark/>
          </w:tcPr>
          <w:p w14:paraId="2109797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384D24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9838253"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Albania</w:t>
            </w:r>
          </w:p>
        </w:tc>
        <w:tc>
          <w:tcPr>
            <w:tcW w:w="1001" w:type="dxa"/>
            <w:tcBorders>
              <w:top w:val="nil"/>
              <w:left w:val="nil"/>
              <w:bottom w:val="nil"/>
              <w:right w:val="nil"/>
            </w:tcBorders>
            <w:shd w:val="clear" w:color="auto" w:fill="auto"/>
            <w:vAlign w:val="center"/>
            <w:hideMark/>
          </w:tcPr>
          <w:p w14:paraId="652B7B2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020483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17EE63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6579BB07" w14:textId="77777777" w:rsidTr="008F07B7">
        <w:trPr>
          <w:trHeight w:val="256"/>
        </w:trPr>
        <w:tc>
          <w:tcPr>
            <w:tcW w:w="1276" w:type="dxa"/>
            <w:tcBorders>
              <w:top w:val="nil"/>
              <w:left w:val="nil"/>
              <w:bottom w:val="nil"/>
              <w:right w:val="nil"/>
            </w:tcBorders>
            <w:shd w:val="clear" w:color="auto" w:fill="auto"/>
            <w:vAlign w:val="center"/>
            <w:hideMark/>
          </w:tcPr>
          <w:p w14:paraId="7B92FD8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5114E3C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297445DB"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Argentina</w:t>
            </w:r>
          </w:p>
        </w:tc>
        <w:tc>
          <w:tcPr>
            <w:tcW w:w="1001" w:type="dxa"/>
            <w:tcBorders>
              <w:top w:val="nil"/>
              <w:left w:val="nil"/>
              <w:bottom w:val="nil"/>
              <w:right w:val="nil"/>
            </w:tcBorders>
            <w:shd w:val="clear" w:color="auto" w:fill="auto"/>
            <w:vAlign w:val="center"/>
            <w:hideMark/>
          </w:tcPr>
          <w:p w14:paraId="6CA8AB3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1DBE245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22850E1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66ABC111" w14:textId="77777777" w:rsidTr="008F07B7">
        <w:trPr>
          <w:trHeight w:val="256"/>
        </w:trPr>
        <w:tc>
          <w:tcPr>
            <w:tcW w:w="1276" w:type="dxa"/>
            <w:tcBorders>
              <w:top w:val="nil"/>
              <w:left w:val="nil"/>
              <w:bottom w:val="nil"/>
              <w:right w:val="nil"/>
            </w:tcBorders>
            <w:shd w:val="clear" w:color="auto" w:fill="auto"/>
            <w:vAlign w:val="center"/>
            <w:hideMark/>
          </w:tcPr>
          <w:p w14:paraId="0A08EA5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1313BE1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776F423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Australia</w:t>
            </w:r>
          </w:p>
        </w:tc>
        <w:tc>
          <w:tcPr>
            <w:tcW w:w="1001" w:type="dxa"/>
            <w:tcBorders>
              <w:top w:val="nil"/>
              <w:left w:val="nil"/>
              <w:bottom w:val="nil"/>
              <w:right w:val="nil"/>
            </w:tcBorders>
            <w:shd w:val="clear" w:color="auto" w:fill="auto"/>
            <w:vAlign w:val="center"/>
            <w:hideMark/>
          </w:tcPr>
          <w:p w14:paraId="024BAF4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C90810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3EB2A68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5C7DFC28" w14:textId="77777777" w:rsidTr="008F07B7">
        <w:trPr>
          <w:trHeight w:val="256"/>
        </w:trPr>
        <w:tc>
          <w:tcPr>
            <w:tcW w:w="1276" w:type="dxa"/>
            <w:tcBorders>
              <w:top w:val="nil"/>
              <w:left w:val="nil"/>
              <w:bottom w:val="nil"/>
              <w:right w:val="nil"/>
            </w:tcBorders>
            <w:shd w:val="clear" w:color="auto" w:fill="auto"/>
            <w:vAlign w:val="center"/>
            <w:hideMark/>
          </w:tcPr>
          <w:p w14:paraId="661A873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1276" w:type="dxa"/>
            <w:tcBorders>
              <w:top w:val="nil"/>
              <w:left w:val="nil"/>
              <w:bottom w:val="nil"/>
              <w:right w:val="nil"/>
            </w:tcBorders>
            <w:shd w:val="clear" w:color="auto" w:fill="auto"/>
            <w:vAlign w:val="center"/>
            <w:hideMark/>
          </w:tcPr>
          <w:p w14:paraId="22C1FAE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3474" w:type="dxa"/>
            <w:tcBorders>
              <w:top w:val="nil"/>
              <w:left w:val="nil"/>
              <w:bottom w:val="nil"/>
              <w:right w:val="nil"/>
            </w:tcBorders>
            <w:shd w:val="clear" w:color="auto" w:fill="auto"/>
            <w:vAlign w:val="center"/>
            <w:hideMark/>
          </w:tcPr>
          <w:p w14:paraId="06C288E5"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Austria</w:t>
            </w:r>
            <w:r w:rsidRPr="00C05E9C">
              <w:rPr>
                <w:rFonts w:ascii="Arial Narrow" w:hAnsi="Arial Narrow" w:cs="Arial"/>
                <w:color w:val="000000"/>
                <w:sz w:val="18"/>
                <w:szCs w:val="18"/>
                <w:vertAlign w:val="superscript"/>
              </w:rPr>
              <w:t xml:space="preserve"> </w:t>
            </w:r>
          </w:p>
        </w:tc>
        <w:tc>
          <w:tcPr>
            <w:tcW w:w="1001" w:type="dxa"/>
            <w:tcBorders>
              <w:top w:val="nil"/>
              <w:left w:val="nil"/>
              <w:bottom w:val="nil"/>
              <w:right w:val="nil"/>
            </w:tcBorders>
            <w:shd w:val="clear" w:color="auto" w:fill="auto"/>
            <w:vAlign w:val="center"/>
            <w:hideMark/>
          </w:tcPr>
          <w:p w14:paraId="700A76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0.75</w:t>
            </w:r>
          </w:p>
        </w:tc>
        <w:tc>
          <w:tcPr>
            <w:tcW w:w="1392" w:type="dxa"/>
            <w:tcBorders>
              <w:top w:val="nil"/>
              <w:left w:val="nil"/>
              <w:bottom w:val="nil"/>
              <w:right w:val="nil"/>
            </w:tcBorders>
            <w:shd w:val="clear" w:color="auto" w:fill="auto"/>
            <w:vAlign w:val="center"/>
            <w:hideMark/>
          </w:tcPr>
          <w:p w14:paraId="5C5EFDA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1477" w:type="dxa"/>
            <w:tcBorders>
              <w:top w:val="nil"/>
              <w:left w:val="nil"/>
              <w:bottom w:val="nil"/>
              <w:right w:val="nil"/>
            </w:tcBorders>
            <w:shd w:val="clear" w:color="auto" w:fill="auto"/>
            <w:vAlign w:val="center"/>
            <w:hideMark/>
          </w:tcPr>
          <w:p w14:paraId="4334D28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r>
      <w:tr w:rsidR="0090485B" w:rsidRPr="00C05E9C" w14:paraId="11945D53" w14:textId="77777777" w:rsidTr="008F07B7">
        <w:trPr>
          <w:trHeight w:val="256"/>
        </w:trPr>
        <w:tc>
          <w:tcPr>
            <w:tcW w:w="1276" w:type="dxa"/>
            <w:tcBorders>
              <w:top w:val="nil"/>
              <w:left w:val="nil"/>
              <w:bottom w:val="nil"/>
              <w:right w:val="nil"/>
            </w:tcBorders>
            <w:shd w:val="clear" w:color="auto" w:fill="auto"/>
            <w:vAlign w:val="center"/>
            <w:hideMark/>
          </w:tcPr>
          <w:p w14:paraId="683F665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3451E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DBC3F9E"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Azerbaijan</w:t>
            </w:r>
          </w:p>
        </w:tc>
        <w:tc>
          <w:tcPr>
            <w:tcW w:w="1001" w:type="dxa"/>
            <w:tcBorders>
              <w:top w:val="nil"/>
              <w:left w:val="nil"/>
              <w:bottom w:val="nil"/>
              <w:right w:val="nil"/>
            </w:tcBorders>
            <w:shd w:val="clear" w:color="auto" w:fill="auto"/>
            <w:vAlign w:val="center"/>
            <w:hideMark/>
          </w:tcPr>
          <w:p w14:paraId="69E18EB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D2D590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FBC304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4B8DAFDF" w14:textId="77777777" w:rsidTr="008F07B7">
        <w:trPr>
          <w:trHeight w:val="256"/>
        </w:trPr>
        <w:tc>
          <w:tcPr>
            <w:tcW w:w="1276" w:type="dxa"/>
            <w:tcBorders>
              <w:top w:val="nil"/>
              <w:left w:val="nil"/>
              <w:bottom w:val="nil"/>
              <w:right w:val="nil"/>
            </w:tcBorders>
            <w:shd w:val="clear" w:color="auto" w:fill="auto"/>
            <w:vAlign w:val="center"/>
            <w:hideMark/>
          </w:tcPr>
          <w:p w14:paraId="03CCEA9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75111A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C1F093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Belarus</w:t>
            </w:r>
          </w:p>
        </w:tc>
        <w:tc>
          <w:tcPr>
            <w:tcW w:w="1001" w:type="dxa"/>
            <w:tcBorders>
              <w:top w:val="nil"/>
              <w:left w:val="nil"/>
              <w:bottom w:val="nil"/>
              <w:right w:val="nil"/>
            </w:tcBorders>
            <w:shd w:val="clear" w:color="auto" w:fill="auto"/>
            <w:vAlign w:val="center"/>
            <w:hideMark/>
          </w:tcPr>
          <w:p w14:paraId="3DB22D4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77F8E2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37E339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6563F02" w14:textId="77777777" w:rsidTr="008F07B7">
        <w:trPr>
          <w:trHeight w:val="256"/>
        </w:trPr>
        <w:tc>
          <w:tcPr>
            <w:tcW w:w="1276" w:type="dxa"/>
            <w:tcBorders>
              <w:top w:val="nil"/>
              <w:left w:val="nil"/>
              <w:bottom w:val="nil"/>
              <w:right w:val="nil"/>
            </w:tcBorders>
            <w:shd w:val="clear" w:color="auto" w:fill="auto"/>
            <w:vAlign w:val="center"/>
            <w:hideMark/>
          </w:tcPr>
          <w:p w14:paraId="15A0E8A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59097AE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5BBCA08C"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Belgium</w:t>
            </w:r>
            <w:r w:rsidRPr="00C05E9C">
              <w:rPr>
                <w:rFonts w:ascii="Arial Narrow" w:hAnsi="Arial Narrow" w:cs="Arial"/>
                <w:color w:val="000000"/>
                <w:sz w:val="18"/>
                <w:szCs w:val="18"/>
                <w:vertAlign w:val="superscript"/>
              </w:rPr>
              <w:t xml:space="preserve"> </w:t>
            </w:r>
          </w:p>
        </w:tc>
        <w:tc>
          <w:tcPr>
            <w:tcW w:w="1001" w:type="dxa"/>
            <w:tcBorders>
              <w:top w:val="nil"/>
              <w:left w:val="nil"/>
              <w:bottom w:val="nil"/>
              <w:right w:val="nil"/>
            </w:tcBorders>
            <w:shd w:val="clear" w:color="auto" w:fill="auto"/>
            <w:vAlign w:val="center"/>
            <w:hideMark/>
          </w:tcPr>
          <w:p w14:paraId="6E67F04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2479B05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477" w:type="dxa"/>
            <w:tcBorders>
              <w:top w:val="nil"/>
              <w:left w:val="nil"/>
              <w:bottom w:val="nil"/>
              <w:right w:val="nil"/>
            </w:tcBorders>
            <w:shd w:val="clear" w:color="auto" w:fill="auto"/>
            <w:vAlign w:val="center"/>
            <w:hideMark/>
          </w:tcPr>
          <w:p w14:paraId="6B6E6CF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r>
      <w:tr w:rsidR="0090485B" w:rsidRPr="00C05E9C" w14:paraId="17857400" w14:textId="77777777" w:rsidTr="008F07B7">
        <w:trPr>
          <w:trHeight w:val="256"/>
        </w:trPr>
        <w:tc>
          <w:tcPr>
            <w:tcW w:w="1276" w:type="dxa"/>
            <w:tcBorders>
              <w:top w:val="nil"/>
              <w:left w:val="nil"/>
              <w:bottom w:val="nil"/>
              <w:right w:val="nil"/>
            </w:tcBorders>
            <w:shd w:val="clear" w:color="auto" w:fill="auto"/>
            <w:vAlign w:val="center"/>
            <w:hideMark/>
          </w:tcPr>
          <w:p w14:paraId="35BBE11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3B7973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52FBFC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Bolivia (Plurinational State of)</w:t>
            </w:r>
          </w:p>
        </w:tc>
        <w:tc>
          <w:tcPr>
            <w:tcW w:w="1001" w:type="dxa"/>
            <w:tcBorders>
              <w:top w:val="nil"/>
              <w:left w:val="nil"/>
              <w:bottom w:val="nil"/>
              <w:right w:val="nil"/>
            </w:tcBorders>
            <w:shd w:val="clear" w:color="auto" w:fill="auto"/>
            <w:vAlign w:val="center"/>
            <w:hideMark/>
          </w:tcPr>
          <w:p w14:paraId="03DC85F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E0B29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D502AC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83B02E8" w14:textId="77777777" w:rsidTr="008F07B7">
        <w:trPr>
          <w:trHeight w:val="256"/>
        </w:trPr>
        <w:tc>
          <w:tcPr>
            <w:tcW w:w="1276" w:type="dxa"/>
            <w:tcBorders>
              <w:top w:val="nil"/>
              <w:left w:val="nil"/>
              <w:bottom w:val="nil"/>
              <w:right w:val="nil"/>
            </w:tcBorders>
            <w:shd w:val="clear" w:color="auto" w:fill="auto"/>
            <w:vAlign w:val="center"/>
            <w:hideMark/>
          </w:tcPr>
          <w:p w14:paraId="75BFF2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FD365C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4BF4C7D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 xml:space="preserve">Bosnia and Herzegovina </w:t>
            </w:r>
          </w:p>
        </w:tc>
        <w:tc>
          <w:tcPr>
            <w:tcW w:w="1001" w:type="dxa"/>
            <w:tcBorders>
              <w:top w:val="nil"/>
              <w:left w:val="nil"/>
              <w:bottom w:val="nil"/>
              <w:right w:val="nil"/>
            </w:tcBorders>
            <w:shd w:val="clear" w:color="auto" w:fill="auto"/>
            <w:vAlign w:val="center"/>
            <w:hideMark/>
          </w:tcPr>
          <w:p w14:paraId="08A2FAD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F7ECAD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6E39BE0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014C336" w14:textId="77777777" w:rsidTr="008F07B7">
        <w:trPr>
          <w:trHeight w:val="256"/>
        </w:trPr>
        <w:tc>
          <w:tcPr>
            <w:tcW w:w="1276" w:type="dxa"/>
            <w:tcBorders>
              <w:top w:val="nil"/>
              <w:left w:val="nil"/>
              <w:bottom w:val="nil"/>
              <w:right w:val="nil"/>
            </w:tcBorders>
            <w:shd w:val="clear" w:color="auto" w:fill="auto"/>
            <w:vAlign w:val="center"/>
            <w:hideMark/>
          </w:tcPr>
          <w:p w14:paraId="4AEB505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13,410</w:t>
            </w:r>
          </w:p>
        </w:tc>
        <w:tc>
          <w:tcPr>
            <w:tcW w:w="1276" w:type="dxa"/>
            <w:tcBorders>
              <w:top w:val="nil"/>
              <w:left w:val="nil"/>
              <w:bottom w:val="nil"/>
              <w:right w:val="nil"/>
            </w:tcBorders>
            <w:shd w:val="clear" w:color="auto" w:fill="auto"/>
            <w:vAlign w:val="center"/>
            <w:hideMark/>
          </w:tcPr>
          <w:p w14:paraId="40757C6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13,410</w:t>
            </w:r>
          </w:p>
        </w:tc>
        <w:tc>
          <w:tcPr>
            <w:tcW w:w="3474" w:type="dxa"/>
            <w:tcBorders>
              <w:top w:val="nil"/>
              <w:left w:val="nil"/>
              <w:bottom w:val="nil"/>
              <w:right w:val="nil"/>
            </w:tcBorders>
            <w:shd w:val="clear" w:color="auto" w:fill="auto"/>
            <w:vAlign w:val="center"/>
            <w:hideMark/>
          </w:tcPr>
          <w:p w14:paraId="76319B95"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Brazil</w:t>
            </w:r>
          </w:p>
        </w:tc>
        <w:tc>
          <w:tcPr>
            <w:tcW w:w="1001" w:type="dxa"/>
            <w:tcBorders>
              <w:top w:val="nil"/>
              <w:left w:val="nil"/>
              <w:bottom w:val="nil"/>
              <w:right w:val="nil"/>
            </w:tcBorders>
            <w:shd w:val="clear" w:color="auto" w:fill="auto"/>
            <w:vAlign w:val="center"/>
            <w:hideMark/>
          </w:tcPr>
          <w:p w14:paraId="682A971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0.25</w:t>
            </w:r>
          </w:p>
        </w:tc>
        <w:tc>
          <w:tcPr>
            <w:tcW w:w="1392" w:type="dxa"/>
            <w:tcBorders>
              <w:top w:val="nil"/>
              <w:left w:val="nil"/>
              <w:bottom w:val="nil"/>
              <w:right w:val="nil"/>
            </w:tcBorders>
            <w:shd w:val="clear" w:color="auto" w:fill="auto"/>
            <w:vAlign w:val="center"/>
            <w:hideMark/>
          </w:tcPr>
          <w:p w14:paraId="44F43AA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13,410</w:t>
            </w:r>
          </w:p>
        </w:tc>
        <w:tc>
          <w:tcPr>
            <w:tcW w:w="1477" w:type="dxa"/>
            <w:tcBorders>
              <w:top w:val="nil"/>
              <w:left w:val="nil"/>
              <w:bottom w:val="nil"/>
              <w:right w:val="nil"/>
            </w:tcBorders>
            <w:shd w:val="clear" w:color="auto" w:fill="auto"/>
            <w:vAlign w:val="center"/>
            <w:hideMark/>
          </w:tcPr>
          <w:p w14:paraId="687A1F6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13,410</w:t>
            </w:r>
          </w:p>
        </w:tc>
      </w:tr>
      <w:tr w:rsidR="0090485B" w:rsidRPr="00C05E9C" w14:paraId="56F04BC6" w14:textId="77777777" w:rsidTr="008F07B7">
        <w:trPr>
          <w:trHeight w:val="256"/>
        </w:trPr>
        <w:tc>
          <w:tcPr>
            <w:tcW w:w="1276" w:type="dxa"/>
            <w:tcBorders>
              <w:top w:val="nil"/>
              <w:left w:val="nil"/>
              <w:bottom w:val="nil"/>
              <w:right w:val="nil"/>
            </w:tcBorders>
            <w:shd w:val="clear" w:color="auto" w:fill="auto"/>
            <w:vAlign w:val="center"/>
            <w:hideMark/>
          </w:tcPr>
          <w:p w14:paraId="2791B8F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C70FCF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5A4B25F"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Bulgaria</w:t>
            </w:r>
          </w:p>
        </w:tc>
        <w:tc>
          <w:tcPr>
            <w:tcW w:w="1001" w:type="dxa"/>
            <w:tcBorders>
              <w:top w:val="nil"/>
              <w:left w:val="nil"/>
              <w:bottom w:val="nil"/>
              <w:right w:val="nil"/>
            </w:tcBorders>
            <w:shd w:val="clear" w:color="auto" w:fill="auto"/>
            <w:vAlign w:val="center"/>
            <w:hideMark/>
          </w:tcPr>
          <w:p w14:paraId="0A5BB3E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B11E3D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85E5BA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A2633AF" w14:textId="77777777" w:rsidTr="008F07B7">
        <w:trPr>
          <w:trHeight w:val="256"/>
        </w:trPr>
        <w:tc>
          <w:tcPr>
            <w:tcW w:w="1276" w:type="dxa"/>
            <w:tcBorders>
              <w:top w:val="nil"/>
              <w:left w:val="nil"/>
              <w:bottom w:val="nil"/>
              <w:right w:val="nil"/>
            </w:tcBorders>
            <w:shd w:val="clear" w:color="auto" w:fill="auto"/>
            <w:vAlign w:val="center"/>
            <w:hideMark/>
          </w:tcPr>
          <w:p w14:paraId="5B97C6D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68B5079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03F2117E"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Canada</w:t>
            </w:r>
          </w:p>
        </w:tc>
        <w:tc>
          <w:tcPr>
            <w:tcW w:w="1001" w:type="dxa"/>
            <w:tcBorders>
              <w:top w:val="nil"/>
              <w:left w:val="nil"/>
              <w:bottom w:val="nil"/>
              <w:right w:val="nil"/>
            </w:tcBorders>
            <w:shd w:val="clear" w:color="auto" w:fill="auto"/>
            <w:vAlign w:val="center"/>
            <w:hideMark/>
          </w:tcPr>
          <w:p w14:paraId="7895C11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41EC4D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4B731CD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5BCD65CA" w14:textId="77777777" w:rsidTr="008F07B7">
        <w:trPr>
          <w:trHeight w:val="256"/>
        </w:trPr>
        <w:tc>
          <w:tcPr>
            <w:tcW w:w="1276" w:type="dxa"/>
            <w:tcBorders>
              <w:top w:val="nil"/>
              <w:left w:val="nil"/>
              <w:bottom w:val="nil"/>
              <w:right w:val="nil"/>
            </w:tcBorders>
            <w:shd w:val="clear" w:color="auto" w:fill="auto"/>
            <w:vAlign w:val="center"/>
            <w:hideMark/>
          </w:tcPr>
          <w:p w14:paraId="4699704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7762ED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BF0958C"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Chile</w:t>
            </w:r>
          </w:p>
        </w:tc>
        <w:tc>
          <w:tcPr>
            <w:tcW w:w="1001" w:type="dxa"/>
            <w:tcBorders>
              <w:top w:val="nil"/>
              <w:left w:val="nil"/>
              <w:bottom w:val="nil"/>
              <w:right w:val="nil"/>
            </w:tcBorders>
            <w:shd w:val="clear" w:color="auto" w:fill="auto"/>
            <w:vAlign w:val="center"/>
            <w:hideMark/>
          </w:tcPr>
          <w:p w14:paraId="37A5FDB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60337D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482DFB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7D4EED01" w14:textId="77777777" w:rsidTr="008F07B7">
        <w:trPr>
          <w:trHeight w:val="256"/>
        </w:trPr>
        <w:tc>
          <w:tcPr>
            <w:tcW w:w="1276" w:type="dxa"/>
            <w:tcBorders>
              <w:top w:val="nil"/>
              <w:left w:val="nil"/>
              <w:bottom w:val="nil"/>
              <w:right w:val="nil"/>
            </w:tcBorders>
            <w:shd w:val="clear" w:color="auto" w:fill="auto"/>
            <w:vAlign w:val="center"/>
            <w:hideMark/>
          </w:tcPr>
          <w:p w14:paraId="71C6EF6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77DAB69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1C9B314C"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China</w:t>
            </w:r>
          </w:p>
        </w:tc>
        <w:tc>
          <w:tcPr>
            <w:tcW w:w="1001" w:type="dxa"/>
            <w:tcBorders>
              <w:top w:val="nil"/>
              <w:left w:val="nil"/>
              <w:bottom w:val="nil"/>
              <w:right w:val="nil"/>
            </w:tcBorders>
            <w:shd w:val="clear" w:color="auto" w:fill="auto"/>
            <w:vAlign w:val="center"/>
            <w:hideMark/>
          </w:tcPr>
          <w:p w14:paraId="08BEE8E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1EF8E96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477" w:type="dxa"/>
            <w:tcBorders>
              <w:top w:val="nil"/>
              <w:left w:val="nil"/>
              <w:bottom w:val="nil"/>
              <w:right w:val="nil"/>
            </w:tcBorders>
            <w:shd w:val="clear" w:color="auto" w:fill="auto"/>
            <w:vAlign w:val="center"/>
            <w:hideMark/>
          </w:tcPr>
          <w:p w14:paraId="4E1E592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r>
      <w:tr w:rsidR="0090485B" w:rsidRPr="00C05E9C" w14:paraId="5002A70D" w14:textId="77777777" w:rsidTr="008F07B7">
        <w:trPr>
          <w:trHeight w:val="256"/>
        </w:trPr>
        <w:tc>
          <w:tcPr>
            <w:tcW w:w="1276" w:type="dxa"/>
            <w:tcBorders>
              <w:top w:val="nil"/>
              <w:left w:val="nil"/>
              <w:bottom w:val="nil"/>
              <w:right w:val="nil"/>
            </w:tcBorders>
            <w:shd w:val="clear" w:color="auto" w:fill="auto"/>
            <w:vAlign w:val="center"/>
            <w:hideMark/>
          </w:tcPr>
          <w:p w14:paraId="57E7364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C19FF7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C6A1826"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Colombia</w:t>
            </w:r>
          </w:p>
        </w:tc>
        <w:tc>
          <w:tcPr>
            <w:tcW w:w="1001" w:type="dxa"/>
            <w:tcBorders>
              <w:top w:val="nil"/>
              <w:left w:val="nil"/>
              <w:bottom w:val="nil"/>
              <w:right w:val="nil"/>
            </w:tcBorders>
            <w:shd w:val="clear" w:color="auto" w:fill="auto"/>
            <w:vAlign w:val="center"/>
            <w:hideMark/>
          </w:tcPr>
          <w:p w14:paraId="3D2D522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EB6899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BC9991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060D656" w14:textId="77777777" w:rsidTr="008F07B7">
        <w:trPr>
          <w:trHeight w:val="256"/>
        </w:trPr>
        <w:tc>
          <w:tcPr>
            <w:tcW w:w="1276" w:type="dxa"/>
            <w:tcBorders>
              <w:top w:val="nil"/>
              <w:left w:val="nil"/>
              <w:bottom w:val="nil"/>
              <w:right w:val="nil"/>
            </w:tcBorders>
            <w:shd w:val="clear" w:color="auto" w:fill="auto"/>
            <w:vAlign w:val="center"/>
            <w:hideMark/>
          </w:tcPr>
          <w:p w14:paraId="10CF713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1364BF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B0D943C"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Costa Rica</w:t>
            </w:r>
          </w:p>
        </w:tc>
        <w:tc>
          <w:tcPr>
            <w:tcW w:w="1001" w:type="dxa"/>
            <w:tcBorders>
              <w:top w:val="nil"/>
              <w:left w:val="nil"/>
              <w:bottom w:val="nil"/>
              <w:right w:val="nil"/>
            </w:tcBorders>
            <w:shd w:val="clear" w:color="auto" w:fill="auto"/>
            <w:vAlign w:val="center"/>
            <w:hideMark/>
          </w:tcPr>
          <w:p w14:paraId="72FC702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968646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4E06A7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08846DA" w14:textId="77777777" w:rsidTr="008F07B7">
        <w:trPr>
          <w:trHeight w:val="256"/>
        </w:trPr>
        <w:tc>
          <w:tcPr>
            <w:tcW w:w="1276" w:type="dxa"/>
            <w:tcBorders>
              <w:top w:val="nil"/>
              <w:left w:val="nil"/>
              <w:bottom w:val="nil"/>
              <w:right w:val="nil"/>
            </w:tcBorders>
            <w:shd w:val="clear" w:color="auto" w:fill="auto"/>
            <w:vAlign w:val="center"/>
            <w:hideMark/>
          </w:tcPr>
          <w:p w14:paraId="1E0B4DD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2B5746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63FE9C9"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Croatia</w:t>
            </w:r>
          </w:p>
        </w:tc>
        <w:tc>
          <w:tcPr>
            <w:tcW w:w="1001" w:type="dxa"/>
            <w:tcBorders>
              <w:top w:val="nil"/>
              <w:left w:val="nil"/>
              <w:bottom w:val="nil"/>
              <w:right w:val="nil"/>
            </w:tcBorders>
            <w:shd w:val="clear" w:color="auto" w:fill="auto"/>
            <w:vAlign w:val="center"/>
            <w:hideMark/>
          </w:tcPr>
          <w:p w14:paraId="0CF8B7B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CAC85F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19C9EE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5EA886F" w14:textId="77777777" w:rsidTr="008F07B7">
        <w:trPr>
          <w:trHeight w:val="256"/>
        </w:trPr>
        <w:tc>
          <w:tcPr>
            <w:tcW w:w="1276" w:type="dxa"/>
            <w:tcBorders>
              <w:top w:val="nil"/>
              <w:left w:val="nil"/>
              <w:bottom w:val="nil"/>
              <w:right w:val="nil"/>
            </w:tcBorders>
            <w:shd w:val="clear" w:color="auto" w:fill="auto"/>
            <w:vAlign w:val="center"/>
            <w:hideMark/>
          </w:tcPr>
          <w:p w14:paraId="7712F19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2CCBD46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22A02818"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 xml:space="preserve">Czech Republic </w:t>
            </w:r>
          </w:p>
        </w:tc>
        <w:tc>
          <w:tcPr>
            <w:tcW w:w="1001" w:type="dxa"/>
            <w:tcBorders>
              <w:top w:val="nil"/>
              <w:left w:val="nil"/>
              <w:bottom w:val="nil"/>
              <w:right w:val="nil"/>
            </w:tcBorders>
            <w:shd w:val="clear" w:color="auto" w:fill="auto"/>
            <w:vAlign w:val="center"/>
            <w:hideMark/>
          </w:tcPr>
          <w:p w14:paraId="752EEEC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248BC5E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2134E96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10851C53" w14:textId="77777777" w:rsidTr="008F07B7">
        <w:trPr>
          <w:trHeight w:val="256"/>
        </w:trPr>
        <w:tc>
          <w:tcPr>
            <w:tcW w:w="1276" w:type="dxa"/>
            <w:tcBorders>
              <w:top w:val="nil"/>
              <w:left w:val="nil"/>
              <w:bottom w:val="nil"/>
              <w:right w:val="nil"/>
            </w:tcBorders>
            <w:shd w:val="clear" w:color="auto" w:fill="auto"/>
            <w:vAlign w:val="center"/>
            <w:hideMark/>
          </w:tcPr>
          <w:p w14:paraId="1180BB6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12A2374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742FAF5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Denmark</w:t>
            </w:r>
          </w:p>
        </w:tc>
        <w:tc>
          <w:tcPr>
            <w:tcW w:w="1001" w:type="dxa"/>
            <w:tcBorders>
              <w:top w:val="nil"/>
              <w:left w:val="nil"/>
              <w:bottom w:val="nil"/>
              <w:right w:val="nil"/>
            </w:tcBorders>
            <w:shd w:val="clear" w:color="auto" w:fill="auto"/>
            <w:vAlign w:val="center"/>
            <w:hideMark/>
          </w:tcPr>
          <w:p w14:paraId="6466121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3AD1D24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1E7BDAC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15358A60" w14:textId="77777777" w:rsidTr="008F07B7">
        <w:trPr>
          <w:trHeight w:val="256"/>
        </w:trPr>
        <w:tc>
          <w:tcPr>
            <w:tcW w:w="1276" w:type="dxa"/>
            <w:tcBorders>
              <w:top w:val="nil"/>
              <w:left w:val="nil"/>
              <w:bottom w:val="nil"/>
              <w:right w:val="nil"/>
            </w:tcBorders>
            <w:shd w:val="clear" w:color="auto" w:fill="auto"/>
            <w:vAlign w:val="center"/>
            <w:hideMark/>
          </w:tcPr>
          <w:p w14:paraId="5D9C64A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3CF60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5C22A8F"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Dominican Republic</w:t>
            </w:r>
          </w:p>
        </w:tc>
        <w:tc>
          <w:tcPr>
            <w:tcW w:w="1001" w:type="dxa"/>
            <w:tcBorders>
              <w:top w:val="nil"/>
              <w:left w:val="nil"/>
              <w:bottom w:val="nil"/>
              <w:right w:val="nil"/>
            </w:tcBorders>
            <w:shd w:val="clear" w:color="auto" w:fill="auto"/>
            <w:vAlign w:val="center"/>
            <w:hideMark/>
          </w:tcPr>
          <w:p w14:paraId="14E79AB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4277ED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A3959C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8AA2014" w14:textId="77777777" w:rsidTr="008F07B7">
        <w:trPr>
          <w:trHeight w:val="256"/>
        </w:trPr>
        <w:tc>
          <w:tcPr>
            <w:tcW w:w="1276" w:type="dxa"/>
            <w:tcBorders>
              <w:top w:val="nil"/>
              <w:left w:val="nil"/>
              <w:bottom w:val="nil"/>
              <w:right w:val="nil"/>
            </w:tcBorders>
            <w:shd w:val="clear" w:color="auto" w:fill="auto"/>
            <w:vAlign w:val="center"/>
            <w:hideMark/>
          </w:tcPr>
          <w:p w14:paraId="420A340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C79EDD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CA73FE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Ecuador</w:t>
            </w:r>
          </w:p>
        </w:tc>
        <w:tc>
          <w:tcPr>
            <w:tcW w:w="1001" w:type="dxa"/>
            <w:tcBorders>
              <w:top w:val="nil"/>
              <w:left w:val="nil"/>
              <w:bottom w:val="nil"/>
              <w:right w:val="nil"/>
            </w:tcBorders>
            <w:shd w:val="clear" w:color="auto" w:fill="auto"/>
            <w:vAlign w:val="center"/>
            <w:hideMark/>
          </w:tcPr>
          <w:p w14:paraId="074A799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F27BAC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2350FC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767FA14" w14:textId="77777777" w:rsidTr="008F07B7">
        <w:trPr>
          <w:trHeight w:val="256"/>
        </w:trPr>
        <w:tc>
          <w:tcPr>
            <w:tcW w:w="1276" w:type="dxa"/>
            <w:tcBorders>
              <w:top w:val="nil"/>
              <w:left w:val="nil"/>
              <w:bottom w:val="nil"/>
              <w:right w:val="nil"/>
            </w:tcBorders>
            <w:shd w:val="clear" w:color="auto" w:fill="auto"/>
            <w:vAlign w:val="center"/>
            <w:hideMark/>
          </w:tcPr>
          <w:p w14:paraId="019D654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E4214C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822F50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Egypt</w:t>
            </w:r>
          </w:p>
        </w:tc>
        <w:tc>
          <w:tcPr>
            <w:tcW w:w="1001" w:type="dxa"/>
            <w:tcBorders>
              <w:top w:val="nil"/>
              <w:left w:val="nil"/>
              <w:bottom w:val="nil"/>
              <w:right w:val="nil"/>
            </w:tcBorders>
            <w:shd w:val="clear" w:color="auto" w:fill="auto"/>
            <w:vAlign w:val="center"/>
            <w:hideMark/>
          </w:tcPr>
          <w:p w14:paraId="101FB6E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BB8561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59CC230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5DDA85C" w14:textId="77777777" w:rsidTr="008F07B7">
        <w:trPr>
          <w:trHeight w:val="256"/>
        </w:trPr>
        <w:tc>
          <w:tcPr>
            <w:tcW w:w="1276" w:type="dxa"/>
            <w:tcBorders>
              <w:top w:val="nil"/>
              <w:left w:val="nil"/>
              <w:bottom w:val="nil"/>
              <w:right w:val="nil"/>
            </w:tcBorders>
            <w:shd w:val="clear" w:color="auto" w:fill="auto"/>
            <w:vAlign w:val="center"/>
            <w:hideMark/>
          </w:tcPr>
          <w:p w14:paraId="3AF1941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0CB842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A9AD7A3"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Estonia</w:t>
            </w:r>
          </w:p>
        </w:tc>
        <w:tc>
          <w:tcPr>
            <w:tcW w:w="1001" w:type="dxa"/>
            <w:tcBorders>
              <w:top w:val="nil"/>
              <w:left w:val="nil"/>
              <w:bottom w:val="nil"/>
              <w:right w:val="nil"/>
            </w:tcBorders>
            <w:shd w:val="clear" w:color="auto" w:fill="auto"/>
            <w:vAlign w:val="center"/>
            <w:hideMark/>
          </w:tcPr>
          <w:p w14:paraId="214F7CE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176968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3D79D49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22F3392A" w14:textId="77777777" w:rsidTr="008F07B7">
        <w:trPr>
          <w:trHeight w:val="256"/>
        </w:trPr>
        <w:tc>
          <w:tcPr>
            <w:tcW w:w="1276" w:type="dxa"/>
            <w:tcBorders>
              <w:top w:val="nil"/>
              <w:left w:val="nil"/>
              <w:bottom w:val="nil"/>
              <w:right w:val="nil"/>
            </w:tcBorders>
            <w:shd w:val="clear" w:color="auto" w:fill="auto"/>
            <w:vAlign w:val="center"/>
            <w:hideMark/>
          </w:tcPr>
          <w:p w14:paraId="239087E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7ABA380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55053F16"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European Union</w:t>
            </w:r>
          </w:p>
        </w:tc>
        <w:tc>
          <w:tcPr>
            <w:tcW w:w="1001" w:type="dxa"/>
            <w:tcBorders>
              <w:top w:val="nil"/>
              <w:left w:val="nil"/>
              <w:bottom w:val="nil"/>
              <w:right w:val="nil"/>
            </w:tcBorders>
            <w:shd w:val="clear" w:color="auto" w:fill="auto"/>
            <w:vAlign w:val="center"/>
            <w:hideMark/>
          </w:tcPr>
          <w:p w14:paraId="45520C4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77ADDF1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477" w:type="dxa"/>
            <w:tcBorders>
              <w:top w:val="nil"/>
              <w:left w:val="nil"/>
              <w:bottom w:val="nil"/>
              <w:right w:val="nil"/>
            </w:tcBorders>
            <w:shd w:val="clear" w:color="auto" w:fill="auto"/>
            <w:vAlign w:val="center"/>
            <w:hideMark/>
          </w:tcPr>
          <w:p w14:paraId="6454C41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r>
      <w:tr w:rsidR="0090485B" w:rsidRPr="00C05E9C" w14:paraId="016CC469" w14:textId="77777777" w:rsidTr="008F07B7">
        <w:trPr>
          <w:trHeight w:val="256"/>
        </w:trPr>
        <w:tc>
          <w:tcPr>
            <w:tcW w:w="1276" w:type="dxa"/>
            <w:tcBorders>
              <w:top w:val="nil"/>
              <w:left w:val="nil"/>
              <w:bottom w:val="nil"/>
              <w:right w:val="nil"/>
            </w:tcBorders>
            <w:shd w:val="clear" w:color="auto" w:fill="auto"/>
            <w:vAlign w:val="center"/>
            <w:hideMark/>
          </w:tcPr>
          <w:p w14:paraId="67E4CA6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4F36FDC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0BB2CC5C"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Finland</w:t>
            </w:r>
          </w:p>
        </w:tc>
        <w:tc>
          <w:tcPr>
            <w:tcW w:w="1001" w:type="dxa"/>
            <w:tcBorders>
              <w:top w:val="nil"/>
              <w:left w:val="nil"/>
              <w:bottom w:val="nil"/>
              <w:right w:val="nil"/>
            </w:tcBorders>
            <w:shd w:val="clear" w:color="auto" w:fill="auto"/>
            <w:vAlign w:val="center"/>
            <w:hideMark/>
          </w:tcPr>
          <w:p w14:paraId="65568BB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443A97F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16E59AB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55ADD98C" w14:textId="77777777" w:rsidTr="008F07B7">
        <w:trPr>
          <w:trHeight w:val="256"/>
        </w:trPr>
        <w:tc>
          <w:tcPr>
            <w:tcW w:w="1276" w:type="dxa"/>
            <w:tcBorders>
              <w:top w:val="nil"/>
              <w:left w:val="nil"/>
              <w:bottom w:val="nil"/>
              <w:right w:val="nil"/>
            </w:tcBorders>
            <w:shd w:val="clear" w:color="auto" w:fill="auto"/>
            <w:vAlign w:val="center"/>
            <w:hideMark/>
          </w:tcPr>
          <w:p w14:paraId="44B79B8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52D66A6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06BCC6F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France</w:t>
            </w:r>
          </w:p>
        </w:tc>
        <w:tc>
          <w:tcPr>
            <w:tcW w:w="1001" w:type="dxa"/>
            <w:tcBorders>
              <w:top w:val="nil"/>
              <w:left w:val="nil"/>
              <w:bottom w:val="nil"/>
              <w:right w:val="nil"/>
            </w:tcBorders>
            <w:shd w:val="clear" w:color="auto" w:fill="auto"/>
            <w:vAlign w:val="center"/>
            <w:hideMark/>
          </w:tcPr>
          <w:p w14:paraId="132A9C0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64B049E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477" w:type="dxa"/>
            <w:tcBorders>
              <w:top w:val="nil"/>
              <w:left w:val="nil"/>
              <w:bottom w:val="nil"/>
              <w:right w:val="nil"/>
            </w:tcBorders>
            <w:shd w:val="clear" w:color="auto" w:fill="auto"/>
            <w:vAlign w:val="center"/>
            <w:hideMark/>
          </w:tcPr>
          <w:p w14:paraId="5A10E85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r>
      <w:tr w:rsidR="0090485B" w:rsidRPr="00C05E9C" w14:paraId="60259B50" w14:textId="77777777" w:rsidTr="008F07B7">
        <w:trPr>
          <w:trHeight w:val="256"/>
        </w:trPr>
        <w:tc>
          <w:tcPr>
            <w:tcW w:w="1276" w:type="dxa"/>
            <w:tcBorders>
              <w:top w:val="nil"/>
              <w:left w:val="nil"/>
              <w:bottom w:val="nil"/>
              <w:right w:val="nil"/>
            </w:tcBorders>
            <w:shd w:val="clear" w:color="auto" w:fill="auto"/>
            <w:vAlign w:val="center"/>
            <w:hideMark/>
          </w:tcPr>
          <w:p w14:paraId="097FB37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313B8E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6A8B73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Georgia</w:t>
            </w:r>
          </w:p>
        </w:tc>
        <w:tc>
          <w:tcPr>
            <w:tcW w:w="1001" w:type="dxa"/>
            <w:tcBorders>
              <w:top w:val="nil"/>
              <w:left w:val="nil"/>
              <w:bottom w:val="nil"/>
              <w:right w:val="nil"/>
            </w:tcBorders>
            <w:shd w:val="clear" w:color="auto" w:fill="auto"/>
            <w:vAlign w:val="center"/>
            <w:hideMark/>
          </w:tcPr>
          <w:p w14:paraId="31891E7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46253C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B35F5D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7598977" w14:textId="77777777" w:rsidTr="008F07B7">
        <w:trPr>
          <w:trHeight w:val="256"/>
        </w:trPr>
        <w:tc>
          <w:tcPr>
            <w:tcW w:w="1276" w:type="dxa"/>
            <w:tcBorders>
              <w:top w:val="nil"/>
              <w:left w:val="nil"/>
              <w:bottom w:val="nil"/>
              <w:right w:val="nil"/>
            </w:tcBorders>
            <w:shd w:val="clear" w:color="auto" w:fill="auto"/>
            <w:vAlign w:val="center"/>
            <w:hideMark/>
          </w:tcPr>
          <w:p w14:paraId="1DC4344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0B16C7C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03FA454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Germany</w:t>
            </w:r>
          </w:p>
        </w:tc>
        <w:tc>
          <w:tcPr>
            <w:tcW w:w="1001" w:type="dxa"/>
            <w:tcBorders>
              <w:top w:val="nil"/>
              <w:left w:val="nil"/>
              <w:bottom w:val="nil"/>
              <w:right w:val="nil"/>
            </w:tcBorders>
            <w:shd w:val="clear" w:color="auto" w:fill="auto"/>
            <w:vAlign w:val="center"/>
            <w:hideMark/>
          </w:tcPr>
          <w:p w14:paraId="333F980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29B8B82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477" w:type="dxa"/>
            <w:tcBorders>
              <w:top w:val="nil"/>
              <w:left w:val="nil"/>
              <w:bottom w:val="nil"/>
              <w:right w:val="nil"/>
            </w:tcBorders>
            <w:shd w:val="clear" w:color="auto" w:fill="auto"/>
            <w:vAlign w:val="center"/>
            <w:hideMark/>
          </w:tcPr>
          <w:p w14:paraId="2E7CDDE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r>
      <w:tr w:rsidR="0090485B" w:rsidRPr="00C05E9C" w14:paraId="36985A12" w14:textId="77777777" w:rsidTr="008F07B7">
        <w:trPr>
          <w:trHeight w:val="256"/>
        </w:trPr>
        <w:tc>
          <w:tcPr>
            <w:tcW w:w="1276" w:type="dxa"/>
            <w:tcBorders>
              <w:top w:val="nil"/>
              <w:left w:val="nil"/>
              <w:bottom w:val="nil"/>
              <w:right w:val="nil"/>
            </w:tcBorders>
            <w:shd w:val="clear" w:color="auto" w:fill="auto"/>
            <w:vAlign w:val="center"/>
            <w:hideMark/>
          </w:tcPr>
          <w:p w14:paraId="10FB439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125CDBE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0F6C59C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Hungary</w:t>
            </w:r>
          </w:p>
        </w:tc>
        <w:tc>
          <w:tcPr>
            <w:tcW w:w="1001" w:type="dxa"/>
            <w:tcBorders>
              <w:top w:val="nil"/>
              <w:left w:val="nil"/>
              <w:bottom w:val="nil"/>
              <w:right w:val="nil"/>
            </w:tcBorders>
            <w:shd w:val="clear" w:color="auto" w:fill="auto"/>
            <w:vAlign w:val="center"/>
            <w:hideMark/>
          </w:tcPr>
          <w:p w14:paraId="4ABBDCC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2410FFA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3B2C893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65C561D1" w14:textId="77777777" w:rsidTr="008F07B7">
        <w:trPr>
          <w:trHeight w:val="256"/>
        </w:trPr>
        <w:tc>
          <w:tcPr>
            <w:tcW w:w="1276" w:type="dxa"/>
            <w:tcBorders>
              <w:top w:val="nil"/>
              <w:left w:val="nil"/>
              <w:bottom w:val="nil"/>
              <w:right w:val="nil"/>
            </w:tcBorders>
            <w:shd w:val="clear" w:color="auto" w:fill="auto"/>
            <w:vAlign w:val="center"/>
            <w:hideMark/>
          </w:tcPr>
          <w:p w14:paraId="0DC437A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B972C8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194E9E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Iceland</w:t>
            </w:r>
          </w:p>
        </w:tc>
        <w:tc>
          <w:tcPr>
            <w:tcW w:w="1001" w:type="dxa"/>
            <w:tcBorders>
              <w:top w:val="nil"/>
              <w:left w:val="nil"/>
              <w:bottom w:val="nil"/>
              <w:right w:val="nil"/>
            </w:tcBorders>
            <w:shd w:val="clear" w:color="auto" w:fill="auto"/>
            <w:vAlign w:val="center"/>
            <w:hideMark/>
          </w:tcPr>
          <w:p w14:paraId="38DD093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2B88BA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CD36B3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9B3D0D3" w14:textId="77777777" w:rsidTr="008F07B7">
        <w:trPr>
          <w:trHeight w:val="256"/>
        </w:trPr>
        <w:tc>
          <w:tcPr>
            <w:tcW w:w="1276" w:type="dxa"/>
            <w:tcBorders>
              <w:top w:val="nil"/>
              <w:left w:val="nil"/>
              <w:bottom w:val="nil"/>
              <w:right w:val="nil"/>
            </w:tcBorders>
            <w:shd w:val="clear" w:color="auto" w:fill="auto"/>
            <w:vAlign w:val="center"/>
            <w:hideMark/>
          </w:tcPr>
          <w:p w14:paraId="60466F4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09280DA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609F7F4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Ireland</w:t>
            </w:r>
          </w:p>
        </w:tc>
        <w:tc>
          <w:tcPr>
            <w:tcW w:w="1001" w:type="dxa"/>
            <w:tcBorders>
              <w:top w:val="nil"/>
              <w:left w:val="nil"/>
              <w:bottom w:val="nil"/>
              <w:right w:val="nil"/>
            </w:tcBorders>
            <w:shd w:val="clear" w:color="auto" w:fill="auto"/>
            <w:vAlign w:val="center"/>
            <w:hideMark/>
          </w:tcPr>
          <w:p w14:paraId="61E1A91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91FE3D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47739F5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608C36FD" w14:textId="77777777" w:rsidTr="008F07B7">
        <w:trPr>
          <w:trHeight w:val="256"/>
        </w:trPr>
        <w:tc>
          <w:tcPr>
            <w:tcW w:w="1276" w:type="dxa"/>
            <w:tcBorders>
              <w:top w:val="nil"/>
              <w:left w:val="nil"/>
              <w:bottom w:val="nil"/>
              <w:right w:val="nil"/>
            </w:tcBorders>
            <w:shd w:val="clear" w:color="auto" w:fill="auto"/>
            <w:vAlign w:val="center"/>
            <w:hideMark/>
          </w:tcPr>
          <w:p w14:paraId="425F05C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526E201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65D259B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Israel</w:t>
            </w:r>
          </w:p>
        </w:tc>
        <w:tc>
          <w:tcPr>
            <w:tcW w:w="1001" w:type="dxa"/>
            <w:tcBorders>
              <w:top w:val="nil"/>
              <w:left w:val="nil"/>
              <w:bottom w:val="nil"/>
              <w:right w:val="nil"/>
            </w:tcBorders>
            <w:shd w:val="clear" w:color="auto" w:fill="auto"/>
            <w:vAlign w:val="center"/>
            <w:hideMark/>
          </w:tcPr>
          <w:p w14:paraId="51C98EC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3C76A64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2ED5F10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335749CB" w14:textId="77777777" w:rsidTr="008F07B7">
        <w:trPr>
          <w:trHeight w:val="256"/>
        </w:trPr>
        <w:tc>
          <w:tcPr>
            <w:tcW w:w="1276" w:type="dxa"/>
            <w:tcBorders>
              <w:top w:val="nil"/>
              <w:left w:val="nil"/>
              <w:bottom w:val="nil"/>
              <w:right w:val="nil"/>
            </w:tcBorders>
            <w:shd w:val="clear" w:color="auto" w:fill="auto"/>
            <w:vAlign w:val="center"/>
            <w:hideMark/>
          </w:tcPr>
          <w:p w14:paraId="7E26708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23B71AF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42918929"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Italy</w:t>
            </w:r>
          </w:p>
        </w:tc>
        <w:tc>
          <w:tcPr>
            <w:tcW w:w="1001" w:type="dxa"/>
            <w:tcBorders>
              <w:top w:val="nil"/>
              <w:left w:val="nil"/>
              <w:bottom w:val="nil"/>
              <w:right w:val="nil"/>
            </w:tcBorders>
            <w:shd w:val="clear" w:color="auto" w:fill="auto"/>
            <w:vAlign w:val="center"/>
            <w:hideMark/>
          </w:tcPr>
          <w:p w14:paraId="6447BC2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2F0A82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477" w:type="dxa"/>
            <w:tcBorders>
              <w:top w:val="nil"/>
              <w:left w:val="nil"/>
              <w:bottom w:val="nil"/>
              <w:right w:val="nil"/>
            </w:tcBorders>
            <w:shd w:val="clear" w:color="auto" w:fill="auto"/>
            <w:vAlign w:val="center"/>
            <w:hideMark/>
          </w:tcPr>
          <w:p w14:paraId="412B408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r>
      <w:tr w:rsidR="0090485B" w:rsidRPr="00C05E9C" w14:paraId="413BE953" w14:textId="77777777" w:rsidTr="008F07B7">
        <w:trPr>
          <w:trHeight w:val="256"/>
        </w:trPr>
        <w:tc>
          <w:tcPr>
            <w:tcW w:w="1276" w:type="dxa"/>
            <w:tcBorders>
              <w:top w:val="nil"/>
              <w:left w:val="nil"/>
              <w:bottom w:val="nil"/>
              <w:right w:val="nil"/>
            </w:tcBorders>
            <w:shd w:val="clear" w:color="auto" w:fill="auto"/>
            <w:vAlign w:val="center"/>
            <w:hideMark/>
          </w:tcPr>
          <w:p w14:paraId="36B6C6E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1CF9D48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375A1601"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Japan</w:t>
            </w:r>
          </w:p>
        </w:tc>
        <w:tc>
          <w:tcPr>
            <w:tcW w:w="1001" w:type="dxa"/>
            <w:tcBorders>
              <w:top w:val="nil"/>
              <w:left w:val="nil"/>
              <w:bottom w:val="nil"/>
              <w:right w:val="nil"/>
            </w:tcBorders>
            <w:shd w:val="clear" w:color="auto" w:fill="auto"/>
            <w:vAlign w:val="center"/>
            <w:hideMark/>
          </w:tcPr>
          <w:p w14:paraId="160B069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4008D41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477" w:type="dxa"/>
            <w:tcBorders>
              <w:top w:val="nil"/>
              <w:left w:val="nil"/>
              <w:bottom w:val="nil"/>
              <w:right w:val="nil"/>
            </w:tcBorders>
            <w:shd w:val="clear" w:color="auto" w:fill="auto"/>
            <w:vAlign w:val="center"/>
            <w:hideMark/>
          </w:tcPr>
          <w:p w14:paraId="2DBCDB7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r>
      <w:tr w:rsidR="0090485B" w:rsidRPr="00C05E9C" w14:paraId="4C9745DC" w14:textId="77777777" w:rsidTr="008F07B7">
        <w:trPr>
          <w:trHeight w:val="256"/>
        </w:trPr>
        <w:tc>
          <w:tcPr>
            <w:tcW w:w="1276" w:type="dxa"/>
            <w:tcBorders>
              <w:top w:val="nil"/>
              <w:left w:val="nil"/>
              <w:bottom w:val="nil"/>
              <w:right w:val="nil"/>
            </w:tcBorders>
            <w:shd w:val="clear" w:color="auto" w:fill="auto"/>
            <w:vAlign w:val="center"/>
            <w:hideMark/>
          </w:tcPr>
          <w:p w14:paraId="3272FC7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04CC0A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B882CA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Jordan</w:t>
            </w:r>
          </w:p>
        </w:tc>
        <w:tc>
          <w:tcPr>
            <w:tcW w:w="1001" w:type="dxa"/>
            <w:tcBorders>
              <w:top w:val="nil"/>
              <w:left w:val="nil"/>
              <w:bottom w:val="nil"/>
              <w:right w:val="nil"/>
            </w:tcBorders>
            <w:shd w:val="clear" w:color="auto" w:fill="auto"/>
            <w:vAlign w:val="center"/>
            <w:hideMark/>
          </w:tcPr>
          <w:p w14:paraId="5224BB0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6291AD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51F8B07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6AF66B6" w14:textId="77777777" w:rsidTr="008F07B7">
        <w:trPr>
          <w:trHeight w:val="256"/>
        </w:trPr>
        <w:tc>
          <w:tcPr>
            <w:tcW w:w="1276" w:type="dxa"/>
            <w:tcBorders>
              <w:top w:val="nil"/>
              <w:left w:val="nil"/>
              <w:bottom w:val="nil"/>
              <w:right w:val="nil"/>
            </w:tcBorders>
            <w:shd w:val="clear" w:color="auto" w:fill="auto"/>
            <w:vAlign w:val="center"/>
            <w:hideMark/>
          </w:tcPr>
          <w:p w14:paraId="625FE75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43A7CA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2CBCA5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Kenya</w:t>
            </w:r>
          </w:p>
        </w:tc>
        <w:tc>
          <w:tcPr>
            <w:tcW w:w="1001" w:type="dxa"/>
            <w:tcBorders>
              <w:top w:val="nil"/>
              <w:left w:val="nil"/>
              <w:bottom w:val="nil"/>
              <w:right w:val="nil"/>
            </w:tcBorders>
            <w:shd w:val="clear" w:color="auto" w:fill="auto"/>
            <w:vAlign w:val="center"/>
            <w:hideMark/>
          </w:tcPr>
          <w:p w14:paraId="7F1D1DC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B0C366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3E9008D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AF9A280" w14:textId="77777777" w:rsidTr="008F07B7">
        <w:trPr>
          <w:trHeight w:val="256"/>
        </w:trPr>
        <w:tc>
          <w:tcPr>
            <w:tcW w:w="1276" w:type="dxa"/>
            <w:tcBorders>
              <w:top w:val="nil"/>
              <w:left w:val="nil"/>
              <w:bottom w:val="nil"/>
              <w:right w:val="nil"/>
            </w:tcBorders>
            <w:shd w:val="clear" w:color="auto" w:fill="auto"/>
            <w:vAlign w:val="center"/>
            <w:hideMark/>
          </w:tcPr>
          <w:p w14:paraId="020428B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49AAAB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C948EE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Kyrgyzstan</w:t>
            </w:r>
          </w:p>
        </w:tc>
        <w:tc>
          <w:tcPr>
            <w:tcW w:w="1001" w:type="dxa"/>
            <w:tcBorders>
              <w:top w:val="nil"/>
              <w:left w:val="nil"/>
              <w:bottom w:val="nil"/>
              <w:right w:val="nil"/>
            </w:tcBorders>
            <w:shd w:val="clear" w:color="auto" w:fill="auto"/>
            <w:vAlign w:val="center"/>
            <w:hideMark/>
          </w:tcPr>
          <w:p w14:paraId="1A3AB23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8D2FB4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30FDFDA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17CDBE6" w14:textId="77777777" w:rsidTr="008F07B7">
        <w:trPr>
          <w:trHeight w:val="256"/>
        </w:trPr>
        <w:tc>
          <w:tcPr>
            <w:tcW w:w="1276" w:type="dxa"/>
            <w:tcBorders>
              <w:top w:val="nil"/>
              <w:left w:val="nil"/>
              <w:bottom w:val="nil"/>
              <w:right w:val="nil"/>
            </w:tcBorders>
            <w:shd w:val="clear" w:color="auto" w:fill="auto"/>
            <w:vAlign w:val="center"/>
            <w:hideMark/>
          </w:tcPr>
          <w:p w14:paraId="75DBDB5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E7BA14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7E8066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Latvia</w:t>
            </w:r>
          </w:p>
        </w:tc>
        <w:tc>
          <w:tcPr>
            <w:tcW w:w="1001" w:type="dxa"/>
            <w:tcBorders>
              <w:top w:val="nil"/>
              <w:left w:val="nil"/>
              <w:bottom w:val="nil"/>
              <w:right w:val="nil"/>
            </w:tcBorders>
            <w:shd w:val="clear" w:color="auto" w:fill="auto"/>
            <w:vAlign w:val="center"/>
            <w:hideMark/>
          </w:tcPr>
          <w:p w14:paraId="5B4B5C5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521454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86C657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37BE7E6" w14:textId="77777777" w:rsidTr="008F07B7">
        <w:trPr>
          <w:trHeight w:val="256"/>
        </w:trPr>
        <w:tc>
          <w:tcPr>
            <w:tcW w:w="1276" w:type="dxa"/>
            <w:tcBorders>
              <w:top w:val="nil"/>
              <w:left w:val="nil"/>
              <w:bottom w:val="nil"/>
              <w:right w:val="nil"/>
            </w:tcBorders>
            <w:shd w:val="clear" w:color="auto" w:fill="auto"/>
            <w:vAlign w:val="center"/>
            <w:hideMark/>
          </w:tcPr>
          <w:p w14:paraId="7E0CC85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B6E9DE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DAB8658"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Lithuania</w:t>
            </w:r>
          </w:p>
        </w:tc>
        <w:tc>
          <w:tcPr>
            <w:tcW w:w="1001" w:type="dxa"/>
            <w:tcBorders>
              <w:top w:val="nil"/>
              <w:left w:val="nil"/>
              <w:bottom w:val="nil"/>
              <w:right w:val="nil"/>
            </w:tcBorders>
            <w:shd w:val="clear" w:color="auto" w:fill="auto"/>
            <w:vAlign w:val="center"/>
            <w:hideMark/>
          </w:tcPr>
          <w:p w14:paraId="684DD45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CD8809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68CA49B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5D50A314" w14:textId="77777777" w:rsidTr="008F07B7">
        <w:trPr>
          <w:trHeight w:val="256"/>
        </w:trPr>
        <w:tc>
          <w:tcPr>
            <w:tcW w:w="1276" w:type="dxa"/>
            <w:tcBorders>
              <w:top w:val="nil"/>
              <w:left w:val="nil"/>
              <w:bottom w:val="nil"/>
              <w:right w:val="nil"/>
            </w:tcBorders>
            <w:shd w:val="clear" w:color="auto" w:fill="auto"/>
            <w:vAlign w:val="center"/>
            <w:hideMark/>
          </w:tcPr>
          <w:p w14:paraId="337C2F4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1276" w:type="dxa"/>
            <w:tcBorders>
              <w:top w:val="nil"/>
              <w:left w:val="nil"/>
              <w:bottom w:val="nil"/>
              <w:right w:val="nil"/>
            </w:tcBorders>
            <w:shd w:val="clear" w:color="auto" w:fill="auto"/>
            <w:vAlign w:val="center"/>
            <w:hideMark/>
          </w:tcPr>
          <w:p w14:paraId="3E2EB6F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3474" w:type="dxa"/>
            <w:tcBorders>
              <w:top w:val="nil"/>
              <w:left w:val="nil"/>
              <w:bottom w:val="nil"/>
              <w:right w:val="nil"/>
            </w:tcBorders>
            <w:shd w:val="clear" w:color="auto" w:fill="auto"/>
            <w:vAlign w:val="center"/>
            <w:hideMark/>
          </w:tcPr>
          <w:p w14:paraId="212F265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Mexico</w:t>
            </w:r>
          </w:p>
        </w:tc>
        <w:tc>
          <w:tcPr>
            <w:tcW w:w="1001" w:type="dxa"/>
            <w:tcBorders>
              <w:top w:val="nil"/>
              <w:left w:val="nil"/>
              <w:bottom w:val="nil"/>
              <w:right w:val="nil"/>
            </w:tcBorders>
            <w:shd w:val="clear" w:color="auto" w:fill="auto"/>
            <w:vAlign w:val="center"/>
            <w:hideMark/>
          </w:tcPr>
          <w:p w14:paraId="28DD7E1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0.75</w:t>
            </w:r>
          </w:p>
        </w:tc>
        <w:tc>
          <w:tcPr>
            <w:tcW w:w="1392" w:type="dxa"/>
            <w:tcBorders>
              <w:top w:val="nil"/>
              <w:left w:val="nil"/>
              <w:bottom w:val="nil"/>
              <w:right w:val="nil"/>
            </w:tcBorders>
            <w:shd w:val="clear" w:color="auto" w:fill="auto"/>
            <w:vAlign w:val="center"/>
            <w:hideMark/>
          </w:tcPr>
          <w:p w14:paraId="543B069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c>
          <w:tcPr>
            <w:tcW w:w="1477" w:type="dxa"/>
            <w:tcBorders>
              <w:top w:val="nil"/>
              <w:left w:val="nil"/>
              <w:bottom w:val="nil"/>
              <w:right w:val="nil"/>
            </w:tcBorders>
            <w:shd w:val="clear" w:color="auto" w:fill="auto"/>
            <w:vAlign w:val="center"/>
            <w:hideMark/>
          </w:tcPr>
          <w:p w14:paraId="77784DE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40,231</w:t>
            </w:r>
          </w:p>
        </w:tc>
      </w:tr>
      <w:tr w:rsidR="0090485B" w:rsidRPr="00C05E9C" w14:paraId="3EC04873" w14:textId="77777777" w:rsidTr="008F07B7">
        <w:trPr>
          <w:trHeight w:val="256"/>
        </w:trPr>
        <w:tc>
          <w:tcPr>
            <w:tcW w:w="1276" w:type="dxa"/>
            <w:tcBorders>
              <w:top w:val="nil"/>
              <w:left w:val="nil"/>
              <w:bottom w:val="nil"/>
              <w:right w:val="nil"/>
            </w:tcBorders>
            <w:shd w:val="clear" w:color="auto" w:fill="auto"/>
            <w:vAlign w:val="center"/>
            <w:hideMark/>
          </w:tcPr>
          <w:p w14:paraId="798D174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4C3A11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006D6BA"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Montenegro</w:t>
            </w:r>
          </w:p>
        </w:tc>
        <w:tc>
          <w:tcPr>
            <w:tcW w:w="1001" w:type="dxa"/>
            <w:tcBorders>
              <w:top w:val="nil"/>
              <w:left w:val="nil"/>
              <w:bottom w:val="nil"/>
              <w:right w:val="nil"/>
            </w:tcBorders>
            <w:shd w:val="clear" w:color="auto" w:fill="auto"/>
            <w:vAlign w:val="center"/>
            <w:hideMark/>
          </w:tcPr>
          <w:p w14:paraId="3168775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FB6E8F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713696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205005CB" w14:textId="77777777" w:rsidTr="008F07B7">
        <w:trPr>
          <w:trHeight w:val="256"/>
        </w:trPr>
        <w:tc>
          <w:tcPr>
            <w:tcW w:w="1276" w:type="dxa"/>
            <w:tcBorders>
              <w:top w:val="nil"/>
              <w:left w:val="nil"/>
              <w:bottom w:val="nil"/>
              <w:right w:val="nil"/>
            </w:tcBorders>
            <w:shd w:val="clear" w:color="auto" w:fill="auto"/>
            <w:vAlign w:val="center"/>
            <w:hideMark/>
          </w:tcPr>
          <w:p w14:paraId="71A8332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CBE3A2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8CAAB6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Morocco</w:t>
            </w:r>
          </w:p>
        </w:tc>
        <w:tc>
          <w:tcPr>
            <w:tcW w:w="1001" w:type="dxa"/>
            <w:tcBorders>
              <w:top w:val="nil"/>
              <w:left w:val="nil"/>
              <w:bottom w:val="nil"/>
              <w:right w:val="nil"/>
            </w:tcBorders>
            <w:shd w:val="clear" w:color="auto" w:fill="auto"/>
            <w:vAlign w:val="center"/>
            <w:hideMark/>
          </w:tcPr>
          <w:p w14:paraId="621DC30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AD03AD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16D11C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6802D11B" w14:textId="77777777" w:rsidTr="008F07B7">
        <w:trPr>
          <w:trHeight w:val="256"/>
        </w:trPr>
        <w:tc>
          <w:tcPr>
            <w:tcW w:w="1276" w:type="dxa"/>
            <w:tcBorders>
              <w:top w:val="nil"/>
              <w:left w:val="nil"/>
              <w:bottom w:val="nil"/>
              <w:right w:val="nil"/>
            </w:tcBorders>
            <w:shd w:val="clear" w:color="auto" w:fill="auto"/>
            <w:vAlign w:val="center"/>
            <w:hideMark/>
          </w:tcPr>
          <w:p w14:paraId="38FAF1F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160,923</w:t>
            </w:r>
          </w:p>
        </w:tc>
        <w:tc>
          <w:tcPr>
            <w:tcW w:w="1276" w:type="dxa"/>
            <w:tcBorders>
              <w:top w:val="nil"/>
              <w:left w:val="nil"/>
              <w:bottom w:val="nil"/>
              <w:right w:val="nil"/>
            </w:tcBorders>
            <w:shd w:val="clear" w:color="auto" w:fill="auto"/>
            <w:vAlign w:val="center"/>
            <w:hideMark/>
          </w:tcPr>
          <w:p w14:paraId="0E20A96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160,923</w:t>
            </w:r>
          </w:p>
        </w:tc>
        <w:tc>
          <w:tcPr>
            <w:tcW w:w="3474" w:type="dxa"/>
            <w:tcBorders>
              <w:top w:val="nil"/>
              <w:left w:val="nil"/>
              <w:bottom w:val="nil"/>
              <w:right w:val="nil"/>
            </w:tcBorders>
            <w:shd w:val="clear" w:color="auto" w:fill="auto"/>
            <w:vAlign w:val="center"/>
            <w:hideMark/>
          </w:tcPr>
          <w:p w14:paraId="160FC21E"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 xml:space="preserve">Netherlands </w:t>
            </w:r>
          </w:p>
        </w:tc>
        <w:tc>
          <w:tcPr>
            <w:tcW w:w="1001" w:type="dxa"/>
            <w:tcBorders>
              <w:top w:val="nil"/>
              <w:left w:val="nil"/>
              <w:bottom w:val="nil"/>
              <w:right w:val="nil"/>
            </w:tcBorders>
            <w:shd w:val="clear" w:color="auto" w:fill="auto"/>
            <w:vAlign w:val="center"/>
            <w:hideMark/>
          </w:tcPr>
          <w:p w14:paraId="7596A96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3.00</w:t>
            </w:r>
          </w:p>
        </w:tc>
        <w:tc>
          <w:tcPr>
            <w:tcW w:w="1392" w:type="dxa"/>
            <w:tcBorders>
              <w:top w:val="nil"/>
              <w:left w:val="nil"/>
              <w:bottom w:val="nil"/>
              <w:right w:val="nil"/>
            </w:tcBorders>
            <w:shd w:val="clear" w:color="auto" w:fill="auto"/>
            <w:vAlign w:val="center"/>
            <w:hideMark/>
          </w:tcPr>
          <w:p w14:paraId="2FECB5B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160,923</w:t>
            </w:r>
          </w:p>
        </w:tc>
        <w:tc>
          <w:tcPr>
            <w:tcW w:w="1477" w:type="dxa"/>
            <w:tcBorders>
              <w:top w:val="nil"/>
              <w:left w:val="nil"/>
              <w:bottom w:val="nil"/>
              <w:right w:val="nil"/>
            </w:tcBorders>
            <w:shd w:val="clear" w:color="auto" w:fill="auto"/>
            <w:vAlign w:val="center"/>
            <w:hideMark/>
          </w:tcPr>
          <w:p w14:paraId="270438C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160,923</w:t>
            </w:r>
          </w:p>
        </w:tc>
      </w:tr>
      <w:tr w:rsidR="0090485B" w:rsidRPr="00C05E9C" w14:paraId="034FD559" w14:textId="77777777" w:rsidTr="008F07B7">
        <w:trPr>
          <w:trHeight w:val="256"/>
        </w:trPr>
        <w:tc>
          <w:tcPr>
            <w:tcW w:w="1276" w:type="dxa"/>
            <w:tcBorders>
              <w:top w:val="nil"/>
              <w:left w:val="nil"/>
              <w:bottom w:val="nil"/>
              <w:right w:val="nil"/>
            </w:tcBorders>
            <w:shd w:val="clear" w:color="auto" w:fill="auto"/>
            <w:vAlign w:val="center"/>
            <w:hideMark/>
          </w:tcPr>
          <w:p w14:paraId="4F1CD61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204E36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737B862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New Zealand</w:t>
            </w:r>
          </w:p>
        </w:tc>
        <w:tc>
          <w:tcPr>
            <w:tcW w:w="1001" w:type="dxa"/>
            <w:tcBorders>
              <w:top w:val="nil"/>
              <w:left w:val="nil"/>
              <w:bottom w:val="nil"/>
              <w:right w:val="nil"/>
            </w:tcBorders>
            <w:shd w:val="clear" w:color="auto" w:fill="auto"/>
            <w:vAlign w:val="center"/>
            <w:hideMark/>
          </w:tcPr>
          <w:p w14:paraId="64D7722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3843C55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1AF6A62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2A687A3C" w14:textId="77777777" w:rsidTr="008F07B7">
        <w:trPr>
          <w:trHeight w:val="256"/>
        </w:trPr>
        <w:tc>
          <w:tcPr>
            <w:tcW w:w="1276" w:type="dxa"/>
            <w:tcBorders>
              <w:top w:val="nil"/>
              <w:left w:val="nil"/>
              <w:bottom w:val="nil"/>
              <w:right w:val="nil"/>
            </w:tcBorders>
            <w:shd w:val="clear" w:color="auto" w:fill="auto"/>
            <w:vAlign w:val="center"/>
            <w:hideMark/>
          </w:tcPr>
          <w:p w14:paraId="28B861E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490484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E311A6A"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Nicaragua</w:t>
            </w:r>
          </w:p>
        </w:tc>
        <w:tc>
          <w:tcPr>
            <w:tcW w:w="1001" w:type="dxa"/>
            <w:tcBorders>
              <w:top w:val="nil"/>
              <w:left w:val="nil"/>
              <w:bottom w:val="nil"/>
              <w:right w:val="nil"/>
            </w:tcBorders>
            <w:shd w:val="clear" w:color="auto" w:fill="auto"/>
            <w:vAlign w:val="center"/>
            <w:hideMark/>
          </w:tcPr>
          <w:p w14:paraId="6CCF39C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4E9AA3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333EF1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46AA6063" w14:textId="77777777" w:rsidTr="008F07B7">
        <w:trPr>
          <w:trHeight w:val="256"/>
        </w:trPr>
        <w:tc>
          <w:tcPr>
            <w:tcW w:w="1276" w:type="dxa"/>
            <w:tcBorders>
              <w:top w:val="nil"/>
              <w:left w:val="nil"/>
              <w:bottom w:val="nil"/>
              <w:right w:val="nil"/>
            </w:tcBorders>
            <w:shd w:val="clear" w:color="auto" w:fill="auto"/>
            <w:vAlign w:val="center"/>
            <w:hideMark/>
          </w:tcPr>
          <w:p w14:paraId="052615D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lastRenderedPageBreak/>
              <w:t>10,728</w:t>
            </w:r>
          </w:p>
        </w:tc>
        <w:tc>
          <w:tcPr>
            <w:tcW w:w="1276" w:type="dxa"/>
            <w:tcBorders>
              <w:top w:val="nil"/>
              <w:left w:val="nil"/>
              <w:bottom w:val="nil"/>
              <w:right w:val="nil"/>
            </w:tcBorders>
            <w:shd w:val="clear" w:color="auto" w:fill="auto"/>
            <w:vAlign w:val="center"/>
            <w:hideMark/>
          </w:tcPr>
          <w:p w14:paraId="212146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48861B9"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North Macedonia</w:t>
            </w:r>
          </w:p>
        </w:tc>
        <w:tc>
          <w:tcPr>
            <w:tcW w:w="1001" w:type="dxa"/>
            <w:tcBorders>
              <w:top w:val="nil"/>
              <w:left w:val="nil"/>
              <w:bottom w:val="nil"/>
              <w:right w:val="nil"/>
            </w:tcBorders>
            <w:shd w:val="clear" w:color="auto" w:fill="auto"/>
            <w:vAlign w:val="center"/>
            <w:hideMark/>
          </w:tcPr>
          <w:p w14:paraId="4F19AE4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73EC85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2E99359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60F7D664" w14:textId="77777777" w:rsidTr="008F07B7">
        <w:trPr>
          <w:trHeight w:val="256"/>
        </w:trPr>
        <w:tc>
          <w:tcPr>
            <w:tcW w:w="1276" w:type="dxa"/>
            <w:tcBorders>
              <w:top w:val="nil"/>
              <w:left w:val="nil"/>
              <w:bottom w:val="nil"/>
              <w:right w:val="nil"/>
            </w:tcBorders>
            <w:shd w:val="clear" w:color="auto" w:fill="auto"/>
            <w:vAlign w:val="center"/>
            <w:hideMark/>
          </w:tcPr>
          <w:p w14:paraId="1140911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750A814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2F0F93C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Norway</w:t>
            </w:r>
          </w:p>
        </w:tc>
        <w:tc>
          <w:tcPr>
            <w:tcW w:w="1001" w:type="dxa"/>
            <w:tcBorders>
              <w:top w:val="nil"/>
              <w:left w:val="nil"/>
              <w:bottom w:val="nil"/>
              <w:right w:val="nil"/>
            </w:tcBorders>
            <w:shd w:val="clear" w:color="auto" w:fill="auto"/>
            <w:vAlign w:val="center"/>
            <w:hideMark/>
          </w:tcPr>
          <w:p w14:paraId="03A44E3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5159A4E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7717A3E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4B93B5A4" w14:textId="77777777" w:rsidTr="008F07B7">
        <w:trPr>
          <w:trHeight w:val="256"/>
        </w:trPr>
        <w:tc>
          <w:tcPr>
            <w:tcW w:w="1276" w:type="dxa"/>
            <w:tcBorders>
              <w:top w:val="nil"/>
              <w:left w:val="nil"/>
              <w:bottom w:val="nil"/>
              <w:right w:val="nil"/>
            </w:tcBorders>
            <w:shd w:val="clear" w:color="auto" w:fill="auto"/>
            <w:vAlign w:val="center"/>
            <w:hideMark/>
          </w:tcPr>
          <w:p w14:paraId="1EE8B5B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6090CD5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2E22F0A7"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Oman</w:t>
            </w:r>
          </w:p>
        </w:tc>
        <w:tc>
          <w:tcPr>
            <w:tcW w:w="1001" w:type="dxa"/>
            <w:tcBorders>
              <w:top w:val="nil"/>
              <w:left w:val="nil"/>
              <w:bottom w:val="nil"/>
              <w:right w:val="nil"/>
            </w:tcBorders>
            <w:shd w:val="clear" w:color="auto" w:fill="auto"/>
            <w:vAlign w:val="center"/>
            <w:hideMark/>
          </w:tcPr>
          <w:p w14:paraId="0D77134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C2B781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1AABCAE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56AD7AF4" w14:textId="77777777" w:rsidTr="008F07B7">
        <w:trPr>
          <w:trHeight w:val="256"/>
        </w:trPr>
        <w:tc>
          <w:tcPr>
            <w:tcW w:w="1276" w:type="dxa"/>
            <w:tcBorders>
              <w:top w:val="nil"/>
              <w:left w:val="nil"/>
              <w:bottom w:val="nil"/>
              <w:right w:val="nil"/>
            </w:tcBorders>
            <w:shd w:val="clear" w:color="auto" w:fill="auto"/>
            <w:vAlign w:val="center"/>
            <w:hideMark/>
          </w:tcPr>
          <w:p w14:paraId="7CAC377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5D960E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F670ABB"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Panama</w:t>
            </w:r>
          </w:p>
        </w:tc>
        <w:tc>
          <w:tcPr>
            <w:tcW w:w="1001" w:type="dxa"/>
            <w:tcBorders>
              <w:top w:val="nil"/>
              <w:left w:val="nil"/>
              <w:bottom w:val="nil"/>
              <w:right w:val="nil"/>
            </w:tcBorders>
            <w:shd w:val="clear" w:color="auto" w:fill="auto"/>
            <w:vAlign w:val="center"/>
            <w:hideMark/>
          </w:tcPr>
          <w:p w14:paraId="1F13842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AC2567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C7BDBD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2119E773" w14:textId="77777777" w:rsidTr="008F07B7">
        <w:trPr>
          <w:trHeight w:val="256"/>
        </w:trPr>
        <w:tc>
          <w:tcPr>
            <w:tcW w:w="1276" w:type="dxa"/>
            <w:tcBorders>
              <w:top w:val="nil"/>
              <w:left w:val="nil"/>
              <w:bottom w:val="nil"/>
              <w:right w:val="nil"/>
            </w:tcBorders>
            <w:shd w:val="clear" w:color="auto" w:fill="auto"/>
            <w:vAlign w:val="center"/>
            <w:hideMark/>
          </w:tcPr>
          <w:p w14:paraId="5852D72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D14DE5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4A19987"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Paraguay</w:t>
            </w:r>
          </w:p>
        </w:tc>
        <w:tc>
          <w:tcPr>
            <w:tcW w:w="1001" w:type="dxa"/>
            <w:tcBorders>
              <w:top w:val="nil"/>
              <w:left w:val="nil"/>
              <w:bottom w:val="nil"/>
              <w:right w:val="nil"/>
            </w:tcBorders>
            <w:shd w:val="clear" w:color="auto" w:fill="auto"/>
            <w:vAlign w:val="center"/>
            <w:hideMark/>
          </w:tcPr>
          <w:p w14:paraId="668B8A4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2440B5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57743B7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4BB8C5F1" w14:textId="77777777" w:rsidTr="008F07B7">
        <w:trPr>
          <w:trHeight w:val="256"/>
        </w:trPr>
        <w:tc>
          <w:tcPr>
            <w:tcW w:w="1276" w:type="dxa"/>
            <w:tcBorders>
              <w:top w:val="nil"/>
              <w:left w:val="nil"/>
              <w:bottom w:val="nil"/>
              <w:right w:val="nil"/>
            </w:tcBorders>
            <w:shd w:val="clear" w:color="auto" w:fill="auto"/>
            <w:vAlign w:val="center"/>
            <w:hideMark/>
          </w:tcPr>
          <w:p w14:paraId="79D0E87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E73E8B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FB37E23"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Peru</w:t>
            </w:r>
          </w:p>
        </w:tc>
        <w:tc>
          <w:tcPr>
            <w:tcW w:w="1001" w:type="dxa"/>
            <w:tcBorders>
              <w:top w:val="nil"/>
              <w:left w:val="nil"/>
              <w:bottom w:val="nil"/>
              <w:right w:val="nil"/>
            </w:tcBorders>
            <w:shd w:val="clear" w:color="auto" w:fill="auto"/>
            <w:vAlign w:val="center"/>
            <w:hideMark/>
          </w:tcPr>
          <w:p w14:paraId="43FACD6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7A67CE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911676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752ABEAB" w14:textId="77777777" w:rsidTr="008F07B7">
        <w:trPr>
          <w:trHeight w:val="256"/>
        </w:trPr>
        <w:tc>
          <w:tcPr>
            <w:tcW w:w="1276" w:type="dxa"/>
            <w:tcBorders>
              <w:top w:val="nil"/>
              <w:left w:val="nil"/>
              <w:bottom w:val="nil"/>
              <w:right w:val="nil"/>
            </w:tcBorders>
            <w:shd w:val="clear" w:color="auto" w:fill="auto"/>
            <w:vAlign w:val="center"/>
            <w:hideMark/>
          </w:tcPr>
          <w:p w14:paraId="0A8E7B2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17166CE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525C40BE"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Poland</w:t>
            </w:r>
          </w:p>
        </w:tc>
        <w:tc>
          <w:tcPr>
            <w:tcW w:w="1001" w:type="dxa"/>
            <w:tcBorders>
              <w:top w:val="nil"/>
              <w:left w:val="nil"/>
              <w:bottom w:val="nil"/>
              <w:right w:val="nil"/>
            </w:tcBorders>
            <w:shd w:val="clear" w:color="auto" w:fill="auto"/>
            <w:vAlign w:val="center"/>
            <w:hideMark/>
          </w:tcPr>
          <w:p w14:paraId="382C91A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20DCFC0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58BD672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782CFDB8" w14:textId="77777777" w:rsidTr="008F07B7">
        <w:trPr>
          <w:trHeight w:val="256"/>
        </w:trPr>
        <w:tc>
          <w:tcPr>
            <w:tcW w:w="1276" w:type="dxa"/>
            <w:tcBorders>
              <w:top w:val="nil"/>
              <w:left w:val="nil"/>
              <w:bottom w:val="nil"/>
              <w:right w:val="nil"/>
            </w:tcBorders>
            <w:shd w:val="clear" w:color="auto" w:fill="auto"/>
            <w:vAlign w:val="center"/>
            <w:hideMark/>
          </w:tcPr>
          <w:p w14:paraId="03E1AA3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34C092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708CD3B"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Portugal</w:t>
            </w:r>
          </w:p>
        </w:tc>
        <w:tc>
          <w:tcPr>
            <w:tcW w:w="1001" w:type="dxa"/>
            <w:tcBorders>
              <w:top w:val="nil"/>
              <w:left w:val="nil"/>
              <w:bottom w:val="nil"/>
              <w:right w:val="nil"/>
            </w:tcBorders>
            <w:shd w:val="clear" w:color="auto" w:fill="auto"/>
            <w:vAlign w:val="center"/>
            <w:hideMark/>
          </w:tcPr>
          <w:p w14:paraId="47B607A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D50A3D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9AACAA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C9A5FE7" w14:textId="77777777" w:rsidTr="008F07B7">
        <w:trPr>
          <w:trHeight w:val="256"/>
        </w:trPr>
        <w:tc>
          <w:tcPr>
            <w:tcW w:w="1276" w:type="dxa"/>
            <w:tcBorders>
              <w:top w:val="nil"/>
              <w:left w:val="nil"/>
              <w:bottom w:val="nil"/>
              <w:right w:val="nil"/>
            </w:tcBorders>
            <w:shd w:val="clear" w:color="auto" w:fill="auto"/>
            <w:vAlign w:val="center"/>
            <w:hideMark/>
          </w:tcPr>
          <w:p w14:paraId="710E7D9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53F6075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20837E1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Republic of Korea</w:t>
            </w:r>
          </w:p>
        </w:tc>
        <w:tc>
          <w:tcPr>
            <w:tcW w:w="1001" w:type="dxa"/>
            <w:tcBorders>
              <w:top w:val="nil"/>
              <w:left w:val="nil"/>
              <w:bottom w:val="nil"/>
              <w:right w:val="nil"/>
            </w:tcBorders>
            <w:shd w:val="clear" w:color="auto" w:fill="auto"/>
            <w:vAlign w:val="center"/>
            <w:hideMark/>
          </w:tcPr>
          <w:p w14:paraId="6F887BF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62087D2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477" w:type="dxa"/>
            <w:tcBorders>
              <w:top w:val="nil"/>
              <w:left w:val="nil"/>
              <w:bottom w:val="nil"/>
              <w:right w:val="nil"/>
            </w:tcBorders>
            <w:shd w:val="clear" w:color="auto" w:fill="auto"/>
            <w:vAlign w:val="center"/>
            <w:hideMark/>
          </w:tcPr>
          <w:p w14:paraId="7AB5696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r>
      <w:tr w:rsidR="0090485B" w:rsidRPr="00C05E9C" w14:paraId="570603D4" w14:textId="77777777" w:rsidTr="008F07B7">
        <w:trPr>
          <w:trHeight w:val="256"/>
        </w:trPr>
        <w:tc>
          <w:tcPr>
            <w:tcW w:w="1276" w:type="dxa"/>
            <w:tcBorders>
              <w:top w:val="nil"/>
              <w:left w:val="nil"/>
              <w:bottom w:val="nil"/>
              <w:right w:val="nil"/>
            </w:tcBorders>
            <w:shd w:val="clear" w:color="auto" w:fill="auto"/>
            <w:vAlign w:val="center"/>
            <w:hideMark/>
          </w:tcPr>
          <w:p w14:paraId="695DEA9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2FCD21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481450D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Republic of Moldova</w:t>
            </w:r>
          </w:p>
        </w:tc>
        <w:tc>
          <w:tcPr>
            <w:tcW w:w="1001" w:type="dxa"/>
            <w:tcBorders>
              <w:top w:val="nil"/>
              <w:left w:val="nil"/>
              <w:bottom w:val="nil"/>
              <w:right w:val="nil"/>
            </w:tcBorders>
            <w:shd w:val="clear" w:color="auto" w:fill="auto"/>
            <w:vAlign w:val="center"/>
            <w:hideMark/>
          </w:tcPr>
          <w:p w14:paraId="4E6D059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77C5D6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9171E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9877ACA" w14:textId="77777777" w:rsidTr="008F07B7">
        <w:trPr>
          <w:trHeight w:val="256"/>
        </w:trPr>
        <w:tc>
          <w:tcPr>
            <w:tcW w:w="1276" w:type="dxa"/>
            <w:tcBorders>
              <w:top w:val="nil"/>
              <w:left w:val="nil"/>
              <w:bottom w:val="nil"/>
              <w:right w:val="nil"/>
            </w:tcBorders>
            <w:shd w:val="clear" w:color="auto" w:fill="auto"/>
            <w:vAlign w:val="center"/>
            <w:hideMark/>
          </w:tcPr>
          <w:p w14:paraId="1CCDB5E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AC9441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6466EB7"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Romania</w:t>
            </w:r>
          </w:p>
        </w:tc>
        <w:tc>
          <w:tcPr>
            <w:tcW w:w="1001" w:type="dxa"/>
            <w:tcBorders>
              <w:top w:val="nil"/>
              <w:left w:val="nil"/>
              <w:bottom w:val="nil"/>
              <w:right w:val="nil"/>
            </w:tcBorders>
            <w:shd w:val="clear" w:color="auto" w:fill="auto"/>
            <w:vAlign w:val="center"/>
            <w:hideMark/>
          </w:tcPr>
          <w:p w14:paraId="4712311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FF1BAD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79A67A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A8C71A4" w14:textId="77777777" w:rsidTr="008F07B7">
        <w:trPr>
          <w:trHeight w:val="256"/>
        </w:trPr>
        <w:tc>
          <w:tcPr>
            <w:tcW w:w="1276" w:type="dxa"/>
            <w:tcBorders>
              <w:top w:val="nil"/>
              <w:left w:val="nil"/>
              <w:bottom w:val="nil"/>
              <w:right w:val="nil"/>
            </w:tcBorders>
            <w:shd w:val="clear" w:color="auto" w:fill="auto"/>
            <w:vAlign w:val="center"/>
            <w:hideMark/>
          </w:tcPr>
          <w:p w14:paraId="7D7E5A4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735AD0F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7E0EF515"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 xml:space="preserve">Russian Federation </w:t>
            </w:r>
          </w:p>
        </w:tc>
        <w:tc>
          <w:tcPr>
            <w:tcW w:w="1001" w:type="dxa"/>
            <w:tcBorders>
              <w:top w:val="nil"/>
              <w:left w:val="nil"/>
              <w:bottom w:val="nil"/>
              <w:right w:val="nil"/>
            </w:tcBorders>
            <w:shd w:val="clear" w:color="auto" w:fill="auto"/>
            <w:vAlign w:val="center"/>
            <w:hideMark/>
          </w:tcPr>
          <w:p w14:paraId="1EDD1BB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237E1E4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477" w:type="dxa"/>
            <w:tcBorders>
              <w:top w:val="nil"/>
              <w:left w:val="nil"/>
              <w:bottom w:val="nil"/>
              <w:right w:val="nil"/>
            </w:tcBorders>
            <w:shd w:val="clear" w:color="auto" w:fill="auto"/>
            <w:vAlign w:val="center"/>
            <w:hideMark/>
          </w:tcPr>
          <w:p w14:paraId="385BF32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r>
      <w:tr w:rsidR="005A16B0" w:rsidRPr="00C05E9C" w14:paraId="766B0EAC" w14:textId="77777777" w:rsidTr="008F07B7">
        <w:trPr>
          <w:trHeight w:val="256"/>
        </w:trPr>
        <w:tc>
          <w:tcPr>
            <w:tcW w:w="1276" w:type="dxa"/>
            <w:tcBorders>
              <w:top w:val="nil"/>
              <w:left w:val="nil"/>
              <w:bottom w:val="nil"/>
              <w:right w:val="nil"/>
            </w:tcBorders>
            <w:shd w:val="clear" w:color="auto" w:fill="auto"/>
            <w:vAlign w:val="center"/>
          </w:tcPr>
          <w:p w14:paraId="54019227" w14:textId="1E493685" w:rsidR="005A16B0" w:rsidRPr="00C05E9C" w:rsidRDefault="005A16B0" w:rsidP="005A16B0">
            <w:pPr>
              <w:jc w:val="right"/>
              <w:rPr>
                <w:rFonts w:ascii="Arial Narrow" w:hAnsi="Arial Narrow" w:cs="Arial"/>
                <w:color w:val="000000"/>
                <w:sz w:val="18"/>
                <w:szCs w:val="18"/>
              </w:rPr>
            </w:pPr>
            <w:r>
              <w:rPr>
                <w:rFonts w:ascii="Arial Narrow" w:hAnsi="Arial Narrow" w:cs="Arial"/>
                <w:color w:val="000000"/>
                <w:sz w:val="18"/>
                <w:szCs w:val="18"/>
              </w:rPr>
              <w:t>0</w:t>
            </w:r>
          </w:p>
        </w:tc>
        <w:tc>
          <w:tcPr>
            <w:tcW w:w="1276" w:type="dxa"/>
            <w:tcBorders>
              <w:top w:val="nil"/>
              <w:left w:val="nil"/>
              <w:bottom w:val="nil"/>
              <w:right w:val="nil"/>
            </w:tcBorders>
            <w:shd w:val="clear" w:color="auto" w:fill="auto"/>
            <w:vAlign w:val="center"/>
          </w:tcPr>
          <w:p w14:paraId="5B50CB5E" w14:textId="79BD3E37" w:rsidR="005A16B0" w:rsidRPr="00C05E9C" w:rsidRDefault="005A16B0" w:rsidP="005A16B0">
            <w:pPr>
              <w:jc w:val="right"/>
              <w:rPr>
                <w:rFonts w:ascii="Arial Narrow" w:hAnsi="Arial Narrow" w:cs="Arial"/>
                <w:color w:val="000000"/>
                <w:sz w:val="18"/>
                <w:szCs w:val="18"/>
              </w:rPr>
            </w:pPr>
            <w:r>
              <w:rPr>
                <w:rFonts w:ascii="Arial Narrow" w:hAnsi="Arial Narrow" w:cs="Arial"/>
                <w:color w:val="000000"/>
                <w:sz w:val="18"/>
                <w:szCs w:val="18"/>
              </w:rPr>
              <w:t>0</w:t>
            </w:r>
          </w:p>
        </w:tc>
        <w:tc>
          <w:tcPr>
            <w:tcW w:w="3474" w:type="dxa"/>
            <w:tcBorders>
              <w:top w:val="nil"/>
              <w:left w:val="nil"/>
              <w:bottom w:val="nil"/>
              <w:right w:val="nil"/>
            </w:tcBorders>
            <w:shd w:val="clear" w:color="auto" w:fill="auto"/>
            <w:vAlign w:val="center"/>
          </w:tcPr>
          <w:p w14:paraId="4596AFE3" w14:textId="2732D2A2" w:rsidR="005A16B0" w:rsidRPr="00C05E9C" w:rsidRDefault="005A16B0" w:rsidP="005A16B0">
            <w:pPr>
              <w:jc w:val="left"/>
              <w:rPr>
                <w:rFonts w:ascii="Arial Narrow" w:hAnsi="Arial Narrow" w:cs="Arial"/>
                <w:color w:val="000000"/>
                <w:sz w:val="18"/>
                <w:szCs w:val="18"/>
              </w:rPr>
            </w:pPr>
            <w:r>
              <w:rPr>
                <w:rFonts w:ascii="Arial Narrow" w:hAnsi="Arial Narrow" w:cs="Arial"/>
                <w:color w:val="000000"/>
                <w:sz w:val="18"/>
                <w:szCs w:val="18"/>
              </w:rPr>
              <w:t>Saint Vincent and the Grenadines</w:t>
            </w:r>
          </w:p>
        </w:tc>
        <w:tc>
          <w:tcPr>
            <w:tcW w:w="1001" w:type="dxa"/>
            <w:tcBorders>
              <w:top w:val="nil"/>
              <w:left w:val="nil"/>
              <w:bottom w:val="nil"/>
              <w:right w:val="nil"/>
            </w:tcBorders>
            <w:shd w:val="clear" w:color="auto" w:fill="auto"/>
            <w:vAlign w:val="center"/>
          </w:tcPr>
          <w:p w14:paraId="40E67008" w14:textId="63C75E40" w:rsidR="005A16B0" w:rsidRPr="00C05E9C" w:rsidRDefault="005A16B0" w:rsidP="005A16B0">
            <w:pPr>
              <w:jc w:val="right"/>
              <w:rPr>
                <w:rFonts w:ascii="Arial Narrow" w:hAnsi="Arial Narrow" w:cs="Arial"/>
                <w:color w:val="000000"/>
                <w:sz w:val="18"/>
                <w:szCs w:val="18"/>
              </w:rPr>
            </w:pPr>
            <w:r>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tcPr>
          <w:p w14:paraId="6364B134" w14:textId="7277AF70" w:rsidR="005A16B0" w:rsidRPr="00C05E9C" w:rsidRDefault="005A16B0" w:rsidP="005A16B0">
            <w:pPr>
              <w:jc w:val="right"/>
              <w:rPr>
                <w:rFonts w:ascii="Arial Narrow" w:hAnsi="Arial Narrow" w:cs="Arial"/>
                <w:color w:val="000000"/>
                <w:sz w:val="18"/>
                <w:szCs w:val="18"/>
              </w:rPr>
            </w:pPr>
            <w:r>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tcPr>
          <w:p w14:paraId="28EF10FA" w14:textId="749254FE" w:rsidR="005A16B0" w:rsidRPr="00C05E9C" w:rsidRDefault="005A16B0" w:rsidP="005A16B0">
            <w:pPr>
              <w:jc w:val="right"/>
              <w:rPr>
                <w:rFonts w:ascii="Arial Narrow" w:hAnsi="Arial Narrow" w:cs="Arial"/>
                <w:color w:val="000000"/>
                <w:sz w:val="18"/>
                <w:szCs w:val="18"/>
              </w:rPr>
            </w:pPr>
            <w:r>
              <w:rPr>
                <w:rFonts w:ascii="Arial Narrow" w:hAnsi="Arial Narrow" w:cs="Arial"/>
                <w:color w:val="000000"/>
                <w:sz w:val="18"/>
                <w:szCs w:val="18"/>
              </w:rPr>
              <w:t>10,728</w:t>
            </w:r>
          </w:p>
        </w:tc>
      </w:tr>
      <w:tr w:rsidR="0090485B" w:rsidRPr="00C05E9C" w14:paraId="43715F3F" w14:textId="77777777" w:rsidTr="008F07B7">
        <w:trPr>
          <w:trHeight w:val="256"/>
        </w:trPr>
        <w:tc>
          <w:tcPr>
            <w:tcW w:w="1276" w:type="dxa"/>
            <w:tcBorders>
              <w:top w:val="nil"/>
              <w:left w:val="nil"/>
              <w:bottom w:val="nil"/>
              <w:right w:val="nil"/>
            </w:tcBorders>
            <w:shd w:val="clear" w:color="auto" w:fill="auto"/>
            <w:vAlign w:val="center"/>
            <w:hideMark/>
          </w:tcPr>
          <w:p w14:paraId="38F0832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DE57D6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8090F17"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Serbia</w:t>
            </w:r>
          </w:p>
        </w:tc>
        <w:tc>
          <w:tcPr>
            <w:tcW w:w="1001" w:type="dxa"/>
            <w:tcBorders>
              <w:top w:val="nil"/>
              <w:left w:val="nil"/>
              <w:bottom w:val="nil"/>
              <w:right w:val="nil"/>
            </w:tcBorders>
            <w:shd w:val="clear" w:color="auto" w:fill="auto"/>
            <w:vAlign w:val="center"/>
            <w:hideMark/>
          </w:tcPr>
          <w:p w14:paraId="3E94DF9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0517AF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00E745E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33A6089B" w14:textId="77777777" w:rsidTr="008F07B7">
        <w:trPr>
          <w:trHeight w:val="256"/>
        </w:trPr>
        <w:tc>
          <w:tcPr>
            <w:tcW w:w="1276" w:type="dxa"/>
            <w:tcBorders>
              <w:top w:val="nil"/>
              <w:left w:val="nil"/>
              <w:bottom w:val="nil"/>
              <w:right w:val="nil"/>
            </w:tcBorders>
            <w:shd w:val="clear" w:color="auto" w:fill="auto"/>
            <w:vAlign w:val="center"/>
            <w:hideMark/>
          </w:tcPr>
          <w:p w14:paraId="6F5FD3C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A4D0B3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8B4B346"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Singapore</w:t>
            </w:r>
          </w:p>
        </w:tc>
        <w:tc>
          <w:tcPr>
            <w:tcW w:w="1001" w:type="dxa"/>
            <w:tcBorders>
              <w:top w:val="nil"/>
              <w:left w:val="nil"/>
              <w:bottom w:val="nil"/>
              <w:right w:val="nil"/>
            </w:tcBorders>
            <w:shd w:val="clear" w:color="auto" w:fill="auto"/>
            <w:vAlign w:val="center"/>
            <w:hideMark/>
          </w:tcPr>
          <w:p w14:paraId="174E39E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F112D7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4109E51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56F993E6" w14:textId="77777777" w:rsidTr="008F07B7">
        <w:trPr>
          <w:trHeight w:val="256"/>
        </w:trPr>
        <w:tc>
          <w:tcPr>
            <w:tcW w:w="1276" w:type="dxa"/>
            <w:tcBorders>
              <w:top w:val="nil"/>
              <w:left w:val="nil"/>
              <w:bottom w:val="nil"/>
              <w:right w:val="nil"/>
            </w:tcBorders>
            <w:shd w:val="clear" w:color="auto" w:fill="auto"/>
            <w:vAlign w:val="center"/>
            <w:hideMark/>
          </w:tcPr>
          <w:p w14:paraId="03A5021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6C4D254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669B421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Slovakia</w:t>
            </w:r>
          </w:p>
        </w:tc>
        <w:tc>
          <w:tcPr>
            <w:tcW w:w="1001" w:type="dxa"/>
            <w:tcBorders>
              <w:top w:val="nil"/>
              <w:left w:val="nil"/>
              <w:bottom w:val="nil"/>
              <w:right w:val="nil"/>
            </w:tcBorders>
            <w:shd w:val="clear" w:color="auto" w:fill="auto"/>
            <w:vAlign w:val="center"/>
            <w:hideMark/>
          </w:tcPr>
          <w:p w14:paraId="6D42985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2EDBE9E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45A7F1F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407C97F9" w14:textId="77777777" w:rsidTr="008F07B7">
        <w:trPr>
          <w:trHeight w:val="256"/>
        </w:trPr>
        <w:tc>
          <w:tcPr>
            <w:tcW w:w="1276" w:type="dxa"/>
            <w:tcBorders>
              <w:top w:val="nil"/>
              <w:left w:val="nil"/>
              <w:bottom w:val="nil"/>
              <w:right w:val="nil"/>
            </w:tcBorders>
            <w:shd w:val="clear" w:color="auto" w:fill="auto"/>
            <w:vAlign w:val="center"/>
            <w:hideMark/>
          </w:tcPr>
          <w:p w14:paraId="3FABC73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C06F2C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19BCB86"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Slovenia</w:t>
            </w:r>
          </w:p>
        </w:tc>
        <w:tc>
          <w:tcPr>
            <w:tcW w:w="1001" w:type="dxa"/>
            <w:tcBorders>
              <w:top w:val="nil"/>
              <w:left w:val="nil"/>
              <w:bottom w:val="nil"/>
              <w:right w:val="nil"/>
            </w:tcBorders>
            <w:shd w:val="clear" w:color="auto" w:fill="auto"/>
            <w:vAlign w:val="center"/>
            <w:hideMark/>
          </w:tcPr>
          <w:p w14:paraId="00DBC5B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A3D0F5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638355B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135C2B1A" w14:textId="77777777" w:rsidTr="008F07B7">
        <w:trPr>
          <w:trHeight w:val="256"/>
        </w:trPr>
        <w:tc>
          <w:tcPr>
            <w:tcW w:w="1276" w:type="dxa"/>
            <w:tcBorders>
              <w:top w:val="nil"/>
              <w:left w:val="nil"/>
              <w:bottom w:val="nil"/>
              <w:right w:val="nil"/>
            </w:tcBorders>
            <w:shd w:val="clear" w:color="auto" w:fill="auto"/>
            <w:vAlign w:val="center"/>
            <w:hideMark/>
          </w:tcPr>
          <w:p w14:paraId="06DF141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37114CC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2DBC4E0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South Africa</w:t>
            </w:r>
          </w:p>
        </w:tc>
        <w:tc>
          <w:tcPr>
            <w:tcW w:w="1001" w:type="dxa"/>
            <w:tcBorders>
              <w:top w:val="nil"/>
              <w:left w:val="nil"/>
              <w:bottom w:val="nil"/>
              <w:right w:val="nil"/>
            </w:tcBorders>
            <w:shd w:val="clear" w:color="auto" w:fill="auto"/>
            <w:vAlign w:val="center"/>
            <w:hideMark/>
          </w:tcPr>
          <w:p w14:paraId="2C096E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00CEF17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c>
          <w:tcPr>
            <w:tcW w:w="1477" w:type="dxa"/>
            <w:tcBorders>
              <w:top w:val="nil"/>
              <w:left w:val="nil"/>
              <w:bottom w:val="nil"/>
              <w:right w:val="nil"/>
            </w:tcBorders>
            <w:shd w:val="clear" w:color="auto" w:fill="auto"/>
            <w:vAlign w:val="center"/>
            <w:hideMark/>
          </w:tcPr>
          <w:p w14:paraId="1E1128E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53,641</w:t>
            </w:r>
          </w:p>
        </w:tc>
      </w:tr>
      <w:tr w:rsidR="0090485B" w:rsidRPr="00C05E9C" w14:paraId="1F945E25" w14:textId="77777777" w:rsidTr="008F07B7">
        <w:trPr>
          <w:trHeight w:val="256"/>
        </w:trPr>
        <w:tc>
          <w:tcPr>
            <w:tcW w:w="1276" w:type="dxa"/>
            <w:tcBorders>
              <w:top w:val="nil"/>
              <w:left w:val="nil"/>
              <w:bottom w:val="nil"/>
              <w:right w:val="nil"/>
            </w:tcBorders>
            <w:shd w:val="clear" w:color="auto" w:fill="auto"/>
            <w:vAlign w:val="center"/>
            <w:hideMark/>
          </w:tcPr>
          <w:p w14:paraId="51EE2DF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39674B8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4AC9E29F"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Spain</w:t>
            </w:r>
          </w:p>
        </w:tc>
        <w:tc>
          <w:tcPr>
            <w:tcW w:w="1001" w:type="dxa"/>
            <w:tcBorders>
              <w:top w:val="nil"/>
              <w:left w:val="nil"/>
              <w:bottom w:val="nil"/>
              <w:right w:val="nil"/>
            </w:tcBorders>
            <w:shd w:val="clear" w:color="auto" w:fill="auto"/>
            <w:vAlign w:val="center"/>
            <w:hideMark/>
          </w:tcPr>
          <w:p w14:paraId="3E07C06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4A6D3D0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477" w:type="dxa"/>
            <w:tcBorders>
              <w:top w:val="nil"/>
              <w:left w:val="nil"/>
              <w:bottom w:val="nil"/>
              <w:right w:val="nil"/>
            </w:tcBorders>
            <w:shd w:val="clear" w:color="auto" w:fill="auto"/>
            <w:vAlign w:val="center"/>
            <w:hideMark/>
          </w:tcPr>
          <w:p w14:paraId="5BCB414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r>
      <w:tr w:rsidR="0090485B" w:rsidRPr="00C05E9C" w14:paraId="1679F66A" w14:textId="77777777" w:rsidTr="008F07B7">
        <w:trPr>
          <w:trHeight w:val="256"/>
        </w:trPr>
        <w:tc>
          <w:tcPr>
            <w:tcW w:w="1276" w:type="dxa"/>
            <w:tcBorders>
              <w:top w:val="nil"/>
              <w:left w:val="nil"/>
              <w:bottom w:val="nil"/>
              <w:right w:val="nil"/>
            </w:tcBorders>
            <w:shd w:val="clear" w:color="auto" w:fill="auto"/>
            <w:vAlign w:val="center"/>
            <w:hideMark/>
          </w:tcPr>
          <w:p w14:paraId="19EC760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1F77BF8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4FFC9775"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Sweden</w:t>
            </w:r>
          </w:p>
        </w:tc>
        <w:tc>
          <w:tcPr>
            <w:tcW w:w="1001" w:type="dxa"/>
            <w:tcBorders>
              <w:top w:val="nil"/>
              <w:left w:val="nil"/>
              <w:bottom w:val="nil"/>
              <w:right w:val="nil"/>
            </w:tcBorders>
            <w:shd w:val="clear" w:color="auto" w:fill="auto"/>
            <w:vAlign w:val="center"/>
            <w:hideMark/>
          </w:tcPr>
          <w:p w14:paraId="284B3A6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690D0FA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477" w:type="dxa"/>
            <w:tcBorders>
              <w:top w:val="nil"/>
              <w:left w:val="nil"/>
              <w:bottom w:val="nil"/>
              <w:right w:val="nil"/>
            </w:tcBorders>
            <w:shd w:val="clear" w:color="auto" w:fill="auto"/>
            <w:vAlign w:val="center"/>
            <w:hideMark/>
          </w:tcPr>
          <w:p w14:paraId="351F8D3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r>
      <w:tr w:rsidR="0090485B" w:rsidRPr="00C05E9C" w14:paraId="1F0676FD" w14:textId="77777777" w:rsidTr="008F07B7">
        <w:trPr>
          <w:trHeight w:val="256"/>
        </w:trPr>
        <w:tc>
          <w:tcPr>
            <w:tcW w:w="1276" w:type="dxa"/>
            <w:tcBorders>
              <w:top w:val="nil"/>
              <w:left w:val="nil"/>
              <w:bottom w:val="nil"/>
              <w:right w:val="nil"/>
            </w:tcBorders>
            <w:shd w:val="clear" w:color="auto" w:fill="auto"/>
            <w:vAlign w:val="center"/>
            <w:hideMark/>
          </w:tcPr>
          <w:p w14:paraId="5FEEFC2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6E4C2E1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7B923FD0"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Switzerland</w:t>
            </w:r>
          </w:p>
        </w:tc>
        <w:tc>
          <w:tcPr>
            <w:tcW w:w="1001" w:type="dxa"/>
            <w:tcBorders>
              <w:top w:val="nil"/>
              <w:left w:val="nil"/>
              <w:bottom w:val="nil"/>
              <w:right w:val="nil"/>
            </w:tcBorders>
            <w:shd w:val="clear" w:color="auto" w:fill="auto"/>
            <w:vAlign w:val="center"/>
            <w:hideMark/>
          </w:tcPr>
          <w:p w14:paraId="34A705C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06955679"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c>
          <w:tcPr>
            <w:tcW w:w="1477" w:type="dxa"/>
            <w:tcBorders>
              <w:top w:val="nil"/>
              <w:left w:val="nil"/>
              <w:bottom w:val="nil"/>
              <w:right w:val="nil"/>
            </w:tcBorders>
            <w:shd w:val="clear" w:color="auto" w:fill="auto"/>
            <w:vAlign w:val="center"/>
            <w:hideMark/>
          </w:tcPr>
          <w:p w14:paraId="2A2315C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80,462</w:t>
            </w:r>
          </w:p>
        </w:tc>
      </w:tr>
      <w:tr w:rsidR="0090485B" w:rsidRPr="00C05E9C" w14:paraId="1A9CE2DC" w14:textId="77777777" w:rsidTr="008F07B7">
        <w:trPr>
          <w:trHeight w:val="256"/>
        </w:trPr>
        <w:tc>
          <w:tcPr>
            <w:tcW w:w="1276" w:type="dxa"/>
            <w:tcBorders>
              <w:top w:val="nil"/>
              <w:left w:val="nil"/>
              <w:bottom w:val="nil"/>
              <w:right w:val="nil"/>
            </w:tcBorders>
            <w:shd w:val="clear" w:color="auto" w:fill="auto"/>
            <w:vAlign w:val="center"/>
            <w:hideMark/>
          </w:tcPr>
          <w:p w14:paraId="560F94A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EC60B0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EA2E9C1"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Trinidad and Tobago</w:t>
            </w:r>
          </w:p>
        </w:tc>
        <w:tc>
          <w:tcPr>
            <w:tcW w:w="1001" w:type="dxa"/>
            <w:tcBorders>
              <w:top w:val="nil"/>
              <w:left w:val="nil"/>
              <w:bottom w:val="nil"/>
              <w:right w:val="nil"/>
            </w:tcBorders>
            <w:shd w:val="clear" w:color="auto" w:fill="auto"/>
            <w:vAlign w:val="center"/>
            <w:hideMark/>
          </w:tcPr>
          <w:p w14:paraId="4AEE90D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D3862F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3738D70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74323E3C" w14:textId="77777777" w:rsidTr="008F07B7">
        <w:trPr>
          <w:trHeight w:val="256"/>
        </w:trPr>
        <w:tc>
          <w:tcPr>
            <w:tcW w:w="1276" w:type="dxa"/>
            <w:tcBorders>
              <w:top w:val="nil"/>
              <w:left w:val="nil"/>
              <w:bottom w:val="nil"/>
              <w:right w:val="nil"/>
            </w:tcBorders>
            <w:shd w:val="clear" w:color="auto" w:fill="auto"/>
            <w:vAlign w:val="center"/>
            <w:hideMark/>
          </w:tcPr>
          <w:p w14:paraId="0FB7CCD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9393EE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442FCB23"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Tunisia</w:t>
            </w:r>
          </w:p>
        </w:tc>
        <w:tc>
          <w:tcPr>
            <w:tcW w:w="1001" w:type="dxa"/>
            <w:tcBorders>
              <w:top w:val="nil"/>
              <w:left w:val="nil"/>
              <w:bottom w:val="nil"/>
              <w:right w:val="nil"/>
            </w:tcBorders>
            <w:shd w:val="clear" w:color="auto" w:fill="auto"/>
            <w:vAlign w:val="center"/>
            <w:hideMark/>
          </w:tcPr>
          <w:p w14:paraId="7890CAA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5BBCA8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0547C5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5207A9B9" w14:textId="77777777" w:rsidTr="008F07B7">
        <w:trPr>
          <w:trHeight w:val="256"/>
        </w:trPr>
        <w:tc>
          <w:tcPr>
            <w:tcW w:w="1276" w:type="dxa"/>
            <w:tcBorders>
              <w:top w:val="nil"/>
              <w:left w:val="nil"/>
              <w:bottom w:val="nil"/>
              <w:right w:val="nil"/>
            </w:tcBorders>
            <w:shd w:val="clear" w:color="auto" w:fill="auto"/>
            <w:vAlign w:val="center"/>
            <w:hideMark/>
          </w:tcPr>
          <w:p w14:paraId="468A8C1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4C2D37C7"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7DC1BCEF"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Turkey</w:t>
            </w:r>
          </w:p>
        </w:tc>
        <w:tc>
          <w:tcPr>
            <w:tcW w:w="1001" w:type="dxa"/>
            <w:tcBorders>
              <w:top w:val="nil"/>
              <w:left w:val="nil"/>
              <w:bottom w:val="nil"/>
              <w:right w:val="nil"/>
            </w:tcBorders>
            <w:shd w:val="clear" w:color="auto" w:fill="auto"/>
            <w:vAlign w:val="center"/>
            <w:hideMark/>
          </w:tcPr>
          <w:p w14:paraId="0C7A0F65"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41AD3ED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c>
          <w:tcPr>
            <w:tcW w:w="1477" w:type="dxa"/>
            <w:tcBorders>
              <w:top w:val="nil"/>
              <w:left w:val="nil"/>
              <w:bottom w:val="nil"/>
              <w:right w:val="nil"/>
            </w:tcBorders>
            <w:shd w:val="clear" w:color="auto" w:fill="auto"/>
            <w:vAlign w:val="center"/>
            <w:hideMark/>
          </w:tcPr>
          <w:p w14:paraId="2E501A24"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w:t>
            </w:r>
          </w:p>
        </w:tc>
      </w:tr>
      <w:tr w:rsidR="0090485B" w:rsidRPr="00C05E9C" w14:paraId="66C95D10" w14:textId="77777777" w:rsidTr="008F07B7">
        <w:trPr>
          <w:trHeight w:val="256"/>
        </w:trPr>
        <w:tc>
          <w:tcPr>
            <w:tcW w:w="1276" w:type="dxa"/>
            <w:tcBorders>
              <w:top w:val="nil"/>
              <w:left w:val="nil"/>
              <w:bottom w:val="nil"/>
              <w:right w:val="nil"/>
            </w:tcBorders>
            <w:shd w:val="clear" w:color="auto" w:fill="auto"/>
            <w:vAlign w:val="center"/>
            <w:hideMark/>
          </w:tcPr>
          <w:p w14:paraId="0B07057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7693EE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B9E34BA"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Ukraine</w:t>
            </w:r>
          </w:p>
        </w:tc>
        <w:tc>
          <w:tcPr>
            <w:tcW w:w="1001" w:type="dxa"/>
            <w:tcBorders>
              <w:top w:val="nil"/>
              <w:left w:val="nil"/>
              <w:bottom w:val="nil"/>
              <w:right w:val="nil"/>
            </w:tcBorders>
            <w:shd w:val="clear" w:color="auto" w:fill="auto"/>
            <w:vAlign w:val="center"/>
            <w:hideMark/>
          </w:tcPr>
          <w:p w14:paraId="4F59882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8C83B8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4A1305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47D185E" w14:textId="77777777" w:rsidTr="008F07B7">
        <w:trPr>
          <w:trHeight w:val="256"/>
        </w:trPr>
        <w:tc>
          <w:tcPr>
            <w:tcW w:w="1276" w:type="dxa"/>
            <w:tcBorders>
              <w:top w:val="nil"/>
              <w:left w:val="nil"/>
              <w:bottom w:val="nil"/>
              <w:right w:val="nil"/>
            </w:tcBorders>
            <w:shd w:val="clear" w:color="auto" w:fill="auto"/>
            <w:vAlign w:val="center"/>
            <w:hideMark/>
          </w:tcPr>
          <w:p w14:paraId="560423A0"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77D791C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24008BA3"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United Kingdom</w:t>
            </w:r>
          </w:p>
        </w:tc>
        <w:tc>
          <w:tcPr>
            <w:tcW w:w="1001" w:type="dxa"/>
            <w:tcBorders>
              <w:top w:val="nil"/>
              <w:left w:val="nil"/>
              <w:bottom w:val="nil"/>
              <w:right w:val="nil"/>
            </w:tcBorders>
            <w:shd w:val="clear" w:color="auto" w:fill="auto"/>
            <w:vAlign w:val="center"/>
            <w:hideMark/>
          </w:tcPr>
          <w:p w14:paraId="43F9A7E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5BAC4CB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c>
          <w:tcPr>
            <w:tcW w:w="1477" w:type="dxa"/>
            <w:tcBorders>
              <w:top w:val="nil"/>
              <w:left w:val="nil"/>
              <w:bottom w:val="nil"/>
              <w:right w:val="nil"/>
            </w:tcBorders>
            <w:shd w:val="clear" w:color="auto" w:fill="auto"/>
            <w:vAlign w:val="center"/>
            <w:hideMark/>
          </w:tcPr>
          <w:p w14:paraId="7C091BD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107,282</w:t>
            </w:r>
          </w:p>
        </w:tc>
      </w:tr>
      <w:tr w:rsidR="0090485B" w:rsidRPr="00C05E9C" w14:paraId="56EF6C4A" w14:textId="77777777" w:rsidTr="008F07B7">
        <w:trPr>
          <w:trHeight w:val="256"/>
        </w:trPr>
        <w:tc>
          <w:tcPr>
            <w:tcW w:w="1276" w:type="dxa"/>
            <w:tcBorders>
              <w:top w:val="nil"/>
              <w:left w:val="nil"/>
              <w:bottom w:val="nil"/>
              <w:right w:val="nil"/>
            </w:tcBorders>
            <w:shd w:val="clear" w:color="auto" w:fill="auto"/>
            <w:vAlign w:val="center"/>
            <w:hideMark/>
          </w:tcPr>
          <w:p w14:paraId="4E1C6FF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3FF475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35FD54D"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United Republic of Tanzania</w:t>
            </w:r>
          </w:p>
        </w:tc>
        <w:tc>
          <w:tcPr>
            <w:tcW w:w="1001" w:type="dxa"/>
            <w:tcBorders>
              <w:top w:val="nil"/>
              <w:left w:val="nil"/>
              <w:bottom w:val="nil"/>
              <w:right w:val="nil"/>
            </w:tcBorders>
            <w:shd w:val="clear" w:color="auto" w:fill="auto"/>
            <w:vAlign w:val="center"/>
            <w:hideMark/>
          </w:tcPr>
          <w:p w14:paraId="6E86D3DF"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57AF73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196BC84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9EC1C0E" w14:textId="77777777" w:rsidTr="008F07B7">
        <w:trPr>
          <w:trHeight w:val="256"/>
        </w:trPr>
        <w:tc>
          <w:tcPr>
            <w:tcW w:w="1276" w:type="dxa"/>
            <w:tcBorders>
              <w:top w:val="nil"/>
              <w:left w:val="nil"/>
              <w:bottom w:val="nil"/>
              <w:right w:val="nil"/>
            </w:tcBorders>
            <w:shd w:val="clear" w:color="auto" w:fill="auto"/>
            <w:vAlign w:val="center"/>
            <w:hideMark/>
          </w:tcPr>
          <w:p w14:paraId="3A1A2F92"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199FC1F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20E0F6FA"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United States of America</w:t>
            </w:r>
          </w:p>
        </w:tc>
        <w:tc>
          <w:tcPr>
            <w:tcW w:w="1001" w:type="dxa"/>
            <w:tcBorders>
              <w:top w:val="nil"/>
              <w:left w:val="nil"/>
              <w:bottom w:val="nil"/>
              <w:right w:val="nil"/>
            </w:tcBorders>
            <w:shd w:val="clear" w:color="auto" w:fill="auto"/>
            <w:vAlign w:val="center"/>
            <w:hideMark/>
          </w:tcPr>
          <w:p w14:paraId="716F8AE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5F3138C1"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c>
          <w:tcPr>
            <w:tcW w:w="1477" w:type="dxa"/>
            <w:tcBorders>
              <w:top w:val="nil"/>
              <w:left w:val="nil"/>
              <w:bottom w:val="nil"/>
              <w:right w:val="nil"/>
            </w:tcBorders>
            <w:shd w:val="clear" w:color="auto" w:fill="auto"/>
            <w:vAlign w:val="center"/>
            <w:hideMark/>
          </w:tcPr>
          <w:p w14:paraId="7E5B26C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268,205</w:t>
            </w:r>
          </w:p>
        </w:tc>
      </w:tr>
      <w:tr w:rsidR="0090485B" w:rsidRPr="00C05E9C" w14:paraId="774746E4" w14:textId="77777777" w:rsidTr="008F07B7">
        <w:trPr>
          <w:trHeight w:val="256"/>
        </w:trPr>
        <w:tc>
          <w:tcPr>
            <w:tcW w:w="1276" w:type="dxa"/>
            <w:tcBorders>
              <w:top w:val="nil"/>
              <w:left w:val="nil"/>
              <w:bottom w:val="nil"/>
              <w:right w:val="nil"/>
            </w:tcBorders>
            <w:shd w:val="clear" w:color="auto" w:fill="auto"/>
            <w:vAlign w:val="center"/>
            <w:hideMark/>
          </w:tcPr>
          <w:p w14:paraId="41FD048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2A4694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8683472"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Uruguay</w:t>
            </w:r>
          </w:p>
        </w:tc>
        <w:tc>
          <w:tcPr>
            <w:tcW w:w="1001" w:type="dxa"/>
            <w:tcBorders>
              <w:top w:val="nil"/>
              <w:left w:val="nil"/>
              <w:bottom w:val="nil"/>
              <w:right w:val="nil"/>
            </w:tcBorders>
            <w:shd w:val="clear" w:color="auto" w:fill="auto"/>
            <w:vAlign w:val="center"/>
            <w:hideMark/>
          </w:tcPr>
          <w:p w14:paraId="70B0B6DA"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663C74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7CE1A36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27C92797" w14:textId="77777777" w:rsidTr="008F07B7">
        <w:trPr>
          <w:trHeight w:val="256"/>
        </w:trPr>
        <w:tc>
          <w:tcPr>
            <w:tcW w:w="1276" w:type="dxa"/>
            <w:tcBorders>
              <w:top w:val="nil"/>
              <w:left w:val="nil"/>
              <w:bottom w:val="nil"/>
              <w:right w:val="nil"/>
            </w:tcBorders>
            <w:shd w:val="clear" w:color="auto" w:fill="auto"/>
            <w:vAlign w:val="center"/>
            <w:hideMark/>
          </w:tcPr>
          <w:p w14:paraId="04777EF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74E46A8"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0F98A14"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Uzbekistan</w:t>
            </w:r>
          </w:p>
        </w:tc>
        <w:tc>
          <w:tcPr>
            <w:tcW w:w="1001" w:type="dxa"/>
            <w:tcBorders>
              <w:top w:val="nil"/>
              <w:left w:val="nil"/>
              <w:bottom w:val="nil"/>
              <w:right w:val="nil"/>
            </w:tcBorders>
            <w:shd w:val="clear" w:color="auto" w:fill="auto"/>
            <w:vAlign w:val="center"/>
            <w:hideMark/>
          </w:tcPr>
          <w:p w14:paraId="5032DC3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A37C1C3"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nil"/>
              <w:right w:val="nil"/>
            </w:tcBorders>
            <w:shd w:val="clear" w:color="auto" w:fill="auto"/>
            <w:vAlign w:val="center"/>
            <w:hideMark/>
          </w:tcPr>
          <w:p w14:paraId="5811391E"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90485B" w:rsidRPr="00C05E9C" w14:paraId="018D5A1F" w14:textId="77777777" w:rsidTr="008F07B7">
        <w:trPr>
          <w:trHeight w:val="256"/>
        </w:trPr>
        <w:tc>
          <w:tcPr>
            <w:tcW w:w="1276" w:type="dxa"/>
            <w:tcBorders>
              <w:top w:val="nil"/>
              <w:left w:val="nil"/>
              <w:bottom w:val="single" w:sz="8" w:space="0" w:color="BFBFBF"/>
              <w:right w:val="nil"/>
            </w:tcBorders>
            <w:shd w:val="clear" w:color="auto" w:fill="auto"/>
            <w:vAlign w:val="center"/>
            <w:hideMark/>
          </w:tcPr>
          <w:p w14:paraId="6B0090B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276" w:type="dxa"/>
            <w:tcBorders>
              <w:top w:val="nil"/>
              <w:left w:val="nil"/>
              <w:bottom w:val="single" w:sz="8" w:space="0" w:color="BFBFBF"/>
              <w:right w:val="nil"/>
            </w:tcBorders>
            <w:shd w:val="clear" w:color="auto" w:fill="auto"/>
            <w:vAlign w:val="center"/>
            <w:hideMark/>
          </w:tcPr>
          <w:p w14:paraId="0FBC938D"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3474" w:type="dxa"/>
            <w:tcBorders>
              <w:top w:val="nil"/>
              <w:left w:val="nil"/>
              <w:bottom w:val="single" w:sz="8" w:space="0" w:color="BFBFBF"/>
              <w:right w:val="nil"/>
            </w:tcBorders>
            <w:shd w:val="clear" w:color="auto" w:fill="auto"/>
            <w:vAlign w:val="center"/>
            <w:hideMark/>
          </w:tcPr>
          <w:p w14:paraId="50753E65" w14:textId="77777777" w:rsidR="0090485B" w:rsidRPr="00C05E9C" w:rsidRDefault="0090485B" w:rsidP="008F07B7">
            <w:pPr>
              <w:jc w:val="left"/>
              <w:rPr>
                <w:rFonts w:ascii="Arial Narrow" w:hAnsi="Arial Narrow" w:cs="Arial"/>
                <w:color w:val="000000"/>
                <w:sz w:val="18"/>
                <w:szCs w:val="18"/>
              </w:rPr>
            </w:pPr>
            <w:r w:rsidRPr="00C05E9C">
              <w:rPr>
                <w:rFonts w:ascii="Arial Narrow" w:hAnsi="Arial Narrow" w:cs="Arial"/>
                <w:color w:val="000000"/>
                <w:sz w:val="18"/>
                <w:szCs w:val="18"/>
              </w:rPr>
              <w:t>Viet Nam</w:t>
            </w:r>
          </w:p>
        </w:tc>
        <w:tc>
          <w:tcPr>
            <w:tcW w:w="1001" w:type="dxa"/>
            <w:tcBorders>
              <w:top w:val="nil"/>
              <w:left w:val="nil"/>
              <w:bottom w:val="single" w:sz="8" w:space="0" w:color="BFBFBF"/>
              <w:right w:val="nil"/>
            </w:tcBorders>
            <w:shd w:val="clear" w:color="auto" w:fill="auto"/>
            <w:vAlign w:val="center"/>
            <w:hideMark/>
          </w:tcPr>
          <w:p w14:paraId="3CE78F0B"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0.20</w:t>
            </w:r>
          </w:p>
        </w:tc>
        <w:tc>
          <w:tcPr>
            <w:tcW w:w="1392" w:type="dxa"/>
            <w:tcBorders>
              <w:top w:val="nil"/>
              <w:left w:val="nil"/>
              <w:bottom w:val="single" w:sz="8" w:space="0" w:color="BFBFBF"/>
              <w:right w:val="nil"/>
            </w:tcBorders>
            <w:shd w:val="clear" w:color="auto" w:fill="auto"/>
            <w:vAlign w:val="center"/>
            <w:hideMark/>
          </w:tcPr>
          <w:p w14:paraId="1A67777C"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c>
          <w:tcPr>
            <w:tcW w:w="1477" w:type="dxa"/>
            <w:tcBorders>
              <w:top w:val="nil"/>
              <w:left w:val="nil"/>
              <w:bottom w:val="single" w:sz="8" w:space="0" w:color="BFBFBF"/>
              <w:right w:val="nil"/>
            </w:tcBorders>
            <w:shd w:val="clear" w:color="auto" w:fill="auto"/>
            <w:vAlign w:val="center"/>
            <w:hideMark/>
          </w:tcPr>
          <w:p w14:paraId="0E5F8566" w14:textId="77777777" w:rsidR="0090485B" w:rsidRPr="00C05E9C" w:rsidRDefault="0090485B" w:rsidP="008F07B7">
            <w:pPr>
              <w:jc w:val="right"/>
              <w:rPr>
                <w:rFonts w:ascii="Arial Narrow" w:hAnsi="Arial Narrow" w:cs="Arial"/>
                <w:color w:val="000000"/>
                <w:sz w:val="18"/>
                <w:szCs w:val="18"/>
              </w:rPr>
            </w:pPr>
            <w:r w:rsidRPr="00C05E9C">
              <w:rPr>
                <w:rFonts w:ascii="Arial Narrow" w:hAnsi="Arial Narrow" w:cs="Arial"/>
                <w:color w:val="000000"/>
                <w:sz w:val="18"/>
                <w:szCs w:val="18"/>
              </w:rPr>
              <w:t>10,728</w:t>
            </w:r>
          </w:p>
        </w:tc>
      </w:tr>
      <w:tr w:rsidR="005A16B0" w:rsidRPr="00C05E9C" w14:paraId="1B88F7AF" w14:textId="77777777" w:rsidTr="008F07B7">
        <w:trPr>
          <w:trHeight w:val="275"/>
        </w:trPr>
        <w:tc>
          <w:tcPr>
            <w:tcW w:w="1276" w:type="dxa"/>
            <w:tcBorders>
              <w:top w:val="nil"/>
              <w:left w:val="nil"/>
              <w:bottom w:val="single" w:sz="8" w:space="0" w:color="BFBFBF"/>
              <w:right w:val="nil"/>
            </w:tcBorders>
            <w:shd w:val="clear" w:color="auto" w:fill="auto"/>
            <w:vAlign w:val="center"/>
            <w:hideMark/>
          </w:tcPr>
          <w:p w14:paraId="26C7165A" w14:textId="09BBB81C"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rPr>
              <w:t>3,548,342</w:t>
            </w:r>
          </w:p>
        </w:tc>
        <w:tc>
          <w:tcPr>
            <w:tcW w:w="1276" w:type="dxa"/>
            <w:tcBorders>
              <w:top w:val="nil"/>
              <w:left w:val="nil"/>
              <w:bottom w:val="single" w:sz="8" w:space="0" w:color="BFBFBF"/>
              <w:right w:val="nil"/>
            </w:tcBorders>
            <w:shd w:val="clear" w:color="auto" w:fill="auto"/>
            <w:vAlign w:val="center"/>
            <w:hideMark/>
          </w:tcPr>
          <w:p w14:paraId="3EB1524A" w14:textId="75C19821"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rPr>
              <w:t>3,548,342</w:t>
            </w:r>
          </w:p>
        </w:tc>
        <w:tc>
          <w:tcPr>
            <w:tcW w:w="3474" w:type="dxa"/>
            <w:tcBorders>
              <w:top w:val="nil"/>
              <w:left w:val="nil"/>
              <w:bottom w:val="single" w:sz="8" w:space="0" w:color="BFBFBF"/>
              <w:right w:val="nil"/>
            </w:tcBorders>
            <w:shd w:val="clear" w:color="auto" w:fill="auto"/>
            <w:vAlign w:val="center"/>
            <w:hideMark/>
          </w:tcPr>
          <w:p w14:paraId="33AEACD3" w14:textId="62958FEA"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vertAlign w:val="superscript"/>
              </w:rPr>
              <w:t> </w:t>
            </w:r>
          </w:p>
        </w:tc>
        <w:tc>
          <w:tcPr>
            <w:tcW w:w="1001" w:type="dxa"/>
            <w:tcBorders>
              <w:top w:val="nil"/>
              <w:left w:val="nil"/>
              <w:bottom w:val="single" w:sz="8" w:space="0" w:color="BFBFBF"/>
              <w:right w:val="nil"/>
            </w:tcBorders>
            <w:shd w:val="clear" w:color="auto" w:fill="auto"/>
            <w:vAlign w:val="center"/>
            <w:hideMark/>
          </w:tcPr>
          <w:p w14:paraId="4F28E4D5" w14:textId="1FBB4CAE"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rPr>
              <w:t>66.35</w:t>
            </w:r>
          </w:p>
        </w:tc>
        <w:tc>
          <w:tcPr>
            <w:tcW w:w="1392" w:type="dxa"/>
            <w:tcBorders>
              <w:top w:val="nil"/>
              <w:left w:val="nil"/>
              <w:bottom w:val="single" w:sz="8" w:space="0" w:color="BFBFBF"/>
              <w:right w:val="nil"/>
            </w:tcBorders>
            <w:shd w:val="clear" w:color="auto" w:fill="auto"/>
            <w:vAlign w:val="center"/>
            <w:hideMark/>
          </w:tcPr>
          <w:p w14:paraId="6EDF9279" w14:textId="233B3887"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rPr>
              <w:t>3,559,070</w:t>
            </w:r>
          </w:p>
        </w:tc>
        <w:tc>
          <w:tcPr>
            <w:tcW w:w="1477" w:type="dxa"/>
            <w:tcBorders>
              <w:top w:val="nil"/>
              <w:left w:val="nil"/>
              <w:bottom w:val="single" w:sz="8" w:space="0" w:color="BFBFBF"/>
              <w:right w:val="nil"/>
            </w:tcBorders>
            <w:shd w:val="clear" w:color="auto" w:fill="auto"/>
            <w:vAlign w:val="center"/>
            <w:hideMark/>
          </w:tcPr>
          <w:p w14:paraId="120316A8" w14:textId="06784901" w:rsidR="005A16B0" w:rsidRPr="00572CD4" w:rsidRDefault="005A16B0" w:rsidP="005A16B0">
            <w:pPr>
              <w:jc w:val="right"/>
              <w:rPr>
                <w:rFonts w:ascii="Arial Narrow" w:hAnsi="Arial Narrow" w:cs="Arial"/>
                <w:b/>
                <w:bCs/>
                <w:color w:val="000000"/>
                <w:sz w:val="18"/>
                <w:szCs w:val="18"/>
                <w:highlight w:val="yellow"/>
              </w:rPr>
            </w:pPr>
            <w:r>
              <w:rPr>
                <w:rFonts w:ascii="Arial Narrow" w:hAnsi="Arial Narrow" w:cs="Arial"/>
                <w:b/>
                <w:bCs/>
                <w:color w:val="000000"/>
                <w:sz w:val="18"/>
                <w:szCs w:val="18"/>
              </w:rPr>
              <w:t>3,559,070</w:t>
            </w:r>
          </w:p>
        </w:tc>
      </w:tr>
    </w:tbl>
    <w:p w14:paraId="7092C771" w14:textId="77777777" w:rsidR="0090485B" w:rsidRPr="00421986" w:rsidRDefault="0090485B" w:rsidP="0090485B"/>
    <w:p w14:paraId="49FA3635" w14:textId="77777777" w:rsidR="0090485B" w:rsidRDefault="0090485B" w:rsidP="0090485B"/>
    <w:p w14:paraId="1EFE6859" w14:textId="77777777" w:rsidR="0090485B" w:rsidRPr="00421986" w:rsidRDefault="0090485B" w:rsidP="0090485B"/>
    <w:p w14:paraId="20F5D0B0" w14:textId="77777777" w:rsidR="0090485B" w:rsidRPr="00421986" w:rsidRDefault="0090485B" w:rsidP="0090485B">
      <w:pPr>
        <w:pStyle w:val="Endofdocument"/>
        <w:tabs>
          <w:tab w:val="decimal" w:pos="9071"/>
        </w:tabs>
        <w:ind w:right="-1"/>
        <w:jc w:val="right"/>
      </w:pPr>
      <w:r w:rsidRPr="00421986">
        <w:rPr>
          <w:rFonts w:ascii="Arial" w:hAnsi="Arial" w:cs="Arial"/>
          <w:snapToGrid w:val="0"/>
          <w:sz w:val="20"/>
        </w:rPr>
        <w:t xml:space="preserve">[Appendix </w:t>
      </w:r>
      <w:r>
        <w:rPr>
          <w:rFonts w:ascii="Arial" w:hAnsi="Arial" w:cs="Arial"/>
          <w:snapToGrid w:val="0"/>
          <w:sz w:val="20"/>
        </w:rPr>
        <w:t>III</w:t>
      </w:r>
      <w:r w:rsidRPr="00421986">
        <w:rPr>
          <w:rFonts w:ascii="Arial" w:hAnsi="Arial" w:cs="Arial"/>
          <w:snapToGrid w:val="0"/>
          <w:sz w:val="20"/>
        </w:rPr>
        <w:t xml:space="preserve"> follows]</w:t>
      </w:r>
    </w:p>
    <w:p w14:paraId="1153A5D0" w14:textId="77777777" w:rsidR="0090485B" w:rsidRPr="00421986" w:rsidRDefault="0090485B" w:rsidP="0090485B">
      <w:pPr>
        <w:rPr>
          <w:rFonts w:cs="Arial"/>
          <w:b/>
          <w:color w:val="0000FF"/>
        </w:rPr>
        <w:sectPr w:rsidR="0090485B" w:rsidRPr="00421986" w:rsidSect="008F07B7">
          <w:headerReference w:type="even" r:id="rId52"/>
          <w:headerReference w:type="default" r:id="rId53"/>
          <w:footerReference w:type="even" r:id="rId54"/>
          <w:footerReference w:type="default" r:id="rId55"/>
          <w:headerReference w:type="first" r:id="rId56"/>
          <w:footerReference w:type="first" r:id="rId57"/>
          <w:pgSz w:w="11907" w:h="16840" w:code="9"/>
          <w:pgMar w:top="510" w:right="1134" w:bottom="1134" w:left="1134" w:header="510" w:footer="624" w:gutter="0"/>
          <w:cols w:space="720"/>
          <w:docGrid w:linePitch="272"/>
        </w:sectPr>
      </w:pPr>
      <w:r>
        <w:rPr>
          <w:rFonts w:cs="Arial"/>
          <w:b/>
          <w:color w:val="0000FF"/>
        </w:rPr>
        <w:t xml:space="preserve"> </w:t>
      </w:r>
    </w:p>
    <w:p w14:paraId="510CE70A" w14:textId="77777777" w:rsidR="0090485B" w:rsidRPr="00651C04" w:rsidRDefault="0090485B" w:rsidP="0090485B">
      <w:pPr>
        <w:pStyle w:val="Heading9"/>
      </w:pPr>
      <w:bookmarkStart w:id="506" w:name="_Toc77931063"/>
      <w:r>
        <w:lastRenderedPageBreak/>
        <w:t>APPENDIX III</w:t>
      </w:r>
      <w:r>
        <w:tab/>
      </w:r>
      <w:r w:rsidRPr="00651C04">
        <w:t>Definition of sources of income and cost categories</w:t>
      </w:r>
      <w:bookmarkEnd w:id="506"/>
    </w:p>
    <w:p w14:paraId="77085999" w14:textId="77777777" w:rsidR="0090485B" w:rsidRPr="00FD6CDA" w:rsidRDefault="0090485B" w:rsidP="0090485B"/>
    <w:p w14:paraId="16624329" w14:textId="77777777" w:rsidR="0090485B" w:rsidRPr="00FD6CDA" w:rsidRDefault="0090485B" w:rsidP="0090485B"/>
    <w:p w14:paraId="52B74A0B" w14:textId="77777777" w:rsidR="0090485B" w:rsidRPr="00C20F3E" w:rsidRDefault="0090485B" w:rsidP="0090485B">
      <w:pPr>
        <w:rPr>
          <w:color w:val="26724C" w:themeColor="accent1" w:themeShade="BF"/>
          <w:sz w:val="28"/>
        </w:rPr>
      </w:pPr>
      <w:r w:rsidRPr="00C20F3E">
        <w:rPr>
          <w:color w:val="26724C" w:themeColor="accent1" w:themeShade="BF"/>
          <w:sz w:val="28"/>
          <w:szCs w:val="24"/>
        </w:rPr>
        <w:t>Sources of income</w:t>
      </w:r>
    </w:p>
    <w:p w14:paraId="5CA07324" w14:textId="77777777" w:rsidR="0090485B" w:rsidRDefault="0090485B" w:rsidP="0090485B"/>
    <w:p w14:paraId="126E228B" w14:textId="77777777" w:rsidR="0090485B" w:rsidRPr="006E4A6A" w:rsidRDefault="0090485B" w:rsidP="0090485B">
      <w:r w:rsidRPr="008B40C0">
        <w:t>Contributions:</w:t>
      </w:r>
      <w:r w:rsidRPr="006E4A6A">
        <w:t xml:space="preserve"> contributions of members of </w:t>
      </w:r>
      <w:r>
        <w:t>the Union</w:t>
      </w:r>
      <w:r w:rsidRPr="006E4A6A">
        <w:t xml:space="preserve"> under the </w:t>
      </w:r>
      <w:r>
        <w:t>UPOV Convention</w:t>
      </w:r>
      <w:r w:rsidRPr="006E4A6A">
        <w:t xml:space="preserve"> (Article 29 of the 1991 Act and Article 26 of the 1978 Act).</w:t>
      </w:r>
    </w:p>
    <w:p w14:paraId="262FE8A4" w14:textId="77777777" w:rsidR="0090485B" w:rsidRPr="006E4A6A" w:rsidRDefault="0090485B" w:rsidP="0090485B"/>
    <w:p w14:paraId="16FCB39F" w14:textId="77777777" w:rsidR="0090485B" w:rsidRPr="008B40C0" w:rsidRDefault="0090485B" w:rsidP="0090485B">
      <w:pPr>
        <w:keepNext/>
        <w:spacing w:after="40"/>
      </w:pPr>
      <w:r w:rsidRPr="008B40C0">
        <w:t>UPOV IT Tools and Services Fees</w:t>
      </w:r>
      <w:r w:rsidRPr="006E4A6A">
        <w:t>:  fees from UPOV databases, IT tools and services</w:t>
      </w:r>
    </w:p>
    <w:p w14:paraId="77839EA5" w14:textId="77777777" w:rsidR="0090485B" w:rsidRPr="006E4A6A" w:rsidRDefault="0090485B" w:rsidP="0090485B"/>
    <w:p w14:paraId="0F6A0F83" w14:textId="77777777" w:rsidR="0090485B" w:rsidRPr="006E4A6A" w:rsidRDefault="0090485B" w:rsidP="0090485B">
      <w:pPr>
        <w:keepNext/>
        <w:spacing w:after="40"/>
      </w:pPr>
      <w:r w:rsidRPr="008B40C0">
        <w:t>Miscellaneous Income:</w:t>
      </w:r>
      <w:r w:rsidRPr="006E4A6A">
        <w:t xml:space="preserve"> accounting adjustments (credits) in respect of prior years, currency adjustments, support charges in respect of extra</w:t>
      </w:r>
      <w:r w:rsidRPr="006E4A6A">
        <w:noBreakHyphen/>
        <w:t xml:space="preserve">budgetary activities executed by UPOV and financed by trust funds </w:t>
      </w:r>
      <w:r w:rsidRPr="006E4A6A">
        <w:rPr>
          <w:rFonts w:cs="Arial"/>
          <w:snapToGrid w:val="0"/>
          <w:color w:val="000000"/>
        </w:rPr>
        <w:t>and fees from distance learning programs.</w:t>
      </w:r>
    </w:p>
    <w:p w14:paraId="72E1D9E5" w14:textId="77777777" w:rsidR="0090485B" w:rsidRDefault="0090485B" w:rsidP="0090485B">
      <w:pPr>
        <w:rPr>
          <w:sz w:val="24"/>
        </w:rPr>
      </w:pPr>
    </w:p>
    <w:p w14:paraId="5D712711" w14:textId="77777777" w:rsidR="0090485B" w:rsidRPr="00C20F3E" w:rsidRDefault="0090485B" w:rsidP="0090485B">
      <w:pPr>
        <w:rPr>
          <w:sz w:val="24"/>
        </w:rPr>
      </w:pPr>
    </w:p>
    <w:p w14:paraId="58F4A133" w14:textId="77777777" w:rsidR="0090485B" w:rsidRPr="00FD6CDA" w:rsidRDefault="0090485B" w:rsidP="0090485B">
      <w:pPr>
        <w:rPr>
          <w:color w:val="26724C" w:themeColor="accent1" w:themeShade="BF"/>
          <w:sz w:val="28"/>
          <w:szCs w:val="24"/>
        </w:rPr>
      </w:pPr>
      <w:r w:rsidRPr="00FD6CDA">
        <w:rPr>
          <w:color w:val="26724C" w:themeColor="accent1" w:themeShade="BF"/>
          <w:sz w:val="28"/>
          <w:szCs w:val="24"/>
        </w:rPr>
        <w:t>Cost categories</w:t>
      </w:r>
    </w:p>
    <w:p w14:paraId="3BD8FC31" w14:textId="77777777" w:rsidR="0090485B" w:rsidRDefault="0090485B" w:rsidP="0090485B"/>
    <w:p w14:paraId="0E4FB567" w14:textId="77777777" w:rsidR="0090485B" w:rsidRPr="00C20F3E" w:rsidRDefault="0090485B" w:rsidP="0090485B">
      <w:pPr>
        <w:rPr>
          <w:b/>
          <w:color w:val="26724C" w:themeColor="accent1" w:themeShade="BF"/>
        </w:rPr>
      </w:pPr>
      <w:r w:rsidRPr="00C20F3E">
        <w:rPr>
          <w:b/>
          <w:color w:val="26724C" w:themeColor="accent1" w:themeShade="BF"/>
        </w:rPr>
        <w:t>Personnel Resources</w:t>
      </w:r>
    </w:p>
    <w:p w14:paraId="22EEDC7A" w14:textId="77777777" w:rsidR="0090485B" w:rsidRPr="006E4A6A" w:rsidRDefault="0090485B" w:rsidP="0090485B"/>
    <w:p w14:paraId="408D06AB" w14:textId="77777777" w:rsidR="0090485B" w:rsidRPr="006E4A6A" w:rsidRDefault="0090485B" w:rsidP="0090485B">
      <w:pPr>
        <w:keepNext/>
        <w:spacing w:after="40"/>
      </w:pPr>
      <w:r w:rsidRPr="00C20F3E">
        <w:rPr>
          <w:b/>
        </w:rPr>
        <w:t>Posts:</w:t>
      </w:r>
      <w:r w:rsidRPr="00624A63">
        <w:t xml:space="preserve"> </w:t>
      </w:r>
      <w:r w:rsidRPr="006E4A6A">
        <w:t xml:space="preserve">remuneration received by staff members, in particular salaries, post adjustment, dependency allowances, </w:t>
      </w:r>
      <w:r w:rsidRPr="006E4A6A">
        <w:rPr>
          <w:spacing w:val="-2"/>
        </w:rPr>
        <w:t>language allowances and overtime, non-resident allowances, assignment grant and representation allowances.</w:t>
      </w:r>
    </w:p>
    <w:p w14:paraId="7D45997F" w14:textId="77777777" w:rsidR="0090485B" w:rsidRPr="00C20F3E" w:rsidRDefault="0090485B" w:rsidP="0090485B">
      <w:pPr>
        <w:rPr>
          <w:color w:val="7F7F7F" w:themeColor="text1" w:themeTint="80"/>
        </w:rPr>
      </w:pPr>
    </w:p>
    <w:p w14:paraId="721E92FF" w14:textId="77777777" w:rsidR="0090485B" w:rsidRPr="004A5000" w:rsidRDefault="0090485B" w:rsidP="0090485B">
      <w:r w:rsidRPr="00C20F3E">
        <w:rPr>
          <w:b/>
        </w:rPr>
        <w:t>Temporary Staff</w:t>
      </w:r>
      <w:r w:rsidRPr="00624A63">
        <w:t xml:space="preserve">: </w:t>
      </w:r>
      <w:r w:rsidRPr="006E4A6A">
        <w:t xml:space="preserve">remuneration and allowances paid to professional and general service employees on short-term </w:t>
      </w:r>
      <w:r>
        <w:t>contracts.</w:t>
      </w:r>
    </w:p>
    <w:p w14:paraId="19FA3634" w14:textId="77777777" w:rsidR="0090485B" w:rsidRDefault="0090485B" w:rsidP="0090485B"/>
    <w:p w14:paraId="2EFE1C38" w14:textId="77777777" w:rsidR="0090485B" w:rsidRPr="00FD6CDA" w:rsidRDefault="0090485B" w:rsidP="0090485B">
      <w:pPr>
        <w:rPr>
          <w:b/>
          <w:color w:val="26724C" w:themeColor="accent1" w:themeShade="BF"/>
        </w:rPr>
      </w:pPr>
      <w:r w:rsidRPr="00FD6CDA">
        <w:rPr>
          <w:b/>
          <w:color w:val="26724C" w:themeColor="accent1" w:themeShade="BF"/>
        </w:rPr>
        <w:t>Non-Personnel Resources</w:t>
      </w:r>
    </w:p>
    <w:p w14:paraId="658D5414" w14:textId="77777777" w:rsidR="0090485B" w:rsidRPr="00C20F3E" w:rsidRDefault="0090485B" w:rsidP="0090485B">
      <w:pPr>
        <w:rPr>
          <w:b/>
          <w:color w:val="26724C" w:themeColor="accent1" w:themeShade="BF"/>
        </w:rPr>
      </w:pPr>
    </w:p>
    <w:p w14:paraId="79DF64E5" w14:textId="77777777" w:rsidR="0090485B" w:rsidRPr="00C20F3E" w:rsidRDefault="0090485B" w:rsidP="0090485B">
      <w:pPr>
        <w:rPr>
          <w:rFonts w:cs="Arial"/>
          <w:bCs/>
          <w:i/>
          <w:color w:val="26724C" w:themeColor="accent1" w:themeShade="BF"/>
        </w:rPr>
      </w:pPr>
      <w:r w:rsidRPr="00C20F3E">
        <w:rPr>
          <w:rFonts w:cs="Arial"/>
          <w:bCs/>
          <w:i/>
          <w:color w:val="26724C" w:themeColor="accent1" w:themeShade="BF"/>
        </w:rPr>
        <w:t>Internships and Fellowships</w:t>
      </w:r>
    </w:p>
    <w:p w14:paraId="0A2E9909" w14:textId="77777777" w:rsidR="0090485B" w:rsidRPr="006E4A6A" w:rsidRDefault="0090485B" w:rsidP="0090485B">
      <w:pPr>
        <w:rPr>
          <w:rFonts w:cs="Arial"/>
        </w:rPr>
      </w:pPr>
    </w:p>
    <w:p w14:paraId="38B19ADA" w14:textId="77777777" w:rsidR="0090485B" w:rsidRPr="006E4A6A" w:rsidRDefault="0090485B" w:rsidP="0090485B">
      <w:pPr>
        <w:rPr>
          <w:rFonts w:cs="Arial"/>
        </w:rPr>
      </w:pPr>
      <w:r w:rsidRPr="00C20F3E">
        <w:rPr>
          <w:rFonts w:cs="Arial"/>
          <w:b/>
          <w:bCs/>
          <w:iCs/>
          <w:color w:val="000000"/>
        </w:rPr>
        <w:t>Internships</w:t>
      </w:r>
      <w:r w:rsidRPr="006E4A6A">
        <w:rPr>
          <w:rFonts w:cs="Arial"/>
        </w:rPr>
        <w:t xml:space="preserve">: remuneration and allowances paid to interns. </w:t>
      </w:r>
    </w:p>
    <w:p w14:paraId="108E79F6" w14:textId="77777777" w:rsidR="0090485B" w:rsidRPr="006E4A6A" w:rsidRDefault="0090485B" w:rsidP="0090485B"/>
    <w:p w14:paraId="44E980E6" w14:textId="77777777" w:rsidR="0090485B" w:rsidRPr="006E4A6A" w:rsidRDefault="0090485B" w:rsidP="0090485B">
      <w:pPr>
        <w:rPr>
          <w:rFonts w:cs="Arial"/>
        </w:rPr>
      </w:pPr>
      <w:r w:rsidRPr="00C20F3E">
        <w:rPr>
          <w:rFonts w:cs="Arial"/>
          <w:b/>
          <w:bCs/>
          <w:iCs/>
          <w:color w:val="000000"/>
        </w:rPr>
        <w:t>Fellowships</w:t>
      </w:r>
      <w:r w:rsidRPr="008B40C0">
        <w:rPr>
          <w:rFonts w:cs="Arial"/>
          <w:bCs/>
          <w:i/>
          <w:iCs/>
          <w:color w:val="000000"/>
        </w:rPr>
        <w:t>:</w:t>
      </w:r>
      <w:r w:rsidRPr="008B40C0">
        <w:rPr>
          <w:rFonts w:cs="Arial"/>
          <w:bCs/>
          <w:i/>
          <w:iCs/>
        </w:rPr>
        <w:t xml:space="preserve"> </w:t>
      </w:r>
      <w:r w:rsidRPr="006E4A6A">
        <w:rPr>
          <w:rFonts w:cs="Arial"/>
          <w:bCs/>
          <w:iCs/>
        </w:rPr>
        <w:t xml:space="preserve">expenses related to a </w:t>
      </w:r>
      <w:r w:rsidRPr="006E4A6A">
        <w:rPr>
          <w:rFonts w:cs="Arial"/>
        </w:rPr>
        <w:t xml:space="preserve">training activity that provides a monetary grant to qualified individuals for the purpose of fulfilling special learning objectives. </w:t>
      </w:r>
    </w:p>
    <w:p w14:paraId="4D02C9AD" w14:textId="77777777" w:rsidR="0090485B" w:rsidRPr="008B40C0" w:rsidRDefault="0090485B" w:rsidP="0090485B">
      <w:pPr>
        <w:rPr>
          <w:u w:val="single"/>
        </w:rPr>
      </w:pPr>
    </w:p>
    <w:p w14:paraId="7EFFCEAE" w14:textId="77777777" w:rsidR="0090485B" w:rsidRPr="00FD6CDA" w:rsidRDefault="0090485B" w:rsidP="0090485B">
      <w:pPr>
        <w:rPr>
          <w:rFonts w:cs="Arial"/>
          <w:bCs/>
          <w:i/>
          <w:color w:val="26724C" w:themeColor="accent1" w:themeShade="BF"/>
        </w:rPr>
      </w:pPr>
      <w:r w:rsidRPr="00FD6CDA">
        <w:rPr>
          <w:rFonts w:cs="Arial"/>
          <w:bCs/>
          <w:i/>
          <w:color w:val="26724C" w:themeColor="accent1" w:themeShade="BF"/>
        </w:rPr>
        <w:t xml:space="preserve">Travel, Training and Grants </w:t>
      </w:r>
    </w:p>
    <w:p w14:paraId="36A8EB70" w14:textId="77777777" w:rsidR="0090485B" w:rsidRPr="008B40C0" w:rsidRDefault="0090485B" w:rsidP="0090485B">
      <w:pPr>
        <w:keepNext/>
        <w:rPr>
          <w:u w:val="single"/>
        </w:rPr>
      </w:pPr>
    </w:p>
    <w:p w14:paraId="095CF5D7" w14:textId="77777777" w:rsidR="0090485B" w:rsidRPr="006E4A6A" w:rsidRDefault="0090485B" w:rsidP="0090485B">
      <w:pPr>
        <w:rPr>
          <w:rFonts w:cs="Arial"/>
          <w:color w:val="000000"/>
        </w:rPr>
      </w:pPr>
      <w:r w:rsidRPr="00C20F3E">
        <w:rPr>
          <w:rFonts w:cs="Arial"/>
          <w:b/>
          <w:bCs/>
          <w:iCs/>
        </w:rPr>
        <w:t>Staff missions</w:t>
      </w:r>
      <w:r w:rsidRPr="00C20F3E">
        <w:rPr>
          <w:rFonts w:cs="Arial"/>
          <w:b/>
        </w:rPr>
        <w:t>:</w:t>
      </w:r>
      <w:r w:rsidRPr="00C20F3E">
        <w:rPr>
          <w:rFonts w:cs="Arial"/>
        </w:rPr>
        <w:t xml:space="preserve"> </w:t>
      </w:r>
      <w:r w:rsidRPr="006E4A6A">
        <w:rPr>
          <w:rFonts w:cs="Arial"/>
          <w:color w:val="000000"/>
        </w:rPr>
        <w:t>travel expenses and daily subsistence allowances for all staff on official travel.</w:t>
      </w:r>
    </w:p>
    <w:p w14:paraId="4E4FFDE4" w14:textId="77777777" w:rsidR="0090485B" w:rsidRPr="006E4A6A" w:rsidRDefault="0090485B" w:rsidP="0090485B"/>
    <w:p w14:paraId="6DCBE3ED" w14:textId="77777777" w:rsidR="0090485B" w:rsidRPr="006E4A6A" w:rsidRDefault="0090485B" w:rsidP="0090485B">
      <w:pPr>
        <w:rPr>
          <w:rFonts w:cs="Arial"/>
          <w:color w:val="000000"/>
        </w:rPr>
      </w:pPr>
      <w:r w:rsidRPr="00C20F3E">
        <w:rPr>
          <w:rFonts w:cs="Arial"/>
          <w:b/>
          <w:bCs/>
          <w:iCs/>
          <w:color w:val="000000"/>
        </w:rPr>
        <w:t>Third party travel</w:t>
      </w:r>
      <w:r w:rsidRPr="00C20F3E">
        <w:rPr>
          <w:rFonts w:cs="Arial"/>
          <w:b/>
          <w:color w:val="000000"/>
        </w:rPr>
        <w:t>:</w:t>
      </w:r>
      <w:r w:rsidRPr="006E4A6A">
        <w:rPr>
          <w:rFonts w:cs="Arial"/>
          <w:color w:val="000000"/>
        </w:rPr>
        <w:t xml:space="preserve"> travel expenses and daily subsistence allowances for all third parties</w:t>
      </w:r>
      <w:r w:rsidRPr="006E4A6A">
        <w:t>, including</w:t>
      </w:r>
      <w:r w:rsidRPr="006E4A6A">
        <w:rPr>
          <w:rFonts w:cs="Arial"/>
          <w:color w:val="000000"/>
        </w:rPr>
        <w:t xml:space="preserve"> the travel costs of Government officials, participants and lecturers attending UPOV sponsored meetings.</w:t>
      </w:r>
    </w:p>
    <w:p w14:paraId="41F3DB9B" w14:textId="77777777" w:rsidR="0090485B" w:rsidRPr="006E4A6A" w:rsidRDefault="0090485B" w:rsidP="0090485B"/>
    <w:p w14:paraId="433CA159" w14:textId="77777777" w:rsidR="0090485B" w:rsidRPr="006E4A6A" w:rsidRDefault="0090485B" w:rsidP="0090485B">
      <w:pPr>
        <w:rPr>
          <w:rFonts w:cs="Arial"/>
        </w:rPr>
      </w:pPr>
      <w:r w:rsidRPr="00C20F3E">
        <w:rPr>
          <w:rFonts w:cs="Arial"/>
          <w:b/>
          <w:bCs/>
          <w:iCs/>
          <w:color w:val="000000"/>
        </w:rPr>
        <w:t>Training and related travel grants</w:t>
      </w:r>
      <w:r w:rsidRPr="00C20F3E">
        <w:rPr>
          <w:rFonts w:cs="Arial"/>
          <w:b/>
          <w:color w:val="000000"/>
        </w:rPr>
        <w:t>:</w:t>
      </w:r>
      <w:r w:rsidRPr="006E4A6A">
        <w:rPr>
          <w:rFonts w:cs="Arial"/>
          <w:color w:val="000000"/>
        </w:rPr>
        <w:t xml:space="preserve"> travel expenses, daily subsistence allowances and training and other fees in connection with trainees attending courses, seminars, fellowships.  </w:t>
      </w:r>
    </w:p>
    <w:p w14:paraId="0806BD96" w14:textId="77777777" w:rsidR="0090485B" w:rsidRPr="006E4A6A" w:rsidRDefault="0090485B" w:rsidP="0090485B"/>
    <w:p w14:paraId="05A3C656" w14:textId="77777777" w:rsidR="0090485B" w:rsidRPr="00FD6CDA" w:rsidRDefault="0090485B" w:rsidP="0090485B">
      <w:pPr>
        <w:rPr>
          <w:rFonts w:cs="Arial"/>
          <w:bCs/>
          <w:i/>
          <w:color w:val="26724C" w:themeColor="accent1" w:themeShade="BF"/>
        </w:rPr>
      </w:pPr>
      <w:r w:rsidRPr="00FD6CDA">
        <w:rPr>
          <w:rFonts w:cs="Arial"/>
          <w:bCs/>
          <w:i/>
          <w:color w:val="26724C" w:themeColor="accent1" w:themeShade="BF"/>
        </w:rPr>
        <w:t>Contractual Services</w:t>
      </w:r>
    </w:p>
    <w:p w14:paraId="76FC9679" w14:textId="77777777" w:rsidR="0090485B" w:rsidRPr="008B40C0" w:rsidRDefault="0090485B" w:rsidP="0090485B">
      <w:pPr>
        <w:keepNext/>
        <w:rPr>
          <w:u w:val="single"/>
        </w:rPr>
      </w:pPr>
    </w:p>
    <w:p w14:paraId="532599DD" w14:textId="77777777" w:rsidR="0090485B" w:rsidRPr="006E4A6A" w:rsidRDefault="0090485B" w:rsidP="0090485B">
      <w:pPr>
        <w:keepNext/>
        <w:keepLines/>
        <w:rPr>
          <w:color w:val="000000"/>
          <w:szCs w:val="22"/>
        </w:rPr>
      </w:pPr>
      <w:r w:rsidRPr="00C20F3E">
        <w:rPr>
          <w:b/>
          <w:bCs/>
          <w:iCs/>
          <w:color w:val="000000"/>
          <w:szCs w:val="22"/>
        </w:rPr>
        <w:t>Conferences</w:t>
      </w:r>
      <w:r w:rsidRPr="006E4A6A">
        <w:rPr>
          <w:color w:val="000000"/>
          <w:szCs w:val="22"/>
        </w:rPr>
        <w:t>: remuneration, travel expenses and daily subsistence allowances for interpreters; renting of conference facilities,</w:t>
      </w:r>
      <w:r>
        <w:rPr>
          <w:color w:val="000000"/>
          <w:szCs w:val="22"/>
        </w:rPr>
        <w:t xml:space="preserve"> and </w:t>
      </w:r>
      <w:r w:rsidRPr="006E4A6A">
        <w:rPr>
          <w:color w:val="000000"/>
          <w:szCs w:val="22"/>
        </w:rPr>
        <w:t>interpretation equipment</w:t>
      </w:r>
      <w:r>
        <w:rPr>
          <w:color w:val="000000"/>
          <w:szCs w:val="22"/>
        </w:rPr>
        <w:t xml:space="preserve"> and platforms</w:t>
      </w:r>
      <w:r w:rsidRPr="006E4A6A">
        <w:rPr>
          <w:color w:val="000000"/>
          <w:szCs w:val="22"/>
        </w:rPr>
        <w:t>; refreshments and receptions</w:t>
      </w:r>
      <w:r>
        <w:rPr>
          <w:color w:val="000000"/>
          <w:szCs w:val="22"/>
        </w:rPr>
        <w:t>.</w:t>
      </w:r>
    </w:p>
    <w:p w14:paraId="648CA181" w14:textId="77777777" w:rsidR="0090485B" w:rsidRPr="006E4A6A" w:rsidRDefault="0090485B" w:rsidP="0090485B"/>
    <w:p w14:paraId="021CB320" w14:textId="77777777" w:rsidR="0090485B" w:rsidRPr="006E4A6A" w:rsidRDefault="0090485B" w:rsidP="0090485B">
      <w:pPr>
        <w:rPr>
          <w:color w:val="000000"/>
          <w:szCs w:val="22"/>
        </w:rPr>
      </w:pPr>
      <w:r w:rsidRPr="00C20F3E">
        <w:rPr>
          <w:b/>
          <w:bCs/>
          <w:iCs/>
          <w:color w:val="000000"/>
          <w:szCs w:val="22"/>
        </w:rPr>
        <w:t>Publishing</w:t>
      </w:r>
      <w:r w:rsidRPr="00C20F3E">
        <w:rPr>
          <w:b/>
          <w:color w:val="000000"/>
          <w:szCs w:val="22"/>
        </w:rPr>
        <w:t>:</w:t>
      </w:r>
      <w:r w:rsidRPr="006E4A6A">
        <w:rPr>
          <w:color w:val="000000"/>
          <w:szCs w:val="22"/>
        </w:rPr>
        <w:t xml:space="preserve"> outside printing and binding; reviews; paper and printing; other printing:  reprints of articles published in reviews;  brochures;  treaties;  collections of texts;  manuals;  working forms and other miscellaneous printed material;  videos</w:t>
      </w:r>
      <w:r>
        <w:rPr>
          <w:color w:val="000000"/>
          <w:szCs w:val="22"/>
        </w:rPr>
        <w:t>,</w:t>
      </w:r>
      <w:r w:rsidRPr="006E4A6A">
        <w:rPr>
          <w:color w:val="000000"/>
          <w:szCs w:val="22"/>
        </w:rPr>
        <w:t xml:space="preserve"> and other forms of electronic publishing.</w:t>
      </w:r>
    </w:p>
    <w:p w14:paraId="22107D43" w14:textId="77777777" w:rsidR="0090485B" w:rsidRPr="004A5000" w:rsidRDefault="0090485B" w:rsidP="0090485B"/>
    <w:p w14:paraId="6DA23461" w14:textId="77777777" w:rsidR="0090485B" w:rsidRPr="006E4A6A" w:rsidRDefault="0090485B" w:rsidP="0090485B">
      <w:pPr>
        <w:keepNext/>
        <w:rPr>
          <w:color w:val="000000"/>
          <w:szCs w:val="22"/>
        </w:rPr>
      </w:pPr>
      <w:r w:rsidRPr="00C20F3E">
        <w:rPr>
          <w:b/>
          <w:bCs/>
          <w:iCs/>
          <w:color w:val="000000"/>
          <w:szCs w:val="22"/>
        </w:rPr>
        <w:t>Individual Contractual Services</w:t>
      </w:r>
      <w:r w:rsidRPr="006E4A6A">
        <w:rPr>
          <w:color w:val="000000"/>
          <w:szCs w:val="22"/>
        </w:rPr>
        <w:t>:  remuneration paid in respect of individual contractual services.</w:t>
      </w:r>
    </w:p>
    <w:p w14:paraId="02C05132" w14:textId="77777777" w:rsidR="0090485B" w:rsidRPr="006E4A6A" w:rsidRDefault="0090485B" w:rsidP="0090485B">
      <w:pPr>
        <w:keepNext/>
      </w:pPr>
    </w:p>
    <w:p w14:paraId="26F7AAA1" w14:textId="77777777" w:rsidR="0090485B" w:rsidRDefault="0090485B" w:rsidP="0090485B">
      <w:pPr>
        <w:rPr>
          <w:color w:val="000000"/>
          <w:szCs w:val="22"/>
        </w:rPr>
      </w:pPr>
      <w:r w:rsidRPr="00F1091C">
        <w:rPr>
          <w:b/>
          <w:bCs/>
          <w:iCs/>
          <w:color w:val="000000"/>
          <w:spacing w:val="-2"/>
          <w:szCs w:val="22"/>
        </w:rPr>
        <w:t>Other Contractual Services:</w:t>
      </w:r>
      <w:r w:rsidRPr="00F1091C">
        <w:rPr>
          <w:bCs/>
          <w:iCs/>
          <w:color w:val="000000"/>
          <w:spacing w:val="-2"/>
          <w:szCs w:val="22"/>
        </w:rPr>
        <w:t xml:space="preserve"> </w:t>
      </w:r>
      <w:r w:rsidRPr="00F1091C">
        <w:rPr>
          <w:color w:val="000000"/>
          <w:spacing w:val="-2"/>
          <w:szCs w:val="22"/>
        </w:rPr>
        <w:t>includes all other contractual services with both commercial and non</w:t>
      </w:r>
      <w:r w:rsidRPr="00F1091C">
        <w:rPr>
          <w:color w:val="000000"/>
          <w:spacing w:val="-2"/>
          <w:szCs w:val="22"/>
        </w:rPr>
        <w:noBreakHyphen/>
        <w:t xml:space="preserve">commercial </w:t>
      </w:r>
      <w:r>
        <w:rPr>
          <w:color w:val="000000"/>
          <w:szCs w:val="22"/>
        </w:rPr>
        <w:t xml:space="preserve">service providers. </w:t>
      </w:r>
    </w:p>
    <w:p w14:paraId="0659B690" w14:textId="77777777" w:rsidR="0090485B" w:rsidRPr="006E4A6A" w:rsidRDefault="0090485B" w:rsidP="0090485B">
      <w:pPr>
        <w:rPr>
          <w:color w:val="000000"/>
          <w:szCs w:val="22"/>
        </w:rPr>
      </w:pPr>
    </w:p>
    <w:p w14:paraId="3ABD7526" w14:textId="77777777" w:rsidR="0090485B" w:rsidRPr="00FD6CDA" w:rsidRDefault="0090485B" w:rsidP="0090485B">
      <w:pPr>
        <w:keepNext/>
        <w:rPr>
          <w:rFonts w:cs="Arial"/>
          <w:bCs/>
          <w:i/>
          <w:color w:val="26724C" w:themeColor="accent1" w:themeShade="BF"/>
        </w:rPr>
      </w:pPr>
      <w:r w:rsidRPr="00FD6CDA">
        <w:rPr>
          <w:rFonts w:cs="Arial"/>
          <w:bCs/>
          <w:i/>
          <w:color w:val="26724C" w:themeColor="accent1" w:themeShade="BF"/>
        </w:rPr>
        <w:lastRenderedPageBreak/>
        <w:t>Operating Expenses</w:t>
      </w:r>
    </w:p>
    <w:p w14:paraId="11440D8C" w14:textId="77777777" w:rsidR="0090485B" w:rsidRPr="004A5000" w:rsidRDefault="0090485B" w:rsidP="0090485B">
      <w:pPr>
        <w:keepNext/>
        <w:rPr>
          <w:b/>
          <w:u w:val="single"/>
        </w:rPr>
      </w:pPr>
    </w:p>
    <w:p w14:paraId="7AC8660F" w14:textId="77777777" w:rsidR="0090485B" w:rsidRDefault="0090485B" w:rsidP="0090485B">
      <w:pPr>
        <w:rPr>
          <w:b/>
        </w:rPr>
      </w:pPr>
      <w:r w:rsidRPr="004A5000">
        <w:t xml:space="preserve">All expenses arising from the acquisition, rental, improvement and maintenance of office space and rental or maintenance of equipment and furniture.  </w:t>
      </w:r>
      <w:r w:rsidRPr="004A5000">
        <w:rPr>
          <w:color w:val="000000"/>
        </w:rPr>
        <w:t xml:space="preserve">Communication expenses such as telephone, </w:t>
      </w:r>
      <w:r>
        <w:rPr>
          <w:color w:val="000000"/>
        </w:rPr>
        <w:t>internet</w:t>
      </w:r>
      <w:r w:rsidRPr="004A5000">
        <w:rPr>
          <w:color w:val="000000"/>
        </w:rPr>
        <w:t>, facsimile</w:t>
      </w:r>
      <w:r>
        <w:rPr>
          <w:color w:val="000000"/>
        </w:rPr>
        <w:t>,</w:t>
      </w:r>
      <w:r w:rsidRPr="004A5000">
        <w:rPr>
          <w:color w:val="000000"/>
        </w:rPr>
        <w:t xml:space="preserve"> </w:t>
      </w:r>
      <w:r>
        <w:rPr>
          <w:color w:val="000000"/>
        </w:rPr>
        <w:t xml:space="preserve">and </w:t>
      </w:r>
      <w:r w:rsidRPr="004A5000">
        <w:rPr>
          <w:color w:val="000000"/>
        </w:rPr>
        <w:t>mail;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14:paraId="7500421C" w14:textId="77777777" w:rsidR="0090485B" w:rsidRPr="004A5000" w:rsidRDefault="0090485B" w:rsidP="0090485B">
      <w:pPr>
        <w:rPr>
          <w:b/>
        </w:rPr>
      </w:pPr>
    </w:p>
    <w:p w14:paraId="25F52555" w14:textId="77777777" w:rsidR="0090485B" w:rsidRPr="00FD6CDA" w:rsidRDefault="0090485B" w:rsidP="0090485B">
      <w:pPr>
        <w:keepNext/>
        <w:rPr>
          <w:rFonts w:cs="Arial"/>
          <w:bCs/>
          <w:i/>
          <w:color w:val="26724C" w:themeColor="accent1" w:themeShade="BF"/>
        </w:rPr>
      </w:pPr>
      <w:r w:rsidRPr="00FD6CDA">
        <w:rPr>
          <w:rFonts w:cs="Arial"/>
          <w:bCs/>
          <w:i/>
          <w:color w:val="26724C" w:themeColor="accent1" w:themeShade="BF"/>
        </w:rPr>
        <w:t>Equipment and Supplies</w:t>
      </w:r>
    </w:p>
    <w:p w14:paraId="48A5FCC7" w14:textId="77777777" w:rsidR="0090485B" w:rsidRPr="004A5000" w:rsidRDefault="0090485B" w:rsidP="0090485B">
      <w:pPr>
        <w:rPr>
          <w:rFonts w:cs="Arial"/>
        </w:rPr>
      </w:pPr>
    </w:p>
    <w:p w14:paraId="22DF4266" w14:textId="77777777" w:rsidR="0090485B" w:rsidRPr="006E4A6A" w:rsidRDefault="0090485B" w:rsidP="0090485B">
      <w:pPr>
        <w:rPr>
          <w:rFonts w:cs="Arial"/>
          <w:color w:val="000000"/>
        </w:rPr>
      </w:pPr>
      <w:r w:rsidRPr="00C20F3E">
        <w:rPr>
          <w:rFonts w:cs="Arial"/>
          <w:b/>
          <w:bCs/>
          <w:iCs/>
        </w:rPr>
        <w:t>Furniture and equipment</w:t>
      </w:r>
      <w:r w:rsidRPr="00C20F3E">
        <w:rPr>
          <w:rFonts w:cs="Arial"/>
          <w:b/>
        </w:rPr>
        <w:t>:</w:t>
      </w:r>
      <w:r w:rsidRPr="00C20F3E">
        <w:rPr>
          <w:rFonts w:cs="Arial"/>
        </w:rPr>
        <w:t xml:space="preserve"> </w:t>
      </w:r>
      <w:r w:rsidRPr="006E4A6A">
        <w:rPr>
          <w:rFonts w:cs="Arial"/>
          <w:color w:val="000000"/>
        </w:rPr>
        <w:t>purchase of office furniture, office machines, computer equipment (desktop, laptops, printers, servers, etc.), conference servicing equipment, reproduction equipment and transportation equipment.</w:t>
      </w:r>
    </w:p>
    <w:p w14:paraId="6A03104E" w14:textId="77777777" w:rsidR="0090485B" w:rsidRPr="006E4A6A" w:rsidRDefault="0090485B" w:rsidP="0090485B"/>
    <w:p w14:paraId="12956498" w14:textId="77777777" w:rsidR="0090485B" w:rsidRDefault="0090485B" w:rsidP="0090485B">
      <w:pPr>
        <w:rPr>
          <w:rFonts w:cs="Arial"/>
          <w:color w:val="000000"/>
        </w:rPr>
      </w:pPr>
      <w:r w:rsidRPr="00C20F3E">
        <w:rPr>
          <w:rFonts w:cs="Arial"/>
          <w:b/>
          <w:bCs/>
          <w:iCs/>
          <w:color w:val="000000"/>
        </w:rPr>
        <w:t>Supplies and materials</w:t>
      </w:r>
      <w:r w:rsidRPr="006E4A6A">
        <w:rPr>
          <w:rFonts w:cs="Arial"/>
          <w:color w:val="000000"/>
        </w:rPr>
        <w:t>: stationery and office supplies; internal reproduction supplies (offset, microfilms, etc.); library books and subscriptions to r</w:t>
      </w:r>
      <w:r w:rsidRPr="004A5000">
        <w:rPr>
          <w:rFonts w:cs="Arial"/>
          <w:color w:val="000000"/>
        </w:rPr>
        <w:t>eviews and periodicals; uniforms; computer s</w:t>
      </w:r>
      <w:r>
        <w:rPr>
          <w:rFonts w:cs="Arial"/>
          <w:color w:val="000000"/>
        </w:rPr>
        <w:t>upplies, software and licenses.</w:t>
      </w:r>
    </w:p>
    <w:p w14:paraId="0840D00C" w14:textId="77777777" w:rsidR="0090485B" w:rsidRPr="00BC7476" w:rsidRDefault="0090485B" w:rsidP="0090485B">
      <w:pPr>
        <w:rPr>
          <w:rFonts w:cs="Arial"/>
          <w:color w:val="000000"/>
        </w:rPr>
      </w:pPr>
    </w:p>
    <w:p w14:paraId="397A1202" w14:textId="77777777" w:rsidR="0090485B" w:rsidRPr="00421986" w:rsidRDefault="0090485B" w:rsidP="0090485B">
      <w:pPr>
        <w:pStyle w:val="endofdoc"/>
        <w:rPr>
          <w:rFonts w:cs="Arial"/>
        </w:rPr>
      </w:pPr>
      <w:r w:rsidRPr="00421986">
        <w:t xml:space="preserve">[End of </w:t>
      </w:r>
      <w:r>
        <w:t>Appendix</w:t>
      </w:r>
      <w:r w:rsidRPr="00421986">
        <w:t xml:space="preserve"> I</w:t>
      </w:r>
      <w:r>
        <w:t>I</w:t>
      </w:r>
      <w:r w:rsidRPr="00421986">
        <w:t>I and of document]</w:t>
      </w:r>
    </w:p>
    <w:p w14:paraId="1B11B2AB" w14:textId="77777777" w:rsidR="0090485B" w:rsidRPr="00421986" w:rsidRDefault="0090485B" w:rsidP="0090485B">
      <w:pPr>
        <w:jc w:val="left"/>
        <w:rPr>
          <w:snapToGrid w:val="0"/>
        </w:rPr>
      </w:pPr>
    </w:p>
    <w:p w14:paraId="441875F8" w14:textId="4A6C0250" w:rsidR="005A5F1D" w:rsidRPr="005A5F1D" w:rsidRDefault="005A5F1D" w:rsidP="005A5F1D"/>
    <w:sectPr w:rsidR="005A5F1D" w:rsidRPr="005A5F1D" w:rsidSect="005A5F1D">
      <w:headerReference w:type="even" r:id="rId58"/>
      <w:headerReference w:type="default" r:id="rId59"/>
      <w:footerReference w:type="even" r:id="rId60"/>
      <w:footerReference w:type="default" r:id="rId61"/>
      <w:headerReference w:type="first" r:id="rId62"/>
      <w:footerReference w:type="first" r:id="rId63"/>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9ED9" w14:textId="77777777" w:rsidR="007208B9" w:rsidRDefault="007208B9" w:rsidP="006655D3">
      <w:r>
        <w:separator/>
      </w:r>
    </w:p>
    <w:p w14:paraId="20FEEFD5" w14:textId="77777777" w:rsidR="007208B9" w:rsidRDefault="007208B9" w:rsidP="006655D3"/>
    <w:p w14:paraId="6F4381BD" w14:textId="77777777" w:rsidR="007208B9" w:rsidRDefault="007208B9" w:rsidP="006655D3"/>
  </w:endnote>
  <w:endnote w:type="continuationSeparator" w:id="0">
    <w:p w14:paraId="088C51CC" w14:textId="77777777" w:rsidR="007208B9" w:rsidRDefault="007208B9" w:rsidP="006655D3">
      <w:r>
        <w:separator/>
      </w:r>
    </w:p>
    <w:p w14:paraId="0A2AB79C" w14:textId="77777777" w:rsidR="007208B9" w:rsidRPr="00294751" w:rsidRDefault="007208B9">
      <w:pPr>
        <w:pStyle w:val="Footer"/>
        <w:spacing w:after="60"/>
        <w:rPr>
          <w:sz w:val="18"/>
          <w:lang w:val="fr-FR"/>
        </w:rPr>
      </w:pPr>
      <w:r w:rsidRPr="00294751">
        <w:rPr>
          <w:sz w:val="18"/>
          <w:lang w:val="fr-FR"/>
        </w:rPr>
        <w:t>[Suite de la note de la page précédente]</w:t>
      </w:r>
    </w:p>
    <w:p w14:paraId="23D28D80" w14:textId="77777777" w:rsidR="007208B9" w:rsidRPr="00294751" w:rsidRDefault="007208B9" w:rsidP="006655D3">
      <w:pPr>
        <w:rPr>
          <w:lang w:val="fr-FR"/>
        </w:rPr>
      </w:pPr>
    </w:p>
    <w:p w14:paraId="5F8B3952" w14:textId="77777777" w:rsidR="007208B9" w:rsidRPr="00294751" w:rsidRDefault="007208B9" w:rsidP="006655D3">
      <w:pPr>
        <w:rPr>
          <w:lang w:val="fr-FR"/>
        </w:rPr>
      </w:pPr>
    </w:p>
  </w:endnote>
  <w:endnote w:type="continuationNotice" w:id="1">
    <w:p w14:paraId="04E2D2E3" w14:textId="77777777" w:rsidR="007208B9" w:rsidRPr="00294751" w:rsidRDefault="007208B9" w:rsidP="006655D3">
      <w:pPr>
        <w:rPr>
          <w:lang w:val="fr-FR"/>
        </w:rPr>
      </w:pPr>
      <w:r w:rsidRPr="00294751">
        <w:rPr>
          <w:lang w:val="fr-FR"/>
        </w:rPr>
        <w:t>[Suite de la note page suivante]</w:t>
      </w:r>
    </w:p>
    <w:p w14:paraId="0CC0F4C2" w14:textId="77777777" w:rsidR="007208B9" w:rsidRPr="00294751" w:rsidRDefault="007208B9" w:rsidP="006655D3">
      <w:pPr>
        <w:rPr>
          <w:lang w:val="fr-FR"/>
        </w:rPr>
      </w:pPr>
    </w:p>
    <w:p w14:paraId="617A62FB" w14:textId="77777777" w:rsidR="007208B9" w:rsidRPr="00294751" w:rsidRDefault="007208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8D61" w14:textId="77777777" w:rsidR="00D94167" w:rsidRDefault="00D94167" w:rsidP="008F07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1812" w14:textId="77777777" w:rsidR="00D94167" w:rsidRDefault="00D94167" w:rsidP="008F07B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F5E8" w14:textId="77777777" w:rsidR="00D94167" w:rsidRDefault="00D941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E938" w14:textId="77777777" w:rsidR="00D94167" w:rsidRDefault="00D941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1C45" w14:textId="77777777" w:rsidR="00D94167" w:rsidRDefault="00D94167" w:rsidP="008F07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DD93" w14:textId="77777777" w:rsidR="00D94167" w:rsidRDefault="00D94167" w:rsidP="008F07B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4FC8" w14:textId="77777777" w:rsidR="00D94167" w:rsidRDefault="00D94167" w:rsidP="008F07B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0E53" w14:textId="77777777" w:rsidR="00D94167" w:rsidRDefault="00D9416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EEAB" w14:textId="77777777" w:rsidR="00D94167" w:rsidRDefault="00D9416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7048" w14:textId="77777777" w:rsidR="00D94167" w:rsidRDefault="00D9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22B3" w14:textId="77777777" w:rsidR="00D94167" w:rsidRDefault="00D94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D2D7" w14:textId="77777777" w:rsidR="00D94167" w:rsidRDefault="00D94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32E0" w14:textId="77777777" w:rsidR="00D94167" w:rsidRDefault="00D94167" w:rsidP="008F07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2E87" w14:textId="77777777" w:rsidR="00D94167" w:rsidRDefault="00D941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A8B7" w14:textId="77777777" w:rsidR="00D94167" w:rsidRDefault="00D941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4EC" w14:textId="77777777" w:rsidR="00D94167" w:rsidRDefault="00D94167" w:rsidP="008F07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5F19" w14:textId="77777777" w:rsidR="00D94167" w:rsidRDefault="00D941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91A3" w14:textId="77777777" w:rsidR="00D94167" w:rsidRDefault="00D94167" w:rsidP="008F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F3C5" w14:textId="77777777" w:rsidR="007208B9" w:rsidRDefault="007208B9" w:rsidP="006655D3">
      <w:r>
        <w:separator/>
      </w:r>
    </w:p>
  </w:footnote>
  <w:footnote w:type="continuationSeparator" w:id="0">
    <w:p w14:paraId="22FDC822" w14:textId="77777777" w:rsidR="007208B9" w:rsidRDefault="007208B9" w:rsidP="006655D3">
      <w:r>
        <w:separator/>
      </w:r>
    </w:p>
  </w:footnote>
  <w:footnote w:type="continuationNotice" w:id="1">
    <w:p w14:paraId="2801E064" w14:textId="77777777" w:rsidR="007208B9" w:rsidRPr="00AB530F" w:rsidRDefault="007208B9" w:rsidP="00AB530F">
      <w:pPr>
        <w:pStyle w:val="Footer"/>
      </w:pPr>
    </w:p>
  </w:footnote>
  <w:footnote w:id="2">
    <w:p w14:paraId="5F52BC1C" w14:textId="77777777" w:rsidR="00D94167" w:rsidRPr="00C20F3E" w:rsidRDefault="00D94167" w:rsidP="00D314EE">
      <w:pPr>
        <w:pStyle w:val="FootnoteText"/>
        <w:rPr>
          <w:lang w:val="da-DK"/>
        </w:rPr>
      </w:pPr>
      <w:r>
        <w:rPr>
          <w:rStyle w:val="FootnoteReference"/>
        </w:rPr>
        <w:footnoteRef/>
      </w:r>
      <w:r>
        <w:rPr>
          <w:lang w:val="da-DK"/>
        </w:rPr>
        <w:tab/>
      </w:r>
      <w:r w:rsidRPr="00C20F3E">
        <w:rPr>
          <w:lang w:val="da-DK"/>
        </w:rPr>
        <w:t xml:space="preserve">UPOV FAQs:  </w:t>
      </w:r>
      <w:hyperlink r:id="rId1" w:anchor="QG31" w:history="1">
        <w:r w:rsidRPr="00C20F3E">
          <w:rPr>
            <w:rStyle w:val="Hyperlink"/>
            <w:lang w:val="da-DK"/>
          </w:rPr>
          <w:t>https://www.upov.int/about/en/faq.html#QG31</w:t>
        </w:r>
      </w:hyperlink>
      <w:r w:rsidRPr="00C20F3E">
        <w:rPr>
          <w:rStyle w:val="Hyperlink"/>
          <w:color w:val="auto"/>
          <w:u w:val="none"/>
          <w:lang w:val="da-DK"/>
        </w:rPr>
        <w:t>.</w:t>
      </w:r>
    </w:p>
  </w:footnote>
  <w:footnote w:id="3">
    <w:p w14:paraId="04075A6A" w14:textId="77777777" w:rsidR="00D94167" w:rsidRPr="00C20F3E" w:rsidRDefault="00D94167" w:rsidP="00D314EE">
      <w:pPr>
        <w:pStyle w:val="FootnoteText"/>
        <w:rPr>
          <w:lang w:val="da-DK"/>
        </w:rPr>
      </w:pPr>
      <w:r>
        <w:rPr>
          <w:rStyle w:val="FootnoteReference"/>
        </w:rPr>
        <w:footnoteRef/>
      </w:r>
      <w:r>
        <w:rPr>
          <w:lang w:val="da-DK"/>
        </w:rPr>
        <w:tab/>
      </w:r>
      <w:r w:rsidRPr="00C20F3E">
        <w:rPr>
          <w:lang w:val="da-DK"/>
        </w:rPr>
        <w:t xml:space="preserve">UPOV FAQs:  </w:t>
      </w:r>
      <w:hyperlink r:id="rId2" w:anchor="QS11" w:history="1">
        <w:r w:rsidRPr="00C20F3E">
          <w:rPr>
            <w:rStyle w:val="Hyperlink"/>
            <w:lang w:val="da-DK"/>
          </w:rPr>
          <w:t>https://www.upov.int/about/en/faq.html#QS11</w:t>
        </w:r>
      </w:hyperlink>
      <w:r w:rsidRPr="00C20F3E">
        <w:rPr>
          <w:rStyle w:val="Hyperlink"/>
          <w:color w:val="auto"/>
          <w:u w:val="none"/>
          <w:lang w:val="da-DK"/>
        </w:rPr>
        <w:t>.</w:t>
      </w:r>
    </w:p>
  </w:footnote>
  <w:footnote w:id="4">
    <w:p w14:paraId="292438A0" w14:textId="77777777" w:rsidR="00D94167" w:rsidRDefault="00D94167" w:rsidP="00D314EE">
      <w:pPr>
        <w:pStyle w:val="FootnoteText"/>
      </w:pPr>
      <w:r>
        <w:rPr>
          <w:rStyle w:val="FootnoteReference"/>
        </w:rPr>
        <w:footnoteRef/>
      </w:r>
      <w:r>
        <w:tab/>
        <w:t>The procedure for consideration of documents by correspondence is provided in Circular E-20/094 of July 23, 2020 (available at the TC/56, CAJ/77 and C/54 webpages).</w:t>
      </w:r>
    </w:p>
  </w:footnote>
  <w:footnote w:id="5">
    <w:p w14:paraId="6D9D1ABA" w14:textId="77777777" w:rsidR="00D94167" w:rsidRPr="00C20F3E" w:rsidRDefault="00D94167" w:rsidP="00D314EE">
      <w:pPr>
        <w:pStyle w:val="FootnoteText"/>
      </w:pPr>
      <w:r>
        <w:rPr>
          <w:rStyle w:val="FootnoteReference"/>
        </w:rPr>
        <w:footnoteRef/>
      </w:r>
      <w:r>
        <w:tab/>
        <w:t>S</w:t>
      </w:r>
      <w:r w:rsidRPr="00421986">
        <w:t xml:space="preserve">ee FAQ </w:t>
      </w:r>
      <w:r>
        <w:t>“</w:t>
      </w:r>
      <w:r w:rsidRPr="00421986">
        <w:t>What does UPOV do?</w:t>
      </w:r>
      <w:r>
        <w:t xml:space="preserve">”: </w:t>
      </w:r>
      <w:hyperlink r:id="rId3" w:anchor="QG10" w:history="1">
        <w:r w:rsidRPr="00C20F3E">
          <w:rPr>
            <w:rStyle w:val="Hyperlink"/>
          </w:rPr>
          <w:t>https://www.upov.int/about/en/faq.html#QG10</w:t>
        </w:r>
      </w:hyperlink>
      <w:r w:rsidRPr="00C20F3E">
        <w:rPr>
          <w:rStyle w:val="Hyperlink"/>
          <w:color w:val="auto"/>
          <w:u w:val="none"/>
        </w:rPr>
        <w:t>.</w:t>
      </w:r>
    </w:p>
  </w:footnote>
  <w:footnote w:id="6">
    <w:p w14:paraId="3F175226" w14:textId="77777777" w:rsidR="00D94167" w:rsidRPr="00C20F3E" w:rsidRDefault="00D94167" w:rsidP="00D314EE">
      <w:pPr>
        <w:pStyle w:val="FootnoteText"/>
        <w:rPr>
          <w:lang w:val="da-DK"/>
        </w:rPr>
      </w:pPr>
      <w:r>
        <w:rPr>
          <w:rStyle w:val="FootnoteReference"/>
        </w:rPr>
        <w:footnoteRef/>
      </w:r>
      <w:r>
        <w:rPr>
          <w:lang w:val="da-DK"/>
        </w:rPr>
        <w:tab/>
      </w:r>
      <w:hyperlink r:id="rId4" w:history="1">
        <w:r w:rsidRPr="00C20F3E">
          <w:rPr>
            <w:rStyle w:val="Hyperlink"/>
            <w:lang w:val="da-DK"/>
          </w:rPr>
          <w:t>https://www.upov.int/edocs/infdocs/en/upov_inf_15.pdf</w:t>
        </w:r>
      </w:hyperlink>
      <w:r w:rsidRPr="00C20F3E">
        <w:rPr>
          <w:rStyle w:val="Hyperlink"/>
          <w:color w:val="auto"/>
          <w:u w:val="none"/>
          <w:lang w:val="da-DK"/>
        </w:rPr>
        <w:t>.</w:t>
      </w:r>
      <w:r w:rsidRPr="00C20F3E">
        <w:rPr>
          <w:lang w:val="da-DK"/>
        </w:rPr>
        <w:t xml:space="preserve"> </w:t>
      </w:r>
    </w:p>
  </w:footnote>
  <w:footnote w:id="7">
    <w:p w14:paraId="7CB749F4" w14:textId="77777777" w:rsidR="00D94167" w:rsidRDefault="00D94167" w:rsidP="00D314EE">
      <w:pPr>
        <w:pStyle w:val="FootnoteText"/>
      </w:pPr>
      <w:r w:rsidRPr="007232E1">
        <w:rPr>
          <w:rStyle w:val="FootnoteReference"/>
        </w:rPr>
        <w:footnoteRef/>
      </w:r>
      <w:r w:rsidRPr="007232E1">
        <w:tab/>
        <w:t>These examples of the situation in 2020 should not be construed as constituting any specific financial commitment or approval beyond 2020.</w:t>
      </w:r>
    </w:p>
  </w:footnote>
  <w:footnote w:id="8">
    <w:p w14:paraId="1E9D00CA" w14:textId="6D8E3563" w:rsidR="00D94167" w:rsidRDefault="00D94167" w:rsidP="00D314EE">
      <w:pPr>
        <w:pStyle w:val="FootnoteText"/>
      </w:pPr>
      <w:r w:rsidRPr="006C7A02">
        <w:rPr>
          <w:rStyle w:val="FootnoteReference"/>
        </w:rPr>
        <w:footnoteRef/>
      </w:r>
      <w:r w:rsidRPr="006C7A02">
        <w:t xml:space="preserve">The figures in tables 1 to </w:t>
      </w:r>
      <w:r>
        <w:t>8</w:t>
      </w:r>
      <w:r w:rsidRPr="006C7A02">
        <w:t xml:space="preserve">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0C00" w14:textId="77777777" w:rsidR="00D94167" w:rsidRDefault="00D94167" w:rsidP="008F07B7">
    <w:pPr>
      <w:pStyle w:val="Header"/>
      <w:jc w:val="right"/>
      <w:rPr>
        <w:b/>
        <w:color w:val="26724C" w:themeColor="accent1" w:themeShade="BF"/>
      </w:rPr>
    </w:pPr>
    <w:r w:rsidRPr="008B40C0">
      <w:rPr>
        <w:b/>
        <w:color w:val="26724C" w:themeColor="accent1" w:themeShade="BF"/>
      </w:rPr>
      <w:t>UPOV</w:t>
    </w:r>
  </w:p>
  <w:p w14:paraId="3B2744D3" w14:textId="450E6DF8" w:rsidR="00D94167" w:rsidRDefault="00D94167" w:rsidP="008F07B7">
    <w:pPr>
      <w:pStyle w:val="Header"/>
      <w:jc w:val="right"/>
      <w:rPr>
        <w:rStyle w:val="PageNumber"/>
        <w:color w:val="26724C" w:themeColor="accent1" w:themeShade="BF"/>
      </w:rPr>
    </w:pPr>
    <w:r w:rsidRPr="008B40C0">
      <w:rPr>
        <w:color w:val="26724C" w:themeColor="accent1" w:themeShade="BF"/>
        <w:lang w:val="fr-CH"/>
      </w:rPr>
      <w:t xml:space="preserve">page </w:t>
    </w:r>
    <w:r w:rsidRPr="008B40C0">
      <w:rPr>
        <w:rStyle w:val="PageNumber"/>
        <w:color w:val="26724C" w:themeColor="accent1" w:themeShade="BF"/>
      </w:rPr>
      <w:fldChar w:fldCharType="begin"/>
    </w:r>
    <w:r w:rsidRPr="008B40C0">
      <w:rPr>
        <w:rStyle w:val="PageNumber"/>
        <w:color w:val="26724C" w:themeColor="accent1" w:themeShade="BF"/>
        <w:lang w:val="fr-CH"/>
      </w:rPr>
      <w:instrText xml:space="preserve"> PAGE </w:instrText>
    </w:r>
    <w:r w:rsidRPr="008B40C0">
      <w:rPr>
        <w:rStyle w:val="PageNumber"/>
        <w:color w:val="26724C" w:themeColor="accent1" w:themeShade="BF"/>
      </w:rPr>
      <w:fldChar w:fldCharType="separate"/>
    </w:r>
    <w:r>
      <w:rPr>
        <w:rStyle w:val="PageNumber"/>
        <w:noProof/>
        <w:color w:val="26724C" w:themeColor="accent1" w:themeShade="BF"/>
        <w:lang w:val="fr-CH"/>
      </w:rPr>
      <w:t>2</w:t>
    </w:r>
    <w:r w:rsidRPr="008B40C0">
      <w:rPr>
        <w:rStyle w:val="PageNumber"/>
        <w:color w:val="26724C" w:themeColor="accent1" w:themeShade="BF"/>
      </w:rPr>
      <w:fldChar w:fldCharType="end"/>
    </w:r>
  </w:p>
  <w:p w14:paraId="6C8830E9" w14:textId="77777777" w:rsidR="00D94167" w:rsidRDefault="00D94167" w:rsidP="008F07B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D86" w14:textId="33399F07" w:rsidR="00D94167" w:rsidRPr="00C5280D" w:rsidRDefault="00D94167" w:rsidP="008F07B7">
    <w:pPr>
      <w:pStyle w:val="Header"/>
      <w:rPr>
        <w:rStyle w:val="PageNumber"/>
      </w:rPr>
    </w:pPr>
    <w:r w:rsidRPr="008211E4">
      <w:t xml:space="preserve">Draft Program and Budget for the </w:t>
    </w:r>
    <w:r>
      <w:t>2022</w:t>
    </w:r>
    <w:r>
      <w:noBreakHyphen/>
      <w:t>2023 </w:t>
    </w:r>
    <w:r w:rsidRPr="008211E4">
      <w:t>Biennium</w:t>
    </w:r>
  </w:p>
  <w:p w14:paraId="0AD60CD6" w14:textId="77777777" w:rsidR="00D94167" w:rsidRPr="00FE0119" w:rsidRDefault="00D94167" w:rsidP="008F07B7">
    <w:pPr>
      <w:pStyle w:val="Header"/>
    </w:pPr>
    <w:r w:rsidRPr="00FE0119">
      <w:t>Annex</w:t>
    </w:r>
    <w:r>
      <w:t xml:space="preserve"> II</w:t>
    </w:r>
    <w:r w:rsidRPr="00FE0119">
      <w:t xml:space="preserve">, page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50B72AA8" w14:textId="77777777" w:rsidR="00D94167" w:rsidRPr="00FE0119" w:rsidRDefault="00D94167" w:rsidP="008F07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5A2D" w14:textId="67073657" w:rsidR="00D94167" w:rsidRPr="00C5280D" w:rsidRDefault="00D94167" w:rsidP="008F07B7">
    <w:pPr>
      <w:pStyle w:val="Header"/>
      <w:rPr>
        <w:rStyle w:val="PageNumber"/>
      </w:rPr>
    </w:pPr>
    <w:r w:rsidRPr="008211E4">
      <w:t xml:space="preserve">Draft Program and Budget for the </w:t>
    </w:r>
    <w:r>
      <w:t>2022</w:t>
    </w:r>
    <w:r>
      <w:noBreakHyphen/>
      <w:t>2023 </w:t>
    </w:r>
    <w:r w:rsidRPr="008211E4">
      <w:t>Biennium</w:t>
    </w:r>
  </w:p>
  <w:p w14:paraId="01ED4B51" w14:textId="77777777" w:rsidR="00D94167" w:rsidRPr="001A7881" w:rsidRDefault="00D94167" w:rsidP="008F07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18F4"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66AC3090" w14:textId="1ABC83C5" w:rsidR="00D94167" w:rsidRPr="00495E48" w:rsidRDefault="00D94167" w:rsidP="008F07B7">
    <w:pPr>
      <w:pStyle w:val="Header"/>
      <w:jc w:val="right"/>
      <w:rPr>
        <w:color w:val="26724C" w:themeColor="accent1" w:themeShade="BF"/>
      </w:rPr>
    </w:pP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76D0020A" w14:textId="77777777" w:rsidR="00D94167" w:rsidRPr="008B40C0" w:rsidRDefault="00D94167" w:rsidP="008F07B7">
    <w:pPr>
      <w:pStyle w:val="Header"/>
      <w:pBdr>
        <w:bottom w:val="single" w:sz="4" w:space="1" w:color="auto"/>
      </w:pBdr>
      <w:jc w:val="right"/>
      <w:rPr>
        <w:color w:val="26724C" w:themeColor="accent1" w:themeShade="BF"/>
        <w:lang w:val="fr-CH"/>
      </w:rPr>
    </w:pPr>
    <w:r w:rsidRPr="008B40C0">
      <w:rPr>
        <w:color w:val="26724C" w:themeColor="accent1" w:themeShade="BF"/>
        <w:lang w:val="fr-CH"/>
      </w:rPr>
      <w:t>Appendix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24EB31E5" w14:textId="77777777" w:rsidR="00D94167" w:rsidRPr="00D4705E" w:rsidRDefault="00D94167" w:rsidP="008F07B7">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FB5C"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1803C12E" w14:textId="07B0BB9D" w:rsidR="00D94167" w:rsidRPr="00495E48" w:rsidRDefault="00D94167" w:rsidP="008F07B7">
    <w:pPr>
      <w:pStyle w:val="Header"/>
      <w:jc w:val="right"/>
      <w:rPr>
        <w:color w:val="26724C" w:themeColor="accent1" w:themeShade="BF"/>
      </w:rPr>
    </w:pPr>
    <w:r>
      <w:rPr>
        <w:color w:val="26724C" w:themeColor="accent1" w:themeShade="BF"/>
      </w:rPr>
      <w:t>Program and Budget 2022</w:t>
    </w:r>
    <w:r>
      <w:rPr>
        <w:color w:val="26724C" w:themeColor="accent1" w:themeShade="BF"/>
      </w:rPr>
      <w:noBreakHyphen/>
      <w:t>2023</w:t>
    </w:r>
  </w:p>
  <w:p w14:paraId="6316C37F" w14:textId="544BDFE1"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43517">
          <w:rPr>
            <w:noProof/>
            <w:color w:val="26724C" w:themeColor="accent1" w:themeShade="BF"/>
          </w:rPr>
          <w:t>35</w:t>
        </w:r>
        <w:r w:rsidRPr="008B40C0">
          <w:rPr>
            <w:noProof/>
            <w:color w:val="26724C" w:themeColor="accent1" w:themeShade="BF"/>
          </w:rPr>
          <w:fldChar w:fldCharType="end"/>
        </w:r>
      </w:sdtContent>
    </w:sdt>
  </w:p>
  <w:p w14:paraId="7B56CB68" w14:textId="77777777" w:rsidR="00D94167" w:rsidRPr="008B40C0" w:rsidRDefault="00D94167" w:rsidP="008F07B7">
    <w:pPr>
      <w:pStyle w:val="Header"/>
      <w:jc w:val="right"/>
      <w:rPr>
        <w:color w:val="26724C" w:themeColor="accent1" w:themeShade="BF"/>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DEA8"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6332AAFF" w14:textId="27FC2BFE" w:rsidR="00D94167" w:rsidRPr="00495E48" w:rsidRDefault="00D94167" w:rsidP="008F07B7">
    <w:pPr>
      <w:pStyle w:val="Header"/>
      <w:jc w:val="right"/>
      <w:rPr>
        <w:color w:val="26724C" w:themeColor="accent1" w:themeShade="BF"/>
      </w:rPr>
    </w:pP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29D6F2EC" w14:textId="77777777" w:rsidR="00D94167" w:rsidRPr="008B40C0" w:rsidRDefault="00D94167" w:rsidP="008F07B7">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36320BFF" w14:textId="77777777" w:rsidR="00D94167" w:rsidRPr="001522BD" w:rsidRDefault="00D94167" w:rsidP="008F07B7">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5339" w14:textId="77777777" w:rsidR="00D94167" w:rsidRDefault="00D941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D4D69"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5FCF6A7E" w14:textId="1C5B9939" w:rsidR="00D94167" w:rsidRPr="00495E48" w:rsidRDefault="00D94167" w:rsidP="008F07B7">
    <w:pPr>
      <w:pStyle w:val="Header"/>
      <w:jc w:val="right"/>
      <w:rPr>
        <w:color w:val="26724C" w:themeColor="accent1" w:themeShade="BF"/>
      </w:rPr>
    </w:pPr>
    <w:r>
      <w:rPr>
        <w:color w:val="26724C" w:themeColor="accent1" w:themeShade="BF"/>
      </w:rPr>
      <w:t>Program and Budget 2022</w:t>
    </w:r>
    <w:r>
      <w:rPr>
        <w:color w:val="26724C" w:themeColor="accent1" w:themeShade="BF"/>
      </w:rPr>
      <w:noBreakHyphen/>
      <w:t>2023</w:t>
    </w:r>
  </w:p>
  <w:p w14:paraId="33354A34" w14:textId="3BB4FBD4"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81479921"/>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43517">
          <w:rPr>
            <w:noProof/>
            <w:color w:val="26724C" w:themeColor="accent1" w:themeShade="BF"/>
          </w:rPr>
          <w:t>37</w:t>
        </w:r>
        <w:r w:rsidRPr="008B40C0">
          <w:rPr>
            <w:noProof/>
            <w:color w:val="26724C" w:themeColor="accent1" w:themeShade="BF"/>
          </w:rPr>
          <w:fldChar w:fldCharType="end"/>
        </w:r>
      </w:sdtContent>
    </w:sdt>
  </w:p>
  <w:p w14:paraId="1E6C6BFC" w14:textId="77777777" w:rsidR="00D94167" w:rsidRPr="008B40C0" w:rsidRDefault="00D94167" w:rsidP="008F07B7">
    <w:pPr>
      <w:pStyle w:val="Header"/>
      <w:jc w:val="right"/>
      <w:rPr>
        <w:color w:val="26724C" w:themeColor="accent1" w:themeShade="BF"/>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19" w14:textId="704A3753" w:rsidR="00D94167" w:rsidRPr="0004198B" w:rsidRDefault="00D94167"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2C98"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3CD8BC87" w14:textId="06F5B344" w:rsidR="00D94167" w:rsidRPr="00495E48" w:rsidRDefault="00D94167" w:rsidP="008F07B7">
    <w:pPr>
      <w:pStyle w:val="Header"/>
      <w:jc w:val="right"/>
      <w:rPr>
        <w:color w:val="26724C" w:themeColor="accent1" w:themeShade="BF"/>
      </w:rPr>
    </w:pPr>
    <w:r w:rsidRPr="00696FB8">
      <w:rPr>
        <w:color w:val="26724C" w:themeColor="accent1" w:themeShade="BF"/>
      </w:rPr>
      <w:t xml:space="preserve">Program </w:t>
    </w:r>
    <w:r>
      <w:rPr>
        <w:color w:val="26724C" w:themeColor="accent1" w:themeShade="BF"/>
      </w:rPr>
      <w:t>and Budget 2022</w:t>
    </w:r>
    <w:r>
      <w:rPr>
        <w:color w:val="26724C" w:themeColor="accent1" w:themeShade="BF"/>
      </w:rPr>
      <w:noBreakHyphen/>
      <w:t>2023</w:t>
    </w:r>
    <w:r w:rsidRPr="00495E48">
      <w:rPr>
        <w:color w:val="26724C" w:themeColor="accent1" w:themeShade="BF"/>
      </w:rPr>
      <w:t> </w:t>
    </w:r>
  </w:p>
  <w:p w14:paraId="61C563E1" w14:textId="4EC3D27E"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45684">
          <w:rPr>
            <w:noProof/>
            <w:color w:val="26724C" w:themeColor="accent1" w:themeShade="BF"/>
          </w:rPr>
          <w:t>1</w:t>
        </w:r>
        <w:r w:rsidRPr="008B40C0">
          <w:rPr>
            <w:noProof/>
            <w:color w:val="26724C" w:themeColor="accent1" w:themeShade="BF"/>
          </w:rPr>
          <w:fldChar w:fldCharType="end"/>
        </w:r>
      </w:sdtContent>
    </w:sdt>
  </w:p>
  <w:p w14:paraId="6C958A99" w14:textId="77777777" w:rsidR="00D94167" w:rsidRPr="00FE0119" w:rsidRDefault="00D94167" w:rsidP="008F0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3833" w14:textId="77777777" w:rsidR="00D94167" w:rsidRPr="004F4000" w:rsidRDefault="00D94167" w:rsidP="008F07B7">
    <w:pPr>
      <w:pStyle w:val="Header"/>
      <w:jc w:val="right"/>
      <w:rPr>
        <w:b/>
        <w:color w:val="26724C" w:themeColor="accent1" w:themeShade="BF"/>
      </w:rPr>
    </w:pPr>
    <w:r w:rsidRPr="004F4000">
      <w:rPr>
        <w:b/>
        <w:color w:val="26724C" w:themeColor="accent1" w:themeShade="BF"/>
      </w:rPr>
      <w:t>UPOV</w:t>
    </w:r>
  </w:p>
  <w:p w14:paraId="22D7DBD7" w14:textId="309789A4" w:rsidR="00D94167" w:rsidRPr="004F4000" w:rsidRDefault="00D94167" w:rsidP="008F07B7">
    <w:pPr>
      <w:pStyle w:val="Header"/>
      <w:jc w:val="right"/>
      <w:rPr>
        <w:color w:val="26724C" w:themeColor="accent1" w:themeShade="BF"/>
      </w:rPr>
    </w:pPr>
    <w:r w:rsidRPr="004F4000">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4E197C61" w14:textId="0EBD88B2"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43517">
          <w:rPr>
            <w:noProof/>
            <w:color w:val="26724C" w:themeColor="accent1" w:themeShade="BF"/>
          </w:rPr>
          <w:t>20</w:t>
        </w:r>
        <w:r w:rsidRPr="008B40C0">
          <w:rPr>
            <w:noProof/>
            <w:color w:val="26724C" w:themeColor="accent1" w:themeShade="BF"/>
          </w:rPr>
          <w:fldChar w:fldCharType="end"/>
        </w:r>
      </w:sdtContent>
    </w:sdt>
  </w:p>
  <w:p w14:paraId="42C574B2" w14:textId="77777777" w:rsidR="00D94167" w:rsidRPr="008B40C0" w:rsidRDefault="00D94167" w:rsidP="008F07B7">
    <w:pPr>
      <w:pStyle w:val="Header"/>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6CC8" w14:textId="3E72225B" w:rsidR="00D94167" w:rsidRDefault="006E3EDA" w:rsidP="00E6080D">
    <w:pPr>
      <w:pStyle w:val="Header"/>
    </w:pPr>
    <w:r>
      <w:t>C/55/4 Rev.</w:t>
    </w:r>
  </w:p>
  <w:p w14:paraId="33F6052D" w14:textId="07AF6C85" w:rsidR="00E6080D" w:rsidRDefault="00E6080D" w:rsidP="00E6080D">
    <w:pPr>
      <w:pStyle w:val="Header"/>
    </w:pPr>
  </w:p>
  <w:p w14:paraId="6FE2F099" w14:textId="564E72DA" w:rsidR="00E6080D" w:rsidRDefault="00E6080D" w:rsidP="00E6080D">
    <w:pPr>
      <w:pStyle w:val="Header"/>
    </w:pPr>
    <w:r>
      <w:t>ANNEX</w:t>
    </w:r>
  </w:p>
  <w:p w14:paraId="1A9908F6" w14:textId="6D8D8CE8" w:rsidR="00E6080D" w:rsidRDefault="00E6080D" w:rsidP="00E6080D">
    <w:pPr>
      <w:pStyle w:val="Header"/>
    </w:pPr>
  </w:p>
  <w:p w14:paraId="6A6385F5" w14:textId="77777777" w:rsidR="00E6080D" w:rsidRPr="001A7881" w:rsidRDefault="00E6080D" w:rsidP="00E608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A93D" w14:textId="6AEC16BD" w:rsidR="00D94167" w:rsidRPr="00C5280D" w:rsidRDefault="00D94167" w:rsidP="008F07B7">
    <w:pPr>
      <w:pStyle w:val="Header"/>
      <w:rPr>
        <w:rStyle w:val="PageNumber"/>
      </w:rPr>
    </w:pPr>
    <w:r w:rsidRPr="008211E4">
      <w:t xml:space="preserve">Draft Program and Budget for the </w:t>
    </w:r>
    <w:r>
      <w:t>2022</w:t>
    </w:r>
    <w:r>
      <w:noBreakHyphen/>
      <w:t>2023 </w:t>
    </w:r>
    <w:r w:rsidRPr="008211E4">
      <w:t>Biennium</w:t>
    </w:r>
  </w:p>
  <w:p w14:paraId="3BAF83D1" w14:textId="77777777" w:rsidR="00D94167" w:rsidRPr="00FE0119" w:rsidRDefault="00D94167" w:rsidP="008F07B7">
    <w:pPr>
      <w:pStyle w:val="Header"/>
    </w:pPr>
    <w:r w:rsidRPr="00FE0119">
      <w:t>Annex</w:t>
    </w:r>
    <w:r>
      <w:t xml:space="preserve"> II</w:t>
    </w:r>
    <w:r w:rsidRPr="00FE0119">
      <w:t xml:space="preserve">, page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5760D007" w14:textId="77777777" w:rsidR="00D94167" w:rsidRPr="00FE0119" w:rsidRDefault="00D94167" w:rsidP="008F07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6369"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22899D52" w14:textId="744A737B" w:rsidR="00D94167" w:rsidRPr="00495E48" w:rsidRDefault="00D94167" w:rsidP="008F07B7">
    <w:pPr>
      <w:pStyle w:val="Header"/>
      <w:jc w:val="right"/>
      <w:rPr>
        <w:color w:val="26724C" w:themeColor="accent1" w:themeShade="BF"/>
      </w:rPr>
    </w:pPr>
    <w:r>
      <w:rPr>
        <w:color w:val="26724C" w:themeColor="accent1" w:themeShade="BF"/>
      </w:rPr>
      <w:t>Program and Budget 2022</w:t>
    </w:r>
    <w:r>
      <w:rPr>
        <w:color w:val="26724C" w:themeColor="accent1" w:themeShade="BF"/>
      </w:rPr>
      <w:noBreakHyphen/>
      <w:t>2023</w:t>
    </w:r>
  </w:p>
  <w:p w14:paraId="14651507" w14:textId="18F89F0E"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43517">
          <w:rPr>
            <w:noProof/>
            <w:color w:val="26724C" w:themeColor="accent1" w:themeShade="BF"/>
          </w:rPr>
          <w:t>33</w:t>
        </w:r>
        <w:r w:rsidRPr="008B40C0">
          <w:rPr>
            <w:noProof/>
            <w:color w:val="26724C" w:themeColor="accent1" w:themeShade="BF"/>
          </w:rPr>
          <w:fldChar w:fldCharType="end"/>
        </w:r>
      </w:sdtContent>
    </w:sdt>
  </w:p>
  <w:p w14:paraId="04E476E7" w14:textId="77777777" w:rsidR="00D94167" w:rsidRPr="008B40C0" w:rsidRDefault="00D94167" w:rsidP="008F07B7">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BED5" w14:textId="77777777" w:rsidR="00D94167" w:rsidRPr="00696FB8" w:rsidRDefault="00D94167" w:rsidP="008F07B7">
    <w:pPr>
      <w:pStyle w:val="Header"/>
      <w:jc w:val="right"/>
      <w:rPr>
        <w:b/>
        <w:color w:val="26724C" w:themeColor="accent1" w:themeShade="BF"/>
      </w:rPr>
    </w:pPr>
    <w:r w:rsidRPr="00696FB8">
      <w:rPr>
        <w:b/>
        <w:color w:val="26724C" w:themeColor="accent1" w:themeShade="BF"/>
      </w:rPr>
      <w:t>UPOV</w:t>
    </w:r>
  </w:p>
  <w:p w14:paraId="27FDEB5D" w14:textId="4BCC2B40" w:rsidR="00D94167" w:rsidRPr="00495E48" w:rsidRDefault="00D94167" w:rsidP="008F07B7">
    <w:pPr>
      <w:pStyle w:val="Header"/>
      <w:jc w:val="right"/>
      <w:rPr>
        <w:color w:val="26724C" w:themeColor="accent1" w:themeShade="BF"/>
      </w:rPr>
    </w:pPr>
    <w:r w:rsidRPr="00696FB8">
      <w:rPr>
        <w:color w:val="26724C" w:themeColor="accent1" w:themeShade="BF"/>
      </w:rPr>
      <w:t xml:space="preserve">Draft </w:t>
    </w:r>
    <w:r>
      <w:rPr>
        <w:color w:val="26724C" w:themeColor="accent1" w:themeShade="BF"/>
      </w:rPr>
      <w:t>Program and Budget 2022</w:t>
    </w:r>
    <w:r>
      <w:rPr>
        <w:color w:val="26724C" w:themeColor="accent1" w:themeShade="BF"/>
      </w:rPr>
      <w:noBreakHyphen/>
      <w:t>2023</w:t>
    </w:r>
  </w:p>
  <w:p w14:paraId="533B1D89" w14:textId="77777777" w:rsidR="00D94167" w:rsidRPr="008B40C0" w:rsidRDefault="00D94167" w:rsidP="008F07B7">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1DE8E6F1" w14:textId="77777777" w:rsidR="00D94167" w:rsidRPr="008B40C0" w:rsidRDefault="00D94167" w:rsidP="008F07B7">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62FA" w14:textId="0A2F6FE6" w:rsidR="00D94167" w:rsidRPr="00C5280D" w:rsidRDefault="00D94167" w:rsidP="008F07B7">
    <w:pPr>
      <w:pStyle w:val="Header"/>
      <w:rPr>
        <w:rStyle w:val="PageNumber"/>
      </w:rPr>
    </w:pPr>
    <w:r w:rsidRPr="008211E4">
      <w:t xml:space="preserve">Draft Program and Budget for the </w:t>
    </w:r>
    <w:r>
      <w:t>2022</w:t>
    </w:r>
    <w:r>
      <w:noBreakHyphen/>
      <w:t>2023 </w:t>
    </w:r>
    <w:r w:rsidRPr="008211E4">
      <w:t>Biennium</w:t>
    </w:r>
  </w:p>
  <w:p w14:paraId="50BCE929" w14:textId="77777777" w:rsidR="00D94167" w:rsidRPr="00FE0119" w:rsidRDefault="00D94167" w:rsidP="008F07B7">
    <w:pPr>
      <w:pStyle w:val="Header"/>
    </w:pPr>
    <w:r w:rsidRPr="00FE0119">
      <w:t>Annex</w:t>
    </w:r>
    <w:r>
      <w:t xml:space="preserve"> II</w:t>
    </w:r>
    <w:r w:rsidRPr="00FE0119">
      <w:t xml:space="preserve">, page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7A49A9A6" w14:textId="77777777" w:rsidR="00D94167" w:rsidRPr="00FE0119" w:rsidRDefault="00D94167" w:rsidP="008F07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3961" w14:textId="704798D4" w:rsidR="00D94167" w:rsidRPr="00C5280D" w:rsidRDefault="00D94167" w:rsidP="008F07B7">
    <w:pPr>
      <w:pStyle w:val="Header"/>
      <w:rPr>
        <w:rStyle w:val="PageNumber"/>
      </w:rPr>
    </w:pPr>
    <w:r w:rsidRPr="008211E4">
      <w:t xml:space="preserve">Draft Program and Budget for the </w:t>
    </w:r>
    <w:r>
      <w:t>2022</w:t>
    </w:r>
    <w:r>
      <w:noBreakHyphen/>
      <w:t>2023 </w:t>
    </w:r>
    <w:r w:rsidRPr="008211E4">
      <w:t>Biennium</w:t>
    </w:r>
  </w:p>
  <w:p w14:paraId="0E5F172E" w14:textId="77777777" w:rsidR="00D94167" w:rsidRPr="00FE0119" w:rsidRDefault="00D94167" w:rsidP="008F07B7">
    <w:pPr>
      <w:pStyle w:val="Header"/>
    </w:pPr>
    <w:r w:rsidRPr="00FE0119">
      <w:t>Annex</w:t>
    </w:r>
    <w:r>
      <w:t xml:space="preserve"> II</w:t>
    </w:r>
    <w:r w:rsidRPr="00FE0119">
      <w:t xml:space="preserve">, page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71090A7D" w14:textId="77777777" w:rsidR="00D94167" w:rsidRPr="00FE0119" w:rsidRDefault="00D94167" w:rsidP="008F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439C4"/>
    <w:multiLevelType w:val="hybridMultilevel"/>
    <w:tmpl w:val="9BACAF58"/>
    <w:lvl w:ilvl="0" w:tplc="B1C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C65081"/>
    <w:multiLevelType w:val="hybridMultilevel"/>
    <w:tmpl w:val="D41A8BF0"/>
    <w:lvl w:ilvl="0" w:tplc="580E8744">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13"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10"/>
  </w:num>
  <w:num w:numId="5">
    <w:abstractNumId w:val="9"/>
  </w:num>
  <w:num w:numId="6">
    <w:abstractNumId w:val="2"/>
  </w:num>
  <w:num w:numId="7">
    <w:abstractNumId w:val="1"/>
  </w:num>
  <w:num w:numId="8">
    <w:abstractNumId w:val="6"/>
  </w:num>
  <w:num w:numId="9">
    <w:abstractNumId w:val="3"/>
  </w:num>
  <w:num w:numId="10">
    <w:abstractNumId w:val="11"/>
  </w:num>
  <w:num w:numId="11">
    <w:abstractNumId w:val="4"/>
  </w:num>
  <w:num w:numId="12">
    <w:abstractNumId w:val="0"/>
  </w:num>
  <w:num w:numId="13">
    <w:abstractNumId w:val="12"/>
  </w:num>
  <w:num w:numId="14">
    <w:abstractNumId w:val="8"/>
  </w:num>
  <w:num w:numId="15">
    <w:abstractNumId w:val="9"/>
  </w:num>
  <w:num w:numId="16">
    <w:abstractNumId w:val="0"/>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2A"/>
    <w:rsid w:val="00001E0A"/>
    <w:rsid w:val="0000307B"/>
    <w:rsid w:val="00004998"/>
    <w:rsid w:val="0000738E"/>
    <w:rsid w:val="00010CF3"/>
    <w:rsid w:val="00010ECA"/>
    <w:rsid w:val="00011E27"/>
    <w:rsid w:val="0001307A"/>
    <w:rsid w:val="000148BC"/>
    <w:rsid w:val="00015174"/>
    <w:rsid w:val="00016057"/>
    <w:rsid w:val="00017084"/>
    <w:rsid w:val="0002068D"/>
    <w:rsid w:val="00020C60"/>
    <w:rsid w:val="0002224C"/>
    <w:rsid w:val="00023B82"/>
    <w:rsid w:val="00024AB8"/>
    <w:rsid w:val="000261D4"/>
    <w:rsid w:val="00026B74"/>
    <w:rsid w:val="00030854"/>
    <w:rsid w:val="00032F63"/>
    <w:rsid w:val="00036028"/>
    <w:rsid w:val="0003647E"/>
    <w:rsid w:val="000410EB"/>
    <w:rsid w:val="0004198B"/>
    <w:rsid w:val="000428CD"/>
    <w:rsid w:val="00043861"/>
    <w:rsid w:val="00044642"/>
    <w:rsid w:val="000446B9"/>
    <w:rsid w:val="00047E21"/>
    <w:rsid w:val="00050E16"/>
    <w:rsid w:val="00051507"/>
    <w:rsid w:val="00055270"/>
    <w:rsid w:val="000603A6"/>
    <w:rsid w:val="000619E3"/>
    <w:rsid w:val="00062CD1"/>
    <w:rsid w:val="000631E2"/>
    <w:rsid w:val="00064EF6"/>
    <w:rsid w:val="00066C57"/>
    <w:rsid w:val="00070585"/>
    <w:rsid w:val="00071446"/>
    <w:rsid w:val="00071FF0"/>
    <w:rsid w:val="0007470B"/>
    <w:rsid w:val="00074D11"/>
    <w:rsid w:val="0007582D"/>
    <w:rsid w:val="00077C3E"/>
    <w:rsid w:val="00080EBB"/>
    <w:rsid w:val="00080F09"/>
    <w:rsid w:val="00084A2E"/>
    <w:rsid w:val="00085358"/>
    <w:rsid w:val="00085435"/>
    <w:rsid w:val="00085505"/>
    <w:rsid w:val="000864D3"/>
    <w:rsid w:val="00091D98"/>
    <w:rsid w:val="000947A2"/>
    <w:rsid w:val="00095027"/>
    <w:rsid w:val="00096166"/>
    <w:rsid w:val="000966B2"/>
    <w:rsid w:val="00096E23"/>
    <w:rsid w:val="00096FA0"/>
    <w:rsid w:val="000A0B96"/>
    <w:rsid w:val="000A3046"/>
    <w:rsid w:val="000A5504"/>
    <w:rsid w:val="000A7D06"/>
    <w:rsid w:val="000A7E8F"/>
    <w:rsid w:val="000B0549"/>
    <w:rsid w:val="000B09DD"/>
    <w:rsid w:val="000B0EEE"/>
    <w:rsid w:val="000B6247"/>
    <w:rsid w:val="000C4595"/>
    <w:rsid w:val="000C4E25"/>
    <w:rsid w:val="000C7021"/>
    <w:rsid w:val="000D3171"/>
    <w:rsid w:val="000D6BBC"/>
    <w:rsid w:val="000D7780"/>
    <w:rsid w:val="000D7FD5"/>
    <w:rsid w:val="000E189D"/>
    <w:rsid w:val="000E43D8"/>
    <w:rsid w:val="000E636A"/>
    <w:rsid w:val="000F2465"/>
    <w:rsid w:val="000F2F11"/>
    <w:rsid w:val="00100A5F"/>
    <w:rsid w:val="001036C8"/>
    <w:rsid w:val="00105929"/>
    <w:rsid w:val="00110A2F"/>
    <w:rsid w:val="00110BED"/>
    <w:rsid w:val="00110C36"/>
    <w:rsid w:val="001131D5"/>
    <w:rsid w:val="0011332B"/>
    <w:rsid w:val="00113345"/>
    <w:rsid w:val="0011422C"/>
    <w:rsid w:val="00114547"/>
    <w:rsid w:val="00115442"/>
    <w:rsid w:val="00117ABD"/>
    <w:rsid w:val="001218DB"/>
    <w:rsid w:val="00123F1F"/>
    <w:rsid w:val="00123FC7"/>
    <w:rsid w:val="00124286"/>
    <w:rsid w:val="0012775E"/>
    <w:rsid w:val="00127AE8"/>
    <w:rsid w:val="00133027"/>
    <w:rsid w:val="00135F54"/>
    <w:rsid w:val="0013660D"/>
    <w:rsid w:val="00136CAD"/>
    <w:rsid w:val="00136F5C"/>
    <w:rsid w:val="001376F0"/>
    <w:rsid w:val="001413A0"/>
    <w:rsid w:val="00141702"/>
    <w:rsid w:val="00141DB8"/>
    <w:rsid w:val="00143904"/>
    <w:rsid w:val="001441B2"/>
    <w:rsid w:val="001443EF"/>
    <w:rsid w:val="0014671E"/>
    <w:rsid w:val="001522BD"/>
    <w:rsid w:val="0015331C"/>
    <w:rsid w:val="0015697A"/>
    <w:rsid w:val="00156BF7"/>
    <w:rsid w:val="00157BDC"/>
    <w:rsid w:val="0016008B"/>
    <w:rsid w:val="00164A4E"/>
    <w:rsid w:val="0016531D"/>
    <w:rsid w:val="001669D8"/>
    <w:rsid w:val="00170B8A"/>
    <w:rsid w:val="00172084"/>
    <w:rsid w:val="0017474A"/>
    <w:rsid w:val="00175031"/>
    <w:rsid w:val="001758C6"/>
    <w:rsid w:val="00176FAC"/>
    <w:rsid w:val="0017700E"/>
    <w:rsid w:val="00177480"/>
    <w:rsid w:val="001804EC"/>
    <w:rsid w:val="00181C7C"/>
    <w:rsid w:val="00182B99"/>
    <w:rsid w:val="001842C0"/>
    <w:rsid w:val="001901CC"/>
    <w:rsid w:val="0019299C"/>
    <w:rsid w:val="001A06F7"/>
    <w:rsid w:val="001A1C67"/>
    <w:rsid w:val="001A7881"/>
    <w:rsid w:val="001A7AEB"/>
    <w:rsid w:val="001B206F"/>
    <w:rsid w:val="001C1525"/>
    <w:rsid w:val="001C1AF0"/>
    <w:rsid w:val="001C349A"/>
    <w:rsid w:val="001C5F0D"/>
    <w:rsid w:val="001C71E7"/>
    <w:rsid w:val="001D14A1"/>
    <w:rsid w:val="001D35E2"/>
    <w:rsid w:val="001D45D6"/>
    <w:rsid w:val="001D5211"/>
    <w:rsid w:val="001D6EC1"/>
    <w:rsid w:val="001D736D"/>
    <w:rsid w:val="001E041C"/>
    <w:rsid w:val="001E09FC"/>
    <w:rsid w:val="001E1414"/>
    <w:rsid w:val="001E29B1"/>
    <w:rsid w:val="001E660C"/>
    <w:rsid w:val="001E68A3"/>
    <w:rsid w:val="001F07FF"/>
    <w:rsid w:val="001F188D"/>
    <w:rsid w:val="001F3663"/>
    <w:rsid w:val="001F609B"/>
    <w:rsid w:val="001F63FE"/>
    <w:rsid w:val="002022CC"/>
    <w:rsid w:val="0021332C"/>
    <w:rsid w:val="00213982"/>
    <w:rsid w:val="00213DC5"/>
    <w:rsid w:val="00214C72"/>
    <w:rsid w:val="002223C2"/>
    <w:rsid w:val="0022343E"/>
    <w:rsid w:val="002235C7"/>
    <w:rsid w:val="00235419"/>
    <w:rsid w:val="00236FCE"/>
    <w:rsid w:val="00240DA7"/>
    <w:rsid w:val="0024416D"/>
    <w:rsid w:val="00247DDD"/>
    <w:rsid w:val="0025178E"/>
    <w:rsid w:val="00252E6F"/>
    <w:rsid w:val="002535CD"/>
    <w:rsid w:val="00253BC9"/>
    <w:rsid w:val="00255AE6"/>
    <w:rsid w:val="0025671C"/>
    <w:rsid w:val="00261575"/>
    <w:rsid w:val="002615C2"/>
    <w:rsid w:val="00261C74"/>
    <w:rsid w:val="00262F02"/>
    <w:rsid w:val="00265068"/>
    <w:rsid w:val="0026515D"/>
    <w:rsid w:val="00266D4C"/>
    <w:rsid w:val="00270C7C"/>
    <w:rsid w:val="00271911"/>
    <w:rsid w:val="00273187"/>
    <w:rsid w:val="00273D3A"/>
    <w:rsid w:val="00277D28"/>
    <w:rsid w:val="002800A0"/>
    <w:rsid w:val="002801B3"/>
    <w:rsid w:val="00280361"/>
    <w:rsid w:val="00281060"/>
    <w:rsid w:val="00281975"/>
    <w:rsid w:val="002841E9"/>
    <w:rsid w:val="00284422"/>
    <w:rsid w:val="00285BD0"/>
    <w:rsid w:val="00287921"/>
    <w:rsid w:val="002906C2"/>
    <w:rsid w:val="00292DC3"/>
    <w:rsid w:val="002940E8"/>
    <w:rsid w:val="002943AE"/>
    <w:rsid w:val="00294751"/>
    <w:rsid w:val="00297127"/>
    <w:rsid w:val="00297E7D"/>
    <w:rsid w:val="002A08E7"/>
    <w:rsid w:val="002A18AA"/>
    <w:rsid w:val="002A6E50"/>
    <w:rsid w:val="002B27ED"/>
    <w:rsid w:val="002B4298"/>
    <w:rsid w:val="002B5FB4"/>
    <w:rsid w:val="002B64BF"/>
    <w:rsid w:val="002B7A36"/>
    <w:rsid w:val="002B7E03"/>
    <w:rsid w:val="002C256A"/>
    <w:rsid w:val="002D3806"/>
    <w:rsid w:val="002D3C8F"/>
    <w:rsid w:val="002D5226"/>
    <w:rsid w:val="002D7B56"/>
    <w:rsid w:val="002E04DE"/>
    <w:rsid w:val="002E0951"/>
    <w:rsid w:val="002E279B"/>
    <w:rsid w:val="002E41E1"/>
    <w:rsid w:val="002E4C9B"/>
    <w:rsid w:val="002E79D3"/>
    <w:rsid w:val="002F007A"/>
    <w:rsid w:val="002F17D9"/>
    <w:rsid w:val="002F1EDA"/>
    <w:rsid w:val="002F4238"/>
    <w:rsid w:val="002F60E0"/>
    <w:rsid w:val="002F65DE"/>
    <w:rsid w:val="002F7809"/>
    <w:rsid w:val="002F7B8D"/>
    <w:rsid w:val="00300C31"/>
    <w:rsid w:val="00301B05"/>
    <w:rsid w:val="00304497"/>
    <w:rsid w:val="00304B21"/>
    <w:rsid w:val="00305435"/>
    <w:rsid w:val="00305681"/>
    <w:rsid w:val="00305A7F"/>
    <w:rsid w:val="00314758"/>
    <w:rsid w:val="003152FE"/>
    <w:rsid w:val="00315310"/>
    <w:rsid w:val="00316B61"/>
    <w:rsid w:val="003203B8"/>
    <w:rsid w:val="00320980"/>
    <w:rsid w:val="003233BB"/>
    <w:rsid w:val="003252C6"/>
    <w:rsid w:val="00325897"/>
    <w:rsid w:val="00327003"/>
    <w:rsid w:val="00327436"/>
    <w:rsid w:val="00327F0F"/>
    <w:rsid w:val="00332C74"/>
    <w:rsid w:val="00340499"/>
    <w:rsid w:val="00344BD6"/>
    <w:rsid w:val="00351264"/>
    <w:rsid w:val="003515BE"/>
    <w:rsid w:val="003544F6"/>
    <w:rsid w:val="0035528D"/>
    <w:rsid w:val="00361821"/>
    <w:rsid w:val="00361E9E"/>
    <w:rsid w:val="00364154"/>
    <w:rsid w:val="00371C7D"/>
    <w:rsid w:val="00372116"/>
    <w:rsid w:val="00372723"/>
    <w:rsid w:val="003727E8"/>
    <w:rsid w:val="003732FA"/>
    <w:rsid w:val="00373A5C"/>
    <w:rsid w:val="00373BA1"/>
    <w:rsid w:val="003753EE"/>
    <w:rsid w:val="0037555E"/>
    <w:rsid w:val="00381257"/>
    <w:rsid w:val="003854FF"/>
    <w:rsid w:val="0039633A"/>
    <w:rsid w:val="00397AC5"/>
    <w:rsid w:val="003A0098"/>
    <w:rsid w:val="003A0835"/>
    <w:rsid w:val="003A0F25"/>
    <w:rsid w:val="003A2B8C"/>
    <w:rsid w:val="003A5AAF"/>
    <w:rsid w:val="003A5C03"/>
    <w:rsid w:val="003A6DDB"/>
    <w:rsid w:val="003B5C64"/>
    <w:rsid w:val="003B700A"/>
    <w:rsid w:val="003B72A1"/>
    <w:rsid w:val="003C2934"/>
    <w:rsid w:val="003C46B8"/>
    <w:rsid w:val="003C5B8E"/>
    <w:rsid w:val="003C5EA6"/>
    <w:rsid w:val="003C6EEA"/>
    <w:rsid w:val="003C78E6"/>
    <w:rsid w:val="003C794B"/>
    <w:rsid w:val="003C7FBE"/>
    <w:rsid w:val="003D227C"/>
    <w:rsid w:val="003D2B4D"/>
    <w:rsid w:val="003D5385"/>
    <w:rsid w:val="003D5837"/>
    <w:rsid w:val="003D7259"/>
    <w:rsid w:val="003E09BE"/>
    <w:rsid w:val="003E128F"/>
    <w:rsid w:val="003E1935"/>
    <w:rsid w:val="003E2EE0"/>
    <w:rsid w:val="003E3B77"/>
    <w:rsid w:val="003E593B"/>
    <w:rsid w:val="003E6664"/>
    <w:rsid w:val="003F2BAB"/>
    <w:rsid w:val="003F37F5"/>
    <w:rsid w:val="003F3C00"/>
    <w:rsid w:val="003F5113"/>
    <w:rsid w:val="003F5F2B"/>
    <w:rsid w:val="003F66A8"/>
    <w:rsid w:val="00405BB9"/>
    <w:rsid w:val="00405E79"/>
    <w:rsid w:val="00407E0F"/>
    <w:rsid w:val="00416CCE"/>
    <w:rsid w:val="004170EF"/>
    <w:rsid w:val="004172E1"/>
    <w:rsid w:val="00421986"/>
    <w:rsid w:val="00423345"/>
    <w:rsid w:val="004264B9"/>
    <w:rsid w:val="004301C0"/>
    <w:rsid w:val="0043022A"/>
    <w:rsid w:val="0043569C"/>
    <w:rsid w:val="004358F3"/>
    <w:rsid w:val="00436697"/>
    <w:rsid w:val="004402AE"/>
    <w:rsid w:val="004429BB"/>
    <w:rsid w:val="00444A88"/>
    <w:rsid w:val="0045173C"/>
    <w:rsid w:val="004518F7"/>
    <w:rsid w:val="00453BC3"/>
    <w:rsid w:val="00456238"/>
    <w:rsid w:val="00456872"/>
    <w:rsid w:val="00462E90"/>
    <w:rsid w:val="00463A0D"/>
    <w:rsid w:val="00464447"/>
    <w:rsid w:val="004646FA"/>
    <w:rsid w:val="00466F02"/>
    <w:rsid w:val="00472B4B"/>
    <w:rsid w:val="00472C55"/>
    <w:rsid w:val="00474DA4"/>
    <w:rsid w:val="00476B4D"/>
    <w:rsid w:val="00477034"/>
    <w:rsid w:val="004805FA"/>
    <w:rsid w:val="00482F4E"/>
    <w:rsid w:val="0048303A"/>
    <w:rsid w:val="00485031"/>
    <w:rsid w:val="004870C3"/>
    <w:rsid w:val="0048733E"/>
    <w:rsid w:val="00487A0A"/>
    <w:rsid w:val="00491A96"/>
    <w:rsid w:val="004935D2"/>
    <w:rsid w:val="00494157"/>
    <w:rsid w:val="00494AAB"/>
    <w:rsid w:val="00495E48"/>
    <w:rsid w:val="004A0CB3"/>
    <w:rsid w:val="004A18D8"/>
    <w:rsid w:val="004A5CF3"/>
    <w:rsid w:val="004A78CE"/>
    <w:rsid w:val="004B1215"/>
    <w:rsid w:val="004B1B6D"/>
    <w:rsid w:val="004B3057"/>
    <w:rsid w:val="004B60AA"/>
    <w:rsid w:val="004C08A9"/>
    <w:rsid w:val="004C3BB3"/>
    <w:rsid w:val="004C4FC6"/>
    <w:rsid w:val="004C75B5"/>
    <w:rsid w:val="004C7BD9"/>
    <w:rsid w:val="004D01D9"/>
    <w:rsid w:val="004D047D"/>
    <w:rsid w:val="004D08B9"/>
    <w:rsid w:val="004D5ABD"/>
    <w:rsid w:val="004D6D68"/>
    <w:rsid w:val="004E130B"/>
    <w:rsid w:val="004E4A53"/>
    <w:rsid w:val="004E4CC5"/>
    <w:rsid w:val="004E620B"/>
    <w:rsid w:val="004E6944"/>
    <w:rsid w:val="004E6E2F"/>
    <w:rsid w:val="004F09E2"/>
    <w:rsid w:val="004F1E9E"/>
    <w:rsid w:val="004F305A"/>
    <w:rsid w:val="004F4000"/>
    <w:rsid w:val="004F5E98"/>
    <w:rsid w:val="00500F56"/>
    <w:rsid w:val="00504B5F"/>
    <w:rsid w:val="00505459"/>
    <w:rsid w:val="00512164"/>
    <w:rsid w:val="00514B54"/>
    <w:rsid w:val="0051798B"/>
    <w:rsid w:val="00517A59"/>
    <w:rsid w:val="00517D0D"/>
    <w:rsid w:val="00520297"/>
    <w:rsid w:val="00521D26"/>
    <w:rsid w:val="00521E06"/>
    <w:rsid w:val="0052552C"/>
    <w:rsid w:val="0052770B"/>
    <w:rsid w:val="00527740"/>
    <w:rsid w:val="00531AAA"/>
    <w:rsid w:val="0053267A"/>
    <w:rsid w:val="005338F9"/>
    <w:rsid w:val="00540339"/>
    <w:rsid w:val="0054281C"/>
    <w:rsid w:val="00543806"/>
    <w:rsid w:val="00544581"/>
    <w:rsid w:val="00547029"/>
    <w:rsid w:val="005520D5"/>
    <w:rsid w:val="0055268D"/>
    <w:rsid w:val="00552DDB"/>
    <w:rsid w:val="00554EF1"/>
    <w:rsid w:val="00555ABD"/>
    <w:rsid w:val="00556787"/>
    <w:rsid w:val="00557F69"/>
    <w:rsid w:val="0056102F"/>
    <w:rsid w:val="0056213A"/>
    <w:rsid w:val="005623BF"/>
    <w:rsid w:val="00563BE0"/>
    <w:rsid w:val="00564211"/>
    <w:rsid w:val="00564351"/>
    <w:rsid w:val="00564B43"/>
    <w:rsid w:val="00566608"/>
    <w:rsid w:val="00570265"/>
    <w:rsid w:val="005703FD"/>
    <w:rsid w:val="00571298"/>
    <w:rsid w:val="00572CD4"/>
    <w:rsid w:val="00573C2C"/>
    <w:rsid w:val="00575DE2"/>
    <w:rsid w:val="00576BE4"/>
    <w:rsid w:val="005779DB"/>
    <w:rsid w:val="0058683C"/>
    <w:rsid w:val="0059123B"/>
    <w:rsid w:val="00593F21"/>
    <w:rsid w:val="005956D0"/>
    <w:rsid w:val="0059654E"/>
    <w:rsid w:val="005A16B0"/>
    <w:rsid w:val="005A229F"/>
    <w:rsid w:val="005A369D"/>
    <w:rsid w:val="005A400A"/>
    <w:rsid w:val="005A5F1D"/>
    <w:rsid w:val="005A6AAA"/>
    <w:rsid w:val="005A748B"/>
    <w:rsid w:val="005B08FD"/>
    <w:rsid w:val="005B269D"/>
    <w:rsid w:val="005B416F"/>
    <w:rsid w:val="005B66E2"/>
    <w:rsid w:val="005C1019"/>
    <w:rsid w:val="005C7C14"/>
    <w:rsid w:val="005D098D"/>
    <w:rsid w:val="005D1C8C"/>
    <w:rsid w:val="005D3D99"/>
    <w:rsid w:val="005E0886"/>
    <w:rsid w:val="005E4D3F"/>
    <w:rsid w:val="005E60D5"/>
    <w:rsid w:val="005E71E2"/>
    <w:rsid w:val="005E78BB"/>
    <w:rsid w:val="005E7F90"/>
    <w:rsid w:val="005F0237"/>
    <w:rsid w:val="005F0EDA"/>
    <w:rsid w:val="005F7B14"/>
    <w:rsid w:val="005F7B92"/>
    <w:rsid w:val="00600B4E"/>
    <w:rsid w:val="006044B0"/>
    <w:rsid w:val="0060615B"/>
    <w:rsid w:val="006065F6"/>
    <w:rsid w:val="00612379"/>
    <w:rsid w:val="0061364E"/>
    <w:rsid w:val="0061490D"/>
    <w:rsid w:val="006153B6"/>
    <w:rsid w:val="0061555F"/>
    <w:rsid w:val="00620B7A"/>
    <w:rsid w:val="00621FB9"/>
    <w:rsid w:val="006245ED"/>
    <w:rsid w:val="00624A63"/>
    <w:rsid w:val="00624D95"/>
    <w:rsid w:val="00624EAB"/>
    <w:rsid w:val="00636CA6"/>
    <w:rsid w:val="00641200"/>
    <w:rsid w:val="00645CA8"/>
    <w:rsid w:val="006478C9"/>
    <w:rsid w:val="00650423"/>
    <w:rsid w:val="00651C04"/>
    <w:rsid w:val="006537FA"/>
    <w:rsid w:val="0065390E"/>
    <w:rsid w:val="006546C3"/>
    <w:rsid w:val="00657E39"/>
    <w:rsid w:val="00660E77"/>
    <w:rsid w:val="00663DC7"/>
    <w:rsid w:val="00665321"/>
    <w:rsid w:val="006655D3"/>
    <w:rsid w:val="00667404"/>
    <w:rsid w:val="00667E62"/>
    <w:rsid w:val="0067000F"/>
    <w:rsid w:val="00671DCB"/>
    <w:rsid w:val="006846DE"/>
    <w:rsid w:val="006848FA"/>
    <w:rsid w:val="00684CA9"/>
    <w:rsid w:val="00685A6E"/>
    <w:rsid w:val="00687790"/>
    <w:rsid w:val="00687EB4"/>
    <w:rsid w:val="00691B59"/>
    <w:rsid w:val="00693021"/>
    <w:rsid w:val="006953D3"/>
    <w:rsid w:val="00695C56"/>
    <w:rsid w:val="006A0F0F"/>
    <w:rsid w:val="006A3547"/>
    <w:rsid w:val="006A508C"/>
    <w:rsid w:val="006A5CDE"/>
    <w:rsid w:val="006A644A"/>
    <w:rsid w:val="006A6A68"/>
    <w:rsid w:val="006B17D2"/>
    <w:rsid w:val="006B428A"/>
    <w:rsid w:val="006B6A3D"/>
    <w:rsid w:val="006C1CB2"/>
    <w:rsid w:val="006C224E"/>
    <w:rsid w:val="006C3FD6"/>
    <w:rsid w:val="006C68D2"/>
    <w:rsid w:val="006C7A02"/>
    <w:rsid w:val="006D0997"/>
    <w:rsid w:val="006D0E2E"/>
    <w:rsid w:val="006D10BF"/>
    <w:rsid w:val="006D118B"/>
    <w:rsid w:val="006D3699"/>
    <w:rsid w:val="006D3A62"/>
    <w:rsid w:val="006D5FCE"/>
    <w:rsid w:val="006D71A3"/>
    <w:rsid w:val="006D780A"/>
    <w:rsid w:val="006E0AD2"/>
    <w:rsid w:val="006E1A2B"/>
    <w:rsid w:val="006E3EDA"/>
    <w:rsid w:val="006E4A6A"/>
    <w:rsid w:val="006E50A7"/>
    <w:rsid w:val="006E57E4"/>
    <w:rsid w:val="006F0BF7"/>
    <w:rsid w:val="006F2788"/>
    <w:rsid w:val="006F3E5E"/>
    <w:rsid w:val="006F3FC1"/>
    <w:rsid w:val="006F472B"/>
    <w:rsid w:val="006F4B4B"/>
    <w:rsid w:val="006F6FA3"/>
    <w:rsid w:val="00703DCE"/>
    <w:rsid w:val="00711926"/>
    <w:rsid w:val="0071271E"/>
    <w:rsid w:val="0071290E"/>
    <w:rsid w:val="007129C0"/>
    <w:rsid w:val="00713CE6"/>
    <w:rsid w:val="0071539C"/>
    <w:rsid w:val="00715DD5"/>
    <w:rsid w:val="00716453"/>
    <w:rsid w:val="007179BE"/>
    <w:rsid w:val="007208B9"/>
    <w:rsid w:val="00721B62"/>
    <w:rsid w:val="007232E1"/>
    <w:rsid w:val="00725793"/>
    <w:rsid w:val="00731007"/>
    <w:rsid w:val="00732DEC"/>
    <w:rsid w:val="00735517"/>
    <w:rsid w:val="00735634"/>
    <w:rsid w:val="00735BD5"/>
    <w:rsid w:val="00736F2D"/>
    <w:rsid w:val="00737508"/>
    <w:rsid w:val="007441E9"/>
    <w:rsid w:val="00744E13"/>
    <w:rsid w:val="007451EC"/>
    <w:rsid w:val="00750987"/>
    <w:rsid w:val="00751613"/>
    <w:rsid w:val="00753EE9"/>
    <w:rsid w:val="007556F6"/>
    <w:rsid w:val="00755D48"/>
    <w:rsid w:val="00760EEF"/>
    <w:rsid w:val="0076685C"/>
    <w:rsid w:val="00772D48"/>
    <w:rsid w:val="00772EEA"/>
    <w:rsid w:val="0077481D"/>
    <w:rsid w:val="00777AF9"/>
    <w:rsid w:val="00777EE5"/>
    <w:rsid w:val="00784836"/>
    <w:rsid w:val="00787E93"/>
    <w:rsid w:val="0079023E"/>
    <w:rsid w:val="00794FE2"/>
    <w:rsid w:val="00796FB9"/>
    <w:rsid w:val="007A0976"/>
    <w:rsid w:val="007A11B9"/>
    <w:rsid w:val="007A2854"/>
    <w:rsid w:val="007A37EF"/>
    <w:rsid w:val="007A52A9"/>
    <w:rsid w:val="007A6BBF"/>
    <w:rsid w:val="007B03B2"/>
    <w:rsid w:val="007B0688"/>
    <w:rsid w:val="007B13C3"/>
    <w:rsid w:val="007B660D"/>
    <w:rsid w:val="007B77AE"/>
    <w:rsid w:val="007C1D92"/>
    <w:rsid w:val="007C251B"/>
    <w:rsid w:val="007C4CB9"/>
    <w:rsid w:val="007C4FB7"/>
    <w:rsid w:val="007C6B9B"/>
    <w:rsid w:val="007C739A"/>
    <w:rsid w:val="007D0B9D"/>
    <w:rsid w:val="007D1467"/>
    <w:rsid w:val="007D19B0"/>
    <w:rsid w:val="007D4635"/>
    <w:rsid w:val="007D5A17"/>
    <w:rsid w:val="007E420E"/>
    <w:rsid w:val="007E5554"/>
    <w:rsid w:val="007E7D93"/>
    <w:rsid w:val="007F064F"/>
    <w:rsid w:val="007F19B8"/>
    <w:rsid w:val="007F2973"/>
    <w:rsid w:val="007F2F58"/>
    <w:rsid w:val="007F314E"/>
    <w:rsid w:val="007F498F"/>
    <w:rsid w:val="00801165"/>
    <w:rsid w:val="008064EC"/>
    <w:rsid w:val="0080679D"/>
    <w:rsid w:val="008105BC"/>
    <w:rsid w:val="008108B0"/>
    <w:rsid w:val="00811B20"/>
    <w:rsid w:val="00811D76"/>
    <w:rsid w:val="00812609"/>
    <w:rsid w:val="00813268"/>
    <w:rsid w:val="008162BD"/>
    <w:rsid w:val="0081751B"/>
    <w:rsid w:val="008211B5"/>
    <w:rsid w:val="008224BD"/>
    <w:rsid w:val="0082296E"/>
    <w:rsid w:val="00824099"/>
    <w:rsid w:val="00826002"/>
    <w:rsid w:val="00831855"/>
    <w:rsid w:val="00836CE7"/>
    <w:rsid w:val="0084076C"/>
    <w:rsid w:val="0084256C"/>
    <w:rsid w:val="00843242"/>
    <w:rsid w:val="00843EF1"/>
    <w:rsid w:val="00846D7C"/>
    <w:rsid w:val="00852209"/>
    <w:rsid w:val="00855FB5"/>
    <w:rsid w:val="008577A0"/>
    <w:rsid w:val="0086387C"/>
    <w:rsid w:val="00864EC2"/>
    <w:rsid w:val="00867AC1"/>
    <w:rsid w:val="00870B99"/>
    <w:rsid w:val="008721EF"/>
    <w:rsid w:val="0087226C"/>
    <w:rsid w:val="00873B39"/>
    <w:rsid w:val="008751DE"/>
    <w:rsid w:val="00883170"/>
    <w:rsid w:val="00886036"/>
    <w:rsid w:val="008871A4"/>
    <w:rsid w:val="00887619"/>
    <w:rsid w:val="00890DF8"/>
    <w:rsid w:val="00891DB9"/>
    <w:rsid w:val="008963BD"/>
    <w:rsid w:val="00897907"/>
    <w:rsid w:val="00897D33"/>
    <w:rsid w:val="008A0ADE"/>
    <w:rsid w:val="008A3809"/>
    <w:rsid w:val="008A743F"/>
    <w:rsid w:val="008B3C3B"/>
    <w:rsid w:val="008B40C0"/>
    <w:rsid w:val="008B4AC6"/>
    <w:rsid w:val="008C0970"/>
    <w:rsid w:val="008C1AF2"/>
    <w:rsid w:val="008C40AE"/>
    <w:rsid w:val="008C5BB5"/>
    <w:rsid w:val="008C6283"/>
    <w:rsid w:val="008C72BC"/>
    <w:rsid w:val="008D0BC5"/>
    <w:rsid w:val="008D2CF7"/>
    <w:rsid w:val="008D5B6D"/>
    <w:rsid w:val="008E2AFE"/>
    <w:rsid w:val="008E3544"/>
    <w:rsid w:val="008E4BF9"/>
    <w:rsid w:val="008E72BA"/>
    <w:rsid w:val="008E7F7F"/>
    <w:rsid w:val="008F07B7"/>
    <w:rsid w:val="008F32B9"/>
    <w:rsid w:val="00900B52"/>
    <w:rsid w:val="00900C26"/>
    <w:rsid w:val="009017B5"/>
    <w:rsid w:val="0090197F"/>
    <w:rsid w:val="00903264"/>
    <w:rsid w:val="00903B45"/>
    <w:rsid w:val="00904495"/>
    <w:rsid w:val="0090485B"/>
    <w:rsid w:val="00906DDC"/>
    <w:rsid w:val="00907396"/>
    <w:rsid w:val="0091010C"/>
    <w:rsid w:val="009136C3"/>
    <w:rsid w:val="00917DFC"/>
    <w:rsid w:val="00922CEF"/>
    <w:rsid w:val="009263E2"/>
    <w:rsid w:val="0092788D"/>
    <w:rsid w:val="00934E09"/>
    <w:rsid w:val="00936253"/>
    <w:rsid w:val="00936F20"/>
    <w:rsid w:val="009372FF"/>
    <w:rsid w:val="00940AA6"/>
    <w:rsid w:val="00940D46"/>
    <w:rsid w:val="00940F6F"/>
    <w:rsid w:val="009413F1"/>
    <w:rsid w:val="0095067F"/>
    <w:rsid w:val="00950CF1"/>
    <w:rsid w:val="00952DD4"/>
    <w:rsid w:val="00953B98"/>
    <w:rsid w:val="00955636"/>
    <w:rsid w:val="00955FDB"/>
    <w:rsid w:val="009561F4"/>
    <w:rsid w:val="00956CB7"/>
    <w:rsid w:val="00957947"/>
    <w:rsid w:val="009600AE"/>
    <w:rsid w:val="009609CC"/>
    <w:rsid w:val="00961E69"/>
    <w:rsid w:val="0096287C"/>
    <w:rsid w:val="00962C3F"/>
    <w:rsid w:val="0096327A"/>
    <w:rsid w:val="009651FA"/>
    <w:rsid w:val="00965AE7"/>
    <w:rsid w:val="00966430"/>
    <w:rsid w:val="00970FED"/>
    <w:rsid w:val="009716EF"/>
    <w:rsid w:val="00973782"/>
    <w:rsid w:val="00974868"/>
    <w:rsid w:val="009765A6"/>
    <w:rsid w:val="0098077D"/>
    <w:rsid w:val="00982797"/>
    <w:rsid w:val="00986854"/>
    <w:rsid w:val="009870E6"/>
    <w:rsid w:val="0098779F"/>
    <w:rsid w:val="0099006B"/>
    <w:rsid w:val="00992385"/>
    <w:rsid w:val="00992D82"/>
    <w:rsid w:val="00997029"/>
    <w:rsid w:val="009A1754"/>
    <w:rsid w:val="009A3558"/>
    <w:rsid w:val="009A3DA0"/>
    <w:rsid w:val="009A5334"/>
    <w:rsid w:val="009A6961"/>
    <w:rsid w:val="009A7339"/>
    <w:rsid w:val="009B05E1"/>
    <w:rsid w:val="009B0AF0"/>
    <w:rsid w:val="009B32DD"/>
    <w:rsid w:val="009B3B8B"/>
    <w:rsid w:val="009B440E"/>
    <w:rsid w:val="009B48FC"/>
    <w:rsid w:val="009B5431"/>
    <w:rsid w:val="009B556C"/>
    <w:rsid w:val="009B5BE1"/>
    <w:rsid w:val="009B67E2"/>
    <w:rsid w:val="009C05B5"/>
    <w:rsid w:val="009C4C78"/>
    <w:rsid w:val="009D30F0"/>
    <w:rsid w:val="009D325D"/>
    <w:rsid w:val="009D45F3"/>
    <w:rsid w:val="009D6816"/>
    <w:rsid w:val="009D690D"/>
    <w:rsid w:val="009D7044"/>
    <w:rsid w:val="009E08DA"/>
    <w:rsid w:val="009E1027"/>
    <w:rsid w:val="009E1482"/>
    <w:rsid w:val="009E1BC8"/>
    <w:rsid w:val="009E25C8"/>
    <w:rsid w:val="009E2EF9"/>
    <w:rsid w:val="009E344B"/>
    <w:rsid w:val="009E42A0"/>
    <w:rsid w:val="009E65B6"/>
    <w:rsid w:val="009E6EFE"/>
    <w:rsid w:val="009F0A51"/>
    <w:rsid w:val="009F1C4A"/>
    <w:rsid w:val="009F4B94"/>
    <w:rsid w:val="009F7725"/>
    <w:rsid w:val="009F77CF"/>
    <w:rsid w:val="00A002DC"/>
    <w:rsid w:val="00A01CBF"/>
    <w:rsid w:val="00A02299"/>
    <w:rsid w:val="00A04EB1"/>
    <w:rsid w:val="00A05B97"/>
    <w:rsid w:val="00A11A55"/>
    <w:rsid w:val="00A11AA7"/>
    <w:rsid w:val="00A1336E"/>
    <w:rsid w:val="00A20000"/>
    <w:rsid w:val="00A205DC"/>
    <w:rsid w:val="00A21216"/>
    <w:rsid w:val="00A24C10"/>
    <w:rsid w:val="00A3101B"/>
    <w:rsid w:val="00A34DA6"/>
    <w:rsid w:val="00A41E95"/>
    <w:rsid w:val="00A42AC3"/>
    <w:rsid w:val="00A430CF"/>
    <w:rsid w:val="00A43517"/>
    <w:rsid w:val="00A451BF"/>
    <w:rsid w:val="00A45684"/>
    <w:rsid w:val="00A53272"/>
    <w:rsid w:val="00A538C9"/>
    <w:rsid w:val="00A54309"/>
    <w:rsid w:val="00A54FFA"/>
    <w:rsid w:val="00A609BC"/>
    <w:rsid w:val="00A610A9"/>
    <w:rsid w:val="00A61EBA"/>
    <w:rsid w:val="00A6284C"/>
    <w:rsid w:val="00A63E38"/>
    <w:rsid w:val="00A64595"/>
    <w:rsid w:val="00A6558F"/>
    <w:rsid w:val="00A70C08"/>
    <w:rsid w:val="00A70F08"/>
    <w:rsid w:val="00A72D42"/>
    <w:rsid w:val="00A7304C"/>
    <w:rsid w:val="00A74DC7"/>
    <w:rsid w:val="00A75EB9"/>
    <w:rsid w:val="00A76AA5"/>
    <w:rsid w:val="00A76FAA"/>
    <w:rsid w:val="00A80640"/>
    <w:rsid w:val="00A80799"/>
    <w:rsid w:val="00A80833"/>
    <w:rsid w:val="00A809B8"/>
    <w:rsid w:val="00A80F2A"/>
    <w:rsid w:val="00A817DC"/>
    <w:rsid w:val="00A81F57"/>
    <w:rsid w:val="00A83A5C"/>
    <w:rsid w:val="00A869D1"/>
    <w:rsid w:val="00A90773"/>
    <w:rsid w:val="00A948FF"/>
    <w:rsid w:val="00A958FA"/>
    <w:rsid w:val="00A96C33"/>
    <w:rsid w:val="00AA04F2"/>
    <w:rsid w:val="00AA09CA"/>
    <w:rsid w:val="00AA13A2"/>
    <w:rsid w:val="00AA1424"/>
    <w:rsid w:val="00AA1A0D"/>
    <w:rsid w:val="00AA7C62"/>
    <w:rsid w:val="00AB09BE"/>
    <w:rsid w:val="00AB2B93"/>
    <w:rsid w:val="00AB530F"/>
    <w:rsid w:val="00AB7E5B"/>
    <w:rsid w:val="00AC2883"/>
    <w:rsid w:val="00AC2A7A"/>
    <w:rsid w:val="00AD18A1"/>
    <w:rsid w:val="00AD1DE6"/>
    <w:rsid w:val="00AD3DBC"/>
    <w:rsid w:val="00AD5D0D"/>
    <w:rsid w:val="00AD6DDB"/>
    <w:rsid w:val="00AD73DF"/>
    <w:rsid w:val="00AE0D3E"/>
    <w:rsid w:val="00AE0EF1"/>
    <w:rsid w:val="00AE260F"/>
    <w:rsid w:val="00AE2937"/>
    <w:rsid w:val="00AE39ED"/>
    <w:rsid w:val="00AE6754"/>
    <w:rsid w:val="00AE7F9E"/>
    <w:rsid w:val="00AF305D"/>
    <w:rsid w:val="00AF3133"/>
    <w:rsid w:val="00AF3B60"/>
    <w:rsid w:val="00AF3CF9"/>
    <w:rsid w:val="00B00F81"/>
    <w:rsid w:val="00B012B5"/>
    <w:rsid w:val="00B02939"/>
    <w:rsid w:val="00B041C5"/>
    <w:rsid w:val="00B07301"/>
    <w:rsid w:val="00B10A9A"/>
    <w:rsid w:val="00B11F3E"/>
    <w:rsid w:val="00B12441"/>
    <w:rsid w:val="00B15601"/>
    <w:rsid w:val="00B224DE"/>
    <w:rsid w:val="00B24CC9"/>
    <w:rsid w:val="00B25118"/>
    <w:rsid w:val="00B277EC"/>
    <w:rsid w:val="00B305D6"/>
    <w:rsid w:val="00B324D4"/>
    <w:rsid w:val="00B40373"/>
    <w:rsid w:val="00B41444"/>
    <w:rsid w:val="00B418EE"/>
    <w:rsid w:val="00B42B8F"/>
    <w:rsid w:val="00B46575"/>
    <w:rsid w:val="00B4729D"/>
    <w:rsid w:val="00B47C93"/>
    <w:rsid w:val="00B47D60"/>
    <w:rsid w:val="00B5209D"/>
    <w:rsid w:val="00B60AD3"/>
    <w:rsid w:val="00B60DB4"/>
    <w:rsid w:val="00B61777"/>
    <w:rsid w:val="00B622E6"/>
    <w:rsid w:val="00B626E2"/>
    <w:rsid w:val="00B6347C"/>
    <w:rsid w:val="00B63F86"/>
    <w:rsid w:val="00B677B0"/>
    <w:rsid w:val="00B724B0"/>
    <w:rsid w:val="00B80EB0"/>
    <w:rsid w:val="00B8195B"/>
    <w:rsid w:val="00B8251D"/>
    <w:rsid w:val="00B82BF0"/>
    <w:rsid w:val="00B83E82"/>
    <w:rsid w:val="00B84BBD"/>
    <w:rsid w:val="00B87753"/>
    <w:rsid w:val="00B87881"/>
    <w:rsid w:val="00B91626"/>
    <w:rsid w:val="00B917D2"/>
    <w:rsid w:val="00B93785"/>
    <w:rsid w:val="00B94618"/>
    <w:rsid w:val="00B97F15"/>
    <w:rsid w:val="00BA0027"/>
    <w:rsid w:val="00BA43FB"/>
    <w:rsid w:val="00BA581A"/>
    <w:rsid w:val="00BA646D"/>
    <w:rsid w:val="00BA7C45"/>
    <w:rsid w:val="00BB14B3"/>
    <w:rsid w:val="00BB2469"/>
    <w:rsid w:val="00BB2474"/>
    <w:rsid w:val="00BB2FB4"/>
    <w:rsid w:val="00BC127D"/>
    <w:rsid w:val="00BC1FE6"/>
    <w:rsid w:val="00BC5123"/>
    <w:rsid w:val="00BC599B"/>
    <w:rsid w:val="00BC6F3B"/>
    <w:rsid w:val="00BC7476"/>
    <w:rsid w:val="00BC7B8F"/>
    <w:rsid w:val="00BD2830"/>
    <w:rsid w:val="00BD392C"/>
    <w:rsid w:val="00BD6CC8"/>
    <w:rsid w:val="00BE36F8"/>
    <w:rsid w:val="00BE3860"/>
    <w:rsid w:val="00BE5D3A"/>
    <w:rsid w:val="00C04737"/>
    <w:rsid w:val="00C04845"/>
    <w:rsid w:val="00C04913"/>
    <w:rsid w:val="00C05E9C"/>
    <w:rsid w:val="00C061B6"/>
    <w:rsid w:val="00C069CE"/>
    <w:rsid w:val="00C108FE"/>
    <w:rsid w:val="00C10BC4"/>
    <w:rsid w:val="00C147C9"/>
    <w:rsid w:val="00C15B97"/>
    <w:rsid w:val="00C15DF8"/>
    <w:rsid w:val="00C1742B"/>
    <w:rsid w:val="00C17AEB"/>
    <w:rsid w:val="00C20B94"/>
    <w:rsid w:val="00C20E60"/>
    <w:rsid w:val="00C20EC4"/>
    <w:rsid w:val="00C20F3E"/>
    <w:rsid w:val="00C2278B"/>
    <w:rsid w:val="00C227EC"/>
    <w:rsid w:val="00C242C8"/>
    <w:rsid w:val="00C2446C"/>
    <w:rsid w:val="00C264D7"/>
    <w:rsid w:val="00C26FE0"/>
    <w:rsid w:val="00C31B90"/>
    <w:rsid w:val="00C35031"/>
    <w:rsid w:val="00C36AE5"/>
    <w:rsid w:val="00C41483"/>
    <w:rsid w:val="00C41F17"/>
    <w:rsid w:val="00C41F7C"/>
    <w:rsid w:val="00C527FA"/>
    <w:rsid w:val="00C5280D"/>
    <w:rsid w:val="00C53E6D"/>
    <w:rsid w:val="00C53EB3"/>
    <w:rsid w:val="00C54298"/>
    <w:rsid w:val="00C54A28"/>
    <w:rsid w:val="00C560B0"/>
    <w:rsid w:val="00C56357"/>
    <w:rsid w:val="00C5791C"/>
    <w:rsid w:val="00C618F5"/>
    <w:rsid w:val="00C61AB8"/>
    <w:rsid w:val="00C62339"/>
    <w:rsid w:val="00C66290"/>
    <w:rsid w:val="00C6633D"/>
    <w:rsid w:val="00C72AFF"/>
    <w:rsid w:val="00C72B7A"/>
    <w:rsid w:val="00C758E9"/>
    <w:rsid w:val="00C759CE"/>
    <w:rsid w:val="00C814C5"/>
    <w:rsid w:val="00C82A73"/>
    <w:rsid w:val="00C875B9"/>
    <w:rsid w:val="00C90FCF"/>
    <w:rsid w:val="00C93362"/>
    <w:rsid w:val="00C93FE1"/>
    <w:rsid w:val="00C973F2"/>
    <w:rsid w:val="00CA172F"/>
    <w:rsid w:val="00CA304C"/>
    <w:rsid w:val="00CA4171"/>
    <w:rsid w:val="00CA5381"/>
    <w:rsid w:val="00CA774A"/>
    <w:rsid w:val="00CA7C07"/>
    <w:rsid w:val="00CB4921"/>
    <w:rsid w:val="00CB6C6F"/>
    <w:rsid w:val="00CB76C1"/>
    <w:rsid w:val="00CC0BCA"/>
    <w:rsid w:val="00CC11B0"/>
    <w:rsid w:val="00CC2841"/>
    <w:rsid w:val="00CC38A9"/>
    <w:rsid w:val="00CC5EE7"/>
    <w:rsid w:val="00CC744C"/>
    <w:rsid w:val="00CC7991"/>
    <w:rsid w:val="00CD13C6"/>
    <w:rsid w:val="00CD3AD0"/>
    <w:rsid w:val="00CD517B"/>
    <w:rsid w:val="00CD5C18"/>
    <w:rsid w:val="00CE1F99"/>
    <w:rsid w:val="00CE30C4"/>
    <w:rsid w:val="00CE510F"/>
    <w:rsid w:val="00CE59C3"/>
    <w:rsid w:val="00CE6E32"/>
    <w:rsid w:val="00CF1330"/>
    <w:rsid w:val="00CF3133"/>
    <w:rsid w:val="00CF3B66"/>
    <w:rsid w:val="00CF444A"/>
    <w:rsid w:val="00CF7E36"/>
    <w:rsid w:val="00D03159"/>
    <w:rsid w:val="00D078F3"/>
    <w:rsid w:val="00D13D51"/>
    <w:rsid w:val="00D14F3E"/>
    <w:rsid w:val="00D157B3"/>
    <w:rsid w:val="00D23EBB"/>
    <w:rsid w:val="00D314EE"/>
    <w:rsid w:val="00D3708D"/>
    <w:rsid w:val="00D40426"/>
    <w:rsid w:val="00D40701"/>
    <w:rsid w:val="00D41B68"/>
    <w:rsid w:val="00D4322A"/>
    <w:rsid w:val="00D44604"/>
    <w:rsid w:val="00D4541A"/>
    <w:rsid w:val="00D4705E"/>
    <w:rsid w:val="00D47EBE"/>
    <w:rsid w:val="00D50530"/>
    <w:rsid w:val="00D511EC"/>
    <w:rsid w:val="00D51711"/>
    <w:rsid w:val="00D52F5C"/>
    <w:rsid w:val="00D55DB6"/>
    <w:rsid w:val="00D560F3"/>
    <w:rsid w:val="00D57C96"/>
    <w:rsid w:val="00D57D18"/>
    <w:rsid w:val="00D57E0A"/>
    <w:rsid w:val="00D604FB"/>
    <w:rsid w:val="00D61337"/>
    <w:rsid w:val="00D62687"/>
    <w:rsid w:val="00D636F9"/>
    <w:rsid w:val="00D64757"/>
    <w:rsid w:val="00D70BFB"/>
    <w:rsid w:val="00D70E65"/>
    <w:rsid w:val="00D72095"/>
    <w:rsid w:val="00D75F00"/>
    <w:rsid w:val="00D77023"/>
    <w:rsid w:val="00D77302"/>
    <w:rsid w:val="00D842C5"/>
    <w:rsid w:val="00D84F89"/>
    <w:rsid w:val="00D8518C"/>
    <w:rsid w:val="00D90522"/>
    <w:rsid w:val="00D9062C"/>
    <w:rsid w:val="00D90857"/>
    <w:rsid w:val="00D90BAD"/>
    <w:rsid w:val="00D91203"/>
    <w:rsid w:val="00D94167"/>
    <w:rsid w:val="00D95174"/>
    <w:rsid w:val="00D95314"/>
    <w:rsid w:val="00D9535F"/>
    <w:rsid w:val="00D9632E"/>
    <w:rsid w:val="00D970EC"/>
    <w:rsid w:val="00DA01CD"/>
    <w:rsid w:val="00DA1216"/>
    <w:rsid w:val="00DA2320"/>
    <w:rsid w:val="00DA3AA9"/>
    <w:rsid w:val="00DA4973"/>
    <w:rsid w:val="00DA5ACB"/>
    <w:rsid w:val="00DA6B8F"/>
    <w:rsid w:val="00DA6F36"/>
    <w:rsid w:val="00DA74D1"/>
    <w:rsid w:val="00DB14DD"/>
    <w:rsid w:val="00DB24D8"/>
    <w:rsid w:val="00DB2F11"/>
    <w:rsid w:val="00DB43E4"/>
    <w:rsid w:val="00DB44FE"/>
    <w:rsid w:val="00DB5364"/>
    <w:rsid w:val="00DB58AA"/>
    <w:rsid w:val="00DB596E"/>
    <w:rsid w:val="00DB7773"/>
    <w:rsid w:val="00DB7971"/>
    <w:rsid w:val="00DC00EA"/>
    <w:rsid w:val="00DC0277"/>
    <w:rsid w:val="00DC1233"/>
    <w:rsid w:val="00DC3802"/>
    <w:rsid w:val="00DC4618"/>
    <w:rsid w:val="00DC4958"/>
    <w:rsid w:val="00DC59C0"/>
    <w:rsid w:val="00DC730C"/>
    <w:rsid w:val="00DD0591"/>
    <w:rsid w:val="00DD1663"/>
    <w:rsid w:val="00DD18DB"/>
    <w:rsid w:val="00DD5138"/>
    <w:rsid w:val="00DD6208"/>
    <w:rsid w:val="00DD6565"/>
    <w:rsid w:val="00DE0104"/>
    <w:rsid w:val="00DE3DB3"/>
    <w:rsid w:val="00DE67DC"/>
    <w:rsid w:val="00DE75B0"/>
    <w:rsid w:val="00DF056E"/>
    <w:rsid w:val="00DF067B"/>
    <w:rsid w:val="00DF0E8F"/>
    <w:rsid w:val="00DF39DF"/>
    <w:rsid w:val="00DF43AA"/>
    <w:rsid w:val="00DF4BCD"/>
    <w:rsid w:val="00DF4CF2"/>
    <w:rsid w:val="00DF7E99"/>
    <w:rsid w:val="00E01CAB"/>
    <w:rsid w:val="00E03390"/>
    <w:rsid w:val="00E04EE1"/>
    <w:rsid w:val="00E073A2"/>
    <w:rsid w:val="00E07D87"/>
    <w:rsid w:val="00E10E1B"/>
    <w:rsid w:val="00E12872"/>
    <w:rsid w:val="00E1290F"/>
    <w:rsid w:val="00E1484C"/>
    <w:rsid w:val="00E149D2"/>
    <w:rsid w:val="00E15DB8"/>
    <w:rsid w:val="00E17B5B"/>
    <w:rsid w:val="00E20F2C"/>
    <w:rsid w:val="00E22664"/>
    <w:rsid w:val="00E2374F"/>
    <w:rsid w:val="00E249C8"/>
    <w:rsid w:val="00E251B1"/>
    <w:rsid w:val="00E327D3"/>
    <w:rsid w:val="00E32F7E"/>
    <w:rsid w:val="00E34C7A"/>
    <w:rsid w:val="00E3714A"/>
    <w:rsid w:val="00E40929"/>
    <w:rsid w:val="00E43F04"/>
    <w:rsid w:val="00E45456"/>
    <w:rsid w:val="00E459C2"/>
    <w:rsid w:val="00E45DCB"/>
    <w:rsid w:val="00E50B4D"/>
    <w:rsid w:val="00E514C6"/>
    <w:rsid w:val="00E5267B"/>
    <w:rsid w:val="00E53348"/>
    <w:rsid w:val="00E533F3"/>
    <w:rsid w:val="00E559F0"/>
    <w:rsid w:val="00E6080D"/>
    <w:rsid w:val="00E61D8D"/>
    <w:rsid w:val="00E62C40"/>
    <w:rsid w:val="00E63435"/>
    <w:rsid w:val="00E63C0E"/>
    <w:rsid w:val="00E6451A"/>
    <w:rsid w:val="00E650D4"/>
    <w:rsid w:val="00E66686"/>
    <w:rsid w:val="00E7195F"/>
    <w:rsid w:val="00E72D29"/>
    <w:rsid w:val="00E72D49"/>
    <w:rsid w:val="00E7593C"/>
    <w:rsid w:val="00E7678A"/>
    <w:rsid w:val="00E769F2"/>
    <w:rsid w:val="00E8101B"/>
    <w:rsid w:val="00E819B6"/>
    <w:rsid w:val="00E84436"/>
    <w:rsid w:val="00E92858"/>
    <w:rsid w:val="00E935F1"/>
    <w:rsid w:val="00E94A81"/>
    <w:rsid w:val="00E94B57"/>
    <w:rsid w:val="00E96286"/>
    <w:rsid w:val="00EA05AC"/>
    <w:rsid w:val="00EA08F5"/>
    <w:rsid w:val="00EA1FFB"/>
    <w:rsid w:val="00EA5CBA"/>
    <w:rsid w:val="00EB048E"/>
    <w:rsid w:val="00EB499B"/>
    <w:rsid w:val="00EB4E9C"/>
    <w:rsid w:val="00EB5EFE"/>
    <w:rsid w:val="00EB7962"/>
    <w:rsid w:val="00EB7E86"/>
    <w:rsid w:val="00EC11A5"/>
    <w:rsid w:val="00EC2A02"/>
    <w:rsid w:val="00EC6E5A"/>
    <w:rsid w:val="00ED00D9"/>
    <w:rsid w:val="00ED0440"/>
    <w:rsid w:val="00ED152B"/>
    <w:rsid w:val="00ED325F"/>
    <w:rsid w:val="00ED3AAE"/>
    <w:rsid w:val="00ED4C91"/>
    <w:rsid w:val="00ED4F07"/>
    <w:rsid w:val="00ED5835"/>
    <w:rsid w:val="00EE13E6"/>
    <w:rsid w:val="00EE2AD3"/>
    <w:rsid w:val="00EE34DF"/>
    <w:rsid w:val="00EE4A13"/>
    <w:rsid w:val="00EF10A8"/>
    <w:rsid w:val="00EF2F89"/>
    <w:rsid w:val="00EF3088"/>
    <w:rsid w:val="00EF42F6"/>
    <w:rsid w:val="00EF73DD"/>
    <w:rsid w:val="00F017AD"/>
    <w:rsid w:val="00F02F2A"/>
    <w:rsid w:val="00F03E98"/>
    <w:rsid w:val="00F10013"/>
    <w:rsid w:val="00F10394"/>
    <w:rsid w:val="00F1091C"/>
    <w:rsid w:val="00F1237A"/>
    <w:rsid w:val="00F13FBB"/>
    <w:rsid w:val="00F15D73"/>
    <w:rsid w:val="00F160AA"/>
    <w:rsid w:val="00F1641C"/>
    <w:rsid w:val="00F16DBA"/>
    <w:rsid w:val="00F20474"/>
    <w:rsid w:val="00F22CBD"/>
    <w:rsid w:val="00F25D97"/>
    <w:rsid w:val="00F272F1"/>
    <w:rsid w:val="00F31412"/>
    <w:rsid w:val="00F31506"/>
    <w:rsid w:val="00F32848"/>
    <w:rsid w:val="00F32E53"/>
    <w:rsid w:val="00F3573E"/>
    <w:rsid w:val="00F36C30"/>
    <w:rsid w:val="00F40496"/>
    <w:rsid w:val="00F40535"/>
    <w:rsid w:val="00F40DEC"/>
    <w:rsid w:val="00F40FD5"/>
    <w:rsid w:val="00F4198D"/>
    <w:rsid w:val="00F42F7E"/>
    <w:rsid w:val="00F43BC1"/>
    <w:rsid w:val="00F45372"/>
    <w:rsid w:val="00F46BF2"/>
    <w:rsid w:val="00F55C18"/>
    <w:rsid w:val="00F560F7"/>
    <w:rsid w:val="00F56AA0"/>
    <w:rsid w:val="00F579EC"/>
    <w:rsid w:val="00F57CB7"/>
    <w:rsid w:val="00F60967"/>
    <w:rsid w:val="00F6334D"/>
    <w:rsid w:val="00F63599"/>
    <w:rsid w:val="00F67AEC"/>
    <w:rsid w:val="00F71781"/>
    <w:rsid w:val="00F72310"/>
    <w:rsid w:val="00F75F6D"/>
    <w:rsid w:val="00F77273"/>
    <w:rsid w:val="00F7795E"/>
    <w:rsid w:val="00F809BE"/>
    <w:rsid w:val="00F81525"/>
    <w:rsid w:val="00F8253B"/>
    <w:rsid w:val="00F87DC8"/>
    <w:rsid w:val="00F91E9A"/>
    <w:rsid w:val="00F921CD"/>
    <w:rsid w:val="00F95C4C"/>
    <w:rsid w:val="00F96120"/>
    <w:rsid w:val="00FA4776"/>
    <w:rsid w:val="00FA49AB"/>
    <w:rsid w:val="00FA67B8"/>
    <w:rsid w:val="00FA7E6A"/>
    <w:rsid w:val="00FB4886"/>
    <w:rsid w:val="00FB4A79"/>
    <w:rsid w:val="00FB7FEA"/>
    <w:rsid w:val="00FC0290"/>
    <w:rsid w:val="00FC25EE"/>
    <w:rsid w:val="00FC27ED"/>
    <w:rsid w:val="00FC2C52"/>
    <w:rsid w:val="00FC32E1"/>
    <w:rsid w:val="00FC4D29"/>
    <w:rsid w:val="00FC5924"/>
    <w:rsid w:val="00FC5FD0"/>
    <w:rsid w:val="00FC761B"/>
    <w:rsid w:val="00FC77E5"/>
    <w:rsid w:val="00FD1E90"/>
    <w:rsid w:val="00FD2D6B"/>
    <w:rsid w:val="00FD46BC"/>
    <w:rsid w:val="00FD6209"/>
    <w:rsid w:val="00FD6CDA"/>
    <w:rsid w:val="00FE2A3B"/>
    <w:rsid w:val="00FE39C7"/>
    <w:rsid w:val="00FE4BCA"/>
    <w:rsid w:val="00FF4D07"/>
    <w:rsid w:val="00FF5DA3"/>
    <w:rsid w:val="00FF5F9E"/>
    <w:rsid w:val="00FF66F3"/>
    <w:rsid w:val="00FF74CE"/>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497AA2"/>
  <w15:docId w15:val="{37B4BE6F-3610-48C8-ABD3-F0811C6A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FA"/>
    <w:pPr>
      <w:jc w:val="both"/>
    </w:pPr>
    <w:rPr>
      <w:rFonts w:ascii="Arial" w:hAnsi="Arial"/>
    </w:rPr>
  </w:style>
  <w:style w:type="paragraph" w:styleId="Heading1">
    <w:name w:val="heading 1"/>
    <w:next w:val="Normal"/>
    <w:qFormat/>
    <w:rsid w:val="009651FA"/>
    <w:pPr>
      <w:keepNext/>
      <w:numPr>
        <w:numId w:val="17"/>
      </w:numPr>
      <w:outlineLvl w:val="0"/>
    </w:pPr>
    <w:rPr>
      <w:rFonts w:ascii="Arial" w:hAnsi="Arial"/>
      <w:caps/>
      <w:color w:val="26724C" w:themeColor="accent1" w:themeShade="BF"/>
      <w:sz w:val="32"/>
      <w:szCs w:val="24"/>
    </w:rPr>
  </w:style>
  <w:style w:type="paragraph" w:styleId="Heading2">
    <w:name w:val="heading 2"/>
    <w:next w:val="Normal"/>
    <w:qFormat/>
    <w:rsid w:val="009651FA"/>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9651FA"/>
    <w:pPr>
      <w:keepNext/>
      <w:jc w:val="both"/>
      <w:outlineLvl w:val="2"/>
    </w:pPr>
    <w:rPr>
      <w:rFonts w:ascii="Arial" w:hAnsi="Arial"/>
      <w:b/>
      <w:color w:val="26724C" w:themeColor="accent1" w:themeShade="BF"/>
      <w:sz w:val="22"/>
    </w:rPr>
  </w:style>
  <w:style w:type="paragraph" w:styleId="Heading4">
    <w:name w:val="heading 4"/>
    <w:next w:val="Normal"/>
    <w:autoRedefine/>
    <w:qFormat/>
    <w:rsid w:val="009651FA"/>
    <w:pPr>
      <w:keepNext/>
      <w:tabs>
        <w:tab w:val="left" w:pos="1418"/>
      </w:tabs>
      <w:ind w:left="567"/>
      <w:jc w:val="both"/>
      <w:outlineLvl w:val="3"/>
    </w:pPr>
    <w:rPr>
      <w:rFonts w:ascii="Arial" w:hAnsi="Arial"/>
      <w:u w:val="single"/>
    </w:rPr>
  </w:style>
  <w:style w:type="paragraph" w:styleId="Heading5">
    <w:name w:val="heading 5"/>
    <w:next w:val="Normal"/>
    <w:autoRedefine/>
    <w:qFormat/>
    <w:rsid w:val="009651FA"/>
    <w:pPr>
      <w:keepNext/>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9651FA"/>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651FA"/>
    <w:pPr>
      <w:jc w:val="center"/>
    </w:pPr>
    <w:rPr>
      <w:rFonts w:ascii="Arial" w:hAnsi="Arial"/>
    </w:rPr>
  </w:style>
  <w:style w:type="paragraph" w:styleId="Footer">
    <w:name w:val="footer"/>
    <w:aliases w:val="doc_path_name"/>
    <w:autoRedefine/>
    <w:rsid w:val="009651FA"/>
    <w:pPr>
      <w:jc w:val="both"/>
    </w:pPr>
    <w:rPr>
      <w:rFonts w:ascii="Arial" w:hAnsi="Arial"/>
      <w:sz w:val="14"/>
    </w:rPr>
  </w:style>
  <w:style w:type="character" w:styleId="PageNumber">
    <w:name w:val="page number"/>
    <w:basedOn w:val="DefaultParagraphFont"/>
    <w:rsid w:val="009651FA"/>
    <w:rPr>
      <w:rFonts w:ascii="Arial" w:hAnsi="Arial"/>
      <w:sz w:val="20"/>
    </w:rPr>
  </w:style>
  <w:style w:type="paragraph" w:styleId="Title">
    <w:name w:val="Title"/>
    <w:basedOn w:val="Normal"/>
    <w:qFormat/>
    <w:rsid w:val="009651FA"/>
    <w:pPr>
      <w:spacing w:after="300"/>
      <w:jc w:val="center"/>
    </w:pPr>
    <w:rPr>
      <w:b/>
      <w:caps/>
      <w:kern w:val="28"/>
      <w:sz w:val="30"/>
    </w:rPr>
  </w:style>
  <w:style w:type="paragraph" w:customStyle="1" w:styleId="preparedby">
    <w:name w:val="preparedby"/>
    <w:basedOn w:val="Normal"/>
    <w:next w:val="Normal"/>
    <w:semiHidden/>
    <w:rsid w:val="009651FA"/>
    <w:pPr>
      <w:spacing w:after="600"/>
      <w:jc w:val="center"/>
    </w:pPr>
    <w:rPr>
      <w:i/>
    </w:rPr>
  </w:style>
  <w:style w:type="paragraph" w:customStyle="1" w:styleId="Docoriginal">
    <w:name w:val="Doc_original"/>
    <w:basedOn w:val="Code"/>
    <w:link w:val="DocoriginalChar"/>
    <w:rsid w:val="009651FA"/>
    <w:pPr>
      <w:spacing w:before="240" w:line="240" w:lineRule="exact"/>
      <w:ind w:left="0"/>
      <w:contextualSpacing/>
      <w:jc w:val="left"/>
    </w:pPr>
    <w:rPr>
      <w:sz w:val="18"/>
    </w:rPr>
  </w:style>
  <w:style w:type="paragraph" w:customStyle="1" w:styleId="DecisionParagraphs">
    <w:name w:val="DecisionParagraphs"/>
    <w:basedOn w:val="Normal"/>
    <w:rsid w:val="009651FA"/>
    <w:pPr>
      <w:tabs>
        <w:tab w:val="left" w:pos="5387"/>
        <w:tab w:val="left" w:pos="5954"/>
      </w:tabs>
      <w:ind w:left="4820"/>
    </w:pPr>
    <w:rPr>
      <w:i/>
    </w:rPr>
  </w:style>
  <w:style w:type="paragraph" w:styleId="FootnoteText">
    <w:name w:val="footnote text"/>
    <w:link w:val="FootnoteTextChar"/>
    <w:autoRedefine/>
    <w:rsid w:val="009651FA"/>
    <w:pPr>
      <w:spacing w:before="60"/>
      <w:ind w:left="284" w:hanging="284"/>
      <w:jc w:val="both"/>
    </w:pPr>
    <w:rPr>
      <w:rFonts w:ascii="Arial" w:hAnsi="Arial"/>
      <w:sz w:val="16"/>
    </w:rPr>
  </w:style>
  <w:style w:type="character" w:styleId="FootnoteReference">
    <w:name w:val="footnote reference"/>
    <w:basedOn w:val="DefaultParagraphFont"/>
    <w:rsid w:val="009651FA"/>
    <w:rPr>
      <w:vertAlign w:val="superscript"/>
    </w:rPr>
  </w:style>
  <w:style w:type="paragraph" w:styleId="Closing">
    <w:name w:val="Closing"/>
    <w:basedOn w:val="Normal"/>
    <w:rsid w:val="009651FA"/>
    <w:pPr>
      <w:ind w:left="4536"/>
      <w:jc w:val="center"/>
    </w:pPr>
  </w:style>
  <w:style w:type="paragraph" w:styleId="Index1">
    <w:name w:val="index 1"/>
    <w:basedOn w:val="Normal"/>
    <w:next w:val="Normal"/>
    <w:semiHidden/>
    <w:rsid w:val="009651FA"/>
    <w:pPr>
      <w:tabs>
        <w:tab w:val="right" w:leader="dot" w:pos="9071"/>
      </w:tabs>
      <w:ind w:left="284" w:hanging="284"/>
    </w:pPr>
    <w:rPr>
      <w:sz w:val="24"/>
    </w:rPr>
  </w:style>
  <w:style w:type="paragraph" w:styleId="Index2">
    <w:name w:val="index 2"/>
    <w:basedOn w:val="Normal"/>
    <w:next w:val="Normal"/>
    <w:semiHidden/>
    <w:rsid w:val="009651FA"/>
    <w:pPr>
      <w:tabs>
        <w:tab w:val="right" w:leader="dot" w:pos="9071"/>
      </w:tabs>
      <w:ind w:left="568" w:hanging="284"/>
    </w:pPr>
    <w:rPr>
      <w:sz w:val="24"/>
    </w:rPr>
  </w:style>
  <w:style w:type="paragraph" w:styleId="Index3">
    <w:name w:val="index 3"/>
    <w:basedOn w:val="Normal"/>
    <w:next w:val="Normal"/>
    <w:semiHidden/>
    <w:rsid w:val="009651FA"/>
    <w:pPr>
      <w:tabs>
        <w:tab w:val="right" w:leader="dot" w:pos="9071"/>
      </w:tabs>
      <w:ind w:left="851" w:hanging="284"/>
    </w:pPr>
    <w:rPr>
      <w:sz w:val="24"/>
    </w:rPr>
  </w:style>
  <w:style w:type="paragraph" w:styleId="MacroText">
    <w:name w:val="macro"/>
    <w:semiHidden/>
    <w:rsid w:val="00965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9651FA"/>
    <w:pPr>
      <w:ind w:left="4536"/>
      <w:jc w:val="center"/>
    </w:pPr>
  </w:style>
  <w:style w:type="character" w:customStyle="1" w:styleId="Doclang">
    <w:name w:val="Doc_lang"/>
    <w:basedOn w:val="DefaultParagraphFont"/>
    <w:rsid w:val="009651FA"/>
    <w:rPr>
      <w:rFonts w:ascii="Arial" w:hAnsi="Arial"/>
      <w:sz w:val="20"/>
      <w:lang w:val="en-US"/>
    </w:rPr>
  </w:style>
  <w:style w:type="paragraph" w:customStyle="1" w:styleId="Session">
    <w:name w:val="Session"/>
    <w:basedOn w:val="Normal"/>
    <w:semiHidden/>
    <w:rsid w:val="009651FA"/>
    <w:pPr>
      <w:spacing w:before="60"/>
      <w:jc w:val="center"/>
    </w:pPr>
    <w:rPr>
      <w:b/>
    </w:rPr>
  </w:style>
  <w:style w:type="paragraph" w:customStyle="1" w:styleId="Organizer">
    <w:name w:val="Organizer"/>
    <w:basedOn w:val="Normal"/>
    <w:semiHidden/>
    <w:rsid w:val="009651FA"/>
    <w:pPr>
      <w:spacing w:after="600"/>
      <w:ind w:left="-993" w:right="-994"/>
      <w:jc w:val="center"/>
    </w:pPr>
    <w:rPr>
      <w:b/>
      <w:caps/>
      <w:kern w:val="26"/>
      <w:sz w:val="26"/>
    </w:rPr>
  </w:style>
  <w:style w:type="paragraph" w:styleId="BodyText">
    <w:name w:val="Body Text"/>
    <w:basedOn w:val="Normal"/>
    <w:link w:val="BodyTextChar"/>
    <w:rsid w:val="009651FA"/>
  </w:style>
  <w:style w:type="paragraph" w:customStyle="1" w:styleId="Disclaimer">
    <w:name w:val="Disclaimer"/>
    <w:next w:val="Normal"/>
    <w:qFormat/>
    <w:rsid w:val="009651FA"/>
    <w:pPr>
      <w:spacing w:after="600"/>
    </w:pPr>
    <w:rPr>
      <w:rFonts w:ascii="Arial" w:hAnsi="Arial"/>
      <w:i/>
      <w:iCs/>
      <w:color w:val="A6A6A6" w:themeColor="background1" w:themeShade="A6"/>
    </w:rPr>
  </w:style>
  <w:style w:type="paragraph" w:customStyle="1" w:styleId="upove">
    <w:name w:val="upov_e"/>
    <w:basedOn w:val="Normal"/>
    <w:rsid w:val="009651FA"/>
    <w:pPr>
      <w:spacing w:before="120"/>
    </w:pPr>
    <w:rPr>
      <w:sz w:val="16"/>
    </w:rPr>
  </w:style>
  <w:style w:type="paragraph" w:customStyle="1" w:styleId="TitleofDoc">
    <w:name w:val="Title of Doc"/>
    <w:basedOn w:val="Normal"/>
    <w:semiHidden/>
    <w:rsid w:val="009651FA"/>
    <w:pPr>
      <w:spacing w:before="1200"/>
      <w:jc w:val="center"/>
    </w:pPr>
    <w:rPr>
      <w:caps/>
    </w:rPr>
  </w:style>
  <w:style w:type="paragraph" w:customStyle="1" w:styleId="preparedby0">
    <w:name w:val="prepared by"/>
    <w:basedOn w:val="Normal"/>
    <w:semiHidden/>
    <w:rsid w:val="009651FA"/>
    <w:pPr>
      <w:spacing w:before="600" w:after="600"/>
      <w:jc w:val="center"/>
    </w:pPr>
    <w:rPr>
      <w:i/>
    </w:rPr>
  </w:style>
  <w:style w:type="paragraph" w:customStyle="1" w:styleId="PlaceAndDate">
    <w:name w:val="PlaceAndDate"/>
    <w:basedOn w:val="Session"/>
    <w:semiHidden/>
    <w:rsid w:val="009651FA"/>
  </w:style>
  <w:style w:type="paragraph" w:styleId="EndnoteText">
    <w:name w:val="endnote text"/>
    <w:basedOn w:val="Normal"/>
    <w:semiHidden/>
    <w:rsid w:val="009651FA"/>
  </w:style>
  <w:style w:type="character" w:styleId="EndnoteReference">
    <w:name w:val="endnote reference"/>
    <w:basedOn w:val="DefaultParagraphFont"/>
    <w:semiHidden/>
    <w:rsid w:val="009651FA"/>
    <w:rPr>
      <w:vertAlign w:val="superscript"/>
    </w:rPr>
  </w:style>
  <w:style w:type="paragraph" w:customStyle="1" w:styleId="SessionMeetingPlace">
    <w:name w:val="Session_MeetingPlace"/>
    <w:basedOn w:val="Normal"/>
    <w:semiHidden/>
    <w:rsid w:val="009651FA"/>
    <w:pPr>
      <w:spacing w:before="480"/>
      <w:jc w:val="center"/>
    </w:pPr>
    <w:rPr>
      <w:b/>
      <w:bCs/>
      <w:kern w:val="28"/>
      <w:sz w:val="24"/>
    </w:rPr>
  </w:style>
  <w:style w:type="paragraph" w:customStyle="1" w:styleId="Original">
    <w:name w:val="Original"/>
    <w:basedOn w:val="Normal"/>
    <w:semiHidden/>
    <w:rsid w:val="009651FA"/>
    <w:pPr>
      <w:spacing w:before="60"/>
      <w:ind w:left="1276"/>
    </w:pPr>
    <w:rPr>
      <w:b/>
      <w:sz w:val="22"/>
    </w:rPr>
  </w:style>
  <w:style w:type="paragraph" w:styleId="Date">
    <w:name w:val="Date"/>
    <w:basedOn w:val="Normal"/>
    <w:semiHidden/>
    <w:rsid w:val="009651FA"/>
    <w:pPr>
      <w:spacing w:line="340" w:lineRule="exact"/>
      <w:ind w:left="1276"/>
    </w:pPr>
    <w:rPr>
      <w:b/>
      <w:sz w:val="22"/>
    </w:rPr>
  </w:style>
  <w:style w:type="paragraph" w:customStyle="1" w:styleId="Code">
    <w:name w:val="Code"/>
    <w:basedOn w:val="Normal"/>
    <w:link w:val="CodeChar"/>
    <w:semiHidden/>
    <w:rsid w:val="009651FA"/>
    <w:pPr>
      <w:spacing w:line="340" w:lineRule="atLeast"/>
      <w:ind w:left="1276"/>
    </w:pPr>
    <w:rPr>
      <w:b/>
      <w:bCs/>
      <w:spacing w:val="10"/>
    </w:rPr>
  </w:style>
  <w:style w:type="paragraph" w:customStyle="1" w:styleId="Country">
    <w:name w:val="Country"/>
    <w:basedOn w:val="Normal"/>
    <w:semiHidden/>
    <w:rsid w:val="009651FA"/>
    <w:pPr>
      <w:spacing w:before="60" w:after="480"/>
      <w:jc w:val="center"/>
    </w:pPr>
  </w:style>
  <w:style w:type="paragraph" w:customStyle="1" w:styleId="Lettrine">
    <w:name w:val="Lettrine"/>
    <w:basedOn w:val="Normal"/>
    <w:rsid w:val="009651FA"/>
    <w:pPr>
      <w:spacing w:line="340" w:lineRule="atLeast"/>
      <w:jc w:val="right"/>
    </w:pPr>
    <w:rPr>
      <w:b/>
      <w:bCs/>
      <w:sz w:val="36"/>
    </w:rPr>
  </w:style>
  <w:style w:type="paragraph" w:customStyle="1" w:styleId="LogoUPOV">
    <w:name w:val="LogoUPOV"/>
    <w:basedOn w:val="Normal"/>
    <w:rsid w:val="009651FA"/>
    <w:pPr>
      <w:spacing w:before="600" w:after="80"/>
      <w:jc w:val="center"/>
    </w:pPr>
    <w:rPr>
      <w:snapToGrid w:val="0"/>
    </w:rPr>
  </w:style>
  <w:style w:type="paragraph" w:customStyle="1" w:styleId="Sessiontc">
    <w:name w:val="Session_tc"/>
    <w:basedOn w:val="StyleSessionAllcaps"/>
    <w:rsid w:val="009651FA"/>
    <w:pPr>
      <w:spacing w:before="0" w:line="280" w:lineRule="exact"/>
      <w:jc w:val="left"/>
    </w:pPr>
    <w:rPr>
      <w:caps w:val="0"/>
      <w:sz w:val="20"/>
    </w:rPr>
  </w:style>
  <w:style w:type="paragraph" w:customStyle="1" w:styleId="TitreUpov">
    <w:name w:val="TitreUpov"/>
    <w:basedOn w:val="Normal"/>
    <w:semiHidden/>
    <w:rsid w:val="009651FA"/>
    <w:pPr>
      <w:spacing w:before="60"/>
      <w:jc w:val="center"/>
    </w:pPr>
    <w:rPr>
      <w:b/>
      <w:sz w:val="24"/>
    </w:rPr>
  </w:style>
  <w:style w:type="paragraph" w:customStyle="1" w:styleId="StyleSessionAllcaps">
    <w:name w:val="Style Session + All caps"/>
    <w:basedOn w:val="Session"/>
    <w:semiHidden/>
    <w:rsid w:val="009651FA"/>
    <w:pPr>
      <w:spacing w:before="480"/>
    </w:pPr>
    <w:rPr>
      <w:bCs/>
      <w:caps/>
      <w:kern w:val="28"/>
      <w:sz w:val="24"/>
    </w:rPr>
  </w:style>
  <w:style w:type="paragraph" w:customStyle="1" w:styleId="plcountry">
    <w:name w:val="plcountry"/>
    <w:basedOn w:val="Normal"/>
    <w:rsid w:val="009651FA"/>
    <w:pPr>
      <w:keepNext/>
      <w:keepLines/>
      <w:spacing w:before="180" w:after="120"/>
      <w:jc w:val="left"/>
    </w:pPr>
    <w:rPr>
      <w:caps/>
      <w:noProof/>
      <w:snapToGrid w:val="0"/>
      <w:u w:val="single"/>
    </w:rPr>
  </w:style>
  <w:style w:type="paragraph" w:customStyle="1" w:styleId="pldetails">
    <w:name w:val="pldetails"/>
    <w:basedOn w:val="Normal"/>
    <w:rsid w:val="009651FA"/>
    <w:pPr>
      <w:keepLines/>
      <w:spacing w:before="60" w:after="60"/>
      <w:jc w:val="left"/>
    </w:pPr>
    <w:rPr>
      <w:noProof/>
      <w:snapToGrid w:val="0"/>
    </w:rPr>
  </w:style>
  <w:style w:type="paragraph" w:customStyle="1" w:styleId="plheading">
    <w:name w:val="plheading"/>
    <w:basedOn w:val="Normal"/>
    <w:rsid w:val="009651FA"/>
    <w:pPr>
      <w:keepNext/>
      <w:spacing w:before="480" w:after="120"/>
      <w:jc w:val="center"/>
    </w:pPr>
    <w:rPr>
      <w:caps/>
      <w:snapToGrid w:val="0"/>
      <w:u w:val="single"/>
    </w:rPr>
  </w:style>
  <w:style w:type="paragraph" w:customStyle="1" w:styleId="Sessiontcplacedate">
    <w:name w:val="Session_tc_place_date"/>
    <w:basedOn w:val="SessionMeetingPlace"/>
    <w:rsid w:val="009651FA"/>
    <w:pPr>
      <w:spacing w:before="240"/>
      <w:contextualSpacing/>
      <w:jc w:val="left"/>
    </w:pPr>
    <w:rPr>
      <w:sz w:val="20"/>
    </w:rPr>
  </w:style>
  <w:style w:type="paragraph" w:customStyle="1" w:styleId="Titleofdoc0">
    <w:name w:val="Title_of_doc"/>
    <w:basedOn w:val="TitleofDoc"/>
    <w:rsid w:val="009651FA"/>
    <w:pPr>
      <w:spacing w:before="600" w:after="240"/>
      <w:jc w:val="left"/>
    </w:pPr>
    <w:rPr>
      <w:b/>
    </w:rPr>
  </w:style>
  <w:style w:type="paragraph" w:customStyle="1" w:styleId="preparedby1">
    <w:name w:val="prepared_by"/>
    <w:basedOn w:val="preparedby0"/>
    <w:rsid w:val="009651FA"/>
    <w:pPr>
      <w:spacing w:before="0" w:after="240"/>
    </w:pPr>
    <w:rPr>
      <w:iCs/>
    </w:rPr>
  </w:style>
  <w:style w:type="character" w:customStyle="1" w:styleId="CodeChar">
    <w:name w:val="Code Char"/>
    <w:basedOn w:val="DefaultParagraphFont"/>
    <w:link w:val="Code"/>
    <w:semiHidden/>
    <w:rsid w:val="009651FA"/>
    <w:rPr>
      <w:rFonts w:ascii="Arial" w:hAnsi="Arial"/>
      <w:b/>
      <w:bCs/>
      <w:spacing w:val="10"/>
    </w:rPr>
  </w:style>
  <w:style w:type="paragraph" w:customStyle="1" w:styleId="endofdoc">
    <w:name w:val="end_of_doc"/>
    <w:next w:val="Header"/>
    <w:autoRedefine/>
    <w:rsid w:val="009651FA"/>
    <w:pPr>
      <w:spacing w:before="480"/>
      <w:ind w:left="567" w:hanging="567"/>
      <w:jc w:val="right"/>
    </w:pPr>
    <w:rPr>
      <w:rFonts w:ascii="Arial" w:hAnsi="Arial"/>
    </w:rPr>
  </w:style>
  <w:style w:type="character" w:customStyle="1" w:styleId="DocoriginalChar">
    <w:name w:val="Doc_original Char"/>
    <w:basedOn w:val="CodeChar"/>
    <w:link w:val="Docoriginal"/>
    <w:rsid w:val="009651FA"/>
    <w:rPr>
      <w:rFonts w:ascii="Arial" w:hAnsi="Arial"/>
      <w:b/>
      <w:bCs/>
      <w:spacing w:val="10"/>
      <w:sz w:val="18"/>
    </w:rPr>
  </w:style>
  <w:style w:type="paragraph" w:styleId="TOC2">
    <w:name w:val="toc 2"/>
    <w:next w:val="Normal"/>
    <w:autoRedefine/>
    <w:uiPriority w:val="39"/>
    <w:rsid w:val="009651FA"/>
    <w:pPr>
      <w:tabs>
        <w:tab w:val="right" w:pos="9629"/>
      </w:tabs>
      <w:spacing w:before="60"/>
      <w:ind w:left="567" w:right="567"/>
    </w:pPr>
    <w:rPr>
      <w:rFonts w:ascii="Arial" w:hAnsi="Arial" w:cstheme="minorHAnsi"/>
      <w:iCs/>
      <w:noProof/>
    </w:rPr>
  </w:style>
  <w:style w:type="paragraph" w:styleId="TOC3">
    <w:name w:val="toc 3"/>
    <w:next w:val="Normal"/>
    <w:autoRedefine/>
    <w:uiPriority w:val="39"/>
    <w:rsid w:val="009651FA"/>
    <w:pPr>
      <w:tabs>
        <w:tab w:val="right" w:pos="9629"/>
      </w:tabs>
      <w:spacing w:before="120" w:after="120"/>
      <w:ind w:left="1134" w:right="284"/>
      <w:contextualSpacing/>
    </w:pPr>
    <w:rPr>
      <w:rFonts w:ascii="Arial" w:hAnsi="Arial" w:cstheme="minorHAnsi"/>
      <w:i/>
      <w:noProof/>
    </w:rPr>
  </w:style>
  <w:style w:type="character" w:styleId="Hyperlink">
    <w:name w:val="Hyperlink"/>
    <w:basedOn w:val="DefaultParagraphFont"/>
    <w:uiPriority w:val="99"/>
    <w:rsid w:val="009651FA"/>
    <w:rPr>
      <w:rFonts w:ascii="Arial" w:hAnsi="Arial"/>
      <w:color w:val="0000FF"/>
      <w:u w:val="single"/>
    </w:rPr>
  </w:style>
  <w:style w:type="paragraph" w:styleId="TOC4">
    <w:name w:val="toc 4"/>
    <w:next w:val="Normal"/>
    <w:autoRedefine/>
    <w:uiPriority w:val="39"/>
    <w:rsid w:val="009651FA"/>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9651FA"/>
    <w:pPr>
      <w:tabs>
        <w:tab w:val="left" w:pos="400"/>
        <w:tab w:val="right" w:pos="9629"/>
      </w:tabs>
      <w:spacing w:before="240" w:after="120"/>
      <w:ind w:right="284"/>
    </w:pPr>
    <w:rPr>
      <w:rFonts w:ascii="Arial" w:hAnsi="Arial" w:cstheme="minorHAnsi"/>
      <w:bCs/>
      <w:noProof/>
    </w:rPr>
  </w:style>
  <w:style w:type="paragraph" w:styleId="TOC5">
    <w:name w:val="toc 5"/>
    <w:next w:val="Normal"/>
    <w:autoRedefine/>
    <w:uiPriority w:val="39"/>
    <w:rsid w:val="009651FA"/>
    <w:pPr>
      <w:ind w:left="800"/>
    </w:pPr>
    <w:rPr>
      <w:rFonts w:asciiTheme="minorHAnsi" w:hAnsiTheme="minorHAnsi" w:cstheme="minorHAnsi"/>
    </w:rPr>
  </w:style>
  <w:style w:type="paragraph" w:styleId="BalloonText">
    <w:name w:val="Balloon Text"/>
    <w:basedOn w:val="Normal"/>
    <w:link w:val="BalloonTextChar"/>
    <w:rsid w:val="009651FA"/>
    <w:rPr>
      <w:rFonts w:ascii="Tahoma" w:hAnsi="Tahoma" w:cs="Tahoma"/>
      <w:sz w:val="16"/>
      <w:szCs w:val="16"/>
    </w:rPr>
  </w:style>
  <w:style w:type="character" w:customStyle="1" w:styleId="BalloonTextChar">
    <w:name w:val="Balloon Text Char"/>
    <w:basedOn w:val="DefaultParagraphFont"/>
    <w:link w:val="BalloonText"/>
    <w:rsid w:val="009651FA"/>
    <w:rPr>
      <w:rFonts w:ascii="Tahoma" w:hAnsi="Tahoma" w:cs="Tahoma"/>
      <w:sz w:val="16"/>
      <w:szCs w:val="16"/>
    </w:rPr>
  </w:style>
  <w:style w:type="paragraph" w:customStyle="1" w:styleId="Doccode">
    <w:name w:val="Doc_code"/>
    <w:qFormat/>
    <w:rsid w:val="009651FA"/>
    <w:rPr>
      <w:rFonts w:ascii="Arial" w:hAnsi="Arial"/>
      <w:b/>
      <w:bCs/>
      <w:spacing w:val="10"/>
      <w:sz w:val="18"/>
    </w:rPr>
  </w:style>
  <w:style w:type="table" w:styleId="TableGrid">
    <w:name w:val="Table Grid"/>
    <w:basedOn w:val="TableNormal"/>
    <w:rsid w:val="009651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9651FA"/>
    <w:pPr>
      <w:spacing w:before="120"/>
      <w:ind w:left="567" w:right="707"/>
    </w:pPr>
    <w:rPr>
      <w:rFonts w:cs="Arial"/>
    </w:rPr>
  </w:style>
  <w:style w:type="paragraph" w:customStyle="1" w:styleId="Inf4Heading4">
    <w:name w:val="Inf_4_Heading_4"/>
    <w:basedOn w:val="Heading4"/>
    <w:next w:val="Normal"/>
    <w:rsid w:val="009651FA"/>
    <w:pPr>
      <w:spacing w:before="120"/>
      <w:ind w:left="0"/>
    </w:pPr>
    <w:rPr>
      <w:rFonts w:ascii="Times New Roman" w:hAnsi="Times New Roman"/>
      <w:b/>
      <w:bCs/>
      <w:sz w:val="22"/>
      <w:u w:val="none"/>
    </w:rPr>
  </w:style>
  <w:style w:type="paragraph" w:customStyle="1" w:styleId="Inf4Heading6">
    <w:name w:val="Inf_4_Heading_6"/>
    <w:basedOn w:val="Normal"/>
    <w:rsid w:val="009651FA"/>
    <w:pPr>
      <w:keepNext/>
      <w:spacing w:before="108"/>
      <w:ind w:left="567"/>
      <w:outlineLvl w:val="5"/>
    </w:pPr>
    <w:rPr>
      <w:b/>
      <w:bCs/>
      <w:szCs w:val="24"/>
    </w:rPr>
  </w:style>
  <w:style w:type="paragraph" w:customStyle="1" w:styleId="Inf4Heading3">
    <w:name w:val="Inf_4_Heading_3"/>
    <w:basedOn w:val="Heading3"/>
    <w:rsid w:val="009651FA"/>
    <w:pPr>
      <w:keepNext w:val="0"/>
      <w:spacing w:before="240"/>
      <w:jc w:val="center"/>
    </w:pPr>
    <w:rPr>
      <w:rFonts w:cs="Arial"/>
      <w:b w:val="0"/>
      <w:bCs/>
      <w:i/>
    </w:rPr>
  </w:style>
  <w:style w:type="character" w:customStyle="1" w:styleId="Heading3Char">
    <w:name w:val="Heading 3 Char"/>
    <w:basedOn w:val="DefaultParagraphFont"/>
    <w:link w:val="Heading3"/>
    <w:rsid w:val="009651FA"/>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9651FA"/>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651FA"/>
    <w:rPr>
      <w:rFonts w:ascii="Arial" w:hAnsi="Arial"/>
      <w:b/>
      <w:bCs/>
      <w:spacing w:val="10"/>
      <w:sz w:val="18"/>
      <w:lang w:val="fr-FR"/>
    </w:rPr>
  </w:style>
  <w:style w:type="paragraph" w:customStyle="1" w:styleId="StyleDocnumber">
    <w:name w:val="Style Doc_number"/>
    <w:basedOn w:val="Docoriginal"/>
    <w:rsid w:val="009651FA"/>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651FA"/>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651FA"/>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651FA"/>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651FA"/>
    <w:rPr>
      <w:rFonts w:ascii="Arial" w:hAnsi="Arial"/>
      <w:b w:val="0"/>
      <w:bCs w:val="0"/>
      <w:spacing w:val="10"/>
      <w:sz w:val="18"/>
      <w:lang w:val="fr-FR"/>
    </w:rPr>
  </w:style>
  <w:style w:type="character" w:customStyle="1" w:styleId="StyleDocoriginalNotBold1">
    <w:name w:val="Style Doc_original + Not Bold1"/>
    <w:basedOn w:val="DefaultParagraphFont"/>
    <w:rsid w:val="009651FA"/>
    <w:rPr>
      <w:rFonts w:ascii="Arial" w:hAnsi="Arial"/>
      <w:b/>
      <w:bCs/>
      <w:spacing w:val="10"/>
      <w:lang w:val="en-US" w:eastAsia="en-US" w:bidi="ar-SA"/>
    </w:rPr>
  </w:style>
  <w:style w:type="character" w:customStyle="1" w:styleId="StyleDoclangBold">
    <w:name w:val="Style Doc_lang + Bold"/>
    <w:basedOn w:val="Doclang"/>
    <w:rsid w:val="009651FA"/>
    <w:rPr>
      <w:rFonts w:ascii="Arial" w:hAnsi="Arial"/>
      <w:b/>
      <w:bCs/>
      <w:sz w:val="20"/>
      <w:lang w:val="en-US"/>
    </w:rPr>
  </w:style>
  <w:style w:type="paragraph" w:styleId="ListParagraph">
    <w:name w:val="List Paragraph"/>
    <w:basedOn w:val="Normal"/>
    <w:uiPriority w:val="34"/>
    <w:qFormat/>
    <w:rsid w:val="009651FA"/>
    <w:pPr>
      <w:ind w:left="720"/>
      <w:contextualSpacing/>
    </w:pPr>
  </w:style>
  <w:style w:type="paragraph" w:customStyle="1" w:styleId="ZchnZchn1">
    <w:name w:val="Zchn Zchn1"/>
    <w:basedOn w:val="Normal"/>
    <w:rsid w:val="009651FA"/>
    <w:pPr>
      <w:spacing w:after="160" w:line="240" w:lineRule="exact"/>
      <w:jc w:val="left"/>
    </w:pPr>
    <w:rPr>
      <w:rFonts w:ascii="Verdana" w:eastAsia="PMingLiU" w:hAnsi="Verdana"/>
    </w:rPr>
  </w:style>
  <w:style w:type="paragraph" w:styleId="Subtitle">
    <w:name w:val="Subtitle"/>
    <w:basedOn w:val="Normal"/>
    <w:link w:val="SubtitleChar"/>
    <w:qFormat/>
    <w:rsid w:val="009651FA"/>
    <w:pPr>
      <w:jc w:val="center"/>
    </w:pPr>
    <w:rPr>
      <w:rFonts w:ascii="Times New Roman" w:hAnsi="Times New Roman"/>
      <w:b/>
      <w:caps/>
      <w:color w:val="0000FF"/>
      <w:sz w:val="28"/>
    </w:rPr>
  </w:style>
  <w:style w:type="character" w:customStyle="1" w:styleId="SubtitleChar">
    <w:name w:val="Subtitle Char"/>
    <w:basedOn w:val="DefaultParagraphFont"/>
    <w:link w:val="Subtitle"/>
    <w:rsid w:val="009651FA"/>
    <w:rPr>
      <w:b/>
      <w:caps/>
      <w:color w:val="0000FF"/>
      <w:sz w:val="28"/>
    </w:rPr>
  </w:style>
  <w:style w:type="paragraph" w:customStyle="1" w:styleId="Endofdocument">
    <w:name w:val="End of document"/>
    <w:basedOn w:val="Normal"/>
    <w:rsid w:val="009651FA"/>
    <w:pPr>
      <w:ind w:left="4536"/>
      <w:jc w:val="center"/>
    </w:pPr>
    <w:rPr>
      <w:rFonts w:ascii="Times New Roman" w:hAnsi="Times New Roman"/>
      <w:sz w:val="24"/>
    </w:rPr>
  </w:style>
  <w:style w:type="paragraph" w:customStyle="1" w:styleId="BodyTextKeep">
    <w:name w:val="Body Text Keep"/>
    <w:basedOn w:val="BodyText"/>
    <w:rsid w:val="009651FA"/>
    <w:pPr>
      <w:keepNext/>
      <w:spacing w:after="160"/>
      <w:jc w:val="left"/>
    </w:pPr>
    <w:rPr>
      <w:rFonts w:ascii="Times New Roman" w:hAnsi="Times New Roman"/>
    </w:rPr>
  </w:style>
  <w:style w:type="character" w:styleId="Emphasis">
    <w:name w:val="Emphasis"/>
    <w:basedOn w:val="DefaultParagraphFont"/>
    <w:qFormat/>
    <w:rsid w:val="009651FA"/>
    <w:rPr>
      <w:i/>
      <w:iCs/>
    </w:rPr>
  </w:style>
  <w:style w:type="character" w:customStyle="1" w:styleId="HeaderChar">
    <w:name w:val="Header Char"/>
    <w:basedOn w:val="DefaultParagraphFont"/>
    <w:link w:val="Header"/>
    <w:uiPriority w:val="99"/>
    <w:rsid w:val="009651FA"/>
    <w:rPr>
      <w:rFonts w:ascii="Arial" w:hAnsi="Arial"/>
    </w:rPr>
  </w:style>
  <w:style w:type="character" w:styleId="CommentReference">
    <w:name w:val="annotation reference"/>
    <w:basedOn w:val="DefaultParagraphFont"/>
    <w:rsid w:val="009651FA"/>
    <w:rPr>
      <w:sz w:val="16"/>
      <w:szCs w:val="16"/>
    </w:rPr>
  </w:style>
  <w:style w:type="paragraph" w:styleId="CommentText">
    <w:name w:val="annotation text"/>
    <w:basedOn w:val="Normal"/>
    <w:link w:val="CommentTextChar"/>
    <w:rsid w:val="009651FA"/>
  </w:style>
  <w:style w:type="character" w:customStyle="1" w:styleId="CommentTextChar">
    <w:name w:val="Comment Text Char"/>
    <w:basedOn w:val="DefaultParagraphFont"/>
    <w:link w:val="CommentText"/>
    <w:rsid w:val="009651FA"/>
    <w:rPr>
      <w:rFonts w:ascii="Arial" w:hAnsi="Arial"/>
    </w:rPr>
  </w:style>
  <w:style w:type="paragraph" w:styleId="CommentSubject">
    <w:name w:val="annotation subject"/>
    <w:basedOn w:val="CommentText"/>
    <w:next w:val="CommentText"/>
    <w:link w:val="CommentSubjectChar"/>
    <w:rsid w:val="009651FA"/>
    <w:rPr>
      <w:b/>
      <w:bCs/>
    </w:rPr>
  </w:style>
  <w:style w:type="character" w:customStyle="1" w:styleId="CommentSubjectChar">
    <w:name w:val="Comment Subject Char"/>
    <w:basedOn w:val="CommentTextChar"/>
    <w:link w:val="CommentSubject"/>
    <w:rsid w:val="009651FA"/>
    <w:rPr>
      <w:rFonts w:ascii="Arial" w:hAnsi="Arial"/>
      <w:b/>
      <w:bCs/>
    </w:rPr>
  </w:style>
  <w:style w:type="paragraph" w:styleId="NormalWeb">
    <w:name w:val="Normal (Web)"/>
    <w:basedOn w:val="Normal"/>
    <w:uiPriority w:val="99"/>
    <w:unhideWhenUsed/>
    <w:rsid w:val="009651FA"/>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9651FA"/>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9651FA"/>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9651FA"/>
    <w:rPr>
      <w:rFonts w:ascii="Arial" w:hAnsi="Arial"/>
    </w:rPr>
  </w:style>
  <w:style w:type="paragraph" w:styleId="Caption">
    <w:name w:val="caption"/>
    <w:basedOn w:val="Heading9"/>
    <w:next w:val="Normal"/>
    <w:unhideWhenUsed/>
    <w:qFormat/>
    <w:rsid w:val="009651FA"/>
    <w:pPr>
      <w:spacing w:after="120"/>
      <w:jc w:val="center"/>
    </w:pPr>
    <w:rPr>
      <w:rFonts w:eastAsiaTheme="minorEastAsia"/>
      <w:bCs/>
      <w:szCs w:val="18"/>
    </w:rPr>
  </w:style>
  <w:style w:type="paragraph" w:styleId="BodyText3">
    <w:name w:val="Body Text 3"/>
    <w:basedOn w:val="Normal"/>
    <w:link w:val="BodyText3Char"/>
    <w:rsid w:val="009651FA"/>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9651FA"/>
    <w:rPr>
      <w:sz w:val="16"/>
      <w:szCs w:val="16"/>
    </w:rPr>
  </w:style>
  <w:style w:type="paragraph" w:customStyle="1" w:styleId="annexiparanumbered">
    <w:name w:val="annex_i_para_numbered"/>
    <w:basedOn w:val="ListParagraph"/>
    <w:qFormat/>
    <w:rsid w:val="009651FA"/>
    <w:pPr>
      <w:numPr>
        <w:numId w:val="15"/>
      </w:numPr>
    </w:pPr>
  </w:style>
  <w:style w:type="character" w:styleId="FollowedHyperlink">
    <w:name w:val="FollowedHyperlink"/>
    <w:basedOn w:val="DefaultParagraphFont"/>
    <w:semiHidden/>
    <w:unhideWhenUsed/>
    <w:rsid w:val="009651FA"/>
    <w:rPr>
      <w:color w:val="FFCCCC" w:themeColor="followedHyperlink"/>
      <w:u w:val="single"/>
    </w:rPr>
  </w:style>
  <w:style w:type="paragraph" w:customStyle="1" w:styleId="Default">
    <w:name w:val="Default"/>
    <w:rsid w:val="009651FA"/>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651FA"/>
    <w:rPr>
      <w:rFonts w:ascii="Arial" w:hAnsi="Arial"/>
      <w:sz w:val="16"/>
    </w:rPr>
  </w:style>
  <w:style w:type="paragraph" w:styleId="TOC6">
    <w:name w:val="toc 6"/>
    <w:basedOn w:val="Normal"/>
    <w:next w:val="Normal"/>
    <w:autoRedefine/>
    <w:unhideWhenUsed/>
    <w:rsid w:val="009651FA"/>
    <w:pPr>
      <w:ind w:left="1000"/>
      <w:jc w:val="left"/>
    </w:pPr>
    <w:rPr>
      <w:rFonts w:asciiTheme="minorHAnsi" w:hAnsiTheme="minorHAnsi" w:cstheme="minorHAnsi"/>
    </w:rPr>
  </w:style>
  <w:style w:type="paragraph" w:styleId="TOC7">
    <w:name w:val="toc 7"/>
    <w:basedOn w:val="Normal"/>
    <w:next w:val="Normal"/>
    <w:autoRedefine/>
    <w:unhideWhenUsed/>
    <w:rsid w:val="009651FA"/>
    <w:pPr>
      <w:ind w:left="1200"/>
      <w:jc w:val="left"/>
    </w:pPr>
    <w:rPr>
      <w:rFonts w:asciiTheme="minorHAnsi" w:hAnsiTheme="minorHAnsi" w:cstheme="minorHAnsi"/>
    </w:rPr>
  </w:style>
  <w:style w:type="paragraph" w:styleId="TOC8">
    <w:name w:val="toc 8"/>
    <w:basedOn w:val="Normal"/>
    <w:next w:val="Normal"/>
    <w:autoRedefine/>
    <w:unhideWhenUsed/>
    <w:rsid w:val="009651FA"/>
    <w:pPr>
      <w:ind w:left="1400"/>
      <w:jc w:val="left"/>
    </w:pPr>
    <w:rPr>
      <w:rFonts w:asciiTheme="minorHAnsi" w:hAnsiTheme="minorHAnsi" w:cstheme="minorHAnsi"/>
    </w:rPr>
  </w:style>
  <w:style w:type="paragraph" w:styleId="TOC9">
    <w:name w:val="toc 9"/>
    <w:basedOn w:val="Normal"/>
    <w:next w:val="Normal"/>
    <w:autoRedefine/>
    <w:unhideWhenUsed/>
    <w:rsid w:val="009651FA"/>
    <w:pPr>
      <w:ind w:left="1600"/>
      <w:jc w:val="left"/>
    </w:pPr>
    <w:rPr>
      <w:rFonts w:asciiTheme="minorHAnsi" w:hAnsiTheme="minorHAnsi" w:cstheme="minorHAnsi"/>
    </w:rPr>
  </w:style>
  <w:style w:type="paragraph" w:styleId="Revision">
    <w:name w:val="Revision"/>
    <w:hidden/>
    <w:uiPriority w:val="99"/>
    <w:semiHidden/>
    <w:rsid w:val="009048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622">
      <w:bodyDiv w:val="1"/>
      <w:marLeft w:val="0"/>
      <w:marRight w:val="0"/>
      <w:marTop w:val="0"/>
      <w:marBottom w:val="0"/>
      <w:divBdr>
        <w:top w:val="none" w:sz="0" w:space="0" w:color="auto"/>
        <w:left w:val="none" w:sz="0" w:space="0" w:color="auto"/>
        <w:bottom w:val="none" w:sz="0" w:space="0" w:color="auto"/>
        <w:right w:val="none" w:sz="0" w:space="0" w:color="auto"/>
      </w:divBdr>
    </w:div>
    <w:div w:id="1147013828">
      <w:bodyDiv w:val="1"/>
      <w:marLeft w:val="0"/>
      <w:marRight w:val="0"/>
      <w:marTop w:val="0"/>
      <w:marBottom w:val="0"/>
      <w:divBdr>
        <w:top w:val="none" w:sz="0" w:space="0" w:color="auto"/>
        <w:left w:val="none" w:sz="0" w:space="0" w:color="auto"/>
        <w:bottom w:val="none" w:sz="0" w:space="0" w:color="auto"/>
        <w:right w:val="none" w:sz="0" w:space="0" w:color="auto"/>
      </w:divBdr>
    </w:div>
    <w:div w:id="127755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pov.int/about/en/benefits_upov_system.html" TargetMode="External"/><Relationship Id="rId21" Type="http://schemas.openxmlformats.org/officeDocument/2006/relationships/image" Target="media/image13.png"/><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14.xml"/><Relationship Id="rId63"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8.png"/><Relationship Id="rId11" Type="http://schemas.openxmlformats.org/officeDocument/2006/relationships/image" Target="media/image3.emf"/><Relationship Id="rId24" Type="http://schemas.openxmlformats.org/officeDocument/2006/relationships/hyperlink" Target="https://www.upov.int/about/en/benefits_upov_system.html" TargetMode="External"/><Relationship Id="rId32" Type="http://schemas.openxmlformats.org/officeDocument/2006/relationships/footer" Target="footer1.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footer" Target="footer17.xml"/><Relationship Id="rId19" Type="http://schemas.openxmlformats.org/officeDocument/2006/relationships/image" Target="media/image1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6.png"/><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14.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orldseedpartnership.org/"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footer" Target="footer9.xml"/><Relationship Id="rId59" Type="http://schemas.openxmlformats.org/officeDocument/2006/relationships/header" Target="header16.xml"/><Relationship Id="rId20" Type="http://schemas.openxmlformats.org/officeDocument/2006/relationships/image" Target="media/image12.emf"/><Relationship Id="rId41" Type="http://schemas.openxmlformats.org/officeDocument/2006/relationships/footer" Target="footer6.xml"/><Relationship Id="rId54" Type="http://schemas.openxmlformats.org/officeDocument/2006/relationships/footer" Target="footer13.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7.png"/><Relationship Id="rId36" Type="http://schemas.openxmlformats.org/officeDocument/2006/relationships/header" Target="header5.xm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image" Target="media/image2.png"/><Relationship Id="rId31" Type="http://schemas.openxmlformats.org/officeDocument/2006/relationships/header" Target="header3.xml"/><Relationship Id="rId44" Type="http://schemas.openxmlformats.org/officeDocument/2006/relationships/footer" Target="footer8.xml"/><Relationship Id="rId52" Type="http://schemas.openxmlformats.org/officeDocument/2006/relationships/header" Target="header12.xml"/><Relationship Id="rId60" Type="http://schemas.openxmlformats.org/officeDocument/2006/relationships/footer" Target="footer1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en/faq.html" TargetMode="External"/><Relationship Id="rId2" Type="http://schemas.openxmlformats.org/officeDocument/2006/relationships/hyperlink" Target="https://www.upov.int/about/en/faq.html" TargetMode="External"/><Relationship Id="rId1" Type="http://schemas.openxmlformats.org/officeDocument/2006/relationships/hyperlink" Target="https://www.upov.int/about/en/faq.html" TargetMode="External"/><Relationship Id="rId4" Type="http://schemas.openxmlformats.org/officeDocument/2006/relationships/hyperlink" Target="https://www.upov.int/edocs/infdocs/en/upov_inf_15.pdf"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0113-FB87-4CA9-8869-B5482536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12656</Words>
  <Characters>73938</Characters>
  <Application>Microsoft Office Word</Application>
  <DocSecurity>0</DocSecurity>
  <Lines>616</Lines>
  <Paragraphs>172</Paragraphs>
  <ScaleCrop>false</ScaleCrop>
  <HeadingPairs>
    <vt:vector size="2" baseType="variant">
      <vt:variant>
        <vt:lpstr>Title</vt:lpstr>
      </vt:variant>
      <vt:variant>
        <vt:i4>1</vt:i4>
      </vt:variant>
    </vt:vector>
  </HeadingPairs>
  <TitlesOfParts>
    <vt:vector size="1" baseType="lpstr">
      <vt:lpstr>C/55/4</vt:lpstr>
    </vt:vector>
  </TitlesOfParts>
  <Company>UPOV</Company>
  <LinksUpToDate>false</LinksUpToDate>
  <CharactersWithSpaces>86422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 Rev.</dc:title>
  <dc:creator>SANCHEZ VIZCAINO GOMEZ Rosa Maria</dc:creator>
  <cp:keywords/>
  <cp:lastModifiedBy>SANTOS Carla Marina</cp:lastModifiedBy>
  <cp:revision>4</cp:revision>
  <cp:lastPrinted>2016-11-22T15:41:00Z</cp:lastPrinted>
  <dcterms:created xsi:type="dcterms:W3CDTF">2021-12-06T17:44:00Z</dcterms:created>
  <dcterms:modified xsi:type="dcterms:W3CDTF">2021-12-23T17:09:00Z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69f6f54e-3f41-40d7-89d3-3e7bbbcba524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