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784E02" w:rsidTr="0096342F">
        <w:tc>
          <w:tcPr>
            <w:tcW w:w="6522" w:type="dxa"/>
          </w:tcPr>
          <w:p w:rsidR="00784E02" w:rsidRPr="00784E02" w:rsidRDefault="00784E02" w:rsidP="0096342F">
            <w:r w:rsidRPr="00784E02">
              <w:rPr>
                <w:noProof/>
              </w:rPr>
              <w:drawing>
                <wp:inline distT="0" distB="0" distL="0" distR="0" wp14:anchorId="3EA7A5D4" wp14:editId="409182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784E02" w:rsidRDefault="00784E02" w:rsidP="0096342F">
            <w:pPr>
              <w:pStyle w:val="Lettrine"/>
            </w:pPr>
            <w:r w:rsidRPr="00784E02">
              <w:t>E</w:t>
            </w:r>
          </w:p>
        </w:tc>
      </w:tr>
      <w:tr w:rsidR="00784E02" w:rsidRPr="00784E02" w:rsidTr="0096342F">
        <w:trPr>
          <w:trHeight w:val="219"/>
        </w:trPr>
        <w:tc>
          <w:tcPr>
            <w:tcW w:w="6522" w:type="dxa"/>
          </w:tcPr>
          <w:p w:rsidR="00784E02" w:rsidRPr="00784E02" w:rsidRDefault="00784E02" w:rsidP="0096342F">
            <w:pPr>
              <w:pStyle w:val="upove"/>
            </w:pPr>
            <w:r w:rsidRPr="00784E02">
              <w:t>International Union for the Protection of New Varieties of Plants</w:t>
            </w:r>
          </w:p>
        </w:tc>
        <w:tc>
          <w:tcPr>
            <w:tcW w:w="3117" w:type="dxa"/>
          </w:tcPr>
          <w:p w:rsidR="00784E02" w:rsidRPr="00784E02" w:rsidRDefault="00784E02" w:rsidP="0096342F"/>
        </w:tc>
      </w:tr>
    </w:tbl>
    <w:p w:rsidR="00784E02" w:rsidRPr="00784E02" w:rsidRDefault="00784E02" w:rsidP="00784E02"/>
    <w:p w:rsidR="00784E02" w:rsidRPr="00784E02" w:rsidRDefault="00784E02" w:rsidP="00784E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4E02" w:rsidRPr="00784E02" w:rsidTr="0096342F">
        <w:tc>
          <w:tcPr>
            <w:tcW w:w="6512" w:type="dxa"/>
          </w:tcPr>
          <w:p w:rsidR="00784E02" w:rsidRPr="00784E02" w:rsidRDefault="00784E02" w:rsidP="0096342F">
            <w:pPr>
              <w:pStyle w:val="Sessiontcplacedate"/>
              <w:spacing w:before="0"/>
              <w:contextualSpacing w:val="0"/>
            </w:pPr>
          </w:p>
        </w:tc>
        <w:tc>
          <w:tcPr>
            <w:tcW w:w="3127" w:type="dxa"/>
          </w:tcPr>
          <w:p w:rsidR="00784E02" w:rsidRPr="00EF5E61" w:rsidRDefault="00ED2D12" w:rsidP="0096342F">
            <w:pPr>
              <w:pStyle w:val="Doccode"/>
            </w:pPr>
            <w:r w:rsidRPr="00EF5E61">
              <w:t>TGP/15/3 Draft 1</w:t>
            </w:r>
          </w:p>
          <w:p w:rsidR="00784E02" w:rsidRPr="00EF5E61" w:rsidRDefault="00784E02" w:rsidP="0096342F">
            <w:pPr>
              <w:pStyle w:val="Docoriginal"/>
              <w:rPr>
                <w:lang w:val="en-US"/>
              </w:rPr>
            </w:pPr>
            <w:r w:rsidRPr="00EF5E61">
              <w:rPr>
                <w:lang w:val="en-US"/>
              </w:rPr>
              <w:t>Original:</w:t>
            </w:r>
            <w:r w:rsidRPr="00EF5E61">
              <w:rPr>
                <w:b w:val="0"/>
                <w:spacing w:val="0"/>
                <w:lang w:val="en-US"/>
              </w:rPr>
              <w:t xml:space="preserve">  English</w:t>
            </w:r>
          </w:p>
          <w:p w:rsidR="00784E02" w:rsidRPr="00784E02" w:rsidRDefault="00784E02" w:rsidP="00EF5E61">
            <w:pPr>
              <w:pStyle w:val="Docoriginal"/>
              <w:rPr>
                <w:lang w:val="en-US"/>
              </w:rPr>
            </w:pPr>
            <w:r w:rsidRPr="00EF5E61">
              <w:rPr>
                <w:lang w:val="en-US"/>
              </w:rPr>
              <w:t>Date:</w:t>
            </w:r>
            <w:r w:rsidRPr="00EF5E61">
              <w:rPr>
                <w:b w:val="0"/>
                <w:spacing w:val="0"/>
                <w:lang w:val="en-US"/>
              </w:rPr>
              <w:t xml:space="preserve">  </w:t>
            </w:r>
            <w:r w:rsidR="0098498A" w:rsidRPr="00EF5E61">
              <w:rPr>
                <w:b w:val="0"/>
                <w:spacing w:val="0"/>
                <w:lang w:val="en-US"/>
              </w:rPr>
              <w:t>August</w:t>
            </w:r>
            <w:r w:rsidR="00B525F1" w:rsidRPr="00EF5E61">
              <w:rPr>
                <w:b w:val="0"/>
                <w:spacing w:val="0"/>
                <w:lang w:val="en-US"/>
              </w:rPr>
              <w:t xml:space="preserve"> </w:t>
            </w:r>
            <w:r w:rsidR="00EF5E61" w:rsidRPr="00EF5E61">
              <w:rPr>
                <w:b w:val="0"/>
                <w:spacing w:val="0"/>
                <w:lang w:val="en-US"/>
              </w:rPr>
              <w:t>10</w:t>
            </w:r>
            <w:r w:rsidR="00ED2D12" w:rsidRPr="00EF5E61">
              <w:rPr>
                <w:b w:val="0"/>
                <w:spacing w:val="0"/>
                <w:lang w:val="en-US"/>
              </w:rPr>
              <w:t>, 2020</w:t>
            </w:r>
            <w:bookmarkStart w:id="0" w:name="_GoBack"/>
            <w:bookmarkEnd w:id="0"/>
          </w:p>
        </w:tc>
      </w:tr>
      <w:tr w:rsidR="00681D2B" w:rsidRPr="0049132A" w:rsidTr="004A7F68">
        <w:tc>
          <w:tcPr>
            <w:tcW w:w="6512" w:type="dxa"/>
            <w:tcBorders>
              <w:top w:val="single" w:sz="4" w:space="0" w:color="auto"/>
              <w:bottom w:val="single" w:sz="4" w:space="0" w:color="auto"/>
            </w:tcBorders>
          </w:tcPr>
          <w:p w:rsidR="00681D2B" w:rsidRPr="0049132A" w:rsidRDefault="00681D2B" w:rsidP="004A7F68">
            <w:pPr>
              <w:pStyle w:val="Sessiontc"/>
              <w:spacing w:line="240" w:lineRule="auto"/>
              <w:rPr>
                <w:i/>
              </w:rPr>
            </w:pPr>
            <w:r w:rsidRPr="0049132A">
              <w:rPr>
                <w:i/>
              </w:rPr>
              <w:t>to be considered by correspondence</w:t>
            </w:r>
          </w:p>
        </w:tc>
        <w:tc>
          <w:tcPr>
            <w:tcW w:w="3127" w:type="dxa"/>
            <w:tcBorders>
              <w:top w:val="single" w:sz="4" w:space="0" w:color="auto"/>
              <w:bottom w:val="single" w:sz="4" w:space="0" w:color="auto"/>
            </w:tcBorders>
          </w:tcPr>
          <w:p w:rsidR="00681D2B" w:rsidRPr="0049132A" w:rsidRDefault="00681D2B" w:rsidP="004A7F68">
            <w:pPr>
              <w:pStyle w:val="Doccode"/>
            </w:pPr>
          </w:p>
        </w:tc>
      </w:tr>
    </w:tbl>
    <w:p w:rsidR="00ED2D12" w:rsidRPr="00784E02" w:rsidRDefault="00ED2D12" w:rsidP="00ED2D12"/>
    <w:p w:rsidR="00ED2D12" w:rsidRDefault="00ED2D12" w:rsidP="00ED2D12"/>
    <w:p w:rsidR="00ED2D12" w:rsidRPr="00784E02" w:rsidRDefault="00ED2D12" w:rsidP="00ED2D1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ED2D12" w:rsidRPr="00784E02" w:rsidTr="00A50AF3">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2D12" w:rsidRPr="00784E02" w:rsidRDefault="00ED2D12" w:rsidP="00A50AF3">
            <w:pPr>
              <w:jc w:val="center"/>
              <w:rPr>
                <w:b/>
              </w:rPr>
            </w:pPr>
            <w:r w:rsidRPr="00784E02">
              <w:rPr>
                <w:b/>
              </w:rPr>
              <w:t>DRAFT</w:t>
            </w:r>
          </w:p>
          <w:p w:rsidR="00ED2D12" w:rsidRPr="00784E02" w:rsidRDefault="00ED2D12" w:rsidP="00A50AF3">
            <w:pPr>
              <w:jc w:val="center"/>
            </w:pPr>
            <w:r w:rsidRPr="00784E02">
              <w:rPr>
                <w:b/>
              </w:rPr>
              <w:t>(REVISION)</w:t>
            </w:r>
          </w:p>
        </w:tc>
      </w:tr>
    </w:tbl>
    <w:p w:rsidR="00ED2D12" w:rsidRPr="00784E02" w:rsidRDefault="00ED2D12" w:rsidP="00ED2D12"/>
    <w:p w:rsidR="00ED2D12" w:rsidRPr="00784E02" w:rsidRDefault="00ED2D12" w:rsidP="00ED2D12"/>
    <w:p w:rsidR="00ED2D12" w:rsidRPr="00D70948" w:rsidRDefault="00ED2D12" w:rsidP="00ED2D12"/>
    <w:p w:rsidR="00D70948" w:rsidRDefault="00D70948" w:rsidP="00EC4EC6">
      <w:pPr>
        <w:pStyle w:val="TitleofDoc"/>
      </w:pPr>
      <w:r w:rsidRPr="00D70948">
        <w:t xml:space="preserve">Associated Document to the </w:t>
      </w:r>
    </w:p>
    <w:p w:rsidR="00D70948" w:rsidRPr="00D70948" w:rsidRDefault="00D70948" w:rsidP="00EC4EC6">
      <w:pPr>
        <w:pStyle w:val="TitleofDoc"/>
      </w:pPr>
      <w:r w:rsidRPr="00D70948">
        <w:t xml:space="preserve">General Introduction to the Examination of Distinctness, Uniformity and Stability </w:t>
      </w:r>
      <w:r w:rsidRPr="00D70948">
        <w:br/>
        <w:t>and the Development of Harmonized Descriptions of New Varieties of Plants (document TG/1/3)</w:t>
      </w:r>
    </w:p>
    <w:p w:rsidR="00784E02" w:rsidRPr="005F385A" w:rsidRDefault="00784E02" w:rsidP="00EC4EC6">
      <w:pPr>
        <w:pStyle w:val="Titleofdoc0"/>
      </w:pPr>
      <w:r>
        <w:t>DOCUMENT TGP/</w:t>
      </w:r>
      <w:r w:rsidR="005F385A">
        <w:t>15</w:t>
      </w:r>
      <w:r>
        <w:br/>
      </w:r>
      <w:r>
        <w:br/>
      </w:r>
      <w:r w:rsidR="005F385A" w:rsidRPr="005F385A">
        <w:t xml:space="preserve">GUIDANCE ON THE USE OF BIOCHEMICAL AND MOLECULAR MARKERS </w:t>
      </w:r>
      <w:r w:rsidR="005F385A" w:rsidRPr="005F385A">
        <w:br/>
        <w:t>IN THE EXAMINATION OF DISTINCTNESS, UNIFORMITY AND STABILITY (DUS)</w:t>
      </w:r>
    </w:p>
    <w:p w:rsidR="009D5DCF" w:rsidRDefault="009D5DCF" w:rsidP="009D5DCF">
      <w:pPr>
        <w:pStyle w:val="preparedby1"/>
      </w:pPr>
      <w:r w:rsidRPr="00784E02">
        <w:t>Document prepared by the Office of the Union</w:t>
      </w:r>
    </w:p>
    <w:p w:rsidR="009D5DCF" w:rsidRPr="00784E02" w:rsidRDefault="009D5DCF" w:rsidP="009D5DCF">
      <w:pPr>
        <w:pStyle w:val="preparedby1"/>
      </w:pPr>
    </w:p>
    <w:p w:rsidR="009D5DCF" w:rsidRDefault="009D5DCF" w:rsidP="009D5DCF">
      <w:pPr>
        <w:pStyle w:val="preparedby1"/>
      </w:pPr>
      <w:r w:rsidRPr="00784E02">
        <w:t xml:space="preserve">to be considered by </w:t>
      </w:r>
    </w:p>
    <w:p w:rsidR="009D5DCF" w:rsidRDefault="009D5DCF" w:rsidP="009D5DCF">
      <w:pPr>
        <w:pStyle w:val="preparedby1"/>
      </w:pPr>
      <w:r>
        <w:t xml:space="preserve">the Technical Committee, the Administrative and Legal Committee, and the </w:t>
      </w:r>
      <w:r w:rsidRPr="003508FB">
        <w:t>C</w:t>
      </w:r>
      <w:r>
        <w:t>ouncil in 2020</w:t>
      </w:r>
    </w:p>
    <w:p w:rsidR="009D5DCF" w:rsidRDefault="009D5DCF" w:rsidP="009D5DCF">
      <w:pPr>
        <w:pStyle w:val="preparedby1"/>
      </w:pPr>
    </w:p>
    <w:p w:rsidR="009D5DCF" w:rsidRPr="00784E02" w:rsidRDefault="009D5DCF" w:rsidP="009D5DCF">
      <w:pPr>
        <w:pStyle w:val="preparedby1"/>
      </w:pPr>
    </w:p>
    <w:p w:rsidR="009D5DCF" w:rsidRPr="00784E02" w:rsidRDefault="009D5DCF" w:rsidP="009D5DCF">
      <w:pPr>
        <w:pStyle w:val="Disclaimer"/>
        <w:spacing w:after="1200"/>
      </w:pPr>
      <w:r w:rsidRPr="00784E02">
        <w:t>Disclaimer:  this document does not represent UPOV policies or guidance</w:t>
      </w:r>
    </w:p>
    <w:p w:rsidR="0031569D" w:rsidRPr="0031569D" w:rsidRDefault="0031569D" w:rsidP="0031569D"/>
    <w:p w:rsidR="008922C9" w:rsidRPr="00784E02" w:rsidRDefault="008922C9" w:rsidP="00E306B7">
      <w:pPr>
        <w:pStyle w:val="Disclaimer"/>
        <w:spacing w:after="1200"/>
      </w:pPr>
      <w:r w:rsidRPr="00784E02">
        <w:br w:type="page"/>
      </w:r>
    </w:p>
    <w:p w:rsidR="00984926" w:rsidRDefault="00984926" w:rsidP="00E306B7">
      <w:pPr>
        <w:jc w:val="center"/>
      </w:pPr>
    </w:p>
    <w:p w:rsidR="00E306B7" w:rsidRPr="00AF4E46" w:rsidRDefault="00E306B7" w:rsidP="00E306B7">
      <w:pPr>
        <w:jc w:val="center"/>
      </w:pPr>
      <w:r w:rsidRPr="00AF4E46">
        <w:t>TABLE OF CONTENTS</w:t>
      </w:r>
    </w:p>
    <w:p w:rsidR="00E306B7" w:rsidRPr="00CD142F" w:rsidRDefault="00E306B7" w:rsidP="00E306B7">
      <w:pPr>
        <w:tabs>
          <w:tab w:val="left" w:pos="3800"/>
        </w:tabs>
        <w:spacing w:before="120" w:after="120"/>
        <w:ind w:left="567" w:hanging="567"/>
        <w:rPr>
          <w:rFonts w:cs="Arial"/>
        </w:rPr>
      </w:pPr>
    </w:p>
    <w:p w:rsidR="00F05C67" w:rsidRDefault="00E306B7">
      <w:pPr>
        <w:pStyle w:val="TOC1"/>
        <w:rPr>
          <w:rFonts w:asciiTheme="minorHAnsi" w:eastAsiaTheme="minorEastAsia" w:hAnsiTheme="minorHAnsi" w:cstheme="minorBidi"/>
          <w:b w:val="0"/>
          <w:caps w:val="0"/>
          <w:sz w:val="22"/>
          <w:szCs w:val="22"/>
        </w:rPr>
      </w:pPr>
      <w:r w:rsidRPr="00A25E6C">
        <w:rPr>
          <w:sz w:val="18"/>
        </w:rPr>
        <w:fldChar w:fldCharType="begin"/>
      </w:r>
      <w:r w:rsidRPr="00A25E6C">
        <w:instrText xml:space="preserve"> TOC \o "1-3" </w:instrText>
      </w:r>
      <w:r w:rsidRPr="00A25E6C">
        <w:rPr>
          <w:sz w:val="18"/>
        </w:rPr>
        <w:fldChar w:fldCharType="separate"/>
      </w:r>
      <w:r w:rsidR="00F05C67">
        <w:t>1.</w:t>
      </w:r>
      <w:r w:rsidR="00F05C67">
        <w:rPr>
          <w:rFonts w:asciiTheme="minorHAnsi" w:eastAsiaTheme="minorEastAsia" w:hAnsiTheme="minorHAnsi" w:cstheme="minorBidi"/>
          <w:b w:val="0"/>
          <w:caps w:val="0"/>
          <w:sz w:val="22"/>
          <w:szCs w:val="22"/>
        </w:rPr>
        <w:tab/>
      </w:r>
      <w:r w:rsidR="00F05C67">
        <w:t>INTRODUCTION</w:t>
      </w:r>
      <w:r w:rsidR="00F05C67">
        <w:tab/>
      </w:r>
      <w:r w:rsidR="00F05C67">
        <w:fldChar w:fldCharType="begin"/>
      </w:r>
      <w:r w:rsidR="00F05C67">
        <w:instrText xml:space="preserve"> PAGEREF _Toc41500010 \h </w:instrText>
      </w:r>
      <w:r w:rsidR="00F05C67">
        <w:fldChar w:fldCharType="separate"/>
      </w:r>
      <w:r w:rsidR="00F05C67">
        <w:t>3</w:t>
      </w:r>
      <w:r w:rsidR="00F05C67">
        <w:fldChar w:fldCharType="end"/>
      </w:r>
    </w:p>
    <w:p w:rsidR="00F05C67" w:rsidRDefault="00F05C67">
      <w:pPr>
        <w:pStyle w:val="TOC1"/>
        <w:rPr>
          <w:rFonts w:asciiTheme="minorHAnsi" w:eastAsiaTheme="minorEastAsia" w:hAnsiTheme="minorHAnsi" w:cstheme="minorBidi"/>
          <w:b w:val="0"/>
          <w:caps w:val="0"/>
          <w:sz w:val="22"/>
          <w:szCs w:val="22"/>
        </w:rPr>
      </w:pPr>
      <w:r w:rsidRPr="009F23A5">
        <w:t>2.</w:t>
      </w:r>
      <w:r>
        <w:rPr>
          <w:rFonts w:asciiTheme="minorHAnsi" w:eastAsiaTheme="minorEastAsia" w:hAnsiTheme="minorHAnsi" w:cstheme="minorBidi"/>
          <w:b w:val="0"/>
          <w:caps w:val="0"/>
          <w:sz w:val="22"/>
          <w:szCs w:val="22"/>
        </w:rPr>
        <w:tab/>
      </w:r>
      <w:r>
        <w:t>APPLICATION MODELS</w:t>
      </w:r>
      <w:r>
        <w:tab/>
      </w:r>
      <w:r>
        <w:fldChar w:fldCharType="begin"/>
      </w:r>
      <w:r>
        <w:instrText xml:space="preserve"> PAGEREF _Toc41500011 \h </w:instrText>
      </w:r>
      <w:r>
        <w:fldChar w:fldCharType="separate"/>
      </w:r>
      <w:r>
        <w:t>3</w:t>
      </w:r>
      <w:r>
        <w:fldChar w:fldCharType="end"/>
      </w:r>
    </w:p>
    <w:p w:rsidR="00F05C67" w:rsidRDefault="00F05C67" w:rsidP="00997362">
      <w:pPr>
        <w:pStyle w:val="TOC2"/>
        <w:spacing w:after="120"/>
        <w:rPr>
          <w:rFonts w:asciiTheme="minorHAnsi" w:eastAsiaTheme="minorEastAsia" w:hAnsiTheme="minorHAnsi" w:cstheme="minorBidi"/>
          <w:sz w:val="22"/>
          <w:szCs w:val="22"/>
          <w:lang w:val="en-US" w:eastAsia="en-US"/>
        </w:rPr>
      </w:pPr>
      <w:r>
        <w:t>2.1</w:t>
      </w:r>
      <w:r>
        <w:rPr>
          <w:rFonts w:asciiTheme="minorHAnsi" w:eastAsiaTheme="minorEastAsia" w:hAnsiTheme="minorHAnsi" w:cstheme="minorBidi"/>
          <w:sz w:val="22"/>
          <w:szCs w:val="22"/>
          <w:lang w:val="en-US" w:eastAsia="en-US"/>
        </w:rPr>
        <w:tab/>
      </w:r>
      <w:r>
        <w:t>Characteristic-Specific Molecular Markers (see Annex I)</w:t>
      </w:r>
      <w:r>
        <w:tab/>
      </w:r>
      <w:r>
        <w:fldChar w:fldCharType="begin"/>
      </w:r>
      <w:r>
        <w:instrText xml:space="preserve"> PAGEREF _Toc41500012 \h </w:instrText>
      </w:r>
      <w:r>
        <w:fldChar w:fldCharType="separate"/>
      </w:r>
      <w:r>
        <w:t>3</w:t>
      </w:r>
      <w:r>
        <w:fldChar w:fldCharType="end"/>
      </w:r>
    </w:p>
    <w:p w:rsidR="00F05C67" w:rsidRDefault="00F05C67">
      <w:pPr>
        <w:pStyle w:val="TOC2"/>
        <w:rPr>
          <w:rFonts w:asciiTheme="minorHAnsi" w:eastAsiaTheme="minorEastAsia" w:hAnsiTheme="minorHAnsi" w:cstheme="minorBidi"/>
          <w:sz w:val="22"/>
          <w:szCs w:val="22"/>
          <w:lang w:val="en-US" w:eastAsia="en-US"/>
        </w:rPr>
      </w:pPr>
      <w:r>
        <w:t>2.2</w:t>
      </w:r>
      <w:r>
        <w:rPr>
          <w:rFonts w:asciiTheme="minorHAnsi" w:eastAsiaTheme="minorEastAsia" w:hAnsiTheme="minorHAnsi" w:cstheme="minorBidi"/>
          <w:sz w:val="22"/>
          <w:szCs w:val="22"/>
          <w:lang w:val="en-US" w:eastAsia="en-US"/>
        </w:rPr>
        <w:tab/>
      </w:r>
      <w:r>
        <w:t>Combining Phenotypic and Molecular Distances in the Management of Variety Collections (see Annex</w:t>
      </w:r>
      <w:r w:rsidRPr="009F23A5">
        <w:rPr>
          <w:bCs/>
        </w:rPr>
        <w:t> II</w:t>
      </w:r>
      <w:r>
        <w:t>)</w:t>
      </w:r>
      <w:r>
        <w:tab/>
      </w:r>
      <w:r>
        <w:fldChar w:fldCharType="begin"/>
      </w:r>
      <w:r>
        <w:instrText xml:space="preserve"> PAGEREF _Toc41500013 \h </w:instrText>
      </w:r>
      <w:r>
        <w:fldChar w:fldCharType="separate"/>
      </w:r>
      <w:r>
        <w:t>4</w:t>
      </w:r>
      <w:r>
        <w:fldChar w:fldCharType="end"/>
      </w:r>
    </w:p>
    <w:p w:rsidR="00F05C67" w:rsidRDefault="00F05C67">
      <w:pPr>
        <w:pStyle w:val="TOC3"/>
        <w:rPr>
          <w:rFonts w:asciiTheme="minorHAnsi" w:eastAsiaTheme="minorEastAsia" w:hAnsiTheme="minorHAnsi" w:cstheme="minorBidi"/>
          <w:i w:val="0"/>
          <w:sz w:val="22"/>
          <w:szCs w:val="22"/>
          <w:lang w:val="en-US"/>
        </w:rPr>
      </w:pPr>
      <w:r w:rsidRPr="00F05C67">
        <w:rPr>
          <w:lang w:val="en-US"/>
        </w:rPr>
        <w:t>Example 1:  Parent lines in Maize (see Annex II, example 1)</w:t>
      </w:r>
      <w:r w:rsidRPr="00F05C67">
        <w:rPr>
          <w:lang w:val="en-US"/>
        </w:rPr>
        <w:tab/>
      </w:r>
      <w:r>
        <w:fldChar w:fldCharType="begin"/>
      </w:r>
      <w:r w:rsidRPr="00F05C67">
        <w:rPr>
          <w:lang w:val="en-US"/>
        </w:rPr>
        <w:instrText xml:space="preserve"> PAGEREF _Toc41500014 \h </w:instrText>
      </w:r>
      <w:r>
        <w:fldChar w:fldCharType="separate"/>
      </w:r>
      <w:r w:rsidRPr="00F05C67">
        <w:rPr>
          <w:lang w:val="en-US"/>
        </w:rPr>
        <w:t>4</w:t>
      </w:r>
      <w:r>
        <w:fldChar w:fldCharType="end"/>
      </w:r>
    </w:p>
    <w:p w:rsidR="00F05C67" w:rsidRDefault="00F05C67">
      <w:pPr>
        <w:pStyle w:val="TOC3"/>
        <w:rPr>
          <w:rFonts w:asciiTheme="minorHAnsi" w:eastAsiaTheme="minorEastAsia" w:hAnsiTheme="minorHAnsi" w:cstheme="minorBidi"/>
          <w:i w:val="0"/>
          <w:sz w:val="22"/>
          <w:szCs w:val="22"/>
          <w:lang w:val="en-US"/>
        </w:rPr>
      </w:pPr>
      <w:r w:rsidRPr="00F05C67">
        <w:rPr>
          <w:lang w:val="en-US"/>
        </w:rPr>
        <w:t>Example 2:  Genetic Selection of Similar Varieties for the First Growing Cycle (see Annex</w:t>
      </w:r>
      <w:r w:rsidRPr="009F23A5">
        <w:rPr>
          <w:bCs/>
          <w:lang w:val="en-GB"/>
        </w:rPr>
        <w:t> II, example 2</w:t>
      </w:r>
      <w:r w:rsidRPr="00F05C67">
        <w:rPr>
          <w:lang w:val="en-US"/>
        </w:rPr>
        <w:t>)</w:t>
      </w:r>
      <w:r w:rsidRPr="00F05C67">
        <w:rPr>
          <w:lang w:val="en-US"/>
        </w:rPr>
        <w:tab/>
      </w:r>
      <w:r>
        <w:fldChar w:fldCharType="begin"/>
      </w:r>
      <w:r w:rsidRPr="00F05C67">
        <w:rPr>
          <w:lang w:val="en-US"/>
        </w:rPr>
        <w:instrText xml:space="preserve"> PAGEREF _Toc41500015 \h </w:instrText>
      </w:r>
      <w:r>
        <w:fldChar w:fldCharType="separate"/>
      </w:r>
      <w:r w:rsidRPr="00F05C67">
        <w:rPr>
          <w:lang w:val="en-US"/>
        </w:rPr>
        <w:t>4</w:t>
      </w:r>
      <w:r>
        <w:fldChar w:fldCharType="end"/>
      </w:r>
    </w:p>
    <w:p w:rsidR="00E306B7" w:rsidRPr="00A25E6C" w:rsidRDefault="00E306B7" w:rsidP="00E306B7">
      <w:pPr>
        <w:tabs>
          <w:tab w:val="left" w:pos="1980"/>
        </w:tabs>
        <w:rPr>
          <w:rFonts w:cs="Arial"/>
          <w:snapToGrid w:val="0"/>
        </w:rPr>
      </w:pPr>
      <w:r w:rsidRPr="00A25E6C">
        <w:rPr>
          <w:rFonts w:cs="Arial"/>
          <w:snapToGrid w:val="0"/>
        </w:rPr>
        <w:fldChar w:fldCharType="end"/>
      </w:r>
    </w:p>
    <w:p w:rsidR="00E306B7" w:rsidRPr="00A25E6C" w:rsidRDefault="00E306B7" w:rsidP="007E71B5">
      <w:pPr>
        <w:tabs>
          <w:tab w:val="left" w:pos="1134"/>
          <w:tab w:val="left" w:pos="1985"/>
        </w:tabs>
        <w:spacing w:after="120"/>
        <w:ind w:left="1134" w:hanging="1134"/>
        <w:rPr>
          <w:rFonts w:cs="Arial"/>
          <w:snapToGrid w:val="0"/>
        </w:rPr>
      </w:pPr>
      <w:r w:rsidRPr="00A25E6C">
        <w:rPr>
          <w:rFonts w:cs="Arial"/>
          <w:snapToGrid w:val="0"/>
        </w:rPr>
        <w:t xml:space="preserve">ANNEX </w:t>
      </w:r>
      <w:r w:rsidR="00207199" w:rsidRPr="00A25E6C">
        <w:rPr>
          <w:rFonts w:cs="Arial"/>
          <w:snapToGrid w:val="0"/>
        </w:rPr>
        <w:t>I</w:t>
      </w:r>
      <w:r w:rsidRPr="00A25E6C">
        <w:rPr>
          <w:rFonts w:cs="Arial"/>
          <w:snapToGrid w:val="0"/>
        </w:rPr>
        <w:tab/>
        <w:t>MODEL:</w:t>
      </w:r>
      <w:r w:rsidRPr="00A25E6C">
        <w:rPr>
          <w:rFonts w:cs="Arial"/>
          <w:snapToGrid w:val="0"/>
        </w:rPr>
        <w:tab/>
        <w:t>CHARACTERISTIC-SPECIFIC MOLECULAR MARKERS</w:t>
      </w:r>
    </w:p>
    <w:p w:rsidR="00E306B7" w:rsidRPr="00A92677" w:rsidRDefault="00E306B7" w:rsidP="00997362">
      <w:pPr>
        <w:spacing w:after="120"/>
        <w:ind w:left="2410" w:hanging="1276"/>
        <w:jc w:val="left"/>
        <w:rPr>
          <w:rFonts w:cs="Arial"/>
          <w:snapToGrid w:val="0"/>
          <w:sz w:val="18"/>
          <w:szCs w:val="18"/>
        </w:rPr>
      </w:pPr>
      <w:r w:rsidRPr="00A92677">
        <w:rPr>
          <w:rFonts w:cs="Arial"/>
          <w:snapToGrid w:val="0"/>
          <w:sz w:val="18"/>
          <w:szCs w:val="18"/>
        </w:rPr>
        <w:t>EXAMPLE</w:t>
      </w:r>
      <w:r w:rsidR="0099781E" w:rsidRPr="00A92677">
        <w:rPr>
          <w:rFonts w:cs="Arial"/>
          <w:snapToGrid w:val="0"/>
          <w:sz w:val="18"/>
          <w:szCs w:val="18"/>
        </w:rPr>
        <w:t xml:space="preserve"> 1</w:t>
      </w:r>
      <w:r w:rsidRPr="00A92677">
        <w:rPr>
          <w:rFonts w:cs="Arial"/>
          <w:snapToGrid w:val="0"/>
          <w:sz w:val="18"/>
          <w:szCs w:val="18"/>
        </w:rPr>
        <w:t>:</w:t>
      </w:r>
      <w:r w:rsidR="00960B9C" w:rsidRPr="00A92677">
        <w:rPr>
          <w:rFonts w:cs="Arial"/>
          <w:snapToGrid w:val="0"/>
          <w:sz w:val="18"/>
          <w:szCs w:val="18"/>
        </w:rPr>
        <w:tab/>
      </w:r>
      <w:r w:rsidRPr="00A92677">
        <w:rPr>
          <w:rFonts w:cs="Arial"/>
          <w:snapToGrid w:val="0"/>
          <w:sz w:val="18"/>
          <w:szCs w:val="18"/>
        </w:rPr>
        <w:t>GENE SPECIFIC MARKER FOR HERBICIDE TOLERANCE</w:t>
      </w:r>
    </w:p>
    <w:p w:rsidR="00960B9C" w:rsidRPr="00A92677" w:rsidRDefault="00960B9C" w:rsidP="00997362">
      <w:pPr>
        <w:spacing w:after="120"/>
        <w:ind w:left="2410" w:hanging="1276"/>
        <w:jc w:val="left"/>
        <w:rPr>
          <w:rFonts w:cs="Arial"/>
          <w:snapToGrid w:val="0"/>
          <w:sz w:val="18"/>
          <w:szCs w:val="18"/>
        </w:rPr>
      </w:pPr>
      <w:r w:rsidRPr="00A92677">
        <w:rPr>
          <w:rFonts w:cs="Arial"/>
          <w:snapToGrid w:val="0"/>
          <w:sz w:val="18"/>
          <w:szCs w:val="18"/>
        </w:rPr>
        <w:t>EXAMPLE</w:t>
      </w:r>
      <w:r w:rsidR="0099781E" w:rsidRPr="00A92677">
        <w:rPr>
          <w:rFonts w:cs="Arial"/>
          <w:snapToGrid w:val="0"/>
          <w:sz w:val="18"/>
          <w:szCs w:val="18"/>
        </w:rPr>
        <w:t xml:space="preserve"> 2</w:t>
      </w:r>
      <w:r w:rsidRPr="00A92677">
        <w:rPr>
          <w:rFonts w:cs="Arial"/>
          <w:snapToGrid w:val="0"/>
          <w:sz w:val="18"/>
          <w:szCs w:val="18"/>
        </w:rPr>
        <w:t>:</w:t>
      </w:r>
      <w:r w:rsidRPr="00A92677">
        <w:rPr>
          <w:rFonts w:cs="Arial"/>
          <w:snapToGrid w:val="0"/>
          <w:sz w:val="18"/>
          <w:szCs w:val="18"/>
        </w:rPr>
        <w:tab/>
        <w:t>GENE SPECIFIC MARKER WITH INCOMPLETE INFORMATION ON STATE OF EXPRESSION FOR DISEASE RESISTANCE IN TOMATO</w:t>
      </w:r>
    </w:p>
    <w:p w:rsidR="00E306B7" w:rsidRPr="00A25E6C" w:rsidRDefault="00E306B7" w:rsidP="00EB0415">
      <w:pPr>
        <w:tabs>
          <w:tab w:val="left" w:pos="1980"/>
        </w:tabs>
        <w:jc w:val="left"/>
        <w:rPr>
          <w:rFonts w:cs="Arial"/>
          <w:snapToGrid w:val="0"/>
        </w:rPr>
      </w:pPr>
    </w:p>
    <w:p w:rsidR="00E306B7" w:rsidRPr="00A25E6C" w:rsidRDefault="00E306B7" w:rsidP="007E71B5">
      <w:pPr>
        <w:tabs>
          <w:tab w:val="left" w:pos="1134"/>
          <w:tab w:val="left" w:pos="1985"/>
        </w:tabs>
        <w:spacing w:after="120"/>
        <w:ind w:left="1985" w:hanging="1985"/>
        <w:rPr>
          <w:rFonts w:cs="Arial"/>
          <w:snapToGrid w:val="0"/>
        </w:rPr>
      </w:pPr>
      <w:r w:rsidRPr="00A25E6C">
        <w:rPr>
          <w:rFonts w:cs="Arial"/>
          <w:snapToGrid w:val="0"/>
        </w:rPr>
        <w:t xml:space="preserve">ANNEX </w:t>
      </w:r>
      <w:r w:rsidR="00207199" w:rsidRPr="00A25E6C">
        <w:rPr>
          <w:rFonts w:cs="Arial"/>
          <w:snapToGrid w:val="0"/>
        </w:rPr>
        <w:t>II</w:t>
      </w:r>
      <w:r w:rsidRPr="00A25E6C">
        <w:rPr>
          <w:rFonts w:cs="Arial"/>
          <w:snapToGrid w:val="0"/>
        </w:rPr>
        <w:tab/>
        <w:t>MODEL:</w:t>
      </w:r>
      <w:r w:rsidRPr="00A25E6C">
        <w:rPr>
          <w:rFonts w:cs="Arial"/>
          <w:snapToGrid w:val="0"/>
        </w:rPr>
        <w:tab/>
        <w:t>COMBINING PHENOTYPIC AND MOLECULAR DISTANCES IN THE MANAGEMENT OF VARIETY COLLECTIONS</w:t>
      </w:r>
    </w:p>
    <w:p w:rsidR="00E306B7" w:rsidRPr="00A92677" w:rsidRDefault="00960B9C" w:rsidP="00997362">
      <w:pPr>
        <w:spacing w:after="120"/>
        <w:ind w:left="2410" w:hanging="1276"/>
        <w:jc w:val="left"/>
        <w:rPr>
          <w:rFonts w:cs="Arial"/>
          <w:snapToGrid w:val="0"/>
          <w:sz w:val="18"/>
          <w:szCs w:val="18"/>
        </w:rPr>
      </w:pPr>
      <w:r w:rsidRPr="00A92677">
        <w:rPr>
          <w:rFonts w:cs="Arial"/>
          <w:snapToGrid w:val="0"/>
          <w:sz w:val="18"/>
          <w:szCs w:val="18"/>
        </w:rPr>
        <w:t>EXAMPLE</w:t>
      </w:r>
      <w:r w:rsidR="0099781E" w:rsidRPr="00A92677">
        <w:rPr>
          <w:rFonts w:cs="Arial"/>
          <w:snapToGrid w:val="0"/>
          <w:sz w:val="18"/>
          <w:szCs w:val="18"/>
        </w:rPr>
        <w:t xml:space="preserve"> 1</w:t>
      </w:r>
      <w:r w:rsidRPr="00A92677">
        <w:rPr>
          <w:rFonts w:cs="Arial"/>
          <w:snapToGrid w:val="0"/>
          <w:sz w:val="18"/>
          <w:szCs w:val="18"/>
        </w:rPr>
        <w:t>:</w:t>
      </w:r>
      <w:r w:rsidRPr="00A92677">
        <w:rPr>
          <w:rFonts w:cs="Arial"/>
          <w:snapToGrid w:val="0"/>
          <w:sz w:val="18"/>
          <w:szCs w:val="18"/>
        </w:rPr>
        <w:tab/>
      </w:r>
      <w:r w:rsidR="00E306B7" w:rsidRPr="00A92677">
        <w:rPr>
          <w:rFonts w:cs="Arial"/>
          <w:snapToGrid w:val="0"/>
          <w:sz w:val="18"/>
          <w:szCs w:val="18"/>
        </w:rPr>
        <w:t>PARENT LINES IN MAIZE</w:t>
      </w:r>
    </w:p>
    <w:p w:rsidR="0099781E" w:rsidRPr="00A92677" w:rsidRDefault="0099781E" w:rsidP="00997362">
      <w:pPr>
        <w:spacing w:after="120"/>
        <w:ind w:left="2410" w:hanging="1276"/>
        <w:jc w:val="left"/>
        <w:rPr>
          <w:rFonts w:cs="Arial"/>
          <w:snapToGrid w:val="0"/>
          <w:sz w:val="18"/>
          <w:szCs w:val="18"/>
        </w:rPr>
      </w:pPr>
      <w:r w:rsidRPr="00A92677">
        <w:rPr>
          <w:rFonts w:cs="Arial"/>
          <w:snapToGrid w:val="0"/>
          <w:sz w:val="18"/>
          <w:szCs w:val="18"/>
        </w:rPr>
        <w:t>EXAMPLE 2:</w:t>
      </w:r>
      <w:r w:rsidRPr="00A92677">
        <w:rPr>
          <w:rFonts w:cs="Arial"/>
          <w:snapToGrid w:val="0"/>
          <w:sz w:val="18"/>
          <w:szCs w:val="18"/>
        </w:rPr>
        <w:tab/>
      </w:r>
      <w:r w:rsidR="0093565C" w:rsidRPr="0093565C">
        <w:rPr>
          <w:rFonts w:cs="Arial"/>
          <w:snapToGrid w:val="0"/>
          <w:sz w:val="18"/>
          <w:szCs w:val="18"/>
        </w:rPr>
        <w:t>GENETIC SELECTION OF SIMILAR VARIETIES FOR THE FIRST GROWING CYCLE</w:t>
      </w:r>
      <w:r w:rsidR="0093565C">
        <w:rPr>
          <w:rFonts w:cs="Arial"/>
          <w:snapToGrid w:val="0"/>
          <w:sz w:val="18"/>
          <w:szCs w:val="18"/>
        </w:rPr>
        <w:t>:</w:t>
      </w:r>
      <w:r w:rsidR="0093565C" w:rsidRPr="0093565C">
        <w:rPr>
          <w:rFonts w:cs="Arial"/>
          <w:snapToGrid w:val="0"/>
          <w:sz w:val="18"/>
          <w:szCs w:val="18"/>
        </w:rPr>
        <w:t xml:space="preserve"> </w:t>
      </w:r>
      <w:r w:rsidRPr="00A92677">
        <w:rPr>
          <w:rFonts w:cs="Arial"/>
          <w:snapToGrid w:val="0"/>
          <w:sz w:val="18"/>
          <w:szCs w:val="18"/>
        </w:rPr>
        <w:t>FRENCH BEAN</w:t>
      </w:r>
    </w:p>
    <w:p w:rsidR="00E306B7" w:rsidRDefault="00E306B7" w:rsidP="00EB0415">
      <w:pPr>
        <w:tabs>
          <w:tab w:val="left" w:pos="1980"/>
        </w:tabs>
        <w:jc w:val="left"/>
        <w:rPr>
          <w:rFonts w:cs="Arial"/>
          <w:snapToGrid w:val="0"/>
        </w:rPr>
      </w:pPr>
    </w:p>
    <w:p w:rsidR="001C1A11" w:rsidRDefault="001C1A11" w:rsidP="00695D2D">
      <w:pPr>
        <w:tabs>
          <w:tab w:val="left" w:pos="1980"/>
        </w:tabs>
        <w:jc w:val="left"/>
        <w:rPr>
          <w:rFonts w:cs="Arial"/>
          <w:snapToGrid w:val="0"/>
          <w:sz w:val="18"/>
          <w:szCs w:val="18"/>
        </w:rPr>
      </w:pPr>
    </w:p>
    <w:p w:rsidR="001C1A11" w:rsidRDefault="001C1A11" w:rsidP="00695D2D">
      <w:pPr>
        <w:tabs>
          <w:tab w:val="left" w:pos="1980"/>
        </w:tabs>
        <w:jc w:val="left"/>
        <w:rPr>
          <w:rFonts w:cs="Arial"/>
          <w:snapToGrid w:val="0"/>
          <w:sz w:val="18"/>
          <w:szCs w:val="18"/>
        </w:rPr>
      </w:pPr>
    </w:p>
    <w:p w:rsidR="00E306B7" w:rsidRPr="00CD142F" w:rsidRDefault="00E306B7" w:rsidP="00EB0415">
      <w:pPr>
        <w:pStyle w:val="Heading1"/>
      </w:pPr>
      <w:r>
        <w:rPr>
          <w:snapToGrid w:val="0"/>
        </w:rPr>
        <w:br w:type="page"/>
      </w:r>
      <w:bookmarkStart w:id="1" w:name="_Toc41500010"/>
      <w:r w:rsidRPr="00CD142F">
        <w:lastRenderedPageBreak/>
        <w:t>1.</w:t>
      </w:r>
      <w:r w:rsidRPr="00CD142F">
        <w:tab/>
        <w:t>INTRODUCTION</w:t>
      </w:r>
      <w:bookmarkEnd w:id="1"/>
    </w:p>
    <w:p w:rsidR="00E306B7" w:rsidRPr="001B40EE" w:rsidRDefault="00E306B7" w:rsidP="0084342F">
      <w:pPr>
        <w:rPr>
          <w:rFonts w:cs="Arial"/>
        </w:rPr>
      </w:pPr>
      <w:r w:rsidRPr="00630112">
        <w:rPr>
          <w:rFonts w:cs="Arial"/>
        </w:rPr>
        <w:t>1.1</w:t>
      </w:r>
      <w:r w:rsidRPr="00630112">
        <w:rPr>
          <w:rFonts w:cs="Arial"/>
        </w:rPr>
        <w:tab/>
      </w:r>
      <w:r w:rsidRPr="001B40EE">
        <w:rPr>
          <w:rFonts w:cs="Arial"/>
        </w:rPr>
        <w:t xml:space="preserve">Document </w:t>
      </w:r>
      <w:r w:rsidRPr="001B40EE">
        <w:rPr>
          <w:rFonts w:cs="Arial"/>
          <w:bCs/>
        </w:rPr>
        <w:t>UPOV/INF/18 “Possible Use of Molecular Markers in the Examination of Distinctness, Uniformity and Stability (DUS)”</w:t>
      </w:r>
      <w:r w:rsidRPr="001B40EE">
        <w:rPr>
          <w:rFonts w:cs="Arial"/>
        </w:rPr>
        <w:t xml:space="preserve"> considers possible application </w:t>
      </w:r>
      <w:r w:rsidR="0038194A" w:rsidRPr="001B40EE">
        <w:rPr>
          <w:rFonts w:cs="Arial"/>
        </w:rPr>
        <w:t xml:space="preserve">models </w:t>
      </w:r>
      <w:r w:rsidRPr="001B40EE">
        <w:rPr>
          <w:rFonts w:cs="Arial"/>
        </w:rPr>
        <w:t xml:space="preserve">for the use of </w:t>
      </w:r>
      <w:r w:rsidRPr="001B40EE">
        <w:rPr>
          <w:rFonts w:cs="Arial"/>
          <w:snapToGrid w:val="0"/>
        </w:rPr>
        <w:t xml:space="preserve">biochemical and molecular markers in the examination of DUS that were </w:t>
      </w:r>
      <w:r w:rsidRPr="001B40EE">
        <w:rPr>
          <w:rFonts w:cs="Arial"/>
        </w:rPr>
        <w:t xml:space="preserve">proposed to the </w:t>
      </w:r>
      <w:r w:rsidRPr="001B40EE">
        <w:rPr>
          <w:rFonts w:cs="Arial"/>
          <w:i/>
        </w:rPr>
        <w:t>Ad hoc</w:t>
      </w:r>
      <w:r w:rsidRPr="001B40EE">
        <w:rPr>
          <w:rFonts w:cs="Arial"/>
        </w:rPr>
        <w:t xml:space="preserve"> Subgroup of Technical and Legal Experts of Biochemical and Molecular Techniques (BMT Review Group) by the Technical Committee</w:t>
      </w:r>
      <w:r w:rsidR="00175960" w:rsidRPr="001B40EE">
        <w:rPr>
          <w:rFonts w:cs="Arial"/>
        </w:rPr>
        <w:t xml:space="preserve"> </w:t>
      </w:r>
      <w:r w:rsidR="00175960" w:rsidRPr="007C5A0C">
        <w:rPr>
          <w:rFonts w:cs="Arial"/>
        </w:rPr>
        <w:t>(TC)</w:t>
      </w:r>
      <w:r w:rsidRPr="007C5A0C">
        <w:rPr>
          <w:rFonts w:cs="Arial"/>
        </w:rPr>
        <w:t>,</w:t>
      </w:r>
      <w:r w:rsidRPr="001B40EE">
        <w:rPr>
          <w:rFonts w:cs="Arial"/>
        </w:rPr>
        <w:t xml:space="preserve"> on the basis of the work of the Working Group on Biochemical and Molecular Techniques, and DNA</w:t>
      </w:r>
      <w:r w:rsidRPr="001B40EE">
        <w:rPr>
          <w:rFonts w:cs="Arial"/>
        </w:rPr>
        <w:noBreakHyphen/>
        <w:t xml:space="preserve">Profiling in Particular (BMT) and </w:t>
      </w:r>
      <w:r w:rsidRPr="001B40EE">
        <w:rPr>
          <w:rFonts w:cs="Arial"/>
          <w:i/>
        </w:rPr>
        <w:t>Ad Hoc</w:t>
      </w:r>
      <w:r w:rsidRPr="001B40EE">
        <w:rPr>
          <w:rFonts w:cs="Arial"/>
        </w:rPr>
        <w:t xml:space="preserve"> Crop Subgroups on Molecular Techniques (Crop Subgroups) (see </w:t>
      </w:r>
      <w:hyperlink r:id="rId9" w:history="1">
        <w:r w:rsidRPr="001B40EE">
          <w:rPr>
            <w:rStyle w:val="Hyperlink"/>
          </w:rPr>
          <w:t>http://www.upov.int/about/en/organigram.html</w:t>
        </w:r>
      </w:hyperlink>
      <w:r w:rsidRPr="001B40EE">
        <w:rPr>
          <w:rFonts w:cs="Arial"/>
        </w:rPr>
        <w:t xml:space="preserve">).  The assessment of the BMT Review Group and the views of the Technical Committee, the Administrative and Legal Committee (CAJ) on those </w:t>
      </w:r>
      <w:r w:rsidR="0038194A" w:rsidRPr="001B40EE">
        <w:rPr>
          <w:rFonts w:cs="Arial"/>
        </w:rPr>
        <w:t xml:space="preserve">models </w:t>
      </w:r>
      <w:r w:rsidRPr="001B40EE">
        <w:rPr>
          <w:rFonts w:cs="Arial"/>
        </w:rPr>
        <w:t>are presented in document UPOV/INF/18.</w:t>
      </w:r>
    </w:p>
    <w:p w:rsidR="00E306B7" w:rsidRPr="001B40EE" w:rsidRDefault="00E306B7" w:rsidP="00E306B7">
      <w:pPr>
        <w:rPr>
          <w:rFonts w:cs="Arial"/>
        </w:rPr>
      </w:pPr>
    </w:p>
    <w:p w:rsidR="00E306B7" w:rsidRDefault="00E306B7" w:rsidP="00E306B7">
      <w:pPr>
        <w:rPr>
          <w:rFonts w:cs="Arial"/>
        </w:rPr>
      </w:pPr>
      <w:r w:rsidRPr="001B40EE">
        <w:rPr>
          <w:rFonts w:cs="Arial"/>
        </w:rPr>
        <w:t>1.2</w:t>
      </w:r>
      <w:r w:rsidRPr="001B40EE">
        <w:rPr>
          <w:rFonts w:cs="Arial"/>
        </w:rPr>
        <w:tab/>
        <w:t xml:space="preserve">The purpose of this document is to provide guidance on </w:t>
      </w:r>
      <w:r w:rsidRPr="001B40EE">
        <w:rPr>
          <w:rFonts w:cs="Arial"/>
          <w:snapToGrid w:val="0"/>
        </w:rPr>
        <w:t>the use of biochemical and molecular markers in the examination of Distinctness, Uniformity and Stability (DUS)</w:t>
      </w:r>
      <w:r w:rsidRPr="001B40EE">
        <w:rPr>
          <w:rFonts w:cs="Arial"/>
        </w:rPr>
        <w:t xml:space="preserve"> on the basis of the </w:t>
      </w:r>
      <w:r w:rsidR="0038194A" w:rsidRPr="001B40EE">
        <w:rPr>
          <w:rFonts w:cs="Arial"/>
        </w:rPr>
        <w:t xml:space="preserve">models </w:t>
      </w:r>
      <w:r w:rsidR="005D0ECE" w:rsidRPr="001B40EE">
        <w:rPr>
          <w:rFonts w:cs="Arial"/>
        </w:rPr>
        <w:t>t</w:t>
      </w:r>
      <w:r w:rsidRPr="001B40EE">
        <w:rPr>
          <w:rFonts w:cs="Arial"/>
        </w:rPr>
        <w:t xml:space="preserve">hat have received a positive assessment and for which accepted </w:t>
      </w:r>
      <w:r w:rsidR="0038194A" w:rsidRPr="001B40EE">
        <w:rPr>
          <w:rFonts w:cs="Arial"/>
        </w:rPr>
        <w:t xml:space="preserve">examples </w:t>
      </w:r>
      <w:r w:rsidRPr="001B40EE">
        <w:rPr>
          <w:rFonts w:cs="Arial"/>
        </w:rPr>
        <w:t>have been provided.</w:t>
      </w:r>
      <w:r w:rsidRPr="00630112">
        <w:rPr>
          <w:rFonts w:cs="Arial"/>
        </w:rPr>
        <w:t xml:space="preserve">  </w:t>
      </w:r>
    </w:p>
    <w:p w:rsidR="00175960" w:rsidRDefault="00175960" w:rsidP="00E306B7">
      <w:pPr>
        <w:rPr>
          <w:rFonts w:cs="Arial"/>
        </w:rPr>
      </w:pPr>
    </w:p>
    <w:p w:rsidR="00E306B7" w:rsidRPr="00F07A89" w:rsidRDefault="00E306B7" w:rsidP="00E306B7">
      <w:pPr>
        <w:rPr>
          <w:rFonts w:cs="Arial"/>
        </w:rPr>
      </w:pPr>
      <w:r w:rsidRPr="00F07A89">
        <w:rPr>
          <w:rFonts w:cs="Arial"/>
        </w:rPr>
        <w:t>1.</w:t>
      </w:r>
      <w:r w:rsidR="00F07A89" w:rsidRPr="00F07A89">
        <w:rPr>
          <w:rFonts w:cs="Arial"/>
        </w:rPr>
        <w:t>3</w:t>
      </w:r>
      <w:r w:rsidRPr="00F07A89">
        <w:rPr>
          <w:rFonts w:cs="Arial"/>
        </w:rPr>
        <w:tab/>
        <w:t>The only binding obligations on members of the Union are those contained in the text of the UPOV Convention itself, and this document must not be interpreted in a way that is inconsistent with the relevant Act for the member of the Union concerned.</w:t>
      </w:r>
    </w:p>
    <w:p w:rsidR="00E306B7" w:rsidRPr="00F07A89" w:rsidRDefault="00E306B7" w:rsidP="00E306B7">
      <w:pPr>
        <w:rPr>
          <w:rFonts w:cs="Arial"/>
        </w:rPr>
      </w:pPr>
    </w:p>
    <w:p w:rsidR="00E306B7" w:rsidRPr="00630112" w:rsidRDefault="00175960" w:rsidP="00E306B7">
      <w:pPr>
        <w:rPr>
          <w:rFonts w:cs="Arial"/>
          <w:color w:val="000000"/>
        </w:rPr>
      </w:pPr>
      <w:r w:rsidRPr="00F07A89">
        <w:rPr>
          <w:rFonts w:cs="Arial"/>
          <w:color w:val="000000"/>
        </w:rPr>
        <w:t>1.</w:t>
      </w:r>
      <w:r w:rsidR="00F07A89" w:rsidRPr="00F07A89">
        <w:rPr>
          <w:rFonts w:cs="Arial"/>
          <w:color w:val="000000"/>
        </w:rPr>
        <w:t>4</w:t>
      </w:r>
      <w:r w:rsidR="00E306B7" w:rsidRPr="00F07A89">
        <w:rPr>
          <w:rFonts w:cs="Arial"/>
          <w:color w:val="000000"/>
        </w:rPr>
        <w:tab/>
        <w:t>The following abbreviations are used in this document:</w:t>
      </w:r>
    </w:p>
    <w:p w:rsidR="00E306B7" w:rsidRPr="00CD142F" w:rsidRDefault="00E306B7" w:rsidP="00E306B7">
      <w:pPr>
        <w:keepNext/>
        <w:rPr>
          <w:rFonts w:cs="Arial"/>
          <w:color w:val="000000"/>
        </w:rPr>
      </w:pPr>
    </w:p>
    <w:p w:rsidR="00E306B7" w:rsidRPr="00CD142F" w:rsidRDefault="00E306B7" w:rsidP="00E306B7">
      <w:pPr>
        <w:keepNext/>
        <w:ind w:left="2835" w:hanging="2126"/>
        <w:rPr>
          <w:rFonts w:cs="Arial"/>
          <w:color w:val="000000"/>
        </w:rPr>
      </w:pPr>
      <w:r w:rsidRPr="00CD142F">
        <w:rPr>
          <w:rFonts w:cs="Arial"/>
          <w:color w:val="000000"/>
        </w:rPr>
        <w:t>CAJ:</w:t>
      </w:r>
      <w:r w:rsidRPr="00CD142F">
        <w:rPr>
          <w:rFonts w:cs="Arial"/>
          <w:color w:val="000000"/>
        </w:rPr>
        <w:tab/>
        <w:t xml:space="preserve">Administrative and Legal Committee </w:t>
      </w:r>
    </w:p>
    <w:p w:rsidR="00E306B7" w:rsidRPr="00CD142F" w:rsidRDefault="00E306B7" w:rsidP="00E306B7">
      <w:pPr>
        <w:keepNext/>
        <w:ind w:left="2835" w:hanging="2126"/>
        <w:rPr>
          <w:rFonts w:cs="Arial"/>
          <w:color w:val="000000"/>
        </w:rPr>
      </w:pPr>
      <w:r w:rsidRPr="00CD142F">
        <w:rPr>
          <w:rFonts w:cs="Arial"/>
          <w:color w:val="000000"/>
        </w:rPr>
        <w:t>TC:</w:t>
      </w:r>
      <w:r w:rsidRPr="00CD142F">
        <w:rPr>
          <w:rFonts w:cs="Arial"/>
          <w:color w:val="000000"/>
        </w:rPr>
        <w:tab/>
        <w:t>Technical Committee</w:t>
      </w:r>
    </w:p>
    <w:p w:rsidR="00E306B7" w:rsidRPr="00CD142F" w:rsidRDefault="00E306B7" w:rsidP="00E306B7">
      <w:pPr>
        <w:keepNext/>
        <w:ind w:left="2835" w:hanging="2126"/>
        <w:rPr>
          <w:rFonts w:cs="Arial"/>
          <w:color w:val="000000"/>
        </w:rPr>
      </w:pPr>
      <w:r w:rsidRPr="00CD142F">
        <w:rPr>
          <w:rFonts w:cs="Arial"/>
          <w:color w:val="000000"/>
        </w:rPr>
        <w:t>TWP(s):</w:t>
      </w:r>
      <w:r w:rsidRPr="00CD142F">
        <w:rPr>
          <w:rFonts w:cs="Arial"/>
          <w:color w:val="000000"/>
        </w:rPr>
        <w:tab/>
        <w:t>Technical Working Party(</w:t>
      </w:r>
      <w:proofErr w:type="spellStart"/>
      <w:r w:rsidRPr="00CD142F">
        <w:rPr>
          <w:rFonts w:cs="Arial"/>
          <w:color w:val="000000"/>
        </w:rPr>
        <w:t>ies</w:t>
      </w:r>
      <w:proofErr w:type="spellEnd"/>
      <w:r w:rsidRPr="00CD142F">
        <w:rPr>
          <w:rFonts w:cs="Arial"/>
          <w:color w:val="000000"/>
        </w:rPr>
        <w:t>)</w:t>
      </w:r>
    </w:p>
    <w:p w:rsidR="00E306B7" w:rsidRPr="00CD142F" w:rsidRDefault="00E306B7" w:rsidP="00E306B7">
      <w:pPr>
        <w:pStyle w:val="BodyTextIndent3"/>
        <w:ind w:left="2835" w:hanging="2126"/>
        <w:rPr>
          <w:rFonts w:cs="Arial"/>
          <w:szCs w:val="20"/>
        </w:rPr>
      </w:pPr>
      <w:r w:rsidRPr="00CD142F">
        <w:rPr>
          <w:rFonts w:cs="Arial"/>
          <w:szCs w:val="20"/>
        </w:rPr>
        <w:t>BMT:</w:t>
      </w:r>
      <w:r w:rsidRPr="00CD142F">
        <w:rPr>
          <w:rFonts w:cs="Arial"/>
          <w:szCs w:val="20"/>
        </w:rPr>
        <w:tab/>
        <w:t xml:space="preserve">Working Group on Biochemical and Molecular Techniques, and DNA-Profiling in Particular </w:t>
      </w:r>
    </w:p>
    <w:p w:rsidR="00E306B7" w:rsidRPr="00CD142F" w:rsidRDefault="00E306B7" w:rsidP="00E306B7">
      <w:pPr>
        <w:keepNext/>
        <w:ind w:left="2835" w:hanging="2126"/>
        <w:rPr>
          <w:rFonts w:cs="Arial"/>
          <w:lang w:eastAsia="ja-JP"/>
        </w:rPr>
      </w:pPr>
      <w:r w:rsidRPr="00CD142F">
        <w:rPr>
          <w:rFonts w:cs="Arial"/>
        </w:rPr>
        <w:t>B</w:t>
      </w:r>
      <w:r w:rsidRPr="00CD142F">
        <w:rPr>
          <w:rFonts w:cs="Arial"/>
          <w:lang w:eastAsia="ja-JP"/>
        </w:rPr>
        <w:t>MT Review Group:</w:t>
      </w:r>
      <w:r w:rsidRPr="00CD142F">
        <w:rPr>
          <w:rFonts w:cs="Arial"/>
          <w:lang w:eastAsia="ja-JP"/>
        </w:rPr>
        <w:tab/>
      </w:r>
      <w:r w:rsidRPr="00CD142F">
        <w:rPr>
          <w:rFonts w:cs="Arial"/>
          <w:i/>
        </w:rPr>
        <w:t>Ad Hoc</w:t>
      </w:r>
      <w:r w:rsidRPr="00CD142F">
        <w:rPr>
          <w:rFonts w:cs="Arial"/>
        </w:rPr>
        <w:t xml:space="preserve"> Subgroup of Technical and Legal Experts on Biochemical and Molecular Techniques</w:t>
      </w:r>
    </w:p>
    <w:p w:rsidR="00E306B7" w:rsidRPr="00CD142F" w:rsidRDefault="00E306B7" w:rsidP="00E306B7">
      <w:pPr>
        <w:ind w:left="2835" w:hanging="2126"/>
        <w:rPr>
          <w:rFonts w:cs="Arial"/>
          <w:color w:val="000000"/>
        </w:rPr>
      </w:pPr>
      <w:r w:rsidRPr="00CD142F">
        <w:rPr>
          <w:rFonts w:cs="Arial"/>
          <w:color w:val="000000"/>
        </w:rPr>
        <w:t>Crop Subgroup:</w:t>
      </w:r>
      <w:r w:rsidRPr="00CD142F">
        <w:rPr>
          <w:rFonts w:cs="Arial"/>
          <w:color w:val="000000"/>
        </w:rPr>
        <w:tab/>
      </w:r>
      <w:r w:rsidRPr="00CD142F">
        <w:rPr>
          <w:rFonts w:cs="Arial"/>
          <w:i/>
          <w:color w:val="000000"/>
        </w:rPr>
        <w:t>Ad Hoc</w:t>
      </w:r>
      <w:r w:rsidRPr="00CD142F">
        <w:rPr>
          <w:rFonts w:cs="Arial"/>
          <w:color w:val="000000"/>
        </w:rPr>
        <w:t xml:space="preserve"> Crop Subgroup on Molecular Techniques</w:t>
      </w:r>
    </w:p>
    <w:p w:rsidR="006B6BE3" w:rsidRDefault="006B6BE3" w:rsidP="00E306B7">
      <w:pPr>
        <w:ind w:left="2835" w:hanging="2126"/>
        <w:rPr>
          <w:rFonts w:cs="Arial"/>
          <w:color w:val="000000"/>
        </w:rPr>
      </w:pPr>
    </w:p>
    <w:p w:rsidR="00E306B7" w:rsidRPr="00CD142F" w:rsidRDefault="00E306B7" w:rsidP="00E306B7">
      <w:pPr>
        <w:ind w:left="2835" w:hanging="2126"/>
        <w:rPr>
          <w:rFonts w:cs="Arial"/>
          <w:color w:val="000000"/>
        </w:rPr>
      </w:pPr>
    </w:p>
    <w:p w:rsidR="00E306B7" w:rsidRPr="00FE1AEB" w:rsidRDefault="00E306B7" w:rsidP="00E306B7">
      <w:pPr>
        <w:pStyle w:val="Heading1"/>
      </w:pPr>
      <w:bookmarkStart w:id="2" w:name="_Toc311473359"/>
      <w:bookmarkStart w:id="3" w:name="_Toc41500011"/>
      <w:r w:rsidRPr="00511B51">
        <w:rPr>
          <w:rStyle w:val="TitleofDocChar"/>
        </w:rPr>
        <w:t>2.</w:t>
      </w:r>
      <w:r w:rsidRPr="00511B51">
        <w:rPr>
          <w:rStyle w:val="TitleofDocChar"/>
        </w:rPr>
        <w:tab/>
      </w:r>
      <w:r w:rsidRPr="00511B51">
        <w:t>APPLICATION MODELS</w:t>
      </w:r>
      <w:bookmarkEnd w:id="2"/>
      <w:bookmarkEnd w:id="3"/>
    </w:p>
    <w:p w:rsidR="00E306B7" w:rsidRPr="00FE1AEB" w:rsidRDefault="00E306B7" w:rsidP="00E306B7">
      <w:pPr>
        <w:pStyle w:val="Heading2"/>
      </w:pPr>
      <w:bookmarkStart w:id="4" w:name="_Toc311473361"/>
      <w:bookmarkStart w:id="5" w:name="_Toc41500012"/>
      <w:r w:rsidRPr="00FE1AEB">
        <w:t>2.1</w:t>
      </w:r>
      <w:r w:rsidRPr="00FE1AEB">
        <w:tab/>
      </w:r>
      <w:r w:rsidRPr="007776CE">
        <w:t xml:space="preserve">Characteristic-Specific Molecular Markers (see Annex </w:t>
      </w:r>
      <w:r w:rsidR="00207199">
        <w:t>I</w:t>
      </w:r>
      <w:r w:rsidRPr="007776CE">
        <w:t>)</w:t>
      </w:r>
      <w:bookmarkEnd w:id="4"/>
      <w:bookmarkEnd w:id="5"/>
    </w:p>
    <w:p w:rsidR="00E306B7" w:rsidRPr="00FE1AEB" w:rsidRDefault="00E306B7" w:rsidP="00E306B7">
      <w:pPr>
        <w:keepNext/>
        <w:rPr>
          <w:rFonts w:cs="Arial"/>
        </w:rPr>
      </w:pPr>
      <w:r w:rsidRPr="00FE1AEB">
        <w:rPr>
          <w:rFonts w:cs="Arial"/>
        </w:rPr>
        <w:t>2.1.1</w:t>
      </w:r>
      <w:r w:rsidRPr="00FE1AEB">
        <w:rPr>
          <w:rFonts w:cs="Arial"/>
        </w:rPr>
        <w:tab/>
        <w:t>Molecular markers can be used as a method of examining DUS characteristics that satisfy the criteria for characteristics set out in the General Introduction, Chapter 4, section 4.2, on the following basis:</w:t>
      </w:r>
    </w:p>
    <w:p w:rsidR="00E306B7" w:rsidRPr="00FE1AEB" w:rsidRDefault="00E306B7" w:rsidP="00E306B7">
      <w:pPr>
        <w:keepNext/>
        <w:rPr>
          <w:rFonts w:cs="Arial"/>
        </w:rPr>
      </w:pPr>
    </w:p>
    <w:p w:rsidR="00E306B7" w:rsidRPr="00FE1AEB" w:rsidRDefault="00E306B7" w:rsidP="00E306B7">
      <w:pPr>
        <w:pStyle w:val="BodyTextIndent"/>
        <w:ind w:left="0" w:firstLine="567"/>
      </w:pPr>
      <w:r w:rsidRPr="00FE1AEB">
        <w:t>(a)</w:t>
      </w:r>
      <w:r w:rsidRPr="00FE1AEB">
        <w:tab/>
        <w:t>the test for the marker is conducted on the same number of individual plants, with the same criteria for distinctness, uniformity and stability as for the examination of the characteristic by a bioassay;</w:t>
      </w:r>
    </w:p>
    <w:p w:rsidR="00E306B7" w:rsidRPr="00FE1AEB" w:rsidRDefault="00E306B7" w:rsidP="00E306B7">
      <w:pPr>
        <w:pStyle w:val="BodyTextIndent"/>
        <w:ind w:left="0" w:firstLine="567"/>
      </w:pPr>
    </w:p>
    <w:p w:rsidR="00E306B7" w:rsidRPr="00FE1AEB" w:rsidRDefault="00E306B7" w:rsidP="00E306B7">
      <w:pPr>
        <w:ind w:firstLine="567"/>
        <w:rPr>
          <w:rFonts w:cs="Arial"/>
          <w:snapToGrid w:val="0"/>
        </w:rPr>
      </w:pPr>
      <w:r w:rsidRPr="00FE1AEB">
        <w:t>(b)</w:t>
      </w:r>
      <w:r w:rsidRPr="00FE1AEB">
        <w:tab/>
        <w:t xml:space="preserve">there is verification of </w:t>
      </w:r>
      <w:r w:rsidRPr="00FE1AEB">
        <w:rPr>
          <w:rFonts w:cs="Arial"/>
        </w:rPr>
        <w:t xml:space="preserve">the reliability of the link between the marker and the </w:t>
      </w:r>
      <w:r w:rsidRPr="00FE1AEB">
        <w:rPr>
          <w:rFonts w:cs="Arial"/>
          <w:snapToGrid w:val="0"/>
        </w:rPr>
        <w:t>characteristic;</w:t>
      </w:r>
    </w:p>
    <w:p w:rsidR="00E306B7" w:rsidRPr="00FE1AEB" w:rsidRDefault="00E306B7" w:rsidP="00E306B7">
      <w:pPr>
        <w:ind w:firstLine="567"/>
        <w:rPr>
          <w:rFonts w:cs="Arial"/>
          <w:snapToGrid w:val="0"/>
        </w:rPr>
      </w:pPr>
    </w:p>
    <w:p w:rsidR="00E306B7" w:rsidRPr="00FE1AEB" w:rsidRDefault="00E306B7" w:rsidP="00E306B7">
      <w:pPr>
        <w:ind w:firstLine="567"/>
        <w:rPr>
          <w:rFonts w:cs="Arial"/>
          <w:snapToGrid w:val="0"/>
        </w:rPr>
      </w:pPr>
      <w:r w:rsidRPr="00FE1AEB">
        <w:rPr>
          <w:rFonts w:cs="Arial"/>
        </w:rPr>
        <w:t>(c)</w:t>
      </w:r>
      <w:r w:rsidRPr="00FE1AEB">
        <w:rPr>
          <w:rFonts w:cs="Arial"/>
        </w:rPr>
        <w:tab/>
        <w:t xml:space="preserve">different markers for the same </w:t>
      </w:r>
      <w:r w:rsidRPr="00FE1AEB">
        <w:rPr>
          <w:rFonts w:cs="Arial"/>
          <w:snapToGrid w:val="0"/>
        </w:rPr>
        <w:t>characteristic</w:t>
      </w:r>
      <w:r w:rsidRPr="00FE1AEB">
        <w:rPr>
          <w:rFonts w:cs="Arial"/>
        </w:rPr>
        <w:t xml:space="preserve"> are different methods for examining the same characteristic;</w:t>
      </w:r>
    </w:p>
    <w:p w:rsidR="00E306B7" w:rsidRPr="00FE1AEB" w:rsidRDefault="00E306B7" w:rsidP="00E306B7">
      <w:pPr>
        <w:ind w:firstLine="567"/>
        <w:rPr>
          <w:rFonts w:cs="Arial"/>
          <w:snapToGrid w:val="0"/>
        </w:rPr>
      </w:pPr>
    </w:p>
    <w:p w:rsidR="00E306B7" w:rsidRPr="00FE1AEB" w:rsidRDefault="00E306B7" w:rsidP="00E306B7">
      <w:pPr>
        <w:ind w:firstLine="567"/>
        <w:rPr>
          <w:rFonts w:cs="Arial"/>
        </w:rPr>
      </w:pPr>
      <w:r w:rsidRPr="00FE1AEB">
        <w:rPr>
          <w:rFonts w:cs="Arial"/>
        </w:rPr>
        <w:t>(d)</w:t>
      </w:r>
      <w:r w:rsidRPr="00FE1AEB">
        <w:rPr>
          <w:rFonts w:cs="Arial"/>
        </w:rPr>
        <w:tab/>
        <w:t xml:space="preserve">markers linked to different genes conferring expression of the same </w:t>
      </w:r>
      <w:r w:rsidRPr="00FE1AEB">
        <w:rPr>
          <w:rFonts w:cs="Arial"/>
          <w:snapToGrid w:val="0"/>
        </w:rPr>
        <w:t>characteristic</w:t>
      </w:r>
      <w:r w:rsidRPr="00FE1AEB">
        <w:rPr>
          <w:rFonts w:cs="Arial"/>
        </w:rPr>
        <w:t xml:space="preserve"> are different methods for examining the same characteristic; and</w:t>
      </w:r>
    </w:p>
    <w:p w:rsidR="00E306B7" w:rsidRPr="00FE1AEB" w:rsidRDefault="00E306B7" w:rsidP="00E306B7">
      <w:pPr>
        <w:ind w:firstLine="567"/>
        <w:rPr>
          <w:rFonts w:cs="Arial"/>
        </w:rPr>
      </w:pPr>
    </w:p>
    <w:p w:rsidR="00AB47F6" w:rsidRPr="001B40EE" w:rsidRDefault="00E306B7" w:rsidP="00E306B7">
      <w:pPr>
        <w:ind w:firstLine="567"/>
        <w:rPr>
          <w:rFonts w:cs="Arial"/>
        </w:rPr>
      </w:pPr>
      <w:r w:rsidRPr="00876655">
        <w:rPr>
          <w:rFonts w:cs="Arial"/>
        </w:rPr>
        <w:t>(e)</w:t>
      </w:r>
      <w:r w:rsidRPr="00876655">
        <w:rPr>
          <w:rFonts w:cs="Arial"/>
        </w:rPr>
        <w:tab/>
        <w:t xml:space="preserve">markers linked to different regulatory elements for the same gene conferring expression of the same </w:t>
      </w:r>
      <w:r w:rsidRPr="00876655">
        <w:rPr>
          <w:rFonts w:cs="Arial"/>
          <w:snapToGrid w:val="0"/>
        </w:rPr>
        <w:t>characteristic</w:t>
      </w:r>
      <w:r w:rsidRPr="00876655">
        <w:rPr>
          <w:rFonts w:cs="Arial"/>
        </w:rPr>
        <w:t xml:space="preserve"> are different methods for examining the same characteristic</w:t>
      </w:r>
      <w:r w:rsidR="00FC3411">
        <w:rPr>
          <w:rFonts w:cs="Arial"/>
        </w:rPr>
        <w:t>.</w:t>
      </w:r>
    </w:p>
    <w:p w:rsidR="00AB47F6" w:rsidRPr="001B40EE" w:rsidRDefault="00AB47F6" w:rsidP="00E306B7">
      <w:pPr>
        <w:ind w:firstLine="567"/>
        <w:rPr>
          <w:rFonts w:cs="Arial"/>
          <w:u w:val="single"/>
        </w:rPr>
      </w:pPr>
    </w:p>
    <w:p w:rsidR="00876655" w:rsidRDefault="00AB47F6" w:rsidP="001B40EE">
      <w:r w:rsidRPr="001B40EE">
        <w:rPr>
          <w:rFonts w:cs="Arial"/>
        </w:rPr>
        <w:t>2.1.2</w:t>
      </w:r>
      <w:r w:rsidRPr="001B40EE">
        <w:rPr>
          <w:rFonts w:cs="Arial"/>
        </w:rPr>
        <w:tab/>
      </w:r>
      <w:r w:rsidR="00E306B7" w:rsidRPr="001B40EE">
        <w:rPr>
          <w:rFonts w:cs="Arial"/>
        </w:rPr>
        <w:t>Annex I to this document provides example</w:t>
      </w:r>
      <w:r w:rsidR="004C4766" w:rsidRPr="00FC3411">
        <w:rPr>
          <w:rFonts w:cs="Arial"/>
        </w:rPr>
        <w:t>s</w:t>
      </w:r>
      <w:r w:rsidR="00E306B7" w:rsidRPr="001B40EE">
        <w:rPr>
          <w:rFonts w:cs="Arial"/>
        </w:rPr>
        <w:t xml:space="preserve"> of the use of </w:t>
      </w:r>
      <w:r w:rsidR="00E306B7" w:rsidRPr="001B40EE">
        <w:t>characteristic-specific molecular markers.</w:t>
      </w:r>
    </w:p>
    <w:p w:rsidR="00876655" w:rsidRDefault="00876655" w:rsidP="00E306B7">
      <w:pPr>
        <w:ind w:firstLine="567"/>
      </w:pPr>
    </w:p>
    <w:p w:rsidR="00117F5F" w:rsidRPr="00A07606" w:rsidRDefault="00117F5F" w:rsidP="00117F5F">
      <w:pPr>
        <w:rPr>
          <w:rFonts w:cs="Arial"/>
        </w:rPr>
      </w:pPr>
      <w:r w:rsidRPr="00A07606">
        <w:rPr>
          <w:rFonts w:cs="Arial"/>
        </w:rPr>
        <w:t>2.1.</w:t>
      </w:r>
      <w:r w:rsidR="00AB47F6" w:rsidRPr="00FC3411">
        <w:rPr>
          <w:rFonts w:cs="Arial"/>
        </w:rPr>
        <w:t>3</w:t>
      </w:r>
      <w:r w:rsidRPr="00A07606">
        <w:rPr>
          <w:rFonts w:cs="Arial"/>
        </w:rPr>
        <w:tab/>
      </w:r>
      <w:r w:rsidR="00A25E6C" w:rsidRPr="00A07606">
        <w:rPr>
          <w:rFonts w:cs="Arial"/>
        </w:rPr>
        <w:t xml:space="preserve">It is a matter for the relevant authority to consider if the assumptions are met when </w:t>
      </w:r>
      <w:r w:rsidR="00A25E6C" w:rsidRPr="00B60930">
        <w:rPr>
          <w:rFonts w:cs="Arial"/>
        </w:rPr>
        <w:t xml:space="preserve">applying the </w:t>
      </w:r>
      <w:r w:rsidR="0038194A" w:rsidRPr="00B60930">
        <w:rPr>
          <w:rFonts w:cs="Arial"/>
        </w:rPr>
        <w:t xml:space="preserve">model </w:t>
      </w:r>
      <w:r w:rsidRPr="00B60930">
        <w:rPr>
          <w:rFonts w:cs="Arial"/>
        </w:rPr>
        <w:t>and example</w:t>
      </w:r>
      <w:r w:rsidR="0026205B" w:rsidRPr="00B60930">
        <w:rPr>
          <w:rFonts w:cs="Arial"/>
          <w:u w:val="single"/>
        </w:rPr>
        <w:t>s</w:t>
      </w:r>
      <w:r w:rsidRPr="00B60930">
        <w:rPr>
          <w:rFonts w:cs="Arial"/>
        </w:rPr>
        <w:t xml:space="preserve">, </w:t>
      </w:r>
      <w:r w:rsidR="00C1657F" w:rsidRPr="00B60930">
        <w:rPr>
          <w:rFonts w:cs="Arial"/>
        </w:rPr>
        <w:t xml:space="preserve">as presented in Annex </w:t>
      </w:r>
      <w:r w:rsidR="00132E0B" w:rsidRPr="00B60930">
        <w:rPr>
          <w:rFonts w:cs="Arial"/>
        </w:rPr>
        <w:t>I</w:t>
      </w:r>
      <w:r w:rsidR="00C1657F" w:rsidRPr="00B60930">
        <w:rPr>
          <w:rFonts w:cs="Arial"/>
        </w:rPr>
        <w:t xml:space="preserve"> of this document</w:t>
      </w:r>
      <w:r w:rsidR="00A25E6C" w:rsidRPr="00B60930">
        <w:rPr>
          <w:rFonts w:cs="Arial"/>
        </w:rPr>
        <w:t>.</w:t>
      </w:r>
    </w:p>
    <w:p w:rsidR="00117F5F" w:rsidRPr="00A07606" w:rsidRDefault="00117F5F" w:rsidP="00117F5F">
      <w:pPr>
        <w:rPr>
          <w:rFonts w:cs="Arial"/>
        </w:rPr>
      </w:pPr>
    </w:p>
    <w:p w:rsidR="00117F5F" w:rsidRPr="00630112" w:rsidRDefault="00117F5F" w:rsidP="00117F5F">
      <w:pPr>
        <w:rPr>
          <w:rFonts w:cs="Arial"/>
        </w:rPr>
      </w:pPr>
      <w:r w:rsidRPr="00A07606">
        <w:rPr>
          <w:rFonts w:cs="Arial"/>
        </w:rPr>
        <w:t>2.1.</w:t>
      </w:r>
      <w:r w:rsidR="00B60930" w:rsidRPr="00FC3411">
        <w:rPr>
          <w:rFonts w:cs="Arial"/>
        </w:rPr>
        <w:t>4</w:t>
      </w:r>
      <w:r w:rsidRPr="00A07606">
        <w:rPr>
          <w:rFonts w:cs="Arial"/>
        </w:rPr>
        <w:t>.</w:t>
      </w:r>
      <w:r w:rsidRPr="00A07606">
        <w:rPr>
          <w:rFonts w:cs="Arial"/>
        </w:rPr>
        <w:tab/>
      </w:r>
      <w:r w:rsidR="00A25E6C" w:rsidRPr="00A07606">
        <w:t xml:space="preserve">In order to include a method based on </w:t>
      </w:r>
      <w:r w:rsidR="00A25E6C" w:rsidRPr="00B60930">
        <w:t xml:space="preserve">the </w:t>
      </w:r>
      <w:r w:rsidR="0038194A" w:rsidRPr="00B60930">
        <w:t xml:space="preserve">model </w:t>
      </w:r>
      <w:r w:rsidR="00A25E6C" w:rsidRPr="00B60930">
        <w:t>in</w:t>
      </w:r>
      <w:r w:rsidR="00A25E6C" w:rsidRPr="00A07606">
        <w:t xml:space="preserve"> Annex I of this document in Test Guidelines the relevant </w:t>
      </w:r>
      <w:r w:rsidRPr="00A07606">
        <w:t xml:space="preserve">Technical Working Party and the TC </w:t>
      </w:r>
      <w:r w:rsidR="00A25E6C" w:rsidRPr="00A07606">
        <w:t xml:space="preserve">would need to agree that the requirement for </w:t>
      </w:r>
      <w:r w:rsidRPr="00A07606">
        <w:t>reliability of the link</w:t>
      </w:r>
      <w:r w:rsidRPr="003F29C8">
        <w:t xml:space="preserve"> between the gene and the expression of the characteristic was satisfied</w:t>
      </w:r>
      <w:r w:rsidRPr="003F29C8">
        <w:rPr>
          <w:rFonts w:cs="Arial"/>
        </w:rPr>
        <w:t>.</w:t>
      </w:r>
    </w:p>
    <w:p w:rsidR="00117F5F" w:rsidRPr="00FE1AEB" w:rsidRDefault="00117F5F" w:rsidP="00E306B7">
      <w:pPr>
        <w:ind w:firstLine="567"/>
        <w:rPr>
          <w:rFonts w:cs="Arial"/>
        </w:rPr>
      </w:pPr>
    </w:p>
    <w:p w:rsidR="00E306B7" w:rsidRPr="00FE1AEB" w:rsidRDefault="00E306B7" w:rsidP="00E306B7">
      <w:pPr>
        <w:pStyle w:val="Heading2"/>
        <w:ind w:left="567" w:hanging="567"/>
      </w:pPr>
      <w:bookmarkStart w:id="6" w:name="_Toc311473362"/>
      <w:bookmarkStart w:id="7" w:name="_Toc41500013"/>
      <w:r w:rsidRPr="00FE1AEB">
        <w:t>2.2</w:t>
      </w:r>
      <w:r w:rsidRPr="00FE1AEB">
        <w:tab/>
      </w:r>
      <w:r w:rsidRPr="007776CE">
        <w:t xml:space="preserve">Combining Phenotypic and Molecular Distances in the Management of Variety Collections </w:t>
      </w:r>
      <w:r w:rsidRPr="00B60930">
        <w:t>(see Annex</w:t>
      </w:r>
      <w:r w:rsidRPr="00B60930">
        <w:rPr>
          <w:bCs/>
          <w:lang w:val="en-GB"/>
        </w:rPr>
        <w:t> </w:t>
      </w:r>
      <w:r w:rsidR="00207199" w:rsidRPr="00B60930">
        <w:rPr>
          <w:bCs/>
          <w:lang w:val="en-GB"/>
        </w:rPr>
        <w:t>II</w:t>
      </w:r>
      <w:r w:rsidRPr="00B60930">
        <w:t>)</w:t>
      </w:r>
      <w:bookmarkEnd w:id="6"/>
      <w:bookmarkEnd w:id="7"/>
    </w:p>
    <w:p w:rsidR="0015599C" w:rsidRDefault="0015599C" w:rsidP="00B60930">
      <w:pPr>
        <w:pStyle w:val="Heading3"/>
      </w:pPr>
      <w:bookmarkStart w:id="8" w:name="_Toc41500014"/>
      <w:r w:rsidRPr="00FC3411">
        <w:t xml:space="preserve">Example 1: </w:t>
      </w:r>
      <w:r w:rsidR="00B60930" w:rsidRPr="00FC3411">
        <w:t xml:space="preserve"> </w:t>
      </w:r>
      <w:r w:rsidRPr="00FC3411">
        <w:t>Parent lines in Maize</w:t>
      </w:r>
      <w:r w:rsidR="00B60930" w:rsidRPr="00FC3411">
        <w:t xml:space="preserve"> (see Annex II, example 1)</w:t>
      </w:r>
      <w:bookmarkEnd w:id="8"/>
    </w:p>
    <w:p w:rsidR="00E306B7" w:rsidRPr="00FE1AEB" w:rsidRDefault="00E306B7" w:rsidP="00E306B7">
      <w:r w:rsidRPr="00FE1AEB">
        <w:t>2.2.1</w:t>
      </w:r>
      <w:r w:rsidRPr="00FE1AEB">
        <w:tab/>
        <w:t>A key feature of the process of eliminating varieties of common knowledge prior to the DUS growing trial is that the threshold is set with a suitable margin of safety.  This threshold is termed the “Distinctness plus” threshold, which means that the distances between a candidate variety and “Distinct plus” varieties are robust enough to take a decision without direct comparison in the growing trial.</w:t>
      </w:r>
    </w:p>
    <w:p w:rsidR="00E306B7" w:rsidRPr="00FE1AEB" w:rsidRDefault="00E306B7" w:rsidP="00E306B7"/>
    <w:p w:rsidR="00E306B7" w:rsidRPr="00FE1AEB" w:rsidRDefault="00E306B7" w:rsidP="00E306B7">
      <w:r w:rsidRPr="00FE1AEB">
        <w:t>2.2.2</w:t>
      </w:r>
      <w:r w:rsidRPr="00FE1AEB">
        <w:tab/>
        <w:t>A combination of phenotypic differences and molecular distances can be used to identify within the variety collection, those varieties which need to be compared with candidate varieties in order to improve the selection of “Distinct plus” varieties, on the following basis:</w:t>
      </w:r>
    </w:p>
    <w:p w:rsidR="00E306B7" w:rsidRPr="00FE1AEB" w:rsidRDefault="00E306B7" w:rsidP="00E306B7"/>
    <w:p w:rsidR="00E306B7" w:rsidRPr="00FE1AEB" w:rsidRDefault="00E306B7" w:rsidP="00E306B7">
      <w:pPr>
        <w:ind w:firstLine="567"/>
      </w:pPr>
      <w:r w:rsidRPr="00FE1AEB">
        <w:t>(a)</w:t>
      </w:r>
      <w:r w:rsidRPr="00FE1AEB">
        <w:tab/>
        <w:t>there is reliable information that the molecular distances are sufficiently related to phenotypic differences, such that</w:t>
      </w:r>
    </w:p>
    <w:p w:rsidR="00E306B7" w:rsidRPr="00FE1AEB" w:rsidRDefault="00E306B7" w:rsidP="00E306B7">
      <w:pPr>
        <w:ind w:firstLine="567"/>
      </w:pPr>
    </w:p>
    <w:p w:rsidR="00E306B7" w:rsidRPr="00FE1AEB" w:rsidRDefault="00E306B7" w:rsidP="00E306B7">
      <w:pPr>
        <w:ind w:firstLine="567"/>
      </w:pPr>
      <w:r w:rsidRPr="00FE1AEB">
        <w:t>(b)</w:t>
      </w:r>
      <w:r w:rsidRPr="00FE1AEB">
        <w:tab/>
        <w:t>the method selects varieties in the variety collection which are similar to the candidate varieties; and</w:t>
      </w:r>
    </w:p>
    <w:p w:rsidR="00E306B7" w:rsidRPr="00FE1AEB" w:rsidRDefault="00E306B7" w:rsidP="00E306B7">
      <w:pPr>
        <w:ind w:firstLine="567"/>
      </w:pPr>
    </w:p>
    <w:p w:rsidR="00E306B7" w:rsidRPr="00FE1AEB" w:rsidRDefault="00E306B7" w:rsidP="00E306B7">
      <w:pPr>
        <w:numPr>
          <w:ilvl w:val="0"/>
          <w:numId w:val="23"/>
        </w:numPr>
        <w:tabs>
          <w:tab w:val="clear" w:pos="1080"/>
        </w:tabs>
        <w:ind w:left="0" w:firstLine="567"/>
      </w:pPr>
      <w:r w:rsidRPr="00FE1AEB">
        <w:t>the method does not create an increased risk of not selecting a variety in the variety collection which needs to be compared to the candidate varieties in the field.</w:t>
      </w:r>
    </w:p>
    <w:p w:rsidR="00E306B7" w:rsidRPr="00FE1AEB" w:rsidRDefault="00E306B7" w:rsidP="00E306B7"/>
    <w:p w:rsidR="00E306B7" w:rsidRPr="00FE1AEB" w:rsidRDefault="00E306B7" w:rsidP="00E306B7">
      <w:r w:rsidRPr="00FE1AEB">
        <w:t>2.2.3</w:t>
      </w:r>
      <w:r w:rsidRPr="00FE1AEB">
        <w:tab/>
        <w:t xml:space="preserve">Annex </w:t>
      </w:r>
      <w:r w:rsidR="00207199">
        <w:t>II</w:t>
      </w:r>
      <w:r w:rsidRPr="00FE1AEB">
        <w:t xml:space="preserve"> to this document “Combining Phenotypic and Molecular Distances in the Management of Variety Collections” provides an </w:t>
      </w:r>
      <w:r w:rsidR="0038194A" w:rsidRPr="00B60930">
        <w:t xml:space="preserve">example </w:t>
      </w:r>
      <w:r w:rsidRPr="00B60930">
        <w:t>of the use</w:t>
      </w:r>
      <w:r w:rsidRPr="00FE1AEB">
        <w:t xml:space="preserve"> of combining phenotypic differences and molecular distances in the management of variety collections.</w:t>
      </w:r>
    </w:p>
    <w:p w:rsidR="00552861" w:rsidRDefault="00552861" w:rsidP="000A4427"/>
    <w:p w:rsidR="000A4427" w:rsidRPr="000A4427" w:rsidRDefault="000A4427" w:rsidP="000A4427"/>
    <w:p w:rsidR="000A4427" w:rsidRPr="00B60930" w:rsidRDefault="0015599C" w:rsidP="00B60930">
      <w:pPr>
        <w:pStyle w:val="Heading3"/>
      </w:pPr>
      <w:bookmarkStart w:id="9" w:name="_Toc41500015"/>
      <w:r w:rsidRPr="00FC3411">
        <w:t xml:space="preserve">Example 2: </w:t>
      </w:r>
      <w:r w:rsidR="00F05C67">
        <w:t xml:space="preserve"> </w:t>
      </w:r>
      <w:r w:rsidR="000A4427" w:rsidRPr="00FC3411">
        <w:t xml:space="preserve">Genetic Selection of Similar Varieties for the First Growing Cycle (see </w:t>
      </w:r>
      <w:r w:rsidR="00E61389" w:rsidRPr="00FC3411">
        <w:t>Annex</w:t>
      </w:r>
      <w:r w:rsidR="00E61389" w:rsidRPr="00FC3411">
        <w:rPr>
          <w:bCs/>
          <w:lang w:val="en-GB"/>
        </w:rPr>
        <w:t> II, example 2</w:t>
      </w:r>
      <w:r w:rsidR="000A4427" w:rsidRPr="00FC3411">
        <w:t>)</w:t>
      </w:r>
      <w:bookmarkEnd w:id="9"/>
    </w:p>
    <w:p w:rsidR="000A4427" w:rsidRPr="00FC3411" w:rsidRDefault="00C517C6" w:rsidP="000A4427">
      <w:r w:rsidRPr="00FC3411">
        <w:t>2.2.4</w:t>
      </w:r>
      <w:r w:rsidR="000A4427" w:rsidRPr="00FC3411">
        <w:t xml:space="preserve"> </w:t>
      </w:r>
      <w:r w:rsidR="000A4427" w:rsidRPr="00FC3411">
        <w:tab/>
        <w:t>This approach involves a step to check for genetic similarity before the first growing cycle.</w:t>
      </w:r>
    </w:p>
    <w:p w:rsidR="000A4427" w:rsidRPr="00FC3411" w:rsidRDefault="000A4427" w:rsidP="000A4427"/>
    <w:p w:rsidR="000A4427" w:rsidRPr="00FC3411" w:rsidRDefault="00C517C6" w:rsidP="000A4427">
      <w:r w:rsidRPr="00FC3411">
        <w:t>2.2.5</w:t>
      </w:r>
      <w:r w:rsidR="000A4427" w:rsidRPr="00FC3411">
        <w:tab/>
        <w:t>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Technical Questionnaire (TQ) is used to see if some of the genetically similar varieties do not have to be compared in a growing trial because of differences in DUS characteristics.</w:t>
      </w:r>
    </w:p>
    <w:p w:rsidR="000A4427" w:rsidRPr="00FC3411" w:rsidRDefault="000A4427" w:rsidP="000A4427"/>
    <w:p w:rsidR="000A4427" w:rsidRPr="00FC3411" w:rsidRDefault="00C517C6" w:rsidP="000A4427">
      <w:r w:rsidRPr="00FC3411">
        <w:t>2.2.6</w:t>
      </w:r>
      <w:r w:rsidR="000A4427" w:rsidRPr="00FC3411">
        <w:tab/>
        <w:t xml:space="preserve">On the basis of the variety description of DUS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0A4427" w:rsidRPr="00FC3411" w:rsidRDefault="000A4427" w:rsidP="000A4427"/>
    <w:p w:rsidR="00552861" w:rsidRPr="00FC3411" w:rsidRDefault="00C517C6" w:rsidP="000A4427">
      <w:r w:rsidRPr="00FC3411">
        <w:t>2.2.7</w:t>
      </w:r>
      <w:r w:rsidR="000A4427" w:rsidRPr="00FC3411">
        <w:tab/>
      </w:r>
      <w:r w:rsidR="00ED578A">
        <w:t xml:space="preserve">Example 2 in </w:t>
      </w:r>
      <w:r w:rsidR="00F02A83" w:rsidRPr="00FC3411">
        <w:t xml:space="preserve">Annex II </w:t>
      </w:r>
      <w:r w:rsidR="000A4427" w:rsidRPr="00FC3411">
        <w:t xml:space="preserve">to this document “Genetic Selection of Similar Varieties for the First Growing Cycle” provides an </w:t>
      </w:r>
      <w:r w:rsidR="0038194A" w:rsidRPr="00FC3411">
        <w:t xml:space="preserve">example </w:t>
      </w:r>
      <w:r w:rsidR="000A4427" w:rsidRPr="00FC3411">
        <w:t>of the genetic selection of similar varieties for the first growing cycle.</w:t>
      </w:r>
    </w:p>
    <w:p w:rsidR="00E306B7" w:rsidRPr="000A4427" w:rsidRDefault="00E306B7" w:rsidP="000A4427"/>
    <w:p w:rsidR="00E306B7" w:rsidRPr="000A4427" w:rsidRDefault="00E306B7" w:rsidP="000A4427"/>
    <w:p w:rsidR="00E306B7" w:rsidRPr="000A4427" w:rsidRDefault="00E306B7" w:rsidP="000A4427"/>
    <w:p w:rsidR="00E306B7" w:rsidRDefault="00E306B7" w:rsidP="00E306B7">
      <w:pPr>
        <w:jc w:val="right"/>
      </w:pPr>
      <w:r w:rsidRPr="0003253B">
        <w:t>[A</w:t>
      </w:r>
      <w:r w:rsidRPr="00CD142F">
        <w:t>nnexes follow]</w:t>
      </w:r>
    </w:p>
    <w:p w:rsidR="00E306B7" w:rsidRPr="00711A1D" w:rsidRDefault="00E306B7" w:rsidP="00E306B7"/>
    <w:p w:rsidR="00E306B7" w:rsidRPr="00F575CD" w:rsidRDefault="00E306B7" w:rsidP="00E306B7">
      <w:pPr>
        <w:pStyle w:val="Header"/>
        <w:jc w:val="both"/>
        <w:rPr>
          <w:lang w:val="en-US"/>
        </w:rPr>
        <w:sectPr w:rsidR="00E306B7" w:rsidRPr="00F575CD" w:rsidSect="007C5A0C">
          <w:headerReference w:type="default" r:id="rId10"/>
          <w:pgSz w:w="11907" w:h="16840" w:code="9"/>
          <w:pgMar w:top="510" w:right="1134" w:bottom="1134" w:left="1134" w:header="510" w:footer="680" w:gutter="0"/>
          <w:cols w:space="720"/>
          <w:titlePg/>
        </w:sectPr>
      </w:pPr>
    </w:p>
    <w:p w:rsidR="00E306B7" w:rsidRPr="00CD142F" w:rsidRDefault="00E306B7" w:rsidP="00E306B7">
      <w:pPr>
        <w:jc w:val="center"/>
      </w:pPr>
      <w:bookmarkStart w:id="10" w:name="_Toc311473363"/>
      <w:r w:rsidRPr="00CD142F">
        <w:lastRenderedPageBreak/>
        <w:t xml:space="preserve">ANNEX </w:t>
      </w:r>
      <w:bookmarkEnd w:id="10"/>
      <w:r w:rsidR="00207199">
        <w:t>I</w:t>
      </w:r>
    </w:p>
    <w:p w:rsidR="00E306B7" w:rsidRDefault="00E306B7" w:rsidP="00E306B7">
      <w:pPr>
        <w:jc w:val="center"/>
      </w:pPr>
    </w:p>
    <w:p w:rsidR="00E306B7" w:rsidRPr="00CD142F" w:rsidRDefault="00E306B7" w:rsidP="00E306B7">
      <w:pPr>
        <w:jc w:val="center"/>
      </w:pPr>
    </w:p>
    <w:p w:rsidR="00E306B7" w:rsidRPr="00CD142F" w:rsidRDefault="00E306B7" w:rsidP="00E306B7">
      <w:pPr>
        <w:pBdr>
          <w:top w:val="single" w:sz="4" w:space="1" w:color="auto"/>
          <w:left w:val="single" w:sz="4" w:space="4" w:color="auto"/>
          <w:bottom w:val="single" w:sz="4" w:space="1" w:color="auto"/>
          <w:right w:val="single" w:sz="4" w:space="4" w:color="auto"/>
        </w:pBdr>
        <w:jc w:val="center"/>
        <w:rPr>
          <w:snapToGrid w:val="0"/>
          <w:color w:val="000000"/>
        </w:rPr>
      </w:pPr>
      <w:bookmarkStart w:id="11" w:name="_Toc285523706"/>
      <w:bookmarkStart w:id="12" w:name="_Toc311473364"/>
      <w:r w:rsidRPr="00CD142F">
        <w:rPr>
          <w:snapToGrid w:val="0"/>
        </w:rPr>
        <w:t xml:space="preserve">MODEL:  </w:t>
      </w:r>
      <w:r w:rsidRPr="00CD142F">
        <w:rPr>
          <w:snapToGrid w:val="0"/>
          <w:color w:val="000000"/>
        </w:rPr>
        <w:t>CHARACTERISTIC-SPECIFIC MOLECULAR MARKERS</w:t>
      </w:r>
      <w:bookmarkEnd w:id="11"/>
      <w:bookmarkEnd w:id="12"/>
    </w:p>
    <w:p w:rsidR="00E306B7" w:rsidRDefault="00E306B7" w:rsidP="00E306B7">
      <w:pPr>
        <w:jc w:val="center"/>
      </w:pPr>
      <w:bookmarkStart w:id="13" w:name="_Toc311473365"/>
    </w:p>
    <w:p w:rsidR="00E306B7" w:rsidRDefault="00E306B7" w:rsidP="00E306B7">
      <w:pPr>
        <w:jc w:val="center"/>
      </w:pPr>
    </w:p>
    <w:p w:rsidR="00E306B7" w:rsidRDefault="00E306B7" w:rsidP="00E306B7">
      <w:pPr>
        <w:jc w:val="center"/>
      </w:pPr>
      <w:r>
        <w:t>EXAMPLE</w:t>
      </w:r>
      <w:r w:rsidR="00A07606">
        <w:t xml:space="preserve"> </w:t>
      </w:r>
      <w:r w:rsidR="00A07606" w:rsidRPr="00FC3411">
        <w:t>1</w:t>
      </w:r>
      <w:r w:rsidRPr="00CD142F">
        <w:t>:  GENE SPECIFIC MARKER FOR HERBICIDE TOLERANCE</w:t>
      </w:r>
      <w:bookmarkEnd w:id="13"/>
    </w:p>
    <w:p w:rsidR="00E306B7" w:rsidRDefault="00E306B7" w:rsidP="00E306B7">
      <w:pPr>
        <w:jc w:val="center"/>
      </w:pPr>
    </w:p>
    <w:p w:rsidR="00E306B7" w:rsidRPr="00CD142F" w:rsidRDefault="00E306B7" w:rsidP="00E306B7">
      <w:pPr>
        <w:jc w:val="center"/>
      </w:pPr>
    </w:p>
    <w:p w:rsidR="00E306B7" w:rsidRPr="00CD142F" w:rsidRDefault="00E306B7" w:rsidP="00E306B7">
      <w:pPr>
        <w:pStyle w:val="Header"/>
        <w:rPr>
          <w:rFonts w:cs="Arial"/>
          <w:i/>
          <w:u w:val="single"/>
          <w:lang w:val="en-US"/>
        </w:rPr>
      </w:pPr>
      <w:r w:rsidRPr="00CD142F">
        <w:rPr>
          <w:rFonts w:cs="Arial"/>
          <w:i/>
          <w:lang w:val="en-US"/>
        </w:rPr>
        <w:t xml:space="preserve">prepared by experts from </w:t>
      </w:r>
      <w:smartTag w:uri="urn:schemas-microsoft-com:office:smarttags" w:element="place">
        <w:smartTag w:uri="urn:schemas-microsoft-com:office:smarttags" w:element="country-region">
          <w:r w:rsidRPr="00CD142F">
            <w:rPr>
              <w:rFonts w:cs="Arial"/>
              <w:i/>
              <w:lang w:val="en-US"/>
            </w:rPr>
            <w:t>France</w:t>
          </w:r>
        </w:smartTag>
      </w:smartTag>
    </w:p>
    <w:p w:rsidR="00E306B7" w:rsidRDefault="00E306B7" w:rsidP="00E306B7">
      <w:pPr>
        <w:rPr>
          <w:rFonts w:cs="Arial"/>
        </w:rPr>
      </w:pPr>
    </w:p>
    <w:p w:rsidR="00E306B7" w:rsidRPr="00CD142F" w:rsidRDefault="00E306B7" w:rsidP="00E306B7">
      <w:pPr>
        <w:rPr>
          <w:rFonts w:cs="Arial"/>
        </w:rPr>
      </w:pPr>
    </w:p>
    <w:p w:rsidR="00E306B7" w:rsidRPr="00C47385" w:rsidRDefault="00E306B7" w:rsidP="00E306B7">
      <w:pPr>
        <w:rPr>
          <w:u w:val="single"/>
        </w:rPr>
      </w:pPr>
      <w:r w:rsidRPr="00C47385">
        <w:rPr>
          <w:u w:val="single"/>
        </w:rPr>
        <w:t>Example</w:t>
      </w:r>
    </w:p>
    <w:p w:rsidR="00E306B7" w:rsidRPr="00CD142F" w:rsidRDefault="00E306B7" w:rsidP="00E306B7"/>
    <w:p w:rsidR="00E306B7" w:rsidRDefault="00E306B7" w:rsidP="00E306B7">
      <w:pPr>
        <w:rPr>
          <w:rFonts w:cs="Arial"/>
        </w:rPr>
      </w:pPr>
      <w:r w:rsidRPr="00CD142F">
        <w:rPr>
          <w:rFonts w:cs="Arial"/>
        </w:rPr>
        <w:t>1.</w:t>
      </w:r>
      <w:r w:rsidRPr="00CD142F">
        <w:rPr>
          <w:rFonts w:cs="Arial"/>
        </w:rPr>
        <w:tab/>
        <w:t xml:space="preserve">A variety is genetically modified by the insertion of a gene for </w:t>
      </w:r>
      <w:r>
        <w:rPr>
          <w:rFonts w:cs="Arial"/>
        </w:rPr>
        <w:t>tolerance to herbicide “Formula </w:t>
      </w:r>
      <w:r w:rsidRPr="00CD142F">
        <w:rPr>
          <w:rFonts w:cs="Arial"/>
        </w:rPr>
        <w:t xml:space="preserve">X.”  Varieties containing this gene are not harmed when sprayed with Formula X; however, varieties without this gene are always killed if sprayed with this particular herbicide. Tolerance of Formula X, examined in field trials by spraying of plots, is an accepted DUS characteristic, and it can be used to establish distinctness between varieties.  </w:t>
      </w:r>
    </w:p>
    <w:p w:rsidR="00E306B7" w:rsidRPr="00CD142F" w:rsidRDefault="00E306B7" w:rsidP="00E306B7">
      <w:pPr>
        <w:rPr>
          <w:rFonts w:cs="Arial"/>
        </w:rPr>
      </w:pPr>
    </w:p>
    <w:p w:rsidR="00E306B7" w:rsidRDefault="00E306B7" w:rsidP="00E306B7">
      <w:pPr>
        <w:rPr>
          <w:rFonts w:cs="Arial"/>
        </w:rPr>
      </w:pPr>
      <w:r w:rsidRPr="00CD142F">
        <w:rPr>
          <w:rFonts w:cs="Arial"/>
        </w:rPr>
        <w:t>2.</w:t>
      </w:r>
      <w:r w:rsidRPr="00CD142F">
        <w:rPr>
          <w:rFonts w:cs="Arial"/>
        </w:rPr>
        <w:tab/>
        <w:t xml:space="preserve">It is proposed that, rather than spraying varieties in the field (this is difficult to organize in the standard DUS trial), the characteristic “tolerance of Formula X” is examined by conducting a test for the presence of a molecular marker </w:t>
      </w:r>
      <w:r w:rsidRPr="00CD142F">
        <w:rPr>
          <w:rFonts w:cs="Arial"/>
          <w:i/>
        </w:rPr>
        <w:t>linked</w:t>
      </w:r>
      <w:r w:rsidRPr="00CD142F">
        <w:rPr>
          <w:rFonts w:cs="Arial"/>
        </w:rPr>
        <w:t xml:space="preserve"> to the gene.  This marker is located on a part of the gene “construct.”  The gene “construct” comprises all the elements which are inserted into the plant during the genetic modification and, in addition to the gene itself, contains additional elements for regulating the gene when in the plant.  The marker may be located within the gene, partly on the gene or outside the gene itself.</w:t>
      </w:r>
    </w:p>
    <w:p w:rsidR="00E306B7" w:rsidRDefault="00E306B7" w:rsidP="00E306B7">
      <w:pPr>
        <w:rPr>
          <w:rFonts w:cs="Arial"/>
        </w:rPr>
      </w:pPr>
    </w:p>
    <w:p w:rsidR="00E306B7" w:rsidRPr="00CD142F" w:rsidRDefault="00E306B7" w:rsidP="00E306B7">
      <w:pPr>
        <w:rPr>
          <w:rFonts w:cs="Arial"/>
        </w:rPr>
      </w:pPr>
    </w:p>
    <w:p w:rsidR="00E306B7" w:rsidRDefault="00E306B7" w:rsidP="00E306B7">
      <w:pPr>
        <w:rPr>
          <w:rFonts w:cs="Arial"/>
          <w:u w:val="single"/>
        </w:rPr>
      </w:pPr>
      <w:r w:rsidRPr="00CD142F">
        <w:rPr>
          <w:rFonts w:cs="Arial"/>
          <w:u w:val="single"/>
        </w:rPr>
        <w:t>Assumptions to be made in the example</w:t>
      </w:r>
    </w:p>
    <w:p w:rsidR="00E306B7" w:rsidRDefault="00E306B7" w:rsidP="00E306B7">
      <w:pPr>
        <w:rPr>
          <w:rFonts w:cs="Arial"/>
          <w:u w:val="single"/>
        </w:rPr>
      </w:pPr>
    </w:p>
    <w:p w:rsidR="00E306B7" w:rsidRDefault="00E306B7" w:rsidP="00E306B7">
      <w:r w:rsidRPr="00CD142F">
        <w:t>3.</w:t>
      </w:r>
      <w:r w:rsidRPr="00CD142F">
        <w:tab/>
        <w:t>The following assumptions are made:</w:t>
      </w:r>
    </w:p>
    <w:p w:rsidR="00E306B7" w:rsidRPr="00CD142F" w:rsidRDefault="00E306B7" w:rsidP="00E306B7"/>
    <w:p w:rsidR="00E306B7" w:rsidRDefault="00E306B7" w:rsidP="00E306B7">
      <w:pPr>
        <w:ind w:left="567"/>
      </w:pPr>
      <w:r w:rsidRPr="00CD142F">
        <w:t>(a)</w:t>
      </w:r>
      <w:r w:rsidRPr="00CD142F">
        <w:tab/>
        <w:t>The DUS Examination</w:t>
      </w:r>
    </w:p>
    <w:p w:rsidR="00E306B7" w:rsidRPr="00CD142F" w:rsidRDefault="00E306B7" w:rsidP="00E306B7">
      <w:pPr>
        <w:ind w:left="567"/>
      </w:pPr>
    </w:p>
    <w:p w:rsidR="00E306B7" w:rsidRPr="00F661EE" w:rsidRDefault="00E306B7" w:rsidP="00E306B7">
      <w:pPr>
        <w:pStyle w:val="BodyTextIndent"/>
        <w:ind w:left="0" w:firstLine="567"/>
        <w:rPr>
          <w:rFonts w:cs="Arial"/>
          <w:szCs w:val="20"/>
        </w:rPr>
      </w:pPr>
      <w:r w:rsidRPr="00F661EE">
        <w:rPr>
          <w:rFonts w:cs="Arial"/>
          <w:szCs w:val="20"/>
        </w:rPr>
        <w:t>It is assumed that the test for the marker would be conducted to the same extent as for the field test, i.e. the same number of individual plants, over the same number of years and with the same criteria for distinctness, uniformity and stability.</w:t>
      </w:r>
    </w:p>
    <w:p w:rsidR="00E306B7" w:rsidRDefault="00E306B7" w:rsidP="00E306B7">
      <w:pPr>
        <w:pStyle w:val="BodyTextIndent"/>
        <w:spacing w:line="360" w:lineRule="auto"/>
        <w:ind w:left="0" w:firstLine="567"/>
        <w:rPr>
          <w:rFonts w:cs="Arial"/>
          <w:szCs w:val="20"/>
          <w:u w:val="single"/>
        </w:rPr>
      </w:pPr>
    </w:p>
    <w:p w:rsidR="00E306B7" w:rsidRPr="00CD142F" w:rsidRDefault="00E306B7" w:rsidP="00E306B7">
      <w:pPr>
        <w:ind w:left="567"/>
      </w:pPr>
      <w:r w:rsidRPr="00CD142F">
        <w:t>(b)</w:t>
      </w:r>
      <w:r w:rsidRPr="00CD142F">
        <w:tab/>
        <w:t>Reliability of the Linkage</w:t>
      </w:r>
    </w:p>
    <w:p w:rsidR="00E306B7" w:rsidRDefault="00E306B7" w:rsidP="00E306B7">
      <w:pPr>
        <w:ind w:left="567"/>
      </w:pPr>
    </w:p>
    <w:p w:rsidR="00E306B7" w:rsidRPr="00F661EE" w:rsidRDefault="00E306B7" w:rsidP="00E306B7">
      <w:pPr>
        <w:ind w:firstLine="567"/>
        <w:rPr>
          <w:rFonts w:cs="Arial"/>
        </w:rPr>
      </w:pPr>
      <w:r w:rsidRPr="00F661EE">
        <w:rPr>
          <w:rFonts w:cs="Arial"/>
        </w:rPr>
        <w:t>It is assumed that the link between the marker and the gene would be checked to ensure that the marker is a reliable predictor of tolerance to Formula X.  This check would be necessary to ensure, for example, that the marker does not become separated from the gene and that the presence of the gene is still resulting in tolerance to Formula X.</w:t>
      </w:r>
    </w:p>
    <w:p w:rsidR="00E306B7" w:rsidRPr="00CD142F" w:rsidRDefault="00E306B7" w:rsidP="00E306B7">
      <w:pPr>
        <w:spacing w:line="360" w:lineRule="auto"/>
        <w:ind w:firstLine="567"/>
        <w:rPr>
          <w:rFonts w:cs="Arial"/>
        </w:rPr>
      </w:pPr>
    </w:p>
    <w:p w:rsidR="00E306B7" w:rsidRDefault="00E306B7" w:rsidP="00E306B7">
      <w:pPr>
        <w:ind w:left="567"/>
      </w:pPr>
      <w:r w:rsidRPr="00CD142F">
        <w:t>(c)</w:t>
      </w:r>
      <w:r w:rsidRPr="00CD142F">
        <w:tab/>
        <w:t>Development of Different Molecular Markers for the Same Gene</w:t>
      </w:r>
    </w:p>
    <w:p w:rsidR="00E306B7" w:rsidRPr="00CD142F" w:rsidRDefault="00E306B7" w:rsidP="00E306B7">
      <w:pPr>
        <w:ind w:left="567"/>
      </w:pPr>
    </w:p>
    <w:p w:rsidR="00E306B7" w:rsidRPr="00F661EE" w:rsidRDefault="00E306B7" w:rsidP="00E306B7">
      <w:pPr>
        <w:ind w:firstLine="567"/>
        <w:rPr>
          <w:rFonts w:cs="Arial"/>
          <w:b/>
        </w:rPr>
      </w:pPr>
      <w:r w:rsidRPr="00CD142F">
        <w:rPr>
          <w:rFonts w:cs="Arial"/>
        </w:rPr>
        <w:t xml:space="preserve">It would be possible to develop different gene constructs containing Formula X tolerance and to identify separate molecular markers for these individual gene constructs, all of which would be linked to exactly the same gene for Formula X tolerance.  If all the different markers for the same gene were accepted as different methods for examining the </w:t>
      </w:r>
      <w:r w:rsidRPr="00CD142F">
        <w:rPr>
          <w:rFonts w:cs="Arial"/>
          <w:i/>
        </w:rPr>
        <w:t>same existing phenotypic characteristic</w:t>
      </w:r>
      <w:r w:rsidRPr="00CD142F">
        <w:rPr>
          <w:rFonts w:cs="Arial"/>
        </w:rPr>
        <w:t>, the consideration of the approach would be the same.  For the use of “Molecular […] [markers] as a predictor of traditional</w:t>
      </w:r>
      <w:r w:rsidRPr="00CD142F">
        <w:rPr>
          <w:rFonts w:cs="Arial"/>
          <w:i/>
        </w:rPr>
        <w:t xml:space="preserve"> </w:t>
      </w:r>
      <w:r w:rsidRPr="00CD142F">
        <w:rPr>
          <w:rFonts w:cs="Arial"/>
        </w:rPr>
        <w:t xml:space="preserve">characteristics,” it is necessary to work on the basis that the markers </w:t>
      </w:r>
      <w:r w:rsidRPr="00F661EE">
        <w:rPr>
          <w:rFonts w:cs="Arial"/>
        </w:rPr>
        <w:t>correspond to a traditional, i.e. existing, approved characteristic.  Therefore, it is assumed that different markers for the same gene would be treated as different methods for examining the same characteristic, i.e. tolerance to Formula X.</w:t>
      </w:r>
    </w:p>
    <w:p w:rsidR="00E306B7" w:rsidRDefault="00E306B7" w:rsidP="00E306B7">
      <w:pPr>
        <w:spacing w:line="360" w:lineRule="auto"/>
      </w:pPr>
    </w:p>
    <w:p w:rsidR="00E306B7" w:rsidRDefault="00E306B7" w:rsidP="00E306B7">
      <w:pPr>
        <w:keepNext/>
        <w:ind w:left="567"/>
      </w:pPr>
      <w:r w:rsidRPr="00CD142F">
        <w:lastRenderedPageBreak/>
        <w:t>(d)</w:t>
      </w:r>
      <w:r w:rsidRPr="00CD142F">
        <w:tab/>
        <w:t>Different Genes Producing Tolerance to the Same Herbicide</w:t>
      </w:r>
    </w:p>
    <w:p w:rsidR="00E306B7" w:rsidRPr="00CD142F" w:rsidRDefault="00E306B7" w:rsidP="00E306B7">
      <w:pPr>
        <w:keepNext/>
        <w:ind w:left="567"/>
      </w:pPr>
    </w:p>
    <w:p w:rsidR="00E306B7" w:rsidRPr="00F661EE" w:rsidRDefault="00E306B7" w:rsidP="00C47385">
      <w:pPr>
        <w:keepLines/>
        <w:ind w:firstLine="567"/>
        <w:rPr>
          <w:rFonts w:cs="Arial"/>
        </w:rPr>
      </w:pPr>
      <w:r w:rsidRPr="00CD142F">
        <w:rPr>
          <w:rFonts w:cs="Arial"/>
        </w:rPr>
        <w:t xml:space="preserve">It might be possible to develop different genes which confer tolerance to Formula X.  In the simplest case, this could be considered in the same way as different markers for the same gene, i.e. the different genes, with their respective markers, would be considered as different methods for examining the same characteristic, i.e. tolerance to Formula X.  However, the different genes are likely to have a different chemical mechanism to produce the tolerance to Formula X.  Thus, the chemicals produced from the different genes will be different and, these different chemicals might be a basis for establishing distinctness in some circumstances.  Nevertheless, under this model, it would first be necessary to approve the chemical components as UPOV characteristics, before accepting molecular markers linked to these potential characteristics.  This in turn would be a separate example.  </w:t>
      </w:r>
      <w:r w:rsidRPr="00F661EE">
        <w:rPr>
          <w:rFonts w:cs="Arial"/>
        </w:rPr>
        <w:t>Therefore, it is assumed that different genes would be treated as different methods for examining the same characteristic, i.e. tolerance to Formula X.</w:t>
      </w:r>
    </w:p>
    <w:p w:rsidR="00E306B7" w:rsidRDefault="00E306B7" w:rsidP="00E306B7">
      <w:pPr>
        <w:spacing w:line="360" w:lineRule="auto"/>
      </w:pPr>
    </w:p>
    <w:p w:rsidR="00E306B7" w:rsidRDefault="00E306B7" w:rsidP="00E306B7">
      <w:pPr>
        <w:ind w:left="1134" w:hanging="567"/>
      </w:pPr>
      <w:r w:rsidRPr="00CD142F">
        <w:t>(e)</w:t>
      </w:r>
      <w:r w:rsidRPr="00CD142F">
        <w:tab/>
        <w:t>Different Gene Constructs Producing the Same Herbicide Tolerance but With Different Control of the Expression</w:t>
      </w:r>
    </w:p>
    <w:p w:rsidR="00E306B7" w:rsidRPr="00CD142F" w:rsidRDefault="00E306B7" w:rsidP="00E306B7">
      <w:pPr>
        <w:ind w:left="1134" w:hanging="567"/>
      </w:pPr>
    </w:p>
    <w:p w:rsidR="00E306B7" w:rsidRPr="00F661EE" w:rsidRDefault="00E306B7" w:rsidP="00E306B7">
      <w:r>
        <w:tab/>
      </w:r>
      <w:r w:rsidRPr="00CD142F">
        <w:t xml:space="preserve">It is also possible that different gene constructs could be developed which contain the same gene for tolerance to Formula X, but which had different regulatory control.  For example, the regulatory elements may result in the Formula X tolerance only being switched on at certain stages of </w:t>
      </w:r>
      <w:r w:rsidRPr="00F661EE">
        <w:t>development.  For simplicity, in considering this example, it is assumed that the different markers linked to different regulatory elements for the same gene would all be treated as different methods for examining the same characteristic of tolerance to Formula X.  However, it is also assumed that further consideration would be given to this matter at a later stage.</w:t>
      </w:r>
    </w:p>
    <w:p w:rsidR="00E306B7" w:rsidRDefault="00E306B7" w:rsidP="00E306B7"/>
    <w:p w:rsidR="00A07606" w:rsidRDefault="00A07606">
      <w:pPr>
        <w:jc w:val="left"/>
      </w:pPr>
      <w:r>
        <w:br w:type="page"/>
      </w:r>
    </w:p>
    <w:p w:rsidR="00A07606" w:rsidRPr="00FC3411" w:rsidRDefault="00A07606" w:rsidP="00A07606">
      <w:pPr>
        <w:pBdr>
          <w:top w:val="single" w:sz="4" w:space="1" w:color="auto"/>
          <w:left w:val="single" w:sz="4" w:space="4" w:color="auto"/>
          <w:bottom w:val="single" w:sz="4" w:space="1" w:color="auto"/>
          <w:right w:val="single" w:sz="4" w:space="4" w:color="auto"/>
        </w:pBdr>
        <w:jc w:val="center"/>
        <w:rPr>
          <w:snapToGrid w:val="0"/>
          <w:color w:val="000000"/>
        </w:rPr>
      </w:pPr>
      <w:r w:rsidRPr="00FC3411">
        <w:rPr>
          <w:snapToGrid w:val="0"/>
        </w:rPr>
        <w:lastRenderedPageBreak/>
        <w:t xml:space="preserve">MODEL:  </w:t>
      </w:r>
      <w:r w:rsidRPr="00FC3411">
        <w:rPr>
          <w:snapToGrid w:val="0"/>
          <w:color w:val="000000"/>
        </w:rPr>
        <w:t>CHARACTERISTIC-SPECIFIC MOLECULAR MARKERS</w:t>
      </w:r>
    </w:p>
    <w:p w:rsidR="00A07606" w:rsidRPr="00FC3411" w:rsidRDefault="00A07606" w:rsidP="00A07606">
      <w:pPr>
        <w:jc w:val="center"/>
      </w:pPr>
    </w:p>
    <w:p w:rsidR="00A07606" w:rsidRPr="00FC3411" w:rsidRDefault="00A07606" w:rsidP="00A07606">
      <w:pPr>
        <w:jc w:val="center"/>
      </w:pPr>
    </w:p>
    <w:p w:rsidR="00A07606" w:rsidRPr="00FC3411" w:rsidRDefault="00A07606" w:rsidP="00A07606">
      <w:pPr>
        <w:spacing w:after="160" w:line="259" w:lineRule="auto"/>
        <w:jc w:val="center"/>
        <w:rPr>
          <w:rFonts w:eastAsia="Calibri" w:cs="Arial"/>
          <w:lang w:val="en-GB"/>
        </w:rPr>
      </w:pPr>
      <w:r w:rsidRPr="00FC3411">
        <w:rPr>
          <w:rFonts w:eastAsia="Calibri" w:cs="Arial"/>
          <w:lang w:val="en-GB"/>
        </w:rPr>
        <w:t>EXAMPLE 2:  GENE SPECIFIC MARKER WITH INCOMPLETE INFORMATION ON STATE OF EXPRESSION FOR DISEASE RESISTANCE IN TOMATO</w:t>
      </w:r>
    </w:p>
    <w:p w:rsidR="00A07606" w:rsidRPr="00FC3411" w:rsidRDefault="00A07606" w:rsidP="00A07606">
      <w:pPr>
        <w:spacing w:after="160" w:line="259" w:lineRule="auto"/>
        <w:jc w:val="center"/>
        <w:rPr>
          <w:rFonts w:eastAsia="Calibri" w:cs="Arial"/>
          <w:i/>
          <w:iCs/>
          <w:lang w:val="en-GB"/>
        </w:rPr>
      </w:pPr>
      <w:r w:rsidRPr="00FC3411">
        <w:rPr>
          <w:rFonts w:eastAsia="Calibri" w:cs="Arial"/>
          <w:i/>
          <w:iCs/>
          <w:lang w:val="en-GB"/>
        </w:rPr>
        <w:t>prepared by experts from The Netherlands</w:t>
      </w:r>
    </w:p>
    <w:p w:rsidR="00A07606" w:rsidRPr="00FC3411" w:rsidRDefault="00A07606" w:rsidP="00A07606">
      <w:pPr>
        <w:autoSpaceDE w:val="0"/>
        <w:autoSpaceDN w:val="0"/>
        <w:adjustRightInd w:val="0"/>
        <w:rPr>
          <w:rFonts w:eastAsia="Calibri" w:cs="Arial"/>
          <w:lang w:val="en-GB"/>
        </w:rPr>
      </w:pPr>
    </w:p>
    <w:p w:rsidR="00A07606" w:rsidRPr="00FC3411" w:rsidRDefault="00A07606" w:rsidP="00A07606">
      <w:pPr>
        <w:autoSpaceDE w:val="0"/>
        <w:autoSpaceDN w:val="0"/>
        <w:adjustRightInd w:val="0"/>
        <w:rPr>
          <w:rFonts w:eastAsia="Calibri" w:cs="Arial"/>
          <w:u w:val="single"/>
          <w:lang w:val="en-GB"/>
        </w:rPr>
      </w:pPr>
      <w:r w:rsidRPr="00FC3411">
        <w:rPr>
          <w:rFonts w:eastAsia="Calibri" w:cs="Arial"/>
          <w:u w:val="single"/>
          <w:lang w:val="en-GB"/>
        </w:rPr>
        <w:t>Example</w:t>
      </w:r>
    </w:p>
    <w:p w:rsidR="00A07606" w:rsidRPr="00FC3411" w:rsidRDefault="00A07606" w:rsidP="00A07606">
      <w:pPr>
        <w:autoSpaceDE w:val="0"/>
        <w:autoSpaceDN w:val="0"/>
        <w:adjustRightInd w:val="0"/>
        <w:rPr>
          <w:rFonts w:eastAsia="Calibri" w:cs="Arial"/>
          <w:strike/>
          <w:lang w:val="en-GB"/>
        </w:rPr>
      </w:pPr>
    </w:p>
    <w:p w:rsidR="00A07606" w:rsidRPr="00FC3411" w:rsidRDefault="00A07606" w:rsidP="00A07606">
      <w:pPr>
        <w:autoSpaceDE w:val="0"/>
        <w:autoSpaceDN w:val="0"/>
        <w:adjustRightInd w:val="0"/>
        <w:rPr>
          <w:rFonts w:eastAsia="Calibri" w:cs="Arial"/>
          <w:szCs w:val="18"/>
          <w:lang w:val="en-GB"/>
        </w:rPr>
      </w:pPr>
      <w:r w:rsidRPr="00FC3411">
        <w:rPr>
          <w:rFonts w:eastAsia="Calibri" w:cs="Arial"/>
          <w:lang w:val="en-GB"/>
        </w:rPr>
        <w:t>1.</w:t>
      </w:r>
      <w:r w:rsidRPr="00FC3411">
        <w:rPr>
          <w:rFonts w:eastAsia="Calibri" w:cs="Arial"/>
          <w:lang w:val="en-GB"/>
        </w:rPr>
        <w:tab/>
        <w:t>Resistance to Tomato mosaic virus (</w:t>
      </w:r>
      <w:proofErr w:type="spellStart"/>
      <w:r w:rsidRPr="00FC3411">
        <w:rPr>
          <w:rFonts w:eastAsia="Calibri" w:cs="Arial"/>
          <w:lang w:val="en-GB"/>
        </w:rPr>
        <w:t>ToMV</w:t>
      </w:r>
      <w:proofErr w:type="spellEnd"/>
      <w:r w:rsidRPr="00FC3411">
        <w:rPr>
          <w:rFonts w:eastAsia="Calibri" w:cs="Arial"/>
          <w:lang w:val="en-GB"/>
        </w:rPr>
        <w:t xml:space="preserve">) Strain 0 in Tomato is conferred by </w:t>
      </w:r>
      <w:r w:rsidRPr="00FC3411">
        <w:rPr>
          <w:rFonts w:eastAsia="Calibri" w:cs="Arial"/>
          <w:szCs w:val="18"/>
          <w:lang w:val="en-GB"/>
        </w:rPr>
        <w:t xml:space="preserve">the presence of allele </w:t>
      </w:r>
      <w:r w:rsidRPr="00FC3411">
        <w:rPr>
          <w:rFonts w:eastAsia="Calibri" w:cs="Arial"/>
          <w:i/>
          <w:szCs w:val="18"/>
          <w:lang w:val="en-GB"/>
        </w:rPr>
        <w:t xml:space="preserve">Tm1 </w:t>
      </w:r>
      <w:r w:rsidRPr="00FC3411">
        <w:rPr>
          <w:rFonts w:eastAsia="Calibri" w:cs="Arial"/>
          <w:szCs w:val="18"/>
          <w:lang w:val="en-GB"/>
        </w:rPr>
        <w:t>from gene Tm1</w:t>
      </w:r>
      <w:r w:rsidRPr="00FC3411">
        <w:rPr>
          <w:rFonts w:eastAsia="Calibri" w:cs="Arial"/>
          <w:i/>
          <w:szCs w:val="18"/>
          <w:lang w:val="en-GB"/>
        </w:rPr>
        <w:t xml:space="preserve"> </w:t>
      </w:r>
      <w:r w:rsidRPr="00FC3411">
        <w:rPr>
          <w:rFonts w:eastAsia="Calibri" w:cs="Arial"/>
          <w:szCs w:val="18"/>
          <w:lang w:val="en-GB"/>
        </w:rPr>
        <w:t xml:space="preserve">or alleles </w:t>
      </w:r>
      <w:r w:rsidRPr="00FC3411">
        <w:rPr>
          <w:rFonts w:eastAsia="Calibri" w:cs="Arial"/>
          <w:i/>
          <w:szCs w:val="18"/>
          <w:lang w:val="en-GB"/>
        </w:rPr>
        <w:t xml:space="preserve">Tm2 </w:t>
      </w:r>
      <w:r w:rsidRPr="00FC3411">
        <w:rPr>
          <w:rFonts w:eastAsia="Calibri" w:cs="Arial"/>
          <w:szCs w:val="18"/>
          <w:lang w:val="en-GB"/>
        </w:rPr>
        <w:t xml:space="preserve">or </w:t>
      </w:r>
      <w:r w:rsidRPr="00FC3411">
        <w:rPr>
          <w:rFonts w:eastAsia="Calibri" w:cs="Arial"/>
          <w:i/>
          <w:szCs w:val="18"/>
          <w:lang w:val="en-GB"/>
        </w:rPr>
        <w:t>Tm2</w:t>
      </w:r>
      <w:r w:rsidRPr="00FC3411">
        <w:rPr>
          <w:rFonts w:eastAsia="Calibri" w:cs="Arial"/>
          <w:i/>
          <w:szCs w:val="18"/>
          <w:vertAlign w:val="superscript"/>
          <w:lang w:val="en-GB"/>
        </w:rPr>
        <w:t xml:space="preserve">2  </w:t>
      </w:r>
      <w:r w:rsidRPr="00FC3411">
        <w:rPr>
          <w:rFonts w:eastAsia="Calibri" w:cs="Arial"/>
          <w:szCs w:val="18"/>
          <w:lang w:val="en-GB"/>
        </w:rPr>
        <w:t>from gene Tm2.</w:t>
      </w:r>
    </w:p>
    <w:p w:rsidR="00A07606" w:rsidRPr="00FC3411" w:rsidRDefault="00A07606" w:rsidP="00A07606">
      <w:pPr>
        <w:autoSpaceDE w:val="0"/>
        <w:autoSpaceDN w:val="0"/>
        <w:adjustRightInd w:val="0"/>
        <w:rPr>
          <w:rFonts w:eastAsia="Calibri" w:cs="Arial"/>
          <w:szCs w:val="18"/>
          <w:lang w:val="en-GB"/>
        </w:rPr>
      </w:pPr>
    </w:p>
    <w:p w:rsidR="00A07606" w:rsidRPr="00FC3411" w:rsidRDefault="00A07606" w:rsidP="00A07606">
      <w:pPr>
        <w:autoSpaceDE w:val="0"/>
        <w:autoSpaceDN w:val="0"/>
        <w:adjustRightInd w:val="0"/>
        <w:rPr>
          <w:rFonts w:eastAsia="Calibri" w:cs="Arial"/>
          <w:lang w:val="en-GB"/>
        </w:rPr>
      </w:pPr>
      <w:r w:rsidRPr="00FC3411">
        <w:rPr>
          <w:rFonts w:eastAsia="Calibri" w:cs="Arial"/>
          <w:lang w:val="en-GB"/>
        </w:rPr>
        <w:t>2.</w:t>
      </w:r>
      <w:r w:rsidRPr="00FC3411">
        <w:rPr>
          <w:rFonts w:eastAsia="Calibri" w:cs="Arial"/>
          <w:lang w:val="en-GB"/>
        </w:rPr>
        <w:tab/>
        <w:t xml:space="preserve">A single marker identifies the presence of resistance alleles </w:t>
      </w:r>
      <w:r w:rsidRPr="00FC3411">
        <w:rPr>
          <w:rFonts w:eastAsia="Calibri" w:cs="Arial"/>
          <w:i/>
          <w:lang w:val="en-GB"/>
        </w:rPr>
        <w:t>Tm2</w:t>
      </w:r>
      <w:r w:rsidRPr="00FC3411">
        <w:rPr>
          <w:rFonts w:eastAsia="Calibri" w:cs="Arial"/>
          <w:lang w:val="en-GB"/>
        </w:rPr>
        <w:t xml:space="preserve"> and </w:t>
      </w:r>
      <w:r w:rsidRPr="00FC3411">
        <w:rPr>
          <w:rFonts w:eastAsia="Calibri" w:cs="Arial"/>
          <w:i/>
          <w:lang w:val="en-GB"/>
        </w:rPr>
        <w:t>Tm2</w:t>
      </w:r>
      <w:r w:rsidRPr="00FC3411">
        <w:rPr>
          <w:rFonts w:eastAsia="Calibri" w:cs="Arial"/>
          <w:i/>
          <w:vertAlign w:val="superscript"/>
          <w:lang w:val="en-GB"/>
        </w:rPr>
        <w:t>2</w:t>
      </w:r>
      <w:r w:rsidRPr="00FC3411">
        <w:rPr>
          <w:rFonts w:eastAsia="Calibri" w:cs="Arial"/>
          <w:lang w:val="en-GB"/>
        </w:rPr>
        <w:t xml:space="preserve"> and the susceptible allele </w:t>
      </w:r>
      <w:r w:rsidRPr="00FC3411">
        <w:rPr>
          <w:rFonts w:eastAsia="Calibri" w:cs="Arial"/>
          <w:i/>
          <w:lang w:val="en-GB"/>
        </w:rPr>
        <w:t>tm2</w:t>
      </w:r>
      <w:r w:rsidRPr="00FC3411">
        <w:rPr>
          <w:rFonts w:eastAsia="Calibri" w:cs="Arial"/>
          <w:lang w:val="en-GB"/>
        </w:rPr>
        <w:t xml:space="preserve">.  Marker </w:t>
      </w:r>
      <w:r w:rsidRPr="00FC3411">
        <w:rPr>
          <w:rFonts w:eastAsia="Calibri" w:cs="Arial"/>
          <w:i/>
          <w:lang w:val="en-GB"/>
        </w:rPr>
        <w:t>Tm2/2</w:t>
      </w:r>
      <w:r w:rsidRPr="00FC3411">
        <w:rPr>
          <w:rFonts w:eastAsia="Calibri" w:cs="Arial"/>
          <w:i/>
          <w:vertAlign w:val="superscript"/>
          <w:lang w:val="en-GB"/>
        </w:rPr>
        <w:t>2</w:t>
      </w:r>
      <w:r w:rsidRPr="00FC3411">
        <w:rPr>
          <w:rFonts w:eastAsia="Calibri" w:cs="Arial"/>
          <w:lang w:val="en-GB"/>
        </w:rPr>
        <w:t xml:space="preserve"> is positioned in the protein coding sequence.</w:t>
      </w:r>
    </w:p>
    <w:p w:rsidR="00A07606" w:rsidRPr="00FC3411" w:rsidRDefault="00A07606" w:rsidP="00A07606">
      <w:pPr>
        <w:autoSpaceDE w:val="0"/>
        <w:autoSpaceDN w:val="0"/>
        <w:adjustRightInd w:val="0"/>
        <w:rPr>
          <w:rFonts w:eastAsia="Calibri" w:cs="Arial"/>
          <w:lang w:val="en-GB"/>
        </w:rPr>
      </w:pPr>
    </w:p>
    <w:p w:rsidR="00A07606" w:rsidRPr="00FC3411" w:rsidRDefault="00A07606" w:rsidP="00A07606">
      <w:pPr>
        <w:autoSpaceDE w:val="0"/>
        <w:autoSpaceDN w:val="0"/>
        <w:adjustRightInd w:val="0"/>
        <w:rPr>
          <w:rFonts w:eastAsia="Calibri" w:cs="Arial"/>
          <w:lang w:val="en-GB"/>
        </w:rPr>
      </w:pPr>
      <w:r w:rsidRPr="00FC3411">
        <w:rPr>
          <w:rFonts w:eastAsia="Calibri" w:cs="Arial"/>
          <w:lang w:val="en-GB"/>
        </w:rPr>
        <w:t>3.</w:t>
      </w:r>
      <w:r w:rsidRPr="00FC3411">
        <w:rPr>
          <w:rFonts w:eastAsia="Calibri" w:cs="Arial"/>
          <w:lang w:val="en-GB"/>
        </w:rPr>
        <w:tab/>
        <w:t xml:space="preserve">A variety will be resistant to </w:t>
      </w:r>
      <w:proofErr w:type="spellStart"/>
      <w:r w:rsidRPr="00FC3411">
        <w:rPr>
          <w:rFonts w:eastAsia="Calibri" w:cs="Arial"/>
          <w:lang w:val="en-GB"/>
        </w:rPr>
        <w:t>ToMV</w:t>
      </w:r>
      <w:proofErr w:type="spellEnd"/>
      <w:r w:rsidRPr="00FC3411">
        <w:rPr>
          <w:rFonts w:eastAsia="Calibri" w:cs="Arial"/>
          <w:lang w:val="en-GB"/>
        </w:rPr>
        <w:t xml:space="preserve"> Strain 0 if resistance allele </w:t>
      </w:r>
      <w:r w:rsidRPr="00FC3411">
        <w:rPr>
          <w:rFonts w:eastAsia="Calibri" w:cs="Arial"/>
          <w:i/>
          <w:lang w:val="en-GB"/>
        </w:rPr>
        <w:t xml:space="preserve">Tm2 </w:t>
      </w:r>
      <w:r w:rsidRPr="00FC3411">
        <w:rPr>
          <w:rFonts w:eastAsia="Calibri" w:cs="Arial"/>
          <w:lang w:val="en-GB"/>
        </w:rPr>
        <w:t xml:space="preserve">or resistance allele </w:t>
      </w:r>
      <w:r w:rsidRPr="00FC3411">
        <w:rPr>
          <w:rFonts w:eastAsia="Calibri" w:cs="Arial"/>
          <w:i/>
          <w:lang w:val="en-GB"/>
        </w:rPr>
        <w:t>Tm2</w:t>
      </w:r>
      <w:r w:rsidRPr="00FC3411">
        <w:rPr>
          <w:rFonts w:eastAsia="Calibri" w:cs="Arial"/>
          <w:i/>
          <w:vertAlign w:val="superscript"/>
          <w:lang w:val="en-GB"/>
        </w:rPr>
        <w:t>2</w:t>
      </w:r>
      <w:r w:rsidRPr="00FC3411">
        <w:rPr>
          <w:rFonts w:eastAsia="Calibri" w:cs="Arial"/>
          <w:lang w:val="en-GB"/>
        </w:rPr>
        <w:t xml:space="preserve"> is present.  </w:t>
      </w:r>
    </w:p>
    <w:p w:rsidR="00A07606" w:rsidRPr="00FC3411" w:rsidRDefault="00A07606" w:rsidP="00A07606">
      <w:pPr>
        <w:autoSpaceDE w:val="0"/>
        <w:autoSpaceDN w:val="0"/>
        <w:adjustRightInd w:val="0"/>
        <w:rPr>
          <w:rFonts w:eastAsia="Calibri" w:cs="Arial"/>
          <w:lang w:val="en-GB"/>
        </w:rPr>
      </w:pPr>
    </w:p>
    <w:p w:rsidR="00A07606" w:rsidRPr="00FC3411" w:rsidRDefault="00A07606" w:rsidP="00A07606">
      <w:pPr>
        <w:autoSpaceDE w:val="0"/>
        <w:autoSpaceDN w:val="0"/>
        <w:adjustRightInd w:val="0"/>
        <w:rPr>
          <w:rFonts w:eastAsia="Calibri" w:cs="Arial"/>
          <w:lang w:val="en-GB"/>
        </w:rPr>
      </w:pPr>
      <w:r w:rsidRPr="00FC3411">
        <w:rPr>
          <w:rFonts w:eastAsia="Calibri" w:cs="Arial"/>
          <w:lang w:val="en-GB"/>
        </w:rPr>
        <w:t>4.</w:t>
      </w:r>
      <w:r w:rsidRPr="00FC3411">
        <w:rPr>
          <w:rFonts w:eastAsia="Calibri" w:cs="Arial"/>
          <w:lang w:val="en-GB"/>
        </w:rPr>
        <w:tab/>
        <w:t xml:space="preserve">A variety with homozygous allele </w:t>
      </w:r>
      <w:r w:rsidRPr="00FC3411">
        <w:rPr>
          <w:rFonts w:eastAsia="Calibri" w:cs="Arial"/>
          <w:i/>
          <w:lang w:val="en-GB"/>
        </w:rPr>
        <w:t>tm2</w:t>
      </w:r>
      <w:r w:rsidRPr="00FC3411">
        <w:rPr>
          <w:rFonts w:eastAsia="Calibri" w:cs="Arial"/>
          <w:lang w:val="en-GB"/>
        </w:rPr>
        <w:t xml:space="preserve"> will be susceptible to </w:t>
      </w:r>
      <w:proofErr w:type="spellStart"/>
      <w:r w:rsidRPr="00FC3411">
        <w:rPr>
          <w:rFonts w:eastAsia="Calibri" w:cs="Arial"/>
          <w:lang w:val="en-GB"/>
        </w:rPr>
        <w:t>ToMV</w:t>
      </w:r>
      <w:proofErr w:type="spellEnd"/>
      <w:r w:rsidRPr="00FC3411">
        <w:rPr>
          <w:rFonts w:eastAsia="Calibri" w:cs="Arial"/>
          <w:lang w:val="en-GB"/>
        </w:rPr>
        <w:t xml:space="preserve"> Strain 0 unless resistance is coded by resistance allele </w:t>
      </w:r>
      <w:r w:rsidRPr="00FC3411">
        <w:rPr>
          <w:rFonts w:eastAsia="Calibri" w:cs="Arial"/>
          <w:i/>
          <w:lang w:val="en-GB"/>
        </w:rPr>
        <w:t>Tm1</w:t>
      </w:r>
      <w:r w:rsidRPr="00FC3411">
        <w:rPr>
          <w:rFonts w:eastAsia="Calibri" w:cs="Arial"/>
          <w:lang w:val="en-GB"/>
        </w:rPr>
        <w:t xml:space="preserve">.  In this case, resistance to </w:t>
      </w:r>
      <w:proofErr w:type="spellStart"/>
      <w:r w:rsidRPr="00FC3411">
        <w:rPr>
          <w:rFonts w:eastAsia="Calibri" w:cs="Arial"/>
          <w:lang w:val="en-GB"/>
        </w:rPr>
        <w:t>ToMV</w:t>
      </w:r>
      <w:proofErr w:type="spellEnd"/>
      <w:r w:rsidRPr="00FC3411">
        <w:rPr>
          <w:rFonts w:eastAsia="Calibri" w:cs="Arial"/>
          <w:lang w:val="en-GB"/>
        </w:rPr>
        <w:t xml:space="preserve"> Strain 0 cannot be assessed by a DNA marker test because there is no reliable marker for gene Tm1.  </w:t>
      </w:r>
    </w:p>
    <w:p w:rsidR="00A07606" w:rsidRPr="00FC3411" w:rsidRDefault="00A07606" w:rsidP="00A07606">
      <w:pPr>
        <w:autoSpaceDE w:val="0"/>
        <w:autoSpaceDN w:val="0"/>
        <w:adjustRightInd w:val="0"/>
        <w:rPr>
          <w:rFonts w:eastAsia="Calibri" w:cs="Arial"/>
        </w:rPr>
      </w:pPr>
    </w:p>
    <w:p w:rsidR="00A07606" w:rsidRPr="00FC3411" w:rsidRDefault="00A07606" w:rsidP="00A07606">
      <w:pPr>
        <w:keepNext/>
        <w:autoSpaceDE w:val="0"/>
        <w:autoSpaceDN w:val="0"/>
        <w:adjustRightInd w:val="0"/>
        <w:jc w:val="center"/>
        <w:rPr>
          <w:rFonts w:eastAsia="Calibri" w:cs="Arial"/>
          <w:lang w:val="en-GB"/>
        </w:rPr>
      </w:pPr>
      <w:r w:rsidRPr="00FC3411">
        <w:rPr>
          <w:rFonts w:eastAsia="Calibri" w:cs="Arial"/>
          <w:lang w:val="en-GB"/>
        </w:rPr>
        <w:t>Table 1:  Schematic overview of resistance to Tomato mosaic virus and resistance alleles:</w:t>
      </w:r>
    </w:p>
    <w:p w:rsidR="00A07606" w:rsidRPr="00FC3411" w:rsidRDefault="00A07606" w:rsidP="00A07606">
      <w:pPr>
        <w:keepNext/>
        <w:autoSpaceDE w:val="0"/>
        <w:autoSpaceDN w:val="0"/>
        <w:adjustRightInd w:val="0"/>
        <w:rPr>
          <w:rFonts w:eastAsia="Calibri" w:cs="Arial"/>
          <w:szCs w:val="19"/>
          <w:lang w:val="en-GB"/>
        </w:rPr>
      </w:pPr>
    </w:p>
    <w:tbl>
      <w:tblPr>
        <w:tblStyle w:val="TableGrid"/>
        <w:tblW w:w="8505" w:type="dxa"/>
        <w:tblInd w:w="562" w:type="dxa"/>
        <w:tblLayout w:type="fixed"/>
        <w:tblLook w:val="04A0" w:firstRow="1" w:lastRow="0" w:firstColumn="1" w:lastColumn="0" w:noHBand="0" w:noVBand="1"/>
      </w:tblPr>
      <w:tblGrid>
        <w:gridCol w:w="1701"/>
        <w:gridCol w:w="1985"/>
        <w:gridCol w:w="2977"/>
        <w:gridCol w:w="1842"/>
      </w:tblGrid>
      <w:tr w:rsidR="00A07606" w:rsidRPr="00FC3411" w:rsidTr="00A50AF3">
        <w:tc>
          <w:tcPr>
            <w:tcW w:w="1701" w:type="dxa"/>
            <w:vAlign w:val="center"/>
          </w:tcPr>
          <w:p w:rsidR="00A07606" w:rsidRPr="00FC3411" w:rsidRDefault="00A07606" w:rsidP="00A50AF3">
            <w:pPr>
              <w:keepNext/>
              <w:autoSpaceDE w:val="0"/>
              <w:autoSpaceDN w:val="0"/>
              <w:adjustRightInd w:val="0"/>
              <w:jc w:val="left"/>
              <w:rPr>
                <w:rFonts w:cs="Arial"/>
                <w:szCs w:val="19"/>
              </w:rPr>
            </w:pPr>
            <w:r w:rsidRPr="00FC3411">
              <w:rPr>
                <w:rFonts w:cs="Arial"/>
                <w:szCs w:val="19"/>
              </w:rPr>
              <w:t>Genetic background</w:t>
            </w:r>
          </w:p>
        </w:tc>
        <w:tc>
          <w:tcPr>
            <w:tcW w:w="1985" w:type="dxa"/>
            <w:vAlign w:val="center"/>
          </w:tcPr>
          <w:p w:rsidR="00A07606" w:rsidRPr="00FC3411" w:rsidRDefault="00A07606" w:rsidP="00A50AF3">
            <w:pPr>
              <w:keepNext/>
              <w:autoSpaceDE w:val="0"/>
              <w:autoSpaceDN w:val="0"/>
              <w:adjustRightInd w:val="0"/>
              <w:jc w:val="left"/>
              <w:rPr>
                <w:rFonts w:cs="Arial"/>
                <w:i/>
                <w:szCs w:val="19"/>
              </w:rPr>
            </w:pPr>
            <w:r w:rsidRPr="00FC3411">
              <w:rPr>
                <w:rFonts w:cs="Arial"/>
                <w:i/>
                <w:szCs w:val="19"/>
              </w:rPr>
              <w:t xml:space="preserve">tm2/tm2 </w:t>
            </w:r>
          </w:p>
          <w:p w:rsidR="00A07606" w:rsidRPr="00FC3411" w:rsidRDefault="00A07606" w:rsidP="00A50AF3">
            <w:pPr>
              <w:keepNext/>
              <w:autoSpaceDE w:val="0"/>
              <w:autoSpaceDN w:val="0"/>
              <w:adjustRightInd w:val="0"/>
              <w:jc w:val="left"/>
              <w:rPr>
                <w:rFonts w:cs="Arial"/>
                <w:szCs w:val="19"/>
              </w:rPr>
            </w:pPr>
          </w:p>
          <w:p w:rsidR="00A07606" w:rsidRPr="00FC3411" w:rsidRDefault="00A07606" w:rsidP="00A50AF3">
            <w:pPr>
              <w:keepNext/>
              <w:autoSpaceDE w:val="0"/>
              <w:autoSpaceDN w:val="0"/>
              <w:adjustRightInd w:val="0"/>
              <w:jc w:val="left"/>
              <w:rPr>
                <w:rFonts w:cs="Arial"/>
                <w:szCs w:val="19"/>
              </w:rPr>
            </w:pPr>
            <w:r w:rsidRPr="00FC3411">
              <w:rPr>
                <w:rFonts w:cs="Arial"/>
                <w:szCs w:val="19"/>
              </w:rPr>
              <w:t xml:space="preserve">and </w:t>
            </w:r>
          </w:p>
          <w:p w:rsidR="00A07606" w:rsidRPr="00FC3411" w:rsidRDefault="00A07606" w:rsidP="00A50AF3">
            <w:pPr>
              <w:keepNext/>
              <w:autoSpaceDE w:val="0"/>
              <w:autoSpaceDN w:val="0"/>
              <w:adjustRightInd w:val="0"/>
              <w:jc w:val="left"/>
              <w:rPr>
                <w:rFonts w:cs="Arial"/>
                <w:szCs w:val="19"/>
              </w:rPr>
            </w:pPr>
          </w:p>
          <w:p w:rsidR="00A07606" w:rsidRPr="00FC3411" w:rsidRDefault="00A07606" w:rsidP="00A50AF3">
            <w:pPr>
              <w:keepNext/>
              <w:autoSpaceDE w:val="0"/>
              <w:autoSpaceDN w:val="0"/>
              <w:adjustRightInd w:val="0"/>
              <w:jc w:val="left"/>
              <w:rPr>
                <w:rFonts w:cs="Arial"/>
                <w:i/>
                <w:szCs w:val="19"/>
              </w:rPr>
            </w:pPr>
            <w:r w:rsidRPr="00FC3411">
              <w:rPr>
                <w:rFonts w:cs="Arial"/>
                <w:i/>
                <w:szCs w:val="19"/>
              </w:rPr>
              <w:t>tm1/tm1</w:t>
            </w:r>
          </w:p>
          <w:p w:rsidR="00A07606" w:rsidRPr="00FC3411" w:rsidRDefault="00A07606" w:rsidP="00A50AF3">
            <w:pPr>
              <w:keepNext/>
              <w:autoSpaceDE w:val="0"/>
              <w:autoSpaceDN w:val="0"/>
              <w:adjustRightInd w:val="0"/>
              <w:jc w:val="left"/>
              <w:rPr>
                <w:rFonts w:cs="Arial"/>
                <w:szCs w:val="19"/>
              </w:rPr>
            </w:pPr>
          </w:p>
        </w:tc>
        <w:tc>
          <w:tcPr>
            <w:tcW w:w="2977" w:type="dxa"/>
            <w:vAlign w:val="center"/>
          </w:tcPr>
          <w:p w:rsidR="00A07606" w:rsidRPr="00FC3411" w:rsidRDefault="00A07606" w:rsidP="00A50AF3">
            <w:pPr>
              <w:keepNext/>
              <w:autoSpaceDE w:val="0"/>
              <w:autoSpaceDN w:val="0"/>
              <w:adjustRightInd w:val="0"/>
              <w:jc w:val="left"/>
              <w:rPr>
                <w:rFonts w:cs="Arial"/>
                <w:szCs w:val="19"/>
              </w:rPr>
            </w:pPr>
            <w:r w:rsidRPr="00FC3411">
              <w:rPr>
                <w:rFonts w:cs="Arial"/>
                <w:i/>
                <w:szCs w:val="19"/>
              </w:rPr>
              <w:t>Tm2/Tm2 or Tm2</w:t>
            </w:r>
            <w:r w:rsidRPr="00FC3411">
              <w:rPr>
                <w:rFonts w:cs="Arial"/>
                <w:i/>
                <w:szCs w:val="19"/>
                <w:vertAlign w:val="superscript"/>
              </w:rPr>
              <w:t>2</w:t>
            </w:r>
            <w:r w:rsidRPr="00FC3411">
              <w:rPr>
                <w:rFonts w:cs="Arial"/>
                <w:i/>
                <w:szCs w:val="19"/>
              </w:rPr>
              <w:t>/Tm2</w:t>
            </w:r>
            <w:r w:rsidRPr="00FC3411">
              <w:rPr>
                <w:rFonts w:cs="Arial"/>
                <w:i/>
                <w:szCs w:val="19"/>
                <w:vertAlign w:val="superscript"/>
              </w:rPr>
              <w:t>2</w:t>
            </w:r>
            <w:r w:rsidRPr="00FC3411">
              <w:rPr>
                <w:rFonts w:cs="Arial"/>
                <w:szCs w:val="19"/>
              </w:rPr>
              <w:t xml:space="preserve"> or </w:t>
            </w:r>
            <w:r w:rsidRPr="00FC3411">
              <w:rPr>
                <w:rFonts w:cs="Arial"/>
                <w:i/>
                <w:szCs w:val="19"/>
              </w:rPr>
              <w:t>Tm2</w:t>
            </w:r>
            <w:r w:rsidRPr="00FC3411">
              <w:rPr>
                <w:rFonts w:cs="Arial"/>
                <w:i/>
                <w:szCs w:val="19"/>
                <w:vertAlign w:val="superscript"/>
              </w:rPr>
              <w:t>2</w:t>
            </w:r>
            <w:r w:rsidRPr="00FC3411">
              <w:rPr>
                <w:rFonts w:cs="Arial"/>
                <w:i/>
                <w:szCs w:val="19"/>
              </w:rPr>
              <w:t>/Tm2</w:t>
            </w:r>
            <w:r w:rsidRPr="00FC3411">
              <w:rPr>
                <w:rFonts w:cs="Arial"/>
                <w:szCs w:val="19"/>
              </w:rPr>
              <w:t xml:space="preserve"> or </w:t>
            </w:r>
          </w:p>
          <w:p w:rsidR="00A07606" w:rsidRPr="00FC3411" w:rsidRDefault="00A07606" w:rsidP="00A50AF3">
            <w:pPr>
              <w:keepNext/>
              <w:autoSpaceDE w:val="0"/>
              <w:autoSpaceDN w:val="0"/>
              <w:adjustRightInd w:val="0"/>
              <w:jc w:val="left"/>
              <w:rPr>
                <w:rFonts w:cs="Arial"/>
                <w:i/>
                <w:szCs w:val="19"/>
              </w:rPr>
            </w:pPr>
            <w:r w:rsidRPr="00FC3411">
              <w:rPr>
                <w:rFonts w:cs="Arial"/>
                <w:i/>
                <w:szCs w:val="19"/>
              </w:rPr>
              <w:t>Tm2/tm2 or Tm2</w:t>
            </w:r>
            <w:r w:rsidRPr="00FC3411">
              <w:rPr>
                <w:rFonts w:cs="Arial"/>
                <w:i/>
                <w:szCs w:val="19"/>
                <w:vertAlign w:val="superscript"/>
              </w:rPr>
              <w:t>2</w:t>
            </w:r>
            <w:r w:rsidRPr="00FC3411">
              <w:rPr>
                <w:rFonts w:cs="Arial"/>
                <w:i/>
                <w:szCs w:val="19"/>
              </w:rPr>
              <w:t>/tm2</w:t>
            </w:r>
          </w:p>
          <w:p w:rsidR="00A07606" w:rsidRPr="00FC3411" w:rsidRDefault="00A07606" w:rsidP="00A50AF3">
            <w:pPr>
              <w:keepNext/>
              <w:autoSpaceDE w:val="0"/>
              <w:autoSpaceDN w:val="0"/>
              <w:adjustRightInd w:val="0"/>
              <w:jc w:val="left"/>
              <w:rPr>
                <w:rFonts w:cs="Arial"/>
                <w:szCs w:val="19"/>
              </w:rPr>
            </w:pPr>
          </w:p>
          <w:p w:rsidR="00A07606" w:rsidRPr="00FC3411" w:rsidRDefault="00A07606" w:rsidP="00A50AF3">
            <w:pPr>
              <w:keepNext/>
              <w:autoSpaceDE w:val="0"/>
              <w:autoSpaceDN w:val="0"/>
              <w:adjustRightInd w:val="0"/>
              <w:jc w:val="left"/>
              <w:rPr>
                <w:rFonts w:cs="Arial"/>
                <w:szCs w:val="19"/>
              </w:rPr>
            </w:pPr>
            <w:r w:rsidRPr="00FC3411">
              <w:rPr>
                <w:rFonts w:cs="Arial"/>
                <w:szCs w:val="19"/>
              </w:rPr>
              <w:t xml:space="preserve">and </w:t>
            </w:r>
          </w:p>
          <w:p w:rsidR="00A07606" w:rsidRPr="00FC3411" w:rsidRDefault="00A07606" w:rsidP="00A50AF3">
            <w:pPr>
              <w:keepNext/>
              <w:autoSpaceDE w:val="0"/>
              <w:autoSpaceDN w:val="0"/>
              <w:adjustRightInd w:val="0"/>
              <w:jc w:val="left"/>
              <w:rPr>
                <w:rFonts w:cs="Arial"/>
                <w:szCs w:val="19"/>
              </w:rPr>
            </w:pPr>
          </w:p>
          <w:p w:rsidR="00A07606" w:rsidRPr="00FC3411" w:rsidRDefault="00A07606" w:rsidP="00A50AF3">
            <w:pPr>
              <w:keepNext/>
              <w:autoSpaceDE w:val="0"/>
              <w:autoSpaceDN w:val="0"/>
              <w:adjustRightInd w:val="0"/>
              <w:spacing w:before="60"/>
              <w:jc w:val="left"/>
              <w:rPr>
                <w:rFonts w:cs="Arial"/>
                <w:szCs w:val="19"/>
              </w:rPr>
            </w:pPr>
            <w:r w:rsidRPr="00FC3411">
              <w:rPr>
                <w:rFonts w:cs="Arial"/>
                <w:i/>
                <w:szCs w:val="19"/>
              </w:rPr>
              <w:t>Tm1/Tm1</w:t>
            </w:r>
            <w:r w:rsidRPr="00FC3411">
              <w:rPr>
                <w:rFonts w:cs="Arial"/>
                <w:szCs w:val="19"/>
              </w:rPr>
              <w:t xml:space="preserve"> or </w:t>
            </w:r>
            <w:r w:rsidRPr="00FC3411">
              <w:rPr>
                <w:rFonts w:cs="Arial"/>
                <w:i/>
                <w:szCs w:val="19"/>
              </w:rPr>
              <w:t>Tm1/tm1</w:t>
            </w:r>
            <w:r w:rsidRPr="00FC3411">
              <w:rPr>
                <w:rFonts w:cs="Arial"/>
                <w:szCs w:val="19"/>
              </w:rPr>
              <w:t xml:space="preserve"> or </w:t>
            </w:r>
            <w:r w:rsidRPr="00FC3411">
              <w:rPr>
                <w:rFonts w:cs="Arial"/>
                <w:i/>
                <w:szCs w:val="19"/>
              </w:rPr>
              <w:t>tm1/tm1</w:t>
            </w:r>
          </w:p>
        </w:tc>
        <w:tc>
          <w:tcPr>
            <w:tcW w:w="1842" w:type="dxa"/>
            <w:vAlign w:val="center"/>
          </w:tcPr>
          <w:p w:rsidR="00A07606" w:rsidRPr="00FC3411" w:rsidRDefault="00A07606" w:rsidP="00A50AF3">
            <w:pPr>
              <w:keepNext/>
              <w:autoSpaceDE w:val="0"/>
              <w:autoSpaceDN w:val="0"/>
              <w:adjustRightInd w:val="0"/>
              <w:jc w:val="left"/>
              <w:rPr>
                <w:rFonts w:cs="Arial"/>
                <w:i/>
                <w:szCs w:val="19"/>
              </w:rPr>
            </w:pPr>
            <w:r w:rsidRPr="00FC3411">
              <w:rPr>
                <w:rFonts w:cs="Arial"/>
                <w:i/>
                <w:szCs w:val="19"/>
              </w:rPr>
              <w:t xml:space="preserve">tm2/tm2 </w:t>
            </w:r>
          </w:p>
          <w:p w:rsidR="00A07606" w:rsidRPr="00FC3411" w:rsidRDefault="00A07606" w:rsidP="00A50AF3">
            <w:pPr>
              <w:keepNext/>
              <w:autoSpaceDE w:val="0"/>
              <w:autoSpaceDN w:val="0"/>
              <w:adjustRightInd w:val="0"/>
              <w:jc w:val="left"/>
              <w:rPr>
                <w:rFonts w:cs="Arial"/>
                <w:szCs w:val="19"/>
              </w:rPr>
            </w:pPr>
          </w:p>
          <w:p w:rsidR="00A07606" w:rsidRPr="00FC3411" w:rsidRDefault="00A07606" w:rsidP="00A50AF3">
            <w:pPr>
              <w:keepNext/>
              <w:autoSpaceDE w:val="0"/>
              <w:autoSpaceDN w:val="0"/>
              <w:adjustRightInd w:val="0"/>
              <w:jc w:val="left"/>
              <w:rPr>
                <w:rFonts w:cs="Arial"/>
                <w:szCs w:val="19"/>
              </w:rPr>
            </w:pPr>
            <w:r w:rsidRPr="00FC3411">
              <w:rPr>
                <w:rFonts w:cs="Arial"/>
                <w:szCs w:val="19"/>
              </w:rPr>
              <w:t>and</w:t>
            </w:r>
          </w:p>
          <w:p w:rsidR="00A07606" w:rsidRPr="00FC3411" w:rsidRDefault="00A07606" w:rsidP="00A50AF3">
            <w:pPr>
              <w:keepNext/>
              <w:autoSpaceDE w:val="0"/>
              <w:autoSpaceDN w:val="0"/>
              <w:adjustRightInd w:val="0"/>
              <w:jc w:val="left"/>
              <w:rPr>
                <w:rFonts w:cs="Arial"/>
                <w:szCs w:val="19"/>
              </w:rPr>
            </w:pPr>
          </w:p>
          <w:p w:rsidR="00A07606" w:rsidRPr="00FC3411" w:rsidRDefault="00A07606" w:rsidP="00A50AF3">
            <w:pPr>
              <w:keepNext/>
              <w:autoSpaceDE w:val="0"/>
              <w:autoSpaceDN w:val="0"/>
              <w:adjustRightInd w:val="0"/>
              <w:jc w:val="left"/>
              <w:rPr>
                <w:rFonts w:cs="Arial"/>
                <w:i/>
                <w:szCs w:val="19"/>
              </w:rPr>
            </w:pPr>
            <w:r w:rsidRPr="00FC3411">
              <w:rPr>
                <w:rFonts w:cs="Arial"/>
                <w:i/>
                <w:szCs w:val="19"/>
              </w:rPr>
              <w:t>Tm1/Tm1</w:t>
            </w:r>
            <w:r w:rsidRPr="00FC3411">
              <w:rPr>
                <w:rFonts w:cs="Arial"/>
                <w:szCs w:val="19"/>
              </w:rPr>
              <w:t xml:space="preserve"> or </w:t>
            </w:r>
            <w:r w:rsidRPr="00FC3411">
              <w:rPr>
                <w:rFonts w:cs="Arial"/>
                <w:i/>
                <w:szCs w:val="19"/>
              </w:rPr>
              <w:t xml:space="preserve">Tm1/tm1 </w:t>
            </w:r>
          </w:p>
        </w:tc>
      </w:tr>
      <w:tr w:rsidR="00A07606" w:rsidRPr="00FC3411" w:rsidTr="00A50AF3">
        <w:trPr>
          <w:trHeight w:val="606"/>
        </w:trPr>
        <w:tc>
          <w:tcPr>
            <w:tcW w:w="1701" w:type="dxa"/>
            <w:vAlign w:val="center"/>
          </w:tcPr>
          <w:p w:rsidR="00A07606" w:rsidRPr="00FC3411" w:rsidRDefault="00A07606" w:rsidP="00A50AF3">
            <w:pPr>
              <w:autoSpaceDE w:val="0"/>
              <w:autoSpaceDN w:val="0"/>
              <w:adjustRightInd w:val="0"/>
              <w:jc w:val="left"/>
              <w:rPr>
                <w:rFonts w:cs="Arial"/>
                <w:szCs w:val="19"/>
              </w:rPr>
            </w:pPr>
            <w:r w:rsidRPr="00FC3411">
              <w:rPr>
                <w:rFonts w:cs="Arial"/>
                <w:szCs w:val="19"/>
              </w:rPr>
              <w:t xml:space="preserve">Marker </w:t>
            </w:r>
            <w:r w:rsidRPr="00FC3411">
              <w:rPr>
                <w:rFonts w:cs="Arial"/>
                <w:i/>
                <w:szCs w:val="19"/>
              </w:rPr>
              <w:t>Tm2/2</w:t>
            </w:r>
            <w:r w:rsidRPr="00FC3411">
              <w:rPr>
                <w:rFonts w:cs="Arial"/>
                <w:i/>
                <w:szCs w:val="19"/>
                <w:vertAlign w:val="superscript"/>
              </w:rPr>
              <w:t>2</w:t>
            </w:r>
          </w:p>
        </w:tc>
        <w:tc>
          <w:tcPr>
            <w:tcW w:w="1985" w:type="dxa"/>
            <w:vAlign w:val="center"/>
          </w:tcPr>
          <w:p w:rsidR="00A07606" w:rsidRPr="00FC3411" w:rsidRDefault="00A07606" w:rsidP="00A50AF3">
            <w:pPr>
              <w:autoSpaceDE w:val="0"/>
              <w:autoSpaceDN w:val="0"/>
              <w:adjustRightInd w:val="0"/>
              <w:jc w:val="left"/>
              <w:rPr>
                <w:rFonts w:cs="Arial"/>
                <w:szCs w:val="19"/>
              </w:rPr>
            </w:pPr>
            <w:r w:rsidRPr="00FC3411">
              <w:rPr>
                <w:rFonts w:cs="Arial"/>
                <w:szCs w:val="19"/>
              </w:rPr>
              <w:t>susceptible allele</w:t>
            </w:r>
          </w:p>
        </w:tc>
        <w:tc>
          <w:tcPr>
            <w:tcW w:w="2977" w:type="dxa"/>
            <w:vAlign w:val="center"/>
          </w:tcPr>
          <w:p w:rsidR="00A07606" w:rsidRPr="00FC3411" w:rsidRDefault="00A07606" w:rsidP="00A50AF3">
            <w:pPr>
              <w:autoSpaceDE w:val="0"/>
              <w:autoSpaceDN w:val="0"/>
              <w:adjustRightInd w:val="0"/>
              <w:jc w:val="left"/>
              <w:rPr>
                <w:rFonts w:cs="Arial"/>
                <w:szCs w:val="19"/>
              </w:rPr>
            </w:pPr>
            <w:r w:rsidRPr="00FC3411">
              <w:rPr>
                <w:rFonts w:cs="Arial"/>
                <w:szCs w:val="19"/>
              </w:rPr>
              <w:t>resistant allele</w:t>
            </w:r>
          </w:p>
        </w:tc>
        <w:tc>
          <w:tcPr>
            <w:tcW w:w="1842" w:type="dxa"/>
            <w:vAlign w:val="center"/>
          </w:tcPr>
          <w:p w:rsidR="00A07606" w:rsidRPr="00FC3411" w:rsidRDefault="00A07606" w:rsidP="00A50AF3">
            <w:pPr>
              <w:autoSpaceDE w:val="0"/>
              <w:autoSpaceDN w:val="0"/>
              <w:adjustRightInd w:val="0"/>
              <w:jc w:val="left"/>
              <w:rPr>
                <w:rFonts w:cs="Arial"/>
                <w:szCs w:val="19"/>
              </w:rPr>
            </w:pPr>
            <w:r w:rsidRPr="00FC3411">
              <w:rPr>
                <w:rFonts w:cs="Arial"/>
                <w:szCs w:val="19"/>
              </w:rPr>
              <w:t>susceptible allele</w:t>
            </w:r>
          </w:p>
        </w:tc>
      </w:tr>
      <w:tr w:rsidR="00A07606" w:rsidRPr="00FC3411" w:rsidTr="00A50AF3">
        <w:trPr>
          <w:trHeight w:val="558"/>
        </w:trPr>
        <w:tc>
          <w:tcPr>
            <w:tcW w:w="1701" w:type="dxa"/>
            <w:vAlign w:val="center"/>
          </w:tcPr>
          <w:p w:rsidR="00A07606" w:rsidRPr="00FC3411" w:rsidRDefault="00A07606" w:rsidP="00A50AF3">
            <w:pPr>
              <w:autoSpaceDE w:val="0"/>
              <w:autoSpaceDN w:val="0"/>
              <w:adjustRightInd w:val="0"/>
              <w:spacing w:before="120" w:after="120"/>
              <w:jc w:val="left"/>
              <w:rPr>
                <w:rFonts w:cs="Arial"/>
                <w:szCs w:val="19"/>
              </w:rPr>
            </w:pPr>
            <w:r w:rsidRPr="00FC3411">
              <w:rPr>
                <w:rFonts w:cs="Arial"/>
                <w:szCs w:val="19"/>
              </w:rPr>
              <w:t xml:space="preserve">Resistance to </w:t>
            </w:r>
            <w:proofErr w:type="spellStart"/>
            <w:r w:rsidRPr="00FC3411">
              <w:rPr>
                <w:rFonts w:cs="Arial"/>
                <w:szCs w:val="19"/>
              </w:rPr>
              <w:t>ToMV</w:t>
            </w:r>
            <w:proofErr w:type="spellEnd"/>
            <w:r w:rsidRPr="00FC3411">
              <w:rPr>
                <w:rFonts w:cs="Arial"/>
                <w:szCs w:val="19"/>
              </w:rPr>
              <w:t xml:space="preserve"> - Strain 0</w:t>
            </w:r>
          </w:p>
        </w:tc>
        <w:tc>
          <w:tcPr>
            <w:tcW w:w="1985" w:type="dxa"/>
            <w:vAlign w:val="center"/>
          </w:tcPr>
          <w:p w:rsidR="00A07606" w:rsidRPr="00FC3411" w:rsidRDefault="00A07606" w:rsidP="00A50AF3">
            <w:pPr>
              <w:autoSpaceDE w:val="0"/>
              <w:autoSpaceDN w:val="0"/>
              <w:adjustRightInd w:val="0"/>
              <w:jc w:val="left"/>
              <w:rPr>
                <w:rFonts w:cs="Arial"/>
                <w:szCs w:val="19"/>
              </w:rPr>
            </w:pPr>
            <w:r w:rsidRPr="00FC3411">
              <w:rPr>
                <w:rFonts w:cs="Arial"/>
                <w:szCs w:val="19"/>
              </w:rPr>
              <w:t>absent</w:t>
            </w:r>
          </w:p>
        </w:tc>
        <w:tc>
          <w:tcPr>
            <w:tcW w:w="2977" w:type="dxa"/>
            <w:vAlign w:val="center"/>
          </w:tcPr>
          <w:p w:rsidR="00A07606" w:rsidRPr="00FC3411" w:rsidRDefault="00A07606" w:rsidP="00A50AF3">
            <w:pPr>
              <w:autoSpaceDE w:val="0"/>
              <w:autoSpaceDN w:val="0"/>
              <w:adjustRightInd w:val="0"/>
              <w:jc w:val="left"/>
              <w:rPr>
                <w:rFonts w:cs="Arial"/>
                <w:szCs w:val="19"/>
              </w:rPr>
            </w:pPr>
            <w:r w:rsidRPr="00FC3411">
              <w:rPr>
                <w:rFonts w:cs="Arial"/>
                <w:szCs w:val="19"/>
              </w:rPr>
              <w:t>present</w:t>
            </w:r>
          </w:p>
        </w:tc>
        <w:tc>
          <w:tcPr>
            <w:tcW w:w="1842" w:type="dxa"/>
            <w:vAlign w:val="center"/>
          </w:tcPr>
          <w:p w:rsidR="00A07606" w:rsidRPr="00FC3411" w:rsidRDefault="00A07606" w:rsidP="00A50AF3">
            <w:pPr>
              <w:autoSpaceDE w:val="0"/>
              <w:autoSpaceDN w:val="0"/>
              <w:adjustRightInd w:val="0"/>
              <w:jc w:val="left"/>
              <w:rPr>
                <w:rFonts w:cs="Arial"/>
                <w:szCs w:val="19"/>
              </w:rPr>
            </w:pPr>
            <w:r w:rsidRPr="00FC3411">
              <w:rPr>
                <w:rFonts w:cs="Arial"/>
                <w:szCs w:val="19"/>
              </w:rPr>
              <w:t>present</w:t>
            </w:r>
          </w:p>
        </w:tc>
      </w:tr>
    </w:tbl>
    <w:p w:rsidR="00A07606" w:rsidRPr="00FC3411" w:rsidRDefault="00A07606" w:rsidP="00A07606">
      <w:pPr>
        <w:autoSpaceDE w:val="0"/>
        <w:autoSpaceDN w:val="0"/>
        <w:adjustRightInd w:val="0"/>
        <w:rPr>
          <w:rFonts w:eastAsia="Calibri" w:cs="Arial"/>
          <w:lang w:val="en-GB"/>
        </w:rPr>
      </w:pPr>
    </w:p>
    <w:p w:rsidR="00A07606" w:rsidRPr="00FC3411" w:rsidRDefault="00A07606" w:rsidP="00A07606">
      <w:pPr>
        <w:autoSpaceDE w:val="0"/>
        <w:autoSpaceDN w:val="0"/>
        <w:adjustRightInd w:val="0"/>
        <w:rPr>
          <w:rFonts w:eastAsia="Calibri" w:cs="Arial"/>
          <w:lang w:val="en-GB"/>
        </w:rPr>
      </w:pPr>
      <w:r w:rsidRPr="00FC3411">
        <w:rPr>
          <w:rFonts w:eastAsia="Calibri" w:cs="Arial"/>
          <w:lang w:val="en-GB"/>
        </w:rPr>
        <w:t>5.</w:t>
      </w:r>
      <w:r w:rsidRPr="00FC3411">
        <w:rPr>
          <w:rFonts w:eastAsia="Calibri" w:cs="Arial"/>
          <w:lang w:val="en-GB"/>
        </w:rPr>
        <w:tab/>
        <w:t xml:space="preserve">If a variety is claimed to be resistant to </w:t>
      </w:r>
      <w:proofErr w:type="spellStart"/>
      <w:r w:rsidRPr="00FC3411">
        <w:rPr>
          <w:rFonts w:eastAsia="Calibri" w:cs="Arial"/>
          <w:lang w:val="en-GB"/>
        </w:rPr>
        <w:t>ToMV</w:t>
      </w:r>
      <w:proofErr w:type="spellEnd"/>
      <w:r w:rsidRPr="00FC3411">
        <w:rPr>
          <w:rFonts w:eastAsia="Calibri" w:cs="Arial"/>
          <w:lang w:val="en-GB"/>
        </w:rPr>
        <w:t xml:space="preserve"> Strain 0, the DNA marker test may be performed.  In cases where the resistance is based on the presence of the allele </w:t>
      </w:r>
      <w:r w:rsidRPr="00FC3411">
        <w:rPr>
          <w:rFonts w:eastAsia="Calibri" w:cs="Arial"/>
          <w:i/>
          <w:lang w:val="en-GB"/>
        </w:rPr>
        <w:t xml:space="preserve">Tm2 </w:t>
      </w:r>
      <w:r w:rsidRPr="00FC3411">
        <w:rPr>
          <w:rFonts w:eastAsia="Calibri" w:cs="Arial"/>
          <w:lang w:val="en-GB"/>
        </w:rPr>
        <w:t xml:space="preserve">or </w:t>
      </w:r>
      <w:r w:rsidRPr="00FC3411">
        <w:rPr>
          <w:rFonts w:eastAsia="Calibri" w:cs="Arial"/>
          <w:i/>
          <w:lang w:val="en-GB"/>
        </w:rPr>
        <w:t>Tm2</w:t>
      </w:r>
      <w:r w:rsidRPr="00FC3411">
        <w:rPr>
          <w:rFonts w:eastAsia="Calibri" w:cs="Arial"/>
          <w:i/>
          <w:vertAlign w:val="superscript"/>
          <w:lang w:val="en-GB"/>
        </w:rPr>
        <w:t>2</w:t>
      </w:r>
      <w:r w:rsidRPr="00FC3411">
        <w:rPr>
          <w:rFonts w:eastAsia="Calibri" w:cs="Arial"/>
          <w:i/>
          <w:lang w:val="en-GB"/>
        </w:rPr>
        <w:t xml:space="preserve">, </w:t>
      </w:r>
      <w:r w:rsidRPr="00FC3411">
        <w:rPr>
          <w:rFonts w:eastAsia="Calibri" w:cs="Arial"/>
          <w:lang w:val="en-GB"/>
        </w:rPr>
        <w:t>the</w:t>
      </w:r>
      <w:r w:rsidRPr="00FC3411">
        <w:rPr>
          <w:rFonts w:eastAsia="Calibri" w:cs="Arial"/>
          <w:i/>
          <w:lang w:val="en-GB"/>
        </w:rPr>
        <w:t xml:space="preserve"> </w:t>
      </w:r>
      <w:r w:rsidRPr="00FC3411">
        <w:rPr>
          <w:rFonts w:eastAsia="Calibri" w:cs="Arial"/>
          <w:lang w:val="en-GB"/>
        </w:rPr>
        <w:t>DNA marker test could replace the traditional bioassay.</w:t>
      </w:r>
    </w:p>
    <w:p w:rsidR="00A07606" w:rsidRPr="00FC3411" w:rsidRDefault="00A07606" w:rsidP="00A07606">
      <w:pPr>
        <w:autoSpaceDE w:val="0"/>
        <w:autoSpaceDN w:val="0"/>
        <w:adjustRightInd w:val="0"/>
        <w:rPr>
          <w:rFonts w:eastAsia="Calibri" w:cs="Arial"/>
          <w:lang w:val="en-GB"/>
        </w:rPr>
      </w:pPr>
    </w:p>
    <w:p w:rsidR="00A07606" w:rsidRPr="00294C81" w:rsidRDefault="00A07606" w:rsidP="00A07606">
      <w:pPr>
        <w:autoSpaceDE w:val="0"/>
        <w:autoSpaceDN w:val="0"/>
        <w:adjustRightInd w:val="0"/>
        <w:rPr>
          <w:rFonts w:eastAsia="Calibri" w:cs="Arial"/>
          <w:lang w:val="en-GB"/>
        </w:rPr>
      </w:pPr>
      <w:r w:rsidRPr="00FC3411">
        <w:rPr>
          <w:rFonts w:eastAsia="Calibri" w:cs="Arial"/>
          <w:lang w:val="en-GB"/>
        </w:rPr>
        <w:t>6.</w:t>
      </w:r>
      <w:r w:rsidRPr="00FC3411">
        <w:rPr>
          <w:rFonts w:eastAsia="Calibri" w:cs="Arial"/>
          <w:lang w:val="en-GB"/>
        </w:rPr>
        <w:tab/>
        <w:t>If the DNA marker test does not confirm the resistance claim or if the variety is claimed to be susceptible, a bioassay must be performed.</w:t>
      </w:r>
    </w:p>
    <w:p w:rsidR="00A07606" w:rsidRDefault="00A07606" w:rsidP="00A07606"/>
    <w:p w:rsidR="00FB31D9" w:rsidRDefault="00FB31D9" w:rsidP="00E306B7"/>
    <w:p w:rsidR="00E306B7" w:rsidRDefault="00E306B7" w:rsidP="00E306B7"/>
    <w:p w:rsidR="00E306B7" w:rsidRPr="00CD142F" w:rsidRDefault="00E306B7" w:rsidP="00E306B7">
      <w:pPr>
        <w:jc w:val="right"/>
        <w:rPr>
          <w:rFonts w:cs="Arial"/>
        </w:rPr>
      </w:pPr>
      <w:r w:rsidRPr="00CD142F">
        <w:rPr>
          <w:rFonts w:cs="Arial"/>
        </w:rPr>
        <w:t xml:space="preserve">[Annex </w:t>
      </w:r>
      <w:r w:rsidR="00207199">
        <w:rPr>
          <w:rFonts w:cs="Arial"/>
        </w:rPr>
        <w:t>II</w:t>
      </w:r>
      <w:r w:rsidRPr="00CD142F">
        <w:rPr>
          <w:rFonts w:cs="Arial"/>
        </w:rPr>
        <w:t xml:space="preserve"> follows]</w:t>
      </w:r>
    </w:p>
    <w:p w:rsidR="00E306B7" w:rsidRPr="003F29C8" w:rsidRDefault="00E306B7" w:rsidP="00E306B7">
      <w:pPr>
        <w:rPr>
          <w:u w:val="single"/>
        </w:rPr>
      </w:pPr>
    </w:p>
    <w:p w:rsidR="00E306B7" w:rsidRPr="003F29C8" w:rsidRDefault="00E306B7" w:rsidP="00E306B7">
      <w:pPr>
        <w:pBdr>
          <w:top w:val="single" w:sz="4" w:space="1" w:color="auto"/>
          <w:left w:val="single" w:sz="4" w:space="4" w:color="auto"/>
          <w:bottom w:val="single" w:sz="4" w:space="1" w:color="auto"/>
          <w:right w:val="single" w:sz="4" w:space="4" w:color="auto"/>
        </w:pBdr>
        <w:rPr>
          <w:u w:val="single"/>
        </w:rPr>
        <w:sectPr w:rsidR="00E306B7" w:rsidRPr="003F29C8" w:rsidSect="007C5A0C">
          <w:headerReference w:type="default" r:id="rId11"/>
          <w:headerReference w:type="first" r:id="rId12"/>
          <w:footerReference w:type="first" r:id="rId13"/>
          <w:pgSz w:w="11907" w:h="16840" w:code="9"/>
          <w:pgMar w:top="510" w:right="1134" w:bottom="1134" w:left="1134" w:header="510" w:footer="567" w:gutter="0"/>
          <w:pgNumType w:start="1"/>
          <w:cols w:space="720"/>
          <w:titlePg/>
        </w:sectPr>
      </w:pPr>
    </w:p>
    <w:p w:rsidR="00E306B7" w:rsidRPr="00E77584" w:rsidRDefault="00E306B7" w:rsidP="00E306B7">
      <w:pPr>
        <w:jc w:val="center"/>
      </w:pPr>
      <w:bookmarkStart w:id="14" w:name="_Toc311473366"/>
      <w:r w:rsidRPr="009371BB">
        <w:lastRenderedPageBreak/>
        <w:t xml:space="preserve">ANNEX </w:t>
      </w:r>
      <w:bookmarkEnd w:id="14"/>
      <w:r w:rsidR="00207199">
        <w:t>II</w:t>
      </w:r>
    </w:p>
    <w:p w:rsidR="00E306B7" w:rsidRPr="009371BB" w:rsidRDefault="00E306B7" w:rsidP="00E306B7">
      <w:pPr>
        <w:jc w:val="center"/>
        <w:rPr>
          <w:snapToGrid w:val="0"/>
        </w:rPr>
      </w:pPr>
    </w:p>
    <w:p w:rsidR="00E306B7" w:rsidRPr="009371BB" w:rsidRDefault="00E306B7" w:rsidP="00E306B7">
      <w:pPr>
        <w:jc w:val="center"/>
        <w:rPr>
          <w:snapToGrid w:val="0"/>
        </w:rPr>
      </w:pPr>
    </w:p>
    <w:p w:rsidR="00E306B7" w:rsidRDefault="00E306B7" w:rsidP="00E306B7">
      <w:pPr>
        <w:pBdr>
          <w:top w:val="single" w:sz="4" w:space="1" w:color="auto"/>
          <w:left w:val="single" w:sz="4" w:space="4" w:color="auto"/>
          <w:bottom w:val="single" w:sz="4" w:space="1" w:color="auto"/>
          <w:right w:val="single" w:sz="4" w:space="4" w:color="auto"/>
        </w:pBdr>
        <w:jc w:val="center"/>
        <w:rPr>
          <w:bCs/>
          <w:snapToGrid w:val="0"/>
        </w:rPr>
      </w:pPr>
      <w:bookmarkStart w:id="15" w:name="_Toc311473367"/>
      <w:r w:rsidRPr="009371BB">
        <w:rPr>
          <w:snapToGrid w:val="0"/>
        </w:rPr>
        <w:t xml:space="preserve">MODEL:  </w:t>
      </w:r>
      <w:r w:rsidRPr="009371BB">
        <w:rPr>
          <w:bCs/>
          <w:snapToGrid w:val="0"/>
        </w:rPr>
        <w:t>COMBINING PHENOTYPIC AND MOLECULAR DISTANCES IN</w:t>
      </w:r>
      <w:r w:rsidRPr="009371BB">
        <w:rPr>
          <w:bCs/>
          <w:snapToGrid w:val="0"/>
        </w:rPr>
        <w:br/>
        <w:t>THE MANAGEMENT OF VARIETY COLLECTIONS</w:t>
      </w:r>
      <w:bookmarkEnd w:id="15"/>
    </w:p>
    <w:p w:rsidR="00E306B7" w:rsidRDefault="00E306B7" w:rsidP="00E306B7">
      <w:pPr>
        <w:jc w:val="center"/>
        <w:rPr>
          <w:bCs/>
          <w:snapToGrid w:val="0"/>
        </w:rPr>
      </w:pPr>
    </w:p>
    <w:p w:rsidR="00E306B7" w:rsidRPr="009371BB" w:rsidRDefault="00E306B7" w:rsidP="00E306B7">
      <w:pPr>
        <w:jc w:val="center"/>
        <w:rPr>
          <w:snapToGrid w:val="0"/>
          <w:color w:val="000000"/>
        </w:rPr>
      </w:pPr>
    </w:p>
    <w:p w:rsidR="00E306B7" w:rsidRDefault="00E306B7" w:rsidP="00E306B7">
      <w:pPr>
        <w:jc w:val="center"/>
      </w:pPr>
      <w:bookmarkStart w:id="16" w:name="_Toc311473368"/>
      <w:r w:rsidRPr="009371BB">
        <w:t>EXAMPLE</w:t>
      </w:r>
      <w:r w:rsidR="00293DD2">
        <w:t xml:space="preserve"> </w:t>
      </w:r>
      <w:r w:rsidR="00293DD2" w:rsidRPr="00F000EA">
        <w:t>1</w:t>
      </w:r>
      <w:r w:rsidRPr="009371BB">
        <w:t>:  PARENT LINES IN MAIZE</w:t>
      </w:r>
      <w:bookmarkEnd w:id="16"/>
    </w:p>
    <w:p w:rsidR="00E306B7" w:rsidRDefault="00E306B7" w:rsidP="00E306B7">
      <w:pPr>
        <w:jc w:val="center"/>
      </w:pPr>
    </w:p>
    <w:p w:rsidR="00E306B7" w:rsidRPr="009371BB" w:rsidRDefault="00E306B7" w:rsidP="00E306B7">
      <w:pPr>
        <w:jc w:val="center"/>
      </w:pPr>
    </w:p>
    <w:p w:rsidR="00E306B7" w:rsidRPr="009371BB" w:rsidRDefault="00E306B7" w:rsidP="00E306B7">
      <w:pPr>
        <w:jc w:val="center"/>
        <w:rPr>
          <w:i/>
        </w:rPr>
      </w:pPr>
      <w:r w:rsidRPr="009371BB">
        <w:rPr>
          <w:i/>
        </w:rPr>
        <w:t xml:space="preserve">prepared by experts from </w:t>
      </w:r>
      <w:smartTag w:uri="urn:schemas-microsoft-com:office:smarttags" w:element="place">
        <w:smartTag w:uri="urn:schemas-microsoft-com:office:smarttags" w:element="country-region">
          <w:r w:rsidRPr="009371BB">
            <w:rPr>
              <w:i/>
            </w:rPr>
            <w:t>France</w:t>
          </w:r>
        </w:smartTag>
      </w:smartTag>
    </w:p>
    <w:p w:rsidR="00E306B7" w:rsidRPr="009371BB" w:rsidRDefault="00E306B7" w:rsidP="00E306B7">
      <w:pPr>
        <w:jc w:val="center"/>
        <w:rPr>
          <w:i/>
        </w:rPr>
      </w:pPr>
    </w:p>
    <w:p w:rsidR="00E306B7" w:rsidRPr="009371BB" w:rsidRDefault="00E306B7" w:rsidP="00E306B7">
      <w:pPr>
        <w:pStyle w:val="Header"/>
        <w:rPr>
          <w:rFonts w:cs="Arial"/>
          <w:i/>
          <w:lang w:val="en-US"/>
        </w:rPr>
      </w:pPr>
    </w:p>
    <w:p w:rsidR="00E306B7" w:rsidRPr="009371BB" w:rsidRDefault="00E306B7" w:rsidP="00E306B7">
      <w:pPr>
        <w:pStyle w:val="Header"/>
        <w:rPr>
          <w:rFonts w:cs="Arial"/>
          <w:i/>
          <w:lang w:val="en-US"/>
        </w:rPr>
      </w:pPr>
    </w:p>
    <w:p w:rsidR="00097F5E" w:rsidRDefault="00097F5E" w:rsidP="00097F5E">
      <w:pPr>
        <w:rPr>
          <w:rFonts w:cs="Arial"/>
          <w:snapToGrid w:val="0"/>
        </w:rPr>
      </w:pPr>
      <w:r w:rsidRPr="009371BB">
        <w:rPr>
          <w:rFonts w:cs="Arial"/>
          <w:snapToGrid w:val="0"/>
        </w:rPr>
        <w:t>1.</w:t>
      </w:r>
      <w:r w:rsidRPr="009371BB">
        <w:rPr>
          <w:rFonts w:cs="Arial"/>
          <w:snapToGrid w:val="0"/>
        </w:rPr>
        <w:tab/>
      </w:r>
      <w:r w:rsidRPr="009371BB">
        <w:rPr>
          <w:rFonts w:cs="Arial"/>
          <w:snapToGrid w:val="0"/>
          <w:u w:val="single"/>
        </w:rPr>
        <w:t>Description</w:t>
      </w:r>
    </w:p>
    <w:p w:rsidR="00097F5E" w:rsidRDefault="00097F5E" w:rsidP="00097F5E">
      <w:pPr>
        <w:rPr>
          <w:rFonts w:cs="Arial"/>
          <w:snapToGrid w:val="0"/>
        </w:rPr>
      </w:pPr>
    </w:p>
    <w:p w:rsidR="00097F5E" w:rsidRDefault="00097F5E" w:rsidP="00097F5E">
      <w:pPr>
        <w:rPr>
          <w:rFonts w:cs="Arial"/>
        </w:rPr>
      </w:pPr>
      <w:r w:rsidRPr="009371BB">
        <w:rPr>
          <w:rFonts w:cs="Arial"/>
        </w:rPr>
        <w:t>1.1</w:t>
      </w:r>
      <w:r w:rsidRPr="009371BB">
        <w:rPr>
          <w:rFonts w:cs="Arial"/>
        </w:rPr>
        <w:tab/>
        <w:t>A key feature of the process of eliminating varieties of common knowledge prior to the DUS growing trial is that the threshold for deciding which varieties can be safely excluded (i.e. are distinct on the basis of descriptions), can be set with a suitable margin of safety, because those varieties which are eliminated, will not be included in the growing trial.  This threshold, with a safety margin, is termed the “Distinctness plus” threshold which means that the distances between a candidate variety and “distinct plus” varieties are robust enough to take a decision without direct comparison in the growing trial.</w:t>
      </w:r>
    </w:p>
    <w:p w:rsidR="00097F5E" w:rsidRDefault="00097F5E" w:rsidP="00097F5E">
      <w:pPr>
        <w:rPr>
          <w:rFonts w:cs="Arial"/>
        </w:rPr>
      </w:pPr>
    </w:p>
    <w:p w:rsidR="00097F5E" w:rsidRDefault="00097F5E" w:rsidP="00097F5E">
      <w:pPr>
        <w:rPr>
          <w:rFonts w:cs="Arial"/>
          <w:snapToGrid w:val="0"/>
        </w:rPr>
      </w:pPr>
      <w:r w:rsidRPr="009371BB">
        <w:rPr>
          <w:rFonts w:cs="Arial"/>
          <w:snapToGrid w:val="0"/>
        </w:rPr>
        <w:t>1.2</w:t>
      </w:r>
      <w:r w:rsidRPr="009371BB">
        <w:rPr>
          <w:rFonts w:cs="Arial"/>
          <w:snapToGrid w:val="0"/>
        </w:rPr>
        <w:tab/>
        <w:t xml:space="preserve">The objective of </w:t>
      </w:r>
      <w:r w:rsidRPr="00110CAE">
        <w:rPr>
          <w:rFonts w:cs="Arial"/>
          <w:snapToGrid w:val="0"/>
        </w:rPr>
        <w:t xml:space="preserve">this </w:t>
      </w:r>
      <w:r w:rsidR="0038194A" w:rsidRPr="00110CAE">
        <w:rPr>
          <w:rFonts w:cs="Arial"/>
        </w:rPr>
        <w:t xml:space="preserve">example </w:t>
      </w:r>
      <w:r w:rsidRPr="00110CAE">
        <w:rPr>
          <w:rFonts w:cs="Arial"/>
          <w:snapToGrid w:val="0"/>
        </w:rPr>
        <w:t>is to develop an efficient tool, based on a combination of phenotypic and molecular distances, to identify within the variety</w:t>
      </w:r>
      <w:r w:rsidRPr="009371BB">
        <w:rPr>
          <w:rFonts w:cs="Arial"/>
          <w:snapToGrid w:val="0"/>
        </w:rPr>
        <w:t xml:space="preserve"> collection, those varieties which need to be compared with candidate varieties (see Figure 1) in order to improve the selection of “distinct plus” varieties and so to limit the workload without decreasing the quality of the test.  The challenge is to develop a secure system that:</w:t>
      </w:r>
    </w:p>
    <w:p w:rsidR="00097F5E" w:rsidRDefault="00097F5E" w:rsidP="00097F5E">
      <w:pPr>
        <w:rPr>
          <w:rFonts w:cs="Arial"/>
          <w:snapToGrid w:val="0"/>
        </w:rPr>
      </w:pPr>
    </w:p>
    <w:p w:rsidR="00097F5E" w:rsidRDefault="00097F5E" w:rsidP="00097F5E">
      <w:pPr>
        <w:ind w:firstLine="567"/>
        <w:rPr>
          <w:rFonts w:cs="Arial"/>
          <w:snapToGrid w:val="0"/>
        </w:rPr>
      </w:pPr>
      <w:r w:rsidRPr="009371BB">
        <w:rPr>
          <w:rFonts w:cs="Arial"/>
          <w:snapToGrid w:val="0"/>
        </w:rPr>
        <w:t>(a)</w:t>
      </w:r>
      <w:r w:rsidRPr="009371BB">
        <w:rPr>
          <w:rFonts w:cs="Arial"/>
          <w:snapToGrid w:val="0"/>
        </w:rPr>
        <w:tab/>
        <w:t xml:space="preserve">only selects varieties which are similar to the candidate varieties; </w:t>
      </w:r>
      <w:r>
        <w:rPr>
          <w:rFonts w:cs="Arial"/>
          <w:snapToGrid w:val="0"/>
        </w:rPr>
        <w:t xml:space="preserve"> </w:t>
      </w:r>
      <w:r w:rsidRPr="009371BB">
        <w:rPr>
          <w:rFonts w:cs="Arial"/>
          <w:snapToGrid w:val="0"/>
        </w:rPr>
        <w:t>and</w:t>
      </w:r>
    </w:p>
    <w:p w:rsidR="00097F5E" w:rsidRDefault="00097F5E" w:rsidP="00097F5E">
      <w:pPr>
        <w:ind w:firstLine="720"/>
        <w:rPr>
          <w:rFonts w:cs="Arial"/>
          <w:snapToGrid w:val="0"/>
        </w:rPr>
      </w:pPr>
    </w:p>
    <w:p w:rsidR="00097F5E" w:rsidRDefault="00097F5E" w:rsidP="00652623">
      <w:pPr>
        <w:ind w:left="1134" w:hanging="567"/>
        <w:rPr>
          <w:rFonts w:cs="Arial"/>
          <w:snapToGrid w:val="0"/>
        </w:rPr>
      </w:pPr>
      <w:r w:rsidRPr="009371BB">
        <w:rPr>
          <w:rFonts w:cs="Arial"/>
          <w:snapToGrid w:val="0"/>
        </w:rPr>
        <w:t>(b)</w:t>
      </w:r>
      <w:r w:rsidRPr="009371BB">
        <w:rPr>
          <w:rFonts w:cs="Arial"/>
          <w:snapToGrid w:val="0"/>
        </w:rPr>
        <w:tab/>
        <w:t>limits the risk of not selecting a variety in the variety collection which needs to be compared in the field, especially when there is a large or expensive variety collection.</w:t>
      </w:r>
    </w:p>
    <w:p w:rsidR="00097F5E" w:rsidRDefault="00097F5E" w:rsidP="00097F5E">
      <w:pPr>
        <w:spacing w:line="360" w:lineRule="auto"/>
        <w:ind w:left="1440" w:hanging="720"/>
        <w:rPr>
          <w:rFonts w:cs="Arial"/>
          <w:snapToGrid w:val="0"/>
        </w:rPr>
      </w:pPr>
    </w:p>
    <w:p w:rsidR="00097F5E" w:rsidRDefault="00097F5E" w:rsidP="00097F5E">
      <w:pPr>
        <w:spacing w:after="240"/>
        <w:rPr>
          <w:rFonts w:cs="Arial"/>
          <w:i/>
          <w:iCs/>
          <w:snapToGrid w:val="0"/>
        </w:rPr>
      </w:pPr>
      <w:r w:rsidRPr="009371BB">
        <w:rPr>
          <w:rFonts w:cs="Arial"/>
          <w:i/>
          <w:iCs/>
          <w:snapToGrid w:val="0"/>
        </w:rPr>
        <w:t>Figure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6"/>
      </w:tblGrid>
      <w:tr w:rsidR="00097F5E" w:rsidRPr="009371BB" w:rsidTr="00511061">
        <w:trPr>
          <w:jc w:val="center"/>
        </w:trPr>
        <w:tc>
          <w:tcPr>
            <w:tcW w:w="9286" w:type="dxa"/>
          </w:tcPr>
          <w:p w:rsidR="00097F5E" w:rsidRPr="009371BB" w:rsidRDefault="00097F5E" w:rsidP="00511061">
            <w:pPr>
              <w:jc w:val="center"/>
              <w:rPr>
                <w:rFonts w:cs="Arial"/>
                <w:snapToGrid w:val="0"/>
              </w:rPr>
            </w:pPr>
            <w:r>
              <w:rPr>
                <w:rFonts w:cs="Arial"/>
                <w:noProof/>
              </w:rPr>
              <w:drawing>
                <wp:inline distT="0" distB="0" distL="0" distR="0">
                  <wp:extent cx="4301490" cy="2926080"/>
                  <wp:effectExtent l="19050" t="19050" r="2286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t="8388"/>
                          <a:stretch>
                            <a:fillRect/>
                          </a:stretch>
                        </pic:blipFill>
                        <pic:spPr bwMode="auto">
                          <a:xfrm>
                            <a:off x="0" y="0"/>
                            <a:ext cx="4301490" cy="2926080"/>
                          </a:xfrm>
                          <a:prstGeom prst="rect">
                            <a:avLst/>
                          </a:prstGeom>
                          <a:noFill/>
                          <a:ln w="6350" cmpd="sng">
                            <a:solidFill>
                              <a:srgbClr val="000000"/>
                            </a:solidFill>
                            <a:miter lim="800000"/>
                            <a:headEnd/>
                            <a:tailEnd/>
                          </a:ln>
                          <a:effectLst/>
                        </pic:spPr>
                      </pic:pic>
                    </a:graphicData>
                  </a:graphic>
                </wp:inline>
              </w:drawing>
            </w:r>
          </w:p>
        </w:tc>
      </w:tr>
    </w:tbl>
    <w:p w:rsidR="00097F5E" w:rsidRPr="009371BB" w:rsidRDefault="00097F5E" w:rsidP="00097F5E">
      <w:pPr>
        <w:rPr>
          <w:rFonts w:cs="Arial"/>
          <w:snapToGrid w:val="0"/>
        </w:rPr>
      </w:pPr>
    </w:p>
    <w:p w:rsidR="00097F5E" w:rsidRDefault="00097F5E" w:rsidP="00097F5E">
      <w:pPr>
        <w:rPr>
          <w:rFonts w:cs="Arial"/>
          <w:snapToGrid w:val="0"/>
        </w:rPr>
      </w:pPr>
      <w:r>
        <w:rPr>
          <w:rFonts w:cs="Arial"/>
          <w:snapToGrid w:val="0"/>
        </w:rPr>
        <w:br w:type="page"/>
      </w:r>
      <w:r w:rsidRPr="009371BB">
        <w:rPr>
          <w:rFonts w:cs="Arial"/>
          <w:snapToGrid w:val="0"/>
        </w:rPr>
        <w:lastRenderedPageBreak/>
        <w:t>1.3</w:t>
      </w:r>
      <w:r w:rsidRPr="009371BB">
        <w:rPr>
          <w:rFonts w:cs="Arial"/>
          <w:snapToGrid w:val="0"/>
        </w:rPr>
        <w:tab/>
        <w:t>The new system has been elaborated on the following background:</w:t>
      </w:r>
    </w:p>
    <w:p w:rsidR="00097F5E" w:rsidRDefault="00097F5E" w:rsidP="00097F5E">
      <w:pPr>
        <w:rPr>
          <w:rFonts w:cs="Arial"/>
          <w:snapToGrid w:val="0"/>
        </w:rPr>
      </w:pPr>
    </w:p>
    <w:p w:rsidR="00097F5E" w:rsidRDefault="00097F5E" w:rsidP="00097F5E">
      <w:pPr>
        <w:ind w:firstLine="567"/>
        <w:rPr>
          <w:rFonts w:cs="Arial"/>
          <w:snapToGrid w:val="0"/>
        </w:rPr>
      </w:pPr>
      <w:r w:rsidRPr="009371BB">
        <w:rPr>
          <w:rFonts w:cs="Arial"/>
          <w:snapToGrid w:val="0"/>
        </w:rPr>
        <w:t>(a)</w:t>
      </w:r>
      <w:r w:rsidRPr="009371BB">
        <w:rPr>
          <w:rFonts w:cs="Arial"/>
          <w:snapToGrid w:val="0"/>
        </w:rPr>
        <w:tab/>
        <w:t>Studies done on molecular distances in maize for DUS testing and essential derivation, which showed the link with the parentage between varieties (see documents BMT/3/6 “The Estimation of Molecular Genetic Distances in Maize or DUS and ED Protocols:  Optimization of the Information and new Approaches of Kinship” and document BMT/3/6 Add.)</w:t>
      </w:r>
    </w:p>
    <w:p w:rsidR="00097F5E" w:rsidRDefault="00097F5E" w:rsidP="00097F5E">
      <w:pPr>
        <w:ind w:firstLine="567"/>
        <w:rPr>
          <w:rFonts w:cs="Arial"/>
          <w:snapToGrid w:val="0"/>
        </w:rPr>
      </w:pPr>
    </w:p>
    <w:p w:rsidR="00097F5E" w:rsidRDefault="00097F5E" w:rsidP="00097F5E">
      <w:pPr>
        <w:ind w:firstLine="567"/>
        <w:rPr>
          <w:rFonts w:cs="Arial"/>
          <w:snapToGrid w:val="0"/>
        </w:rPr>
      </w:pPr>
      <w:r w:rsidRPr="009371BB">
        <w:rPr>
          <w:rFonts w:cs="Arial"/>
          <w:snapToGrid w:val="0"/>
        </w:rPr>
        <w:t>(b)</w:t>
      </w:r>
      <w:r w:rsidRPr="009371BB">
        <w:rPr>
          <w:rFonts w:cs="Arial"/>
          <w:snapToGrid w:val="0"/>
        </w:rPr>
        <w:tab/>
        <w:t>An experiment done by GEVES on a set of maize parental lines, which showed that there is a link between the evaluation of distinctness by experts (global assessment) and a molecular distance computed on Simple Sequence Repeat (SSR) molecular data (see Figure 2).</w:t>
      </w:r>
    </w:p>
    <w:p w:rsidR="00097F5E" w:rsidRDefault="00097F5E" w:rsidP="00097F5E">
      <w:pPr>
        <w:ind w:firstLine="567"/>
        <w:rPr>
          <w:rFonts w:cs="Arial"/>
          <w:snapToGrid w:val="0"/>
        </w:rPr>
      </w:pPr>
    </w:p>
    <w:p w:rsidR="00097F5E" w:rsidRDefault="00097F5E" w:rsidP="00097F5E">
      <w:pPr>
        <w:ind w:firstLine="567"/>
        <w:rPr>
          <w:rFonts w:cs="Arial"/>
          <w:snapToGrid w:val="0"/>
        </w:rPr>
      </w:pPr>
    </w:p>
    <w:p w:rsidR="00097F5E" w:rsidRDefault="00097F5E" w:rsidP="00097F5E">
      <w:pPr>
        <w:rPr>
          <w:rFonts w:cs="Arial"/>
          <w:snapToGrid w:val="0"/>
        </w:rPr>
      </w:pPr>
      <w:r w:rsidRPr="009371BB">
        <w:rPr>
          <w:rFonts w:cs="Arial"/>
          <w:snapToGrid w:val="0"/>
        </w:rPr>
        <w:t>1.4</w:t>
      </w:r>
      <w:r w:rsidRPr="009371BB">
        <w:rPr>
          <w:rFonts w:cs="Arial"/>
          <w:snapToGrid w:val="0"/>
        </w:rPr>
        <w:tab/>
        <w:t>Components of the system</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1.4.1</w:t>
      </w:r>
      <w:r w:rsidRPr="009371BB">
        <w:rPr>
          <w:rFonts w:cs="Arial"/>
          <w:snapToGrid w:val="0"/>
        </w:rPr>
        <w:tab/>
        <w:t xml:space="preserve">GAIA distance </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The GAIA distance component is computed with the GAIA software developed by GEVES. The GAIA distance is a combination of differences observed on phenotypic characteristics, where each difference contributes to the distance according to the reliability of the characteristics, especially regarding its variability and its susceptibility to environment.  The larger the size of the difference and the greater the reliability of the characteristic, the more the difference contributes to the GAIA distance. Only differences that are equal or larger than the minimum distance required for each individual characteristic are included.</w:t>
      </w:r>
    </w:p>
    <w:p w:rsidR="00097F5E" w:rsidRDefault="00097F5E" w:rsidP="00097F5E">
      <w:pPr>
        <w:spacing w:line="360" w:lineRule="auto"/>
        <w:rPr>
          <w:rFonts w:cs="Arial"/>
          <w:snapToGrid w:val="0"/>
        </w:rPr>
      </w:pPr>
    </w:p>
    <w:p w:rsidR="00097F5E" w:rsidRDefault="00097F5E" w:rsidP="00097F5E">
      <w:pPr>
        <w:rPr>
          <w:rFonts w:cs="Arial"/>
          <w:snapToGrid w:val="0"/>
        </w:rPr>
      </w:pPr>
      <w:r w:rsidRPr="009371BB">
        <w:rPr>
          <w:rFonts w:cs="Arial"/>
          <w:snapToGrid w:val="0"/>
        </w:rPr>
        <w:t>1.4.2</w:t>
      </w:r>
      <w:r w:rsidRPr="009371BB">
        <w:rPr>
          <w:rFonts w:cs="Arial"/>
          <w:snapToGrid w:val="0"/>
        </w:rPr>
        <w:tab/>
        <w:t xml:space="preserve">Molecular distance </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 xml:space="preserve">The molecular distance component is computed on the differences observed on a set of markers. Different types of molecular markers and distances can be used. In the case of the study done in France on maize, 60 SSR markers and </w:t>
      </w:r>
      <w:r>
        <w:rPr>
          <w:rFonts w:cs="Arial"/>
          <w:snapToGrid w:val="0"/>
        </w:rPr>
        <w:t>Roger’s distance have been used.</w:t>
      </w:r>
      <w:r w:rsidRPr="009371BB">
        <w:rPr>
          <w:rFonts w:cs="Arial"/>
          <w:snapToGrid w:val="0"/>
        </w:rPr>
        <w:t xml:space="preserve"> It is important that sufficient markers, with a good distribution on the chromosomes, are used.  The type of markers, the effect of the number of markers and the distribution of the markers need to be considered according to the species concerned. </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1.4.3</w:t>
      </w:r>
      <w:r w:rsidRPr="009371BB">
        <w:rPr>
          <w:rFonts w:cs="Arial"/>
          <w:snapToGrid w:val="0"/>
        </w:rPr>
        <w:tab/>
        <w:t>Before combining these two components, an evaluation of the link between molecular distance and a global assessment of distinctness by a panel of experts needs to be done on a set of pairs of varieties.  In the case of maize, that evaluation was made on the following basis:</w:t>
      </w:r>
    </w:p>
    <w:p w:rsidR="00097F5E" w:rsidRDefault="00097F5E" w:rsidP="00097F5E">
      <w:pPr>
        <w:rPr>
          <w:rFonts w:cs="Arial"/>
          <w:snapToGrid w:val="0"/>
        </w:rPr>
      </w:pPr>
    </w:p>
    <w:p w:rsidR="00097F5E" w:rsidRDefault="00097F5E" w:rsidP="00097F5E">
      <w:pPr>
        <w:ind w:firstLine="567"/>
        <w:rPr>
          <w:rFonts w:cs="Arial"/>
          <w:snapToGrid w:val="0"/>
        </w:rPr>
      </w:pPr>
      <w:r>
        <w:rPr>
          <w:rFonts w:cs="Arial"/>
          <w:snapToGrid w:val="0"/>
        </w:rPr>
        <w:t>Material:</w:t>
      </w:r>
      <w:r w:rsidRPr="009371BB">
        <w:rPr>
          <w:rFonts w:cs="Arial"/>
          <w:snapToGrid w:val="0"/>
        </w:rPr>
        <w:t xml:space="preserve"> 504 pairs of varieties tested in parallel with molecular markers</w:t>
      </w:r>
    </w:p>
    <w:p w:rsidR="00097F5E" w:rsidRDefault="00097F5E" w:rsidP="00097F5E">
      <w:pPr>
        <w:ind w:firstLine="720"/>
        <w:rPr>
          <w:rFonts w:cs="Arial"/>
          <w:snapToGrid w:val="0"/>
        </w:rPr>
      </w:pPr>
    </w:p>
    <w:p w:rsidR="00097F5E" w:rsidRDefault="00097F5E" w:rsidP="00097F5E">
      <w:pPr>
        <w:ind w:left="1440" w:hanging="873"/>
        <w:jc w:val="left"/>
        <w:rPr>
          <w:rFonts w:cs="Arial"/>
          <w:snapToGrid w:val="0"/>
        </w:rPr>
      </w:pPr>
      <w:r>
        <w:rPr>
          <w:rFonts w:cs="Arial"/>
          <w:snapToGrid w:val="0"/>
        </w:rPr>
        <w:t>Field design:</w:t>
      </w:r>
      <w:r w:rsidRPr="009371BB">
        <w:rPr>
          <w:rFonts w:cs="Arial"/>
          <w:snapToGrid w:val="0"/>
        </w:rPr>
        <w:t xml:space="preserve"> pairs of varieti</w:t>
      </w:r>
      <w:r>
        <w:rPr>
          <w:rFonts w:cs="Arial"/>
          <w:snapToGrid w:val="0"/>
        </w:rPr>
        <w:t xml:space="preserve">es grown side by side </w:t>
      </w:r>
      <w:r>
        <w:rPr>
          <w:rFonts w:cs="Arial"/>
          <w:snapToGrid w:val="0"/>
        </w:rPr>
        <w:br/>
      </w:r>
      <w:r w:rsidRPr="009371BB">
        <w:rPr>
          <w:rFonts w:cs="Arial"/>
          <w:snapToGrid w:val="0"/>
        </w:rPr>
        <w:t>(1 plot = 2 rows of 15 plants)</w:t>
      </w:r>
    </w:p>
    <w:p w:rsidR="00097F5E" w:rsidRDefault="00097F5E" w:rsidP="00097F5E">
      <w:pPr>
        <w:ind w:left="1440" w:hanging="720"/>
        <w:jc w:val="left"/>
        <w:rPr>
          <w:rFonts w:cs="Arial"/>
          <w:snapToGrid w:val="0"/>
        </w:rPr>
      </w:pPr>
    </w:p>
    <w:p w:rsidR="00097F5E" w:rsidRDefault="00097F5E" w:rsidP="00097F5E">
      <w:pPr>
        <w:ind w:firstLine="567"/>
        <w:rPr>
          <w:rFonts w:cs="Arial"/>
          <w:snapToGrid w:val="0"/>
        </w:rPr>
      </w:pPr>
      <w:r w:rsidRPr="009371BB">
        <w:rPr>
          <w:rFonts w:cs="Arial"/>
          <w:snapToGrid w:val="0"/>
        </w:rPr>
        <w:t>Visual assessment by maize crop experts:</w:t>
      </w:r>
    </w:p>
    <w:p w:rsidR="00097F5E" w:rsidRDefault="00097F5E" w:rsidP="00097F5E">
      <w:pPr>
        <w:ind w:firstLine="720"/>
        <w:rPr>
          <w:rFonts w:cs="Arial"/>
          <w:snapToGrid w:val="0"/>
        </w:rPr>
      </w:pPr>
    </w:p>
    <w:p w:rsidR="00097F5E" w:rsidRDefault="00097F5E" w:rsidP="00097F5E">
      <w:pPr>
        <w:ind w:firstLine="567"/>
        <w:rPr>
          <w:rFonts w:cs="Arial"/>
          <w:snapToGrid w:val="0"/>
        </w:rPr>
      </w:pPr>
      <w:r w:rsidRPr="009371BB">
        <w:rPr>
          <w:rFonts w:cs="Arial"/>
          <w:snapToGrid w:val="0"/>
        </w:rPr>
        <w:t>Scale of similarity:</w:t>
      </w:r>
    </w:p>
    <w:p w:rsidR="00097F5E" w:rsidRDefault="00097F5E" w:rsidP="00097F5E">
      <w:pPr>
        <w:ind w:firstLine="709"/>
        <w:rPr>
          <w:rFonts w:cs="Arial"/>
          <w:snapToGrid w:val="0"/>
        </w:rPr>
      </w:pPr>
    </w:p>
    <w:p w:rsidR="00097F5E" w:rsidRPr="009371BB" w:rsidRDefault="00097F5E" w:rsidP="00097F5E">
      <w:pPr>
        <w:ind w:left="567" w:right="-1"/>
        <w:rPr>
          <w:rFonts w:cs="Arial"/>
          <w:snapToGrid w:val="0"/>
        </w:rPr>
      </w:pPr>
      <w:r w:rsidRPr="009371BB">
        <w:rPr>
          <w:rFonts w:cs="Arial"/>
          <w:snapToGrid w:val="0"/>
        </w:rPr>
        <w:t xml:space="preserve">1. </w:t>
      </w:r>
      <w:r w:rsidRPr="009371BB">
        <w:rPr>
          <w:rFonts w:cs="Arial"/>
          <w:snapToGrid w:val="0"/>
        </w:rPr>
        <w:tab/>
        <w:t>the two varieties are similar or very close</w:t>
      </w:r>
    </w:p>
    <w:p w:rsidR="00097F5E" w:rsidRPr="009371BB" w:rsidRDefault="00097F5E" w:rsidP="00097F5E">
      <w:pPr>
        <w:ind w:left="567" w:right="-1"/>
        <w:rPr>
          <w:rFonts w:cs="Arial"/>
          <w:snapToGrid w:val="0"/>
        </w:rPr>
      </w:pPr>
      <w:r w:rsidRPr="009371BB">
        <w:rPr>
          <w:rFonts w:cs="Arial"/>
          <w:snapToGrid w:val="0"/>
        </w:rPr>
        <w:t xml:space="preserve">3. </w:t>
      </w:r>
      <w:r w:rsidRPr="009371BB">
        <w:rPr>
          <w:rFonts w:cs="Arial"/>
          <w:snapToGrid w:val="0"/>
        </w:rPr>
        <w:tab/>
        <w:t>the two varieties are distinct but close</w:t>
      </w:r>
    </w:p>
    <w:p w:rsidR="00097F5E" w:rsidRPr="009371BB" w:rsidRDefault="00097F5E" w:rsidP="00097F5E">
      <w:pPr>
        <w:ind w:left="567" w:right="-1"/>
        <w:rPr>
          <w:rFonts w:cs="Arial"/>
          <w:snapToGrid w:val="0"/>
        </w:rPr>
      </w:pPr>
      <w:r w:rsidRPr="009371BB">
        <w:rPr>
          <w:rFonts w:cs="Arial"/>
          <w:snapToGrid w:val="0"/>
        </w:rPr>
        <w:t xml:space="preserve">5. </w:t>
      </w:r>
      <w:r w:rsidRPr="009371BB">
        <w:rPr>
          <w:rFonts w:cs="Arial"/>
          <w:snapToGrid w:val="0"/>
        </w:rPr>
        <w:tab/>
        <w:t>the comparison was useful, but the varieties are clearly distinct</w:t>
      </w:r>
    </w:p>
    <w:p w:rsidR="00097F5E" w:rsidRPr="009371BB" w:rsidRDefault="00097F5E" w:rsidP="00097F5E">
      <w:pPr>
        <w:ind w:left="567" w:right="-1"/>
        <w:rPr>
          <w:rFonts w:cs="Arial"/>
          <w:snapToGrid w:val="0"/>
        </w:rPr>
      </w:pPr>
      <w:r w:rsidRPr="009371BB">
        <w:rPr>
          <w:rFonts w:cs="Arial"/>
          <w:snapToGrid w:val="0"/>
        </w:rPr>
        <w:t xml:space="preserve">7. </w:t>
      </w:r>
      <w:r w:rsidRPr="009371BB">
        <w:rPr>
          <w:rFonts w:cs="Arial"/>
          <w:snapToGrid w:val="0"/>
        </w:rPr>
        <w:tab/>
        <w:t>the comparison should have been avoided because the varieties are very different</w:t>
      </w:r>
    </w:p>
    <w:p w:rsidR="00097F5E" w:rsidRPr="009371BB" w:rsidRDefault="00097F5E" w:rsidP="00097F5E">
      <w:pPr>
        <w:keepNext/>
        <w:ind w:left="567" w:right="-1"/>
        <w:rPr>
          <w:rFonts w:cs="Arial"/>
          <w:snapToGrid w:val="0"/>
        </w:rPr>
      </w:pPr>
      <w:r w:rsidRPr="009371BB">
        <w:rPr>
          <w:rFonts w:cs="Arial"/>
          <w:snapToGrid w:val="0"/>
        </w:rPr>
        <w:t xml:space="preserve">9. </w:t>
      </w:r>
      <w:r w:rsidRPr="009371BB">
        <w:rPr>
          <w:rFonts w:cs="Arial"/>
          <w:snapToGrid w:val="0"/>
        </w:rPr>
        <w:tab/>
        <w:t>the comparison should have been avoided because the varieties are  totally different</w:t>
      </w:r>
    </w:p>
    <w:p w:rsidR="00097F5E" w:rsidRPr="009371BB" w:rsidRDefault="00097F5E" w:rsidP="00097F5E">
      <w:pPr>
        <w:keepNext/>
        <w:ind w:left="1418" w:right="-1"/>
        <w:rPr>
          <w:rFonts w:cs="Arial"/>
          <w:snapToGrid w:val="0"/>
        </w:rPr>
      </w:pPr>
      <w:r w:rsidRPr="009371BB">
        <w:rPr>
          <w:rFonts w:cs="Arial"/>
          <w:snapToGrid w:val="0"/>
        </w:rPr>
        <w:t>(“even” notes are not used in the scale)</w:t>
      </w:r>
    </w:p>
    <w:p w:rsidR="00097F5E" w:rsidRPr="009371BB" w:rsidRDefault="00097F5E" w:rsidP="00097F5E">
      <w:pPr>
        <w:ind w:right="-1"/>
        <w:rPr>
          <w:rFonts w:cs="Arial"/>
          <w:snapToGrid w:val="0"/>
        </w:rPr>
      </w:pPr>
    </w:p>
    <w:p w:rsidR="00097F5E" w:rsidRPr="009371BB" w:rsidRDefault="00097F5E" w:rsidP="00097F5E">
      <w:pPr>
        <w:rPr>
          <w:rFonts w:cs="Arial"/>
          <w:snapToGrid w:val="0"/>
        </w:rPr>
      </w:pPr>
      <w:r w:rsidRPr="009371BB">
        <w:rPr>
          <w:rFonts w:cs="Arial"/>
          <w:snapToGrid w:val="0"/>
        </w:rPr>
        <w:t>In the case of maize, this evaluation showed that no parental lines with a molecular distance greater than 0.15 were considered as similar or very close by a DUS expert evaluation (see Figure 2).</w:t>
      </w:r>
    </w:p>
    <w:p w:rsidR="00097F5E" w:rsidRPr="009371BB" w:rsidRDefault="00097F5E" w:rsidP="00097F5E">
      <w:pPr>
        <w:rPr>
          <w:rFonts w:cs="Arial"/>
          <w:snapToGrid w:val="0"/>
        </w:rPr>
      </w:pPr>
    </w:p>
    <w:p w:rsidR="00097F5E" w:rsidRPr="009371BB" w:rsidRDefault="00097F5E" w:rsidP="00097F5E">
      <w:pPr>
        <w:keepNext/>
        <w:ind w:left="709"/>
        <w:rPr>
          <w:rFonts w:cs="Arial"/>
          <w:i/>
          <w:iCs/>
          <w:snapToGrid w:val="0"/>
        </w:rPr>
      </w:pPr>
      <w:r w:rsidRPr="009371BB">
        <w:rPr>
          <w:rFonts w:cs="Arial"/>
          <w:i/>
          <w:iCs/>
          <w:snapToGrid w:val="0"/>
        </w:rPr>
        <w:lastRenderedPageBreak/>
        <w:t>Figure 2</w:t>
      </w:r>
    </w:p>
    <w:p w:rsidR="00097F5E" w:rsidRPr="009371BB" w:rsidRDefault="00097F5E" w:rsidP="00097F5E">
      <w:pPr>
        <w:keepNext/>
        <w:ind w:left="567"/>
        <w:rPr>
          <w:rFonts w:cs="Arial"/>
          <w:i/>
          <w:iCs/>
          <w:snapToGrid w:val="0"/>
        </w:rPr>
      </w:pPr>
    </w:p>
    <w:bookmarkStart w:id="17" w:name="_MON_1375793324"/>
    <w:bookmarkStart w:id="18" w:name="_MON_1311498427"/>
    <w:bookmarkStart w:id="19" w:name="_MON_1314444884"/>
    <w:bookmarkEnd w:id="17"/>
    <w:bookmarkEnd w:id="18"/>
    <w:bookmarkEnd w:id="19"/>
    <w:bookmarkStart w:id="20" w:name="_MON_1314444953"/>
    <w:bookmarkEnd w:id="20"/>
    <w:p w:rsidR="00097F5E" w:rsidRPr="009371BB" w:rsidRDefault="00097F5E" w:rsidP="00097F5E">
      <w:pPr>
        <w:jc w:val="center"/>
        <w:rPr>
          <w:rFonts w:cs="Arial"/>
        </w:rPr>
      </w:pPr>
      <w:r w:rsidRPr="009371BB">
        <w:rPr>
          <w:rFonts w:cs="Arial"/>
        </w:rPr>
        <w:object w:dxaOrig="7324" w:dyaOrig="5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302.2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PowerPoint.Show.8" ShapeID="_x0000_i1025" DrawAspect="Content" ObjectID="_1658817414" r:id="rId16"/>
        </w:object>
      </w:r>
    </w:p>
    <w:p w:rsidR="00097F5E" w:rsidRPr="009371BB" w:rsidRDefault="00097F5E" w:rsidP="00097F5E">
      <w:pPr>
        <w:ind w:left="567"/>
        <w:rPr>
          <w:rFonts w:cs="Arial"/>
          <w:i/>
          <w:iCs/>
          <w:snapToGrid w:val="0"/>
        </w:rPr>
      </w:pPr>
    </w:p>
    <w:p w:rsidR="00097F5E" w:rsidRPr="009371BB" w:rsidRDefault="00097F5E" w:rsidP="00097F5E">
      <w:pPr>
        <w:ind w:left="567"/>
        <w:rPr>
          <w:rFonts w:cs="Arial"/>
          <w:i/>
          <w:iCs/>
          <w:snapToGrid w:val="0"/>
        </w:rPr>
      </w:pPr>
    </w:p>
    <w:p w:rsidR="00097F5E" w:rsidRPr="009371BB" w:rsidRDefault="00097F5E" w:rsidP="00097F5E">
      <w:pPr>
        <w:rPr>
          <w:rFonts w:cs="Arial"/>
          <w:snapToGrid w:val="0"/>
        </w:rPr>
      </w:pPr>
      <w:r w:rsidRPr="009371BB">
        <w:rPr>
          <w:rFonts w:cs="Arial"/>
          <w:snapToGrid w:val="0"/>
        </w:rPr>
        <w:t>1.4.4</w:t>
      </w:r>
      <w:r w:rsidRPr="009371BB">
        <w:rPr>
          <w:rFonts w:cs="Arial"/>
          <w:snapToGrid w:val="0"/>
        </w:rPr>
        <w:tab/>
        <w:t>On the basis of that result, the combination of morphological and molecular distances offers the possibility to establish a decision scheme as follows (see Figure 3):</w:t>
      </w:r>
    </w:p>
    <w:p w:rsidR="00097F5E" w:rsidRPr="009371BB" w:rsidRDefault="00097F5E" w:rsidP="00097F5E">
      <w:pPr>
        <w:spacing w:line="360" w:lineRule="auto"/>
        <w:rPr>
          <w:rFonts w:cs="Arial"/>
          <w:snapToGrid w:val="0"/>
        </w:rPr>
      </w:pPr>
    </w:p>
    <w:p w:rsidR="00097F5E" w:rsidRPr="009371BB" w:rsidRDefault="00097F5E" w:rsidP="00097F5E">
      <w:pPr>
        <w:keepNext/>
        <w:ind w:left="709"/>
        <w:rPr>
          <w:rFonts w:cs="Arial"/>
          <w:i/>
          <w:iCs/>
          <w:snapToGrid w:val="0"/>
        </w:rPr>
      </w:pPr>
      <w:r w:rsidRPr="009371BB">
        <w:rPr>
          <w:rFonts w:cs="Arial"/>
          <w:i/>
          <w:iCs/>
          <w:snapToGrid w:val="0"/>
        </w:rPr>
        <w:t>Figure 3</w:t>
      </w:r>
    </w:p>
    <w:p w:rsidR="00097F5E" w:rsidRPr="009371BB" w:rsidRDefault="00097F5E" w:rsidP="00097F5E">
      <w:pPr>
        <w:keepNext/>
        <w:rPr>
          <w:rFonts w:cs="Arial"/>
          <w:snapToGrid w:val="0"/>
        </w:rPr>
      </w:pPr>
    </w:p>
    <w:p w:rsidR="00097F5E" w:rsidRPr="009371BB" w:rsidRDefault="00097F5E" w:rsidP="00097F5E">
      <w:pPr>
        <w:jc w:val="center"/>
        <w:rPr>
          <w:rFonts w:cs="Arial"/>
          <w:snapToGrid w:val="0"/>
        </w:rPr>
      </w:pPr>
      <w:r w:rsidRPr="009371BB">
        <w:rPr>
          <w:rFonts w:cs="Arial"/>
          <w:snapToGrid w:val="0"/>
          <w:lang w:val="fr-FR"/>
        </w:rPr>
        <w:object w:dxaOrig="7215" w:dyaOrig="5407">
          <v:shape id="_x0000_i1026" type="#_x0000_t75" style="width:379.5pt;height:283.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PowerPoint.Slide.12" ShapeID="_x0000_i1026" DrawAspect="Content" ObjectID="_1658817415" r:id="rId18"/>
        </w:objec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lastRenderedPageBreak/>
        <w:t>1.4.5</w:t>
      </w:r>
      <w:r w:rsidRPr="009371BB">
        <w:rPr>
          <w:rFonts w:cs="Arial"/>
          <w:snapToGrid w:val="0"/>
        </w:rPr>
        <w:tab/>
        <w:t>All pairs of varieties with a GAIA distance equal to, or larger than, 6 and all varieties with a GAIA distance between 2 and 6, plus a molecular distance equal to, or larger than, 0.2 are declared “Distinct plus”.</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1.4.6</w:t>
      </w:r>
      <w:r w:rsidRPr="009371BB">
        <w:rPr>
          <w:rFonts w:cs="Arial"/>
          <w:snapToGrid w:val="0"/>
        </w:rPr>
        <w:tab/>
        <w:t>This scheme shows that less parental lines need to be observed in the field compared to the situation where only a GAIA distance of 6 is used on its own.</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1.4.7</w:t>
      </w:r>
      <w:r w:rsidRPr="009371BB">
        <w:rPr>
          <w:rFonts w:cs="Arial"/>
          <w:snapToGrid w:val="0"/>
        </w:rPr>
        <w:tab/>
        <w:t>The robustness of this system has been studied with different GAIA and molecular distances.</w:t>
      </w:r>
    </w:p>
    <w:p w:rsidR="00097F5E" w:rsidRDefault="00097F5E" w:rsidP="00097F5E">
      <w:pPr>
        <w:rPr>
          <w:rFonts w:cs="Arial"/>
          <w:snapToGrid w:val="0"/>
        </w:rPr>
      </w:pPr>
    </w:p>
    <w:p w:rsidR="00097F5E" w:rsidRPr="009371BB" w:rsidRDefault="00097F5E" w:rsidP="00097F5E">
      <w:pPr>
        <w:rPr>
          <w:rFonts w:cs="Arial"/>
          <w:snapToGrid w:val="0"/>
        </w:rPr>
      </w:pPr>
    </w:p>
    <w:p w:rsidR="00097F5E" w:rsidRDefault="00097F5E" w:rsidP="00097F5E">
      <w:pPr>
        <w:rPr>
          <w:rFonts w:cs="Arial"/>
          <w:snapToGrid w:val="0"/>
        </w:rPr>
      </w:pPr>
      <w:r w:rsidRPr="009371BB">
        <w:rPr>
          <w:rFonts w:cs="Arial"/>
          <w:snapToGrid w:val="0"/>
        </w:rPr>
        <w:t>2.</w:t>
      </w:r>
      <w:r w:rsidRPr="009371BB">
        <w:rPr>
          <w:rFonts w:cs="Arial"/>
          <w:snapToGrid w:val="0"/>
        </w:rPr>
        <w:tab/>
      </w:r>
      <w:r w:rsidRPr="009371BB">
        <w:rPr>
          <w:rFonts w:cs="Arial"/>
          <w:snapToGrid w:val="0"/>
          <w:u w:val="single"/>
        </w:rPr>
        <w:t>Advantages and constraints</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2.1</w:t>
      </w:r>
      <w:r w:rsidRPr="009371BB">
        <w:rPr>
          <w:rFonts w:cs="Arial"/>
          <w:snapToGrid w:val="0"/>
        </w:rPr>
        <w:tab/>
        <w:t>Advantages</w:t>
      </w:r>
    </w:p>
    <w:p w:rsidR="00097F5E" w:rsidRDefault="00097F5E" w:rsidP="00097F5E">
      <w:pPr>
        <w:rPr>
          <w:rFonts w:cs="Arial"/>
          <w:snapToGrid w:val="0"/>
        </w:rPr>
      </w:pPr>
    </w:p>
    <w:p w:rsidR="00097F5E" w:rsidRPr="009371BB" w:rsidRDefault="00097F5E" w:rsidP="00097F5E">
      <w:pPr>
        <w:spacing w:after="240"/>
        <w:ind w:firstLine="567"/>
        <w:rPr>
          <w:rFonts w:cs="Arial"/>
          <w:snapToGrid w:val="0"/>
        </w:rPr>
      </w:pPr>
      <w:r w:rsidRPr="009371BB">
        <w:rPr>
          <w:rFonts w:cs="Arial"/>
          <w:snapToGrid w:val="0"/>
        </w:rPr>
        <w:t>(a)</w:t>
      </w:r>
      <w:r w:rsidRPr="009371BB">
        <w:rPr>
          <w:rFonts w:cs="Arial"/>
          <w:snapToGrid w:val="0"/>
        </w:rPr>
        <w:tab/>
        <w:t>Improvement of the management of variety collections with less varieties needing to be compared in the field;</w:t>
      </w:r>
    </w:p>
    <w:p w:rsidR="00097F5E" w:rsidRPr="009371BB" w:rsidRDefault="00097F5E" w:rsidP="00097F5E">
      <w:pPr>
        <w:spacing w:after="240"/>
        <w:ind w:firstLine="567"/>
        <w:rPr>
          <w:rFonts w:cs="Arial"/>
          <w:snapToGrid w:val="0"/>
        </w:rPr>
      </w:pPr>
      <w:r w:rsidRPr="009371BB">
        <w:rPr>
          <w:rFonts w:cs="Arial"/>
          <w:snapToGrid w:val="0"/>
        </w:rPr>
        <w:t>(b)</w:t>
      </w:r>
      <w:r w:rsidRPr="009371BB">
        <w:rPr>
          <w:rFonts w:cs="Arial"/>
          <w:snapToGrid w:val="0"/>
        </w:rPr>
        <w:tab/>
        <w:t>Use of morphological and molecular distances with thresholds defined by DUS experts. GAIA was also calibrated against DUS experts’ evaluations when developed by GEVES;</w:t>
      </w:r>
    </w:p>
    <w:p w:rsidR="00097F5E" w:rsidRPr="009371BB" w:rsidRDefault="00097F5E" w:rsidP="00097F5E">
      <w:pPr>
        <w:spacing w:after="240"/>
        <w:ind w:firstLine="567"/>
        <w:rPr>
          <w:rFonts w:cs="Arial"/>
          <w:snapToGrid w:val="0"/>
        </w:rPr>
      </w:pPr>
      <w:r w:rsidRPr="009371BB">
        <w:rPr>
          <w:rFonts w:cs="Arial"/>
          <w:snapToGrid w:val="0"/>
        </w:rPr>
        <w:t xml:space="preserve">(c) </w:t>
      </w:r>
      <w:r w:rsidRPr="009371BB">
        <w:rPr>
          <w:rFonts w:cs="Arial"/>
          <w:snapToGrid w:val="0"/>
        </w:rPr>
        <w:tab/>
        <w:t>Use of molecular data that are not susceptible to the environment; the set of markers and the laboratory protocol are well defined;</w:t>
      </w:r>
    </w:p>
    <w:p w:rsidR="00097F5E" w:rsidRPr="009371BB" w:rsidRDefault="00097F5E" w:rsidP="00097F5E">
      <w:pPr>
        <w:spacing w:after="240"/>
        <w:ind w:firstLine="567"/>
        <w:rPr>
          <w:rFonts w:cs="Arial"/>
          <w:snapToGrid w:val="0"/>
        </w:rPr>
      </w:pPr>
      <w:r w:rsidRPr="009371BB">
        <w:rPr>
          <w:rFonts w:cs="Arial"/>
          <w:snapToGrid w:val="0"/>
        </w:rPr>
        <w:t>(d)</w:t>
      </w:r>
      <w:r w:rsidRPr="009371BB">
        <w:rPr>
          <w:rFonts w:cs="Arial"/>
          <w:snapToGrid w:val="0"/>
        </w:rPr>
        <w:tab/>
        <w:t>Use of only phenotypic characteristics with a good robustness and possibility to use descriptions coming from different origins under close cooperation (The maize database that has been developed in cooperation between France</w:t>
      </w:r>
      <w:r w:rsidR="00801B14" w:rsidRPr="009371BB">
        <w:rPr>
          <w:rFonts w:cs="Arial"/>
          <w:snapToGrid w:val="0"/>
        </w:rPr>
        <w:t>,</w:t>
      </w:r>
      <w:r w:rsidR="00801B14" w:rsidRPr="00801B14">
        <w:rPr>
          <w:rFonts w:cs="Arial"/>
          <w:snapToGrid w:val="0"/>
        </w:rPr>
        <w:t xml:space="preserve"> </w:t>
      </w:r>
      <w:r w:rsidR="00801B14" w:rsidRPr="009371BB">
        <w:rPr>
          <w:rFonts w:cs="Arial"/>
          <w:snapToGrid w:val="0"/>
        </w:rPr>
        <w:t>Germany</w:t>
      </w:r>
      <w:r w:rsidRPr="009371BB">
        <w:rPr>
          <w:rFonts w:cs="Arial"/>
          <w:snapToGrid w:val="0"/>
        </w:rPr>
        <w:t xml:space="preserve">, Spain and the Community Plant Variety Office of the European Union (CPVO) is a </w:t>
      </w:r>
      <w:r w:rsidRPr="00110CAE">
        <w:rPr>
          <w:rFonts w:cs="Arial"/>
          <w:snapToGrid w:val="0"/>
        </w:rPr>
        <w:t xml:space="preserve">good </w:t>
      </w:r>
      <w:r w:rsidR="0038194A" w:rsidRPr="00110CAE">
        <w:rPr>
          <w:rFonts w:cs="Arial"/>
          <w:snapToGrid w:val="0"/>
        </w:rPr>
        <w:t xml:space="preserve">example </w:t>
      </w:r>
      <w:r w:rsidRPr="00110CAE">
        <w:rPr>
          <w:rFonts w:cs="Arial"/>
          <w:snapToGrid w:val="0"/>
        </w:rPr>
        <w:t>to illustrate</w:t>
      </w:r>
      <w:r w:rsidRPr="009371BB">
        <w:rPr>
          <w:rFonts w:cs="Arial"/>
          <w:snapToGrid w:val="0"/>
        </w:rPr>
        <w:t xml:space="preserve"> the value of this approach with a variety collection shared between different offices);</w:t>
      </w:r>
    </w:p>
    <w:p w:rsidR="00097F5E" w:rsidRPr="009371BB" w:rsidRDefault="00097F5E" w:rsidP="00097F5E">
      <w:pPr>
        <w:spacing w:after="240"/>
        <w:ind w:firstLine="567"/>
        <w:rPr>
          <w:rFonts w:cs="Arial"/>
          <w:snapToGrid w:val="0"/>
        </w:rPr>
      </w:pPr>
      <w:r w:rsidRPr="009371BB">
        <w:rPr>
          <w:rFonts w:cs="Arial"/>
          <w:snapToGrid w:val="0"/>
        </w:rPr>
        <w:t>(e)</w:t>
      </w:r>
      <w:r w:rsidRPr="009371BB">
        <w:rPr>
          <w:rFonts w:cs="Arial"/>
          <w:snapToGrid w:val="0"/>
        </w:rPr>
        <w:tab/>
        <w:t>Electrophoresis characteristics can also be replaced; and</w:t>
      </w:r>
    </w:p>
    <w:p w:rsidR="00097F5E" w:rsidRDefault="00097F5E" w:rsidP="00097F5E">
      <w:pPr>
        <w:ind w:firstLine="567"/>
        <w:rPr>
          <w:rFonts w:cs="Arial"/>
          <w:snapToGrid w:val="0"/>
        </w:rPr>
      </w:pPr>
      <w:r w:rsidRPr="009371BB">
        <w:rPr>
          <w:rFonts w:cs="Arial"/>
          <w:snapToGrid w:val="0"/>
        </w:rPr>
        <w:t>(f)</w:t>
      </w:r>
      <w:r w:rsidRPr="009371BB">
        <w:rPr>
          <w:rFonts w:cs="Arial"/>
          <w:snapToGrid w:val="0"/>
        </w:rPr>
        <w:tab/>
        <w:t>There is no influence of lack of uniformity in molecular profiles provided enough markers are used and the number of variants is low.  In the case of maize parental lines, the level of molecular uniformity is high but could be a problem in some other crops.</w:t>
      </w:r>
    </w:p>
    <w:p w:rsidR="00097F5E" w:rsidRPr="00097F5E" w:rsidRDefault="00097F5E" w:rsidP="00097F5E"/>
    <w:p w:rsidR="00097F5E" w:rsidRDefault="00097F5E" w:rsidP="00097F5E">
      <w:pPr>
        <w:rPr>
          <w:rFonts w:cs="Arial"/>
          <w:snapToGrid w:val="0"/>
        </w:rPr>
      </w:pPr>
      <w:r w:rsidRPr="009371BB">
        <w:rPr>
          <w:rFonts w:cs="Arial"/>
          <w:snapToGrid w:val="0"/>
        </w:rPr>
        <w:t>2.2</w:t>
      </w:r>
      <w:r w:rsidRPr="009371BB">
        <w:rPr>
          <w:rFonts w:cs="Arial"/>
          <w:snapToGrid w:val="0"/>
        </w:rPr>
        <w:tab/>
        <w:t>Constraints</w:t>
      </w:r>
    </w:p>
    <w:p w:rsidR="00097F5E" w:rsidRDefault="00097F5E" w:rsidP="00097F5E">
      <w:pPr>
        <w:rPr>
          <w:rFonts w:cs="Arial"/>
          <w:snapToGrid w:val="0"/>
        </w:rPr>
      </w:pPr>
    </w:p>
    <w:p w:rsidR="00097F5E" w:rsidRPr="009371BB" w:rsidRDefault="00097F5E" w:rsidP="00097F5E">
      <w:pPr>
        <w:spacing w:after="240"/>
        <w:ind w:firstLine="567"/>
        <w:rPr>
          <w:rFonts w:cs="Arial"/>
          <w:snapToGrid w:val="0"/>
        </w:rPr>
      </w:pPr>
      <w:r w:rsidRPr="009371BB">
        <w:rPr>
          <w:rFonts w:cs="Arial"/>
          <w:snapToGrid w:val="0"/>
        </w:rPr>
        <w:t>(a)</w:t>
      </w:r>
      <w:r w:rsidRPr="009371BB">
        <w:rPr>
          <w:rFonts w:cs="Arial"/>
          <w:snapToGrid w:val="0"/>
        </w:rPr>
        <w:tab/>
        <w:t>Not efficient, or less efficient, for species with synthetic varieties or populations;</w:t>
      </w:r>
    </w:p>
    <w:p w:rsidR="00097F5E" w:rsidRPr="009371BB" w:rsidRDefault="00097F5E" w:rsidP="00097F5E">
      <w:pPr>
        <w:spacing w:after="240"/>
        <w:ind w:firstLine="567"/>
        <w:rPr>
          <w:rFonts w:cs="Arial"/>
          <w:snapToGrid w:val="0"/>
        </w:rPr>
      </w:pPr>
      <w:r w:rsidRPr="009371BB">
        <w:rPr>
          <w:rFonts w:cs="Arial"/>
          <w:snapToGrid w:val="0"/>
        </w:rPr>
        <w:t>(b)</w:t>
      </w:r>
      <w:r w:rsidRPr="009371BB">
        <w:rPr>
          <w:rFonts w:cs="Arial"/>
          <w:snapToGrid w:val="0"/>
        </w:rPr>
        <w:tab/>
        <w:t>Necessity to have enough good DNA markers and enough phenotypic characteristics with low susceptibility to environment; and</w:t>
      </w:r>
    </w:p>
    <w:p w:rsidR="00097F5E" w:rsidRPr="009371BB" w:rsidRDefault="00097F5E" w:rsidP="00097F5E">
      <w:pPr>
        <w:ind w:firstLine="567"/>
        <w:rPr>
          <w:rFonts w:cs="Arial"/>
          <w:snapToGrid w:val="0"/>
        </w:rPr>
      </w:pPr>
      <w:r w:rsidRPr="009371BB">
        <w:rPr>
          <w:rFonts w:cs="Arial"/>
          <w:snapToGrid w:val="0"/>
        </w:rPr>
        <w:t>(c)</w:t>
      </w:r>
      <w:r w:rsidRPr="009371BB">
        <w:rPr>
          <w:rFonts w:cs="Arial"/>
          <w:snapToGrid w:val="0"/>
        </w:rPr>
        <w:tab/>
        <w:t>Preliminary work with calibration in comparison with DUS expert evaluation of distinctness.</w:t>
      </w:r>
    </w:p>
    <w:p w:rsidR="00097F5E" w:rsidRPr="009371BB" w:rsidRDefault="00097F5E" w:rsidP="00097F5E">
      <w:pPr>
        <w:rPr>
          <w:rFonts w:cs="Arial"/>
          <w:snapToGrid w:val="0"/>
        </w:rPr>
      </w:pPr>
    </w:p>
    <w:p w:rsidR="00293DD2" w:rsidRDefault="00293DD2">
      <w:pPr>
        <w:jc w:val="left"/>
      </w:pPr>
      <w:r>
        <w:br w:type="page"/>
      </w:r>
    </w:p>
    <w:p w:rsidR="00293DD2" w:rsidRPr="00F000EA" w:rsidRDefault="00293DD2" w:rsidP="00293DD2">
      <w:pPr>
        <w:pBdr>
          <w:top w:val="single" w:sz="4" w:space="1" w:color="auto"/>
          <w:left w:val="single" w:sz="4" w:space="4" w:color="auto"/>
          <w:bottom w:val="single" w:sz="4" w:space="1" w:color="auto"/>
          <w:right w:val="single" w:sz="4" w:space="4" w:color="auto"/>
        </w:pBdr>
        <w:jc w:val="center"/>
        <w:rPr>
          <w:bCs/>
          <w:snapToGrid w:val="0"/>
        </w:rPr>
      </w:pPr>
      <w:r w:rsidRPr="00F000EA">
        <w:rPr>
          <w:snapToGrid w:val="0"/>
        </w:rPr>
        <w:lastRenderedPageBreak/>
        <w:t xml:space="preserve">MODEL:  </w:t>
      </w:r>
      <w:r w:rsidRPr="00F000EA">
        <w:rPr>
          <w:bCs/>
          <w:snapToGrid w:val="0"/>
        </w:rPr>
        <w:t>COMBINING PHENOTYPIC AND MOLECULAR DISTANCES IN</w:t>
      </w:r>
      <w:r w:rsidRPr="00F000EA">
        <w:rPr>
          <w:bCs/>
          <w:snapToGrid w:val="0"/>
        </w:rPr>
        <w:br/>
        <w:t>THE MANAGEMENT OF VARIETY COLLECTIONS</w:t>
      </w:r>
    </w:p>
    <w:p w:rsidR="00293DD2" w:rsidRPr="00F000EA" w:rsidRDefault="00293DD2" w:rsidP="00293DD2">
      <w:pPr>
        <w:jc w:val="center"/>
        <w:rPr>
          <w:bCs/>
          <w:snapToGrid w:val="0"/>
        </w:rPr>
      </w:pPr>
    </w:p>
    <w:p w:rsidR="00293DD2" w:rsidRPr="00F000EA" w:rsidRDefault="00293DD2" w:rsidP="00293DD2">
      <w:pPr>
        <w:jc w:val="center"/>
        <w:rPr>
          <w:snapToGrid w:val="0"/>
          <w:color w:val="000000"/>
        </w:rPr>
      </w:pPr>
    </w:p>
    <w:p w:rsidR="00293DD2" w:rsidRPr="00F000EA" w:rsidRDefault="00293DD2" w:rsidP="00293DD2">
      <w:pPr>
        <w:jc w:val="center"/>
        <w:rPr>
          <w:caps/>
        </w:rPr>
      </w:pPr>
      <w:r w:rsidRPr="00F000EA">
        <w:rPr>
          <w:caps/>
        </w:rPr>
        <w:t xml:space="preserve">EXAMPLE 2:  </w:t>
      </w:r>
      <w:r w:rsidR="0015599C" w:rsidRPr="00F000EA">
        <w:rPr>
          <w:caps/>
        </w:rPr>
        <w:t xml:space="preserve">Genetic Selection of Similar Varieties for the First Growing Cycle: </w:t>
      </w:r>
      <w:r w:rsidRPr="00F000EA">
        <w:rPr>
          <w:caps/>
        </w:rPr>
        <w:t>FRENCH BEAN</w:t>
      </w:r>
    </w:p>
    <w:p w:rsidR="00293DD2" w:rsidRPr="00B20E7C" w:rsidRDefault="00293DD2" w:rsidP="00293DD2">
      <w:pPr>
        <w:jc w:val="center"/>
      </w:pPr>
    </w:p>
    <w:p w:rsidR="00293DD2" w:rsidRPr="00B20E7C" w:rsidRDefault="00293DD2" w:rsidP="00293DD2">
      <w:pPr>
        <w:jc w:val="center"/>
      </w:pPr>
    </w:p>
    <w:p w:rsidR="00293DD2" w:rsidRPr="00B20E7C" w:rsidRDefault="00293DD2" w:rsidP="00293DD2">
      <w:pPr>
        <w:jc w:val="center"/>
        <w:rPr>
          <w:i/>
        </w:rPr>
      </w:pPr>
      <w:r w:rsidRPr="00B20E7C">
        <w:rPr>
          <w:i/>
        </w:rPr>
        <w:t>prepared by experts from the Netherlands</w:t>
      </w:r>
    </w:p>
    <w:p w:rsidR="00293DD2" w:rsidRPr="00B20E7C" w:rsidRDefault="00293DD2" w:rsidP="00293DD2"/>
    <w:p w:rsidR="00293DD2" w:rsidRPr="00B20E7C" w:rsidRDefault="00293DD2" w:rsidP="00293DD2"/>
    <w:p w:rsidR="00293DD2" w:rsidRPr="00B20E7C" w:rsidRDefault="00293DD2" w:rsidP="00293DD2"/>
    <w:p w:rsidR="00293DD2" w:rsidRPr="00B20E7C" w:rsidRDefault="00293DD2" w:rsidP="00293DD2">
      <w:r w:rsidRPr="00B20E7C">
        <w:t>1.</w:t>
      </w:r>
      <w:r w:rsidRPr="00B20E7C">
        <w:tab/>
      </w:r>
      <w:r w:rsidRPr="00B20E7C">
        <w:rPr>
          <w:u w:val="single"/>
        </w:rPr>
        <w:t>Introduction</w:t>
      </w:r>
    </w:p>
    <w:p w:rsidR="00293DD2" w:rsidRPr="00B20E7C" w:rsidRDefault="00293DD2" w:rsidP="00293DD2"/>
    <w:p w:rsidR="00293DD2" w:rsidRPr="00B20E7C" w:rsidRDefault="00293DD2" w:rsidP="00293DD2">
      <w:r w:rsidRPr="00B20E7C">
        <w:t xml:space="preserve">1.1 </w:t>
      </w:r>
      <w:r w:rsidRPr="00B20E7C">
        <w:tab/>
        <w:t xml:space="preserve">This approach involves a step to check for genetic similarity before the first growing cycle.  </w:t>
      </w:r>
    </w:p>
    <w:p w:rsidR="00293DD2" w:rsidRPr="00B20E7C" w:rsidRDefault="00293DD2" w:rsidP="00293DD2"/>
    <w:p w:rsidR="00293DD2" w:rsidRPr="00B20E7C" w:rsidRDefault="00293DD2" w:rsidP="00293DD2">
      <w:r w:rsidRPr="00B20E7C">
        <w:t>1.2</w:t>
      </w:r>
      <w:r w:rsidRPr="00B20E7C">
        <w:tab/>
        <w:t xml:space="preserve">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Technical Questionnaire (TQ) is used to see if some of the genetically similar varieties do not have to be compared in a growing trial because of differences in DUS characteristics.  </w:t>
      </w:r>
    </w:p>
    <w:p w:rsidR="00293DD2" w:rsidRPr="00B20E7C" w:rsidRDefault="00293DD2" w:rsidP="00293DD2"/>
    <w:p w:rsidR="00293DD2" w:rsidRPr="00B20E7C" w:rsidRDefault="00293DD2" w:rsidP="00293DD2">
      <w:r w:rsidRPr="00B20E7C">
        <w:t>1.3</w:t>
      </w:r>
      <w:r w:rsidRPr="00B20E7C">
        <w:tab/>
        <w:t xml:space="preserve">On the basis of the variety description of DUS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293DD2" w:rsidRPr="00B20E7C" w:rsidRDefault="00293DD2" w:rsidP="00293DD2"/>
    <w:p w:rsidR="00293DD2" w:rsidRPr="00B20E7C" w:rsidRDefault="00293DD2" w:rsidP="00293DD2"/>
    <w:p w:rsidR="00293DD2" w:rsidRPr="00B20E7C" w:rsidRDefault="00293DD2" w:rsidP="00293DD2">
      <w:r w:rsidRPr="00B20E7C">
        <w:t>2.</w:t>
      </w:r>
      <w:r w:rsidRPr="00B20E7C">
        <w:tab/>
      </w:r>
      <w:r w:rsidRPr="00B20E7C">
        <w:rPr>
          <w:u w:val="single"/>
        </w:rPr>
        <w:t>Procedure</w:t>
      </w:r>
    </w:p>
    <w:p w:rsidR="00293DD2" w:rsidRPr="00B20E7C" w:rsidRDefault="00293DD2" w:rsidP="00293DD2"/>
    <w:p w:rsidR="00293DD2" w:rsidRPr="00B20E7C" w:rsidRDefault="00293DD2" w:rsidP="00293DD2">
      <w:pPr>
        <w:rPr>
          <w:i/>
        </w:rPr>
      </w:pPr>
      <w:r w:rsidRPr="00B20E7C">
        <w:rPr>
          <w:i/>
        </w:rPr>
        <w:t>Determine genetic similarity</w:t>
      </w:r>
    </w:p>
    <w:p w:rsidR="00293DD2" w:rsidRPr="00B20E7C" w:rsidRDefault="00293DD2" w:rsidP="00293DD2"/>
    <w:p w:rsidR="00293DD2" w:rsidRPr="00B20E7C" w:rsidRDefault="00293DD2" w:rsidP="00293DD2">
      <w:r w:rsidRPr="00B20E7C">
        <w:t>2.1</w:t>
      </w:r>
      <w:r w:rsidRPr="00B20E7C">
        <w:tab/>
        <w:t>The DNA-profile of the candidate variety is produced as soon as plant material is received.</w:t>
      </w:r>
    </w:p>
    <w:p w:rsidR="00293DD2" w:rsidRPr="00B20E7C" w:rsidRDefault="00293DD2" w:rsidP="00293DD2"/>
    <w:p w:rsidR="00293DD2" w:rsidRPr="00B20E7C" w:rsidRDefault="00293DD2" w:rsidP="00293DD2">
      <w:r w:rsidRPr="00B20E7C">
        <w:t>2.2</w:t>
      </w:r>
      <w:r w:rsidRPr="00B20E7C">
        <w:tab/>
        <w:t xml:space="preserve">The DNA-profile is compared with the profiles of all varieties in the variety collection and genetically similar varieties are identified. </w:t>
      </w:r>
    </w:p>
    <w:p w:rsidR="00293DD2" w:rsidRPr="00B20E7C" w:rsidRDefault="00293DD2" w:rsidP="00293DD2"/>
    <w:p w:rsidR="00293DD2" w:rsidRPr="00B20E7C" w:rsidRDefault="00293DD2" w:rsidP="00293DD2">
      <w:pPr>
        <w:rPr>
          <w:i/>
        </w:rPr>
      </w:pPr>
      <w:r w:rsidRPr="00B20E7C">
        <w:rPr>
          <w:i/>
        </w:rPr>
        <w:t>Technical Questionnaire information</w:t>
      </w:r>
    </w:p>
    <w:p w:rsidR="00293DD2" w:rsidRPr="00B20E7C" w:rsidRDefault="00293DD2" w:rsidP="00293DD2"/>
    <w:p w:rsidR="00293DD2" w:rsidRPr="00B20E7C" w:rsidRDefault="00293DD2" w:rsidP="00293DD2">
      <w:r w:rsidRPr="00B20E7C">
        <w:t>2.3</w:t>
      </w:r>
      <w:r w:rsidRPr="00B20E7C">
        <w:tab/>
        <w:t xml:space="preserve">The information provided by the applicant in the Technical Questionnaire (TQ) is then used to see if there are clear differences in DUS characteristics from some of the genetically similar varieties so that they do not need to be compared with candidate varieties in a growing trial.   </w:t>
      </w:r>
    </w:p>
    <w:p w:rsidR="00293DD2" w:rsidRPr="00B20E7C" w:rsidRDefault="00293DD2" w:rsidP="00293DD2"/>
    <w:p w:rsidR="00293DD2" w:rsidRPr="00B20E7C" w:rsidRDefault="00293DD2" w:rsidP="00293DD2">
      <w:pPr>
        <w:rPr>
          <w:i/>
        </w:rPr>
      </w:pPr>
      <w:r w:rsidRPr="00B20E7C">
        <w:rPr>
          <w:i/>
        </w:rPr>
        <w:t>Field trial</w:t>
      </w:r>
    </w:p>
    <w:p w:rsidR="00293DD2" w:rsidRPr="00B20E7C" w:rsidRDefault="00293DD2" w:rsidP="00293DD2"/>
    <w:p w:rsidR="00293DD2" w:rsidRPr="00B20E7C" w:rsidRDefault="00293DD2" w:rsidP="00293DD2">
      <w:pPr>
        <w:ind w:left="567"/>
        <w:rPr>
          <w:u w:val="single"/>
        </w:rPr>
      </w:pPr>
      <w:r w:rsidRPr="00B20E7C">
        <w:rPr>
          <w:u w:val="single"/>
        </w:rPr>
        <w:t>First growing cycle:</w:t>
      </w:r>
    </w:p>
    <w:p w:rsidR="00293DD2" w:rsidRPr="00B20E7C" w:rsidRDefault="00293DD2" w:rsidP="00293DD2"/>
    <w:p w:rsidR="00293DD2" w:rsidRPr="00B20E7C" w:rsidRDefault="00293DD2" w:rsidP="00293DD2">
      <w:r w:rsidRPr="00B20E7C">
        <w:t>2.4</w:t>
      </w:r>
      <w:r w:rsidRPr="00B20E7C">
        <w:tab/>
        <w:t xml:space="preserve">The candidate and the genetically similar varieties selected by the procedure above are grown in the same field trial. A complete description of the DUS characteristics of the candidate variety is produced and is compared to the descriptions of all varieties in the variety collection using a database containing descriptions produced at the same location in previous years. </w:t>
      </w:r>
    </w:p>
    <w:p w:rsidR="00293DD2" w:rsidRPr="00B20E7C" w:rsidRDefault="00293DD2" w:rsidP="00293DD2"/>
    <w:p w:rsidR="00293DD2" w:rsidRPr="00B20E7C" w:rsidRDefault="00293DD2" w:rsidP="00293DD2">
      <w:pPr>
        <w:ind w:firstLine="567"/>
        <w:rPr>
          <w:i/>
        </w:rPr>
      </w:pPr>
      <w:r w:rsidRPr="00B20E7C">
        <w:rPr>
          <w:i/>
        </w:rPr>
        <w:t xml:space="preserve">Possible outcomes: </w:t>
      </w:r>
    </w:p>
    <w:p w:rsidR="00293DD2" w:rsidRPr="00B20E7C" w:rsidRDefault="00293DD2" w:rsidP="00293DD2"/>
    <w:p w:rsidR="00293DD2" w:rsidRPr="00B20E7C" w:rsidRDefault="00293DD2" w:rsidP="00293DD2">
      <w:r w:rsidRPr="00B20E7C">
        <w:t>2.5</w:t>
      </w:r>
      <w:r w:rsidRPr="00B20E7C">
        <w:tab/>
        <w:t xml:space="preserve">If the candidate variety is not distinct from the genetically similar varieties on the basis of DUS characteristics, the test will be continued for another growing cycle. </w:t>
      </w:r>
    </w:p>
    <w:p w:rsidR="00293DD2" w:rsidRPr="00B20E7C" w:rsidRDefault="00293DD2" w:rsidP="00293DD2">
      <w:pPr>
        <w:jc w:val="left"/>
      </w:pPr>
      <w:r w:rsidRPr="00B20E7C">
        <w:br w:type="page"/>
      </w:r>
    </w:p>
    <w:p w:rsidR="00293DD2" w:rsidRPr="00B20E7C" w:rsidRDefault="00293DD2" w:rsidP="00293DD2"/>
    <w:p w:rsidR="00293DD2" w:rsidRPr="00B20E7C" w:rsidRDefault="00293DD2" w:rsidP="00293DD2">
      <w:r w:rsidRPr="00B20E7C">
        <w:t>2.6</w:t>
      </w:r>
      <w:r w:rsidRPr="00B20E7C">
        <w:tab/>
        <w:t xml:space="preserve">In any case, the description of the candidate variety produced in the first growing cycle is compared to the descriptions of the varieties in the variety collection using a database containing descriptions produced at the same location: </w:t>
      </w:r>
    </w:p>
    <w:p w:rsidR="00293DD2" w:rsidRPr="00B20E7C" w:rsidRDefault="00293DD2" w:rsidP="00293DD2"/>
    <w:p w:rsidR="00293DD2" w:rsidRPr="00B20E7C" w:rsidRDefault="00293DD2" w:rsidP="00293DD2">
      <w:r w:rsidRPr="00B20E7C">
        <w:tab/>
        <w:t>(a)</w:t>
      </w:r>
      <w:r w:rsidRPr="00B20E7C">
        <w:tab/>
        <w:t>If the candidate variety is found to be distinct from all varieties grown in the first growing cycle and to all other varieties in the variety collection at the end of the first growing cycle and it fulfills the uniformity and stability requirements the DUS test may be concluded after the first growing cycle.</w:t>
      </w:r>
    </w:p>
    <w:p w:rsidR="00293DD2" w:rsidRPr="00B20E7C" w:rsidRDefault="00293DD2" w:rsidP="00293DD2"/>
    <w:p w:rsidR="00293DD2" w:rsidRPr="00B20E7C" w:rsidRDefault="00293DD2" w:rsidP="00293DD2">
      <w:r w:rsidRPr="00B20E7C">
        <w:tab/>
        <w:t>(b)</w:t>
      </w:r>
      <w:r w:rsidRPr="00B20E7C">
        <w:tab/>
        <w:t xml:space="preserve">In all other cases a second growing cycle is performed. </w:t>
      </w:r>
    </w:p>
    <w:p w:rsidR="00293DD2" w:rsidRPr="00B20E7C" w:rsidRDefault="00293DD2" w:rsidP="00293DD2"/>
    <w:p w:rsidR="00293DD2" w:rsidRPr="00B20E7C" w:rsidRDefault="00293DD2" w:rsidP="00293DD2">
      <w:pPr>
        <w:ind w:left="567"/>
        <w:rPr>
          <w:u w:val="single"/>
        </w:rPr>
      </w:pPr>
      <w:r w:rsidRPr="00B20E7C">
        <w:rPr>
          <w:u w:val="single"/>
        </w:rPr>
        <w:t>Second growing cycle</w:t>
      </w:r>
    </w:p>
    <w:p w:rsidR="00293DD2" w:rsidRPr="00B20E7C" w:rsidRDefault="00293DD2" w:rsidP="00293DD2"/>
    <w:p w:rsidR="00293DD2" w:rsidRPr="00B20E7C" w:rsidRDefault="00293DD2" w:rsidP="00293DD2">
      <w:r w:rsidRPr="00B20E7C">
        <w:t>2.7</w:t>
      </w:r>
      <w:r w:rsidRPr="00B20E7C">
        <w:tab/>
        <w:t xml:space="preserve">In the second growing cycle, the candidate variety is grown with all varieties in the variety collection from which it was not found to be distinct at the end of the first growing cycle. </w:t>
      </w:r>
    </w:p>
    <w:p w:rsidR="00293DD2" w:rsidRPr="00B20E7C" w:rsidRDefault="00293DD2" w:rsidP="00293DD2"/>
    <w:p w:rsidR="00293DD2" w:rsidRPr="00A20215" w:rsidRDefault="00293DD2" w:rsidP="00293DD2">
      <w:pPr>
        <w:rPr>
          <w:rFonts w:eastAsia="Calibri"/>
        </w:rPr>
      </w:pPr>
      <w:r w:rsidRPr="00B20E7C">
        <w:t>2.8</w:t>
      </w:r>
      <w:r w:rsidRPr="00B20E7C">
        <w:tab/>
        <w:t>At the end of the second growing cycle, an assessment of DUS is made.  If it is not possible to reach a decision on DUS at the end of the second growing cycle, a further growing cycle may be conducted.</w:t>
      </w:r>
    </w:p>
    <w:p w:rsidR="00293DD2" w:rsidRPr="00A20215" w:rsidRDefault="00293DD2" w:rsidP="00293DD2">
      <w:pPr>
        <w:rPr>
          <w:rFonts w:eastAsia="Calibri"/>
        </w:rPr>
      </w:pPr>
    </w:p>
    <w:p w:rsidR="00F40E8E" w:rsidRDefault="00F40E8E" w:rsidP="00F40E8E"/>
    <w:p w:rsidR="00293DD2" w:rsidRDefault="00293DD2" w:rsidP="00F40E8E"/>
    <w:p w:rsidR="00293DD2" w:rsidRPr="00F000EA" w:rsidRDefault="00293DD2" w:rsidP="00293DD2">
      <w:pPr>
        <w:jc w:val="right"/>
        <w:rPr>
          <w:rFonts w:cs="Arial"/>
        </w:rPr>
      </w:pPr>
      <w:r w:rsidRPr="00F000EA">
        <w:rPr>
          <w:rFonts w:cs="Arial"/>
        </w:rPr>
        <w:t>[End of Annex II and of document]</w:t>
      </w:r>
    </w:p>
    <w:p w:rsidR="00F40E8E" w:rsidRPr="003F29C8" w:rsidRDefault="00F40E8E" w:rsidP="00F40E8E">
      <w:pPr>
        <w:rPr>
          <w:u w:val="single"/>
        </w:rPr>
      </w:pPr>
    </w:p>
    <w:sectPr w:rsidR="00F40E8E" w:rsidRPr="003F29C8" w:rsidSect="007C5A0C">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A3" w:rsidRDefault="00494CA3" w:rsidP="006655D3">
      <w:r>
        <w:separator/>
      </w:r>
    </w:p>
    <w:p w:rsidR="00494CA3" w:rsidRDefault="00494CA3" w:rsidP="006655D3"/>
    <w:p w:rsidR="00494CA3" w:rsidRDefault="00494CA3" w:rsidP="006655D3"/>
  </w:endnote>
  <w:endnote w:type="continuationSeparator" w:id="0">
    <w:p w:rsidR="00494CA3" w:rsidRDefault="00494CA3" w:rsidP="006655D3">
      <w:r>
        <w:separator/>
      </w:r>
    </w:p>
    <w:p w:rsidR="00494CA3" w:rsidRPr="005F385A" w:rsidRDefault="00494CA3">
      <w:pPr>
        <w:pStyle w:val="Footer"/>
        <w:spacing w:after="60"/>
        <w:rPr>
          <w:sz w:val="18"/>
          <w:lang w:val="fr-CH"/>
        </w:rPr>
      </w:pPr>
      <w:r w:rsidRPr="005F385A">
        <w:rPr>
          <w:sz w:val="18"/>
          <w:lang w:val="fr-CH"/>
        </w:rPr>
        <w:t>[Suite de la note de la page précédente]</w:t>
      </w:r>
    </w:p>
    <w:p w:rsidR="00494CA3" w:rsidRPr="005F385A" w:rsidRDefault="00494CA3" w:rsidP="006655D3">
      <w:pPr>
        <w:rPr>
          <w:lang w:val="fr-CH"/>
        </w:rPr>
      </w:pPr>
    </w:p>
    <w:p w:rsidR="00494CA3" w:rsidRPr="005F385A" w:rsidRDefault="00494CA3" w:rsidP="006655D3">
      <w:pPr>
        <w:rPr>
          <w:lang w:val="fr-CH"/>
        </w:rPr>
      </w:pPr>
    </w:p>
  </w:endnote>
  <w:endnote w:type="continuationNotice" w:id="1">
    <w:p w:rsidR="00494CA3" w:rsidRPr="005F385A" w:rsidRDefault="00494CA3" w:rsidP="006655D3">
      <w:pPr>
        <w:rPr>
          <w:lang w:val="fr-CH"/>
        </w:rPr>
      </w:pPr>
      <w:r w:rsidRPr="005F385A">
        <w:rPr>
          <w:lang w:val="fr-CH"/>
        </w:rPr>
        <w:t>[Suite de la note page suivante]</w:t>
      </w:r>
    </w:p>
    <w:p w:rsidR="00494CA3" w:rsidRPr="005F385A" w:rsidRDefault="00494CA3" w:rsidP="006655D3">
      <w:pPr>
        <w:rPr>
          <w:lang w:val="fr-CH"/>
        </w:rPr>
      </w:pPr>
    </w:p>
    <w:p w:rsidR="00494CA3" w:rsidRPr="005F385A" w:rsidRDefault="00494CA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A384F" w:rsidRDefault="00E306B7" w:rsidP="007C1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A3" w:rsidRDefault="00494CA3" w:rsidP="006655D3">
      <w:r>
        <w:separator/>
      </w:r>
    </w:p>
  </w:footnote>
  <w:footnote w:type="continuationSeparator" w:id="0">
    <w:p w:rsidR="00494CA3" w:rsidRDefault="00494CA3" w:rsidP="006655D3">
      <w:r>
        <w:separator/>
      </w:r>
    </w:p>
  </w:footnote>
  <w:footnote w:type="continuationNotice" w:id="1">
    <w:p w:rsidR="00494CA3" w:rsidRPr="00AB5028" w:rsidRDefault="00494CA3" w:rsidP="00AB502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61C6B" w:rsidRDefault="00ED2D12" w:rsidP="007C1573">
    <w:pPr>
      <w:pStyle w:val="Header"/>
      <w:rPr>
        <w:rFonts w:cs="Arial"/>
      </w:rPr>
    </w:pPr>
    <w:r>
      <w:rPr>
        <w:rFonts w:cs="Arial"/>
      </w:rPr>
      <w:t xml:space="preserve">TGP/15/3 </w:t>
    </w:r>
    <w:proofErr w:type="spellStart"/>
    <w:r>
      <w:rPr>
        <w:rFonts w:cs="Arial"/>
      </w:rPr>
      <w:t>Draft</w:t>
    </w:r>
    <w:proofErr w:type="spellEnd"/>
    <w:r>
      <w:rPr>
        <w:rFonts w:cs="Arial"/>
      </w:rPr>
      <w:t xml:space="preserve"> 1</w:t>
    </w:r>
  </w:p>
  <w:p w:rsidR="00E306B7" w:rsidRPr="00C61C6B" w:rsidRDefault="00E306B7" w:rsidP="007C1573">
    <w:pPr>
      <w:pStyle w:val="Header"/>
      <w:rPr>
        <w:rStyle w:val="PageNumber"/>
        <w:rFonts w:cs="Arial"/>
      </w:rPr>
    </w:pPr>
    <w:r w:rsidRPr="00C61C6B">
      <w:rPr>
        <w:rFonts w:cs="Arial"/>
      </w:rPr>
      <w:t xml:space="preserve">page </w:t>
    </w:r>
    <w:r w:rsidRPr="00C61C6B">
      <w:rPr>
        <w:rStyle w:val="PageNumber"/>
        <w:rFonts w:cs="Arial"/>
      </w:rPr>
      <w:fldChar w:fldCharType="begin"/>
    </w:r>
    <w:r w:rsidRPr="00C61C6B">
      <w:rPr>
        <w:rStyle w:val="PageNumber"/>
        <w:rFonts w:cs="Arial"/>
      </w:rPr>
      <w:instrText xml:space="preserve"> PAGE </w:instrText>
    </w:r>
    <w:r w:rsidRPr="00C61C6B">
      <w:rPr>
        <w:rStyle w:val="PageNumber"/>
        <w:rFonts w:cs="Arial"/>
      </w:rPr>
      <w:fldChar w:fldCharType="separate"/>
    </w:r>
    <w:r w:rsidR="00EF5E61">
      <w:rPr>
        <w:rStyle w:val="PageNumber"/>
        <w:rFonts w:cs="Arial"/>
        <w:noProof/>
      </w:rPr>
      <w:t>4</w:t>
    </w:r>
    <w:r w:rsidRPr="00C61C6B">
      <w:rPr>
        <w:rStyle w:val="PageNumber"/>
        <w:rFonts w:cs="Arial"/>
      </w:rPr>
      <w:fldChar w:fldCharType="end"/>
    </w:r>
  </w:p>
  <w:p w:rsidR="00E306B7" w:rsidRDefault="00E306B7">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207199" w:rsidRDefault="00ED2D12" w:rsidP="007C1573">
    <w:pPr>
      <w:pStyle w:val="Header"/>
      <w:rPr>
        <w:rFonts w:cs="Arial"/>
        <w:lang w:val="en-US"/>
      </w:rPr>
    </w:pPr>
    <w:r>
      <w:rPr>
        <w:rFonts w:cs="Arial"/>
        <w:lang w:val="en-US"/>
      </w:rPr>
      <w:t>TGP/15/3 Draft 1</w:t>
    </w:r>
  </w:p>
  <w:p w:rsidR="00E306B7" w:rsidRPr="00C61C6B" w:rsidRDefault="00207199">
    <w:pPr>
      <w:jc w:val="center"/>
      <w:rPr>
        <w:rFonts w:cs="Arial"/>
      </w:rPr>
    </w:pPr>
    <w:r>
      <w:rPr>
        <w:rFonts w:cs="Arial"/>
      </w:rPr>
      <w:t>Annex I</w:t>
    </w:r>
    <w:r w:rsidR="00E306B7" w:rsidRPr="00C61C6B">
      <w:rPr>
        <w:rFonts w:cs="Arial"/>
      </w:rPr>
      <w:t xml:space="preserve">, page </w:t>
    </w:r>
    <w:r w:rsidR="00E306B7" w:rsidRPr="00C61C6B">
      <w:rPr>
        <w:rFonts w:cs="Arial"/>
      </w:rPr>
      <w:fldChar w:fldCharType="begin"/>
    </w:r>
    <w:r w:rsidR="00E306B7" w:rsidRPr="00C61C6B">
      <w:rPr>
        <w:rFonts w:cs="Arial"/>
      </w:rPr>
      <w:instrText xml:space="preserve"> PAGE  \* MERGEFORMAT </w:instrText>
    </w:r>
    <w:r w:rsidR="00E306B7" w:rsidRPr="00C61C6B">
      <w:rPr>
        <w:rFonts w:cs="Arial"/>
      </w:rPr>
      <w:fldChar w:fldCharType="separate"/>
    </w:r>
    <w:r w:rsidR="00EF5E61">
      <w:rPr>
        <w:rFonts w:cs="Arial"/>
        <w:noProof/>
      </w:rPr>
      <w:t>3</w:t>
    </w:r>
    <w:r w:rsidR="00E306B7" w:rsidRPr="00C61C6B">
      <w:rPr>
        <w:rFonts w:cs="Arial"/>
      </w:rPr>
      <w:fldChar w:fldCharType="end"/>
    </w:r>
  </w:p>
  <w:p w:rsidR="00E306B7" w:rsidRPr="00C61C6B" w:rsidRDefault="00E306B7">
    <w:pPr>
      <w:jc w:val="cent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647496" w:rsidRDefault="00ED2D12" w:rsidP="007C1573">
    <w:pPr>
      <w:pStyle w:val="Header"/>
      <w:rPr>
        <w:rFonts w:cs="Arial"/>
        <w:lang w:val="en-US"/>
      </w:rPr>
    </w:pPr>
    <w:r w:rsidRPr="00647496">
      <w:rPr>
        <w:rFonts w:cs="Arial"/>
        <w:lang w:val="en-US"/>
      </w:rPr>
      <w:t>TGP/15/3 Draft 1</w:t>
    </w:r>
  </w:p>
  <w:p w:rsidR="00E306B7" w:rsidRPr="00647496" w:rsidRDefault="00E306B7">
    <w:pPr>
      <w:pStyle w:val="Header"/>
      <w:rPr>
        <w:rFonts w:cs="Arial"/>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2074159528"/>
      <w:docPartObj>
        <w:docPartGallery w:val="Page Numbers (Top of Page)"/>
        <w:docPartUnique/>
      </w:docPartObj>
    </w:sdtPr>
    <w:sdtEndPr/>
    <w:sdtContent>
      <w:p w:rsidR="00E306B7" w:rsidRPr="00647496" w:rsidRDefault="00ED2D12" w:rsidP="00E306B7">
        <w:pPr>
          <w:pStyle w:val="Header"/>
          <w:rPr>
            <w:lang w:val="en-US"/>
          </w:rPr>
        </w:pPr>
        <w:r w:rsidRPr="00647496">
          <w:rPr>
            <w:lang w:val="en-US"/>
          </w:rPr>
          <w:t>TGP/15/3 Draft 1</w:t>
        </w:r>
      </w:p>
      <w:p w:rsidR="00E306B7" w:rsidRPr="00647496" w:rsidRDefault="00E306B7">
        <w:pPr>
          <w:pStyle w:val="Header"/>
          <w:rPr>
            <w:lang w:val="en-US"/>
          </w:rPr>
        </w:pPr>
        <w:r w:rsidRPr="00647496">
          <w:rPr>
            <w:lang w:val="en-US"/>
          </w:rPr>
          <w:t xml:space="preserve">Annex </w:t>
        </w:r>
        <w:r w:rsidR="00B6238F" w:rsidRPr="00647496">
          <w:rPr>
            <w:lang w:val="en-US"/>
          </w:rPr>
          <w:t>II</w:t>
        </w:r>
        <w:r w:rsidRPr="00647496">
          <w:rPr>
            <w:lang w:val="en-US"/>
          </w:rPr>
          <w:t xml:space="preserve">, page </w:t>
        </w:r>
        <w:r w:rsidRPr="00647496">
          <w:rPr>
            <w:lang w:val="en-US"/>
          </w:rPr>
          <w:fldChar w:fldCharType="begin"/>
        </w:r>
        <w:r w:rsidRPr="00647496">
          <w:rPr>
            <w:lang w:val="en-US"/>
          </w:rPr>
          <w:instrText xml:space="preserve"> PAGE   \* MERGEFORMAT </w:instrText>
        </w:r>
        <w:r w:rsidRPr="00647496">
          <w:rPr>
            <w:lang w:val="en-US"/>
          </w:rPr>
          <w:fldChar w:fldCharType="separate"/>
        </w:r>
        <w:r w:rsidR="00EF5E61">
          <w:rPr>
            <w:noProof/>
            <w:lang w:val="en-US"/>
          </w:rPr>
          <w:t>6</w:t>
        </w:r>
        <w:r w:rsidRPr="00647496">
          <w:rPr>
            <w:lang w:val="en-US"/>
          </w:rPr>
          <w:fldChar w:fldCharType="end"/>
        </w:r>
      </w:p>
    </w:sdtContent>
  </w:sdt>
  <w:p w:rsidR="00995131" w:rsidRPr="00647496" w:rsidRDefault="0099513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31" w:rsidRPr="00647496" w:rsidRDefault="00ED2D12" w:rsidP="00E306B7">
    <w:pPr>
      <w:pStyle w:val="Header"/>
      <w:rPr>
        <w:lang w:val="en-US"/>
      </w:rPr>
    </w:pPr>
    <w:r w:rsidRPr="00647496">
      <w:rPr>
        <w:lang w:val="en-US"/>
      </w:rPr>
      <w:t>TGP/15/3 Draft 1</w:t>
    </w:r>
  </w:p>
  <w:p w:rsidR="00995131" w:rsidRPr="00647496" w:rsidRDefault="00995131" w:rsidP="00621C0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18" w15:restartNumberingAfterBreak="0">
    <w:nsid w:val="6CFB2B96"/>
    <w:multiLevelType w:val="hybridMultilevel"/>
    <w:tmpl w:val="402A1E6A"/>
    <w:lvl w:ilvl="0" w:tplc="634AA75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2"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5"/>
  </w:num>
  <w:num w:numId="3">
    <w:abstractNumId w:val="14"/>
  </w:num>
  <w:num w:numId="4">
    <w:abstractNumId w:val="19"/>
  </w:num>
  <w:num w:numId="5">
    <w:abstractNumId w:val="12"/>
  </w:num>
  <w:num w:numId="6">
    <w:abstractNumId w:val="16"/>
  </w:num>
  <w:num w:numId="7">
    <w:abstractNumId w:val="2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3"/>
  </w:num>
  <w:num w:numId="21">
    <w:abstractNumId w:val="20"/>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24"/>
    <w:rsid w:val="00000CB9"/>
    <w:rsid w:val="00002B6A"/>
    <w:rsid w:val="0000443F"/>
    <w:rsid w:val="00010CF3"/>
    <w:rsid w:val="00011E27"/>
    <w:rsid w:val="000148BC"/>
    <w:rsid w:val="00021037"/>
    <w:rsid w:val="00024909"/>
    <w:rsid w:val="00024AB8"/>
    <w:rsid w:val="00030854"/>
    <w:rsid w:val="00036028"/>
    <w:rsid w:val="00037F34"/>
    <w:rsid w:val="00044642"/>
    <w:rsid w:val="000446B9"/>
    <w:rsid w:val="00047D7F"/>
    <w:rsid w:val="00047E21"/>
    <w:rsid w:val="0006248B"/>
    <w:rsid w:val="00063D11"/>
    <w:rsid w:val="0007288C"/>
    <w:rsid w:val="00073466"/>
    <w:rsid w:val="0007356B"/>
    <w:rsid w:val="00080A8D"/>
    <w:rsid w:val="00085052"/>
    <w:rsid w:val="00085505"/>
    <w:rsid w:val="00085A45"/>
    <w:rsid w:val="00091A19"/>
    <w:rsid w:val="00094E01"/>
    <w:rsid w:val="0009590A"/>
    <w:rsid w:val="00097F5E"/>
    <w:rsid w:val="000A04B8"/>
    <w:rsid w:val="000A1E07"/>
    <w:rsid w:val="000A4427"/>
    <w:rsid w:val="000A68B4"/>
    <w:rsid w:val="000A70B0"/>
    <w:rsid w:val="000B2492"/>
    <w:rsid w:val="000C46ED"/>
    <w:rsid w:val="000C7021"/>
    <w:rsid w:val="000D268A"/>
    <w:rsid w:val="000D528D"/>
    <w:rsid w:val="000D551C"/>
    <w:rsid w:val="000D647D"/>
    <w:rsid w:val="000D6BBC"/>
    <w:rsid w:val="000D7780"/>
    <w:rsid w:val="000E1FD1"/>
    <w:rsid w:val="000F413B"/>
    <w:rsid w:val="000F647B"/>
    <w:rsid w:val="000F7A18"/>
    <w:rsid w:val="0010207D"/>
    <w:rsid w:val="00104C61"/>
    <w:rsid w:val="00105929"/>
    <w:rsid w:val="00110CAE"/>
    <w:rsid w:val="001117A4"/>
    <w:rsid w:val="001131D5"/>
    <w:rsid w:val="00117F5F"/>
    <w:rsid w:val="00126FB6"/>
    <w:rsid w:val="00130D68"/>
    <w:rsid w:val="00132E0B"/>
    <w:rsid w:val="00141DB8"/>
    <w:rsid w:val="00151CB4"/>
    <w:rsid w:val="0015579B"/>
    <w:rsid w:val="0015599C"/>
    <w:rsid w:val="00167822"/>
    <w:rsid w:val="0017474A"/>
    <w:rsid w:val="001758C6"/>
    <w:rsid w:val="00175960"/>
    <w:rsid w:val="00177FA1"/>
    <w:rsid w:val="00182B99"/>
    <w:rsid w:val="001847F8"/>
    <w:rsid w:val="0019611A"/>
    <w:rsid w:val="001A13C4"/>
    <w:rsid w:val="001A344A"/>
    <w:rsid w:val="001B40EE"/>
    <w:rsid w:val="001B5948"/>
    <w:rsid w:val="001C1A11"/>
    <w:rsid w:val="001D6281"/>
    <w:rsid w:val="001D7208"/>
    <w:rsid w:val="001E3B46"/>
    <w:rsid w:val="001E7CA6"/>
    <w:rsid w:val="001F62AE"/>
    <w:rsid w:val="0020017F"/>
    <w:rsid w:val="002029C6"/>
    <w:rsid w:val="00207199"/>
    <w:rsid w:val="0021332C"/>
    <w:rsid w:val="00213982"/>
    <w:rsid w:val="00214587"/>
    <w:rsid w:val="0021545B"/>
    <w:rsid w:val="002178C8"/>
    <w:rsid w:val="00220F2E"/>
    <w:rsid w:val="00221C2C"/>
    <w:rsid w:val="00223239"/>
    <w:rsid w:val="00227397"/>
    <w:rsid w:val="0023189C"/>
    <w:rsid w:val="00233156"/>
    <w:rsid w:val="00237965"/>
    <w:rsid w:val="002406AD"/>
    <w:rsid w:val="0024416D"/>
    <w:rsid w:val="0024623A"/>
    <w:rsid w:val="00252F7A"/>
    <w:rsid w:val="002539A2"/>
    <w:rsid w:val="0026205B"/>
    <w:rsid w:val="00263EC0"/>
    <w:rsid w:val="0026729D"/>
    <w:rsid w:val="002741F7"/>
    <w:rsid w:val="00274294"/>
    <w:rsid w:val="00277A4C"/>
    <w:rsid w:val="002800A0"/>
    <w:rsid w:val="002801B3"/>
    <w:rsid w:val="00281060"/>
    <w:rsid w:val="002852D1"/>
    <w:rsid w:val="002853F5"/>
    <w:rsid w:val="00286ABE"/>
    <w:rsid w:val="00293DD2"/>
    <w:rsid w:val="00294032"/>
    <w:rsid w:val="002940E8"/>
    <w:rsid w:val="002A6E50"/>
    <w:rsid w:val="002B14BC"/>
    <w:rsid w:val="002B43DD"/>
    <w:rsid w:val="002C256A"/>
    <w:rsid w:val="002C4789"/>
    <w:rsid w:val="002C5E5D"/>
    <w:rsid w:val="002E0195"/>
    <w:rsid w:val="002E4023"/>
    <w:rsid w:val="002F1FC3"/>
    <w:rsid w:val="002F245E"/>
    <w:rsid w:val="002F519B"/>
    <w:rsid w:val="002F6472"/>
    <w:rsid w:val="002F6C61"/>
    <w:rsid w:val="002F7F64"/>
    <w:rsid w:val="0030140A"/>
    <w:rsid w:val="00305A7F"/>
    <w:rsid w:val="00306C98"/>
    <w:rsid w:val="003152FE"/>
    <w:rsid w:val="0031534C"/>
    <w:rsid w:val="0031569D"/>
    <w:rsid w:val="0032649B"/>
    <w:rsid w:val="003273FC"/>
    <w:rsid w:val="00327436"/>
    <w:rsid w:val="00332177"/>
    <w:rsid w:val="003347E4"/>
    <w:rsid w:val="00334D2A"/>
    <w:rsid w:val="00344BD6"/>
    <w:rsid w:val="003544E6"/>
    <w:rsid w:val="0035528D"/>
    <w:rsid w:val="0036046C"/>
    <w:rsid w:val="00361821"/>
    <w:rsid w:val="00361EB5"/>
    <w:rsid w:val="00365765"/>
    <w:rsid w:val="00365BB2"/>
    <w:rsid w:val="00370355"/>
    <w:rsid w:val="00381161"/>
    <w:rsid w:val="0038194A"/>
    <w:rsid w:val="003821A0"/>
    <w:rsid w:val="00384E18"/>
    <w:rsid w:val="0038670F"/>
    <w:rsid w:val="003A0212"/>
    <w:rsid w:val="003A0B4E"/>
    <w:rsid w:val="003A3AD2"/>
    <w:rsid w:val="003A4469"/>
    <w:rsid w:val="003A7DE4"/>
    <w:rsid w:val="003B027E"/>
    <w:rsid w:val="003B3258"/>
    <w:rsid w:val="003D227C"/>
    <w:rsid w:val="003D2B4D"/>
    <w:rsid w:val="003D4BA0"/>
    <w:rsid w:val="003D54D5"/>
    <w:rsid w:val="003D5873"/>
    <w:rsid w:val="003E00E4"/>
    <w:rsid w:val="003E1C24"/>
    <w:rsid w:val="003E24A1"/>
    <w:rsid w:val="003E4CA3"/>
    <w:rsid w:val="003E7E58"/>
    <w:rsid w:val="003F29C8"/>
    <w:rsid w:val="00403D56"/>
    <w:rsid w:val="00406356"/>
    <w:rsid w:val="00420F50"/>
    <w:rsid w:val="00423762"/>
    <w:rsid w:val="004310B2"/>
    <w:rsid w:val="0043571A"/>
    <w:rsid w:val="0044051F"/>
    <w:rsid w:val="0044135C"/>
    <w:rsid w:val="00441894"/>
    <w:rsid w:val="00444A88"/>
    <w:rsid w:val="00445188"/>
    <w:rsid w:val="00445C1E"/>
    <w:rsid w:val="00451574"/>
    <w:rsid w:val="004552E5"/>
    <w:rsid w:val="00456626"/>
    <w:rsid w:val="00472F4E"/>
    <w:rsid w:val="00474DA4"/>
    <w:rsid w:val="00476B4D"/>
    <w:rsid w:val="004805FA"/>
    <w:rsid w:val="00482BCB"/>
    <w:rsid w:val="00483F49"/>
    <w:rsid w:val="00487237"/>
    <w:rsid w:val="00487EEC"/>
    <w:rsid w:val="00494CA3"/>
    <w:rsid w:val="004A2DA0"/>
    <w:rsid w:val="004A5BAE"/>
    <w:rsid w:val="004C30E2"/>
    <w:rsid w:val="004C4766"/>
    <w:rsid w:val="004D047D"/>
    <w:rsid w:val="004E4D85"/>
    <w:rsid w:val="004F1F27"/>
    <w:rsid w:val="004F305A"/>
    <w:rsid w:val="00500B9A"/>
    <w:rsid w:val="00501C91"/>
    <w:rsid w:val="00504662"/>
    <w:rsid w:val="00511B51"/>
    <w:rsid w:val="00512164"/>
    <w:rsid w:val="00520297"/>
    <w:rsid w:val="00524276"/>
    <w:rsid w:val="005338F9"/>
    <w:rsid w:val="00537DDF"/>
    <w:rsid w:val="0054281C"/>
    <w:rsid w:val="00543C85"/>
    <w:rsid w:val="0055268D"/>
    <w:rsid w:val="00552861"/>
    <w:rsid w:val="0056212E"/>
    <w:rsid w:val="00572D60"/>
    <w:rsid w:val="00576BE4"/>
    <w:rsid w:val="00576FBC"/>
    <w:rsid w:val="00580E99"/>
    <w:rsid w:val="00582EE2"/>
    <w:rsid w:val="005966EE"/>
    <w:rsid w:val="005A400A"/>
    <w:rsid w:val="005B4228"/>
    <w:rsid w:val="005D0ECE"/>
    <w:rsid w:val="005D704F"/>
    <w:rsid w:val="005E2477"/>
    <w:rsid w:val="005F05B6"/>
    <w:rsid w:val="005F2C30"/>
    <w:rsid w:val="005F385A"/>
    <w:rsid w:val="00612379"/>
    <w:rsid w:val="006131EC"/>
    <w:rsid w:val="0061555F"/>
    <w:rsid w:val="00621C0E"/>
    <w:rsid w:val="00624019"/>
    <w:rsid w:val="0062476F"/>
    <w:rsid w:val="00632C1F"/>
    <w:rsid w:val="0064102C"/>
    <w:rsid w:val="00641200"/>
    <w:rsid w:val="0064276D"/>
    <w:rsid w:val="00644FD6"/>
    <w:rsid w:val="00645124"/>
    <w:rsid w:val="00646C7D"/>
    <w:rsid w:val="00647496"/>
    <w:rsid w:val="00647749"/>
    <w:rsid w:val="00650CD4"/>
    <w:rsid w:val="006521C0"/>
    <w:rsid w:val="00652623"/>
    <w:rsid w:val="00656665"/>
    <w:rsid w:val="0065781E"/>
    <w:rsid w:val="00657DE2"/>
    <w:rsid w:val="00664587"/>
    <w:rsid w:val="006655D3"/>
    <w:rsid w:val="00676455"/>
    <w:rsid w:val="00677241"/>
    <w:rsid w:val="006777EF"/>
    <w:rsid w:val="00681D2B"/>
    <w:rsid w:val="006847C8"/>
    <w:rsid w:val="006878A9"/>
    <w:rsid w:val="00687EB4"/>
    <w:rsid w:val="00691A9A"/>
    <w:rsid w:val="00694BE3"/>
    <w:rsid w:val="00695D2D"/>
    <w:rsid w:val="0069668B"/>
    <w:rsid w:val="006B17D2"/>
    <w:rsid w:val="006B4BD0"/>
    <w:rsid w:val="006B6BE3"/>
    <w:rsid w:val="006B7CF6"/>
    <w:rsid w:val="006C224E"/>
    <w:rsid w:val="006C4C00"/>
    <w:rsid w:val="006C52E3"/>
    <w:rsid w:val="006D4692"/>
    <w:rsid w:val="006D780A"/>
    <w:rsid w:val="006E3A97"/>
    <w:rsid w:val="006E4913"/>
    <w:rsid w:val="006E5781"/>
    <w:rsid w:val="006F55C4"/>
    <w:rsid w:val="006F64A6"/>
    <w:rsid w:val="006F67E1"/>
    <w:rsid w:val="00700ABF"/>
    <w:rsid w:val="007113FE"/>
    <w:rsid w:val="007227DB"/>
    <w:rsid w:val="00722BA8"/>
    <w:rsid w:val="00732DEC"/>
    <w:rsid w:val="00735BD5"/>
    <w:rsid w:val="00744B92"/>
    <w:rsid w:val="007556F6"/>
    <w:rsid w:val="007567A7"/>
    <w:rsid w:val="00760EEF"/>
    <w:rsid w:val="0076106B"/>
    <w:rsid w:val="00777956"/>
    <w:rsid w:val="00777EE5"/>
    <w:rsid w:val="00780F3A"/>
    <w:rsid w:val="007811C0"/>
    <w:rsid w:val="007812D8"/>
    <w:rsid w:val="00783D10"/>
    <w:rsid w:val="00784836"/>
    <w:rsid w:val="00784E02"/>
    <w:rsid w:val="0079023E"/>
    <w:rsid w:val="00795A78"/>
    <w:rsid w:val="00797A76"/>
    <w:rsid w:val="007A1E0E"/>
    <w:rsid w:val="007A2854"/>
    <w:rsid w:val="007A2E2F"/>
    <w:rsid w:val="007A3C0F"/>
    <w:rsid w:val="007A54DE"/>
    <w:rsid w:val="007C5A0C"/>
    <w:rsid w:val="007D0B9D"/>
    <w:rsid w:val="007D19B0"/>
    <w:rsid w:val="007D2474"/>
    <w:rsid w:val="007E083D"/>
    <w:rsid w:val="007E71B5"/>
    <w:rsid w:val="007E7588"/>
    <w:rsid w:val="007F498F"/>
    <w:rsid w:val="00801B14"/>
    <w:rsid w:val="00804596"/>
    <w:rsid w:val="00804A76"/>
    <w:rsid w:val="0080679D"/>
    <w:rsid w:val="008108B0"/>
    <w:rsid w:val="00811B20"/>
    <w:rsid w:val="00814EF9"/>
    <w:rsid w:val="008157B2"/>
    <w:rsid w:val="00817F66"/>
    <w:rsid w:val="0082296E"/>
    <w:rsid w:val="00823652"/>
    <w:rsid w:val="00824099"/>
    <w:rsid w:val="00826027"/>
    <w:rsid w:val="00827A72"/>
    <w:rsid w:val="0083795D"/>
    <w:rsid w:val="00840A65"/>
    <w:rsid w:val="0084342F"/>
    <w:rsid w:val="00852307"/>
    <w:rsid w:val="00860D33"/>
    <w:rsid w:val="008633C4"/>
    <w:rsid w:val="0086442B"/>
    <w:rsid w:val="00866F5B"/>
    <w:rsid w:val="00867AC1"/>
    <w:rsid w:val="00867B90"/>
    <w:rsid w:val="0087038C"/>
    <w:rsid w:val="0087470A"/>
    <w:rsid w:val="00876655"/>
    <w:rsid w:val="008810C9"/>
    <w:rsid w:val="00883C40"/>
    <w:rsid w:val="00883D93"/>
    <w:rsid w:val="008922C9"/>
    <w:rsid w:val="00895017"/>
    <w:rsid w:val="00896810"/>
    <w:rsid w:val="008A170E"/>
    <w:rsid w:val="008A4DF1"/>
    <w:rsid w:val="008A5258"/>
    <w:rsid w:val="008A743F"/>
    <w:rsid w:val="008B64FB"/>
    <w:rsid w:val="008B75DB"/>
    <w:rsid w:val="008C0970"/>
    <w:rsid w:val="008C43CA"/>
    <w:rsid w:val="008C59AE"/>
    <w:rsid w:val="008C5A23"/>
    <w:rsid w:val="008C77DD"/>
    <w:rsid w:val="008D07A0"/>
    <w:rsid w:val="008D14E8"/>
    <w:rsid w:val="008D2CF7"/>
    <w:rsid w:val="008D6917"/>
    <w:rsid w:val="008E1599"/>
    <w:rsid w:val="008F043B"/>
    <w:rsid w:val="008F0487"/>
    <w:rsid w:val="008F4EE1"/>
    <w:rsid w:val="00900C26"/>
    <w:rsid w:val="0090197F"/>
    <w:rsid w:val="00901A3F"/>
    <w:rsid w:val="00905926"/>
    <w:rsid w:val="00905CC6"/>
    <w:rsid w:val="00906DDC"/>
    <w:rsid w:val="0091205B"/>
    <w:rsid w:val="009146DE"/>
    <w:rsid w:val="00915498"/>
    <w:rsid w:val="00916272"/>
    <w:rsid w:val="0092080C"/>
    <w:rsid w:val="00923507"/>
    <w:rsid w:val="00924B07"/>
    <w:rsid w:val="0093152F"/>
    <w:rsid w:val="00932F4A"/>
    <w:rsid w:val="00934E09"/>
    <w:rsid w:val="0093565C"/>
    <w:rsid w:val="00936253"/>
    <w:rsid w:val="009362C5"/>
    <w:rsid w:val="00944D7B"/>
    <w:rsid w:val="00946283"/>
    <w:rsid w:val="00947E51"/>
    <w:rsid w:val="00952DD4"/>
    <w:rsid w:val="00960B9C"/>
    <w:rsid w:val="0096342F"/>
    <w:rsid w:val="00964611"/>
    <w:rsid w:val="0096477D"/>
    <w:rsid w:val="00965428"/>
    <w:rsid w:val="00970FED"/>
    <w:rsid w:val="00971630"/>
    <w:rsid w:val="009728E1"/>
    <w:rsid w:val="00973275"/>
    <w:rsid w:val="00973CBA"/>
    <w:rsid w:val="00984926"/>
    <w:rsid w:val="0098498A"/>
    <w:rsid w:val="00984F7B"/>
    <w:rsid w:val="00986A34"/>
    <w:rsid w:val="00993CE3"/>
    <w:rsid w:val="00995131"/>
    <w:rsid w:val="00997029"/>
    <w:rsid w:val="00997362"/>
    <w:rsid w:val="0099781E"/>
    <w:rsid w:val="009A2544"/>
    <w:rsid w:val="009A2D8D"/>
    <w:rsid w:val="009B49EB"/>
    <w:rsid w:val="009D0931"/>
    <w:rsid w:val="009D38DC"/>
    <w:rsid w:val="009D5DCF"/>
    <w:rsid w:val="009D690D"/>
    <w:rsid w:val="009E22C7"/>
    <w:rsid w:val="009E65B6"/>
    <w:rsid w:val="009F0D5B"/>
    <w:rsid w:val="009F2C4A"/>
    <w:rsid w:val="009F3920"/>
    <w:rsid w:val="00A0456E"/>
    <w:rsid w:val="00A07606"/>
    <w:rsid w:val="00A07DBE"/>
    <w:rsid w:val="00A14082"/>
    <w:rsid w:val="00A20215"/>
    <w:rsid w:val="00A22AC2"/>
    <w:rsid w:val="00A25E6C"/>
    <w:rsid w:val="00A26568"/>
    <w:rsid w:val="00A42666"/>
    <w:rsid w:val="00A42AC3"/>
    <w:rsid w:val="00A430CF"/>
    <w:rsid w:val="00A518B7"/>
    <w:rsid w:val="00A54309"/>
    <w:rsid w:val="00A631A8"/>
    <w:rsid w:val="00A647FE"/>
    <w:rsid w:val="00A7257E"/>
    <w:rsid w:val="00A750FD"/>
    <w:rsid w:val="00A75746"/>
    <w:rsid w:val="00A76776"/>
    <w:rsid w:val="00A77192"/>
    <w:rsid w:val="00A925F9"/>
    <w:rsid w:val="00A92668"/>
    <w:rsid w:val="00A92677"/>
    <w:rsid w:val="00A92D6A"/>
    <w:rsid w:val="00A95BAF"/>
    <w:rsid w:val="00AB0DB3"/>
    <w:rsid w:val="00AB2B93"/>
    <w:rsid w:val="00AB3E7A"/>
    <w:rsid w:val="00AB3EDA"/>
    <w:rsid w:val="00AB47F6"/>
    <w:rsid w:val="00AB4CCF"/>
    <w:rsid w:val="00AB5028"/>
    <w:rsid w:val="00AB70E1"/>
    <w:rsid w:val="00AB7E5B"/>
    <w:rsid w:val="00AC57D1"/>
    <w:rsid w:val="00AD4B61"/>
    <w:rsid w:val="00AD789A"/>
    <w:rsid w:val="00AE0EF1"/>
    <w:rsid w:val="00AE1A44"/>
    <w:rsid w:val="00AE1D0A"/>
    <w:rsid w:val="00AE2937"/>
    <w:rsid w:val="00AE3273"/>
    <w:rsid w:val="00AE3B95"/>
    <w:rsid w:val="00AF01FB"/>
    <w:rsid w:val="00AF06A8"/>
    <w:rsid w:val="00AF428C"/>
    <w:rsid w:val="00B07301"/>
    <w:rsid w:val="00B1160E"/>
    <w:rsid w:val="00B20179"/>
    <w:rsid w:val="00B20E7C"/>
    <w:rsid w:val="00B224DE"/>
    <w:rsid w:val="00B2678C"/>
    <w:rsid w:val="00B26D2A"/>
    <w:rsid w:val="00B43A23"/>
    <w:rsid w:val="00B46575"/>
    <w:rsid w:val="00B525F1"/>
    <w:rsid w:val="00B60930"/>
    <w:rsid w:val="00B6238F"/>
    <w:rsid w:val="00B6263B"/>
    <w:rsid w:val="00B65738"/>
    <w:rsid w:val="00B84BBD"/>
    <w:rsid w:val="00B95EE4"/>
    <w:rsid w:val="00B9606E"/>
    <w:rsid w:val="00BA3E07"/>
    <w:rsid w:val="00BA43FB"/>
    <w:rsid w:val="00BA446E"/>
    <w:rsid w:val="00BA6BD5"/>
    <w:rsid w:val="00BC127D"/>
    <w:rsid w:val="00BC1FE6"/>
    <w:rsid w:val="00BD288D"/>
    <w:rsid w:val="00BD4C45"/>
    <w:rsid w:val="00BE2221"/>
    <w:rsid w:val="00BE3D62"/>
    <w:rsid w:val="00BE3F1F"/>
    <w:rsid w:val="00BE4D76"/>
    <w:rsid w:val="00BE4EF2"/>
    <w:rsid w:val="00BF0CCC"/>
    <w:rsid w:val="00BF535D"/>
    <w:rsid w:val="00BF7754"/>
    <w:rsid w:val="00C00575"/>
    <w:rsid w:val="00C02E35"/>
    <w:rsid w:val="00C05F97"/>
    <w:rsid w:val="00C061B6"/>
    <w:rsid w:val="00C13749"/>
    <w:rsid w:val="00C1657F"/>
    <w:rsid w:val="00C20236"/>
    <w:rsid w:val="00C2446C"/>
    <w:rsid w:val="00C323D0"/>
    <w:rsid w:val="00C3548A"/>
    <w:rsid w:val="00C36AE5"/>
    <w:rsid w:val="00C37908"/>
    <w:rsid w:val="00C415D7"/>
    <w:rsid w:val="00C41F17"/>
    <w:rsid w:val="00C47385"/>
    <w:rsid w:val="00C517C6"/>
    <w:rsid w:val="00C51D44"/>
    <w:rsid w:val="00C5280D"/>
    <w:rsid w:val="00C5337B"/>
    <w:rsid w:val="00C5791C"/>
    <w:rsid w:val="00C65583"/>
    <w:rsid w:val="00C66290"/>
    <w:rsid w:val="00C676CA"/>
    <w:rsid w:val="00C72B7A"/>
    <w:rsid w:val="00C77C32"/>
    <w:rsid w:val="00C81327"/>
    <w:rsid w:val="00C81842"/>
    <w:rsid w:val="00C91F34"/>
    <w:rsid w:val="00C96814"/>
    <w:rsid w:val="00C973F2"/>
    <w:rsid w:val="00CA304C"/>
    <w:rsid w:val="00CA774A"/>
    <w:rsid w:val="00CB1354"/>
    <w:rsid w:val="00CB79FE"/>
    <w:rsid w:val="00CB7DBB"/>
    <w:rsid w:val="00CC11B0"/>
    <w:rsid w:val="00CC51D2"/>
    <w:rsid w:val="00CD1382"/>
    <w:rsid w:val="00CD7B1A"/>
    <w:rsid w:val="00CF7E36"/>
    <w:rsid w:val="00D01647"/>
    <w:rsid w:val="00D06C97"/>
    <w:rsid w:val="00D13554"/>
    <w:rsid w:val="00D35D5C"/>
    <w:rsid w:val="00D3642B"/>
    <w:rsid w:val="00D3659E"/>
    <w:rsid w:val="00D3708D"/>
    <w:rsid w:val="00D40426"/>
    <w:rsid w:val="00D46AD7"/>
    <w:rsid w:val="00D477B4"/>
    <w:rsid w:val="00D527D3"/>
    <w:rsid w:val="00D55FD2"/>
    <w:rsid w:val="00D57C96"/>
    <w:rsid w:val="00D57FA0"/>
    <w:rsid w:val="00D6061A"/>
    <w:rsid w:val="00D70948"/>
    <w:rsid w:val="00D769D1"/>
    <w:rsid w:val="00D77A63"/>
    <w:rsid w:val="00D8383E"/>
    <w:rsid w:val="00D91203"/>
    <w:rsid w:val="00D93BFC"/>
    <w:rsid w:val="00D94FFB"/>
    <w:rsid w:val="00D95174"/>
    <w:rsid w:val="00DA3175"/>
    <w:rsid w:val="00DA6F36"/>
    <w:rsid w:val="00DA7A91"/>
    <w:rsid w:val="00DB596E"/>
    <w:rsid w:val="00DC00EA"/>
    <w:rsid w:val="00DD1507"/>
    <w:rsid w:val="00DD2EF9"/>
    <w:rsid w:val="00DD5008"/>
    <w:rsid w:val="00DE0EFA"/>
    <w:rsid w:val="00DF246E"/>
    <w:rsid w:val="00E01E8D"/>
    <w:rsid w:val="00E03AB8"/>
    <w:rsid w:val="00E20723"/>
    <w:rsid w:val="00E306B7"/>
    <w:rsid w:val="00E32F7E"/>
    <w:rsid w:val="00E3312D"/>
    <w:rsid w:val="00E432B4"/>
    <w:rsid w:val="00E44B9D"/>
    <w:rsid w:val="00E5324E"/>
    <w:rsid w:val="00E61389"/>
    <w:rsid w:val="00E71BFC"/>
    <w:rsid w:val="00E72D49"/>
    <w:rsid w:val="00E74DED"/>
    <w:rsid w:val="00E7593C"/>
    <w:rsid w:val="00E7678A"/>
    <w:rsid w:val="00E767C2"/>
    <w:rsid w:val="00E83DC6"/>
    <w:rsid w:val="00E91AF0"/>
    <w:rsid w:val="00E935F1"/>
    <w:rsid w:val="00E940BC"/>
    <w:rsid w:val="00E94A81"/>
    <w:rsid w:val="00E97774"/>
    <w:rsid w:val="00EA1FFB"/>
    <w:rsid w:val="00EA7607"/>
    <w:rsid w:val="00EB0415"/>
    <w:rsid w:val="00EB048E"/>
    <w:rsid w:val="00EC4EC6"/>
    <w:rsid w:val="00EC75D8"/>
    <w:rsid w:val="00ED17CB"/>
    <w:rsid w:val="00ED2D12"/>
    <w:rsid w:val="00ED3946"/>
    <w:rsid w:val="00ED578A"/>
    <w:rsid w:val="00EE04DD"/>
    <w:rsid w:val="00EE34DF"/>
    <w:rsid w:val="00EE55F6"/>
    <w:rsid w:val="00EE6C67"/>
    <w:rsid w:val="00EF2AC6"/>
    <w:rsid w:val="00EF2F89"/>
    <w:rsid w:val="00EF302E"/>
    <w:rsid w:val="00EF30A6"/>
    <w:rsid w:val="00EF5E61"/>
    <w:rsid w:val="00EF7C50"/>
    <w:rsid w:val="00F000EA"/>
    <w:rsid w:val="00F02927"/>
    <w:rsid w:val="00F02A83"/>
    <w:rsid w:val="00F04433"/>
    <w:rsid w:val="00F05B58"/>
    <w:rsid w:val="00F05C67"/>
    <w:rsid w:val="00F07A89"/>
    <w:rsid w:val="00F1237A"/>
    <w:rsid w:val="00F14677"/>
    <w:rsid w:val="00F2061E"/>
    <w:rsid w:val="00F20B1F"/>
    <w:rsid w:val="00F22CBD"/>
    <w:rsid w:val="00F2539C"/>
    <w:rsid w:val="00F32006"/>
    <w:rsid w:val="00F33D27"/>
    <w:rsid w:val="00F341B8"/>
    <w:rsid w:val="00F40E8E"/>
    <w:rsid w:val="00F45372"/>
    <w:rsid w:val="00F560F7"/>
    <w:rsid w:val="00F6334D"/>
    <w:rsid w:val="00F64538"/>
    <w:rsid w:val="00F760C4"/>
    <w:rsid w:val="00F7780C"/>
    <w:rsid w:val="00F83261"/>
    <w:rsid w:val="00F85794"/>
    <w:rsid w:val="00F871FD"/>
    <w:rsid w:val="00FA067D"/>
    <w:rsid w:val="00FA291B"/>
    <w:rsid w:val="00FA49AB"/>
    <w:rsid w:val="00FA4BDE"/>
    <w:rsid w:val="00FA7C0B"/>
    <w:rsid w:val="00FB274F"/>
    <w:rsid w:val="00FB31D9"/>
    <w:rsid w:val="00FB4D39"/>
    <w:rsid w:val="00FC26DB"/>
    <w:rsid w:val="00FC3411"/>
    <w:rsid w:val="00FC533A"/>
    <w:rsid w:val="00FC6EEB"/>
    <w:rsid w:val="00FC7507"/>
    <w:rsid w:val="00FC7E92"/>
    <w:rsid w:val="00FE39C7"/>
    <w:rsid w:val="00FE4EA5"/>
    <w:rsid w:val="00FE5D28"/>
    <w:rsid w:val="00FE7119"/>
    <w:rsid w:val="00FE7AE9"/>
    <w:rsid w:val="00FF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5297"/>
    <o:shapelayout v:ext="edit">
      <o:idmap v:ext="edit" data="1"/>
    </o:shapelayout>
  </w:shapeDefaults>
  <w:decimalSymbol w:val="."/>
  <w:listSeparator w:val=","/>
  <w14:docId w14:val="69FEDDCF"/>
  <w15:docId w15:val="{2156D0FB-18C8-484F-84B7-6F8E13DA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link w:val="TitleofDocChar"/>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basedOn w:val="Normal"/>
    <w:next w:val="Normal"/>
    <w:uiPriority w:val="39"/>
    <w:rsid w:val="009A2544"/>
    <w:pPr>
      <w:tabs>
        <w:tab w:val="right" w:leader="dot" w:pos="9639"/>
      </w:tabs>
      <w:spacing w:after="60"/>
      <w:ind w:left="896" w:hanging="658"/>
      <w:jc w:val="left"/>
    </w:pPr>
    <w:rPr>
      <w:noProof/>
      <w:szCs w:val="24"/>
      <w:lang w:val="en-GB" w:eastAsia="es-ES_tradnl"/>
    </w:rPr>
  </w:style>
  <w:style w:type="paragraph" w:styleId="TOC3">
    <w:name w:val="toc 3"/>
    <w:next w:val="Normal"/>
    <w:autoRedefine/>
    <w:uiPriority w:val="39"/>
    <w:rsid w:val="00F05C67"/>
    <w:pPr>
      <w:tabs>
        <w:tab w:val="left" w:pos="1418"/>
        <w:tab w:val="right" w:leader="dot" w:pos="9639"/>
      </w:tabs>
      <w:spacing w:before="120" w:after="120"/>
      <w:ind w:left="2127" w:right="851" w:hanging="993"/>
    </w:pPr>
    <w:rPr>
      <w:rFonts w:ascii="Arial" w:hAnsi="Arial"/>
      <w:i/>
      <w:noProof/>
      <w:sz w:val="18"/>
      <w:szCs w:val="18"/>
      <w:lang w:val="fr-FR"/>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EB0415"/>
    <w:pPr>
      <w:keepNext/>
      <w:tabs>
        <w:tab w:val="right" w:leader="dot" w:pos="9639"/>
      </w:tabs>
      <w:spacing w:before="240" w:after="240"/>
      <w:ind w:left="284" w:right="284" w:hanging="284"/>
    </w:pPr>
    <w:rPr>
      <w:rFonts w:ascii="Arial" w:hAnsi="Arial"/>
      <w:b/>
      <w:caps/>
      <w:noProof/>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pPr>
    <w:rPr>
      <w:rFonts w:ascii="Times New Roman" w:hAnsi="Times New Roman" w:cs="Angsana New"/>
      <w:smallCaps/>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 w:type="character" w:customStyle="1" w:styleId="TitleofDocChar">
    <w:name w:val="Title of Doc Char"/>
    <w:basedOn w:val="DefaultParagraphFont"/>
    <w:link w:val="TitleofDoc"/>
    <w:rsid w:val="00E306B7"/>
    <w:rPr>
      <w:rFonts w:ascii="Arial" w:hAnsi="Arial"/>
    </w:rPr>
  </w:style>
  <w:style w:type="paragraph" w:styleId="NormalWeb">
    <w:name w:val="Normal (Web)"/>
    <w:basedOn w:val="Normal"/>
    <w:uiPriority w:val="99"/>
    <w:unhideWhenUsed/>
    <w:rsid w:val="00B26D2A"/>
    <w:pPr>
      <w:spacing w:before="100" w:beforeAutospacing="1" w:after="100" w:afterAutospacing="1"/>
      <w:jc w:val="left"/>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package" Target="embeddings/Microsoft_PowerPoint_Slide.sl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Microsoft_PowerPoint_97-2003_Presentation.ppt"/><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upov.int/about/en/organigram.html"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9116-C911-4630-866B-0B0CC908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3723</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TGP/15/3 Draft 1</vt:lpstr>
    </vt:vector>
  </TitlesOfParts>
  <Company>UPOV</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TGP/15/3 Draft 1</dc:title>
  <dc:creator>MAY Jessica</dc:creator>
  <cp:lastModifiedBy>SANCHEZ VIZCAINO GOMEZ Rosa Maria</cp:lastModifiedBy>
  <cp:revision>6</cp:revision>
  <cp:lastPrinted>2019-07-05T09:41:00Z</cp:lastPrinted>
  <dcterms:created xsi:type="dcterms:W3CDTF">2020-08-07T10:30:00Z</dcterms:created>
  <dcterms:modified xsi:type="dcterms:W3CDTF">2020-08-13T07:43:00Z</dcterms:modified>
</cp:coreProperties>
</file>