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1779EB">
        <w:tc>
          <w:tcPr>
            <w:tcW w:w="6512" w:type="dxa"/>
            <w:tcBorders>
              <w:bottom w:val="single" w:sz="4" w:space="0" w:color="auto"/>
            </w:tcBorders>
          </w:tcPr>
          <w:p w:rsidR="00EB4E9C" w:rsidRPr="00FC1065" w:rsidRDefault="00A3365A" w:rsidP="00AC2883">
            <w:pPr>
              <w:pStyle w:val="Sessiontc"/>
              <w:spacing w:line="240" w:lineRule="auto"/>
            </w:pPr>
            <w:r w:rsidRPr="00FC1065">
              <w:t>Council</w:t>
            </w:r>
          </w:p>
          <w:p w:rsidR="00EB4E9C" w:rsidRPr="00FC1065" w:rsidRDefault="00A3365A" w:rsidP="001779EB">
            <w:pPr>
              <w:pStyle w:val="Sessiontcplacedate"/>
              <w:spacing w:line="240" w:lineRule="atLeast"/>
              <w:rPr>
                <w:sz w:val="22"/>
              </w:rPr>
            </w:pPr>
            <w:r w:rsidRPr="00FC1065">
              <w:t>Fifty-</w:t>
            </w:r>
            <w:r w:rsidR="0020304B" w:rsidRPr="00FC1065">
              <w:t xml:space="preserve">Fourth </w:t>
            </w:r>
            <w:r w:rsidRPr="00FC1065">
              <w:t xml:space="preserve">Ordinary </w:t>
            </w:r>
            <w:r w:rsidR="00EB4E9C" w:rsidRPr="00FC1065">
              <w:t>Session</w:t>
            </w:r>
            <w:r w:rsidR="00EB4E9C" w:rsidRPr="00FC1065">
              <w:br/>
              <w:t xml:space="preserve">Geneva, </w:t>
            </w:r>
            <w:r w:rsidR="0020304B" w:rsidRPr="00FC1065">
              <w:t>October 30, 2020</w:t>
            </w:r>
          </w:p>
        </w:tc>
        <w:tc>
          <w:tcPr>
            <w:tcW w:w="3127" w:type="dxa"/>
            <w:tcBorders>
              <w:bottom w:val="single" w:sz="4" w:space="0" w:color="auto"/>
            </w:tcBorders>
          </w:tcPr>
          <w:p w:rsidR="00EB4E9C" w:rsidRPr="00FC1065" w:rsidRDefault="00C22FDB" w:rsidP="003C7FBE">
            <w:pPr>
              <w:pStyle w:val="Doccode"/>
            </w:pPr>
            <w:r w:rsidRPr="00FC1065">
              <w:t>C/54/4</w:t>
            </w:r>
          </w:p>
          <w:p w:rsidR="00EB4E9C" w:rsidRPr="00FC1065" w:rsidRDefault="00EB4E9C" w:rsidP="001779EB">
            <w:pPr>
              <w:pStyle w:val="Docoriginal"/>
              <w:spacing w:line="240" w:lineRule="atLeast"/>
            </w:pPr>
            <w:r w:rsidRPr="00FC1065">
              <w:t>Original:</w:t>
            </w:r>
            <w:r w:rsidRPr="00FC1065">
              <w:rPr>
                <w:b w:val="0"/>
                <w:spacing w:val="0"/>
              </w:rPr>
              <w:t xml:space="preserve">  English</w:t>
            </w:r>
          </w:p>
          <w:p w:rsidR="00EB4E9C" w:rsidRPr="007C1D92" w:rsidRDefault="00EB4E9C" w:rsidP="001779EB">
            <w:pPr>
              <w:pStyle w:val="Docoriginal"/>
              <w:spacing w:line="240" w:lineRule="atLeast"/>
            </w:pPr>
            <w:r w:rsidRPr="00FC1065">
              <w:t>Date:</w:t>
            </w:r>
            <w:r w:rsidRPr="00FC1065">
              <w:rPr>
                <w:b w:val="0"/>
                <w:spacing w:val="0"/>
              </w:rPr>
              <w:t xml:space="preserve">  </w:t>
            </w:r>
            <w:r w:rsidR="00CC7087" w:rsidRPr="00FC1065">
              <w:rPr>
                <w:b w:val="0"/>
                <w:spacing w:val="0"/>
              </w:rPr>
              <w:t xml:space="preserve">August </w:t>
            </w:r>
            <w:r w:rsidR="00FC1065" w:rsidRPr="00FC1065">
              <w:rPr>
                <w:b w:val="0"/>
                <w:spacing w:val="0"/>
              </w:rPr>
              <w:t>7</w:t>
            </w:r>
            <w:r w:rsidRPr="00FC1065">
              <w:rPr>
                <w:b w:val="0"/>
                <w:spacing w:val="0"/>
              </w:rPr>
              <w:t>, 20</w:t>
            </w:r>
            <w:r w:rsidR="0020304B" w:rsidRPr="00FC1065">
              <w:rPr>
                <w:b w:val="0"/>
                <w:spacing w:val="0"/>
              </w:rPr>
              <w:t>20</w:t>
            </w:r>
          </w:p>
        </w:tc>
      </w:tr>
      <w:tr w:rsidR="001779EB" w:rsidRPr="001328E5" w:rsidTr="001779EB">
        <w:tc>
          <w:tcPr>
            <w:tcW w:w="6512" w:type="dxa"/>
            <w:tcBorders>
              <w:top w:val="single" w:sz="4" w:space="0" w:color="auto"/>
              <w:bottom w:val="single" w:sz="4" w:space="0" w:color="auto"/>
            </w:tcBorders>
          </w:tcPr>
          <w:p w:rsidR="001779EB" w:rsidRPr="001328E5" w:rsidRDefault="001779EB">
            <w:pPr>
              <w:pStyle w:val="Sessiontc"/>
              <w:spacing w:line="240" w:lineRule="auto"/>
              <w:rPr>
                <w:i/>
              </w:rPr>
            </w:pPr>
            <w:bookmarkStart w:id="0" w:name="TitleOfDoc"/>
            <w:bookmarkEnd w:id="0"/>
            <w:r w:rsidRPr="001328E5">
              <w:rPr>
                <w:i/>
              </w:rPr>
              <w:t>to be considered by correspondence</w:t>
            </w:r>
          </w:p>
        </w:tc>
        <w:tc>
          <w:tcPr>
            <w:tcW w:w="3127" w:type="dxa"/>
            <w:tcBorders>
              <w:top w:val="single" w:sz="4" w:space="0" w:color="auto"/>
              <w:bottom w:val="single" w:sz="4" w:space="0" w:color="auto"/>
            </w:tcBorders>
          </w:tcPr>
          <w:p w:rsidR="001779EB" w:rsidRPr="001328E5" w:rsidRDefault="001779EB">
            <w:pPr>
              <w:pStyle w:val="Doccode"/>
              <w:rPr>
                <w:i/>
              </w:rPr>
            </w:pPr>
          </w:p>
        </w:tc>
      </w:tr>
    </w:tbl>
    <w:p w:rsidR="000D7780" w:rsidRPr="006A644A" w:rsidRDefault="00C22FDB" w:rsidP="006A644A">
      <w:pPr>
        <w:pStyle w:val="Titleofdoc0"/>
      </w:pPr>
      <w:r w:rsidRPr="00C22FDB">
        <w:t>Financial Management Report f</w:t>
      </w:r>
      <w:bookmarkStart w:id="1" w:name="_GoBack"/>
      <w:bookmarkEnd w:id="1"/>
      <w:r w:rsidRPr="00C22FDB">
        <w:t>or the 2018-2019 Biennium</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5F54AC" w:rsidRPr="00957875" w:rsidRDefault="005F54AC" w:rsidP="005F54AC">
      <w:pPr>
        <w:rPr>
          <w:rFonts w:cs="Arial"/>
          <w:snapToGrid w:val="0"/>
        </w:rPr>
      </w:pPr>
      <w:r w:rsidRPr="00957875">
        <w:rPr>
          <w:rFonts w:cs="Arial"/>
          <w:caps/>
          <w:snapToGrid w:val="0"/>
        </w:rPr>
        <w:fldChar w:fldCharType="begin"/>
      </w:r>
      <w:r w:rsidRPr="00957875">
        <w:rPr>
          <w:rFonts w:cs="Arial"/>
          <w:caps/>
          <w:snapToGrid w:val="0"/>
        </w:rPr>
        <w:instrText xml:space="preserve"> AUTONUM  </w:instrText>
      </w:r>
      <w:r w:rsidRPr="00957875">
        <w:rPr>
          <w:rFonts w:cs="Arial"/>
          <w:caps/>
          <w:snapToGrid w:val="0"/>
        </w:rPr>
        <w:fldChar w:fldCharType="end"/>
      </w:r>
      <w:r w:rsidRPr="00957875">
        <w:rPr>
          <w:rFonts w:cs="Arial"/>
          <w:caps/>
          <w:snapToGrid w:val="0"/>
        </w:rPr>
        <w:tab/>
      </w:r>
      <w:r w:rsidRPr="00957875">
        <w:rPr>
          <w:rFonts w:cs="Arial"/>
          <w:snapToGrid w:val="0"/>
        </w:rPr>
        <w:t>The Annex to this document contains the Financial Management Report (FMR) of the International Union for the Protection of New Varieties of Plants (UPOV) for the 201</w:t>
      </w:r>
      <w:r>
        <w:rPr>
          <w:rFonts w:cs="Arial"/>
          <w:snapToGrid w:val="0"/>
        </w:rPr>
        <w:t>8</w:t>
      </w:r>
      <w:r w:rsidRPr="00957875">
        <w:rPr>
          <w:rFonts w:cs="Arial"/>
          <w:snapToGrid w:val="0"/>
        </w:rPr>
        <w:t>-201</w:t>
      </w:r>
      <w:r>
        <w:rPr>
          <w:rFonts w:cs="Arial"/>
          <w:snapToGrid w:val="0"/>
        </w:rPr>
        <w:t>9</w:t>
      </w:r>
      <w:r w:rsidRPr="00957875">
        <w:rPr>
          <w:rFonts w:cs="Arial"/>
          <w:snapToGrid w:val="0"/>
        </w:rPr>
        <w:t xml:space="preserve"> Biennium, in accordance with Regulations </w:t>
      </w:r>
      <w:r>
        <w:rPr>
          <w:rFonts w:cs="Arial"/>
          <w:snapToGrid w:val="0"/>
        </w:rPr>
        <w:t>2.14</w:t>
      </w:r>
      <w:r w:rsidRPr="00957875">
        <w:rPr>
          <w:rFonts w:cs="Arial"/>
          <w:snapToGrid w:val="0"/>
        </w:rPr>
        <w:t xml:space="preserve"> and </w:t>
      </w:r>
      <w:r w:rsidR="00200C0E">
        <w:rPr>
          <w:rFonts w:cs="Arial"/>
          <w:snapToGrid w:val="0"/>
        </w:rPr>
        <w:t>2.14</w:t>
      </w:r>
      <w:r w:rsidR="00200C0E">
        <w:rPr>
          <w:rFonts w:cs="Arial"/>
          <w:i/>
          <w:snapToGrid w:val="0"/>
        </w:rPr>
        <w:t>bis</w:t>
      </w:r>
      <w:r w:rsidRPr="00957875">
        <w:rPr>
          <w:rFonts w:cs="Arial"/>
          <w:snapToGrid w:val="0"/>
        </w:rPr>
        <w:t xml:space="preserve"> of the Financial Regulations and Rules of UPOV (FRR) (see document UPOV/INF/4/</w:t>
      </w:r>
      <w:r w:rsidR="00200C0E">
        <w:rPr>
          <w:rFonts w:cs="Arial"/>
          <w:snapToGrid w:val="0"/>
        </w:rPr>
        <w:t>5</w:t>
      </w:r>
      <w:r w:rsidRPr="00957875">
        <w:rPr>
          <w:rFonts w:cs="Arial"/>
          <w:snapToGrid w:val="0"/>
        </w:rPr>
        <w:t xml:space="preserve"> “Financial Regulations and Rules of UPOV”), for approval by the Council</w:t>
      </w:r>
      <w:r>
        <w:rPr>
          <w:rFonts w:cs="Arial"/>
          <w:snapToGrid w:val="0"/>
        </w:rPr>
        <w:t>.</w:t>
      </w:r>
    </w:p>
    <w:p w:rsidR="005F54AC" w:rsidRPr="00957875" w:rsidRDefault="005F54AC" w:rsidP="005F54AC">
      <w:pPr>
        <w:rPr>
          <w:rFonts w:cs="Arial"/>
          <w:snapToGrid w:val="0"/>
        </w:rPr>
      </w:pPr>
    </w:p>
    <w:p w:rsidR="005F54AC" w:rsidRPr="00957875" w:rsidRDefault="005F54AC" w:rsidP="005F54AC">
      <w:pPr>
        <w:rPr>
          <w:rFonts w:cs="Arial"/>
          <w:snapToGrid w:val="0"/>
        </w:rPr>
      </w:pPr>
      <w:r w:rsidRPr="00957875">
        <w:rPr>
          <w:rFonts w:cs="Arial"/>
          <w:snapToGrid w:val="0"/>
        </w:rPr>
        <w:fldChar w:fldCharType="begin"/>
      </w:r>
      <w:r w:rsidRPr="00957875">
        <w:rPr>
          <w:rFonts w:cs="Arial"/>
          <w:snapToGrid w:val="0"/>
        </w:rPr>
        <w:instrText xml:space="preserve"> AUTONUM  </w:instrText>
      </w:r>
      <w:r w:rsidRPr="00957875">
        <w:rPr>
          <w:rFonts w:cs="Arial"/>
          <w:snapToGrid w:val="0"/>
        </w:rPr>
        <w:fldChar w:fldCharType="end"/>
      </w:r>
      <w:r w:rsidRPr="00957875">
        <w:rPr>
          <w:rFonts w:cs="Arial"/>
          <w:snapToGrid w:val="0"/>
        </w:rPr>
        <w:tab/>
        <w:t xml:space="preserve">The FMR is not subject to an external audit. </w:t>
      </w:r>
    </w:p>
    <w:p w:rsidR="005F54AC" w:rsidRPr="00957875" w:rsidRDefault="005F54AC" w:rsidP="005F54AC">
      <w:pPr>
        <w:rPr>
          <w:rFonts w:cs="Arial"/>
          <w:snapToGrid w:val="0"/>
        </w:rPr>
      </w:pPr>
    </w:p>
    <w:p w:rsidR="005F54AC" w:rsidRPr="00957875" w:rsidRDefault="005F54AC" w:rsidP="005F54AC">
      <w:pPr>
        <w:rPr>
          <w:rFonts w:cs="Arial"/>
          <w:snapToGrid w:val="0"/>
        </w:rPr>
      </w:pPr>
      <w:r w:rsidRPr="00957875">
        <w:rPr>
          <w:rFonts w:cs="Arial"/>
          <w:snapToGrid w:val="0"/>
        </w:rPr>
        <w:fldChar w:fldCharType="begin"/>
      </w:r>
      <w:r w:rsidRPr="00957875">
        <w:rPr>
          <w:rFonts w:cs="Arial"/>
          <w:snapToGrid w:val="0"/>
        </w:rPr>
        <w:instrText xml:space="preserve"> AUTONUM  </w:instrText>
      </w:r>
      <w:r w:rsidRPr="00957875">
        <w:rPr>
          <w:rFonts w:cs="Arial"/>
          <w:snapToGrid w:val="0"/>
        </w:rPr>
        <w:fldChar w:fldCharType="end"/>
      </w:r>
      <w:r w:rsidR="00200C0E">
        <w:rPr>
          <w:rFonts w:cs="Arial"/>
          <w:snapToGrid w:val="0"/>
        </w:rPr>
        <w:tab/>
        <w:t>Regulation 2</w:t>
      </w:r>
      <w:r w:rsidRPr="00957875">
        <w:rPr>
          <w:rFonts w:cs="Arial"/>
          <w:snapToGrid w:val="0"/>
        </w:rPr>
        <w:t>.</w:t>
      </w:r>
      <w:r w:rsidR="00200C0E">
        <w:rPr>
          <w:rFonts w:cs="Arial"/>
          <w:snapToGrid w:val="0"/>
        </w:rPr>
        <w:t>14</w:t>
      </w:r>
      <w:r w:rsidR="00200C0E">
        <w:rPr>
          <w:rFonts w:cs="Arial"/>
          <w:i/>
          <w:snapToGrid w:val="0"/>
        </w:rPr>
        <w:t>bis</w:t>
      </w:r>
      <w:r w:rsidRPr="00957875">
        <w:rPr>
          <w:rFonts w:cs="Arial"/>
          <w:snapToGrid w:val="0"/>
        </w:rPr>
        <w:t xml:space="preserve"> of the FRR state</w:t>
      </w:r>
      <w:r w:rsidR="00931EC4">
        <w:rPr>
          <w:rFonts w:cs="Arial"/>
          <w:snapToGrid w:val="0"/>
        </w:rPr>
        <w:t>s</w:t>
      </w:r>
      <w:r w:rsidRPr="00957875">
        <w:rPr>
          <w:rFonts w:cs="Arial"/>
          <w:snapToGrid w:val="0"/>
        </w:rPr>
        <w:t xml:space="preserve"> as follows: </w:t>
      </w:r>
    </w:p>
    <w:p w:rsidR="005F54AC" w:rsidRDefault="005F54AC" w:rsidP="005F54AC">
      <w:pPr>
        <w:rPr>
          <w:rFonts w:cs="Arial"/>
          <w:snapToGrid w:val="0"/>
        </w:rPr>
      </w:pPr>
    </w:p>
    <w:p w:rsidR="00200C0E" w:rsidRPr="00200C0E" w:rsidRDefault="00200C0E" w:rsidP="00200C0E">
      <w:pPr>
        <w:pStyle w:val="Inf4Heading4"/>
        <w:spacing w:before="80"/>
        <w:ind w:left="567" w:right="567"/>
        <w:rPr>
          <w:sz w:val="18"/>
        </w:rPr>
      </w:pPr>
      <w:bookmarkStart w:id="3" w:name="_Toc532830743"/>
      <w:r w:rsidRPr="00200C0E">
        <w:rPr>
          <w:sz w:val="18"/>
        </w:rPr>
        <w:t>Regulation 2.14</w:t>
      </w:r>
      <w:r w:rsidRPr="00200C0E">
        <w:rPr>
          <w:i/>
          <w:sz w:val="18"/>
        </w:rPr>
        <w:t>bis</w:t>
      </w:r>
      <w:bookmarkEnd w:id="3"/>
    </w:p>
    <w:p w:rsidR="00CA1AFB" w:rsidRDefault="00CA1AFB" w:rsidP="00200C0E">
      <w:pPr>
        <w:pStyle w:val="Inf4Normal"/>
        <w:spacing w:before="80"/>
        <w:ind w:left="567" w:right="567"/>
        <w:rPr>
          <w:sz w:val="18"/>
          <w:szCs w:val="24"/>
        </w:rPr>
      </w:pPr>
      <w:r>
        <w:rPr>
          <w:sz w:val="18"/>
          <w:szCs w:val="24"/>
        </w:rPr>
        <w:t>[…]</w:t>
      </w:r>
    </w:p>
    <w:p w:rsidR="00200C0E" w:rsidRPr="00200C0E" w:rsidRDefault="00200C0E" w:rsidP="00200C0E">
      <w:pPr>
        <w:pStyle w:val="Inf4Heading6"/>
        <w:spacing w:before="80"/>
        <w:ind w:left="1134" w:right="567"/>
        <w:rPr>
          <w:sz w:val="18"/>
        </w:rPr>
      </w:pPr>
      <w:bookmarkStart w:id="4" w:name="_Toc532830744"/>
      <w:r w:rsidRPr="00200C0E">
        <w:rPr>
          <w:sz w:val="18"/>
        </w:rPr>
        <w:t>Rule 102.7</w:t>
      </w:r>
      <w:bookmarkEnd w:id="4"/>
    </w:p>
    <w:p w:rsidR="00200C0E" w:rsidRPr="00935B3B" w:rsidRDefault="00200C0E" w:rsidP="00200C0E">
      <w:pPr>
        <w:pStyle w:val="Inf4Normal"/>
        <w:spacing w:before="80"/>
        <w:ind w:left="1134" w:right="567"/>
        <w:rPr>
          <w:sz w:val="18"/>
          <w:szCs w:val="24"/>
        </w:rPr>
      </w:pPr>
      <w:r w:rsidRPr="00935B3B">
        <w:rPr>
          <w:sz w:val="18"/>
          <w:szCs w:val="24"/>
        </w:rPr>
        <w:t>(a)</w:t>
      </w:r>
      <w:r w:rsidRPr="00935B3B">
        <w:rPr>
          <w:sz w:val="18"/>
          <w:szCs w:val="24"/>
        </w:rPr>
        <w:tab/>
        <w:t xml:space="preserve">The Controller of WIPO shall prepare the program and financial management report </w:t>
      </w:r>
      <w:r w:rsidR="00CA1AFB" w:rsidRPr="00935B3B">
        <w:rPr>
          <w:sz w:val="18"/>
          <w:szCs w:val="24"/>
        </w:rPr>
        <w:t>[…]</w:t>
      </w:r>
    </w:p>
    <w:p w:rsidR="00200C0E" w:rsidRPr="00200C0E" w:rsidRDefault="00200C0E" w:rsidP="00200C0E">
      <w:pPr>
        <w:pStyle w:val="Inf4Normal"/>
        <w:spacing w:before="80"/>
        <w:ind w:left="1134" w:right="567"/>
        <w:rPr>
          <w:sz w:val="18"/>
          <w:szCs w:val="24"/>
        </w:rPr>
      </w:pPr>
      <w:r w:rsidRPr="00935B3B">
        <w:rPr>
          <w:sz w:val="18"/>
          <w:szCs w:val="24"/>
        </w:rPr>
        <w:t>(b)</w:t>
      </w:r>
      <w:r w:rsidRPr="00935B3B">
        <w:rPr>
          <w:sz w:val="18"/>
          <w:szCs w:val="24"/>
        </w:rPr>
        <w:tab/>
        <w:t>Within eight months after the end of each financial period, the Secretary-General shall submit to the Council the program and financial management report prepared in accordance with Regulations 2.14 and 2.14</w:t>
      </w:r>
      <w:r w:rsidRPr="00935B3B">
        <w:rPr>
          <w:i/>
          <w:sz w:val="18"/>
          <w:szCs w:val="24"/>
        </w:rPr>
        <w:t>bis</w:t>
      </w:r>
      <w:r w:rsidRPr="00935B3B">
        <w:rPr>
          <w:sz w:val="18"/>
          <w:szCs w:val="24"/>
        </w:rPr>
        <w:t>.</w:t>
      </w:r>
    </w:p>
    <w:p w:rsidR="00200C0E" w:rsidRPr="00957875" w:rsidRDefault="00200C0E" w:rsidP="005F54AC">
      <w:pPr>
        <w:rPr>
          <w:rFonts w:cs="Arial"/>
          <w:snapToGrid w:val="0"/>
        </w:rPr>
      </w:pPr>
    </w:p>
    <w:p w:rsidR="005F54AC" w:rsidRPr="00957875" w:rsidRDefault="005F54AC" w:rsidP="005F54AC">
      <w:pPr>
        <w:tabs>
          <w:tab w:val="left" w:pos="5387"/>
          <w:tab w:val="left" w:pos="5954"/>
        </w:tabs>
        <w:ind w:left="4820"/>
        <w:rPr>
          <w:rFonts w:cs="Arial"/>
          <w:i/>
        </w:rPr>
      </w:pPr>
      <w:r w:rsidRPr="00957875">
        <w:rPr>
          <w:rFonts w:cs="Arial"/>
          <w:i/>
        </w:rPr>
        <w:fldChar w:fldCharType="begin"/>
      </w:r>
      <w:r w:rsidRPr="00957875">
        <w:rPr>
          <w:rFonts w:cs="Arial"/>
          <w:i/>
        </w:rPr>
        <w:instrText xml:space="preserve"> AUTONUM  </w:instrText>
      </w:r>
      <w:r w:rsidRPr="00957875">
        <w:rPr>
          <w:rFonts w:cs="Arial"/>
          <w:i/>
        </w:rPr>
        <w:fldChar w:fldCharType="end"/>
      </w:r>
      <w:r w:rsidRPr="00957875">
        <w:rPr>
          <w:rFonts w:cs="Arial"/>
          <w:i/>
        </w:rPr>
        <w:tab/>
        <w:t>The Council is invited to approve the Financial Management Report for the 201</w:t>
      </w:r>
      <w:r w:rsidR="00200C0E">
        <w:rPr>
          <w:rFonts w:cs="Arial"/>
          <w:i/>
        </w:rPr>
        <w:t>8</w:t>
      </w:r>
      <w:r w:rsidRPr="00957875">
        <w:rPr>
          <w:rFonts w:cs="Arial"/>
          <w:i/>
        </w:rPr>
        <w:t>-201</w:t>
      </w:r>
      <w:r w:rsidR="00200C0E">
        <w:rPr>
          <w:rFonts w:cs="Arial"/>
          <w:i/>
        </w:rPr>
        <w:t>9</w:t>
      </w:r>
      <w:r w:rsidRPr="00957875">
        <w:rPr>
          <w:rFonts w:cs="Arial"/>
          <w:i/>
        </w:rPr>
        <w:t xml:space="preserve"> Biennium.</w:t>
      </w:r>
    </w:p>
    <w:p w:rsidR="00200C0E" w:rsidRDefault="00200C0E" w:rsidP="00411846"/>
    <w:p w:rsidR="00411846" w:rsidRDefault="00411846" w:rsidP="00411846"/>
    <w:p w:rsidR="00411846" w:rsidRPr="00411846" w:rsidRDefault="00411846" w:rsidP="00411846"/>
    <w:p w:rsidR="005F54AC" w:rsidRPr="00957875" w:rsidRDefault="005F54AC" w:rsidP="00200C0E">
      <w:pPr>
        <w:spacing w:before="120"/>
        <w:jc w:val="right"/>
        <w:rPr>
          <w:rFonts w:cs="Arial"/>
        </w:rPr>
      </w:pPr>
      <w:r w:rsidRPr="00957875">
        <w:rPr>
          <w:rFonts w:cs="Arial"/>
        </w:rPr>
        <w:t>[Annex follows]</w:t>
      </w:r>
    </w:p>
    <w:p w:rsidR="005F54AC" w:rsidRPr="00957875" w:rsidRDefault="005F54AC" w:rsidP="005F54AC">
      <w:pPr>
        <w:jc w:val="right"/>
        <w:rPr>
          <w:rFonts w:cs="Arial"/>
        </w:rPr>
        <w:sectPr w:rsidR="005F54AC" w:rsidRPr="00957875" w:rsidSect="00200C0E">
          <w:headerReference w:type="default" r:id="rId9"/>
          <w:footerReference w:type="first" r:id="rId10"/>
          <w:pgSz w:w="11907" w:h="16840" w:code="9"/>
          <w:pgMar w:top="510" w:right="1134" w:bottom="709" w:left="1134" w:header="510" w:footer="680" w:gutter="0"/>
          <w:cols w:space="720"/>
          <w:titlePg/>
        </w:sectPr>
      </w:pPr>
    </w:p>
    <w:p w:rsidR="005F54AC" w:rsidRPr="00957875" w:rsidRDefault="005F54AC" w:rsidP="005F54AC">
      <w:pPr>
        <w:rPr>
          <w:rFonts w:cs="Arial"/>
        </w:rPr>
      </w:pPr>
    </w:p>
    <w:p w:rsidR="005F54AC" w:rsidRPr="00957875" w:rsidRDefault="005F54AC" w:rsidP="005F54AC">
      <w:pPr>
        <w:rPr>
          <w:rFonts w:cs="Arial"/>
        </w:rPr>
      </w:pPr>
    </w:p>
    <w:p w:rsidR="005F54AC" w:rsidRPr="00957875" w:rsidRDefault="005F54AC" w:rsidP="005F54AC">
      <w:pPr>
        <w:jc w:val="center"/>
        <w:rPr>
          <w:rFonts w:cs="Arial"/>
          <w:b/>
        </w:rPr>
      </w:pPr>
      <w:r w:rsidRPr="00957875">
        <w:rPr>
          <w:rFonts w:cs="Arial"/>
          <w:b/>
          <w:snapToGrid w:val="0"/>
        </w:rPr>
        <w:t>INTERNATIONAL UNION FOR THE PROTECTION OF NEW VARIETIES OF PLANTS</w:t>
      </w:r>
    </w:p>
    <w:p w:rsidR="005F54AC" w:rsidRPr="00957875" w:rsidRDefault="005F54AC" w:rsidP="005F54AC">
      <w:pPr>
        <w:jc w:val="center"/>
        <w:rPr>
          <w:rFonts w:cs="Arial"/>
        </w:rPr>
      </w:pPr>
    </w:p>
    <w:p w:rsidR="005F54AC" w:rsidRPr="00957875" w:rsidRDefault="005F54AC" w:rsidP="005F54AC">
      <w:pPr>
        <w:jc w:val="center"/>
        <w:rPr>
          <w:rFonts w:cs="Arial"/>
        </w:rPr>
      </w:pPr>
      <w:r w:rsidRPr="00957875">
        <w:rPr>
          <w:rFonts w:cs="Arial"/>
        </w:rPr>
        <w:t>Financial Management Report for the</w:t>
      </w:r>
      <w:r>
        <w:rPr>
          <w:rFonts w:cs="Arial"/>
        </w:rPr>
        <w:t xml:space="preserve"> 201</w:t>
      </w:r>
      <w:r w:rsidR="00200C0E">
        <w:rPr>
          <w:rFonts w:cs="Arial"/>
        </w:rPr>
        <w:t>8</w:t>
      </w:r>
      <w:r>
        <w:rPr>
          <w:rFonts w:cs="Arial"/>
        </w:rPr>
        <w:t>-201</w:t>
      </w:r>
      <w:r w:rsidR="00200C0E">
        <w:rPr>
          <w:rFonts w:cs="Arial"/>
        </w:rPr>
        <w:t>9</w:t>
      </w:r>
      <w:r w:rsidRPr="00957875">
        <w:rPr>
          <w:rFonts w:cs="Arial"/>
        </w:rPr>
        <w:t xml:space="preserve"> Biennium</w:t>
      </w:r>
    </w:p>
    <w:p w:rsidR="005F54AC" w:rsidRPr="00957875" w:rsidRDefault="005F54AC" w:rsidP="005F54AC">
      <w:pPr>
        <w:jc w:val="center"/>
        <w:rPr>
          <w:rFonts w:cs="Arial"/>
        </w:rPr>
      </w:pPr>
    </w:p>
    <w:p w:rsidR="005F54AC" w:rsidRPr="00957875" w:rsidRDefault="005F54AC" w:rsidP="005F54AC">
      <w:pPr>
        <w:jc w:val="center"/>
        <w:rPr>
          <w:rFonts w:cs="Arial"/>
        </w:rPr>
      </w:pPr>
    </w:p>
    <w:p w:rsidR="005F54AC" w:rsidRPr="00957875" w:rsidRDefault="005F54AC" w:rsidP="005F54AC">
      <w:pPr>
        <w:tabs>
          <w:tab w:val="right" w:pos="9639"/>
        </w:tabs>
        <w:rPr>
          <w:rFonts w:cs="Arial"/>
          <w:b/>
        </w:rPr>
      </w:pPr>
    </w:p>
    <w:p w:rsidR="005F54AC" w:rsidRPr="00957875" w:rsidRDefault="005F54AC" w:rsidP="005F54AC">
      <w:pPr>
        <w:tabs>
          <w:tab w:val="right" w:pos="9639"/>
        </w:tabs>
        <w:rPr>
          <w:rFonts w:cs="Arial"/>
          <w:b/>
        </w:rPr>
      </w:pPr>
    </w:p>
    <w:p w:rsidR="005F54AC" w:rsidRPr="0078204B" w:rsidRDefault="005F54AC" w:rsidP="008502D5">
      <w:pPr>
        <w:tabs>
          <w:tab w:val="right" w:pos="9639"/>
        </w:tabs>
        <w:rPr>
          <w:rFonts w:cs="Arial"/>
          <w:sz w:val="18"/>
        </w:rPr>
      </w:pPr>
      <w:r w:rsidRPr="0078204B">
        <w:rPr>
          <w:rFonts w:cs="Arial"/>
          <w:b/>
          <w:sz w:val="18"/>
        </w:rPr>
        <w:t>TABLE OF CONTENTS</w:t>
      </w:r>
      <w:r w:rsidRPr="0078204B">
        <w:rPr>
          <w:rFonts w:cs="Arial"/>
          <w:b/>
          <w:sz w:val="18"/>
        </w:rPr>
        <w:tab/>
      </w:r>
      <w:r w:rsidRPr="0078204B">
        <w:rPr>
          <w:rFonts w:cs="Arial"/>
          <w:b/>
          <w:caps/>
          <w:sz w:val="18"/>
        </w:rPr>
        <w:t>page</w:t>
      </w:r>
    </w:p>
    <w:p w:rsidR="005F54AC" w:rsidRPr="0078204B" w:rsidRDefault="005F54AC" w:rsidP="005F54AC">
      <w:pPr>
        <w:rPr>
          <w:rFonts w:cs="Arial"/>
          <w:sz w:val="18"/>
        </w:rPr>
      </w:pPr>
    </w:p>
    <w:p w:rsidR="00FB13C6" w:rsidRDefault="001D6ED6">
      <w:pPr>
        <w:pStyle w:val="TOC1"/>
        <w:rPr>
          <w:rFonts w:asciiTheme="minorHAnsi" w:eastAsiaTheme="minorEastAsia" w:hAnsiTheme="minorHAnsi" w:cstheme="minorBidi"/>
          <w:b w:val="0"/>
          <w:bCs w:val="0"/>
          <w:sz w:val="22"/>
          <w:szCs w:val="22"/>
        </w:rPr>
      </w:pPr>
      <w:r w:rsidRPr="0078204B">
        <w:fldChar w:fldCharType="begin"/>
      </w:r>
      <w:r w:rsidRPr="0078204B">
        <w:instrText xml:space="preserve"> TOC \o "1-3" \h \z \u </w:instrText>
      </w:r>
      <w:r w:rsidRPr="0078204B">
        <w:fldChar w:fldCharType="separate"/>
      </w:r>
      <w:hyperlink w:anchor="_Toc48833474" w:history="1">
        <w:r w:rsidR="00FB13C6" w:rsidRPr="002614D0">
          <w:rPr>
            <w:rStyle w:val="Hyperlink"/>
          </w:rPr>
          <w:t>SUMMARY AND ANALYSIS OF BUDGET RESULT</w:t>
        </w:r>
        <w:r w:rsidR="00FB13C6">
          <w:rPr>
            <w:webHidden/>
          </w:rPr>
          <w:tab/>
        </w:r>
        <w:r w:rsidR="00FB13C6">
          <w:rPr>
            <w:webHidden/>
          </w:rPr>
          <w:fldChar w:fldCharType="begin"/>
        </w:r>
        <w:r w:rsidR="00FB13C6">
          <w:rPr>
            <w:webHidden/>
          </w:rPr>
          <w:instrText xml:space="preserve"> PAGEREF _Toc48833474 \h </w:instrText>
        </w:r>
        <w:r w:rsidR="00FB13C6">
          <w:rPr>
            <w:webHidden/>
          </w:rPr>
        </w:r>
        <w:r w:rsidR="00FB13C6">
          <w:rPr>
            <w:webHidden/>
          </w:rPr>
          <w:fldChar w:fldCharType="separate"/>
        </w:r>
        <w:r w:rsidR="00FB13C6">
          <w:rPr>
            <w:webHidden/>
          </w:rPr>
          <w:t>2</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75" w:history="1">
        <w:r w:rsidR="00FB13C6" w:rsidRPr="002614D0">
          <w:rPr>
            <w:rStyle w:val="Hyperlink"/>
          </w:rPr>
          <w:t>Table 1. 2018-2019 Income, Expenditure and Reserve and Working Capital Funds (RWCF)</w:t>
        </w:r>
        <w:r w:rsidR="00FB13C6">
          <w:rPr>
            <w:webHidden/>
          </w:rPr>
          <w:tab/>
        </w:r>
        <w:r w:rsidR="00FB13C6">
          <w:rPr>
            <w:webHidden/>
          </w:rPr>
          <w:fldChar w:fldCharType="begin"/>
        </w:r>
        <w:r w:rsidR="00FB13C6">
          <w:rPr>
            <w:webHidden/>
          </w:rPr>
          <w:instrText xml:space="preserve"> PAGEREF _Toc48833475 \h </w:instrText>
        </w:r>
        <w:r w:rsidR="00FB13C6">
          <w:rPr>
            <w:webHidden/>
          </w:rPr>
        </w:r>
        <w:r w:rsidR="00FB13C6">
          <w:rPr>
            <w:webHidden/>
          </w:rPr>
          <w:fldChar w:fldCharType="separate"/>
        </w:r>
        <w:r w:rsidR="00FB13C6">
          <w:rPr>
            <w:webHidden/>
          </w:rPr>
          <w:t>2</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76" w:history="1">
        <w:r w:rsidR="00FB13C6" w:rsidRPr="002614D0">
          <w:rPr>
            <w:rStyle w:val="Hyperlink"/>
          </w:rPr>
          <w:t>Table 2. 2018-2019 Budgeted and Actual Income by Source</w:t>
        </w:r>
        <w:r w:rsidR="00FB13C6">
          <w:rPr>
            <w:webHidden/>
          </w:rPr>
          <w:tab/>
        </w:r>
        <w:r w:rsidR="00FB13C6">
          <w:rPr>
            <w:webHidden/>
          </w:rPr>
          <w:fldChar w:fldCharType="begin"/>
        </w:r>
        <w:r w:rsidR="00FB13C6">
          <w:rPr>
            <w:webHidden/>
          </w:rPr>
          <w:instrText xml:space="preserve"> PAGEREF _Toc48833476 \h </w:instrText>
        </w:r>
        <w:r w:rsidR="00FB13C6">
          <w:rPr>
            <w:webHidden/>
          </w:rPr>
        </w:r>
        <w:r w:rsidR="00FB13C6">
          <w:rPr>
            <w:webHidden/>
          </w:rPr>
          <w:fldChar w:fldCharType="separate"/>
        </w:r>
        <w:r w:rsidR="00FB13C6">
          <w:rPr>
            <w:webHidden/>
          </w:rPr>
          <w:t>3</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77" w:history="1">
        <w:r w:rsidR="00FB13C6" w:rsidRPr="002614D0">
          <w:rPr>
            <w:rStyle w:val="Hyperlink"/>
          </w:rPr>
          <w:t>Table 3. 2018-2019 Approved Budget and Expenditure by Object of Expenditure</w:t>
        </w:r>
        <w:r w:rsidR="00FB13C6">
          <w:rPr>
            <w:webHidden/>
          </w:rPr>
          <w:tab/>
        </w:r>
        <w:r w:rsidR="00FB13C6">
          <w:rPr>
            <w:webHidden/>
          </w:rPr>
          <w:fldChar w:fldCharType="begin"/>
        </w:r>
        <w:r w:rsidR="00FB13C6">
          <w:rPr>
            <w:webHidden/>
          </w:rPr>
          <w:instrText xml:space="preserve"> PAGEREF _Toc48833477 \h </w:instrText>
        </w:r>
        <w:r w:rsidR="00FB13C6">
          <w:rPr>
            <w:webHidden/>
          </w:rPr>
        </w:r>
        <w:r w:rsidR="00FB13C6">
          <w:rPr>
            <w:webHidden/>
          </w:rPr>
          <w:fldChar w:fldCharType="separate"/>
        </w:r>
        <w:r w:rsidR="00FB13C6">
          <w:rPr>
            <w:webHidden/>
          </w:rPr>
          <w:t>4</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78" w:history="1">
        <w:r w:rsidR="00FB13C6" w:rsidRPr="002614D0">
          <w:rPr>
            <w:rStyle w:val="Hyperlink"/>
          </w:rPr>
          <w:t>Table 4. 2018-2019 Approved Budget and Expenditure by Sub-Programs</w:t>
        </w:r>
        <w:r w:rsidR="00FB13C6">
          <w:rPr>
            <w:webHidden/>
          </w:rPr>
          <w:tab/>
        </w:r>
        <w:r w:rsidR="00FB13C6">
          <w:rPr>
            <w:webHidden/>
          </w:rPr>
          <w:fldChar w:fldCharType="begin"/>
        </w:r>
        <w:r w:rsidR="00FB13C6">
          <w:rPr>
            <w:webHidden/>
          </w:rPr>
          <w:instrText xml:space="preserve"> PAGEREF _Toc48833478 \h </w:instrText>
        </w:r>
        <w:r w:rsidR="00FB13C6">
          <w:rPr>
            <w:webHidden/>
          </w:rPr>
        </w:r>
        <w:r w:rsidR="00FB13C6">
          <w:rPr>
            <w:webHidden/>
          </w:rPr>
          <w:fldChar w:fldCharType="separate"/>
        </w:r>
        <w:r w:rsidR="00FB13C6">
          <w:rPr>
            <w:webHidden/>
          </w:rPr>
          <w:t>4</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79" w:history="1">
        <w:r w:rsidR="00FB13C6" w:rsidRPr="002614D0">
          <w:rPr>
            <w:rStyle w:val="Hyperlink"/>
          </w:rPr>
          <w:t>Table 5. 2018-2019 Expenditure Details by Sub-Programs</w:t>
        </w:r>
        <w:r w:rsidR="00FB13C6">
          <w:rPr>
            <w:webHidden/>
          </w:rPr>
          <w:tab/>
        </w:r>
        <w:r w:rsidR="00FB13C6">
          <w:rPr>
            <w:webHidden/>
          </w:rPr>
          <w:fldChar w:fldCharType="begin"/>
        </w:r>
        <w:r w:rsidR="00FB13C6">
          <w:rPr>
            <w:webHidden/>
          </w:rPr>
          <w:instrText xml:space="preserve"> PAGEREF _Toc48833479 \h </w:instrText>
        </w:r>
        <w:r w:rsidR="00FB13C6">
          <w:rPr>
            <w:webHidden/>
          </w:rPr>
        </w:r>
        <w:r w:rsidR="00FB13C6">
          <w:rPr>
            <w:webHidden/>
          </w:rPr>
          <w:fldChar w:fldCharType="separate"/>
        </w:r>
        <w:r w:rsidR="00FB13C6">
          <w:rPr>
            <w:webHidden/>
          </w:rPr>
          <w:t>6</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80" w:history="1">
        <w:r w:rsidR="00FB13C6" w:rsidRPr="002614D0">
          <w:rPr>
            <w:rStyle w:val="Hyperlink"/>
          </w:rPr>
          <w:t>Table 6. 2018-2019 Budgeted and Actual Posts</w:t>
        </w:r>
        <w:r w:rsidR="00FB13C6">
          <w:rPr>
            <w:webHidden/>
          </w:rPr>
          <w:tab/>
        </w:r>
        <w:r w:rsidR="00FB13C6">
          <w:rPr>
            <w:webHidden/>
          </w:rPr>
          <w:fldChar w:fldCharType="begin"/>
        </w:r>
        <w:r w:rsidR="00FB13C6">
          <w:rPr>
            <w:webHidden/>
          </w:rPr>
          <w:instrText xml:space="preserve"> PAGEREF _Toc48833480 \h </w:instrText>
        </w:r>
        <w:r w:rsidR="00FB13C6">
          <w:rPr>
            <w:webHidden/>
          </w:rPr>
        </w:r>
        <w:r w:rsidR="00FB13C6">
          <w:rPr>
            <w:webHidden/>
          </w:rPr>
          <w:fldChar w:fldCharType="separate"/>
        </w:r>
        <w:r w:rsidR="00FB13C6">
          <w:rPr>
            <w:webHidden/>
          </w:rPr>
          <w:t>7</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81" w:history="1">
        <w:r w:rsidR="00FB13C6" w:rsidRPr="002614D0">
          <w:rPr>
            <w:rStyle w:val="Hyperlink"/>
          </w:rPr>
          <w:t>Table 7. Evolution of Actual Income and Expenditure during 2008-2019</w:t>
        </w:r>
        <w:r w:rsidR="00FB13C6">
          <w:rPr>
            <w:webHidden/>
          </w:rPr>
          <w:tab/>
        </w:r>
        <w:r w:rsidR="00FB13C6">
          <w:rPr>
            <w:webHidden/>
          </w:rPr>
          <w:fldChar w:fldCharType="begin"/>
        </w:r>
        <w:r w:rsidR="00FB13C6">
          <w:rPr>
            <w:webHidden/>
          </w:rPr>
          <w:instrText xml:space="preserve"> PAGEREF _Toc48833481 \h </w:instrText>
        </w:r>
        <w:r w:rsidR="00FB13C6">
          <w:rPr>
            <w:webHidden/>
          </w:rPr>
        </w:r>
        <w:r w:rsidR="00FB13C6">
          <w:rPr>
            <w:webHidden/>
          </w:rPr>
          <w:fldChar w:fldCharType="separate"/>
        </w:r>
        <w:r w:rsidR="00FB13C6">
          <w:rPr>
            <w:webHidden/>
          </w:rPr>
          <w:t>7</w:t>
        </w:r>
        <w:r w:rsidR="00FB13C6">
          <w:rPr>
            <w:webHidden/>
          </w:rPr>
          <w:fldChar w:fldCharType="end"/>
        </w:r>
      </w:hyperlink>
    </w:p>
    <w:p w:rsidR="00FB13C6" w:rsidRDefault="008D1D52">
      <w:pPr>
        <w:pStyle w:val="TOC1"/>
        <w:rPr>
          <w:rFonts w:asciiTheme="minorHAnsi" w:eastAsiaTheme="minorEastAsia" w:hAnsiTheme="minorHAnsi" w:cstheme="minorBidi"/>
          <w:b w:val="0"/>
          <w:bCs w:val="0"/>
          <w:sz w:val="22"/>
          <w:szCs w:val="22"/>
        </w:rPr>
      </w:pPr>
      <w:hyperlink w:anchor="_Toc48833482" w:history="1">
        <w:r w:rsidR="00FB13C6" w:rsidRPr="002614D0">
          <w:rPr>
            <w:rStyle w:val="Hyperlink"/>
          </w:rPr>
          <w:t>FINANCIAL STATEMENTS</w:t>
        </w:r>
        <w:r w:rsidR="00FB13C6">
          <w:rPr>
            <w:webHidden/>
          </w:rPr>
          <w:tab/>
        </w:r>
        <w:r w:rsidR="00FB13C6">
          <w:rPr>
            <w:webHidden/>
          </w:rPr>
          <w:fldChar w:fldCharType="begin"/>
        </w:r>
        <w:r w:rsidR="00FB13C6">
          <w:rPr>
            <w:webHidden/>
          </w:rPr>
          <w:instrText xml:space="preserve"> PAGEREF _Toc48833482 \h </w:instrText>
        </w:r>
        <w:r w:rsidR="00FB13C6">
          <w:rPr>
            <w:webHidden/>
          </w:rPr>
        </w:r>
        <w:r w:rsidR="00FB13C6">
          <w:rPr>
            <w:webHidden/>
          </w:rPr>
          <w:fldChar w:fldCharType="separate"/>
        </w:r>
        <w:r w:rsidR="00FB13C6">
          <w:rPr>
            <w:webHidden/>
          </w:rPr>
          <w:t>8</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83" w:history="1">
        <w:r w:rsidR="00FB13C6" w:rsidRPr="002614D0">
          <w:rPr>
            <w:rStyle w:val="Hyperlink"/>
          </w:rPr>
          <w:t>Statement I  Statement of Financial Position</w:t>
        </w:r>
        <w:r w:rsidR="00FB13C6">
          <w:rPr>
            <w:webHidden/>
          </w:rPr>
          <w:tab/>
        </w:r>
        <w:r w:rsidR="00FB13C6">
          <w:rPr>
            <w:webHidden/>
          </w:rPr>
          <w:fldChar w:fldCharType="begin"/>
        </w:r>
        <w:r w:rsidR="00FB13C6">
          <w:rPr>
            <w:webHidden/>
          </w:rPr>
          <w:instrText xml:space="preserve"> PAGEREF _Toc48833483 \h </w:instrText>
        </w:r>
        <w:r w:rsidR="00FB13C6">
          <w:rPr>
            <w:webHidden/>
          </w:rPr>
        </w:r>
        <w:r w:rsidR="00FB13C6">
          <w:rPr>
            <w:webHidden/>
          </w:rPr>
          <w:fldChar w:fldCharType="separate"/>
        </w:r>
        <w:r w:rsidR="00FB13C6">
          <w:rPr>
            <w:webHidden/>
          </w:rPr>
          <w:t>9</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84" w:history="1">
        <w:r w:rsidR="00FB13C6" w:rsidRPr="002614D0">
          <w:rPr>
            <w:rStyle w:val="Hyperlink"/>
          </w:rPr>
          <w:t>Statement II  Statement of Financial Performance</w:t>
        </w:r>
        <w:r w:rsidR="00FB13C6">
          <w:rPr>
            <w:webHidden/>
          </w:rPr>
          <w:tab/>
        </w:r>
        <w:r w:rsidR="00FB13C6">
          <w:rPr>
            <w:webHidden/>
          </w:rPr>
          <w:fldChar w:fldCharType="begin"/>
        </w:r>
        <w:r w:rsidR="00FB13C6">
          <w:rPr>
            <w:webHidden/>
          </w:rPr>
          <w:instrText xml:space="preserve"> PAGEREF _Toc48833484 \h </w:instrText>
        </w:r>
        <w:r w:rsidR="00FB13C6">
          <w:rPr>
            <w:webHidden/>
          </w:rPr>
        </w:r>
        <w:r w:rsidR="00FB13C6">
          <w:rPr>
            <w:webHidden/>
          </w:rPr>
          <w:fldChar w:fldCharType="separate"/>
        </w:r>
        <w:r w:rsidR="00FB13C6">
          <w:rPr>
            <w:webHidden/>
          </w:rPr>
          <w:t>10</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85" w:history="1">
        <w:r w:rsidR="00FB13C6" w:rsidRPr="002614D0">
          <w:rPr>
            <w:rStyle w:val="Hyperlink"/>
          </w:rPr>
          <w:t>Statement III  Statement of Changes in Net Assets</w:t>
        </w:r>
        <w:r w:rsidR="00FB13C6">
          <w:rPr>
            <w:webHidden/>
          </w:rPr>
          <w:tab/>
        </w:r>
        <w:r w:rsidR="00FB13C6">
          <w:rPr>
            <w:webHidden/>
          </w:rPr>
          <w:fldChar w:fldCharType="begin"/>
        </w:r>
        <w:r w:rsidR="00FB13C6">
          <w:rPr>
            <w:webHidden/>
          </w:rPr>
          <w:instrText xml:space="preserve"> PAGEREF _Toc48833485 \h </w:instrText>
        </w:r>
        <w:r w:rsidR="00FB13C6">
          <w:rPr>
            <w:webHidden/>
          </w:rPr>
        </w:r>
        <w:r w:rsidR="00FB13C6">
          <w:rPr>
            <w:webHidden/>
          </w:rPr>
          <w:fldChar w:fldCharType="separate"/>
        </w:r>
        <w:r w:rsidR="00FB13C6">
          <w:rPr>
            <w:webHidden/>
          </w:rPr>
          <w:t>11</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86" w:history="1">
        <w:r w:rsidR="00FB13C6" w:rsidRPr="002614D0">
          <w:rPr>
            <w:rStyle w:val="Hyperlink"/>
          </w:rPr>
          <w:t>Statement IV  Statement of Cash Flow</w:t>
        </w:r>
        <w:r w:rsidR="00FB13C6">
          <w:rPr>
            <w:webHidden/>
          </w:rPr>
          <w:tab/>
        </w:r>
        <w:r w:rsidR="00FB13C6">
          <w:rPr>
            <w:webHidden/>
          </w:rPr>
          <w:fldChar w:fldCharType="begin"/>
        </w:r>
        <w:r w:rsidR="00FB13C6">
          <w:rPr>
            <w:webHidden/>
          </w:rPr>
          <w:instrText xml:space="preserve"> PAGEREF _Toc48833486 \h </w:instrText>
        </w:r>
        <w:r w:rsidR="00FB13C6">
          <w:rPr>
            <w:webHidden/>
          </w:rPr>
        </w:r>
        <w:r w:rsidR="00FB13C6">
          <w:rPr>
            <w:webHidden/>
          </w:rPr>
          <w:fldChar w:fldCharType="separate"/>
        </w:r>
        <w:r w:rsidR="00FB13C6">
          <w:rPr>
            <w:webHidden/>
          </w:rPr>
          <w:t>12</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87" w:history="1">
        <w:r w:rsidR="00FB13C6" w:rsidRPr="002614D0">
          <w:rPr>
            <w:rStyle w:val="Hyperlink"/>
          </w:rPr>
          <w:t>Statement V  Statement of Comparison of Budget and Actual Amounts</w:t>
        </w:r>
        <w:r w:rsidR="00FB13C6">
          <w:rPr>
            <w:webHidden/>
          </w:rPr>
          <w:tab/>
        </w:r>
        <w:r w:rsidR="00FB13C6">
          <w:rPr>
            <w:webHidden/>
          </w:rPr>
          <w:fldChar w:fldCharType="begin"/>
        </w:r>
        <w:r w:rsidR="00FB13C6">
          <w:rPr>
            <w:webHidden/>
          </w:rPr>
          <w:instrText xml:space="preserve"> PAGEREF _Toc48833487 \h </w:instrText>
        </w:r>
        <w:r w:rsidR="00FB13C6">
          <w:rPr>
            <w:webHidden/>
          </w:rPr>
        </w:r>
        <w:r w:rsidR="00FB13C6">
          <w:rPr>
            <w:webHidden/>
          </w:rPr>
          <w:fldChar w:fldCharType="separate"/>
        </w:r>
        <w:r w:rsidR="00FB13C6">
          <w:rPr>
            <w:webHidden/>
          </w:rPr>
          <w:t>13</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88" w:history="1">
        <w:r w:rsidR="00FB13C6" w:rsidRPr="002614D0">
          <w:rPr>
            <w:rStyle w:val="Hyperlink"/>
          </w:rPr>
          <w:t>Analysis of the Statement of Financial Position</w:t>
        </w:r>
        <w:r w:rsidR="00FB13C6">
          <w:rPr>
            <w:webHidden/>
          </w:rPr>
          <w:tab/>
        </w:r>
        <w:r w:rsidR="00FB13C6">
          <w:rPr>
            <w:webHidden/>
          </w:rPr>
          <w:fldChar w:fldCharType="begin"/>
        </w:r>
        <w:r w:rsidR="00FB13C6">
          <w:rPr>
            <w:webHidden/>
          </w:rPr>
          <w:instrText xml:space="preserve"> PAGEREF _Toc48833488 \h </w:instrText>
        </w:r>
        <w:r w:rsidR="00FB13C6">
          <w:rPr>
            <w:webHidden/>
          </w:rPr>
        </w:r>
        <w:r w:rsidR="00FB13C6">
          <w:rPr>
            <w:webHidden/>
          </w:rPr>
          <w:fldChar w:fldCharType="separate"/>
        </w:r>
        <w:r w:rsidR="00FB13C6">
          <w:rPr>
            <w:webHidden/>
          </w:rPr>
          <w:t>14</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89" w:history="1">
        <w:r w:rsidR="00FB13C6" w:rsidRPr="002614D0">
          <w:rPr>
            <w:rStyle w:val="Hyperlink"/>
          </w:rPr>
          <w:t>Analysis of Statement of Financial Performance</w:t>
        </w:r>
        <w:r w:rsidR="00FB13C6">
          <w:rPr>
            <w:webHidden/>
          </w:rPr>
          <w:tab/>
        </w:r>
        <w:r w:rsidR="00FB13C6">
          <w:rPr>
            <w:webHidden/>
          </w:rPr>
          <w:fldChar w:fldCharType="begin"/>
        </w:r>
        <w:r w:rsidR="00FB13C6">
          <w:rPr>
            <w:webHidden/>
          </w:rPr>
          <w:instrText xml:space="preserve"> PAGEREF _Toc48833489 \h </w:instrText>
        </w:r>
        <w:r w:rsidR="00FB13C6">
          <w:rPr>
            <w:webHidden/>
          </w:rPr>
        </w:r>
        <w:r w:rsidR="00FB13C6">
          <w:rPr>
            <w:webHidden/>
          </w:rPr>
          <w:fldChar w:fldCharType="separate"/>
        </w:r>
        <w:r w:rsidR="00FB13C6">
          <w:rPr>
            <w:webHidden/>
          </w:rPr>
          <w:t>17</w:t>
        </w:r>
        <w:r w:rsidR="00FB13C6">
          <w:rPr>
            <w:webHidden/>
          </w:rPr>
          <w:fldChar w:fldCharType="end"/>
        </w:r>
      </w:hyperlink>
    </w:p>
    <w:p w:rsidR="00FB13C6" w:rsidRDefault="008D1D52">
      <w:pPr>
        <w:pStyle w:val="TOC1"/>
        <w:rPr>
          <w:rFonts w:asciiTheme="minorHAnsi" w:eastAsiaTheme="minorEastAsia" w:hAnsiTheme="minorHAnsi" w:cstheme="minorBidi"/>
          <w:b w:val="0"/>
          <w:bCs w:val="0"/>
          <w:sz w:val="22"/>
          <w:szCs w:val="22"/>
        </w:rPr>
      </w:pPr>
      <w:hyperlink w:anchor="_Toc48833490" w:history="1">
        <w:r w:rsidR="00FB13C6" w:rsidRPr="002614D0">
          <w:rPr>
            <w:rStyle w:val="Hyperlink"/>
          </w:rPr>
          <w:t>WORKING CAPITAL FUND AND CONTRIBUTIONS</w:t>
        </w:r>
        <w:r w:rsidR="00FB13C6">
          <w:rPr>
            <w:webHidden/>
          </w:rPr>
          <w:tab/>
        </w:r>
        <w:r w:rsidR="00FB13C6">
          <w:rPr>
            <w:webHidden/>
          </w:rPr>
          <w:fldChar w:fldCharType="begin"/>
        </w:r>
        <w:r w:rsidR="00FB13C6">
          <w:rPr>
            <w:webHidden/>
          </w:rPr>
          <w:instrText xml:space="preserve"> PAGEREF _Toc48833490 \h </w:instrText>
        </w:r>
        <w:r w:rsidR="00FB13C6">
          <w:rPr>
            <w:webHidden/>
          </w:rPr>
        </w:r>
        <w:r w:rsidR="00FB13C6">
          <w:rPr>
            <w:webHidden/>
          </w:rPr>
          <w:fldChar w:fldCharType="separate"/>
        </w:r>
        <w:r w:rsidR="00FB13C6">
          <w:rPr>
            <w:webHidden/>
          </w:rPr>
          <w:t>18</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91" w:history="1">
        <w:r w:rsidR="00FB13C6" w:rsidRPr="002614D0">
          <w:rPr>
            <w:rStyle w:val="Hyperlink"/>
          </w:rPr>
          <w:t>Working Capital Fund as at December 31, 2019</w:t>
        </w:r>
        <w:r w:rsidR="00FB13C6">
          <w:rPr>
            <w:webHidden/>
          </w:rPr>
          <w:tab/>
        </w:r>
        <w:r w:rsidR="00FB13C6">
          <w:rPr>
            <w:webHidden/>
          </w:rPr>
          <w:fldChar w:fldCharType="begin"/>
        </w:r>
        <w:r w:rsidR="00FB13C6">
          <w:rPr>
            <w:webHidden/>
          </w:rPr>
          <w:instrText xml:space="preserve"> PAGEREF _Toc48833491 \h </w:instrText>
        </w:r>
        <w:r w:rsidR="00FB13C6">
          <w:rPr>
            <w:webHidden/>
          </w:rPr>
        </w:r>
        <w:r w:rsidR="00FB13C6">
          <w:rPr>
            <w:webHidden/>
          </w:rPr>
          <w:fldChar w:fldCharType="separate"/>
        </w:r>
        <w:r w:rsidR="00FB13C6">
          <w:rPr>
            <w:webHidden/>
          </w:rPr>
          <w:t>18</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92" w:history="1">
        <w:r w:rsidR="00FB13C6" w:rsidRPr="002614D0">
          <w:rPr>
            <w:rStyle w:val="Hyperlink"/>
          </w:rPr>
          <w:t>Contributions of Members of the Union</w:t>
        </w:r>
        <w:r w:rsidR="00FB13C6">
          <w:rPr>
            <w:webHidden/>
          </w:rPr>
          <w:tab/>
        </w:r>
        <w:r w:rsidR="00FB13C6">
          <w:rPr>
            <w:webHidden/>
          </w:rPr>
          <w:fldChar w:fldCharType="begin"/>
        </w:r>
        <w:r w:rsidR="00FB13C6">
          <w:rPr>
            <w:webHidden/>
          </w:rPr>
          <w:instrText xml:space="preserve"> PAGEREF _Toc48833492 \h </w:instrText>
        </w:r>
        <w:r w:rsidR="00FB13C6">
          <w:rPr>
            <w:webHidden/>
          </w:rPr>
        </w:r>
        <w:r w:rsidR="00FB13C6">
          <w:rPr>
            <w:webHidden/>
          </w:rPr>
          <w:fldChar w:fldCharType="separate"/>
        </w:r>
        <w:r w:rsidR="00FB13C6">
          <w:rPr>
            <w:webHidden/>
          </w:rPr>
          <w:t>19</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93" w:history="1">
        <w:r w:rsidR="00FB13C6" w:rsidRPr="002614D0">
          <w:rPr>
            <w:rStyle w:val="Hyperlink"/>
          </w:rPr>
          <w:t>Contribution Payments Received in Advance</w:t>
        </w:r>
        <w:r w:rsidR="00FB13C6">
          <w:rPr>
            <w:webHidden/>
          </w:rPr>
          <w:tab/>
        </w:r>
        <w:r w:rsidR="00FB13C6">
          <w:rPr>
            <w:webHidden/>
          </w:rPr>
          <w:fldChar w:fldCharType="begin"/>
        </w:r>
        <w:r w:rsidR="00FB13C6">
          <w:rPr>
            <w:webHidden/>
          </w:rPr>
          <w:instrText xml:space="preserve"> PAGEREF _Toc48833493 \h </w:instrText>
        </w:r>
        <w:r w:rsidR="00FB13C6">
          <w:rPr>
            <w:webHidden/>
          </w:rPr>
        </w:r>
        <w:r w:rsidR="00FB13C6">
          <w:rPr>
            <w:webHidden/>
          </w:rPr>
          <w:fldChar w:fldCharType="separate"/>
        </w:r>
        <w:r w:rsidR="00FB13C6">
          <w:rPr>
            <w:webHidden/>
          </w:rPr>
          <w:t>21</w:t>
        </w:r>
        <w:r w:rsidR="00FB13C6">
          <w:rPr>
            <w:webHidden/>
          </w:rPr>
          <w:fldChar w:fldCharType="end"/>
        </w:r>
      </w:hyperlink>
    </w:p>
    <w:p w:rsidR="00FB13C6" w:rsidRDefault="008D1D52">
      <w:pPr>
        <w:pStyle w:val="TOC2"/>
        <w:rPr>
          <w:rFonts w:asciiTheme="minorHAnsi" w:eastAsiaTheme="minorEastAsia" w:hAnsiTheme="minorHAnsi" w:cstheme="minorBidi"/>
          <w:i w:val="0"/>
          <w:iCs w:val="0"/>
          <w:sz w:val="22"/>
          <w:szCs w:val="22"/>
        </w:rPr>
      </w:pPr>
      <w:hyperlink w:anchor="_Toc48833494" w:history="1">
        <w:r w:rsidR="00FB13C6" w:rsidRPr="002614D0">
          <w:rPr>
            <w:rStyle w:val="Hyperlink"/>
          </w:rPr>
          <w:t>Amounts of the Contributions Due and Unpaid Working Capital as at December 31, 2019</w:t>
        </w:r>
        <w:r w:rsidR="00FB13C6">
          <w:rPr>
            <w:webHidden/>
          </w:rPr>
          <w:tab/>
        </w:r>
        <w:r w:rsidR="00FB13C6">
          <w:rPr>
            <w:webHidden/>
          </w:rPr>
          <w:fldChar w:fldCharType="begin"/>
        </w:r>
        <w:r w:rsidR="00FB13C6">
          <w:rPr>
            <w:webHidden/>
          </w:rPr>
          <w:instrText xml:space="preserve"> PAGEREF _Toc48833494 \h </w:instrText>
        </w:r>
        <w:r w:rsidR="00FB13C6">
          <w:rPr>
            <w:webHidden/>
          </w:rPr>
        </w:r>
        <w:r w:rsidR="00FB13C6">
          <w:rPr>
            <w:webHidden/>
          </w:rPr>
          <w:fldChar w:fldCharType="separate"/>
        </w:r>
        <w:r w:rsidR="00FB13C6">
          <w:rPr>
            <w:webHidden/>
          </w:rPr>
          <w:t>22</w:t>
        </w:r>
        <w:r w:rsidR="00FB13C6">
          <w:rPr>
            <w:webHidden/>
          </w:rPr>
          <w:fldChar w:fldCharType="end"/>
        </w:r>
      </w:hyperlink>
    </w:p>
    <w:p w:rsidR="00FB13C6" w:rsidRDefault="008D1D52">
      <w:pPr>
        <w:pStyle w:val="TOC1"/>
        <w:rPr>
          <w:rFonts w:asciiTheme="minorHAnsi" w:eastAsiaTheme="minorEastAsia" w:hAnsiTheme="minorHAnsi" w:cstheme="minorBidi"/>
          <w:b w:val="0"/>
          <w:bCs w:val="0"/>
          <w:sz w:val="22"/>
          <w:szCs w:val="22"/>
        </w:rPr>
      </w:pPr>
      <w:hyperlink w:anchor="_Toc48833495" w:history="1">
        <w:r w:rsidR="00FB13C6" w:rsidRPr="002614D0">
          <w:rPr>
            <w:rStyle w:val="Hyperlink"/>
          </w:rPr>
          <w:t>EXTRABUDGETARY FUNDS (FUNDS IN TRUST)</w:t>
        </w:r>
        <w:r w:rsidR="00FB13C6">
          <w:rPr>
            <w:webHidden/>
          </w:rPr>
          <w:tab/>
        </w:r>
        <w:r w:rsidR="00FB13C6">
          <w:rPr>
            <w:webHidden/>
          </w:rPr>
          <w:fldChar w:fldCharType="begin"/>
        </w:r>
        <w:r w:rsidR="00FB13C6">
          <w:rPr>
            <w:webHidden/>
          </w:rPr>
          <w:instrText xml:space="preserve"> PAGEREF _Toc48833495 \h </w:instrText>
        </w:r>
        <w:r w:rsidR="00FB13C6">
          <w:rPr>
            <w:webHidden/>
          </w:rPr>
        </w:r>
        <w:r w:rsidR="00FB13C6">
          <w:rPr>
            <w:webHidden/>
          </w:rPr>
          <w:fldChar w:fldCharType="separate"/>
        </w:r>
        <w:r w:rsidR="00FB13C6">
          <w:rPr>
            <w:webHidden/>
          </w:rPr>
          <w:t>24</w:t>
        </w:r>
        <w:r w:rsidR="00FB13C6">
          <w:rPr>
            <w:webHidden/>
          </w:rPr>
          <w:fldChar w:fldCharType="end"/>
        </w:r>
      </w:hyperlink>
    </w:p>
    <w:p w:rsidR="00903264" w:rsidRPr="0078204B" w:rsidRDefault="001D6ED6">
      <w:pPr>
        <w:jc w:val="left"/>
        <w:rPr>
          <w:sz w:val="18"/>
        </w:rPr>
      </w:pPr>
      <w:r w:rsidRPr="0078204B">
        <w:rPr>
          <w:rFonts w:asciiTheme="minorHAnsi" w:hAnsiTheme="minorHAnsi" w:cstheme="minorHAnsi"/>
          <w:b/>
          <w:bCs/>
          <w:sz w:val="18"/>
        </w:rPr>
        <w:fldChar w:fldCharType="end"/>
      </w:r>
    </w:p>
    <w:p w:rsidR="00F03325" w:rsidRPr="0078204B" w:rsidRDefault="00F03325">
      <w:pPr>
        <w:jc w:val="left"/>
        <w:rPr>
          <w:sz w:val="18"/>
        </w:rPr>
      </w:pPr>
    </w:p>
    <w:p w:rsidR="00F03325" w:rsidRPr="0078204B" w:rsidRDefault="00F03325">
      <w:pPr>
        <w:jc w:val="left"/>
        <w:rPr>
          <w:sz w:val="18"/>
        </w:rPr>
      </w:pPr>
    </w:p>
    <w:p w:rsidR="00F03325" w:rsidRDefault="00F03325">
      <w:pPr>
        <w:jc w:val="left"/>
      </w:pPr>
    </w:p>
    <w:p w:rsidR="0078204B" w:rsidRDefault="0078204B">
      <w:pPr>
        <w:jc w:val="left"/>
        <w:rPr>
          <w:rFonts w:cs="Arial"/>
          <w:b/>
          <w:caps/>
        </w:rPr>
      </w:pPr>
      <w:r>
        <w:rPr>
          <w:rFonts w:cs="Arial"/>
        </w:rPr>
        <w:br w:type="page"/>
      </w:r>
    </w:p>
    <w:p w:rsidR="00F03325" w:rsidRPr="00AD0E42" w:rsidRDefault="001D6ED6" w:rsidP="00F03325">
      <w:pPr>
        <w:pStyle w:val="Heading1"/>
        <w:rPr>
          <w:rFonts w:cs="Arial"/>
        </w:rPr>
      </w:pPr>
      <w:bookmarkStart w:id="5" w:name="_Toc48833474"/>
      <w:r>
        <w:rPr>
          <w:rFonts w:cs="Arial"/>
        </w:rPr>
        <w:lastRenderedPageBreak/>
        <w:t>SUMMARY AND ANALYSIS OF BUDGET RESULT</w:t>
      </w:r>
      <w:bookmarkEnd w:id="5"/>
    </w:p>
    <w:p w:rsidR="00F03325" w:rsidRPr="00AD0E42" w:rsidRDefault="00F03325" w:rsidP="00F03325">
      <w:pPr>
        <w:rPr>
          <w:rFonts w:cs="Arial"/>
        </w:rPr>
      </w:pPr>
    </w:p>
    <w:p w:rsidR="00F03325" w:rsidRDefault="00F03325" w:rsidP="00F03325">
      <w:pPr>
        <w:rPr>
          <w:rFonts w:cs="Arial"/>
        </w:rPr>
      </w:pPr>
      <w:r w:rsidRPr="00AD0E42">
        <w:rPr>
          <w:rFonts w:eastAsiaTheme="minorHAnsi" w:cs="Arial"/>
        </w:rPr>
        <w:t>Table 1</w:t>
      </w:r>
      <w:r w:rsidRPr="00AD0E42">
        <w:rPr>
          <w:rFonts w:eastAsiaTheme="minorHAnsi" w:cs="Arial"/>
          <w:sz w:val="22"/>
          <w:szCs w:val="22"/>
        </w:rPr>
        <w:t xml:space="preserve"> </w:t>
      </w:r>
      <w:r w:rsidRPr="00AD0E42">
        <w:rPr>
          <w:rFonts w:cs="Arial"/>
        </w:rPr>
        <w:t>below presents the overall budgetary result for UPOV in the 201</w:t>
      </w:r>
      <w:r w:rsidR="009A1086">
        <w:rPr>
          <w:rFonts w:cs="Arial"/>
        </w:rPr>
        <w:t>8-20</w:t>
      </w:r>
      <w:r>
        <w:rPr>
          <w:rFonts w:cs="Arial"/>
        </w:rPr>
        <w:t>19</w:t>
      </w:r>
      <w:r w:rsidRPr="00AD0E42">
        <w:rPr>
          <w:rFonts w:cs="Arial"/>
        </w:rPr>
        <w:t xml:space="preserve"> Biennium as well as the </w:t>
      </w:r>
      <w:r w:rsidRPr="006733F7">
        <w:rPr>
          <w:rFonts w:cs="Arial"/>
        </w:rPr>
        <w:t>Reserve</w:t>
      </w:r>
      <w:r w:rsidRPr="00AD0E42">
        <w:rPr>
          <w:rFonts w:cs="Arial"/>
        </w:rPr>
        <w:t xml:space="preserve"> and Working Capital Funds (RWCF) as at the end of 201</w:t>
      </w:r>
      <w:r>
        <w:rPr>
          <w:rFonts w:cs="Arial"/>
        </w:rPr>
        <w:t>9</w:t>
      </w:r>
      <w:r w:rsidRPr="00AD0E42">
        <w:rPr>
          <w:rFonts w:cs="Arial"/>
        </w:rPr>
        <w:t xml:space="preserve">.  The total income (before IPSAS adjustments) amounted </w:t>
      </w:r>
      <w:r w:rsidRPr="00DB1D51">
        <w:rPr>
          <w:rFonts w:cs="Arial"/>
        </w:rPr>
        <w:t>to 6,930,932</w:t>
      </w:r>
      <w:r w:rsidR="00F5247E">
        <w:rPr>
          <w:rFonts w:cs="Arial"/>
        </w:rPr>
        <w:t> Swiss francs</w:t>
      </w:r>
      <w:r w:rsidRPr="00AD0E42">
        <w:rPr>
          <w:rFonts w:cs="Arial"/>
        </w:rPr>
        <w:t xml:space="preserve">, and the total budgetary expenditure amounted to </w:t>
      </w:r>
      <w:r w:rsidRPr="00DB1D51">
        <w:rPr>
          <w:rFonts w:cs="Arial"/>
          <w:spacing w:val="-2"/>
        </w:rPr>
        <w:t>6,854,494</w:t>
      </w:r>
      <w:r w:rsidR="00F5247E">
        <w:rPr>
          <w:rFonts w:cs="Arial"/>
          <w:spacing w:val="-2"/>
        </w:rPr>
        <w:t> Swiss francs</w:t>
      </w:r>
      <w:r w:rsidRPr="006B621B">
        <w:rPr>
          <w:rFonts w:cs="Arial"/>
          <w:spacing w:val="-2"/>
        </w:rPr>
        <w:t xml:space="preserve">, resulting in a budgetary surplus of </w:t>
      </w:r>
      <w:r w:rsidRPr="00B14C0F">
        <w:rPr>
          <w:rFonts w:cs="Arial"/>
          <w:spacing w:val="-2"/>
        </w:rPr>
        <w:t>76,438</w:t>
      </w:r>
      <w:r w:rsidR="00F5247E">
        <w:rPr>
          <w:rFonts w:cs="Arial"/>
          <w:spacing w:val="-2"/>
        </w:rPr>
        <w:t> Swiss francs</w:t>
      </w:r>
      <w:r w:rsidRPr="006B621B">
        <w:rPr>
          <w:rFonts w:cs="Arial"/>
          <w:spacing w:val="-2"/>
        </w:rPr>
        <w:t xml:space="preserve"> for the 201</w:t>
      </w:r>
      <w:r w:rsidR="009A1086">
        <w:rPr>
          <w:rFonts w:cs="Arial"/>
          <w:spacing w:val="-2"/>
        </w:rPr>
        <w:t>8-20</w:t>
      </w:r>
      <w:r w:rsidRPr="006B621B">
        <w:rPr>
          <w:rFonts w:cs="Arial"/>
          <w:spacing w:val="-2"/>
        </w:rPr>
        <w:t>1</w:t>
      </w:r>
      <w:r>
        <w:rPr>
          <w:rFonts w:cs="Arial"/>
          <w:spacing w:val="-2"/>
        </w:rPr>
        <w:t>9</w:t>
      </w:r>
      <w:r w:rsidRPr="006B621B">
        <w:rPr>
          <w:rFonts w:cs="Arial"/>
          <w:spacing w:val="-2"/>
        </w:rPr>
        <w:t> Biennium.</w:t>
      </w:r>
      <w:r w:rsidRPr="00AD0E42">
        <w:rPr>
          <w:rFonts w:cs="Arial"/>
        </w:rPr>
        <w:t xml:space="preserve">  </w:t>
      </w:r>
    </w:p>
    <w:p w:rsidR="00F03325" w:rsidRPr="00AD0E42" w:rsidRDefault="00F03325" w:rsidP="00F03325">
      <w:pPr>
        <w:rPr>
          <w:rFonts w:eastAsiaTheme="minorHAnsi" w:cs="Arial"/>
        </w:rPr>
      </w:pPr>
    </w:p>
    <w:p w:rsidR="00F03325" w:rsidRPr="00AD0E42" w:rsidRDefault="00F03325" w:rsidP="00F03325">
      <w:pPr>
        <w:rPr>
          <w:rFonts w:eastAsiaTheme="minorHAnsi" w:cs="Arial"/>
        </w:rPr>
      </w:pPr>
      <w:r w:rsidRPr="00AD0E42">
        <w:rPr>
          <w:rFonts w:eastAsiaTheme="minorHAnsi" w:cs="Arial"/>
        </w:rPr>
        <w:t>At the end of 201</w:t>
      </w:r>
      <w:r>
        <w:rPr>
          <w:rFonts w:eastAsiaTheme="minorHAnsi" w:cs="Arial"/>
        </w:rPr>
        <w:t>9</w:t>
      </w:r>
      <w:r w:rsidRPr="00AD0E42">
        <w:rPr>
          <w:rFonts w:eastAsiaTheme="minorHAnsi" w:cs="Arial"/>
        </w:rPr>
        <w:t xml:space="preserve">, the total </w:t>
      </w:r>
      <w:r w:rsidRPr="00AD0E42">
        <w:rPr>
          <w:rFonts w:cs="Arial"/>
        </w:rPr>
        <w:t xml:space="preserve">RWCF </w:t>
      </w:r>
      <w:r w:rsidRPr="00DB1D51">
        <w:rPr>
          <w:rFonts w:cs="Arial"/>
        </w:rPr>
        <w:t>amounted to 896,605</w:t>
      </w:r>
      <w:r w:rsidR="00F5247E">
        <w:rPr>
          <w:rFonts w:cs="Arial"/>
        </w:rPr>
        <w:t> Swiss francs</w:t>
      </w:r>
      <w:r w:rsidRPr="00AD0E42">
        <w:rPr>
          <w:rFonts w:cs="Arial"/>
        </w:rPr>
        <w:t xml:space="preserve">, comprising </w:t>
      </w:r>
      <w:r w:rsidRPr="00DB1D51">
        <w:rPr>
          <w:rFonts w:cs="Arial"/>
        </w:rPr>
        <w:t>809,578</w:t>
      </w:r>
      <w:r w:rsidR="00F5247E">
        <w:rPr>
          <w:rFonts w:cs="Arial"/>
        </w:rPr>
        <w:t> Swiss francs</w:t>
      </w:r>
      <w:r w:rsidRPr="00AD0E42">
        <w:rPr>
          <w:rFonts w:cs="Arial"/>
        </w:rPr>
        <w:t xml:space="preserve"> in the Reserve Fund, </w:t>
      </w:r>
      <w:r>
        <w:rPr>
          <w:rFonts w:cs="Arial"/>
        </w:rPr>
        <w:t>560,845</w:t>
      </w:r>
      <w:r w:rsidR="00F5247E">
        <w:rPr>
          <w:rFonts w:cs="Arial"/>
        </w:rPr>
        <w:t> Swiss francs</w:t>
      </w:r>
      <w:r w:rsidRPr="00AD0E42">
        <w:rPr>
          <w:rFonts w:cs="Arial"/>
        </w:rPr>
        <w:t xml:space="preserve"> in the Working Capital Fund</w:t>
      </w:r>
      <w:r>
        <w:rPr>
          <w:rFonts w:cs="Arial"/>
        </w:rPr>
        <w:t xml:space="preserve"> and Actuarial losses through Net Assets of 473,818</w:t>
      </w:r>
      <w:r w:rsidR="00F5247E">
        <w:rPr>
          <w:rFonts w:cs="Arial"/>
        </w:rPr>
        <w:t> Swiss francs</w:t>
      </w:r>
      <w:r w:rsidRPr="00AD0E42">
        <w:rPr>
          <w:rFonts w:eastAsiaTheme="minorHAnsi" w:cs="Arial"/>
        </w:rPr>
        <w:t xml:space="preserve">. </w:t>
      </w:r>
    </w:p>
    <w:p w:rsidR="00F03325" w:rsidRPr="00D24576" w:rsidRDefault="00F03325" w:rsidP="00F03325">
      <w:pPr>
        <w:rPr>
          <w:rFonts w:eastAsiaTheme="minorHAnsi" w:cs="Arial"/>
          <w:highlight w:val="yellow"/>
        </w:rPr>
      </w:pPr>
    </w:p>
    <w:p w:rsidR="00F03325" w:rsidRPr="00D03AEC" w:rsidRDefault="00F03325" w:rsidP="00E17281">
      <w:pPr>
        <w:pStyle w:val="Heading2"/>
      </w:pPr>
      <w:bookmarkStart w:id="6" w:name="_Toc460229912"/>
      <w:bookmarkStart w:id="7" w:name="_Toc522808843"/>
      <w:bookmarkStart w:id="8" w:name="_Toc48833475"/>
      <w:r w:rsidRPr="00D03AEC">
        <w:t>Table 1. 201</w:t>
      </w:r>
      <w:r w:rsidR="009A1086">
        <w:t>8-20</w:t>
      </w:r>
      <w:r w:rsidRPr="00D03AEC">
        <w:t>1</w:t>
      </w:r>
      <w:r>
        <w:t>9</w:t>
      </w:r>
      <w:r w:rsidRPr="00D03AEC">
        <w:t xml:space="preserve"> Income, Expenditure and Reserve and Working Capital Funds (RWCF)</w:t>
      </w:r>
      <w:bookmarkEnd w:id="6"/>
      <w:bookmarkEnd w:id="7"/>
      <w:bookmarkEnd w:id="8"/>
    </w:p>
    <w:p w:rsidR="00F03325" w:rsidRDefault="00F03325" w:rsidP="00F03325">
      <w:pPr>
        <w:spacing w:after="200" w:line="276" w:lineRule="auto"/>
        <w:jc w:val="center"/>
        <w:rPr>
          <w:rFonts w:eastAsiaTheme="minorHAnsi" w:cs="Arial"/>
          <w:i/>
        </w:rPr>
      </w:pPr>
      <w:r w:rsidRPr="00D03AEC">
        <w:rPr>
          <w:rFonts w:eastAsiaTheme="minorHAnsi" w:cs="Arial"/>
          <w:i/>
        </w:rPr>
        <w:t>(in thousands of</w:t>
      </w:r>
      <w:r w:rsidR="00F5247E">
        <w:rPr>
          <w:rFonts w:eastAsiaTheme="minorHAnsi" w:cs="Arial"/>
          <w:i/>
        </w:rPr>
        <w:t> Swiss francs</w:t>
      </w:r>
      <w:r w:rsidRPr="00D03AEC">
        <w:rPr>
          <w:rFonts w:eastAsiaTheme="minorHAnsi" w:cs="Arial"/>
          <w:i/>
        </w:rPr>
        <w:t>)</w:t>
      </w:r>
    </w:p>
    <w:p w:rsidR="00F03325" w:rsidRPr="00D03AEC" w:rsidRDefault="00F03325" w:rsidP="00F03325">
      <w:pPr>
        <w:spacing w:after="200" w:line="276" w:lineRule="auto"/>
        <w:jc w:val="center"/>
        <w:rPr>
          <w:rFonts w:eastAsiaTheme="minorHAnsi" w:cs="Arial"/>
          <w:i/>
        </w:rPr>
      </w:pPr>
      <w:r w:rsidRPr="00402C7D">
        <w:rPr>
          <w:rFonts w:eastAsiaTheme="minorHAnsi"/>
          <w:noProof/>
        </w:rPr>
        <w:drawing>
          <wp:inline distT="0" distB="0" distL="0" distR="0" wp14:anchorId="75DFCCCB" wp14:editId="25C0828E">
            <wp:extent cx="5402580" cy="258318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746" b="5175"/>
                    <a:stretch/>
                  </pic:blipFill>
                  <pic:spPr bwMode="auto">
                    <a:xfrm>
                      <a:off x="0" y="0"/>
                      <a:ext cx="5402580" cy="2583180"/>
                    </a:xfrm>
                    <a:prstGeom prst="rect">
                      <a:avLst/>
                    </a:prstGeom>
                    <a:noFill/>
                    <a:ln>
                      <a:noFill/>
                    </a:ln>
                    <a:extLst>
                      <a:ext uri="{53640926-AAD7-44D8-BBD7-CCE9431645EC}">
                        <a14:shadowObscured xmlns:a14="http://schemas.microsoft.com/office/drawing/2010/main"/>
                      </a:ext>
                    </a:extLst>
                  </pic:spPr>
                </pic:pic>
              </a:graphicData>
            </a:graphic>
          </wp:inline>
        </w:drawing>
      </w:r>
    </w:p>
    <w:p w:rsidR="00F03325" w:rsidRDefault="00F03325" w:rsidP="00F03325">
      <w:pPr>
        <w:spacing w:line="276" w:lineRule="auto"/>
        <w:jc w:val="center"/>
        <w:rPr>
          <w:rFonts w:eastAsiaTheme="minorHAnsi" w:cs="Arial"/>
          <w:i/>
          <w:sz w:val="22"/>
          <w:szCs w:val="22"/>
          <w:highlight w:val="yellow"/>
        </w:rPr>
      </w:pPr>
    </w:p>
    <w:p w:rsidR="00F03325" w:rsidRDefault="00F03325" w:rsidP="00F03325">
      <w:pPr>
        <w:spacing w:line="276" w:lineRule="auto"/>
        <w:jc w:val="center"/>
        <w:rPr>
          <w:rFonts w:eastAsiaTheme="minorHAnsi"/>
          <w:noProof/>
        </w:rPr>
      </w:pPr>
      <w:r>
        <w:rPr>
          <w:rFonts w:eastAsiaTheme="minorHAnsi"/>
          <w:noProof/>
        </w:rPr>
        <w:drawing>
          <wp:inline distT="0" distB="0" distL="0" distR="0" wp14:anchorId="655D5055" wp14:editId="47DFC969">
            <wp:extent cx="4535805" cy="274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5805" cy="2749550"/>
                    </a:xfrm>
                    <a:prstGeom prst="rect">
                      <a:avLst/>
                    </a:prstGeom>
                    <a:noFill/>
                    <a:ln w="3175" cmpd="sng">
                      <a:noFill/>
                    </a:ln>
                  </pic:spPr>
                </pic:pic>
              </a:graphicData>
            </a:graphic>
          </wp:inline>
        </w:drawing>
      </w:r>
    </w:p>
    <w:p w:rsidR="00F03325" w:rsidRPr="00D24576" w:rsidRDefault="00F03325" w:rsidP="00F03325">
      <w:pPr>
        <w:spacing w:line="276" w:lineRule="auto"/>
        <w:jc w:val="center"/>
        <w:rPr>
          <w:rFonts w:eastAsiaTheme="minorHAnsi" w:cs="Arial"/>
          <w:i/>
          <w:sz w:val="22"/>
          <w:szCs w:val="22"/>
          <w:highlight w:val="yellow"/>
        </w:rPr>
      </w:pPr>
    </w:p>
    <w:p w:rsidR="00F03325" w:rsidRPr="00D24576" w:rsidRDefault="00F03325" w:rsidP="00F03325">
      <w:pPr>
        <w:rPr>
          <w:rFonts w:eastAsiaTheme="minorHAnsi"/>
          <w:highlight w:val="yellow"/>
        </w:rPr>
      </w:pPr>
    </w:p>
    <w:p w:rsidR="00F03325" w:rsidRPr="00D24576" w:rsidRDefault="00F03325" w:rsidP="00F03325">
      <w:pPr>
        <w:rPr>
          <w:highlight w:val="yellow"/>
        </w:rPr>
      </w:pPr>
    </w:p>
    <w:p w:rsidR="00F03325" w:rsidRDefault="00F03325" w:rsidP="00F03325"/>
    <w:p w:rsidR="00F03325" w:rsidRDefault="00F03325" w:rsidP="00F03325">
      <w:pPr>
        <w:jc w:val="left"/>
      </w:pPr>
      <w:r>
        <w:br w:type="page"/>
      </w:r>
    </w:p>
    <w:p w:rsidR="00F03325" w:rsidRDefault="00F03325" w:rsidP="00F03325">
      <w:pPr>
        <w:keepLines/>
      </w:pPr>
      <w:r w:rsidRPr="00AD0E42">
        <w:lastRenderedPageBreak/>
        <w:t>The actual budgetary income amounted to 6</w:t>
      </w:r>
      <w:r>
        <w:t xml:space="preserve">.9 </w:t>
      </w:r>
      <w:r w:rsidRPr="00AD0E42">
        <w:t>million</w:t>
      </w:r>
      <w:r w:rsidR="00F5247E">
        <w:t> Swiss francs</w:t>
      </w:r>
      <w:r w:rsidRPr="00AD0E42">
        <w:t xml:space="preserve"> in the </w:t>
      </w:r>
      <w:r w:rsidR="009A1086">
        <w:t>2018-2019</w:t>
      </w:r>
      <w:r w:rsidRPr="00AD0E42">
        <w:t xml:space="preserve"> Biennium, i.</w:t>
      </w:r>
      <w:r w:rsidRPr="006733F7">
        <w:t>e. </w:t>
      </w:r>
      <w:r w:rsidRPr="00A92B2B">
        <w:t>8,894</w:t>
      </w:r>
      <w:r w:rsidR="00F5247E">
        <w:t> Swiss francs</w:t>
      </w:r>
      <w:r w:rsidRPr="00AD0E42">
        <w:t xml:space="preserve"> </w:t>
      </w:r>
      <w:r>
        <w:t>lower</w:t>
      </w:r>
      <w:r w:rsidRPr="00AD0E42">
        <w:t xml:space="preserve"> than the budget (Table 2 below).  </w:t>
      </w:r>
    </w:p>
    <w:p w:rsidR="00F03325" w:rsidRDefault="00F03325" w:rsidP="00F03325">
      <w:pPr>
        <w:keepLines/>
      </w:pPr>
    </w:p>
    <w:p w:rsidR="00F03325" w:rsidRDefault="00F03325" w:rsidP="00F03325">
      <w:pPr>
        <w:keepLines/>
      </w:pPr>
      <w:r w:rsidRPr="00AD0E42">
        <w:t>Income from contributions continued to be the single largest source of income representing 98</w:t>
      </w:r>
      <w:r>
        <w:t>.6</w:t>
      </w:r>
      <w:r w:rsidR="00F45090">
        <w:t> per cent</w:t>
      </w:r>
      <w:r w:rsidRPr="00AD0E42">
        <w:t xml:space="preserve"> of total income, in line with the approved 201</w:t>
      </w:r>
      <w:r w:rsidR="009A1086">
        <w:t>8-20</w:t>
      </w:r>
      <w:r w:rsidRPr="00AD0E42">
        <w:t>1</w:t>
      </w:r>
      <w:r>
        <w:t>9</w:t>
      </w:r>
      <w:r w:rsidRPr="00AD0E42">
        <w:t xml:space="preserve"> Program and Budget.</w:t>
      </w:r>
      <w:r w:rsidR="009A1086">
        <w:t xml:space="preserve">  In the 2018-20</w:t>
      </w:r>
      <w:r>
        <w:t xml:space="preserve">19 Biennium, </w:t>
      </w:r>
      <w:r w:rsidRPr="00B85860">
        <w:t xml:space="preserve">actual </w:t>
      </w:r>
      <w:r w:rsidRPr="008B4E67">
        <w:t xml:space="preserve">contributions </w:t>
      </w:r>
      <w:r>
        <w:t xml:space="preserve">received </w:t>
      </w:r>
      <w:r>
        <w:rPr>
          <w:color w:val="000000" w:themeColor="text1"/>
        </w:rPr>
        <w:t xml:space="preserve">were </w:t>
      </w:r>
      <w:r w:rsidRPr="00B85860">
        <w:rPr>
          <w:color w:val="000000" w:themeColor="text1"/>
        </w:rPr>
        <w:t>higher</w:t>
      </w:r>
      <w:r w:rsidRPr="00B85860">
        <w:t xml:space="preserve"> than budget</w:t>
      </w:r>
      <w:r>
        <w:t>ed</w:t>
      </w:r>
      <w:r w:rsidRPr="00B85860">
        <w:t xml:space="preserve">, </w:t>
      </w:r>
      <w:r>
        <w:t>driven by</w:t>
      </w:r>
      <w:r w:rsidRPr="00B85860">
        <w:t xml:space="preserve"> </w:t>
      </w:r>
      <w:r w:rsidRPr="00132267">
        <w:rPr>
          <w:rFonts w:eastAsiaTheme="minorHAnsi"/>
        </w:rPr>
        <w:t xml:space="preserve">an increase </w:t>
      </w:r>
      <w:r>
        <w:rPr>
          <w:rFonts w:eastAsiaTheme="minorHAnsi"/>
        </w:rPr>
        <w:t xml:space="preserve">in the </w:t>
      </w:r>
      <w:r w:rsidRPr="00132267">
        <w:rPr>
          <w:rFonts w:eastAsiaTheme="minorHAnsi"/>
        </w:rPr>
        <w:t xml:space="preserve">number of contribution units </w:t>
      </w:r>
      <w:r>
        <w:rPr>
          <w:rFonts w:eastAsiaTheme="minorHAnsi"/>
        </w:rPr>
        <w:t>from</w:t>
      </w:r>
      <w:r w:rsidRPr="00132267">
        <w:rPr>
          <w:rFonts w:eastAsiaTheme="minorHAnsi"/>
        </w:rPr>
        <w:t xml:space="preserve"> the Russian Federation</w:t>
      </w:r>
      <w:r>
        <w:rPr>
          <w:rFonts w:eastAsiaTheme="minorHAnsi"/>
        </w:rPr>
        <w:t>.</w:t>
      </w:r>
      <w:r w:rsidRPr="00132267">
        <w:rPr>
          <w:rFonts w:eastAsiaTheme="minorHAnsi"/>
        </w:rPr>
        <w:t xml:space="preserve"> </w:t>
      </w:r>
      <w:r>
        <w:rPr>
          <w:rFonts w:eastAsiaTheme="minorHAnsi"/>
        </w:rPr>
        <w:t xml:space="preserve">The number of units increased from </w:t>
      </w:r>
      <w:r w:rsidRPr="00132267">
        <w:rPr>
          <w:rFonts w:eastAsiaTheme="minorHAnsi"/>
        </w:rPr>
        <w:t>one-half (0.5) to two (2.0) units as of 2019.</w:t>
      </w:r>
      <w:r w:rsidRPr="00AD0E42">
        <w:t xml:space="preserve">  </w:t>
      </w:r>
    </w:p>
    <w:p w:rsidR="00F03325" w:rsidRDefault="00F03325" w:rsidP="00F03325">
      <w:pPr>
        <w:keepLines/>
      </w:pPr>
    </w:p>
    <w:p w:rsidR="00F03325" w:rsidRDefault="00F03325" w:rsidP="00F03325">
      <w:pPr>
        <w:keepLines/>
      </w:pPr>
      <w:r w:rsidRPr="00AD0E42">
        <w:t xml:space="preserve">No income was generated from publications in the </w:t>
      </w:r>
      <w:r w:rsidR="009A1086">
        <w:t>2018-2019</w:t>
      </w:r>
      <w:r w:rsidRPr="00AD0E42">
        <w:t xml:space="preserve"> </w:t>
      </w:r>
      <w:r>
        <w:t>Biennium</w:t>
      </w:r>
      <w:r w:rsidRPr="00AD0E42">
        <w:t xml:space="preserve"> because all publications are available free of charge.  </w:t>
      </w:r>
    </w:p>
    <w:p w:rsidR="00F03325" w:rsidRDefault="00F03325" w:rsidP="00F03325">
      <w:pPr>
        <w:keepLines/>
      </w:pPr>
    </w:p>
    <w:p w:rsidR="00F03325" w:rsidRDefault="00F03325" w:rsidP="00F03325">
      <w:r w:rsidRPr="00AD0E42">
        <w:t xml:space="preserve">Other income amounted to </w:t>
      </w:r>
      <w:bookmarkStart w:id="9" w:name="OLE_LINK1"/>
      <w:r w:rsidRPr="00DB1B16">
        <w:t>97,090</w:t>
      </w:r>
      <w:bookmarkEnd w:id="9"/>
      <w:r w:rsidR="00F5247E">
        <w:t> Swiss francs</w:t>
      </w:r>
      <w:r w:rsidR="003C26C8">
        <w:t>, i.e. 78,627</w:t>
      </w:r>
      <w:r w:rsidR="00F5247E">
        <w:t> Swiss francs</w:t>
      </w:r>
      <w:r w:rsidRPr="00AD0E42">
        <w:t xml:space="preserve"> </w:t>
      </w:r>
      <w:r w:rsidR="00B01762">
        <w:t>lower</w:t>
      </w:r>
      <w:r>
        <w:t xml:space="preserve"> </w:t>
      </w:r>
      <w:r w:rsidRPr="00AD0E42">
        <w:t>than the budget.  Other income included</w:t>
      </w:r>
      <w:r>
        <w:t>: (i) r</w:t>
      </w:r>
      <w:r w:rsidRPr="00AD0E42">
        <w:t xml:space="preserve">evenue generated from </w:t>
      </w:r>
      <w:r>
        <w:t>program</w:t>
      </w:r>
      <w:r w:rsidRPr="00AD0E42">
        <w:t xml:space="preserve"> support costs </w:t>
      </w:r>
      <w:r>
        <w:t xml:space="preserve">related to </w:t>
      </w:r>
      <w:r w:rsidRPr="00AD0E42">
        <w:t>Funds-in-Trusts</w:t>
      </w:r>
      <w:r>
        <w:t xml:space="preserve"> (FITs)</w:t>
      </w:r>
      <w:r w:rsidRPr="00AD0E42">
        <w:t xml:space="preserve"> </w:t>
      </w:r>
      <w:r w:rsidRPr="0058346F">
        <w:rPr>
          <w:rFonts w:eastAsiaTheme="minorHAnsi"/>
        </w:rPr>
        <w:t>which</w:t>
      </w:r>
      <w:r w:rsidR="00912FBE">
        <w:rPr>
          <w:rFonts w:eastAsiaTheme="minorHAnsi"/>
        </w:rPr>
        <w:t>,</w:t>
      </w:r>
      <w:r w:rsidRPr="0058346F">
        <w:rPr>
          <w:rFonts w:eastAsiaTheme="minorHAnsi"/>
        </w:rPr>
        <w:t xml:space="preserve"> at 58,223</w:t>
      </w:r>
      <w:r w:rsidR="00F5247E">
        <w:rPr>
          <w:rFonts w:eastAsiaTheme="minorHAnsi"/>
        </w:rPr>
        <w:t> Swiss francs</w:t>
      </w:r>
      <w:r w:rsidR="00912FBE">
        <w:rPr>
          <w:rFonts w:eastAsiaTheme="minorHAnsi"/>
        </w:rPr>
        <w:t>,</w:t>
      </w:r>
      <w:r w:rsidRPr="0058346F">
        <w:rPr>
          <w:rFonts w:eastAsiaTheme="minorHAnsi"/>
        </w:rPr>
        <w:t xml:space="preserve"> was slightly lower than the budget of 69,717</w:t>
      </w:r>
      <w:r w:rsidR="00F5247E">
        <w:rPr>
          <w:rFonts w:eastAsiaTheme="minorHAnsi"/>
        </w:rPr>
        <w:t> Swiss francs</w:t>
      </w:r>
      <w:r>
        <w:t>; and (ii) f</w:t>
      </w:r>
      <w:r w:rsidRPr="00AD0E42">
        <w:t>ee income from participants in the UPOV distance learning program</w:t>
      </w:r>
      <w:r>
        <w:t xml:space="preserve"> </w:t>
      </w:r>
      <w:r w:rsidRPr="00523ED8">
        <w:rPr>
          <w:rFonts w:eastAsiaTheme="minorHAnsi"/>
        </w:rPr>
        <w:t>which</w:t>
      </w:r>
      <w:r w:rsidR="00912FBE">
        <w:rPr>
          <w:rFonts w:eastAsiaTheme="minorHAnsi"/>
        </w:rPr>
        <w:t>,</w:t>
      </w:r>
      <w:r w:rsidRPr="00523ED8">
        <w:rPr>
          <w:rFonts w:eastAsiaTheme="minorHAnsi"/>
        </w:rPr>
        <w:t xml:space="preserve"> at 40,000</w:t>
      </w:r>
      <w:r w:rsidR="00F5247E">
        <w:rPr>
          <w:rFonts w:eastAsiaTheme="minorHAnsi"/>
        </w:rPr>
        <w:t> Swiss francs</w:t>
      </w:r>
      <w:r w:rsidR="00912FBE">
        <w:rPr>
          <w:rFonts w:eastAsiaTheme="minorHAnsi"/>
        </w:rPr>
        <w:t>,</w:t>
      </w:r>
      <w:r w:rsidRPr="00523ED8">
        <w:rPr>
          <w:rFonts w:eastAsiaTheme="minorHAnsi"/>
        </w:rPr>
        <w:t xml:space="preserve"> was significantly higher than the budget of 16,000</w:t>
      </w:r>
      <w:r w:rsidR="00F5247E">
        <w:rPr>
          <w:rFonts w:eastAsiaTheme="minorHAnsi"/>
        </w:rPr>
        <w:t> Swiss francs</w:t>
      </w:r>
      <w:r w:rsidRPr="00523ED8">
        <w:rPr>
          <w:rFonts w:eastAsiaTheme="minorHAnsi"/>
        </w:rPr>
        <w:t>.</w:t>
      </w:r>
      <w:r w:rsidRPr="00AD0E42">
        <w:t xml:space="preserve"> </w:t>
      </w:r>
    </w:p>
    <w:p w:rsidR="00F03325" w:rsidRDefault="00F03325" w:rsidP="00F03325">
      <w:pPr>
        <w:rPr>
          <w:rFonts w:eastAsiaTheme="minorHAnsi" w:cs="Arial"/>
        </w:rPr>
      </w:pPr>
    </w:p>
    <w:p w:rsidR="00F03325" w:rsidRPr="00E66612" w:rsidRDefault="00B01762" w:rsidP="00F03325">
      <w:pPr>
        <w:rPr>
          <w:rFonts w:eastAsiaTheme="minorHAnsi" w:cs="Arial"/>
        </w:rPr>
      </w:pPr>
      <w:r>
        <w:rPr>
          <w:rFonts w:eastAsiaTheme="minorHAnsi" w:cs="Arial"/>
        </w:rPr>
        <w:t>Also w</w:t>
      </w:r>
      <w:r w:rsidR="003C26C8">
        <w:rPr>
          <w:rFonts w:eastAsiaTheme="minorHAnsi" w:cs="Arial"/>
        </w:rPr>
        <w:t xml:space="preserve">ithin other income, </w:t>
      </w:r>
      <w:r w:rsidR="00F03325" w:rsidRPr="00E66612">
        <w:rPr>
          <w:rFonts w:eastAsiaTheme="minorHAnsi" w:cs="Arial"/>
        </w:rPr>
        <w:t>90</w:t>
      </w:r>
      <w:r w:rsidR="00F03325">
        <w:rPr>
          <w:rFonts w:eastAsiaTheme="minorHAnsi" w:cs="Arial"/>
        </w:rPr>
        <w:t>,000</w:t>
      </w:r>
      <w:r w:rsidR="00F5247E">
        <w:rPr>
          <w:rFonts w:eastAsiaTheme="minorHAnsi" w:cs="Arial"/>
        </w:rPr>
        <w:t> Swiss francs</w:t>
      </w:r>
      <w:r w:rsidR="00F03325" w:rsidRPr="00E66612">
        <w:rPr>
          <w:rFonts w:eastAsiaTheme="minorHAnsi" w:cs="Arial"/>
        </w:rPr>
        <w:t xml:space="preserve"> was</w:t>
      </w:r>
      <w:r>
        <w:rPr>
          <w:rFonts w:eastAsiaTheme="minorHAnsi" w:cs="Arial"/>
        </w:rPr>
        <w:t xml:space="preserve"> </w:t>
      </w:r>
      <w:r w:rsidR="00F03325" w:rsidRPr="00E66612">
        <w:rPr>
          <w:rFonts w:eastAsiaTheme="minorHAnsi" w:cs="Arial"/>
        </w:rPr>
        <w:t>budgeted f</w:t>
      </w:r>
      <w:r w:rsidR="00F03325">
        <w:rPr>
          <w:rFonts w:eastAsiaTheme="minorHAnsi" w:cs="Arial"/>
        </w:rPr>
        <w:t>or</w:t>
      </w:r>
      <w:r w:rsidR="00F03325" w:rsidRPr="00E66612">
        <w:rPr>
          <w:rFonts w:eastAsiaTheme="minorHAnsi" w:cs="Arial"/>
        </w:rPr>
        <w:t xml:space="preserve"> UPOV PRISMA fees in the </w:t>
      </w:r>
      <w:r w:rsidR="009A1086">
        <w:rPr>
          <w:rFonts w:eastAsiaTheme="minorHAnsi" w:cs="Arial"/>
        </w:rPr>
        <w:t>2018-2019</w:t>
      </w:r>
      <w:r w:rsidR="00F03325" w:rsidRPr="00E66612">
        <w:rPr>
          <w:rFonts w:eastAsiaTheme="minorHAnsi" w:cs="Arial"/>
        </w:rPr>
        <w:t xml:space="preserve"> Biennium but no income was received as a result of a decision to make the use of UPOV PRISMA free of charge until the end of 2019.</w:t>
      </w:r>
    </w:p>
    <w:p w:rsidR="00F03325" w:rsidRDefault="00F03325" w:rsidP="00F03325">
      <w:pPr>
        <w:keepLines/>
      </w:pPr>
    </w:p>
    <w:p w:rsidR="00F03325" w:rsidRPr="00D24576" w:rsidRDefault="00F03325" w:rsidP="00F03325">
      <w:pPr>
        <w:rPr>
          <w:rFonts w:eastAsiaTheme="minorHAnsi" w:cs="Arial"/>
          <w:b/>
          <w:highlight w:val="yellow"/>
          <w:u w:val="single"/>
        </w:rPr>
      </w:pPr>
    </w:p>
    <w:p w:rsidR="00F03325" w:rsidRPr="007F2BCB" w:rsidRDefault="00F03325" w:rsidP="00E17281">
      <w:pPr>
        <w:pStyle w:val="Heading2"/>
      </w:pPr>
      <w:bookmarkStart w:id="10" w:name="_Toc460229913"/>
      <w:bookmarkStart w:id="11" w:name="_Toc522808844"/>
      <w:bookmarkStart w:id="12" w:name="_Toc48833476"/>
      <w:r w:rsidRPr="007F2BCB">
        <w:t xml:space="preserve">Table 2. </w:t>
      </w:r>
      <w:r w:rsidR="009A1086">
        <w:t>2018-2019</w:t>
      </w:r>
      <w:r w:rsidRPr="007F2BCB">
        <w:t xml:space="preserve"> Budgeted and Actual Income by Source</w:t>
      </w:r>
      <w:bookmarkEnd w:id="10"/>
      <w:bookmarkEnd w:id="11"/>
      <w:bookmarkEnd w:id="12"/>
    </w:p>
    <w:p w:rsidR="00F03325" w:rsidRPr="007F2BCB" w:rsidRDefault="00F03325" w:rsidP="00F03325">
      <w:pPr>
        <w:spacing w:after="200" w:line="276" w:lineRule="auto"/>
        <w:jc w:val="center"/>
        <w:rPr>
          <w:rFonts w:eastAsiaTheme="minorHAnsi" w:cs="Arial"/>
          <w:i/>
        </w:rPr>
      </w:pPr>
      <w:r w:rsidRPr="007F2BCB">
        <w:rPr>
          <w:rFonts w:eastAsiaTheme="minorHAnsi" w:cs="Arial"/>
          <w:i/>
        </w:rPr>
        <w:t>(in thousands of</w:t>
      </w:r>
      <w:r w:rsidR="00F5247E">
        <w:rPr>
          <w:rFonts w:eastAsiaTheme="minorHAnsi" w:cs="Arial"/>
          <w:i/>
        </w:rPr>
        <w:t> Swiss francs</w:t>
      </w:r>
      <w:r w:rsidRPr="007F2BCB">
        <w:rPr>
          <w:rFonts w:eastAsiaTheme="minorHAnsi" w:cs="Arial"/>
          <w:i/>
        </w:rPr>
        <w:t>)</w:t>
      </w:r>
    </w:p>
    <w:p w:rsidR="00F03325" w:rsidRPr="00D24576" w:rsidRDefault="003C26C8" w:rsidP="00F03325">
      <w:pPr>
        <w:spacing w:after="200" w:line="276" w:lineRule="auto"/>
        <w:jc w:val="center"/>
        <w:rPr>
          <w:rFonts w:eastAsiaTheme="minorHAnsi" w:cs="Arial"/>
          <w:b/>
          <w:sz w:val="22"/>
          <w:szCs w:val="22"/>
          <w:highlight w:val="yellow"/>
        </w:rPr>
      </w:pPr>
      <w:r w:rsidRPr="003C26C8">
        <w:rPr>
          <w:rFonts w:eastAsiaTheme="minorHAnsi"/>
          <w:noProof/>
        </w:rPr>
        <w:drawing>
          <wp:inline distT="0" distB="0" distL="0" distR="0">
            <wp:extent cx="4853940" cy="126492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3940" cy="1264920"/>
                    </a:xfrm>
                    <a:prstGeom prst="rect">
                      <a:avLst/>
                    </a:prstGeom>
                    <a:noFill/>
                    <a:ln>
                      <a:noFill/>
                    </a:ln>
                  </pic:spPr>
                </pic:pic>
              </a:graphicData>
            </a:graphic>
          </wp:inline>
        </w:drawing>
      </w:r>
    </w:p>
    <w:p w:rsidR="00F03325" w:rsidRPr="00D24576" w:rsidRDefault="00F03325" w:rsidP="00F03325">
      <w:pPr>
        <w:jc w:val="center"/>
        <w:rPr>
          <w:rFonts w:eastAsiaTheme="minorHAnsi"/>
          <w:highlight w:val="yellow"/>
        </w:rPr>
      </w:pPr>
    </w:p>
    <w:p w:rsidR="00F03325" w:rsidRPr="00D24576" w:rsidRDefault="00F03325" w:rsidP="00F03325">
      <w:pPr>
        <w:jc w:val="center"/>
        <w:rPr>
          <w:rFonts w:eastAsiaTheme="minorHAnsi"/>
          <w:highlight w:val="yellow"/>
        </w:rPr>
      </w:pPr>
      <w:r>
        <w:rPr>
          <w:rFonts w:eastAsiaTheme="minorHAnsi"/>
          <w:noProof/>
          <w:highlight w:val="yellow"/>
        </w:rPr>
        <w:drawing>
          <wp:inline distT="0" distB="0" distL="0" distR="0" wp14:anchorId="78784B12" wp14:editId="39E4F6C3">
            <wp:extent cx="4572635" cy="27432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F03325" w:rsidRPr="00D24576" w:rsidRDefault="00F03325" w:rsidP="00F03325">
      <w:pPr>
        <w:rPr>
          <w:rFonts w:cs="Arial"/>
          <w:highlight w:val="yellow"/>
        </w:rPr>
      </w:pPr>
      <w:r w:rsidRPr="00D24576">
        <w:rPr>
          <w:rFonts w:cs="Arial"/>
          <w:highlight w:val="yellow"/>
        </w:rPr>
        <w:br w:type="page"/>
      </w:r>
    </w:p>
    <w:p w:rsidR="00F03325" w:rsidRPr="00AD0E42" w:rsidRDefault="00F03325" w:rsidP="00F03325">
      <w:pPr>
        <w:rPr>
          <w:rFonts w:eastAsiaTheme="minorHAnsi"/>
          <w:sz w:val="22"/>
          <w:szCs w:val="22"/>
        </w:rPr>
      </w:pPr>
      <w:r w:rsidRPr="00AD0E42">
        <w:lastRenderedPageBreak/>
        <w:t xml:space="preserve">Actual expenditure in </w:t>
      </w:r>
      <w:r w:rsidR="009A1086">
        <w:t>2018-2019</w:t>
      </w:r>
      <w:r w:rsidRPr="00AD0E42">
        <w:t xml:space="preserve"> compared to the approved </w:t>
      </w:r>
      <w:r w:rsidR="009A1086">
        <w:t>2018-2019</w:t>
      </w:r>
      <w:r w:rsidRPr="00AD0E42">
        <w:t xml:space="preserve"> Program and Budget is presented below by cost categories </w:t>
      </w:r>
      <w:r w:rsidRPr="00714343">
        <w:t xml:space="preserve">in Table 3 </w:t>
      </w:r>
      <w:r w:rsidRPr="00AD0E42">
        <w:t>and by sub-programs</w:t>
      </w:r>
      <w:r w:rsidRPr="00A74815">
        <w:t xml:space="preserve"> </w:t>
      </w:r>
      <w:r w:rsidRPr="009A2041">
        <w:t>in Table 4</w:t>
      </w:r>
      <w:r w:rsidRPr="00AD0E42">
        <w:t xml:space="preserve">.  </w:t>
      </w:r>
    </w:p>
    <w:p w:rsidR="00F03325" w:rsidRPr="00D24576" w:rsidRDefault="00F03325" w:rsidP="00F03325">
      <w:pPr>
        <w:rPr>
          <w:rFonts w:eastAsiaTheme="minorHAnsi"/>
          <w:highlight w:val="yellow"/>
        </w:rPr>
      </w:pPr>
    </w:p>
    <w:p w:rsidR="00F03325" w:rsidRPr="007F2BCB" w:rsidRDefault="00F03325" w:rsidP="00E17281">
      <w:pPr>
        <w:pStyle w:val="Heading2"/>
      </w:pPr>
      <w:bookmarkStart w:id="13" w:name="_Toc522808845"/>
      <w:bookmarkStart w:id="14" w:name="_Toc48833477"/>
      <w:r w:rsidRPr="007F2BCB">
        <w:t xml:space="preserve">Table 3. </w:t>
      </w:r>
      <w:r w:rsidR="009A1086">
        <w:t>2018-2019</w:t>
      </w:r>
      <w:r w:rsidRPr="007F2BCB">
        <w:t xml:space="preserve"> Approved Budget and Expenditure by Object of Expenditure</w:t>
      </w:r>
      <w:bookmarkEnd w:id="13"/>
      <w:bookmarkEnd w:id="14"/>
    </w:p>
    <w:p w:rsidR="00F03325" w:rsidRPr="007F2BCB" w:rsidRDefault="00F03325" w:rsidP="00F03325">
      <w:pPr>
        <w:spacing w:after="200" w:line="276" w:lineRule="auto"/>
        <w:jc w:val="center"/>
        <w:rPr>
          <w:rFonts w:eastAsiaTheme="minorHAnsi" w:cs="Arial"/>
          <w:i/>
        </w:rPr>
      </w:pPr>
      <w:r w:rsidRPr="007F2BCB">
        <w:rPr>
          <w:rFonts w:eastAsiaTheme="minorHAnsi" w:cs="Arial"/>
          <w:i/>
        </w:rPr>
        <w:t>(in thousands of</w:t>
      </w:r>
      <w:r w:rsidR="00F5247E">
        <w:rPr>
          <w:rFonts w:eastAsiaTheme="minorHAnsi" w:cs="Arial"/>
          <w:i/>
        </w:rPr>
        <w:t> Swiss francs</w:t>
      </w:r>
      <w:r w:rsidRPr="007F2BCB">
        <w:rPr>
          <w:rFonts w:eastAsiaTheme="minorHAnsi" w:cs="Arial"/>
          <w:i/>
        </w:rPr>
        <w:t>)</w:t>
      </w:r>
    </w:p>
    <w:p w:rsidR="00F03325" w:rsidRPr="00D24576" w:rsidRDefault="00F03325" w:rsidP="00F03325">
      <w:pPr>
        <w:spacing w:line="276" w:lineRule="auto"/>
        <w:jc w:val="center"/>
        <w:rPr>
          <w:rFonts w:eastAsiaTheme="minorHAnsi" w:cs="Arial"/>
          <w:sz w:val="22"/>
          <w:szCs w:val="22"/>
          <w:highlight w:val="yellow"/>
        </w:rPr>
      </w:pPr>
      <w:r w:rsidRPr="00407069">
        <w:rPr>
          <w:rFonts w:eastAsiaTheme="minorHAnsi"/>
          <w:noProof/>
        </w:rPr>
        <w:drawing>
          <wp:inline distT="0" distB="0" distL="0" distR="0" wp14:anchorId="1FDB6F2F" wp14:editId="40451778">
            <wp:extent cx="5775960" cy="517292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7140" cy="5173980"/>
                    </a:xfrm>
                    <a:prstGeom prst="rect">
                      <a:avLst/>
                    </a:prstGeom>
                    <a:noFill/>
                    <a:ln>
                      <a:noFill/>
                    </a:ln>
                  </pic:spPr>
                </pic:pic>
              </a:graphicData>
            </a:graphic>
          </wp:inline>
        </w:drawing>
      </w:r>
    </w:p>
    <w:p w:rsidR="006220DD" w:rsidRDefault="00F03325" w:rsidP="006220DD">
      <w:pPr>
        <w:tabs>
          <w:tab w:val="left" w:pos="567"/>
        </w:tabs>
        <w:spacing w:line="276" w:lineRule="auto"/>
        <w:ind w:left="567" w:right="283" w:hanging="283"/>
        <w:rPr>
          <w:rFonts w:cs="Arial"/>
          <w:sz w:val="18"/>
          <w:szCs w:val="18"/>
        </w:rPr>
      </w:pPr>
      <w:r w:rsidRPr="00AD0E42">
        <w:rPr>
          <w:rFonts w:eastAsiaTheme="minorHAnsi" w:cs="Arial"/>
          <w:sz w:val="18"/>
          <w:szCs w:val="18"/>
        </w:rPr>
        <w:t>*</w:t>
      </w:r>
      <w:r w:rsidRPr="00AD0E42">
        <w:rPr>
          <w:rFonts w:eastAsiaTheme="minorHAnsi" w:cs="Arial"/>
          <w:sz w:val="18"/>
          <w:szCs w:val="18"/>
        </w:rPr>
        <w:tab/>
      </w:r>
      <w:r w:rsidRPr="00AD0E42">
        <w:rPr>
          <w:rFonts w:cs="Arial"/>
          <w:sz w:val="18"/>
          <w:szCs w:val="18"/>
        </w:rPr>
        <w:t>Any differences in numbers between this table and subsequent tables from the Financial Statements are due to rounding.</w:t>
      </w:r>
    </w:p>
    <w:p w:rsidR="006220DD" w:rsidRDefault="006220DD" w:rsidP="006220DD">
      <w:pPr>
        <w:tabs>
          <w:tab w:val="left" w:pos="567"/>
        </w:tabs>
        <w:spacing w:line="276" w:lineRule="auto"/>
        <w:ind w:left="567" w:right="283" w:hanging="283"/>
        <w:rPr>
          <w:rFonts w:cs="Arial"/>
          <w:sz w:val="18"/>
          <w:szCs w:val="18"/>
        </w:rPr>
      </w:pPr>
    </w:p>
    <w:p w:rsidR="00F03325" w:rsidRPr="00294E4B" w:rsidRDefault="00F03325" w:rsidP="00E17281">
      <w:pPr>
        <w:pStyle w:val="Heading2"/>
      </w:pPr>
      <w:bookmarkStart w:id="15" w:name="_Toc460229915"/>
      <w:bookmarkStart w:id="16" w:name="_Toc522808846"/>
      <w:bookmarkStart w:id="17" w:name="_Toc48833478"/>
      <w:r w:rsidRPr="00294E4B">
        <w:t xml:space="preserve">Table 4. </w:t>
      </w:r>
      <w:r w:rsidR="009A1086">
        <w:t>2018-2019</w:t>
      </w:r>
      <w:r w:rsidRPr="00294E4B">
        <w:t xml:space="preserve"> Approved Budget and Expenditure by Sub-Programs</w:t>
      </w:r>
      <w:bookmarkEnd w:id="15"/>
      <w:bookmarkEnd w:id="16"/>
      <w:bookmarkEnd w:id="17"/>
    </w:p>
    <w:p w:rsidR="00F03325" w:rsidRDefault="00F03325" w:rsidP="00F03325">
      <w:pPr>
        <w:spacing w:after="200" w:line="276" w:lineRule="auto"/>
        <w:jc w:val="center"/>
        <w:rPr>
          <w:rFonts w:eastAsiaTheme="minorHAnsi" w:cs="Arial"/>
          <w:i/>
        </w:rPr>
      </w:pPr>
      <w:r w:rsidRPr="00294E4B">
        <w:rPr>
          <w:rFonts w:eastAsiaTheme="minorHAnsi" w:cs="Arial"/>
          <w:i/>
        </w:rPr>
        <w:t>(in thousands of</w:t>
      </w:r>
      <w:r w:rsidR="00F5247E">
        <w:rPr>
          <w:rFonts w:eastAsiaTheme="minorHAnsi" w:cs="Arial"/>
          <w:i/>
        </w:rPr>
        <w:t> Swiss francs</w:t>
      </w:r>
      <w:r w:rsidRPr="00294E4B">
        <w:rPr>
          <w:rFonts w:eastAsiaTheme="minorHAnsi" w:cs="Arial"/>
          <w:i/>
        </w:rPr>
        <w:t>)</w:t>
      </w:r>
    </w:p>
    <w:p w:rsidR="00F03325" w:rsidRPr="00294E4B" w:rsidRDefault="00F03325" w:rsidP="00F03325">
      <w:pPr>
        <w:spacing w:after="200" w:line="276" w:lineRule="auto"/>
        <w:jc w:val="center"/>
        <w:rPr>
          <w:rFonts w:eastAsiaTheme="minorHAnsi" w:cs="Arial"/>
          <w:i/>
        </w:rPr>
      </w:pPr>
      <w:r w:rsidRPr="00806596">
        <w:rPr>
          <w:rFonts w:eastAsiaTheme="minorHAnsi"/>
          <w:noProof/>
        </w:rPr>
        <w:drawing>
          <wp:inline distT="0" distB="0" distL="0" distR="0" wp14:anchorId="35A235AE" wp14:editId="2AF21AF2">
            <wp:extent cx="6120765" cy="205258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052583"/>
                    </a:xfrm>
                    <a:prstGeom prst="rect">
                      <a:avLst/>
                    </a:prstGeom>
                    <a:noFill/>
                    <a:ln>
                      <a:noFill/>
                    </a:ln>
                  </pic:spPr>
                </pic:pic>
              </a:graphicData>
            </a:graphic>
          </wp:inline>
        </w:drawing>
      </w:r>
    </w:p>
    <w:p w:rsidR="00F03325" w:rsidRPr="00AD0E42" w:rsidRDefault="00F03325" w:rsidP="00F45090">
      <w:pPr>
        <w:keepNext/>
        <w:rPr>
          <w:rFonts w:cs="Arial"/>
          <w:u w:val="single"/>
        </w:rPr>
      </w:pPr>
      <w:r w:rsidRPr="00AD0E42">
        <w:rPr>
          <w:rFonts w:cs="Arial"/>
          <w:u w:val="single"/>
        </w:rPr>
        <w:lastRenderedPageBreak/>
        <w:t>Personnel Resources</w:t>
      </w:r>
    </w:p>
    <w:p w:rsidR="00F03325" w:rsidRPr="00AD0E42" w:rsidRDefault="00F03325" w:rsidP="00F03325">
      <w:pPr>
        <w:rPr>
          <w:rFonts w:cs="Arial"/>
        </w:rPr>
      </w:pPr>
    </w:p>
    <w:p w:rsidR="00F03325" w:rsidRDefault="00F03325" w:rsidP="00F03325">
      <w:pPr>
        <w:rPr>
          <w:rFonts w:eastAsiaTheme="minorHAnsi"/>
        </w:rPr>
      </w:pPr>
      <w:r w:rsidRPr="00547112">
        <w:rPr>
          <w:rFonts w:eastAsiaTheme="minorHAnsi"/>
        </w:rPr>
        <w:t>Personnel expenditure (before IPSAS adjustments) amounted to 4</w:t>
      </w:r>
      <w:r>
        <w:rPr>
          <w:rFonts w:eastAsiaTheme="minorHAnsi"/>
        </w:rPr>
        <w:t>.4 million</w:t>
      </w:r>
      <w:r w:rsidR="00F5247E">
        <w:rPr>
          <w:rFonts w:eastAsiaTheme="minorHAnsi"/>
        </w:rPr>
        <w:t> Swiss francs</w:t>
      </w:r>
      <w:r w:rsidRPr="00547112">
        <w:rPr>
          <w:rFonts w:eastAsiaTheme="minorHAnsi"/>
        </w:rPr>
        <w:t xml:space="preserve"> in </w:t>
      </w:r>
      <w:r w:rsidR="009A1086">
        <w:rPr>
          <w:rFonts w:eastAsiaTheme="minorHAnsi"/>
        </w:rPr>
        <w:t>2018-2019</w:t>
      </w:r>
      <w:r w:rsidRPr="00547112">
        <w:rPr>
          <w:rFonts w:eastAsiaTheme="minorHAnsi"/>
        </w:rPr>
        <w:t xml:space="preserve">, </w:t>
      </w:r>
      <w:r>
        <w:rPr>
          <w:rFonts w:eastAsiaTheme="minorHAnsi"/>
        </w:rPr>
        <w:t>i.e. 401,577</w:t>
      </w:r>
      <w:r w:rsidR="00F5247E">
        <w:rPr>
          <w:rFonts w:eastAsiaTheme="minorHAnsi"/>
        </w:rPr>
        <w:t> Swiss francs</w:t>
      </w:r>
      <w:r w:rsidRPr="00547112">
        <w:rPr>
          <w:rFonts w:eastAsiaTheme="minorHAnsi"/>
        </w:rPr>
        <w:t xml:space="preserve"> (8.4</w:t>
      </w:r>
      <w:r w:rsidR="00F45090">
        <w:rPr>
          <w:rFonts w:eastAsiaTheme="minorHAnsi"/>
        </w:rPr>
        <w:t> per cent</w:t>
      </w:r>
      <w:r w:rsidRPr="00547112">
        <w:rPr>
          <w:rFonts w:eastAsiaTheme="minorHAnsi"/>
        </w:rPr>
        <w:t>) l</w:t>
      </w:r>
      <w:r>
        <w:rPr>
          <w:rFonts w:eastAsiaTheme="minorHAnsi"/>
        </w:rPr>
        <w:t>ower</w:t>
      </w:r>
      <w:r w:rsidRPr="00547112">
        <w:rPr>
          <w:rFonts w:eastAsiaTheme="minorHAnsi"/>
        </w:rPr>
        <w:t xml:space="preserve"> than the approved </w:t>
      </w:r>
      <w:r w:rsidR="009A1086">
        <w:rPr>
          <w:rFonts w:eastAsiaTheme="minorHAnsi"/>
        </w:rPr>
        <w:t>2018-2019</w:t>
      </w:r>
      <w:r w:rsidRPr="00547112">
        <w:rPr>
          <w:rFonts w:eastAsiaTheme="minorHAnsi"/>
        </w:rPr>
        <w:t xml:space="preserve"> Program and Budget. </w:t>
      </w:r>
    </w:p>
    <w:p w:rsidR="00F03325" w:rsidRDefault="00F03325" w:rsidP="00F03325">
      <w:pPr>
        <w:rPr>
          <w:rFonts w:eastAsiaTheme="minorHAnsi"/>
        </w:rPr>
      </w:pPr>
    </w:p>
    <w:p w:rsidR="00F03325" w:rsidRPr="00A92B2B" w:rsidRDefault="00F03325" w:rsidP="00772DA9">
      <w:pPr>
        <w:rPr>
          <w:rFonts w:cs="Arial"/>
        </w:rPr>
      </w:pPr>
      <w:r w:rsidRPr="00547112">
        <w:rPr>
          <w:rFonts w:eastAsiaTheme="minorHAnsi"/>
        </w:rPr>
        <w:t>Expenditure on posts was in line with the budget as a result of the following:</w:t>
      </w:r>
      <w:r w:rsidR="00BA5312" w:rsidDel="00BA5312">
        <w:rPr>
          <w:rFonts w:eastAsiaTheme="minorHAnsi"/>
        </w:rPr>
        <w:t xml:space="preserve"> </w:t>
      </w:r>
      <w:r w:rsidR="00BA5312">
        <w:rPr>
          <w:rFonts w:eastAsiaTheme="minorHAnsi"/>
        </w:rPr>
        <w:t>e</w:t>
      </w:r>
      <w:r w:rsidR="00BA5312" w:rsidRPr="000B5768">
        <w:rPr>
          <w:rFonts w:eastAsiaTheme="minorHAnsi"/>
        </w:rPr>
        <w:t xml:space="preserve">xpenditure </w:t>
      </w:r>
      <w:r w:rsidRPr="000B5768">
        <w:rPr>
          <w:rFonts w:eastAsiaTheme="minorHAnsi"/>
        </w:rPr>
        <w:t>on two posts in the professional staff category was higher than projected because the posts were occupied several months earlier than planned.  This was offset by two posts in the general service staff category being occupied at 80</w:t>
      </w:r>
      <w:r w:rsidR="00F45090">
        <w:rPr>
          <w:rFonts w:eastAsiaTheme="minorHAnsi"/>
        </w:rPr>
        <w:t> per cent</w:t>
      </w:r>
      <w:r w:rsidRPr="000B5768">
        <w:rPr>
          <w:rFonts w:eastAsiaTheme="minorHAnsi"/>
        </w:rPr>
        <w:t>.</w:t>
      </w:r>
    </w:p>
    <w:p w:rsidR="00F03325" w:rsidRPr="007C09AC" w:rsidRDefault="00F03325" w:rsidP="007C09AC"/>
    <w:p w:rsidR="00F03325" w:rsidRPr="00BA5312" w:rsidRDefault="00F03325" w:rsidP="00772DA9">
      <w:pPr>
        <w:rPr>
          <w:rFonts w:cs="Arial"/>
        </w:rPr>
      </w:pPr>
      <w:r w:rsidRPr="00BA5312">
        <w:rPr>
          <w:rFonts w:eastAsiaTheme="minorHAnsi"/>
        </w:rPr>
        <w:t>Expenditure on temporary staff reached 16.3</w:t>
      </w:r>
      <w:r w:rsidR="00F45090">
        <w:rPr>
          <w:rFonts w:eastAsiaTheme="minorHAnsi"/>
        </w:rPr>
        <w:t> per cent</w:t>
      </w:r>
      <w:r w:rsidRPr="00BA5312">
        <w:rPr>
          <w:rFonts w:eastAsiaTheme="minorHAnsi"/>
        </w:rPr>
        <w:t xml:space="preserve"> of the budgeted costs for </w:t>
      </w:r>
      <w:r w:rsidR="009A1086" w:rsidRPr="00BA5312">
        <w:rPr>
          <w:rFonts w:eastAsiaTheme="minorHAnsi"/>
        </w:rPr>
        <w:t>2018-2019</w:t>
      </w:r>
      <w:r w:rsidRPr="00BA5312">
        <w:rPr>
          <w:rFonts w:eastAsiaTheme="minorHAnsi"/>
        </w:rPr>
        <w:t xml:space="preserve"> due to the fact that two posts in the professional staff category, which were initially covered by temporary staff, were occupied earlier than planned (see (i) above) and no temporary administrative staff was recruited </w:t>
      </w:r>
      <w:r w:rsidR="00BA5312">
        <w:rPr>
          <w:rFonts w:eastAsiaTheme="minorHAnsi"/>
        </w:rPr>
        <w:t xml:space="preserve">because </w:t>
      </w:r>
      <w:r w:rsidRPr="00BA5312">
        <w:rPr>
          <w:rFonts w:eastAsiaTheme="minorHAnsi"/>
        </w:rPr>
        <w:t>work was instead performed by agency workers.</w:t>
      </w:r>
    </w:p>
    <w:p w:rsidR="00F03325" w:rsidRPr="00D24576" w:rsidRDefault="00F03325" w:rsidP="00F03325">
      <w:pPr>
        <w:rPr>
          <w:rFonts w:cs="Arial"/>
          <w:highlight w:val="yellow"/>
        </w:rPr>
      </w:pPr>
    </w:p>
    <w:p w:rsidR="00F03325" w:rsidRPr="00AD0E42" w:rsidRDefault="00F03325" w:rsidP="00F03325">
      <w:pPr>
        <w:rPr>
          <w:rFonts w:cs="Arial"/>
          <w:u w:val="single"/>
        </w:rPr>
      </w:pPr>
      <w:r w:rsidRPr="00AD0E42">
        <w:rPr>
          <w:rFonts w:cs="Arial"/>
          <w:u w:val="single"/>
        </w:rPr>
        <w:t>Non-Personnel Resources</w:t>
      </w:r>
    </w:p>
    <w:p w:rsidR="00F03325" w:rsidRPr="00D24576" w:rsidRDefault="00F03325" w:rsidP="00F03325">
      <w:pPr>
        <w:rPr>
          <w:rFonts w:cs="Arial"/>
          <w:highlight w:val="yellow"/>
        </w:rPr>
      </w:pPr>
    </w:p>
    <w:p w:rsidR="00F03325" w:rsidRPr="00813977" w:rsidRDefault="00F03325" w:rsidP="00F03325">
      <w:pPr>
        <w:rPr>
          <w:rFonts w:eastAsiaTheme="minorHAnsi"/>
        </w:rPr>
      </w:pPr>
      <w:r w:rsidRPr="00813977">
        <w:rPr>
          <w:rFonts w:eastAsiaTheme="minorHAnsi"/>
        </w:rPr>
        <w:t>Non-personnel expenditure (before IPSAS adjustments) amounted to 2</w:t>
      </w:r>
      <w:r>
        <w:rPr>
          <w:rFonts w:eastAsiaTheme="minorHAnsi"/>
        </w:rPr>
        <w:t>.5</w:t>
      </w:r>
      <w:r w:rsidRPr="00813977">
        <w:rPr>
          <w:rFonts w:eastAsiaTheme="minorHAnsi"/>
        </w:rPr>
        <w:t xml:space="preserve"> </w:t>
      </w:r>
      <w:r>
        <w:rPr>
          <w:rFonts w:eastAsiaTheme="minorHAnsi"/>
        </w:rPr>
        <w:t>million</w:t>
      </w:r>
      <w:r w:rsidR="00F5247E">
        <w:rPr>
          <w:rFonts w:eastAsiaTheme="minorHAnsi"/>
        </w:rPr>
        <w:t> Swiss francs</w:t>
      </w:r>
      <w:r w:rsidRPr="00813977">
        <w:rPr>
          <w:rFonts w:eastAsiaTheme="minorHAnsi"/>
        </w:rPr>
        <w:t xml:space="preserve"> in </w:t>
      </w:r>
      <w:r w:rsidR="009A1086">
        <w:rPr>
          <w:rFonts w:eastAsiaTheme="minorHAnsi"/>
        </w:rPr>
        <w:t>2018-2019</w:t>
      </w:r>
      <w:r w:rsidRPr="00813977">
        <w:rPr>
          <w:rFonts w:eastAsiaTheme="minorHAnsi"/>
        </w:rPr>
        <w:t>, 316</w:t>
      </w:r>
      <w:r>
        <w:rPr>
          <w:rFonts w:eastAsiaTheme="minorHAnsi"/>
        </w:rPr>
        <w:t>,171</w:t>
      </w:r>
      <w:r w:rsidR="00F5247E">
        <w:rPr>
          <w:rFonts w:eastAsiaTheme="minorHAnsi"/>
        </w:rPr>
        <w:t> Swiss francs</w:t>
      </w:r>
      <w:r w:rsidRPr="00813977">
        <w:rPr>
          <w:rFonts w:eastAsiaTheme="minorHAnsi"/>
        </w:rPr>
        <w:t>, or 14.6</w:t>
      </w:r>
      <w:r w:rsidR="00F45090">
        <w:rPr>
          <w:rFonts w:eastAsiaTheme="minorHAnsi"/>
        </w:rPr>
        <w:t> per cent</w:t>
      </w:r>
      <w:r w:rsidRPr="00813977">
        <w:rPr>
          <w:rFonts w:eastAsiaTheme="minorHAnsi"/>
        </w:rPr>
        <w:t xml:space="preserve"> higher</w:t>
      </w:r>
      <w:r>
        <w:rPr>
          <w:rFonts w:eastAsiaTheme="minorHAnsi"/>
        </w:rPr>
        <w:t xml:space="preserve"> </w:t>
      </w:r>
      <w:r w:rsidRPr="00813977">
        <w:rPr>
          <w:rFonts w:eastAsiaTheme="minorHAnsi"/>
        </w:rPr>
        <w:t>than</w:t>
      </w:r>
      <w:r>
        <w:rPr>
          <w:rFonts w:eastAsiaTheme="minorHAnsi"/>
        </w:rPr>
        <w:t xml:space="preserve"> </w:t>
      </w:r>
      <w:r w:rsidRPr="00813977">
        <w:rPr>
          <w:rFonts w:eastAsiaTheme="minorHAnsi"/>
        </w:rPr>
        <w:t>budget</w:t>
      </w:r>
      <w:r>
        <w:rPr>
          <w:rFonts w:eastAsiaTheme="minorHAnsi"/>
        </w:rPr>
        <w:t>ed</w:t>
      </w:r>
      <w:r w:rsidRPr="00813977">
        <w:rPr>
          <w:rFonts w:eastAsiaTheme="minorHAnsi"/>
        </w:rPr>
        <w:t>.  Explanations by cost categories are provided below.</w:t>
      </w:r>
    </w:p>
    <w:p w:rsidR="00F03325" w:rsidRPr="00D24576" w:rsidRDefault="00F03325" w:rsidP="00F03325">
      <w:pPr>
        <w:rPr>
          <w:rFonts w:cs="Arial"/>
          <w:highlight w:val="yellow"/>
        </w:rPr>
      </w:pPr>
    </w:p>
    <w:p w:rsidR="00F03325" w:rsidRPr="00AD0E42" w:rsidRDefault="00F03325" w:rsidP="00F03325">
      <w:pPr>
        <w:rPr>
          <w:rFonts w:cs="Arial"/>
          <w:i/>
        </w:rPr>
      </w:pPr>
      <w:r w:rsidRPr="00AD0E42">
        <w:rPr>
          <w:rFonts w:cs="Arial"/>
          <w:i/>
        </w:rPr>
        <w:t>Interns</w:t>
      </w:r>
    </w:p>
    <w:p w:rsidR="00F03325" w:rsidRPr="00D24576" w:rsidRDefault="00F03325" w:rsidP="00F03325">
      <w:pPr>
        <w:rPr>
          <w:rFonts w:cs="Arial"/>
          <w:i/>
          <w:highlight w:val="yellow"/>
        </w:rPr>
      </w:pPr>
    </w:p>
    <w:p w:rsidR="00F03325" w:rsidRPr="00813977" w:rsidRDefault="00F03325" w:rsidP="00F03325">
      <w:pPr>
        <w:rPr>
          <w:rFonts w:eastAsiaTheme="minorHAnsi"/>
        </w:rPr>
      </w:pPr>
      <w:r w:rsidRPr="00813977">
        <w:rPr>
          <w:rFonts w:eastAsiaTheme="minorHAnsi"/>
        </w:rPr>
        <w:t xml:space="preserve">For the Biennium </w:t>
      </w:r>
      <w:r w:rsidR="009A1086">
        <w:rPr>
          <w:rFonts w:eastAsiaTheme="minorHAnsi"/>
        </w:rPr>
        <w:t>2018-2019</w:t>
      </w:r>
      <w:r w:rsidRPr="00813977">
        <w:rPr>
          <w:rFonts w:eastAsiaTheme="minorHAnsi"/>
        </w:rPr>
        <w:t xml:space="preserve">, expenditure on </w:t>
      </w:r>
      <w:r>
        <w:rPr>
          <w:rFonts w:eastAsiaTheme="minorHAnsi"/>
        </w:rPr>
        <w:t>I</w:t>
      </w:r>
      <w:r w:rsidRPr="00813977">
        <w:rPr>
          <w:rFonts w:eastAsiaTheme="minorHAnsi"/>
        </w:rPr>
        <w:t xml:space="preserve">nternships and </w:t>
      </w:r>
      <w:r>
        <w:rPr>
          <w:rFonts w:eastAsiaTheme="minorHAnsi"/>
        </w:rPr>
        <w:t>F</w:t>
      </w:r>
      <w:r w:rsidRPr="00813977">
        <w:rPr>
          <w:rFonts w:eastAsiaTheme="minorHAnsi"/>
        </w:rPr>
        <w:t>ellowships, of 70</w:t>
      </w:r>
      <w:r>
        <w:rPr>
          <w:rFonts w:eastAsiaTheme="minorHAnsi"/>
        </w:rPr>
        <w:t>,321</w:t>
      </w:r>
      <w:r w:rsidR="00F5247E">
        <w:rPr>
          <w:rFonts w:eastAsiaTheme="minorHAnsi"/>
        </w:rPr>
        <w:t> Swiss francs</w:t>
      </w:r>
      <w:r w:rsidRPr="00813977">
        <w:rPr>
          <w:rFonts w:eastAsiaTheme="minorHAnsi"/>
        </w:rPr>
        <w:t>, was significantly higher</w:t>
      </w:r>
      <w:r>
        <w:rPr>
          <w:rFonts w:eastAsiaTheme="minorHAnsi"/>
        </w:rPr>
        <w:t xml:space="preserve"> </w:t>
      </w:r>
      <w:r w:rsidRPr="00813977">
        <w:rPr>
          <w:rFonts w:eastAsiaTheme="minorHAnsi"/>
        </w:rPr>
        <w:t>than</w:t>
      </w:r>
      <w:r>
        <w:rPr>
          <w:rFonts w:eastAsiaTheme="minorHAnsi"/>
        </w:rPr>
        <w:t xml:space="preserve"> the budget </w:t>
      </w:r>
      <w:r w:rsidRPr="00813977">
        <w:rPr>
          <w:rFonts w:eastAsiaTheme="minorHAnsi"/>
        </w:rPr>
        <w:t>(40</w:t>
      </w:r>
      <w:r>
        <w:rPr>
          <w:rFonts w:eastAsiaTheme="minorHAnsi"/>
        </w:rPr>
        <w:t>,000</w:t>
      </w:r>
      <w:r w:rsidR="00F5247E">
        <w:rPr>
          <w:rFonts w:eastAsiaTheme="minorHAnsi"/>
        </w:rPr>
        <w:t> Swiss francs</w:t>
      </w:r>
      <w:r w:rsidRPr="00813977">
        <w:rPr>
          <w:rFonts w:eastAsiaTheme="minorHAnsi"/>
        </w:rPr>
        <w:t>)</w:t>
      </w:r>
      <w:r>
        <w:rPr>
          <w:rFonts w:eastAsiaTheme="minorHAnsi"/>
        </w:rPr>
        <w:t>,</w:t>
      </w:r>
      <w:r w:rsidRPr="00813977">
        <w:rPr>
          <w:rFonts w:eastAsiaTheme="minorHAnsi"/>
        </w:rPr>
        <w:t xml:space="preserve"> </w:t>
      </w:r>
      <w:r>
        <w:rPr>
          <w:rFonts w:eastAsiaTheme="minorHAnsi"/>
        </w:rPr>
        <w:t xml:space="preserve">resulting from the </w:t>
      </w:r>
      <w:r w:rsidRPr="00813977">
        <w:rPr>
          <w:rFonts w:eastAsiaTheme="minorHAnsi"/>
        </w:rPr>
        <w:t xml:space="preserve">recruitment of an IT intern for UPOV PRISMA and </w:t>
      </w:r>
      <w:r>
        <w:rPr>
          <w:rFonts w:eastAsiaTheme="minorHAnsi"/>
        </w:rPr>
        <w:t>h</w:t>
      </w:r>
      <w:r w:rsidRPr="00813977">
        <w:rPr>
          <w:rFonts w:eastAsiaTheme="minorHAnsi"/>
        </w:rPr>
        <w:t>igher</w:t>
      </w:r>
      <w:r>
        <w:rPr>
          <w:rFonts w:eastAsiaTheme="minorHAnsi"/>
        </w:rPr>
        <w:t xml:space="preserve"> </w:t>
      </w:r>
      <w:r w:rsidRPr="00813977">
        <w:rPr>
          <w:rFonts w:eastAsiaTheme="minorHAnsi"/>
        </w:rPr>
        <w:t>than</w:t>
      </w:r>
      <w:r>
        <w:rPr>
          <w:rFonts w:eastAsiaTheme="minorHAnsi"/>
        </w:rPr>
        <w:t xml:space="preserve"> </w:t>
      </w:r>
      <w:r w:rsidRPr="00813977">
        <w:rPr>
          <w:rFonts w:eastAsiaTheme="minorHAnsi"/>
        </w:rPr>
        <w:t xml:space="preserve">budgeted expenditure on </w:t>
      </w:r>
      <w:r>
        <w:rPr>
          <w:rFonts w:eastAsiaTheme="minorHAnsi"/>
        </w:rPr>
        <w:t xml:space="preserve">travel for fellows. </w:t>
      </w:r>
      <w:r w:rsidRPr="00813977">
        <w:rPr>
          <w:rFonts w:eastAsiaTheme="minorHAnsi"/>
        </w:rPr>
        <w:t xml:space="preserve"> </w:t>
      </w:r>
    </w:p>
    <w:p w:rsidR="00F03325" w:rsidRDefault="00F03325" w:rsidP="00F03325">
      <w:pPr>
        <w:rPr>
          <w:rFonts w:cs="Arial"/>
          <w:i/>
          <w:highlight w:val="yellow"/>
        </w:rPr>
      </w:pPr>
    </w:p>
    <w:p w:rsidR="00F03325" w:rsidRPr="00AD0E42" w:rsidRDefault="00F03325" w:rsidP="00F03325">
      <w:pPr>
        <w:rPr>
          <w:rFonts w:cs="Arial"/>
          <w:i/>
        </w:rPr>
      </w:pPr>
      <w:r w:rsidRPr="00AD0E42">
        <w:rPr>
          <w:rFonts w:cs="Arial"/>
          <w:i/>
        </w:rPr>
        <w:t>Travel</w:t>
      </w:r>
    </w:p>
    <w:p w:rsidR="00F03325" w:rsidRDefault="00F03325" w:rsidP="00F03325">
      <w:pPr>
        <w:rPr>
          <w:rFonts w:cs="Arial"/>
          <w:i/>
          <w:highlight w:val="yellow"/>
        </w:rPr>
      </w:pPr>
    </w:p>
    <w:p w:rsidR="00F03325" w:rsidRPr="00000E34" w:rsidRDefault="00F03325" w:rsidP="00F03325">
      <w:pPr>
        <w:rPr>
          <w:rFonts w:eastAsiaTheme="minorHAnsi"/>
        </w:rPr>
      </w:pPr>
      <w:r w:rsidRPr="00813977">
        <w:rPr>
          <w:rFonts w:eastAsiaTheme="minorHAnsi"/>
        </w:rPr>
        <w:t xml:space="preserve">Total expenditure on </w:t>
      </w:r>
      <w:r>
        <w:rPr>
          <w:rFonts w:eastAsiaTheme="minorHAnsi"/>
        </w:rPr>
        <w:t>T</w:t>
      </w:r>
      <w:r w:rsidRPr="00813977">
        <w:rPr>
          <w:rFonts w:eastAsiaTheme="minorHAnsi"/>
        </w:rPr>
        <w:t>ravel amounted to 445</w:t>
      </w:r>
      <w:r>
        <w:rPr>
          <w:rFonts w:eastAsiaTheme="minorHAnsi"/>
        </w:rPr>
        <w:t>,548</w:t>
      </w:r>
      <w:r w:rsidR="00F5247E">
        <w:rPr>
          <w:rFonts w:eastAsiaTheme="minorHAnsi"/>
        </w:rPr>
        <w:t> Swiss francs</w:t>
      </w:r>
      <w:r w:rsidRPr="00813977">
        <w:rPr>
          <w:rFonts w:eastAsiaTheme="minorHAnsi"/>
        </w:rPr>
        <w:t xml:space="preserve">, </w:t>
      </w:r>
      <w:r>
        <w:rPr>
          <w:rFonts w:eastAsiaTheme="minorHAnsi"/>
        </w:rPr>
        <w:t xml:space="preserve">i.e. </w:t>
      </w:r>
      <w:r w:rsidRPr="00813977">
        <w:rPr>
          <w:rFonts w:eastAsiaTheme="minorHAnsi"/>
        </w:rPr>
        <w:t>25</w:t>
      </w:r>
      <w:r>
        <w:rPr>
          <w:rFonts w:eastAsiaTheme="minorHAnsi"/>
        </w:rPr>
        <w:t>,548</w:t>
      </w:r>
      <w:r w:rsidR="00F5247E">
        <w:rPr>
          <w:rFonts w:eastAsiaTheme="minorHAnsi"/>
        </w:rPr>
        <w:t> Swiss francs</w:t>
      </w:r>
      <w:r w:rsidRPr="00813977">
        <w:rPr>
          <w:rFonts w:eastAsiaTheme="minorHAnsi"/>
        </w:rPr>
        <w:t xml:space="preserve"> (</w:t>
      </w:r>
      <w:r>
        <w:rPr>
          <w:rFonts w:eastAsiaTheme="minorHAnsi"/>
        </w:rPr>
        <w:t>or 6.1</w:t>
      </w:r>
      <w:r w:rsidR="00F45090">
        <w:rPr>
          <w:rFonts w:eastAsiaTheme="minorHAnsi"/>
        </w:rPr>
        <w:t> per cent</w:t>
      </w:r>
      <w:r w:rsidRPr="00813977">
        <w:rPr>
          <w:rFonts w:eastAsiaTheme="minorHAnsi"/>
        </w:rPr>
        <w:t>) higher</w:t>
      </w:r>
      <w:r>
        <w:rPr>
          <w:rFonts w:eastAsiaTheme="minorHAnsi"/>
        </w:rPr>
        <w:t xml:space="preserve"> </w:t>
      </w:r>
      <w:r w:rsidRPr="00813977">
        <w:rPr>
          <w:rFonts w:eastAsiaTheme="minorHAnsi"/>
        </w:rPr>
        <w:t>than</w:t>
      </w:r>
      <w:r>
        <w:rPr>
          <w:rFonts w:eastAsiaTheme="minorHAnsi"/>
        </w:rPr>
        <w:t xml:space="preserve"> the </w:t>
      </w:r>
      <w:r w:rsidRPr="00813977">
        <w:rPr>
          <w:rFonts w:eastAsiaTheme="minorHAnsi"/>
        </w:rPr>
        <w:t>budget</w:t>
      </w:r>
      <w:r>
        <w:rPr>
          <w:rFonts w:eastAsiaTheme="minorHAnsi"/>
        </w:rPr>
        <w:t xml:space="preserve">. However, </w:t>
      </w:r>
      <w:r w:rsidRPr="00813977">
        <w:rPr>
          <w:rFonts w:eastAsiaTheme="minorHAnsi"/>
        </w:rPr>
        <w:t xml:space="preserve">this represented a reduction of </w:t>
      </w:r>
      <w:r>
        <w:rPr>
          <w:rFonts w:eastAsiaTheme="minorHAnsi"/>
        </w:rPr>
        <w:t>9.3</w:t>
      </w:r>
      <w:r w:rsidR="00F45090">
        <w:rPr>
          <w:rFonts w:eastAsiaTheme="minorHAnsi"/>
        </w:rPr>
        <w:t> per cent</w:t>
      </w:r>
      <w:r w:rsidRPr="00813977">
        <w:rPr>
          <w:rFonts w:eastAsiaTheme="minorHAnsi"/>
        </w:rPr>
        <w:t xml:space="preserve"> on </w:t>
      </w:r>
      <w:r>
        <w:rPr>
          <w:rFonts w:eastAsiaTheme="minorHAnsi"/>
        </w:rPr>
        <w:t xml:space="preserve">travel </w:t>
      </w:r>
      <w:r w:rsidRPr="00813977">
        <w:rPr>
          <w:rFonts w:eastAsiaTheme="minorHAnsi"/>
        </w:rPr>
        <w:t xml:space="preserve">expenditure </w:t>
      </w:r>
      <w:r>
        <w:rPr>
          <w:rFonts w:eastAsiaTheme="minorHAnsi"/>
        </w:rPr>
        <w:t xml:space="preserve">as compared to the </w:t>
      </w:r>
      <w:r w:rsidRPr="00813977">
        <w:rPr>
          <w:rFonts w:eastAsiaTheme="minorHAnsi"/>
        </w:rPr>
        <w:t>2016</w:t>
      </w:r>
      <w:r>
        <w:rPr>
          <w:rFonts w:eastAsiaTheme="minorHAnsi"/>
        </w:rPr>
        <w:t xml:space="preserve">/17 </w:t>
      </w:r>
      <w:r w:rsidRPr="00000E34">
        <w:rPr>
          <w:rFonts w:eastAsiaTheme="minorHAnsi"/>
        </w:rPr>
        <w:t>Biennium (491,226</w:t>
      </w:r>
      <w:r w:rsidR="00F5247E">
        <w:rPr>
          <w:rFonts w:eastAsiaTheme="minorHAnsi"/>
        </w:rPr>
        <w:t> Swiss francs</w:t>
      </w:r>
      <w:r w:rsidRPr="00000E34">
        <w:rPr>
          <w:rFonts w:eastAsiaTheme="minorHAnsi"/>
        </w:rPr>
        <w:t xml:space="preserve">).  The higher </w:t>
      </w:r>
      <w:r w:rsidR="00BA5312">
        <w:rPr>
          <w:rFonts w:eastAsiaTheme="minorHAnsi"/>
        </w:rPr>
        <w:t xml:space="preserve">than budgeted </w:t>
      </w:r>
      <w:r w:rsidRPr="00000E34">
        <w:rPr>
          <w:rFonts w:eastAsiaTheme="minorHAnsi"/>
        </w:rPr>
        <w:t xml:space="preserve">costs </w:t>
      </w:r>
      <w:r>
        <w:rPr>
          <w:rFonts w:eastAsiaTheme="minorHAnsi"/>
        </w:rPr>
        <w:t xml:space="preserve">in </w:t>
      </w:r>
      <w:r w:rsidR="009A1086">
        <w:rPr>
          <w:rFonts w:eastAsiaTheme="minorHAnsi"/>
        </w:rPr>
        <w:t>2018-2019</w:t>
      </w:r>
      <w:r>
        <w:rPr>
          <w:rFonts w:eastAsiaTheme="minorHAnsi"/>
        </w:rPr>
        <w:t xml:space="preserve"> </w:t>
      </w:r>
      <w:r w:rsidRPr="00000E34">
        <w:rPr>
          <w:rFonts w:eastAsiaTheme="minorHAnsi"/>
        </w:rPr>
        <w:t xml:space="preserve">reflect </w:t>
      </w:r>
      <w:r>
        <w:rPr>
          <w:rFonts w:eastAsiaTheme="minorHAnsi"/>
        </w:rPr>
        <w:t>a higher number of</w:t>
      </w:r>
      <w:r w:rsidRPr="00000E34">
        <w:rPr>
          <w:rFonts w:eastAsiaTheme="minorHAnsi"/>
        </w:rPr>
        <w:t xml:space="preserve"> staff missions</w:t>
      </w:r>
      <w:r>
        <w:rPr>
          <w:rFonts w:eastAsiaTheme="minorHAnsi"/>
        </w:rPr>
        <w:t>,</w:t>
      </w:r>
      <w:r w:rsidRPr="00000E34">
        <w:rPr>
          <w:rFonts w:eastAsiaTheme="minorHAnsi"/>
        </w:rPr>
        <w:t xml:space="preserve"> </w:t>
      </w:r>
      <w:r>
        <w:rPr>
          <w:rFonts w:eastAsiaTheme="minorHAnsi"/>
        </w:rPr>
        <w:t>which were made possible</w:t>
      </w:r>
      <w:r w:rsidRPr="00000E34">
        <w:rPr>
          <w:rFonts w:eastAsiaTheme="minorHAnsi"/>
        </w:rPr>
        <w:t xml:space="preserve"> </w:t>
      </w:r>
      <w:r>
        <w:rPr>
          <w:rFonts w:eastAsiaTheme="minorHAnsi"/>
        </w:rPr>
        <w:t xml:space="preserve">following </w:t>
      </w:r>
      <w:r w:rsidRPr="00000E34">
        <w:rPr>
          <w:rFonts w:eastAsiaTheme="minorHAnsi"/>
        </w:rPr>
        <w:t xml:space="preserve">the decision to change to a single set of UPOV sessions in Geneva.  </w:t>
      </w:r>
    </w:p>
    <w:p w:rsidR="00F03325" w:rsidRPr="00000E34" w:rsidRDefault="00F03325" w:rsidP="00F03325">
      <w:pPr>
        <w:rPr>
          <w:rFonts w:cs="Arial"/>
          <w:i/>
        </w:rPr>
      </w:pPr>
    </w:p>
    <w:p w:rsidR="00F03325" w:rsidRPr="00000E34" w:rsidRDefault="00F03325" w:rsidP="00F03325">
      <w:pPr>
        <w:rPr>
          <w:rFonts w:cs="Arial"/>
          <w:i/>
        </w:rPr>
      </w:pPr>
      <w:r w:rsidRPr="00000E34">
        <w:rPr>
          <w:rFonts w:cs="Arial"/>
          <w:i/>
        </w:rPr>
        <w:t>Contractual Services</w:t>
      </w:r>
    </w:p>
    <w:p w:rsidR="00F03325" w:rsidRPr="00000E34" w:rsidRDefault="00F03325" w:rsidP="00F45090">
      <w:pPr>
        <w:rPr>
          <w:rFonts w:eastAsiaTheme="minorHAnsi"/>
        </w:rPr>
      </w:pPr>
    </w:p>
    <w:p w:rsidR="00F03325" w:rsidRPr="00000E34" w:rsidRDefault="00F03325" w:rsidP="00F03325">
      <w:pPr>
        <w:rPr>
          <w:rFonts w:eastAsiaTheme="minorHAnsi"/>
        </w:rPr>
      </w:pPr>
      <w:r w:rsidRPr="00000E34">
        <w:rPr>
          <w:rFonts w:eastAsiaTheme="minorHAnsi"/>
        </w:rPr>
        <w:t>Total Contractual Services amounted to 726,475</w:t>
      </w:r>
      <w:r w:rsidR="00F5247E">
        <w:rPr>
          <w:rFonts w:eastAsiaTheme="minorHAnsi"/>
        </w:rPr>
        <w:t> Swiss francs</w:t>
      </w:r>
      <w:r w:rsidRPr="00000E34">
        <w:rPr>
          <w:rFonts w:eastAsiaTheme="minorHAnsi"/>
        </w:rPr>
        <w:t xml:space="preserve">, </w:t>
      </w:r>
      <w:r>
        <w:rPr>
          <w:rFonts w:eastAsiaTheme="minorHAnsi"/>
        </w:rPr>
        <w:t xml:space="preserve">i.e. </w:t>
      </w:r>
      <w:r w:rsidRPr="00000E34">
        <w:rPr>
          <w:rFonts w:eastAsiaTheme="minorHAnsi"/>
        </w:rPr>
        <w:t>291,475</w:t>
      </w:r>
      <w:r w:rsidR="00F5247E">
        <w:rPr>
          <w:rFonts w:eastAsiaTheme="minorHAnsi"/>
        </w:rPr>
        <w:t> Swiss francs</w:t>
      </w:r>
      <w:r w:rsidRPr="00000E34">
        <w:rPr>
          <w:rFonts w:eastAsiaTheme="minorHAnsi"/>
        </w:rPr>
        <w:t xml:space="preserve"> higher than the budget</w:t>
      </w:r>
      <w:r>
        <w:rPr>
          <w:rFonts w:eastAsiaTheme="minorHAnsi"/>
        </w:rPr>
        <w:t xml:space="preserve">, due to </w:t>
      </w:r>
      <w:r w:rsidRPr="00000E34">
        <w:rPr>
          <w:rFonts w:eastAsiaTheme="minorHAnsi"/>
        </w:rPr>
        <w:t>higher</w:t>
      </w:r>
      <w:r>
        <w:rPr>
          <w:rFonts w:eastAsiaTheme="minorHAnsi"/>
        </w:rPr>
        <w:t xml:space="preserve"> </w:t>
      </w:r>
      <w:r w:rsidRPr="00000E34">
        <w:rPr>
          <w:rFonts w:eastAsiaTheme="minorHAnsi"/>
        </w:rPr>
        <w:t>than</w:t>
      </w:r>
      <w:r>
        <w:rPr>
          <w:rFonts w:eastAsiaTheme="minorHAnsi"/>
        </w:rPr>
        <w:t xml:space="preserve"> </w:t>
      </w:r>
      <w:r w:rsidRPr="00000E34">
        <w:rPr>
          <w:rFonts w:eastAsiaTheme="minorHAnsi"/>
        </w:rPr>
        <w:t xml:space="preserve">budgeted expenditure </w:t>
      </w:r>
      <w:r>
        <w:rPr>
          <w:rFonts w:eastAsiaTheme="minorHAnsi"/>
        </w:rPr>
        <w:t xml:space="preserve">for </w:t>
      </w:r>
      <w:r w:rsidRPr="00000E34">
        <w:rPr>
          <w:rFonts w:eastAsiaTheme="minorHAnsi"/>
        </w:rPr>
        <w:t xml:space="preserve">Other Contractual Services. </w:t>
      </w:r>
    </w:p>
    <w:p w:rsidR="00F03325" w:rsidRPr="00000E34" w:rsidRDefault="00F03325" w:rsidP="00F03325">
      <w:pPr>
        <w:rPr>
          <w:rFonts w:eastAsiaTheme="minorHAnsi" w:cs="Arial"/>
        </w:rPr>
      </w:pPr>
    </w:p>
    <w:p w:rsidR="00F03325" w:rsidRPr="005E5224" w:rsidRDefault="00F03325" w:rsidP="001D6ED6">
      <w:pPr>
        <w:rPr>
          <w:rFonts w:eastAsiaTheme="minorHAnsi" w:cs="Arial"/>
        </w:rPr>
      </w:pPr>
      <w:r w:rsidRPr="00000E34">
        <w:rPr>
          <w:rFonts w:eastAsiaTheme="minorHAnsi" w:cs="Arial"/>
        </w:rPr>
        <w:t>Expenditure on Conferences of 139,090</w:t>
      </w:r>
      <w:r w:rsidR="00F5247E">
        <w:rPr>
          <w:rFonts w:eastAsiaTheme="minorHAnsi" w:cs="Arial"/>
        </w:rPr>
        <w:t> Swiss francs</w:t>
      </w:r>
      <w:r w:rsidRPr="00000E34">
        <w:rPr>
          <w:rFonts w:eastAsiaTheme="minorHAnsi" w:cs="Arial"/>
        </w:rPr>
        <w:t xml:space="preserve"> was in line with the budget (140,000</w:t>
      </w:r>
      <w:r w:rsidR="00F5247E">
        <w:rPr>
          <w:rFonts w:eastAsiaTheme="minorHAnsi" w:cs="Arial"/>
        </w:rPr>
        <w:t> Swiss francs</w:t>
      </w:r>
      <w:r w:rsidRPr="00000E34">
        <w:rPr>
          <w:rFonts w:eastAsiaTheme="minorHAnsi" w:cs="Arial"/>
        </w:rPr>
        <w:t xml:space="preserve">).  As a result of moving to a single set of UPOV sessions in Geneva, the cost </w:t>
      </w:r>
      <w:r>
        <w:rPr>
          <w:rFonts w:eastAsiaTheme="minorHAnsi" w:cs="Arial"/>
        </w:rPr>
        <w:t>for</w:t>
      </w:r>
      <w:r w:rsidRPr="00000E34">
        <w:rPr>
          <w:rFonts w:eastAsiaTheme="minorHAnsi" w:cs="Arial"/>
        </w:rPr>
        <w:t xml:space="preserve"> Conferences </w:t>
      </w:r>
      <w:r>
        <w:rPr>
          <w:rFonts w:eastAsiaTheme="minorHAnsi" w:cs="Arial"/>
        </w:rPr>
        <w:t>decrea</w:t>
      </w:r>
      <w:r w:rsidR="00F45090">
        <w:rPr>
          <w:rFonts w:eastAsiaTheme="minorHAnsi" w:cs="Arial"/>
        </w:rPr>
        <w:t>sed</w:t>
      </w:r>
      <w:r w:rsidRPr="00000E34">
        <w:rPr>
          <w:rFonts w:eastAsiaTheme="minorHAnsi" w:cs="Arial"/>
        </w:rPr>
        <w:t xml:space="preserve"> </w:t>
      </w:r>
      <w:r>
        <w:rPr>
          <w:rFonts w:eastAsiaTheme="minorHAnsi" w:cs="Arial"/>
        </w:rPr>
        <w:t>by 24.4</w:t>
      </w:r>
      <w:r w:rsidR="00F45090">
        <w:rPr>
          <w:rFonts w:eastAsiaTheme="minorHAnsi" w:cs="Arial"/>
        </w:rPr>
        <w:t> per </w:t>
      </w:r>
      <w:r w:rsidRPr="00000E34">
        <w:rPr>
          <w:rFonts w:eastAsiaTheme="minorHAnsi" w:cs="Arial"/>
        </w:rPr>
        <w:t>cent (44,821</w:t>
      </w:r>
      <w:r w:rsidR="00F5247E">
        <w:rPr>
          <w:rFonts w:eastAsiaTheme="minorHAnsi" w:cs="Arial"/>
        </w:rPr>
        <w:t> Swiss francs</w:t>
      </w:r>
      <w:r w:rsidRPr="00000E34">
        <w:rPr>
          <w:rFonts w:eastAsiaTheme="minorHAnsi" w:cs="Arial"/>
        </w:rPr>
        <w:t xml:space="preserve">) </w:t>
      </w:r>
      <w:r>
        <w:rPr>
          <w:rFonts w:eastAsiaTheme="minorHAnsi" w:cs="Arial"/>
        </w:rPr>
        <w:t>as compared to</w:t>
      </w:r>
      <w:r w:rsidRPr="005E5224">
        <w:rPr>
          <w:rFonts w:eastAsiaTheme="minorHAnsi" w:cs="Arial"/>
        </w:rPr>
        <w:t xml:space="preserve"> the 2016</w:t>
      </w:r>
      <w:r>
        <w:rPr>
          <w:rFonts w:eastAsiaTheme="minorHAnsi" w:cs="Arial"/>
        </w:rPr>
        <w:t>/</w:t>
      </w:r>
      <w:r w:rsidRPr="005E5224">
        <w:rPr>
          <w:rFonts w:eastAsiaTheme="minorHAnsi" w:cs="Arial"/>
        </w:rPr>
        <w:t xml:space="preserve">17 Biennium. </w:t>
      </w:r>
    </w:p>
    <w:p w:rsidR="00F03325" w:rsidRPr="005E5224" w:rsidRDefault="00F03325" w:rsidP="001D6ED6">
      <w:pPr>
        <w:rPr>
          <w:rFonts w:eastAsiaTheme="minorHAnsi" w:cs="Arial"/>
        </w:rPr>
      </w:pPr>
    </w:p>
    <w:p w:rsidR="00F03325" w:rsidRPr="005E5224" w:rsidRDefault="00F03325" w:rsidP="001D6ED6">
      <w:pPr>
        <w:rPr>
          <w:rFonts w:eastAsiaTheme="minorHAnsi" w:cs="Arial"/>
        </w:rPr>
      </w:pPr>
      <w:r w:rsidRPr="005E5224">
        <w:rPr>
          <w:rFonts w:eastAsiaTheme="minorHAnsi" w:cs="Arial"/>
        </w:rPr>
        <w:t>Expenditure on Publishing and Individual Contractual Services was minimal and broadly in line with the budget.</w:t>
      </w:r>
    </w:p>
    <w:p w:rsidR="00F03325" w:rsidRPr="005E5224" w:rsidRDefault="00F03325" w:rsidP="001D6ED6">
      <w:pPr>
        <w:rPr>
          <w:rFonts w:eastAsiaTheme="minorHAnsi" w:cs="Arial"/>
        </w:rPr>
      </w:pPr>
    </w:p>
    <w:p w:rsidR="00F03325" w:rsidRDefault="00F03325" w:rsidP="001D6ED6">
      <w:pPr>
        <w:rPr>
          <w:rFonts w:eastAsiaTheme="minorHAnsi" w:cs="Arial"/>
        </w:rPr>
      </w:pPr>
      <w:r w:rsidRPr="005E5224">
        <w:rPr>
          <w:rFonts w:eastAsiaTheme="minorHAnsi" w:cs="Arial"/>
        </w:rPr>
        <w:t>Higher expenditure on Other Contractual Services</w:t>
      </w:r>
      <w:r>
        <w:rPr>
          <w:rFonts w:eastAsiaTheme="minorHAnsi" w:cs="Arial"/>
        </w:rPr>
        <w:t xml:space="preserve"> (</w:t>
      </w:r>
      <w:r w:rsidRPr="005E5224">
        <w:rPr>
          <w:rFonts w:eastAsiaTheme="minorHAnsi" w:cs="Arial"/>
        </w:rPr>
        <w:t>580</w:t>
      </w:r>
      <w:r>
        <w:rPr>
          <w:rFonts w:eastAsiaTheme="minorHAnsi" w:cs="Arial"/>
        </w:rPr>
        <w:t>,314</w:t>
      </w:r>
      <w:r w:rsidR="00F5247E">
        <w:rPr>
          <w:rFonts w:eastAsiaTheme="minorHAnsi" w:cs="Arial"/>
        </w:rPr>
        <w:t> Swiss francs</w:t>
      </w:r>
      <w:r w:rsidRPr="005E5224">
        <w:rPr>
          <w:rFonts w:eastAsiaTheme="minorHAnsi" w:cs="Arial"/>
        </w:rPr>
        <w:t xml:space="preserve"> </w:t>
      </w:r>
      <w:r>
        <w:rPr>
          <w:rFonts w:eastAsiaTheme="minorHAnsi" w:cs="Arial"/>
        </w:rPr>
        <w:t xml:space="preserve">as </w:t>
      </w:r>
      <w:r w:rsidRPr="005E5224">
        <w:rPr>
          <w:rFonts w:eastAsiaTheme="minorHAnsi" w:cs="Arial"/>
        </w:rPr>
        <w:t xml:space="preserve">compared to </w:t>
      </w:r>
      <w:r>
        <w:rPr>
          <w:rFonts w:eastAsiaTheme="minorHAnsi" w:cs="Arial"/>
        </w:rPr>
        <w:t xml:space="preserve">the budget of </w:t>
      </w:r>
      <w:r w:rsidRPr="005E5224">
        <w:rPr>
          <w:rFonts w:eastAsiaTheme="minorHAnsi" w:cs="Arial"/>
        </w:rPr>
        <w:t>265</w:t>
      </w:r>
      <w:r>
        <w:rPr>
          <w:rFonts w:eastAsiaTheme="minorHAnsi" w:cs="Arial"/>
        </w:rPr>
        <w:t>,000</w:t>
      </w:r>
      <w:r w:rsidR="00F5247E">
        <w:rPr>
          <w:rFonts w:eastAsiaTheme="minorHAnsi" w:cs="Arial"/>
        </w:rPr>
        <w:t> Swiss francs</w:t>
      </w:r>
      <w:r>
        <w:rPr>
          <w:rFonts w:eastAsiaTheme="minorHAnsi" w:cs="Arial"/>
        </w:rPr>
        <w:t>)</w:t>
      </w:r>
      <w:r w:rsidRPr="005E5224">
        <w:rPr>
          <w:rFonts w:eastAsiaTheme="minorHAnsi" w:cs="Arial"/>
        </w:rPr>
        <w:t xml:space="preserve"> was due to:</w:t>
      </w:r>
    </w:p>
    <w:p w:rsidR="00F03325" w:rsidRPr="005E5224" w:rsidRDefault="00F03325" w:rsidP="001D6ED6">
      <w:pPr>
        <w:rPr>
          <w:rFonts w:eastAsiaTheme="minorHAnsi" w:cs="Arial"/>
        </w:rPr>
      </w:pPr>
    </w:p>
    <w:p w:rsidR="00F03325" w:rsidRDefault="00F03325" w:rsidP="00F45090">
      <w:pPr>
        <w:pStyle w:val="ListParagraph"/>
        <w:numPr>
          <w:ilvl w:val="0"/>
          <w:numId w:val="1"/>
        </w:numPr>
        <w:ind w:left="927"/>
        <w:contextualSpacing w:val="0"/>
        <w:rPr>
          <w:rFonts w:eastAsiaTheme="minorHAnsi"/>
        </w:rPr>
      </w:pPr>
      <w:r w:rsidRPr="00AB6C1A">
        <w:rPr>
          <w:rFonts w:eastAsiaTheme="minorHAnsi"/>
        </w:rPr>
        <w:t xml:space="preserve">Additional expenditure </w:t>
      </w:r>
      <w:r>
        <w:rPr>
          <w:rFonts w:eastAsiaTheme="minorHAnsi"/>
        </w:rPr>
        <w:t>on</w:t>
      </w:r>
      <w:r w:rsidRPr="00AB6C1A">
        <w:rPr>
          <w:rFonts w:eastAsiaTheme="minorHAnsi"/>
        </w:rPr>
        <w:t xml:space="preserve"> agency </w:t>
      </w:r>
      <w:r>
        <w:rPr>
          <w:rFonts w:eastAsiaTheme="minorHAnsi"/>
        </w:rPr>
        <w:t xml:space="preserve">workers </w:t>
      </w:r>
      <w:r w:rsidRPr="00AB6C1A">
        <w:rPr>
          <w:rFonts w:eastAsiaTheme="minorHAnsi"/>
        </w:rPr>
        <w:t>(324,014</w:t>
      </w:r>
      <w:r w:rsidR="00F5247E">
        <w:rPr>
          <w:rFonts w:eastAsiaTheme="minorHAnsi"/>
        </w:rPr>
        <w:t> Swiss francs</w:t>
      </w:r>
      <w:r w:rsidRPr="00AB6C1A">
        <w:rPr>
          <w:rFonts w:eastAsiaTheme="minorHAnsi"/>
        </w:rPr>
        <w:t xml:space="preserve"> </w:t>
      </w:r>
      <w:r>
        <w:rPr>
          <w:rFonts w:eastAsiaTheme="minorHAnsi"/>
        </w:rPr>
        <w:t xml:space="preserve">as </w:t>
      </w:r>
      <w:r w:rsidRPr="00AB6C1A">
        <w:rPr>
          <w:rFonts w:eastAsiaTheme="minorHAnsi"/>
        </w:rPr>
        <w:t xml:space="preserve">compared to </w:t>
      </w:r>
      <w:r>
        <w:rPr>
          <w:rFonts w:eastAsiaTheme="minorHAnsi"/>
        </w:rPr>
        <w:t xml:space="preserve">the budget of </w:t>
      </w:r>
      <w:r w:rsidR="00F5247E">
        <w:rPr>
          <w:rFonts w:eastAsiaTheme="minorHAnsi"/>
        </w:rPr>
        <w:t>110,000 Swiss francs</w:t>
      </w:r>
      <w:r w:rsidRPr="00AB6C1A">
        <w:rPr>
          <w:rFonts w:eastAsiaTheme="minorHAnsi"/>
        </w:rPr>
        <w:t>) to provide cover</w:t>
      </w:r>
      <w:r>
        <w:rPr>
          <w:rFonts w:eastAsiaTheme="minorHAnsi"/>
        </w:rPr>
        <w:t>age</w:t>
      </w:r>
      <w:r w:rsidRPr="00AB6C1A">
        <w:rPr>
          <w:rFonts w:eastAsiaTheme="minorHAnsi"/>
        </w:rPr>
        <w:t xml:space="preserve"> for</w:t>
      </w:r>
      <w:r>
        <w:rPr>
          <w:rFonts w:eastAsiaTheme="minorHAnsi"/>
        </w:rPr>
        <w:t>:</w:t>
      </w:r>
      <w:r w:rsidRPr="00AB6C1A">
        <w:rPr>
          <w:rFonts w:eastAsiaTheme="minorHAnsi"/>
        </w:rPr>
        <w:t xml:space="preserve"> </w:t>
      </w:r>
      <w:r>
        <w:rPr>
          <w:rFonts w:eastAsiaTheme="minorHAnsi"/>
        </w:rPr>
        <w:t xml:space="preserve">(i) </w:t>
      </w:r>
      <w:r w:rsidRPr="00AB6C1A">
        <w:rPr>
          <w:rFonts w:eastAsiaTheme="minorHAnsi"/>
        </w:rPr>
        <w:t>the two general service staff members working part-time (80%)</w:t>
      </w:r>
      <w:r>
        <w:rPr>
          <w:rFonts w:eastAsiaTheme="minorHAnsi"/>
        </w:rPr>
        <w:t>;</w:t>
      </w:r>
      <w:r w:rsidRPr="00AB6C1A">
        <w:rPr>
          <w:rFonts w:eastAsiaTheme="minorHAnsi"/>
        </w:rPr>
        <w:t xml:space="preserve"> and </w:t>
      </w:r>
      <w:r>
        <w:rPr>
          <w:rFonts w:eastAsiaTheme="minorHAnsi"/>
        </w:rPr>
        <w:t xml:space="preserve">(ii) the vacant </w:t>
      </w:r>
      <w:r w:rsidRPr="00AB6C1A">
        <w:rPr>
          <w:rFonts w:eastAsiaTheme="minorHAnsi"/>
        </w:rPr>
        <w:t xml:space="preserve">temporary </w:t>
      </w:r>
      <w:r>
        <w:rPr>
          <w:rFonts w:eastAsiaTheme="minorHAnsi"/>
        </w:rPr>
        <w:t xml:space="preserve">position in the </w:t>
      </w:r>
      <w:r w:rsidRPr="00AB6C1A">
        <w:rPr>
          <w:rFonts w:eastAsiaTheme="minorHAnsi"/>
        </w:rPr>
        <w:t xml:space="preserve">administrative staff </w:t>
      </w:r>
      <w:r>
        <w:rPr>
          <w:rFonts w:eastAsiaTheme="minorHAnsi"/>
        </w:rPr>
        <w:t xml:space="preserve">category </w:t>
      </w:r>
      <w:r w:rsidRPr="00AB6C1A">
        <w:rPr>
          <w:rFonts w:eastAsiaTheme="minorHAnsi"/>
        </w:rPr>
        <w:t>(see “Personnel Resources”).</w:t>
      </w:r>
    </w:p>
    <w:p w:rsidR="00F03325" w:rsidRPr="00AB6C1A" w:rsidRDefault="00F03325" w:rsidP="00F45090">
      <w:pPr>
        <w:pStyle w:val="ListParagraph"/>
        <w:ind w:left="927"/>
        <w:contextualSpacing w:val="0"/>
        <w:rPr>
          <w:rFonts w:eastAsiaTheme="minorHAnsi"/>
        </w:rPr>
      </w:pPr>
    </w:p>
    <w:p w:rsidR="00F03325" w:rsidRPr="00F45090" w:rsidRDefault="00F03325" w:rsidP="00F45090">
      <w:pPr>
        <w:pStyle w:val="ListParagraph"/>
        <w:numPr>
          <w:ilvl w:val="0"/>
          <w:numId w:val="1"/>
        </w:numPr>
        <w:ind w:left="927"/>
        <w:contextualSpacing w:val="0"/>
        <w:rPr>
          <w:rFonts w:eastAsiaTheme="minorHAnsi"/>
          <w:spacing w:val="-2"/>
        </w:rPr>
      </w:pPr>
      <w:r w:rsidRPr="00F45090">
        <w:rPr>
          <w:rFonts w:eastAsiaTheme="minorHAnsi"/>
          <w:spacing w:val="-2"/>
        </w:rPr>
        <w:t>Higher than budgeted IT development costs (232,001</w:t>
      </w:r>
      <w:r w:rsidR="00F5247E">
        <w:rPr>
          <w:rFonts w:eastAsiaTheme="minorHAnsi"/>
          <w:spacing w:val="-2"/>
        </w:rPr>
        <w:t> Swiss francs</w:t>
      </w:r>
      <w:r w:rsidRPr="00F45090">
        <w:rPr>
          <w:rFonts w:eastAsiaTheme="minorHAnsi"/>
          <w:spacing w:val="-2"/>
        </w:rPr>
        <w:t xml:space="preserve"> as compared to the budget of 135,000</w:t>
      </w:r>
      <w:r w:rsidR="00F5247E">
        <w:rPr>
          <w:rFonts w:eastAsiaTheme="minorHAnsi"/>
          <w:spacing w:val="-2"/>
        </w:rPr>
        <w:t> Swiss francs</w:t>
      </w:r>
      <w:r w:rsidRPr="00F45090">
        <w:rPr>
          <w:rFonts w:eastAsiaTheme="minorHAnsi"/>
          <w:spacing w:val="-2"/>
        </w:rPr>
        <w:t xml:space="preserve">), which were required for the development of machine to machine interfaces with PVP offices for UPOV PRISMA and for the implementation of improvements to the user interface. </w:t>
      </w:r>
    </w:p>
    <w:p w:rsidR="00F03325" w:rsidRPr="002D4BCE" w:rsidRDefault="00F03325" w:rsidP="00F45090">
      <w:pPr>
        <w:pStyle w:val="ListParagraph"/>
        <w:ind w:left="927"/>
        <w:contextualSpacing w:val="0"/>
        <w:rPr>
          <w:rFonts w:eastAsiaTheme="minorHAnsi"/>
        </w:rPr>
      </w:pPr>
    </w:p>
    <w:p w:rsidR="00F03325" w:rsidRPr="00A92B2B" w:rsidRDefault="00F03325" w:rsidP="00F45090">
      <w:pPr>
        <w:pStyle w:val="ListParagraph"/>
        <w:numPr>
          <w:ilvl w:val="0"/>
          <w:numId w:val="1"/>
        </w:numPr>
        <w:ind w:left="927"/>
        <w:contextualSpacing w:val="0"/>
        <w:rPr>
          <w:rFonts w:eastAsiaTheme="minorHAnsi"/>
        </w:rPr>
      </w:pPr>
      <w:r w:rsidRPr="002D4BCE">
        <w:rPr>
          <w:rFonts w:eastAsiaTheme="minorHAnsi"/>
        </w:rPr>
        <w:t>Expenditure on social media tools and external staff training</w:t>
      </w:r>
      <w:r w:rsidRPr="00A92B2B">
        <w:rPr>
          <w:rFonts w:eastAsiaTheme="minorHAnsi"/>
        </w:rPr>
        <w:t xml:space="preserve">.  </w:t>
      </w:r>
    </w:p>
    <w:p w:rsidR="00F03325" w:rsidRPr="00AD0E42" w:rsidRDefault="00F03325" w:rsidP="00F03325">
      <w:pPr>
        <w:rPr>
          <w:rFonts w:cs="Arial"/>
          <w:i/>
        </w:rPr>
      </w:pPr>
    </w:p>
    <w:p w:rsidR="00F45090" w:rsidRDefault="00F45090">
      <w:pPr>
        <w:jc w:val="left"/>
        <w:rPr>
          <w:rFonts w:cs="Arial"/>
          <w:i/>
        </w:rPr>
      </w:pPr>
      <w:r>
        <w:rPr>
          <w:rFonts w:cs="Arial"/>
          <w:i/>
        </w:rPr>
        <w:br w:type="page"/>
      </w:r>
    </w:p>
    <w:p w:rsidR="00F03325" w:rsidRPr="00AD0E42" w:rsidRDefault="00F03325" w:rsidP="007C09AC">
      <w:pPr>
        <w:keepNext/>
        <w:rPr>
          <w:rFonts w:cs="Arial"/>
          <w:i/>
        </w:rPr>
      </w:pPr>
      <w:r w:rsidRPr="00AD0E42">
        <w:rPr>
          <w:rFonts w:cs="Arial"/>
          <w:i/>
        </w:rPr>
        <w:lastRenderedPageBreak/>
        <w:t>Operating Expenses</w:t>
      </w:r>
    </w:p>
    <w:p w:rsidR="00F03325" w:rsidRPr="00AD0E42" w:rsidRDefault="00F03325" w:rsidP="007C09AC">
      <w:pPr>
        <w:keepNext/>
        <w:rPr>
          <w:rFonts w:cs="Arial"/>
          <w:i/>
        </w:rPr>
      </w:pPr>
    </w:p>
    <w:p w:rsidR="00F03325" w:rsidRPr="00E21E8B" w:rsidRDefault="00F03325" w:rsidP="00F03325">
      <w:pPr>
        <w:jc w:val="left"/>
        <w:rPr>
          <w:rFonts w:eastAsiaTheme="minorHAnsi"/>
        </w:rPr>
      </w:pPr>
      <w:r w:rsidRPr="00813977">
        <w:rPr>
          <w:rFonts w:eastAsiaTheme="minorHAnsi"/>
        </w:rPr>
        <w:t xml:space="preserve">Operating Expenses </w:t>
      </w:r>
      <w:r>
        <w:rPr>
          <w:rFonts w:eastAsiaTheme="minorHAnsi"/>
        </w:rPr>
        <w:t>of</w:t>
      </w:r>
      <w:r w:rsidRPr="00813977">
        <w:rPr>
          <w:rFonts w:eastAsiaTheme="minorHAnsi"/>
        </w:rPr>
        <w:t xml:space="preserve"> 1</w:t>
      </w:r>
      <w:r>
        <w:rPr>
          <w:rFonts w:eastAsiaTheme="minorHAnsi"/>
        </w:rPr>
        <w:t>.2 million</w:t>
      </w:r>
      <w:r w:rsidR="00F5247E">
        <w:rPr>
          <w:rFonts w:eastAsiaTheme="minorHAnsi"/>
        </w:rPr>
        <w:t> Swiss francs</w:t>
      </w:r>
      <w:r w:rsidRPr="00813977">
        <w:rPr>
          <w:rFonts w:eastAsiaTheme="minorHAnsi"/>
        </w:rPr>
        <w:t xml:space="preserve"> were slightly lower than the budget due to the containment of the costs of services provided by </w:t>
      </w:r>
      <w:r w:rsidR="00010AE0">
        <w:rPr>
          <w:rFonts w:eastAsiaTheme="minorHAnsi"/>
        </w:rPr>
        <w:t xml:space="preserve">the </w:t>
      </w:r>
      <w:r w:rsidR="00010AE0" w:rsidRPr="00010AE0">
        <w:rPr>
          <w:rFonts w:eastAsiaTheme="minorHAnsi"/>
        </w:rPr>
        <w:t>World Intellectual Property Organization (WIPO)</w:t>
      </w:r>
      <w:r w:rsidRPr="00813977">
        <w:rPr>
          <w:rFonts w:eastAsiaTheme="minorHAnsi"/>
        </w:rPr>
        <w:t xml:space="preserve"> to UPOV.</w:t>
      </w:r>
    </w:p>
    <w:p w:rsidR="00F03325" w:rsidRDefault="00F03325" w:rsidP="00F03325">
      <w:pPr>
        <w:tabs>
          <w:tab w:val="left" w:pos="0"/>
        </w:tabs>
        <w:rPr>
          <w:rFonts w:cs="Arial"/>
        </w:rPr>
      </w:pPr>
    </w:p>
    <w:p w:rsidR="00F03325" w:rsidRPr="00AD0E42" w:rsidRDefault="00F03325" w:rsidP="00F03325">
      <w:pPr>
        <w:keepNext/>
        <w:rPr>
          <w:rFonts w:cs="Arial"/>
          <w:i/>
        </w:rPr>
      </w:pPr>
      <w:r w:rsidRPr="00AD0E42">
        <w:rPr>
          <w:rFonts w:cs="Arial"/>
          <w:i/>
        </w:rPr>
        <w:t>Equipment and Supplies</w:t>
      </w:r>
    </w:p>
    <w:p w:rsidR="00F03325" w:rsidRDefault="00F03325" w:rsidP="00F03325">
      <w:pPr>
        <w:keepNext/>
        <w:rPr>
          <w:rFonts w:cs="Arial"/>
          <w:i/>
        </w:rPr>
      </w:pPr>
    </w:p>
    <w:p w:rsidR="00F03325" w:rsidRPr="00E21E8B" w:rsidRDefault="00F03325" w:rsidP="00F03325">
      <w:pPr>
        <w:jc w:val="left"/>
        <w:rPr>
          <w:rFonts w:eastAsiaTheme="minorHAnsi" w:cs="Arial"/>
        </w:rPr>
      </w:pPr>
      <w:r w:rsidRPr="00E21E8B">
        <w:rPr>
          <w:rFonts w:eastAsiaTheme="minorHAnsi" w:cs="Arial"/>
        </w:rPr>
        <w:t xml:space="preserve">Equipment and Supplies amounted to </w:t>
      </w:r>
      <w:r>
        <w:rPr>
          <w:rFonts w:eastAsiaTheme="minorHAnsi" w:cs="Arial"/>
        </w:rPr>
        <w:t>2,984</w:t>
      </w:r>
      <w:r w:rsidR="00F5247E">
        <w:rPr>
          <w:rFonts w:eastAsiaTheme="minorHAnsi" w:cs="Arial"/>
        </w:rPr>
        <w:t> Swiss francs</w:t>
      </w:r>
      <w:r w:rsidRPr="00E21E8B">
        <w:rPr>
          <w:rFonts w:eastAsiaTheme="minorHAnsi" w:cs="Arial"/>
        </w:rPr>
        <w:t xml:space="preserve">, </w:t>
      </w:r>
      <w:r>
        <w:rPr>
          <w:rFonts w:eastAsiaTheme="minorHAnsi" w:cs="Arial"/>
        </w:rPr>
        <w:t xml:space="preserve">i.e. </w:t>
      </w:r>
      <w:r w:rsidRPr="00E21E8B">
        <w:rPr>
          <w:rFonts w:eastAsiaTheme="minorHAnsi" w:cs="Arial"/>
        </w:rPr>
        <w:t>17</w:t>
      </w:r>
      <w:r>
        <w:rPr>
          <w:rFonts w:eastAsiaTheme="minorHAnsi" w:cs="Arial"/>
        </w:rPr>
        <w:t>,016</w:t>
      </w:r>
      <w:r w:rsidR="00F5247E">
        <w:rPr>
          <w:rFonts w:eastAsiaTheme="minorHAnsi" w:cs="Arial"/>
        </w:rPr>
        <w:t> Swiss francs</w:t>
      </w:r>
      <w:r w:rsidRPr="00E21E8B">
        <w:rPr>
          <w:rFonts w:eastAsiaTheme="minorHAnsi" w:cs="Arial"/>
        </w:rPr>
        <w:t xml:space="preserve"> lower than the budget.</w:t>
      </w:r>
    </w:p>
    <w:p w:rsidR="00F03325" w:rsidRDefault="00F03325" w:rsidP="00F03325">
      <w:pPr>
        <w:rPr>
          <w:rFonts w:eastAsiaTheme="minorHAnsi" w:cs="Arial"/>
        </w:rPr>
      </w:pPr>
    </w:p>
    <w:p w:rsidR="00F03325" w:rsidRPr="00AD0E42" w:rsidRDefault="00F03325" w:rsidP="006220DD">
      <w:pPr>
        <w:rPr>
          <w:rFonts w:eastAsiaTheme="minorHAnsi"/>
        </w:rPr>
      </w:pPr>
      <w:r w:rsidRPr="00AD0E42">
        <w:rPr>
          <w:rFonts w:eastAsiaTheme="minorHAnsi"/>
        </w:rPr>
        <w:t xml:space="preserve">The breakdown of </w:t>
      </w:r>
      <w:r w:rsidR="009A1086">
        <w:rPr>
          <w:rFonts w:eastAsiaTheme="minorHAnsi"/>
        </w:rPr>
        <w:t>2018-2019</w:t>
      </w:r>
      <w:r w:rsidRPr="00AD0E42">
        <w:rPr>
          <w:rFonts w:eastAsiaTheme="minorHAnsi"/>
        </w:rPr>
        <w:t xml:space="preserve"> expenditure by sub-programs and cost categories is shown below in Table 5.  </w:t>
      </w:r>
    </w:p>
    <w:p w:rsidR="00F03325" w:rsidRPr="00D24576" w:rsidRDefault="00F03325" w:rsidP="00F03325">
      <w:pPr>
        <w:rPr>
          <w:rFonts w:eastAsiaTheme="minorHAnsi" w:cs="Arial"/>
          <w:highlight w:val="yellow"/>
        </w:rPr>
      </w:pPr>
    </w:p>
    <w:p w:rsidR="00F03325" w:rsidRPr="00294E4B" w:rsidRDefault="00F03325" w:rsidP="00E17281">
      <w:pPr>
        <w:pStyle w:val="Heading2"/>
      </w:pPr>
      <w:bookmarkStart w:id="18" w:name="_Toc460229916"/>
      <w:bookmarkStart w:id="19" w:name="_Toc522808847"/>
      <w:bookmarkStart w:id="20" w:name="_Toc48833479"/>
      <w:r w:rsidRPr="00294E4B">
        <w:t>Table 5. 201</w:t>
      </w:r>
      <w:r>
        <w:t>8</w:t>
      </w:r>
      <w:r w:rsidRPr="00294E4B">
        <w:t>-201</w:t>
      </w:r>
      <w:r>
        <w:t>9</w:t>
      </w:r>
      <w:r w:rsidRPr="00294E4B">
        <w:t xml:space="preserve"> Expenditure Details by Sub-Programs</w:t>
      </w:r>
      <w:bookmarkEnd w:id="18"/>
      <w:bookmarkEnd w:id="19"/>
      <w:bookmarkEnd w:id="20"/>
    </w:p>
    <w:p w:rsidR="00F03325" w:rsidRDefault="00F03325" w:rsidP="00F03325">
      <w:pPr>
        <w:spacing w:after="200" w:line="276" w:lineRule="auto"/>
        <w:jc w:val="center"/>
        <w:rPr>
          <w:rFonts w:eastAsiaTheme="minorHAnsi" w:cs="Arial"/>
          <w:i/>
        </w:rPr>
      </w:pPr>
      <w:r w:rsidRPr="00294E4B">
        <w:rPr>
          <w:rFonts w:eastAsiaTheme="minorHAnsi" w:cs="Arial"/>
          <w:i/>
        </w:rPr>
        <w:t>(in thousands of</w:t>
      </w:r>
      <w:r w:rsidR="00F5247E">
        <w:rPr>
          <w:rFonts w:eastAsiaTheme="minorHAnsi" w:cs="Arial"/>
          <w:i/>
        </w:rPr>
        <w:t> Swiss francs</w:t>
      </w:r>
      <w:r w:rsidRPr="00294E4B">
        <w:rPr>
          <w:rFonts w:eastAsiaTheme="minorHAnsi" w:cs="Arial"/>
          <w:i/>
        </w:rPr>
        <w:t>)</w:t>
      </w:r>
    </w:p>
    <w:p w:rsidR="00F03325" w:rsidRPr="00294E4B" w:rsidRDefault="00F03325" w:rsidP="00F03325">
      <w:pPr>
        <w:spacing w:after="200" w:line="276" w:lineRule="auto"/>
        <w:jc w:val="center"/>
        <w:rPr>
          <w:rFonts w:eastAsiaTheme="minorHAnsi" w:cs="Arial"/>
          <w:i/>
        </w:rPr>
      </w:pPr>
      <w:r w:rsidRPr="00A44EEF">
        <w:rPr>
          <w:rFonts w:eastAsiaTheme="minorHAnsi"/>
          <w:noProof/>
        </w:rPr>
        <w:drawing>
          <wp:inline distT="0" distB="0" distL="0" distR="0" wp14:anchorId="25007B60" wp14:editId="1E89D3F7">
            <wp:extent cx="6120765" cy="4918234"/>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918234"/>
                    </a:xfrm>
                    <a:prstGeom prst="rect">
                      <a:avLst/>
                    </a:prstGeom>
                    <a:noFill/>
                    <a:ln>
                      <a:noFill/>
                    </a:ln>
                  </pic:spPr>
                </pic:pic>
              </a:graphicData>
            </a:graphic>
          </wp:inline>
        </w:drawing>
      </w:r>
    </w:p>
    <w:p w:rsidR="00F03325" w:rsidRPr="00AD0E42" w:rsidRDefault="00F03325" w:rsidP="00F03325">
      <w:pPr>
        <w:spacing w:line="276" w:lineRule="auto"/>
        <w:ind w:left="284" w:hanging="284"/>
        <w:rPr>
          <w:rFonts w:eastAsiaTheme="minorHAnsi" w:cs="Arial"/>
          <w:sz w:val="18"/>
          <w:szCs w:val="18"/>
        </w:rPr>
      </w:pPr>
      <w:r w:rsidRPr="00AD0E42">
        <w:rPr>
          <w:rFonts w:eastAsiaTheme="minorHAnsi" w:cs="Arial"/>
          <w:sz w:val="18"/>
          <w:szCs w:val="18"/>
        </w:rPr>
        <w:t>*</w:t>
      </w:r>
      <w:r w:rsidRPr="00AD0E42">
        <w:rPr>
          <w:rFonts w:eastAsiaTheme="minorHAnsi" w:cs="Arial"/>
          <w:sz w:val="18"/>
          <w:szCs w:val="18"/>
        </w:rPr>
        <w:tab/>
      </w:r>
      <w:r w:rsidRPr="00AD0E42">
        <w:rPr>
          <w:rFonts w:cs="Arial"/>
          <w:sz w:val="18"/>
          <w:szCs w:val="18"/>
        </w:rPr>
        <w:t>Any differences in numbers between this table and subsequent tables from the financial statements are due to rounding.</w:t>
      </w:r>
    </w:p>
    <w:p w:rsidR="00F03325" w:rsidRPr="00D24576" w:rsidRDefault="00F03325" w:rsidP="00F03325">
      <w:pPr>
        <w:spacing w:line="276" w:lineRule="auto"/>
        <w:rPr>
          <w:rFonts w:eastAsiaTheme="minorHAnsi" w:cs="Arial"/>
          <w:sz w:val="18"/>
          <w:szCs w:val="18"/>
          <w:highlight w:val="yellow"/>
        </w:rPr>
      </w:pPr>
    </w:p>
    <w:p w:rsidR="006220DD" w:rsidRDefault="006220DD" w:rsidP="00F03325">
      <w:pPr>
        <w:rPr>
          <w:rFonts w:eastAsiaTheme="minorHAnsi" w:cs="Arial"/>
        </w:rPr>
      </w:pPr>
      <w:r>
        <w:rPr>
          <w:rFonts w:eastAsiaTheme="minorHAnsi" w:cs="Arial"/>
        </w:rPr>
        <w:br w:type="page"/>
      </w:r>
    </w:p>
    <w:p w:rsidR="00F03325" w:rsidRPr="00AD0E42" w:rsidRDefault="00F03325" w:rsidP="00F03325">
      <w:pPr>
        <w:rPr>
          <w:rFonts w:eastAsiaTheme="minorHAnsi" w:cs="Arial"/>
        </w:rPr>
      </w:pPr>
      <w:r w:rsidRPr="00AD0E42">
        <w:rPr>
          <w:rFonts w:eastAsiaTheme="minorHAnsi" w:cs="Arial"/>
        </w:rPr>
        <w:lastRenderedPageBreak/>
        <w:t xml:space="preserve">Table 6 below provides a summary of the number of posts by category. </w:t>
      </w:r>
    </w:p>
    <w:p w:rsidR="00F03325" w:rsidRPr="00D24576" w:rsidRDefault="00F03325" w:rsidP="00F03325">
      <w:pPr>
        <w:rPr>
          <w:rFonts w:eastAsiaTheme="minorHAnsi" w:cs="Arial"/>
          <w:highlight w:val="yellow"/>
        </w:rPr>
      </w:pPr>
    </w:p>
    <w:p w:rsidR="00F03325" w:rsidRPr="00294E4B" w:rsidRDefault="00F03325" w:rsidP="00E17281">
      <w:pPr>
        <w:pStyle w:val="Heading2"/>
      </w:pPr>
      <w:bookmarkStart w:id="21" w:name="_Toc460229917"/>
      <w:bookmarkStart w:id="22" w:name="_Toc522808848"/>
      <w:bookmarkStart w:id="23" w:name="_Toc48833480"/>
      <w:r w:rsidRPr="00294E4B">
        <w:t xml:space="preserve">Table 6. </w:t>
      </w:r>
      <w:r w:rsidR="009A1086">
        <w:t>2018-2019</w:t>
      </w:r>
      <w:r w:rsidRPr="00294E4B">
        <w:t xml:space="preserve"> Budgeted and Actual Posts</w:t>
      </w:r>
      <w:bookmarkEnd w:id="21"/>
      <w:bookmarkEnd w:id="22"/>
      <w:bookmarkEnd w:id="23"/>
    </w:p>
    <w:p w:rsidR="00F03325" w:rsidRPr="00D24576" w:rsidRDefault="00F03325" w:rsidP="00F03325">
      <w:pPr>
        <w:rPr>
          <w:rFonts w:eastAsiaTheme="minorHAnsi" w:cs="Arial"/>
          <w:highlight w:val="yellow"/>
        </w:rPr>
      </w:pPr>
    </w:p>
    <w:p w:rsidR="00F03325" w:rsidRPr="00D24576" w:rsidRDefault="00F03325" w:rsidP="00F03325">
      <w:pPr>
        <w:spacing w:after="200" w:line="276" w:lineRule="auto"/>
        <w:jc w:val="center"/>
        <w:rPr>
          <w:rFonts w:eastAsiaTheme="minorHAnsi" w:cs="Arial"/>
          <w:highlight w:val="yellow"/>
        </w:rPr>
      </w:pPr>
      <w:r w:rsidRPr="00A92B2B">
        <w:rPr>
          <w:rFonts w:eastAsiaTheme="minorHAnsi"/>
          <w:noProof/>
        </w:rPr>
        <w:drawing>
          <wp:inline distT="0" distB="0" distL="0" distR="0" wp14:anchorId="28956626" wp14:editId="067C9B39">
            <wp:extent cx="3743325" cy="1409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3325" cy="1409700"/>
                    </a:xfrm>
                    <a:prstGeom prst="rect">
                      <a:avLst/>
                    </a:prstGeom>
                    <a:noFill/>
                    <a:ln>
                      <a:noFill/>
                    </a:ln>
                  </pic:spPr>
                </pic:pic>
              </a:graphicData>
            </a:graphic>
          </wp:inline>
        </w:drawing>
      </w:r>
    </w:p>
    <w:p w:rsidR="00F03325" w:rsidRPr="00AD0E42" w:rsidRDefault="00F03325" w:rsidP="00F03325">
      <w:pPr>
        <w:keepNext/>
        <w:rPr>
          <w:rFonts w:cs="Arial"/>
        </w:rPr>
      </w:pPr>
      <w:r w:rsidRPr="00AD0E42">
        <w:rPr>
          <w:rFonts w:cs="Arial"/>
        </w:rPr>
        <w:t xml:space="preserve">As indicated in Table 6, there was no change in the biennium in the total number of posts.  </w:t>
      </w:r>
      <w:r w:rsidRPr="00402C7D">
        <w:rPr>
          <w:rFonts w:cs="Arial"/>
        </w:rPr>
        <w:t>The higher number of posts in the General Service category was due to a delay in the reclassification of a post from General Service to Professional not being completed during the biennium.  The post of the Secretary-General is included within the post count, but at no cost, because the current Director General of WIPO has declined any salary or allowance from his functions as Secretary-General of UPOV.</w:t>
      </w:r>
      <w:r w:rsidRPr="00AD0E42">
        <w:rPr>
          <w:rFonts w:cs="Arial"/>
        </w:rPr>
        <w:t xml:space="preserve"> </w:t>
      </w:r>
    </w:p>
    <w:p w:rsidR="00F03325" w:rsidRPr="00AD0E42" w:rsidRDefault="00F03325" w:rsidP="00F03325">
      <w:pPr>
        <w:keepNext/>
        <w:rPr>
          <w:rFonts w:eastAsiaTheme="minorHAnsi" w:cs="Arial"/>
        </w:rPr>
      </w:pPr>
    </w:p>
    <w:p w:rsidR="00F03325" w:rsidRDefault="00F03325" w:rsidP="00F03325">
      <w:pPr>
        <w:keepNext/>
        <w:rPr>
          <w:rFonts w:eastAsiaTheme="minorHAnsi" w:cs="Arial"/>
        </w:rPr>
      </w:pPr>
      <w:r>
        <w:rPr>
          <w:rFonts w:eastAsiaTheme="minorHAnsi" w:cs="Arial"/>
        </w:rPr>
        <w:t>T</w:t>
      </w:r>
      <w:r w:rsidRPr="00AD0E42">
        <w:rPr>
          <w:rFonts w:eastAsiaTheme="minorHAnsi" w:cs="Arial"/>
        </w:rPr>
        <w:t xml:space="preserve">he overall evolution of actual income and expenditure (before IPSAS adjustments) </w:t>
      </w:r>
      <w:r w:rsidRPr="004C358C">
        <w:rPr>
          <w:rFonts w:eastAsiaTheme="minorHAnsi" w:cs="Arial"/>
        </w:rPr>
        <w:t>for the period from 2008 to 201</w:t>
      </w:r>
      <w:r>
        <w:rPr>
          <w:rFonts w:eastAsiaTheme="minorHAnsi" w:cs="Arial"/>
        </w:rPr>
        <w:t xml:space="preserve">9 </w:t>
      </w:r>
      <w:r w:rsidRPr="00AD0E42">
        <w:rPr>
          <w:rFonts w:eastAsiaTheme="minorHAnsi" w:cs="Arial"/>
        </w:rPr>
        <w:t xml:space="preserve">is shown below in Table 7. </w:t>
      </w:r>
    </w:p>
    <w:p w:rsidR="00F03325" w:rsidRPr="00AD0E42" w:rsidRDefault="00F03325" w:rsidP="00F03325">
      <w:pPr>
        <w:keepNext/>
        <w:rPr>
          <w:rFonts w:eastAsiaTheme="minorHAnsi" w:cs="Arial"/>
        </w:rPr>
      </w:pPr>
    </w:p>
    <w:p w:rsidR="00F03325" w:rsidRPr="00294E4B" w:rsidRDefault="00F03325" w:rsidP="00F03325">
      <w:pPr>
        <w:keepNext/>
        <w:rPr>
          <w:rFonts w:eastAsiaTheme="minorHAnsi" w:cs="Arial"/>
        </w:rPr>
      </w:pPr>
    </w:p>
    <w:p w:rsidR="00F03325" w:rsidRPr="00294E4B" w:rsidRDefault="00F03325" w:rsidP="00E17281">
      <w:pPr>
        <w:pStyle w:val="Heading2"/>
      </w:pPr>
      <w:bookmarkStart w:id="24" w:name="_Toc460229918"/>
      <w:bookmarkStart w:id="25" w:name="_Toc522808849"/>
      <w:bookmarkStart w:id="26" w:name="_Toc48833481"/>
      <w:r w:rsidRPr="00294E4B">
        <w:t>Table 7. Evolution of Actual Income and Expenditure during 2008-201</w:t>
      </w:r>
      <w:bookmarkEnd w:id="24"/>
      <w:bookmarkEnd w:id="25"/>
      <w:r>
        <w:t>9</w:t>
      </w:r>
      <w:bookmarkEnd w:id="26"/>
    </w:p>
    <w:p w:rsidR="00F03325" w:rsidRPr="00294E4B" w:rsidRDefault="00F03325" w:rsidP="00F03325">
      <w:pPr>
        <w:spacing w:after="200" w:line="276" w:lineRule="auto"/>
        <w:jc w:val="center"/>
        <w:rPr>
          <w:rFonts w:eastAsiaTheme="minorHAnsi" w:cs="Arial"/>
          <w:i/>
        </w:rPr>
      </w:pPr>
      <w:r w:rsidRPr="00294E4B">
        <w:rPr>
          <w:rFonts w:eastAsiaTheme="minorHAnsi" w:cs="Arial"/>
          <w:i/>
        </w:rPr>
        <w:t>(in thousands of</w:t>
      </w:r>
      <w:r w:rsidR="00F5247E">
        <w:rPr>
          <w:rFonts w:eastAsiaTheme="minorHAnsi" w:cs="Arial"/>
          <w:i/>
        </w:rPr>
        <w:t> Swiss francs</w:t>
      </w:r>
      <w:r w:rsidRPr="00294E4B">
        <w:rPr>
          <w:rFonts w:eastAsiaTheme="minorHAnsi" w:cs="Arial"/>
          <w:i/>
        </w:rPr>
        <w:t>)</w:t>
      </w:r>
    </w:p>
    <w:p w:rsidR="00F03325" w:rsidRPr="00957875" w:rsidRDefault="00F03325" w:rsidP="00F03325">
      <w:pPr>
        <w:spacing w:after="200" w:line="276" w:lineRule="auto"/>
        <w:jc w:val="center"/>
        <w:rPr>
          <w:rFonts w:eastAsiaTheme="minorHAnsi" w:cs="Arial"/>
          <w:b/>
          <w:sz w:val="22"/>
          <w:szCs w:val="22"/>
        </w:rPr>
      </w:pPr>
      <w:r w:rsidRPr="00A44EEF">
        <w:rPr>
          <w:rFonts w:eastAsiaTheme="minorHAnsi"/>
          <w:noProof/>
        </w:rPr>
        <w:drawing>
          <wp:inline distT="0" distB="0" distL="0" distR="0" wp14:anchorId="755B7DE5" wp14:editId="51F9B021">
            <wp:extent cx="6120765" cy="74977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749770"/>
                    </a:xfrm>
                    <a:prstGeom prst="rect">
                      <a:avLst/>
                    </a:prstGeom>
                    <a:noFill/>
                    <a:ln>
                      <a:noFill/>
                    </a:ln>
                  </pic:spPr>
                </pic:pic>
              </a:graphicData>
            </a:graphic>
          </wp:inline>
        </w:drawing>
      </w:r>
    </w:p>
    <w:p w:rsidR="00F03325" w:rsidRPr="00957875" w:rsidRDefault="00F03325" w:rsidP="00F03325">
      <w:pPr>
        <w:spacing w:after="200" w:line="276" w:lineRule="auto"/>
        <w:jc w:val="center"/>
        <w:rPr>
          <w:rFonts w:eastAsiaTheme="minorHAnsi" w:cs="Arial"/>
          <w:b/>
          <w:sz w:val="22"/>
          <w:szCs w:val="22"/>
        </w:rPr>
      </w:pPr>
      <w:r>
        <w:rPr>
          <w:rFonts w:cs="Arial"/>
          <w:noProof/>
        </w:rPr>
        <w:drawing>
          <wp:inline distT="0" distB="0" distL="0" distR="0" wp14:anchorId="72E6B83A" wp14:editId="18368BE6">
            <wp:extent cx="4894451" cy="2255788"/>
            <wp:effectExtent l="0" t="0" r="190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0400" cy="2263139"/>
                    </a:xfrm>
                    <a:prstGeom prst="rect">
                      <a:avLst/>
                    </a:prstGeom>
                    <a:noFill/>
                  </pic:spPr>
                </pic:pic>
              </a:graphicData>
            </a:graphic>
          </wp:inline>
        </w:drawing>
      </w:r>
      <w:r w:rsidRPr="00957875">
        <w:rPr>
          <w:rFonts w:cs="Arial"/>
        </w:rPr>
        <w:br w:type="page"/>
      </w:r>
    </w:p>
    <w:p w:rsidR="006220DD" w:rsidRPr="00957875" w:rsidRDefault="006220DD" w:rsidP="006220DD">
      <w:pPr>
        <w:pStyle w:val="Heading1"/>
        <w:rPr>
          <w:rFonts w:cs="Arial"/>
        </w:rPr>
      </w:pPr>
      <w:bookmarkStart w:id="27" w:name="_Toc460229920"/>
      <w:bookmarkStart w:id="28" w:name="_Toc522808851"/>
      <w:bookmarkStart w:id="29" w:name="_Toc48833482"/>
      <w:r w:rsidRPr="00957875">
        <w:rPr>
          <w:rFonts w:cs="Arial"/>
        </w:rPr>
        <w:lastRenderedPageBreak/>
        <w:t>FINANCIAL STATEMENTS</w:t>
      </w:r>
      <w:bookmarkEnd w:id="27"/>
      <w:bookmarkEnd w:id="28"/>
      <w:bookmarkEnd w:id="29"/>
    </w:p>
    <w:p w:rsidR="006220DD" w:rsidRPr="00957875" w:rsidRDefault="006220DD" w:rsidP="006220DD"/>
    <w:p w:rsidR="006220DD" w:rsidRPr="00957875" w:rsidRDefault="006220DD" w:rsidP="006220DD">
      <w:pPr>
        <w:rPr>
          <w:rFonts w:cs="Arial"/>
        </w:rPr>
      </w:pPr>
      <w:r w:rsidRPr="00957875">
        <w:rPr>
          <w:rFonts w:cs="Arial"/>
        </w:rPr>
        <w:t>For each of the two years of the 20</w:t>
      </w:r>
      <w:r>
        <w:rPr>
          <w:rFonts w:cs="Arial"/>
        </w:rPr>
        <w:t>18</w:t>
      </w:r>
      <w:r w:rsidRPr="00957875">
        <w:rPr>
          <w:rFonts w:cs="Arial"/>
        </w:rPr>
        <w:t>-20</w:t>
      </w:r>
      <w:r>
        <w:rPr>
          <w:rFonts w:cs="Arial"/>
        </w:rPr>
        <w:t>19</w:t>
      </w:r>
      <w:r w:rsidRPr="00957875">
        <w:rPr>
          <w:rFonts w:cs="Arial"/>
        </w:rPr>
        <w:t xml:space="preserve"> Biennium, the annual financial statements of UPOV have been prepared in accordance with the International Public Sector Accounting Standards (IPSAS).</w:t>
      </w:r>
    </w:p>
    <w:p w:rsidR="006220DD" w:rsidRPr="00957875" w:rsidRDefault="006220DD" w:rsidP="006220DD">
      <w:pPr>
        <w:rPr>
          <w:rFonts w:cs="Arial"/>
        </w:rPr>
      </w:pPr>
    </w:p>
    <w:p w:rsidR="006220DD" w:rsidRPr="00957875" w:rsidRDefault="006220DD" w:rsidP="006220DD">
      <w:pPr>
        <w:rPr>
          <w:rFonts w:cs="Arial"/>
          <w:b/>
        </w:rPr>
      </w:pPr>
      <w:r w:rsidRPr="00957875">
        <w:rPr>
          <w:rFonts w:cs="Arial"/>
          <w:b/>
        </w:rPr>
        <w:t>Accrual Accounting under IPSAS</w:t>
      </w:r>
    </w:p>
    <w:p w:rsidR="006220DD" w:rsidRPr="00957875" w:rsidRDefault="006220DD" w:rsidP="006220DD">
      <w:pPr>
        <w:autoSpaceDE w:val="0"/>
        <w:autoSpaceDN w:val="0"/>
        <w:adjustRightInd w:val="0"/>
        <w:rPr>
          <w:rFonts w:cs="Arial"/>
        </w:rPr>
      </w:pPr>
    </w:p>
    <w:p w:rsidR="006220DD" w:rsidRPr="00957875" w:rsidRDefault="006220DD" w:rsidP="006220DD">
      <w:pPr>
        <w:autoSpaceDE w:val="0"/>
        <w:autoSpaceDN w:val="0"/>
        <w:adjustRightInd w:val="0"/>
        <w:rPr>
          <w:rFonts w:cs="Arial"/>
          <w:szCs w:val="22"/>
        </w:rPr>
      </w:pPr>
      <w:r w:rsidRPr="00957875">
        <w:rPr>
          <w:rFonts w:cs="Arial"/>
        </w:rPr>
        <w:t>Under IPSAS the financial statements are prepared applying the full accrual basis of accounting. Accrual basis accounting means the recognition of transactions and events when they occur. As such they are recorded in the accounting records and reported in the financial statements of the financial periods to which they relate, and not only when cash or its equivalent is received or paid.</w:t>
      </w:r>
    </w:p>
    <w:p w:rsidR="006220DD" w:rsidRPr="00957875" w:rsidRDefault="006220DD" w:rsidP="006220DD">
      <w:pPr>
        <w:autoSpaceDE w:val="0"/>
        <w:autoSpaceDN w:val="0"/>
        <w:adjustRightInd w:val="0"/>
        <w:rPr>
          <w:rFonts w:cs="Arial"/>
          <w:szCs w:val="22"/>
        </w:rPr>
      </w:pPr>
    </w:p>
    <w:p w:rsidR="006220DD" w:rsidRPr="00957875" w:rsidRDefault="006220DD" w:rsidP="006220DD">
      <w:pPr>
        <w:autoSpaceDE w:val="0"/>
        <w:autoSpaceDN w:val="0"/>
        <w:adjustRightInd w:val="0"/>
        <w:rPr>
          <w:rFonts w:cs="Arial"/>
          <w:szCs w:val="22"/>
        </w:rPr>
      </w:pPr>
      <w:r>
        <w:rPr>
          <w:rFonts w:cs="Arial"/>
        </w:rPr>
        <w:t>IPSAS requires that</w:t>
      </w:r>
      <w:r w:rsidRPr="00957875">
        <w:rPr>
          <w:rFonts w:cs="Arial"/>
        </w:rPr>
        <w:t xml:space="preserve"> revenue for both contributions and extrabudgetary funds (funds in trust) is recognized when UPOV has a right to receive the contribution. Where contributions are due to UPOV, a receivable balance is recognized. Extrabudgetary fund arrangements are analyzed to see if UPOV needs to meet performance conditions, and if these are present, revenue is only recognized when the conditions are fulfilled. </w:t>
      </w:r>
    </w:p>
    <w:p w:rsidR="006220DD" w:rsidRPr="00957875" w:rsidRDefault="006220DD" w:rsidP="006220DD">
      <w:pPr>
        <w:rPr>
          <w:rFonts w:cs="Arial"/>
          <w:szCs w:val="22"/>
        </w:rPr>
      </w:pPr>
    </w:p>
    <w:p w:rsidR="006220DD" w:rsidRPr="00957875" w:rsidRDefault="006220DD" w:rsidP="006220DD">
      <w:pPr>
        <w:rPr>
          <w:rFonts w:cs="Arial"/>
        </w:rPr>
      </w:pPr>
      <w:r w:rsidRPr="00957875">
        <w:rPr>
          <w:rFonts w:cs="Arial"/>
          <w:szCs w:val="22"/>
        </w:rPr>
        <w:t>The value of future employee benefits (including accumulated annual leave, repatriation grants and After-Service Health Insurance (ASHI)) that UPOV staff have earned but not yet received is recorded to capture the full cost of employing staff.</w:t>
      </w:r>
    </w:p>
    <w:p w:rsidR="006220DD" w:rsidRPr="00957875" w:rsidRDefault="006220DD" w:rsidP="006220DD">
      <w:pPr>
        <w:rPr>
          <w:rFonts w:cs="Arial"/>
          <w:szCs w:val="22"/>
        </w:rPr>
      </w:pPr>
    </w:p>
    <w:p w:rsidR="006220DD" w:rsidRPr="00957875" w:rsidRDefault="006220DD" w:rsidP="006220DD">
      <w:pPr>
        <w:rPr>
          <w:rFonts w:cs="Arial"/>
          <w:szCs w:val="22"/>
        </w:rPr>
      </w:pPr>
      <w:r w:rsidRPr="00957875">
        <w:rPr>
          <w:rFonts w:cs="Arial"/>
          <w:szCs w:val="22"/>
        </w:rPr>
        <w:t>The UPOV Program and Budget is established on a modified accrual basis, which differs from the full accrual basis applied to the financial statements. Other differences between the budgetary result and the result per the financial statements are due to the inclusion in the financial statements of funds in trust and the Special Project Fund, which are not included in UPOV’s Program and Budget. A reconciliation between the budgetary result and the principal financial statements is provided in UPOV’s financial statements in accordance with the requirements of IPSAS.</w:t>
      </w:r>
    </w:p>
    <w:p w:rsidR="006220DD" w:rsidRPr="00957875" w:rsidRDefault="006220DD" w:rsidP="006220DD">
      <w:pPr>
        <w:rPr>
          <w:rFonts w:cs="Arial"/>
          <w:szCs w:val="22"/>
        </w:rPr>
      </w:pPr>
    </w:p>
    <w:p w:rsidR="006220DD" w:rsidRPr="00957875" w:rsidRDefault="006220DD" w:rsidP="006220DD">
      <w:pPr>
        <w:rPr>
          <w:rFonts w:cs="Arial"/>
          <w:b/>
          <w:szCs w:val="22"/>
        </w:rPr>
      </w:pPr>
      <w:r w:rsidRPr="00957875">
        <w:rPr>
          <w:rFonts w:cs="Arial"/>
          <w:b/>
          <w:szCs w:val="22"/>
        </w:rPr>
        <w:t>Presentation of Financial Information under IPSAS</w:t>
      </w:r>
    </w:p>
    <w:p w:rsidR="006220DD" w:rsidRPr="00957875" w:rsidRDefault="006220DD" w:rsidP="006220DD">
      <w:pPr>
        <w:autoSpaceDE w:val="0"/>
        <w:autoSpaceDN w:val="0"/>
        <w:adjustRightInd w:val="0"/>
        <w:rPr>
          <w:rFonts w:cs="Arial"/>
          <w:lang w:val="en-GB" w:eastAsia="en-GB"/>
        </w:rPr>
      </w:pPr>
    </w:p>
    <w:p w:rsidR="006220DD" w:rsidRPr="00957875" w:rsidRDefault="006220DD" w:rsidP="006220DD">
      <w:pPr>
        <w:autoSpaceDE w:val="0"/>
        <w:autoSpaceDN w:val="0"/>
        <w:adjustRightInd w:val="0"/>
        <w:rPr>
          <w:rFonts w:cs="Arial"/>
          <w:lang w:val="en-GB" w:eastAsia="en-GB"/>
        </w:rPr>
      </w:pPr>
      <w:r w:rsidRPr="00957875">
        <w:rPr>
          <w:rFonts w:cs="Arial"/>
          <w:lang w:val="en-GB" w:eastAsia="en-GB"/>
        </w:rPr>
        <w:t xml:space="preserve">As IPSAS requires the preparation of annual financial statements, UPOV financial statements are prepared individually for each calendar year of the biennium. These annual financial statements are presented separately from the Financial Management Report, and for complete financial information of UPOV prepared in accordance with IPSAS requirements, reference should be made to the UPOV annual financial statements. </w:t>
      </w:r>
    </w:p>
    <w:p w:rsidR="006220DD" w:rsidRPr="00957875" w:rsidRDefault="006220DD" w:rsidP="006220DD">
      <w:pPr>
        <w:autoSpaceDE w:val="0"/>
        <w:autoSpaceDN w:val="0"/>
        <w:adjustRightInd w:val="0"/>
        <w:rPr>
          <w:rFonts w:cs="Arial"/>
          <w:lang w:val="en-GB" w:eastAsia="en-GB"/>
        </w:rPr>
      </w:pPr>
    </w:p>
    <w:p w:rsidR="006220DD" w:rsidRPr="00957875" w:rsidRDefault="006220DD" w:rsidP="006220DD">
      <w:pPr>
        <w:autoSpaceDE w:val="0"/>
        <w:autoSpaceDN w:val="0"/>
        <w:adjustRightInd w:val="0"/>
        <w:rPr>
          <w:rFonts w:cs="Arial"/>
          <w:lang w:val="en-GB" w:eastAsia="en-GB"/>
        </w:rPr>
      </w:pPr>
      <w:r w:rsidRPr="00957875">
        <w:rPr>
          <w:rFonts w:cs="Arial"/>
          <w:lang w:val="en-GB" w:eastAsia="en-GB"/>
        </w:rPr>
        <w:t xml:space="preserve">Under IPSAS, the financial statements include the following elements: </w:t>
      </w:r>
    </w:p>
    <w:p w:rsidR="006220DD" w:rsidRPr="00957875" w:rsidRDefault="006220DD" w:rsidP="006220DD">
      <w:pPr>
        <w:autoSpaceDE w:val="0"/>
        <w:autoSpaceDN w:val="0"/>
        <w:adjustRightInd w:val="0"/>
        <w:rPr>
          <w:rFonts w:cs="Arial"/>
          <w:lang w:val="en-GB" w:eastAsia="en-GB"/>
        </w:rPr>
      </w:pPr>
    </w:p>
    <w:p w:rsidR="006220DD" w:rsidRPr="00957875" w:rsidRDefault="006220DD" w:rsidP="002F4039">
      <w:pPr>
        <w:numPr>
          <w:ilvl w:val="1"/>
          <w:numId w:val="3"/>
        </w:numPr>
        <w:autoSpaceDE w:val="0"/>
        <w:autoSpaceDN w:val="0"/>
        <w:adjustRightInd w:val="0"/>
        <w:ind w:left="567"/>
        <w:rPr>
          <w:rFonts w:cs="Arial"/>
          <w:lang w:val="en-GB" w:eastAsia="en-GB"/>
        </w:rPr>
      </w:pPr>
      <w:r w:rsidRPr="00957875">
        <w:rPr>
          <w:rFonts w:cs="Arial"/>
          <w:lang w:val="en-GB" w:eastAsia="en-GB"/>
        </w:rPr>
        <w:t xml:space="preserve">Statement I - Statement of Financial Position </w:t>
      </w:r>
    </w:p>
    <w:p w:rsidR="006220DD" w:rsidRPr="00957875" w:rsidRDefault="006220DD" w:rsidP="002F4039">
      <w:pPr>
        <w:numPr>
          <w:ilvl w:val="1"/>
          <w:numId w:val="3"/>
        </w:numPr>
        <w:autoSpaceDE w:val="0"/>
        <w:autoSpaceDN w:val="0"/>
        <w:adjustRightInd w:val="0"/>
        <w:ind w:left="567"/>
        <w:rPr>
          <w:rFonts w:cs="Arial"/>
          <w:lang w:val="en-GB" w:eastAsia="en-GB"/>
        </w:rPr>
      </w:pPr>
      <w:r w:rsidRPr="00957875">
        <w:rPr>
          <w:rFonts w:cs="Arial"/>
          <w:lang w:val="en-GB" w:eastAsia="en-GB"/>
        </w:rPr>
        <w:t xml:space="preserve">Statement II - Statement of Financial Performance </w:t>
      </w:r>
    </w:p>
    <w:p w:rsidR="006220DD" w:rsidRPr="00957875" w:rsidRDefault="006220DD" w:rsidP="002F4039">
      <w:pPr>
        <w:numPr>
          <w:ilvl w:val="1"/>
          <w:numId w:val="3"/>
        </w:numPr>
        <w:autoSpaceDE w:val="0"/>
        <w:autoSpaceDN w:val="0"/>
        <w:adjustRightInd w:val="0"/>
        <w:ind w:left="567"/>
        <w:rPr>
          <w:rFonts w:cs="Arial"/>
          <w:lang w:val="en-GB" w:eastAsia="en-GB"/>
        </w:rPr>
      </w:pPr>
      <w:r w:rsidRPr="00957875">
        <w:rPr>
          <w:rFonts w:cs="Arial"/>
          <w:lang w:val="en-GB" w:eastAsia="en-GB"/>
        </w:rPr>
        <w:t xml:space="preserve">Statement III - Statement of Changes in Net Assets </w:t>
      </w:r>
    </w:p>
    <w:p w:rsidR="006220DD" w:rsidRPr="00957875" w:rsidRDefault="006220DD" w:rsidP="002F4039">
      <w:pPr>
        <w:numPr>
          <w:ilvl w:val="1"/>
          <w:numId w:val="3"/>
        </w:numPr>
        <w:autoSpaceDE w:val="0"/>
        <w:autoSpaceDN w:val="0"/>
        <w:adjustRightInd w:val="0"/>
        <w:ind w:left="567"/>
        <w:rPr>
          <w:rFonts w:cs="Arial"/>
          <w:lang w:val="en-GB" w:eastAsia="en-GB"/>
        </w:rPr>
      </w:pPr>
      <w:r w:rsidRPr="00957875">
        <w:rPr>
          <w:rFonts w:cs="Arial"/>
          <w:lang w:val="en-GB" w:eastAsia="en-GB"/>
        </w:rPr>
        <w:t xml:space="preserve">Statement IV - Statement of Cash Flow </w:t>
      </w:r>
    </w:p>
    <w:p w:rsidR="006220DD" w:rsidRPr="00957875" w:rsidRDefault="006220DD" w:rsidP="002F4039">
      <w:pPr>
        <w:numPr>
          <w:ilvl w:val="1"/>
          <w:numId w:val="3"/>
        </w:numPr>
        <w:autoSpaceDE w:val="0"/>
        <w:autoSpaceDN w:val="0"/>
        <w:adjustRightInd w:val="0"/>
        <w:ind w:left="567"/>
        <w:rPr>
          <w:rFonts w:cs="Arial"/>
          <w:lang w:val="en-GB" w:eastAsia="en-GB"/>
        </w:rPr>
      </w:pPr>
      <w:r w:rsidRPr="00957875">
        <w:rPr>
          <w:rFonts w:cs="Arial"/>
          <w:lang w:val="en-GB" w:eastAsia="en-GB"/>
        </w:rPr>
        <w:t xml:space="preserve">Statement V - Statement of Comparison of Budget and Actual Amounts </w:t>
      </w:r>
    </w:p>
    <w:p w:rsidR="006220DD" w:rsidRPr="00957875" w:rsidRDefault="006220DD" w:rsidP="002F4039">
      <w:pPr>
        <w:numPr>
          <w:ilvl w:val="1"/>
          <w:numId w:val="3"/>
        </w:numPr>
        <w:autoSpaceDE w:val="0"/>
        <w:autoSpaceDN w:val="0"/>
        <w:adjustRightInd w:val="0"/>
        <w:ind w:left="567"/>
        <w:rPr>
          <w:rFonts w:cs="Arial"/>
          <w:lang w:val="en-GB" w:eastAsia="en-GB"/>
        </w:rPr>
      </w:pPr>
      <w:r w:rsidRPr="00957875">
        <w:rPr>
          <w:rFonts w:cs="Arial"/>
          <w:lang w:val="en-GB" w:eastAsia="en-GB"/>
        </w:rPr>
        <w:t xml:space="preserve">Notes to the Financial Statements </w:t>
      </w:r>
    </w:p>
    <w:p w:rsidR="006220DD" w:rsidRPr="00957875" w:rsidRDefault="006220DD" w:rsidP="006220DD">
      <w:pPr>
        <w:autoSpaceDE w:val="0"/>
        <w:autoSpaceDN w:val="0"/>
        <w:adjustRightInd w:val="0"/>
        <w:rPr>
          <w:rFonts w:cs="Arial"/>
          <w:lang w:val="en-GB" w:eastAsia="en-GB"/>
        </w:rPr>
      </w:pPr>
    </w:p>
    <w:p w:rsidR="006220DD" w:rsidRDefault="006220DD" w:rsidP="006220DD">
      <w:pPr>
        <w:autoSpaceDE w:val="0"/>
        <w:autoSpaceDN w:val="0"/>
        <w:adjustRightInd w:val="0"/>
        <w:rPr>
          <w:rFonts w:cs="Arial"/>
          <w:lang w:val="en-GB" w:eastAsia="en-GB"/>
        </w:rPr>
      </w:pPr>
      <w:r w:rsidRPr="00957875">
        <w:rPr>
          <w:rFonts w:cs="Arial"/>
          <w:lang w:val="en-GB" w:eastAsia="en-GB"/>
        </w:rPr>
        <w:t>In the Financial Management Report, Statements I-V are</w:t>
      </w:r>
      <w:r>
        <w:rPr>
          <w:rFonts w:cs="Arial"/>
          <w:lang w:val="en-GB" w:eastAsia="en-GB"/>
        </w:rPr>
        <w:t xml:space="preserve"> presented for the 2018</w:t>
      </w:r>
      <w:r w:rsidRPr="00957875">
        <w:rPr>
          <w:rFonts w:cs="Arial"/>
          <w:lang w:val="en-GB" w:eastAsia="en-GB"/>
        </w:rPr>
        <w:t>-20</w:t>
      </w:r>
      <w:r>
        <w:rPr>
          <w:rFonts w:cs="Arial"/>
          <w:lang w:val="en-GB" w:eastAsia="en-GB"/>
        </w:rPr>
        <w:t>19</w:t>
      </w:r>
      <w:r w:rsidRPr="00957875">
        <w:rPr>
          <w:rFonts w:cs="Arial"/>
          <w:lang w:val="en-GB" w:eastAsia="en-GB"/>
        </w:rPr>
        <w:t xml:space="preserve"> Biennium. Financial information is provided to give an understanding of the differences between the result of UPOV on a budgetary basis and the result according to the IPSAS financial statements. Other extracts from the annual financial statements provide further details of</w:t>
      </w:r>
      <w:r>
        <w:rPr>
          <w:rFonts w:cs="Arial"/>
          <w:lang w:val="en-GB" w:eastAsia="en-GB"/>
        </w:rPr>
        <w:t xml:space="preserve"> UPOV’s assets and liabilities.</w:t>
      </w:r>
    </w:p>
    <w:p w:rsidR="006220DD" w:rsidRDefault="006220DD" w:rsidP="006220DD">
      <w:pPr>
        <w:autoSpaceDE w:val="0"/>
        <w:autoSpaceDN w:val="0"/>
        <w:adjustRightInd w:val="0"/>
        <w:rPr>
          <w:rFonts w:cs="Arial"/>
          <w:lang w:val="en-GB" w:eastAsia="en-GB"/>
        </w:rPr>
      </w:pPr>
    </w:p>
    <w:p w:rsidR="006220DD" w:rsidRPr="00214425" w:rsidRDefault="006220DD" w:rsidP="006220DD">
      <w:pPr>
        <w:autoSpaceDE w:val="0"/>
        <w:autoSpaceDN w:val="0"/>
        <w:adjustRightInd w:val="0"/>
        <w:rPr>
          <w:rFonts w:cs="Arial"/>
          <w:lang w:eastAsia="en-GB"/>
        </w:rPr>
      </w:pPr>
    </w:p>
    <w:p w:rsidR="006220DD" w:rsidRPr="00957875" w:rsidRDefault="006220DD" w:rsidP="006220DD">
      <w:pPr>
        <w:autoSpaceDE w:val="0"/>
        <w:autoSpaceDN w:val="0"/>
        <w:adjustRightInd w:val="0"/>
        <w:rPr>
          <w:rFonts w:cs="Arial"/>
          <w:lang w:val="en-GB" w:eastAsia="en-GB"/>
        </w:rPr>
      </w:pPr>
    </w:p>
    <w:p w:rsidR="00576660" w:rsidRDefault="006220DD" w:rsidP="006220DD">
      <w:pPr>
        <w:jc w:val="left"/>
      </w:pPr>
      <w:r w:rsidRPr="00957875">
        <w:rPr>
          <w:lang w:val="en-GB" w:eastAsia="en-GB"/>
        </w:rPr>
        <w:br w:type="page"/>
      </w:r>
    </w:p>
    <w:p w:rsidR="006220DD" w:rsidRPr="00683089" w:rsidRDefault="006220DD" w:rsidP="00E17281">
      <w:pPr>
        <w:pStyle w:val="Heading2"/>
      </w:pPr>
      <w:bookmarkStart w:id="30" w:name="_Toc522808852"/>
      <w:bookmarkStart w:id="31" w:name="_Toc48833483"/>
      <w:r w:rsidRPr="00683089">
        <w:lastRenderedPageBreak/>
        <w:t>Statement I</w:t>
      </w:r>
      <w:r w:rsidRPr="00683089">
        <w:br/>
      </w:r>
      <w:r w:rsidRPr="00683089">
        <w:br/>
        <w:t>Statement of Financial Position</w:t>
      </w:r>
      <w:bookmarkEnd w:id="30"/>
      <w:bookmarkEnd w:id="31"/>
    </w:p>
    <w:p w:rsidR="006220DD" w:rsidRPr="000B6848" w:rsidRDefault="006220DD" w:rsidP="00E17281">
      <w:pPr>
        <w:pStyle w:val="Heading2"/>
      </w:pPr>
    </w:p>
    <w:p w:rsidR="006220DD" w:rsidRPr="00957875" w:rsidRDefault="006220DD" w:rsidP="006220DD">
      <w:pPr>
        <w:jc w:val="center"/>
        <w:rPr>
          <w:rFonts w:cs="Arial"/>
          <w:b/>
          <w:lang w:val="en-GB" w:eastAsia="en-GB"/>
        </w:rPr>
      </w:pPr>
      <w:r w:rsidRPr="00957875">
        <w:rPr>
          <w:rFonts w:cs="Arial"/>
          <w:b/>
          <w:lang w:val="en-GB" w:eastAsia="en-GB"/>
        </w:rPr>
        <w:t>a</w:t>
      </w:r>
      <w:r w:rsidR="001E6B5C">
        <w:rPr>
          <w:rFonts w:cs="Arial"/>
          <w:b/>
          <w:lang w:val="en-GB" w:eastAsia="en-GB"/>
        </w:rPr>
        <w:t>s at December 31, 2019</w:t>
      </w:r>
    </w:p>
    <w:p w:rsidR="006220DD" w:rsidRPr="00957875" w:rsidRDefault="006220DD" w:rsidP="006220DD">
      <w:pPr>
        <w:jc w:val="center"/>
        <w:rPr>
          <w:rFonts w:cs="Arial"/>
          <w:i/>
        </w:rPr>
      </w:pPr>
      <w:r w:rsidRPr="00957875">
        <w:rPr>
          <w:rFonts w:cs="Arial"/>
          <w:i/>
        </w:rPr>
        <w:t>(in</w:t>
      </w:r>
      <w:r w:rsidR="00F5247E">
        <w:rPr>
          <w:rFonts w:cs="Arial"/>
          <w:i/>
        </w:rPr>
        <w:t> Swiss francs</w:t>
      </w:r>
      <w:r w:rsidRPr="00957875">
        <w:rPr>
          <w:rFonts w:cs="Arial"/>
          <w:i/>
        </w:rPr>
        <w:t xml:space="preserve">) </w:t>
      </w:r>
    </w:p>
    <w:p w:rsidR="006220DD" w:rsidRPr="00957875" w:rsidRDefault="006220DD" w:rsidP="006220DD">
      <w:pPr>
        <w:spacing w:line="276" w:lineRule="auto"/>
        <w:jc w:val="center"/>
        <w:rPr>
          <w:rFonts w:cs="Arial"/>
          <w:b/>
        </w:rPr>
      </w:pPr>
    </w:p>
    <w:p w:rsidR="006220DD" w:rsidRPr="00957875" w:rsidRDefault="001E6B5C" w:rsidP="006220DD">
      <w:pPr>
        <w:spacing w:line="276" w:lineRule="auto"/>
        <w:jc w:val="center"/>
        <w:rPr>
          <w:rFonts w:cs="Arial"/>
          <w:b/>
        </w:rPr>
      </w:pPr>
      <w:r w:rsidRPr="001E6B5C">
        <w:rPr>
          <w:noProof/>
        </w:rPr>
        <w:drawing>
          <wp:inline distT="0" distB="0" distL="0" distR="0">
            <wp:extent cx="6120765" cy="57382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5738217"/>
                    </a:xfrm>
                    <a:prstGeom prst="rect">
                      <a:avLst/>
                    </a:prstGeom>
                    <a:noFill/>
                    <a:ln>
                      <a:noFill/>
                    </a:ln>
                  </pic:spPr>
                </pic:pic>
              </a:graphicData>
            </a:graphic>
          </wp:inline>
        </w:drawing>
      </w:r>
    </w:p>
    <w:p w:rsidR="006220DD" w:rsidRPr="00957875" w:rsidRDefault="006220DD" w:rsidP="006220DD">
      <w:pPr>
        <w:spacing w:line="276" w:lineRule="auto"/>
        <w:jc w:val="center"/>
        <w:rPr>
          <w:rFonts w:cs="Arial"/>
          <w:b/>
        </w:rPr>
      </w:pPr>
    </w:p>
    <w:p w:rsidR="001E6B5C" w:rsidRPr="00683089" w:rsidRDefault="006220DD" w:rsidP="00E17281">
      <w:pPr>
        <w:pStyle w:val="Heading2"/>
      </w:pPr>
      <w:r w:rsidRPr="00957875">
        <w:br w:type="page"/>
      </w:r>
      <w:bookmarkStart w:id="32" w:name="_Toc522808853"/>
      <w:bookmarkStart w:id="33" w:name="_Toc48833484"/>
      <w:r w:rsidR="001E6B5C" w:rsidRPr="00683089">
        <w:lastRenderedPageBreak/>
        <w:t>Statement II</w:t>
      </w:r>
      <w:r w:rsidR="001E6B5C" w:rsidRPr="00683089">
        <w:br/>
      </w:r>
      <w:r w:rsidR="001E6B5C" w:rsidRPr="00683089">
        <w:br/>
        <w:t>Statement of Financial Performance</w:t>
      </w:r>
      <w:bookmarkEnd w:id="32"/>
      <w:bookmarkEnd w:id="33"/>
    </w:p>
    <w:p w:rsidR="001E6B5C" w:rsidRDefault="001E6B5C" w:rsidP="001E6B5C">
      <w:pPr>
        <w:jc w:val="center"/>
        <w:rPr>
          <w:rFonts w:cs="Arial"/>
          <w:b/>
          <w:lang w:val="en-GB" w:eastAsia="en-GB"/>
        </w:rPr>
      </w:pPr>
    </w:p>
    <w:p w:rsidR="001E6B5C" w:rsidRPr="00957875" w:rsidRDefault="001E6B5C" w:rsidP="001E6B5C">
      <w:pPr>
        <w:jc w:val="center"/>
        <w:rPr>
          <w:rFonts w:cs="Arial"/>
          <w:b/>
          <w:lang w:val="en-GB" w:eastAsia="en-GB"/>
        </w:rPr>
      </w:pPr>
      <w:r w:rsidRPr="00957875">
        <w:rPr>
          <w:rFonts w:cs="Arial"/>
          <w:b/>
          <w:lang w:val="en-GB" w:eastAsia="en-GB"/>
        </w:rPr>
        <w:t>for the Biennium ended</w:t>
      </w:r>
      <w:r>
        <w:rPr>
          <w:rFonts w:cs="Arial"/>
          <w:b/>
          <w:lang w:val="en-GB" w:eastAsia="en-GB"/>
        </w:rPr>
        <w:t xml:space="preserve"> December 31, 2019</w:t>
      </w:r>
    </w:p>
    <w:p w:rsidR="001E6B5C" w:rsidRPr="00957875" w:rsidRDefault="001E6B5C" w:rsidP="001E6B5C">
      <w:pPr>
        <w:jc w:val="center"/>
        <w:rPr>
          <w:rFonts w:cs="Arial"/>
          <w:i/>
        </w:rPr>
      </w:pPr>
      <w:r w:rsidRPr="00957875">
        <w:rPr>
          <w:rFonts w:cs="Arial"/>
          <w:i/>
        </w:rPr>
        <w:t>(in</w:t>
      </w:r>
      <w:r w:rsidR="00F5247E">
        <w:rPr>
          <w:rFonts w:cs="Arial"/>
          <w:i/>
        </w:rPr>
        <w:t> Swiss francs</w:t>
      </w:r>
      <w:r w:rsidRPr="00957875">
        <w:rPr>
          <w:rFonts w:cs="Arial"/>
          <w:i/>
        </w:rPr>
        <w:t xml:space="preserve">) </w:t>
      </w:r>
    </w:p>
    <w:p w:rsidR="001E6B5C" w:rsidRPr="00957875" w:rsidRDefault="001E6B5C" w:rsidP="001E6B5C">
      <w:pPr>
        <w:jc w:val="center"/>
        <w:rPr>
          <w:rFonts w:cs="Arial"/>
          <w:b/>
        </w:rPr>
      </w:pPr>
    </w:p>
    <w:p w:rsidR="001E6B5C" w:rsidRPr="00957875" w:rsidRDefault="001E6B5C" w:rsidP="001E6B5C">
      <w:pPr>
        <w:spacing w:line="276" w:lineRule="auto"/>
        <w:jc w:val="center"/>
        <w:rPr>
          <w:rFonts w:cs="Arial"/>
          <w:b/>
        </w:rPr>
      </w:pPr>
      <w:r w:rsidRPr="001E6B5C">
        <w:rPr>
          <w:noProof/>
        </w:rPr>
        <w:drawing>
          <wp:inline distT="0" distB="0" distL="0" distR="0">
            <wp:extent cx="6088380" cy="3543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8380" cy="3543300"/>
                    </a:xfrm>
                    <a:prstGeom prst="rect">
                      <a:avLst/>
                    </a:prstGeom>
                    <a:noFill/>
                    <a:ln>
                      <a:noFill/>
                    </a:ln>
                  </pic:spPr>
                </pic:pic>
              </a:graphicData>
            </a:graphic>
          </wp:inline>
        </w:drawing>
      </w:r>
    </w:p>
    <w:p w:rsidR="001E6B5C" w:rsidRPr="00957875" w:rsidRDefault="001E6B5C" w:rsidP="001E6B5C">
      <w:pPr>
        <w:spacing w:line="276" w:lineRule="auto"/>
        <w:jc w:val="center"/>
        <w:rPr>
          <w:rFonts w:cs="Arial"/>
          <w:b/>
        </w:rPr>
      </w:pPr>
    </w:p>
    <w:p w:rsidR="001E6B5C" w:rsidRPr="00683089" w:rsidRDefault="001E6B5C" w:rsidP="00E17281">
      <w:pPr>
        <w:pStyle w:val="Heading2"/>
      </w:pPr>
      <w:r w:rsidRPr="00957875">
        <w:br w:type="page"/>
      </w:r>
      <w:bookmarkStart w:id="34" w:name="_Toc522808854"/>
      <w:bookmarkStart w:id="35" w:name="_Toc48833485"/>
      <w:r w:rsidRPr="00683089">
        <w:lastRenderedPageBreak/>
        <w:t>Statement III</w:t>
      </w:r>
      <w:r>
        <w:br/>
      </w:r>
      <w:r>
        <w:br/>
      </w:r>
      <w:r w:rsidRPr="00683089">
        <w:t>Statement of Changes in Net Assets</w:t>
      </w:r>
      <w:bookmarkEnd w:id="34"/>
      <w:bookmarkEnd w:id="35"/>
    </w:p>
    <w:p w:rsidR="001E6B5C" w:rsidRDefault="001E6B5C" w:rsidP="001E6B5C">
      <w:pPr>
        <w:jc w:val="center"/>
        <w:rPr>
          <w:rFonts w:cs="Arial"/>
          <w:b/>
          <w:lang w:val="en-GB" w:eastAsia="en-GB"/>
        </w:rPr>
      </w:pPr>
    </w:p>
    <w:p w:rsidR="001E6B5C" w:rsidRDefault="001E6B5C" w:rsidP="001E6B5C">
      <w:pPr>
        <w:jc w:val="center"/>
        <w:rPr>
          <w:rFonts w:cs="Arial"/>
          <w:b/>
          <w:lang w:val="en-GB" w:eastAsia="en-GB"/>
        </w:rPr>
      </w:pPr>
      <w:r w:rsidRPr="00957875">
        <w:rPr>
          <w:rFonts w:cs="Arial"/>
          <w:b/>
          <w:lang w:val="en-GB" w:eastAsia="en-GB"/>
        </w:rPr>
        <w:t>for the Biennium ended December 31,</w:t>
      </w:r>
      <w:r>
        <w:rPr>
          <w:rFonts w:cs="Arial"/>
          <w:b/>
          <w:lang w:val="en-GB" w:eastAsia="en-GB"/>
        </w:rPr>
        <w:t xml:space="preserve"> 2019</w:t>
      </w:r>
    </w:p>
    <w:p w:rsidR="001E6B5C" w:rsidRPr="00957875" w:rsidRDefault="001E6B5C" w:rsidP="001E6B5C">
      <w:pPr>
        <w:jc w:val="center"/>
        <w:rPr>
          <w:rFonts w:cs="Arial"/>
          <w:b/>
          <w:lang w:val="en-GB" w:eastAsia="en-GB"/>
        </w:rPr>
      </w:pPr>
    </w:p>
    <w:p w:rsidR="001E6B5C" w:rsidRPr="00957875" w:rsidRDefault="001E6B5C" w:rsidP="001E6B5C">
      <w:pPr>
        <w:jc w:val="center"/>
        <w:rPr>
          <w:rFonts w:cs="Arial"/>
          <w:i/>
        </w:rPr>
      </w:pPr>
      <w:r w:rsidRPr="00957875">
        <w:rPr>
          <w:rFonts w:cs="Arial"/>
          <w:i/>
        </w:rPr>
        <w:t>(in</w:t>
      </w:r>
      <w:r w:rsidR="00F5247E">
        <w:rPr>
          <w:rFonts w:cs="Arial"/>
          <w:i/>
        </w:rPr>
        <w:t> Swiss francs</w:t>
      </w:r>
      <w:r w:rsidRPr="00957875">
        <w:rPr>
          <w:rFonts w:cs="Arial"/>
          <w:i/>
        </w:rPr>
        <w:t xml:space="preserve">) </w:t>
      </w:r>
    </w:p>
    <w:p w:rsidR="001E6B5C" w:rsidRPr="00957875" w:rsidRDefault="001E6B5C" w:rsidP="001E6B5C">
      <w:pPr>
        <w:jc w:val="center"/>
        <w:rPr>
          <w:rFonts w:cs="Arial"/>
          <w:b/>
        </w:rPr>
      </w:pPr>
    </w:p>
    <w:p w:rsidR="001E6B5C" w:rsidRPr="00957875" w:rsidRDefault="001E6B5C" w:rsidP="001E6B5C">
      <w:pPr>
        <w:spacing w:line="276" w:lineRule="auto"/>
        <w:jc w:val="center"/>
        <w:rPr>
          <w:rFonts w:cs="Arial"/>
          <w:b/>
        </w:rPr>
      </w:pPr>
      <w:r w:rsidRPr="001E6B5C">
        <w:rPr>
          <w:noProof/>
        </w:rPr>
        <w:drawing>
          <wp:inline distT="0" distB="0" distL="0" distR="0">
            <wp:extent cx="6120765" cy="39549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954956"/>
                    </a:xfrm>
                    <a:prstGeom prst="rect">
                      <a:avLst/>
                    </a:prstGeom>
                    <a:noFill/>
                    <a:ln>
                      <a:noFill/>
                    </a:ln>
                  </pic:spPr>
                </pic:pic>
              </a:graphicData>
            </a:graphic>
          </wp:inline>
        </w:drawing>
      </w:r>
    </w:p>
    <w:p w:rsidR="001E6B5C" w:rsidRPr="00957875" w:rsidRDefault="001E6B5C" w:rsidP="001E6B5C">
      <w:pPr>
        <w:spacing w:line="276" w:lineRule="auto"/>
        <w:jc w:val="center"/>
        <w:rPr>
          <w:rFonts w:cs="Arial"/>
          <w:b/>
        </w:rPr>
      </w:pPr>
    </w:p>
    <w:p w:rsidR="001E6B5C" w:rsidRPr="00957875" w:rsidRDefault="001E6B5C" w:rsidP="001E6B5C">
      <w:pPr>
        <w:spacing w:line="276" w:lineRule="auto"/>
        <w:jc w:val="center"/>
        <w:rPr>
          <w:rFonts w:cs="Arial"/>
        </w:rPr>
      </w:pPr>
    </w:p>
    <w:p w:rsidR="001E6B5C" w:rsidRPr="00683089" w:rsidRDefault="001E6B5C" w:rsidP="00E17281">
      <w:pPr>
        <w:pStyle w:val="Heading2"/>
      </w:pPr>
      <w:r w:rsidRPr="00957875">
        <w:br w:type="page"/>
      </w:r>
      <w:bookmarkStart w:id="36" w:name="_Toc522808855"/>
      <w:bookmarkStart w:id="37" w:name="_Toc48833486"/>
      <w:r w:rsidRPr="00683089">
        <w:lastRenderedPageBreak/>
        <w:t>Statement IV</w:t>
      </w:r>
      <w:r>
        <w:br/>
      </w:r>
      <w:r>
        <w:br/>
      </w:r>
      <w:r w:rsidRPr="00683089">
        <w:t>Statement of Cash Flow</w:t>
      </w:r>
      <w:bookmarkEnd w:id="36"/>
      <w:bookmarkEnd w:id="37"/>
    </w:p>
    <w:p w:rsidR="001E6B5C" w:rsidRDefault="001E6B5C" w:rsidP="001E6B5C">
      <w:pPr>
        <w:spacing w:line="276" w:lineRule="auto"/>
        <w:jc w:val="center"/>
        <w:rPr>
          <w:rFonts w:cs="Arial"/>
          <w:b/>
          <w:lang w:val="en-GB" w:eastAsia="en-GB"/>
        </w:rPr>
      </w:pPr>
    </w:p>
    <w:p w:rsidR="001E6B5C" w:rsidRPr="00957875" w:rsidRDefault="001E6B5C" w:rsidP="001E6B5C">
      <w:pPr>
        <w:spacing w:line="276" w:lineRule="auto"/>
        <w:jc w:val="center"/>
        <w:rPr>
          <w:rFonts w:cs="Arial"/>
          <w:b/>
          <w:lang w:val="en-GB" w:eastAsia="en-GB"/>
        </w:rPr>
      </w:pPr>
      <w:r w:rsidRPr="00957875">
        <w:rPr>
          <w:rFonts w:cs="Arial"/>
          <w:b/>
          <w:lang w:val="en-GB" w:eastAsia="en-GB"/>
        </w:rPr>
        <w:t>for the Biennium ended</w:t>
      </w:r>
      <w:r>
        <w:rPr>
          <w:rFonts w:cs="Arial"/>
          <w:b/>
          <w:lang w:val="en-GB" w:eastAsia="en-GB"/>
        </w:rPr>
        <w:t xml:space="preserve"> December 31, 2019</w:t>
      </w:r>
    </w:p>
    <w:p w:rsidR="001E6B5C" w:rsidRPr="00957875" w:rsidRDefault="001E6B5C" w:rsidP="001E6B5C">
      <w:pPr>
        <w:spacing w:line="276" w:lineRule="auto"/>
        <w:jc w:val="center"/>
        <w:rPr>
          <w:rFonts w:cs="Arial"/>
          <w:i/>
        </w:rPr>
      </w:pPr>
      <w:r w:rsidRPr="00957875">
        <w:rPr>
          <w:rFonts w:cs="Arial"/>
          <w:i/>
        </w:rPr>
        <w:t>(in</w:t>
      </w:r>
      <w:r w:rsidR="00F5247E">
        <w:rPr>
          <w:rFonts w:cs="Arial"/>
          <w:i/>
        </w:rPr>
        <w:t> Swiss francs</w:t>
      </w:r>
      <w:r w:rsidRPr="00957875">
        <w:rPr>
          <w:rFonts w:cs="Arial"/>
          <w:i/>
        </w:rPr>
        <w:t xml:space="preserve">) </w:t>
      </w:r>
    </w:p>
    <w:p w:rsidR="001E6B5C" w:rsidRPr="00957875" w:rsidRDefault="001E6B5C" w:rsidP="001E6B5C">
      <w:pPr>
        <w:spacing w:line="276" w:lineRule="auto"/>
        <w:jc w:val="center"/>
        <w:rPr>
          <w:rFonts w:cs="Arial"/>
          <w:b/>
        </w:rPr>
      </w:pPr>
    </w:p>
    <w:p w:rsidR="001E6B5C" w:rsidRPr="00957875" w:rsidRDefault="001E6B5C" w:rsidP="001E6B5C">
      <w:pPr>
        <w:spacing w:line="276" w:lineRule="auto"/>
        <w:jc w:val="center"/>
        <w:rPr>
          <w:rFonts w:cs="Arial"/>
          <w:b/>
        </w:rPr>
      </w:pPr>
      <w:r w:rsidRPr="001E6B5C">
        <w:rPr>
          <w:noProof/>
        </w:rPr>
        <w:drawing>
          <wp:inline distT="0" distB="0" distL="0" distR="0">
            <wp:extent cx="6120765" cy="39522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3952223"/>
                    </a:xfrm>
                    <a:prstGeom prst="rect">
                      <a:avLst/>
                    </a:prstGeom>
                    <a:noFill/>
                    <a:ln>
                      <a:noFill/>
                    </a:ln>
                  </pic:spPr>
                </pic:pic>
              </a:graphicData>
            </a:graphic>
          </wp:inline>
        </w:drawing>
      </w:r>
    </w:p>
    <w:p w:rsidR="001E6B5C" w:rsidRPr="00957875" w:rsidRDefault="001E6B5C" w:rsidP="001E6B5C">
      <w:pPr>
        <w:spacing w:line="276" w:lineRule="auto"/>
        <w:jc w:val="center"/>
        <w:rPr>
          <w:rFonts w:cs="Arial"/>
        </w:rPr>
      </w:pPr>
    </w:p>
    <w:p w:rsidR="001E6B5C" w:rsidRPr="00957875" w:rsidRDefault="001E6B5C" w:rsidP="001E6B5C">
      <w:pPr>
        <w:spacing w:line="276" w:lineRule="auto"/>
        <w:jc w:val="center"/>
        <w:rPr>
          <w:rFonts w:cs="Arial"/>
        </w:rPr>
      </w:pPr>
    </w:p>
    <w:p w:rsidR="001E6B5C" w:rsidRPr="00683089" w:rsidRDefault="001E6B5C" w:rsidP="00E17281">
      <w:pPr>
        <w:pStyle w:val="Heading2"/>
      </w:pPr>
      <w:r w:rsidRPr="00957875">
        <w:br w:type="page"/>
      </w:r>
      <w:bookmarkStart w:id="38" w:name="_Toc522808856"/>
      <w:bookmarkStart w:id="39" w:name="_Toc48833487"/>
      <w:r w:rsidRPr="00683089">
        <w:lastRenderedPageBreak/>
        <w:t>Statement V</w:t>
      </w:r>
      <w:r>
        <w:br/>
      </w:r>
      <w:r>
        <w:br/>
      </w:r>
      <w:r w:rsidRPr="00683089">
        <w:t>Statement of Comparison of Budget and Actual Amounts</w:t>
      </w:r>
      <w:bookmarkEnd w:id="38"/>
      <w:bookmarkEnd w:id="39"/>
    </w:p>
    <w:p w:rsidR="001E6B5C" w:rsidRDefault="001E6B5C" w:rsidP="00E17281">
      <w:pPr>
        <w:pStyle w:val="Heading2"/>
        <w:rPr>
          <w:lang w:val="en-GB" w:eastAsia="en-GB"/>
        </w:rPr>
      </w:pPr>
    </w:p>
    <w:p w:rsidR="001E6B5C" w:rsidRPr="00957875" w:rsidRDefault="001E6B5C" w:rsidP="001E6B5C">
      <w:pPr>
        <w:jc w:val="center"/>
        <w:rPr>
          <w:rFonts w:cs="Arial"/>
          <w:b/>
          <w:lang w:val="en-GB" w:eastAsia="en-GB"/>
        </w:rPr>
      </w:pPr>
      <w:r w:rsidRPr="00957875">
        <w:rPr>
          <w:rFonts w:cs="Arial"/>
          <w:b/>
          <w:lang w:val="en-GB" w:eastAsia="en-GB"/>
        </w:rPr>
        <w:t>for the Biennium ended</w:t>
      </w:r>
      <w:r>
        <w:rPr>
          <w:rFonts w:cs="Arial"/>
          <w:b/>
          <w:lang w:val="en-GB" w:eastAsia="en-GB"/>
        </w:rPr>
        <w:t xml:space="preserve"> December 31, 2019</w:t>
      </w:r>
    </w:p>
    <w:p w:rsidR="001E6B5C" w:rsidRPr="00957875" w:rsidRDefault="001E6B5C" w:rsidP="001E6B5C">
      <w:pPr>
        <w:spacing w:line="276" w:lineRule="auto"/>
        <w:jc w:val="center"/>
        <w:rPr>
          <w:rFonts w:cs="Arial"/>
          <w:i/>
        </w:rPr>
      </w:pPr>
      <w:r w:rsidRPr="00957875">
        <w:rPr>
          <w:rFonts w:cs="Arial"/>
          <w:i/>
        </w:rPr>
        <w:t>(in thousands of</w:t>
      </w:r>
      <w:r w:rsidR="00F5247E">
        <w:rPr>
          <w:rFonts w:cs="Arial"/>
          <w:i/>
        </w:rPr>
        <w:t> Swiss francs</w:t>
      </w:r>
      <w:r w:rsidRPr="00957875">
        <w:rPr>
          <w:rFonts w:cs="Arial"/>
          <w:i/>
        </w:rPr>
        <w:t>)</w:t>
      </w:r>
    </w:p>
    <w:p w:rsidR="001E6B5C" w:rsidRPr="00957875" w:rsidRDefault="001E6B5C" w:rsidP="001E6B5C">
      <w:pPr>
        <w:spacing w:line="276" w:lineRule="auto"/>
        <w:jc w:val="center"/>
        <w:rPr>
          <w:rFonts w:cs="Arial"/>
        </w:rPr>
      </w:pPr>
    </w:p>
    <w:p w:rsidR="001E6B5C" w:rsidRPr="00957875" w:rsidRDefault="00055C7E" w:rsidP="001E6B5C">
      <w:pPr>
        <w:spacing w:line="276" w:lineRule="auto"/>
        <w:jc w:val="center"/>
        <w:rPr>
          <w:rFonts w:cs="Arial"/>
        </w:rPr>
      </w:pPr>
      <w:r w:rsidRPr="00055C7E">
        <w:rPr>
          <w:noProof/>
        </w:rPr>
        <w:drawing>
          <wp:inline distT="0" distB="0" distL="0" distR="0">
            <wp:extent cx="5852160" cy="4823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2160" cy="4823460"/>
                    </a:xfrm>
                    <a:prstGeom prst="rect">
                      <a:avLst/>
                    </a:prstGeom>
                    <a:noFill/>
                    <a:ln>
                      <a:noFill/>
                    </a:ln>
                  </pic:spPr>
                </pic:pic>
              </a:graphicData>
            </a:graphic>
          </wp:inline>
        </w:drawing>
      </w:r>
    </w:p>
    <w:p w:rsidR="001E6B5C" w:rsidRPr="00957875" w:rsidRDefault="001E6B5C" w:rsidP="001E6B5C">
      <w:pPr>
        <w:rPr>
          <w:rFonts w:cs="Arial"/>
        </w:rPr>
      </w:pPr>
    </w:p>
    <w:p w:rsidR="001E6B5C" w:rsidRPr="00957875" w:rsidRDefault="001E6B5C" w:rsidP="001E6B5C">
      <w:pPr>
        <w:numPr>
          <w:ilvl w:val="0"/>
          <w:numId w:val="4"/>
        </w:numPr>
        <w:rPr>
          <w:rFonts w:cs="Arial"/>
          <w:sz w:val="18"/>
          <w:szCs w:val="18"/>
        </w:rPr>
      </w:pPr>
      <w:r w:rsidRPr="00957875">
        <w:rPr>
          <w:rFonts w:cs="Arial"/>
          <w:sz w:val="18"/>
          <w:szCs w:val="18"/>
        </w:rPr>
        <w:t>represents the</w:t>
      </w:r>
      <w:r>
        <w:rPr>
          <w:rFonts w:cs="Arial"/>
          <w:sz w:val="18"/>
          <w:szCs w:val="18"/>
        </w:rPr>
        <w:t xml:space="preserve"> approved 2018-2019</w:t>
      </w:r>
      <w:r w:rsidRPr="00957875">
        <w:rPr>
          <w:rFonts w:cs="Arial"/>
          <w:sz w:val="18"/>
          <w:szCs w:val="18"/>
        </w:rPr>
        <w:t xml:space="preserve"> </w:t>
      </w:r>
      <w:r>
        <w:rPr>
          <w:rFonts w:cs="Arial"/>
          <w:sz w:val="18"/>
          <w:szCs w:val="18"/>
        </w:rPr>
        <w:t xml:space="preserve">Program and </w:t>
      </w:r>
      <w:r w:rsidRPr="00957875">
        <w:rPr>
          <w:rFonts w:cs="Arial"/>
          <w:sz w:val="18"/>
          <w:szCs w:val="18"/>
        </w:rPr>
        <w:t>Budget;</w:t>
      </w:r>
    </w:p>
    <w:p w:rsidR="001E6B5C" w:rsidRPr="00957875" w:rsidRDefault="001E6B5C" w:rsidP="001E6B5C">
      <w:pPr>
        <w:numPr>
          <w:ilvl w:val="0"/>
          <w:numId w:val="4"/>
        </w:numPr>
        <w:rPr>
          <w:rFonts w:cs="Arial"/>
          <w:sz w:val="18"/>
          <w:szCs w:val="18"/>
        </w:rPr>
      </w:pPr>
      <w:r w:rsidRPr="00957875">
        <w:rPr>
          <w:rFonts w:cs="Arial"/>
          <w:sz w:val="18"/>
          <w:szCs w:val="18"/>
        </w:rPr>
        <w:t>represents the difference between the final (revised) budget and actual expense on a comparable basis</w:t>
      </w:r>
      <w:r>
        <w:rPr>
          <w:rFonts w:cs="Arial"/>
          <w:sz w:val="18"/>
          <w:szCs w:val="18"/>
        </w:rPr>
        <w:t xml:space="preserve"> (before IPSAS adjustments).</w:t>
      </w:r>
    </w:p>
    <w:p w:rsidR="00DE67C2" w:rsidRPr="00155678" w:rsidRDefault="001E6B5C" w:rsidP="00E17281">
      <w:pPr>
        <w:pStyle w:val="Heading2"/>
      </w:pPr>
      <w:r w:rsidRPr="00957875">
        <w:br w:type="page"/>
      </w:r>
      <w:bookmarkStart w:id="40" w:name="_Toc522808857"/>
      <w:bookmarkStart w:id="41" w:name="_Toc48833488"/>
      <w:r w:rsidR="00DE67C2" w:rsidRPr="00155678">
        <w:lastRenderedPageBreak/>
        <w:t>Analysis of the Statement of Financial Position</w:t>
      </w:r>
      <w:bookmarkEnd w:id="40"/>
      <w:bookmarkEnd w:id="41"/>
    </w:p>
    <w:p w:rsidR="00DE67C2" w:rsidRDefault="00DE67C2" w:rsidP="00E17281">
      <w:pPr>
        <w:pStyle w:val="Heading2"/>
        <w:rPr>
          <w:lang w:val="en-GB" w:eastAsia="en-GB"/>
        </w:rPr>
      </w:pPr>
    </w:p>
    <w:p w:rsidR="00DE67C2" w:rsidRPr="00957875" w:rsidRDefault="00DE67C2" w:rsidP="00DE67C2">
      <w:pPr>
        <w:autoSpaceDE w:val="0"/>
        <w:autoSpaceDN w:val="0"/>
        <w:adjustRightInd w:val="0"/>
        <w:rPr>
          <w:rFonts w:cs="Arial"/>
          <w:lang w:val="en-GB" w:eastAsia="en-GB"/>
        </w:rPr>
      </w:pPr>
      <w:r w:rsidRPr="00957875">
        <w:rPr>
          <w:rFonts w:cs="Arial"/>
          <w:b/>
          <w:bCs/>
          <w:lang w:val="en-GB" w:eastAsia="en-GB"/>
        </w:rPr>
        <w:t>Movement in Net Assets</w:t>
      </w:r>
    </w:p>
    <w:p w:rsidR="00DE67C2" w:rsidRPr="00957875" w:rsidRDefault="00DE67C2" w:rsidP="00DE67C2">
      <w:pPr>
        <w:rPr>
          <w:rFonts w:cs="Arial"/>
          <w:lang w:val="en-GB" w:eastAsia="en-GB"/>
        </w:rPr>
      </w:pPr>
    </w:p>
    <w:p w:rsidR="00DE67C2" w:rsidRPr="00957875" w:rsidRDefault="00DE67C2" w:rsidP="00DE67C2">
      <w:pPr>
        <w:rPr>
          <w:rFonts w:cs="Arial"/>
          <w:lang w:val="en-GB" w:eastAsia="en-GB"/>
        </w:rPr>
      </w:pPr>
      <w:r w:rsidRPr="00957875">
        <w:rPr>
          <w:rFonts w:cs="Arial"/>
          <w:lang w:val="en-GB" w:eastAsia="en-GB"/>
        </w:rPr>
        <w:t xml:space="preserve">As </w:t>
      </w:r>
      <w:r>
        <w:rPr>
          <w:rFonts w:cs="Arial"/>
          <w:lang w:val="en-GB" w:eastAsia="en-GB"/>
        </w:rPr>
        <w:t>at December 31, 2019</w:t>
      </w:r>
      <w:r w:rsidRPr="00957875">
        <w:rPr>
          <w:rFonts w:cs="Arial"/>
          <w:lang w:val="en-GB" w:eastAsia="en-GB"/>
        </w:rPr>
        <w:t>, UPOV has net a</w:t>
      </w:r>
      <w:r>
        <w:rPr>
          <w:rFonts w:cs="Arial"/>
          <w:lang w:val="en-GB" w:eastAsia="en-GB"/>
        </w:rPr>
        <w:t>ss</w:t>
      </w:r>
      <w:r w:rsidR="001C4587">
        <w:rPr>
          <w:rFonts w:cs="Arial"/>
          <w:lang w:val="en-GB" w:eastAsia="en-GB"/>
        </w:rPr>
        <w:t>ets on an IPSAS basis of 896,830</w:t>
      </w:r>
      <w:r w:rsidR="00F5247E">
        <w:rPr>
          <w:rFonts w:cs="Arial"/>
          <w:lang w:val="en-GB" w:eastAsia="en-GB"/>
        </w:rPr>
        <w:t> Swiss francs</w:t>
      </w:r>
      <w:r w:rsidRPr="00957875">
        <w:rPr>
          <w:rFonts w:cs="Arial"/>
          <w:lang w:val="en-GB" w:eastAsia="en-GB"/>
        </w:rPr>
        <w:t>.</w:t>
      </w:r>
      <w:r>
        <w:rPr>
          <w:rFonts w:cs="Arial"/>
          <w:lang w:val="en-GB" w:eastAsia="en-GB"/>
        </w:rPr>
        <w:t xml:space="preserve"> Betwee</w:t>
      </w:r>
      <w:r w:rsidR="00B03EC4">
        <w:rPr>
          <w:rFonts w:cs="Arial"/>
          <w:lang w:val="en-GB" w:eastAsia="en-GB"/>
        </w:rPr>
        <w:t>n 2017 and 2019, net assets in</w:t>
      </w:r>
      <w:r>
        <w:rPr>
          <w:rFonts w:cs="Arial"/>
          <w:lang w:val="en-GB" w:eastAsia="en-GB"/>
        </w:rPr>
        <w:t>creased</w:t>
      </w:r>
      <w:r w:rsidR="00B03EC4">
        <w:rPr>
          <w:rFonts w:cs="Arial"/>
          <w:lang w:val="en-GB" w:eastAsia="en-GB"/>
        </w:rPr>
        <w:t xml:space="preserve"> by 266,775</w:t>
      </w:r>
      <w:r w:rsidR="00F5247E">
        <w:rPr>
          <w:rFonts w:cs="Arial"/>
          <w:lang w:val="en-GB" w:eastAsia="en-GB"/>
        </w:rPr>
        <w:t> Swiss francs</w:t>
      </w:r>
      <w:r w:rsidR="00B03EC4">
        <w:rPr>
          <w:rFonts w:cs="Arial"/>
          <w:lang w:val="en-GB" w:eastAsia="en-GB"/>
        </w:rPr>
        <w:t>. This was mainly</w:t>
      </w:r>
      <w:r w:rsidR="00912FBE">
        <w:rPr>
          <w:rFonts w:cs="Arial"/>
          <w:lang w:val="en-GB" w:eastAsia="en-GB"/>
        </w:rPr>
        <w:t xml:space="preserve"> attributable</w:t>
      </w:r>
      <w:r>
        <w:rPr>
          <w:rFonts w:cs="Arial"/>
          <w:lang w:val="en-GB" w:eastAsia="en-GB"/>
        </w:rPr>
        <w:t xml:space="preserve"> t</w:t>
      </w:r>
      <w:r w:rsidR="00B03EC4">
        <w:rPr>
          <w:rFonts w:cs="Arial"/>
          <w:lang w:val="en-GB" w:eastAsia="en-GB"/>
        </w:rPr>
        <w:t>o the impact of actuarial gains</w:t>
      </w:r>
      <w:r>
        <w:rPr>
          <w:rFonts w:cs="Arial"/>
          <w:lang w:val="en-GB" w:eastAsia="en-GB"/>
        </w:rPr>
        <w:t xml:space="preserve"> from the ASHI valuation</w:t>
      </w:r>
      <w:r w:rsidR="00B03EC4">
        <w:rPr>
          <w:rFonts w:cs="Arial"/>
          <w:lang w:val="en-GB" w:eastAsia="en-GB"/>
        </w:rPr>
        <w:t>, which were partly offset</w:t>
      </w:r>
      <w:r w:rsidR="001C4587">
        <w:rPr>
          <w:rFonts w:cs="Arial"/>
          <w:lang w:val="en-GB" w:eastAsia="en-GB"/>
        </w:rPr>
        <w:t xml:space="preserve"> by</w:t>
      </w:r>
      <w:r w:rsidR="00B03EC4">
        <w:rPr>
          <w:rFonts w:cs="Arial"/>
          <w:lang w:val="en-GB" w:eastAsia="en-GB"/>
        </w:rPr>
        <w:t xml:space="preserve"> deficits in both 2018 and 2019. In addition, contributions we</w:t>
      </w:r>
      <w:r w:rsidR="0034617C">
        <w:rPr>
          <w:rFonts w:cs="Arial"/>
          <w:lang w:val="en-GB" w:eastAsia="en-GB"/>
        </w:rPr>
        <w:t>re made to the Working Capital F</w:t>
      </w:r>
      <w:r w:rsidR="00B03EC4">
        <w:rPr>
          <w:rFonts w:cs="Arial"/>
          <w:lang w:val="en-GB" w:eastAsia="en-GB"/>
        </w:rPr>
        <w:t>und in both years</w:t>
      </w:r>
      <w:r>
        <w:rPr>
          <w:rFonts w:cs="Arial"/>
          <w:lang w:val="en-GB" w:eastAsia="en-GB"/>
        </w:rPr>
        <w:t>. T</w:t>
      </w:r>
      <w:r w:rsidR="00B03EC4">
        <w:rPr>
          <w:rFonts w:cs="Arial"/>
          <w:lang w:val="en-GB" w:eastAsia="en-GB"/>
        </w:rPr>
        <w:t>he table below summarizes the in</w:t>
      </w:r>
      <w:r>
        <w:rPr>
          <w:rFonts w:cs="Arial"/>
          <w:lang w:val="en-GB" w:eastAsia="en-GB"/>
        </w:rPr>
        <w:t>crea</w:t>
      </w:r>
      <w:r w:rsidR="00B03EC4">
        <w:rPr>
          <w:rFonts w:cs="Arial"/>
          <w:lang w:val="en-GB" w:eastAsia="en-GB"/>
        </w:rPr>
        <w:t>se in net assets during the 2018-2019</w:t>
      </w:r>
      <w:r>
        <w:rPr>
          <w:rFonts w:cs="Arial"/>
          <w:lang w:val="en-GB" w:eastAsia="en-GB"/>
        </w:rPr>
        <w:t xml:space="preserve"> Biennium:</w:t>
      </w:r>
    </w:p>
    <w:p w:rsidR="00DE67C2" w:rsidRPr="00957875" w:rsidRDefault="00DE67C2" w:rsidP="00DE67C2">
      <w:pPr>
        <w:rPr>
          <w:rFonts w:cs="Arial"/>
          <w:lang w:val="en-GB" w:eastAsia="en-GB"/>
        </w:rPr>
      </w:pPr>
    </w:p>
    <w:p w:rsidR="00DE67C2" w:rsidRPr="00957875" w:rsidRDefault="00DE67C2" w:rsidP="00DE67C2">
      <w:pPr>
        <w:jc w:val="center"/>
        <w:rPr>
          <w:rFonts w:cs="Arial"/>
          <w:lang w:val="en-GB" w:eastAsia="en-GB"/>
        </w:rPr>
      </w:pPr>
      <w:r w:rsidRPr="00957875">
        <w:rPr>
          <w:rFonts w:cs="Arial"/>
          <w:lang w:val="en-GB" w:eastAsia="en-GB"/>
        </w:rPr>
        <w:t>Mo</w:t>
      </w:r>
      <w:r>
        <w:rPr>
          <w:rFonts w:cs="Arial"/>
          <w:lang w:val="en-GB" w:eastAsia="en-GB"/>
        </w:rPr>
        <w:t xml:space="preserve">vement in Net Assets </w:t>
      </w:r>
      <w:r w:rsidR="00B03EC4">
        <w:rPr>
          <w:rFonts w:cs="Arial"/>
          <w:lang w:val="en-GB" w:eastAsia="en-GB"/>
        </w:rPr>
        <w:t>2017</w:t>
      </w:r>
      <w:r w:rsidRPr="00957875">
        <w:rPr>
          <w:rFonts w:cs="Arial"/>
          <w:lang w:val="en-GB" w:eastAsia="en-GB"/>
        </w:rPr>
        <w:t>-20</w:t>
      </w:r>
      <w:r w:rsidR="00B03EC4">
        <w:rPr>
          <w:rFonts w:cs="Arial"/>
          <w:lang w:val="en-GB" w:eastAsia="en-GB"/>
        </w:rPr>
        <w:t>19</w:t>
      </w:r>
    </w:p>
    <w:p w:rsidR="00DE67C2" w:rsidRPr="00957875" w:rsidRDefault="00B03EC4" w:rsidP="00DE67C2">
      <w:pPr>
        <w:jc w:val="center"/>
        <w:rPr>
          <w:rFonts w:cs="Arial"/>
        </w:rPr>
      </w:pPr>
      <w:r w:rsidRPr="00B03EC4">
        <w:rPr>
          <w:noProof/>
        </w:rPr>
        <w:drawing>
          <wp:inline distT="0" distB="0" distL="0" distR="0">
            <wp:extent cx="6065520" cy="3002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5520" cy="3002280"/>
                    </a:xfrm>
                    <a:prstGeom prst="rect">
                      <a:avLst/>
                    </a:prstGeom>
                    <a:noFill/>
                    <a:ln>
                      <a:noFill/>
                    </a:ln>
                  </pic:spPr>
                </pic:pic>
              </a:graphicData>
            </a:graphic>
          </wp:inline>
        </w:drawing>
      </w:r>
    </w:p>
    <w:p w:rsidR="00DE67C2" w:rsidRPr="00957875" w:rsidRDefault="00DE67C2" w:rsidP="00DE67C2">
      <w:pPr>
        <w:rPr>
          <w:rFonts w:cs="Arial"/>
        </w:rPr>
      </w:pPr>
    </w:p>
    <w:p w:rsidR="00DE67C2" w:rsidRPr="00957875" w:rsidRDefault="00DE67C2" w:rsidP="00DE67C2"/>
    <w:p w:rsidR="00DE67C2" w:rsidRPr="00957875" w:rsidRDefault="00DE67C2" w:rsidP="00DE67C2">
      <w:pPr>
        <w:rPr>
          <w:rFonts w:cs="Arial"/>
          <w:b/>
          <w:sz w:val="18"/>
          <w:szCs w:val="18"/>
        </w:rPr>
      </w:pPr>
      <w:r w:rsidRPr="00957875">
        <w:rPr>
          <w:rFonts w:cs="Arial"/>
          <w:b/>
          <w:sz w:val="18"/>
          <w:szCs w:val="18"/>
        </w:rPr>
        <w:t>Summary of Assets and Liabilities</w:t>
      </w:r>
    </w:p>
    <w:p w:rsidR="00DE67C2" w:rsidRPr="00957875" w:rsidRDefault="00DE67C2" w:rsidP="00DE67C2"/>
    <w:p w:rsidR="00DE67C2" w:rsidRDefault="00DE67C2" w:rsidP="00DE67C2">
      <w:pPr>
        <w:rPr>
          <w:rFonts w:cs="Arial"/>
          <w:spacing w:val="-2"/>
        </w:rPr>
      </w:pPr>
      <w:r w:rsidRPr="00B271AC">
        <w:rPr>
          <w:rFonts w:cs="Arial"/>
          <w:spacing w:val="-2"/>
        </w:rPr>
        <w:t>The chart below provides a summary of the Statement of Financial Position</w:t>
      </w:r>
      <w:r w:rsidR="00B03EC4" w:rsidRPr="00B271AC">
        <w:rPr>
          <w:rFonts w:cs="Arial"/>
          <w:spacing w:val="-2"/>
        </w:rPr>
        <w:t xml:space="preserve"> of UPOV as at December 31, 2019</w:t>
      </w:r>
      <w:r w:rsidRPr="00B271AC">
        <w:rPr>
          <w:rFonts w:cs="Arial"/>
          <w:spacing w:val="-2"/>
        </w:rPr>
        <w:t>:</w:t>
      </w:r>
    </w:p>
    <w:p w:rsidR="00B271AC" w:rsidRPr="00B271AC" w:rsidRDefault="00B271AC" w:rsidP="00DE67C2">
      <w:pPr>
        <w:rPr>
          <w:rFonts w:cs="Arial"/>
          <w:spacing w:val="-2"/>
        </w:rPr>
      </w:pPr>
    </w:p>
    <w:p w:rsidR="00DE67C2" w:rsidRPr="00957875" w:rsidRDefault="00DE67C2" w:rsidP="00DE67C2">
      <w:pPr>
        <w:jc w:val="center"/>
        <w:rPr>
          <w:rFonts w:cs="Arial"/>
        </w:rPr>
      </w:pPr>
      <w:r w:rsidRPr="00957875">
        <w:rPr>
          <w:rFonts w:cs="Arial"/>
        </w:rPr>
        <w:t>Summary of Assets a</w:t>
      </w:r>
      <w:r w:rsidR="00B03EC4">
        <w:rPr>
          <w:rFonts w:cs="Arial"/>
        </w:rPr>
        <w:t>nd Liabilities December 31, 2019</w:t>
      </w:r>
    </w:p>
    <w:p w:rsidR="00DE67C2" w:rsidRPr="00957875" w:rsidRDefault="00DE67C2" w:rsidP="00DE67C2">
      <w:pPr>
        <w:rPr>
          <w:rFonts w:cs="Arial"/>
        </w:rPr>
      </w:pPr>
    </w:p>
    <w:p w:rsidR="00DE67C2" w:rsidRPr="00957875" w:rsidRDefault="00B03EC4" w:rsidP="00DE67C2">
      <w:pPr>
        <w:jc w:val="center"/>
        <w:rPr>
          <w:rFonts w:cs="Arial"/>
        </w:rPr>
      </w:pPr>
      <w:r w:rsidRPr="00B03EC4">
        <w:rPr>
          <w:noProof/>
        </w:rPr>
        <w:drawing>
          <wp:inline distT="0" distB="0" distL="0" distR="0">
            <wp:extent cx="6120765" cy="33996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399614"/>
                    </a:xfrm>
                    <a:prstGeom prst="rect">
                      <a:avLst/>
                    </a:prstGeom>
                    <a:noFill/>
                    <a:ln>
                      <a:noFill/>
                    </a:ln>
                  </pic:spPr>
                </pic:pic>
              </a:graphicData>
            </a:graphic>
          </wp:inline>
        </w:drawing>
      </w:r>
    </w:p>
    <w:p w:rsidR="00DE67C2" w:rsidRPr="00957875" w:rsidRDefault="00DE67C2" w:rsidP="00DE67C2">
      <w:pPr>
        <w:spacing w:line="276" w:lineRule="auto"/>
        <w:jc w:val="center"/>
        <w:rPr>
          <w:rFonts w:cs="Arial"/>
        </w:rPr>
      </w:pPr>
    </w:p>
    <w:p w:rsidR="00DE67C2" w:rsidRPr="00957875" w:rsidRDefault="00B03EC4" w:rsidP="00DE67C2">
      <w:pPr>
        <w:rPr>
          <w:rFonts w:cs="Arial"/>
        </w:rPr>
      </w:pPr>
      <w:r>
        <w:rPr>
          <w:rFonts w:cs="Arial"/>
        </w:rPr>
        <w:lastRenderedPageBreak/>
        <w:t>As at December 31, 2019</w:t>
      </w:r>
      <w:r w:rsidR="00DE67C2">
        <w:rPr>
          <w:rFonts w:cs="Arial"/>
        </w:rPr>
        <w:t xml:space="preserve">, </w:t>
      </w:r>
      <w:r w:rsidR="00DE67C2" w:rsidRPr="00772DA9">
        <w:rPr>
          <w:rFonts w:cs="Arial"/>
        </w:rPr>
        <w:t xml:space="preserve">UPOV </w:t>
      </w:r>
      <w:r w:rsidRPr="00772DA9">
        <w:rPr>
          <w:rFonts w:cs="Arial"/>
        </w:rPr>
        <w:t>ha</w:t>
      </w:r>
      <w:r w:rsidR="00BA5312" w:rsidRPr="00772DA9">
        <w:rPr>
          <w:rFonts w:cs="Arial"/>
        </w:rPr>
        <w:t>d</w:t>
      </w:r>
      <w:r>
        <w:rPr>
          <w:rFonts w:cs="Arial"/>
        </w:rPr>
        <w:t xml:space="preserve"> cash balances of 4,763,272</w:t>
      </w:r>
      <w:r w:rsidR="00F5247E">
        <w:rPr>
          <w:rFonts w:cs="Arial"/>
        </w:rPr>
        <w:t> Swiss francs</w:t>
      </w:r>
      <w:r>
        <w:rPr>
          <w:rFonts w:cs="Arial"/>
        </w:rPr>
        <w:t>, representing 97.5</w:t>
      </w:r>
      <w:r w:rsidR="00F45090">
        <w:rPr>
          <w:rFonts w:cs="Arial"/>
        </w:rPr>
        <w:t> per cent</w:t>
      </w:r>
      <w:r w:rsidR="00DE67C2">
        <w:rPr>
          <w:rFonts w:cs="Arial"/>
        </w:rPr>
        <w:t xml:space="preserve"> of total assets. T</w:t>
      </w:r>
      <w:r w:rsidR="00DE67C2" w:rsidRPr="00957875">
        <w:rPr>
          <w:rFonts w:cs="Arial"/>
        </w:rPr>
        <w:t>his</w:t>
      </w:r>
      <w:r w:rsidR="00DE67C2">
        <w:rPr>
          <w:rFonts w:cs="Arial"/>
        </w:rPr>
        <w:t xml:space="preserve"> balance</w:t>
      </w:r>
      <w:r w:rsidR="00DE67C2" w:rsidRPr="00957875">
        <w:rPr>
          <w:rFonts w:cs="Arial"/>
        </w:rPr>
        <w:t xml:space="preserve"> includes amounts classified</w:t>
      </w:r>
      <w:r w:rsidR="00DE67C2">
        <w:rPr>
          <w:rFonts w:cs="Arial"/>
        </w:rPr>
        <w:t xml:space="preserve"> as restricted under IPSAS, and also strategic cash representing funds allocated for the future financing of UPOV’s ASHI liability</w:t>
      </w:r>
      <w:r w:rsidR="00DE67C2" w:rsidRPr="00957875">
        <w:rPr>
          <w:rFonts w:cs="Arial"/>
        </w:rPr>
        <w:t>. The remaining assets are acco</w:t>
      </w:r>
      <w:r>
        <w:rPr>
          <w:rFonts w:cs="Arial"/>
        </w:rPr>
        <w:t>unts receivable totaling 121,052</w:t>
      </w:r>
      <w:r w:rsidR="00F5247E">
        <w:rPr>
          <w:rFonts w:cs="Arial"/>
        </w:rPr>
        <w:t> Swiss francs</w:t>
      </w:r>
      <w:r w:rsidR="00DE67C2" w:rsidRPr="00957875">
        <w:rPr>
          <w:rFonts w:cs="Arial"/>
        </w:rPr>
        <w:t xml:space="preserve">. </w:t>
      </w:r>
    </w:p>
    <w:p w:rsidR="00DE67C2" w:rsidRPr="00957875" w:rsidRDefault="00DE67C2" w:rsidP="00DE67C2">
      <w:pPr>
        <w:rPr>
          <w:rFonts w:cs="Arial"/>
        </w:rPr>
      </w:pPr>
    </w:p>
    <w:p w:rsidR="00DE67C2" w:rsidRPr="00957875" w:rsidRDefault="00DE67C2" w:rsidP="00DE67C2">
      <w:pPr>
        <w:rPr>
          <w:rFonts w:cs="Arial"/>
        </w:rPr>
      </w:pPr>
      <w:r w:rsidRPr="00957875">
        <w:rPr>
          <w:rFonts w:cs="Arial"/>
        </w:rPr>
        <w:t>The most significant liability of UPOV i</w:t>
      </w:r>
      <w:r w:rsidR="00B03EC4">
        <w:rPr>
          <w:rFonts w:cs="Arial"/>
        </w:rPr>
        <w:t>s employee benefits of 2,356,399</w:t>
      </w:r>
      <w:r w:rsidR="00F5247E">
        <w:rPr>
          <w:rFonts w:cs="Arial"/>
        </w:rPr>
        <w:t> Swiss francs</w:t>
      </w:r>
      <w:r w:rsidRPr="00957875">
        <w:rPr>
          <w:rFonts w:cs="Arial"/>
        </w:rPr>
        <w:t>, including primarily</w:t>
      </w:r>
      <w:r w:rsidR="0034617C">
        <w:rPr>
          <w:rFonts w:cs="Arial"/>
        </w:rPr>
        <w:t xml:space="preserve"> the ASHI liability of 2,026,390</w:t>
      </w:r>
      <w:r w:rsidR="00F5247E">
        <w:rPr>
          <w:rFonts w:cs="Arial"/>
        </w:rPr>
        <w:t> Swiss francs</w:t>
      </w:r>
      <w:r w:rsidRPr="00957875">
        <w:rPr>
          <w:rFonts w:cs="Arial"/>
        </w:rPr>
        <w:t xml:space="preserve">. Advance receipts </w:t>
      </w:r>
      <w:r w:rsidR="0034617C">
        <w:rPr>
          <w:rFonts w:cs="Arial"/>
        </w:rPr>
        <w:t>of 768,10</w:t>
      </w:r>
      <w:r>
        <w:rPr>
          <w:rFonts w:cs="Arial"/>
        </w:rPr>
        <w:t>4</w:t>
      </w:r>
      <w:r w:rsidR="00F5247E">
        <w:rPr>
          <w:rFonts w:cs="Arial"/>
        </w:rPr>
        <w:t> Swiss francs</w:t>
      </w:r>
      <w:r w:rsidRPr="00957875">
        <w:rPr>
          <w:rFonts w:cs="Arial"/>
        </w:rPr>
        <w:t xml:space="preserve"> include co</w:t>
      </w:r>
      <w:r>
        <w:rPr>
          <w:rFonts w:cs="Arial"/>
        </w:rPr>
        <w:t>ntri</w:t>
      </w:r>
      <w:r w:rsidR="0034617C">
        <w:rPr>
          <w:rFonts w:cs="Arial"/>
        </w:rPr>
        <w:t>butions paid in advance (423,763</w:t>
      </w:r>
      <w:r w:rsidR="00F5247E">
        <w:rPr>
          <w:rFonts w:cs="Arial"/>
        </w:rPr>
        <w:t> Swiss francs</w:t>
      </w:r>
      <w:r w:rsidRPr="00957875">
        <w:rPr>
          <w:rFonts w:cs="Arial"/>
        </w:rPr>
        <w:t>) and deferred revenue from extrabudgetary funds</w:t>
      </w:r>
      <w:r w:rsidR="0034617C">
        <w:rPr>
          <w:rFonts w:cs="Arial"/>
        </w:rPr>
        <w:t xml:space="preserve"> (344,341</w:t>
      </w:r>
      <w:r w:rsidR="00F5247E">
        <w:rPr>
          <w:rFonts w:cs="Arial"/>
        </w:rPr>
        <w:t> Swiss francs</w:t>
      </w:r>
      <w:r>
        <w:rPr>
          <w:rFonts w:cs="Arial"/>
        </w:rPr>
        <w:t>). Payable</w:t>
      </w:r>
      <w:r w:rsidR="0034617C">
        <w:rPr>
          <w:rFonts w:cs="Arial"/>
        </w:rPr>
        <w:t>s and other liabilities (863,216</w:t>
      </w:r>
      <w:r w:rsidR="00F5247E">
        <w:rPr>
          <w:rFonts w:cs="Arial"/>
        </w:rPr>
        <w:t> Swiss francs</w:t>
      </w:r>
      <w:r w:rsidRPr="00957875">
        <w:rPr>
          <w:rFonts w:cs="Arial"/>
        </w:rPr>
        <w:t xml:space="preserve">) </w:t>
      </w:r>
      <w:r>
        <w:rPr>
          <w:rFonts w:cs="Arial"/>
        </w:rPr>
        <w:t xml:space="preserve">are almost entirely comprised of </w:t>
      </w:r>
      <w:r w:rsidRPr="00957875">
        <w:rPr>
          <w:rFonts w:cs="Arial"/>
        </w:rPr>
        <w:t>the amount payab</w:t>
      </w:r>
      <w:r w:rsidR="00CA7770">
        <w:rPr>
          <w:rFonts w:cs="Arial"/>
        </w:rPr>
        <w:t>le to </w:t>
      </w:r>
      <w:r>
        <w:rPr>
          <w:rFonts w:cs="Arial"/>
        </w:rPr>
        <w:t>WIPO</w:t>
      </w:r>
      <w:r w:rsidRPr="00957875">
        <w:rPr>
          <w:rFonts w:cs="Arial"/>
        </w:rPr>
        <w:t>.</w:t>
      </w:r>
    </w:p>
    <w:p w:rsidR="00DE67C2" w:rsidRPr="00957875" w:rsidRDefault="00DE67C2" w:rsidP="00DE67C2">
      <w:pPr>
        <w:rPr>
          <w:rFonts w:cs="Arial"/>
        </w:rPr>
      </w:pPr>
    </w:p>
    <w:p w:rsidR="00DE67C2" w:rsidRPr="00957875" w:rsidRDefault="00DE67C2" w:rsidP="00DE67C2">
      <w:pPr>
        <w:rPr>
          <w:rFonts w:cs="Arial"/>
          <w:b/>
        </w:rPr>
      </w:pPr>
      <w:r w:rsidRPr="00957875">
        <w:rPr>
          <w:rFonts w:cs="Arial"/>
          <w:b/>
        </w:rPr>
        <w:t>Cash and Cash Equivalents</w:t>
      </w:r>
    </w:p>
    <w:p w:rsidR="00DE67C2" w:rsidRPr="00957875" w:rsidRDefault="00DE67C2" w:rsidP="00DE67C2">
      <w:pPr>
        <w:rPr>
          <w:rFonts w:cs="Arial"/>
          <w:b/>
        </w:rPr>
      </w:pPr>
    </w:p>
    <w:p w:rsidR="00DE67C2" w:rsidRDefault="0034617C" w:rsidP="00DE67C2">
      <w:pPr>
        <w:spacing w:line="276" w:lineRule="auto"/>
        <w:jc w:val="center"/>
        <w:rPr>
          <w:rFonts w:cs="Arial"/>
          <w:b/>
        </w:rPr>
      </w:pPr>
      <w:r w:rsidRPr="0034617C">
        <w:rPr>
          <w:noProof/>
        </w:rPr>
        <w:drawing>
          <wp:inline distT="0" distB="0" distL="0" distR="0">
            <wp:extent cx="6120765" cy="141520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415206"/>
                    </a:xfrm>
                    <a:prstGeom prst="rect">
                      <a:avLst/>
                    </a:prstGeom>
                    <a:noFill/>
                    <a:ln>
                      <a:noFill/>
                    </a:ln>
                  </pic:spPr>
                </pic:pic>
              </a:graphicData>
            </a:graphic>
          </wp:inline>
        </w:drawing>
      </w:r>
    </w:p>
    <w:p w:rsidR="0034617C" w:rsidRPr="00957875" w:rsidRDefault="0034617C" w:rsidP="00DE67C2">
      <w:pPr>
        <w:spacing w:line="276" w:lineRule="auto"/>
        <w:jc w:val="center"/>
        <w:rPr>
          <w:rFonts w:cs="Arial"/>
          <w:b/>
        </w:rPr>
      </w:pPr>
    </w:p>
    <w:p w:rsidR="00F82278" w:rsidRPr="00F82278" w:rsidRDefault="00DE67C2" w:rsidP="00F82278">
      <w:pPr>
        <w:pStyle w:val="Style3"/>
        <w:spacing w:after="0"/>
        <w:rPr>
          <w:rFonts w:cs="Arial"/>
          <w:sz w:val="20"/>
        </w:rPr>
      </w:pPr>
      <w:r w:rsidRPr="0083248D">
        <w:rPr>
          <w:rFonts w:cs="Arial"/>
          <w:sz w:val="20"/>
        </w:rPr>
        <w:t xml:space="preserve">Total cash and </w:t>
      </w:r>
      <w:r w:rsidR="0034617C">
        <w:rPr>
          <w:rFonts w:cs="Arial"/>
          <w:sz w:val="20"/>
        </w:rPr>
        <w:t>cash equivalent balances have in</w:t>
      </w:r>
      <w:r w:rsidRPr="0083248D">
        <w:rPr>
          <w:rFonts w:cs="Arial"/>
          <w:sz w:val="20"/>
        </w:rPr>
        <w:t xml:space="preserve">creased over the biennium </w:t>
      </w:r>
      <w:r w:rsidR="0034617C">
        <w:rPr>
          <w:rFonts w:cs="Arial"/>
          <w:sz w:val="20"/>
        </w:rPr>
        <w:t>by 15.7</w:t>
      </w:r>
      <w:r w:rsidR="00F45090">
        <w:rPr>
          <w:rFonts w:cs="Arial"/>
          <w:sz w:val="20"/>
        </w:rPr>
        <w:t> per cent</w:t>
      </w:r>
      <w:r w:rsidRPr="0083248D">
        <w:rPr>
          <w:rFonts w:cs="Arial"/>
          <w:sz w:val="20"/>
        </w:rPr>
        <w:t xml:space="preserve"> between December </w:t>
      </w:r>
      <w:r w:rsidR="0034617C">
        <w:rPr>
          <w:rFonts w:cs="Arial"/>
          <w:sz w:val="20"/>
        </w:rPr>
        <w:t>31, 2017</w:t>
      </w:r>
      <w:r w:rsidRPr="0083248D">
        <w:rPr>
          <w:rFonts w:cs="Arial"/>
          <w:sz w:val="20"/>
        </w:rPr>
        <w:t xml:space="preserve"> and Decem</w:t>
      </w:r>
      <w:r w:rsidR="0034617C">
        <w:rPr>
          <w:rFonts w:cs="Arial"/>
          <w:sz w:val="20"/>
        </w:rPr>
        <w:t>ber 31, 2019</w:t>
      </w:r>
      <w:r w:rsidRPr="0083248D">
        <w:rPr>
          <w:rFonts w:cs="Arial"/>
          <w:sz w:val="20"/>
        </w:rPr>
        <w:t xml:space="preserve">. </w:t>
      </w:r>
      <w:r w:rsidR="00F82278" w:rsidRPr="00DB769A">
        <w:rPr>
          <w:rFonts w:cs="Arial"/>
          <w:sz w:val="20"/>
        </w:rPr>
        <w:t>Cash deposits are generally held in instant access bank accounts</w:t>
      </w:r>
      <w:r w:rsidR="00F82278">
        <w:rPr>
          <w:rFonts w:cs="Arial"/>
          <w:sz w:val="20"/>
        </w:rPr>
        <w:t xml:space="preserve">. </w:t>
      </w:r>
      <w:r w:rsidRPr="0083248D">
        <w:rPr>
          <w:rFonts w:cs="Arial"/>
          <w:sz w:val="20"/>
        </w:rPr>
        <w:t xml:space="preserve">For the purposes of IPSAS presentation, cash balances are split between unrestricted, restricted and strategic. </w:t>
      </w:r>
      <w:r w:rsidR="00F82278" w:rsidRPr="00A22AF2">
        <w:rPr>
          <w:sz w:val="20"/>
        </w:rPr>
        <w:t>Working Capital Fund balanc</w:t>
      </w:r>
      <w:r w:rsidR="00F82278" w:rsidRPr="00DB769A">
        <w:rPr>
          <w:sz w:val="20"/>
        </w:rPr>
        <w:t>es ar</w:t>
      </w:r>
      <w:r w:rsidR="00F82278">
        <w:rPr>
          <w:sz w:val="20"/>
        </w:rPr>
        <w:t xml:space="preserve">e considered as restricted, although interest received on </w:t>
      </w:r>
      <w:r w:rsidR="00F82278" w:rsidRPr="00DB769A">
        <w:rPr>
          <w:sz w:val="20"/>
        </w:rPr>
        <w:t>Working Capital Fund</w:t>
      </w:r>
      <w:r w:rsidR="00F82278">
        <w:rPr>
          <w:sz w:val="20"/>
        </w:rPr>
        <w:t xml:space="preserve"> balances</w:t>
      </w:r>
      <w:r w:rsidR="00F82278" w:rsidRPr="00DB769A">
        <w:rPr>
          <w:sz w:val="20"/>
        </w:rPr>
        <w:t xml:space="preserve"> is credited to the general fund of UPOV. Funds in trust held on behalf of</w:t>
      </w:r>
      <w:r w:rsidR="00F82278">
        <w:rPr>
          <w:sz w:val="20"/>
        </w:rPr>
        <w:t xml:space="preserve"> donors of extrabudgetary funds </w:t>
      </w:r>
      <w:r w:rsidR="00F82278" w:rsidRPr="00DB769A">
        <w:rPr>
          <w:sz w:val="20"/>
        </w:rPr>
        <w:t xml:space="preserve">are deposited in the currency in which expenditures will be reported, based upon agreements with donors. </w:t>
      </w:r>
    </w:p>
    <w:p w:rsidR="00F82278" w:rsidRDefault="00F82278" w:rsidP="00F82278">
      <w:pPr>
        <w:pStyle w:val="Style3"/>
        <w:spacing w:after="0"/>
        <w:rPr>
          <w:rFonts w:cs="Arial"/>
          <w:sz w:val="20"/>
        </w:rPr>
      </w:pPr>
    </w:p>
    <w:p w:rsidR="00F82278" w:rsidRDefault="00F82278" w:rsidP="00F82278">
      <w:pPr>
        <w:pStyle w:val="Style3"/>
        <w:spacing w:after="0"/>
        <w:rPr>
          <w:sz w:val="20"/>
        </w:rPr>
      </w:pPr>
      <w:r w:rsidRPr="00C055F1">
        <w:rPr>
          <w:sz w:val="20"/>
        </w:rPr>
        <w:t>At its thirty-third extraordinary session on March 17, 2016, the Council of UPOV decided to hold in a separate account</w:t>
      </w:r>
      <w:r>
        <w:rPr>
          <w:sz w:val="20"/>
        </w:rPr>
        <w:t xml:space="preserve"> the </w:t>
      </w:r>
      <w:r w:rsidRPr="000517E0">
        <w:rPr>
          <w:sz w:val="20"/>
        </w:rPr>
        <w:t>funds allocated for the future financing of</w:t>
      </w:r>
      <w:r>
        <w:rPr>
          <w:sz w:val="20"/>
        </w:rPr>
        <w:t xml:space="preserve"> UPOV’s</w:t>
      </w:r>
      <w:r w:rsidRPr="000517E0">
        <w:rPr>
          <w:sz w:val="20"/>
        </w:rPr>
        <w:t xml:space="preserve"> </w:t>
      </w:r>
      <w:r>
        <w:rPr>
          <w:sz w:val="20"/>
        </w:rPr>
        <w:t>ASHI liability. As at December 31, 2019</w:t>
      </w:r>
      <w:r w:rsidRPr="000517E0">
        <w:rPr>
          <w:sz w:val="20"/>
        </w:rPr>
        <w:t xml:space="preserve">, the </w:t>
      </w:r>
      <w:r>
        <w:rPr>
          <w:sz w:val="20"/>
        </w:rPr>
        <w:t>total balance of these funds is</w:t>
      </w:r>
      <w:r w:rsidRPr="000517E0">
        <w:rPr>
          <w:sz w:val="20"/>
        </w:rPr>
        <w:t xml:space="preserve"> </w:t>
      </w:r>
      <w:r>
        <w:rPr>
          <w:sz w:val="20"/>
        </w:rPr>
        <w:t>870,169</w:t>
      </w:r>
      <w:r w:rsidR="00F5247E">
        <w:rPr>
          <w:sz w:val="20"/>
        </w:rPr>
        <w:t> Swiss francs</w:t>
      </w:r>
      <w:r>
        <w:rPr>
          <w:sz w:val="20"/>
        </w:rPr>
        <w:t xml:space="preserve"> (783,128</w:t>
      </w:r>
      <w:r w:rsidR="00F5247E">
        <w:rPr>
          <w:sz w:val="20"/>
        </w:rPr>
        <w:t> Swiss francs</w:t>
      </w:r>
      <w:r>
        <w:rPr>
          <w:sz w:val="20"/>
        </w:rPr>
        <w:t xml:space="preserve"> as at December 31, 2018)</w:t>
      </w:r>
      <w:r w:rsidRPr="0072487A">
        <w:rPr>
          <w:sz w:val="20"/>
        </w:rPr>
        <w:t>.</w:t>
      </w:r>
      <w:r>
        <w:rPr>
          <w:sz w:val="20"/>
        </w:rPr>
        <w:t xml:space="preserve"> </w:t>
      </w:r>
      <w:r w:rsidRPr="00FE45F2">
        <w:rPr>
          <w:sz w:val="20"/>
        </w:rPr>
        <w:t xml:space="preserve">In accordance with </w:t>
      </w:r>
      <w:r>
        <w:rPr>
          <w:sz w:val="20"/>
        </w:rPr>
        <w:t>the Council decision at the fif</w:t>
      </w:r>
      <w:r w:rsidRPr="00FE45F2">
        <w:rPr>
          <w:sz w:val="20"/>
        </w:rPr>
        <w:t>ty-third ordinary session on November 1, 2019</w:t>
      </w:r>
      <w:r>
        <w:rPr>
          <w:sz w:val="20"/>
        </w:rPr>
        <w:t>,</w:t>
      </w:r>
      <w:r w:rsidRPr="00FE45F2">
        <w:rPr>
          <w:sz w:val="20"/>
        </w:rPr>
        <w:t xml:space="preserve"> </w:t>
      </w:r>
      <w:r>
        <w:rPr>
          <w:sz w:val="20"/>
        </w:rPr>
        <w:t>t</w:t>
      </w:r>
      <w:r w:rsidRPr="00190831">
        <w:rPr>
          <w:sz w:val="20"/>
        </w:rPr>
        <w:t xml:space="preserve">he funds are held in one of UPOV’s principal bank accounts, but are managed separately from operating funds through a blocking instruction currently in place with the bank. </w:t>
      </w:r>
      <w:r>
        <w:rPr>
          <w:sz w:val="20"/>
        </w:rPr>
        <w:t xml:space="preserve">UPOV manages the ASHI funds in accordance with WIPO’s Policy on Investments, under which they </w:t>
      </w:r>
      <w:r w:rsidRPr="00B4193E">
        <w:rPr>
          <w:sz w:val="20"/>
        </w:rPr>
        <w:t>are classified as strategic cash.</w:t>
      </w:r>
    </w:p>
    <w:p w:rsidR="00DE67C2" w:rsidRPr="0083248D" w:rsidRDefault="00DE67C2" w:rsidP="00DE67C2">
      <w:pPr>
        <w:pStyle w:val="Style3"/>
        <w:spacing w:after="0"/>
        <w:rPr>
          <w:sz w:val="20"/>
        </w:rPr>
      </w:pPr>
    </w:p>
    <w:p w:rsidR="00DE67C2" w:rsidRPr="00957875" w:rsidRDefault="00DE67C2" w:rsidP="00DE67C2">
      <w:pPr>
        <w:spacing w:line="276" w:lineRule="auto"/>
        <w:rPr>
          <w:rFonts w:cs="Arial"/>
          <w:b/>
        </w:rPr>
      </w:pPr>
      <w:r w:rsidRPr="00957875">
        <w:rPr>
          <w:rFonts w:cs="Arial"/>
          <w:b/>
        </w:rPr>
        <w:t>Accounts Receivable</w:t>
      </w:r>
    </w:p>
    <w:p w:rsidR="00DE67C2" w:rsidRPr="00957875" w:rsidRDefault="00DE67C2" w:rsidP="00DE67C2">
      <w:pPr>
        <w:spacing w:line="276" w:lineRule="auto"/>
        <w:rPr>
          <w:rFonts w:cs="Arial"/>
          <w:b/>
        </w:rPr>
      </w:pPr>
    </w:p>
    <w:p w:rsidR="00DE67C2" w:rsidRPr="00957875" w:rsidRDefault="00F82278" w:rsidP="00DE67C2">
      <w:pPr>
        <w:spacing w:line="276" w:lineRule="auto"/>
        <w:rPr>
          <w:rFonts w:cs="Arial"/>
          <w:b/>
        </w:rPr>
      </w:pPr>
      <w:r w:rsidRPr="00F82278">
        <w:rPr>
          <w:noProof/>
        </w:rPr>
        <w:drawing>
          <wp:inline distT="0" distB="0" distL="0" distR="0">
            <wp:extent cx="6120765" cy="1974892"/>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974892"/>
                    </a:xfrm>
                    <a:prstGeom prst="rect">
                      <a:avLst/>
                    </a:prstGeom>
                    <a:noFill/>
                    <a:ln>
                      <a:noFill/>
                    </a:ln>
                  </pic:spPr>
                </pic:pic>
              </a:graphicData>
            </a:graphic>
          </wp:inline>
        </w:drawing>
      </w:r>
    </w:p>
    <w:p w:rsidR="00F82278" w:rsidRDefault="00F82278" w:rsidP="00DE67C2">
      <w:pPr>
        <w:rPr>
          <w:rFonts w:cs="Arial"/>
          <w:szCs w:val="22"/>
        </w:rPr>
      </w:pPr>
    </w:p>
    <w:p w:rsidR="00CA7770" w:rsidRDefault="00DE67C2" w:rsidP="00DE67C2">
      <w:pPr>
        <w:rPr>
          <w:rFonts w:cs="Arial"/>
          <w:szCs w:val="22"/>
        </w:rPr>
      </w:pPr>
      <w:r w:rsidRPr="00957875">
        <w:rPr>
          <w:rFonts w:cs="Arial"/>
          <w:szCs w:val="22"/>
        </w:rPr>
        <w:t>Total accounts</w:t>
      </w:r>
      <w:r w:rsidR="00F82278">
        <w:rPr>
          <w:rFonts w:cs="Arial"/>
          <w:szCs w:val="22"/>
        </w:rPr>
        <w:t xml:space="preserve"> receivable at December 31, 2019</w:t>
      </w:r>
      <w:r w:rsidRPr="00957875">
        <w:rPr>
          <w:rFonts w:cs="Arial"/>
          <w:szCs w:val="22"/>
        </w:rPr>
        <w:t xml:space="preserve"> are</w:t>
      </w:r>
      <w:r w:rsidR="00F82278">
        <w:rPr>
          <w:rFonts w:cs="Arial"/>
          <w:szCs w:val="22"/>
        </w:rPr>
        <w:t xml:space="preserve"> 121,052</w:t>
      </w:r>
      <w:r w:rsidR="00F5247E">
        <w:rPr>
          <w:rFonts w:cs="Arial"/>
          <w:szCs w:val="22"/>
        </w:rPr>
        <w:t> Swiss francs</w:t>
      </w:r>
      <w:r w:rsidRPr="00957875">
        <w:rPr>
          <w:rFonts w:cs="Arial"/>
          <w:szCs w:val="22"/>
        </w:rPr>
        <w:t>, c</w:t>
      </w:r>
      <w:r w:rsidR="00F82278">
        <w:rPr>
          <w:rFonts w:cs="Arial"/>
          <w:szCs w:val="22"/>
        </w:rPr>
        <w:t>ompared to 86,196</w:t>
      </w:r>
      <w:r w:rsidR="00F5247E">
        <w:rPr>
          <w:rFonts w:cs="Arial"/>
          <w:szCs w:val="22"/>
        </w:rPr>
        <w:t> Swiss francs</w:t>
      </w:r>
      <w:r w:rsidRPr="00957875">
        <w:rPr>
          <w:rFonts w:cs="Arial"/>
          <w:szCs w:val="22"/>
        </w:rPr>
        <w:t xml:space="preserve"> as at December </w:t>
      </w:r>
      <w:r w:rsidR="00F82278">
        <w:rPr>
          <w:rFonts w:cs="Arial"/>
          <w:szCs w:val="22"/>
        </w:rPr>
        <w:t>31, 2017</w:t>
      </w:r>
      <w:r w:rsidRPr="00957875">
        <w:rPr>
          <w:rFonts w:cs="Arial"/>
          <w:szCs w:val="22"/>
        </w:rPr>
        <w:t>.</w:t>
      </w:r>
      <w:r w:rsidR="00F82278">
        <w:rPr>
          <w:rFonts w:cs="Arial"/>
          <w:szCs w:val="22"/>
        </w:rPr>
        <w:t xml:space="preserve"> </w:t>
      </w:r>
      <w:r>
        <w:rPr>
          <w:rFonts w:cs="Arial"/>
          <w:szCs w:val="22"/>
        </w:rPr>
        <w:t>The balance of</w:t>
      </w:r>
      <w:r w:rsidRPr="00957875">
        <w:rPr>
          <w:rFonts w:cs="Arial"/>
          <w:szCs w:val="22"/>
        </w:rPr>
        <w:t xml:space="preserve"> receivables from extrabudgetary funds (funds in trust)</w:t>
      </w:r>
      <w:r w:rsidR="00F82278">
        <w:rPr>
          <w:rFonts w:cs="Arial"/>
          <w:szCs w:val="22"/>
        </w:rPr>
        <w:t xml:space="preserve"> at the end of 2019 totaled 43,876</w:t>
      </w:r>
      <w:r w:rsidR="00F5247E">
        <w:rPr>
          <w:rFonts w:cs="Arial"/>
          <w:szCs w:val="22"/>
        </w:rPr>
        <w:t> Swiss francs</w:t>
      </w:r>
      <w:r>
        <w:rPr>
          <w:rFonts w:cs="Arial"/>
          <w:szCs w:val="22"/>
        </w:rPr>
        <w:t>, whereas at the end of 2017 there were no receivables from these funds</w:t>
      </w:r>
      <w:r w:rsidRPr="00957875">
        <w:rPr>
          <w:rFonts w:cs="Arial"/>
          <w:szCs w:val="22"/>
        </w:rPr>
        <w:t>.</w:t>
      </w:r>
    </w:p>
    <w:p w:rsidR="00F82278" w:rsidRDefault="00F82278" w:rsidP="00DE67C2">
      <w:pPr>
        <w:rPr>
          <w:rFonts w:cs="Arial"/>
          <w:szCs w:val="22"/>
        </w:rPr>
      </w:pPr>
      <w:r>
        <w:rPr>
          <w:rFonts w:cs="Arial"/>
          <w:szCs w:val="22"/>
        </w:rPr>
        <w:br w:type="page"/>
      </w:r>
    </w:p>
    <w:p w:rsidR="00F82278" w:rsidRPr="00957875" w:rsidRDefault="00F82278" w:rsidP="00F82278">
      <w:pPr>
        <w:rPr>
          <w:rFonts w:cs="Arial"/>
          <w:b/>
        </w:rPr>
      </w:pPr>
      <w:r w:rsidRPr="00957875">
        <w:rPr>
          <w:rFonts w:cs="Arial"/>
          <w:b/>
        </w:rPr>
        <w:lastRenderedPageBreak/>
        <w:t>Employee Benefits</w:t>
      </w:r>
    </w:p>
    <w:p w:rsidR="00F82278" w:rsidRPr="00957875" w:rsidRDefault="00F82278" w:rsidP="00F82278">
      <w:pPr>
        <w:rPr>
          <w:rFonts w:cs="Arial"/>
          <w:b/>
        </w:rPr>
      </w:pPr>
    </w:p>
    <w:p w:rsidR="00F82278" w:rsidRDefault="00E37835" w:rsidP="00F82278">
      <w:pPr>
        <w:spacing w:line="276" w:lineRule="auto"/>
        <w:rPr>
          <w:rFonts w:cs="Arial"/>
          <w:b/>
        </w:rPr>
      </w:pPr>
      <w:r w:rsidRPr="00E37835">
        <w:rPr>
          <w:noProof/>
        </w:rPr>
        <w:drawing>
          <wp:inline distT="0" distB="0" distL="0" distR="0">
            <wp:extent cx="6120765" cy="125681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256816"/>
                    </a:xfrm>
                    <a:prstGeom prst="rect">
                      <a:avLst/>
                    </a:prstGeom>
                    <a:noFill/>
                    <a:ln>
                      <a:noFill/>
                    </a:ln>
                  </pic:spPr>
                </pic:pic>
              </a:graphicData>
            </a:graphic>
          </wp:inline>
        </w:drawing>
      </w:r>
    </w:p>
    <w:p w:rsidR="00F82278" w:rsidRPr="00957875" w:rsidRDefault="00F82278" w:rsidP="00F82278">
      <w:pPr>
        <w:spacing w:line="276" w:lineRule="auto"/>
        <w:rPr>
          <w:rFonts w:cs="Arial"/>
          <w:b/>
        </w:rPr>
      </w:pPr>
    </w:p>
    <w:p w:rsidR="00F82278" w:rsidRPr="00957875" w:rsidRDefault="00F82278" w:rsidP="00F82278">
      <w:pPr>
        <w:rPr>
          <w:rFonts w:cs="Arial"/>
        </w:rPr>
      </w:pPr>
      <w:r w:rsidRPr="00957875">
        <w:rPr>
          <w:rFonts w:cs="Arial"/>
        </w:rPr>
        <w:t>As can be seen from the table above, by far the most significant employee benefit liability for U</w:t>
      </w:r>
      <w:r>
        <w:rPr>
          <w:rFonts w:cs="Arial"/>
        </w:rPr>
        <w:t>POV is ASHI, which represents 86.0</w:t>
      </w:r>
      <w:r w:rsidR="00F45090">
        <w:rPr>
          <w:rFonts w:cs="Arial"/>
        </w:rPr>
        <w:t> per cent</w:t>
      </w:r>
      <w:r w:rsidRPr="00957875">
        <w:rPr>
          <w:rFonts w:cs="Arial"/>
        </w:rPr>
        <w:t xml:space="preserve"> of the total employee benefit l</w:t>
      </w:r>
      <w:r>
        <w:rPr>
          <w:rFonts w:cs="Arial"/>
        </w:rPr>
        <w:t>iability as at December 31, 2019</w:t>
      </w:r>
      <w:r w:rsidRPr="00957875">
        <w:rPr>
          <w:rFonts w:cs="Arial"/>
        </w:rPr>
        <w:t>.</w:t>
      </w:r>
      <w:r>
        <w:rPr>
          <w:rFonts w:cs="Arial"/>
        </w:rPr>
        <w:t xml:space="preserve"> Over the period of the 2018-2019 Biennium t</w:t>
      </w:r>
      <w:r w:rsidRPr="00957875">
        <w:rPr>
          <w:rFonts w:cs="Arial"/>
        </w:rPr>
        <w:t xml:space="preserve">he ASHI </w:t>
      </w:r>
      <w:r>
        <w:rPr>
          <w:rFonts w:cs="Arial"/>
        </w:rPr>
        <w:t>liability decreased by 183,071</w:t>
      </w:r>
      <w:r w:rsidR="00F5247E">
        <w:rPr>
          <w:rFonts w:cs="Arial"/>
        </w:rPr>
        <w:t> Swiss francs</w:t>
      </w:r>
      <w:r w:rsidRPr="00957875">
        <w:rPr>
          <w:rFonts w:cs="Arial"/>
        </w:rPr>
        <w:t>, and this movement is detailed in the table below:</w:t>
      </w:r>
    </w:p>
    <w:p w:rsidR="00F82278" w:rsidRPr="00957875" w:rsidRDefault="00F82278" w:rsidP="00F82278">
      <w:pPr>
        <w:spacing w:line="276" w:lineRule="auto"/>
        <w:rPr>
          <w:rFonts w:cs="Arial"/>
        </w:rPr>
      </w:pPr>
    </w:p>
    <w:p w:rsidR="00F82278" w:rsidRDefault="00F82278" w:rsidP="00F82278">
      <w:pPr>
        <w:spacing w:line="276" w:lineRule="auto"/>
        <w:jc w:val="center"/>
        <w:rPr>
          <w:rFonts w:cs="Arial"/>
        </w:rPr>
      </w:pPr>
      <w:r w:rsidRPr="00F82278">
        <w:rPr>
          <w:noProof/>
        </w:rPr>
        <w:drawing>
          <wp:inline distT="0" distB="0" distL="0" distR="0">
            <wp:extent cx="4831080" cy="15163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31080" cy="1516380"/>
                    </a:xfrm>
                    <a:prstGeom prst="rect">
                      <a:avLst/>
                    </a:prstGeom>
                    <a:noFill/>
                    <a:ln>
                      <a:noFill/>
                    </a:ln>
                  </pic:spPr>
                </pic:pic>
              </a:graphicData>
            </a:graphic>
          </wp:inline>
        </w:drawing>
      </w:r>
    </w:p>
    <w:p w:rsidR="00F82278" w:rsidRPr="00957875" w:rsidRDefault="00F82278" w:rsidP="00F82278">
      <w:pPr>
        <w:spacing w:line="276" w:lineRule="auto"/>
        <w:jc w:val="center"/>
        <w:rPr>
          <w:rFonts w:cs="Arial"/>
        </w:rPr>
      </w:pPr>
    </w:p>
    <w:p w:rsidR="00F82278" w:rsidRPr="00957875" w:rsidRDefault="00F82278" w:rsidP="00F82278">
      <w:pPr>
        <w:rPr>
          <w:rFonts w:cs="Arial"/>
          <w:b/>
        </w:rPr>
      </w:pPr>
      <w:r w:rsidRPr="00957875">
        <w:rPr>
          <w:rFonts w:eastAsia="SimSun" w:cs="Arial"/>
          <w:lang w:eastAsia="zh-CN"/>
        </w:rPr>
        <w:t xml:space="preserve">The liability is calculated by an independent actuary, and reflects the total future cost of UPOV’s share of collective medical insurance premiums for both existing UPOV retirees and the projected number of active UPOV staff who will retire in the future. </w:t>
      </w:r>
      <w:r w:rsidRPr="00957875">
        <w:rPr>
          <w:rFonts w:cs="Arial"/>
          <w:szCs w:val="22"/>
        </w:rPr>
        <w:t>The current service cost in the table above is the net impact of employee service performed for the</w:t>
      </w:r>
      <w:r w:rsidR="005F53B8">
        <w:rPr>
          <w:rFonts w:cs="Arial"/>
          <w:szCs w:val="22"/>
        </w:rPr>
        <w:t xml:space="preserve"> 2018-2019</w:t>
      </w:r>
      <w:r w:rsidRPr="00957875">
        <w:rPr>
          <w:rFonts w:cs="Arial"/>
          <w:szCs w:val="22"/>
        </w:rPr>
        <w:t xml:space="preserve"> Biennium. The interest cost is the result of each member of the active staff moving closer to the age of eligibility for ASHI participation. The benefits paid out by UPOV during the biennium are the monthly contributions (currently 65.0</w:t>
      </w:r>
      <w:r w:rsidR="00F45090">
        <w:rPr>
          <w:rFonts w:cs="Arial"/>
          <w:szCs w:val="22"/>
        </w:rPr>
        <w:t> per cent</w:t>
      </w:r>
      <w:r w:rsidRPr="00957875">
        <w:rPr>
          <w:rFonts w:cs="Arial"/>
          <w:szCs w:val="22"/>
        </w:rPr>
        <w:t xml:space="preserve"> of premiums) that UPOV makes for retirees participating in ASHI. </w:t>
      </w:r>
      <w:r>
        <w:rPr>
          <w:rFonts w:cs="Arial"/>
          <w:szCs w:val="22"/>
        </w:rPr>
        <w:t>Actuarial gains and losses result from changes to actuarial assumptions, including the discount rate, medical cost trend rates, staff turnover rates and mortality rates</w:t>
      </w:r>
      <w:r w:rsidRPr="00FD155D">
        <w:rPr>
          <w:rFonts w:cs="Arial"/>
        </w:rPr>
        <w:t>.</w:t>
      </w:r>
      <w:r w:rsidRPr="00FD155D">
        <w:rPr>
          <w:rFonts w:eastAsia="SimSun" w:cs="Arial"/>
          <w:lang w:eastAsia="zh-CN"/>
        </w:rPr>
        <w:t xml:space="preserve"> </w:t>
      </w:r>
      <w:r w:rsidR="00FD155D" w:rsidRPr="00FD155D">
        <w:rPr>
          <w:rFonts w:cs="Arial"/>
          <w:noProof/>
        </w:rPr>
        <w:t>For the 2019 actuarial calculat</w:t>
      </w:r>
      <w:r w:rsidR="00FD155D">
        <w:rPr>
          <w:rFonts w:cs="Arial"/>
          <w:noProof/>
        </w:rPr>
        <w:t>ions, UPOV</w:t>
      </w:r>
      <w:r w:rsidR="00FD155D" w:rsidRPr="00FD155D">
        <w:rPr>
          <w:rFonts w:cs="Arial"/>
          <w:noProof/>
        </w:rPr>
        <w:t xml:space="preserve"> modified certain actuarial assumptions and methodologies to align more closely to</w:t>
      </w:r>
      <w:r w:rsidR="00FD155D">
        <w:rPr>
          <w:rFonts w:cs="Arial"/>
          <w:noProof/>
        </w:rPr>
        <w:t xml:space="preserve"> the relevant provisions of the</w:t>
      </w:r>
      <w:r w:rsidR="00FD155D" w:rsidRPr="00FD155D">
        <w:rPr>
          <w:rFonts w:cs="Arial"/>
          <w:noProof/>
        </w:rPr>
        <w:t xml:space="preserve"> employee benefit. The 2019 discount rates were established with reference to the underlying cur</w:t>
      </w:r>
      <w:r w:rsidR="00FD155D">
        <w:rPr>
          <w:rFonts w:cs="Arial"/>
          <w:noProof/>
        </w:rPr>
        <w:t xml:space="preserve">rency </w:t>
      </w:r>
      <w:r w:rsidR="00FD155D" w:rsidRPr="00FD155D">
        <w:rPr>
          <w:rFonts w:cs="Arial"/>
          <w:noProof/>
        </w:rPr>
        <w:t>of medical claims. In addition, the attribution of costs was modified to reflect the qualifying period of service and accrued benefit at the valuation date, as opposed to a linear attribution over the period of employment. These changes, combined with other movements in actuarial assumptions, largely explain the overall actuarial gain over the 2018-2019 Biennium</w:t>
      </w:r>
      <w:r w:rsidR="00FD155D">
        <w:rPr>
          <w:rFonts w:cs="Arial"/>
          <w:noProof/>
          <w:sz w:val="18"/>
          <w:szCs w:val="18"/>
        </w:rPr>
        <w:t>.</w:t>
      </w:r>
    </w:p>
    <w:p w:rsidR="00F82278" w:rsidRPr="00957875" w:rsidRDefault="00F82278" w:rsidP="00F82278">
      <w:pPr>
        <w:rPr>
          <w:rFonts w:cs="Arial"/>
          <w:b/>
        </w:rPr>
      </w:pPr>
    </w:p>
    <w:p w:rsidR="00F82278" w:rsidRPr="00957875" w:rsidRDefault="00F82278" w:rsidP="00F82278">
      <w:pPr>
        <w:spacing w:line="276" w:lineRule="auto"/>
        <w:rPr>
          <w:rFonts w:cs="Arial"/>
          <w:b/>
        </w:rPr>
      </w:pPr>
      <w:r w:rsidRPr="00957875">
        <w:rPr>
          <w:rFonts w:cs="Arial"/>
          <w:b/>
        </w:rPr>
        <w:t>Advance Receipts</w:t>
      </w:r>
    </w:p>
    <w:p w:rsidR="00F82278" w:rsidRPr="00957875" w:rsidRDefault="00F82278" w:rsidP="00F82278">
      <w:pPr>
        <w:rPr>
          <w:rFonts w:cs="Arial"/>
          <w:b/>
        </w:rPr>
      </w:pPr>
    </w:p>
    <w:p w:rsidR="00F82278" w:rsidRDefault="00FD155D" w:rsidP="00F82278">
      <w:pPr>
        <w:spacing w:line="276" w:lineRule="auto"/>
        <w:rPr>
          <w:rFonts w:cs="Arial"/>
          <w:b/>
        </w:rPr>
      </w:pPr>
      <w:r w:rsidRPr="00FD155D">
        <w:rPr>
          <w:noProof/>
        </w:rPr>
        <w:drawing>
          <wp:inline distT="0" distB="0" distL="0" distR="0">
            <wp:extent cx="6120765" cy="1141516"/>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141516"/>
                    </a:xfrm>
                    <a:prstGeom prst="rect">
                      <a:avLst/>
                    </a:prstGeom>
                    <a:noFill/>
                    <a:ln>
                      <a:noFill/>
                    </a:ln>
                  </pic:spPr>
                </pic:pic>
              </a:graphicData>
            </a:graphic>
          </wp:inline>
        </w:drawing>
      </w:r>
    </w:p>
    <w:p w:rsidR="00FD155D" w:rsidRPr="00957875" w:rsidRDefault="00FD155D" w:rsidP="00F82278">
      <w:pPr>
        <w:spacing w:line="276" w:lineRule="auto"/>
        <w:rPr>
          <w:rFonts w:cs="Arial"/>
          <w:b/>
        </w:rPr>
      </w:pPr>
    </w:p>
    <w:p w:rsidR="00F82278" w:rsidRPr="00957875" w:rsidRDefault="00F82278" w:rsidP="00F82278">
      <w:pPr>
        <w:pStyle w:val="Style3"/>
        <w:spacing w:after="0"/>
        <w:rPr>
          <w:rFonts w:cs="Arial"/>
        </w:rPr>
      </w:pPr>
      <w:r w:rsidRPr="00957875">
        <w:rPr>
          <w:rFonts w:cs="Arial"/>
          <w:sz w:val="20"/>
        </w:rPr>
        <w:t>Contributions received in advance are recorded as advance receipt liabilities and are recognized as revenue in the year to which they relate. Extrabudgetary funds from donors to funds in trust containing conditions related to performance are treated as deferred revenue until the conditions are fulfilled, whereupon revenue is recognized</w:t>
      </w:r>
      <w:r w:rsidRPr="00957875">
        <w:rPr>
          <w:rFonts w:cs="Arial"/>
        </w:rPr>
        <w:t>.</w:t>
      </w:r>
    </w:p>
    <w:p w:rsidR="00F82278" w:rsidRPr="00957875" w:rsidRDefault="00F82278" w:rsidP="00F82278">
      <w:pPr>
        <w:spacing w:line="276" w:lineRule="auto"/>
        <w:rPr>
          <w:rFonts w:cs="Arial"/>
          <w:b/>
        </w:rPr>
      </w:pPr>
    </w:p>
    <w:p w:rsidR="00F82278" w:rsidRPr="00957875" w:rsidRDefault="00F82278" w:rsidP="00F82278">
      <w:pPr>
        <w:rPr>
          <w:rFonts w:cs="Arial"/>
          <w:b/>
        </w:rPr>
      </w:pPr>
      <w:r w:rsidRPr="00957875">
        <w:rPr>
          <w:rFonts w:cs="Arial"/>
          <w:b/>
        </w:rPr>
        <w:br w:type="page"/>
      </w:r>
    </w:p>
    <w:p w:rsidR="00F82278" w:rsidRPr="00957875" w:rsidRDefault="00F82278" w:rsidP="00F82278">
      <w:pPr>
        <w:spacing w:line="276" w:lineRule="auto"/>
        <w:rPr>
          <w:rFonts w:cs="Arial"/>
          <w:b/>
        </w:rPr>
      </w:pPr>
      <w:r>
        <w:rPr>
          <w:rFonts w:cs="Arial"/>
          <w:b/>
        </w:rPr>
        <w:lastRenderedPageBreak/>
        <w:t xml:space="preserve">Payables and </w:t>
      </w:r>
      <w:r w:rsidRPr="00957875">
        <w:rPr>
          <w:rFonts w:cs="Arial"/>
          <w:b/>
        </w:rPr>
        <w:t>Other Liabilities</w:t>
      </w:r>
    </w:p>
    <w:p w:rsidR="00F82278" w:rsidRPr="00957875" w:rsidRDefault="00F82278" w:rsidP="00F82278">
      <w:pPr>
        <w:spacing w:line="276" w:lineRule="auto"/>
        <w:rPr>
          <w:rFonts w:cs="Arial"/>
          <w:b/>
        </w:rPr>
      </w:pPr>
    </w:p>
    <w:p w:rsidR="00F82278" w:rsidRDefault="00912FBE" w:rsidP="00F82278">
      <w:pPr>
        <w:spacing w:line="276" w:lineRule="auto"/>
        <w:rPr>
          <w:rFonts w:cs="Arial"/>
          <w:b/>
        </w:rPr>
      </w:pPr>
      <w:r w:rsidRPr="00912FBE">
        <w:rPr>
          <w:noProof/>
        </w:rPr>
        <w:drawing>
          <wp:inline distT="0" distB="0" distL="0" distR="0">
            <wp:extent cx="6120765" cy="142864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428645"/>
                    </a:xfrm>
                    <a:prstGeom prst="rect">
                      <a:avLst/>
                    </a:prstGeom>
                    <a:noFill/>
                    <a:ln>
                      <a:noFill/>
                    </a:ln>
                  </pic:spPr>
                </pic:pic>
              </a:graphicData>
            </a:graphic>
          </wp:inline>
        </w:drawing>
      </w:r>
    </w:p>
    <w:p w:rsidR="007D0EF5" w:rsidRPr="00957875" w:rsidRDefault="007D0EF5" w:rsidP="00F82278">
      <w:pPr>
        <w:spacing w:line="276" w:lineRule="auto"/>
        <w:rPr>
          <w:rFonts w:cs="Arial"/>
          <w:b/>
        </w:rPr>
      </w:pPr>
    </w:p>
    <w:p w:rsidR="00F82278" w:rsidRDefault="00F82278" w:rsidP="00F82278">
      <w:pPr>
        <w:rPr>
          <w:rFonts w:cs="Arial"/>
        </w:rPr>
      </w:pPr>
      <w:r>
        <w:rPr>
          <w:rFonts w:cs="Arial"/>
        </w:rPr>
        <w:t>Payables and o</w:t>
      </w:r>
      <w:r w:rsidRPr="00957875">
        <w:rPr>
          <w:rFonts w:cs="Arial"/>
        </w:rPr>
        <w:t>ther liabilities</w:t>
      </w:r>
      <w:r w:rsidR="007D0EF5">
        <w:rPr>
          <w:rFonts w:cs="Arial"/>
        </w:rPr>
        <w:t xml:space="preserve"> totaled 863,216</w:t>
      </w:r>
      <w:r w:rsidR="00F5247E">
        <w:rPr>
          <w:rFonts w:cs="Arial"/>
        </w:rPr>
        <w:t> Swiss francs</w:t>
      </w:r>
      <w:r>
        <w:rPr>
          <w:rFonts w:cs="Arial"/>
        </w:rPr>
        <w:t xml:space="preserve"> as at Dec</w:t>
      </w:r>
      <w:r w:rsidR="007D0EF5">
        <w:rPr>
          <w:rFonts w:cs="Arial"/>
        </w:rPr>
        <w:t>ember 31, 2019</w:t>
      </w:r>
      <w:r>
        <w:rPr>
          <w:rFonts w:cs="Arial"/>
        </w:rPr>
        <w:t>.</w:t>
      </w:r>
      <w:r w:rsidRPr="00957875">
        <w:rPr>
          <w:rFonts w:cs="Arial"/>
        </w:rPr>
        <w:t xml:space="preserve"> </w:t>
      </w:r>
      <w:r>
        <w:rPr>
          <w:rFonts w:cs="Arial"/>
        </w:rPr>
        <w:t>These are almost entirely comprised of</w:t>
      </w:r>
      <w:r w:rsidRPr="00957875">
        <w:rPr>
          <w:rFonts w:cs="Arial"/>
        </w:rPr>
        <w:t xml:space="preserve"> amounts payable to WIP</w:t>
      </w:r>
      <w:r>
        <w:rPr>
          <w:rFonts w:cs="Arial"/>
        </w:rPr>
        <w:t>O.</w:t>
      </w:r>
    </w:p>
    <w:p w:rsidR="00590909" w:rsidRPr="00957875" w:rsidRDefault="00590909" w:rsidP="00F82278">
      <w:pPr>
        <w:rPr>
          <w:rFonts w:cs="Arial"/>
        </w:rPr>
      </w:pPr>
    </w:p>
    <w:p w:rsidR="00DE67C2" w:rsidRPr="00957875" w:rsidRDefault="00DE67C2" w:rsidP="00DE67C2">
      <w:pPr>
        <w:rPr>
          <w:rFonts w:cs="Arial"/>
          <w:b/>
        </w:rPr>
      </w:pPr>
    </w:p>
    <w:p w:rsidR="00590909" w:rsidRPr="00957875" w:rsidRDefault="00590909" w:rsidP="00E17281">
      <w:pPr>
        <w:pStyle w:val="Heading2"/>
      </w:pPr>
      <w:bookmarkStart w:id="42" w:name="_Toc522808858"/>
      <w:bookmarkStart w:id="43" w:name="_Toc48833489"/>
      <w:r w:rsidRPr="00957875">
        <w:t>Analysis of Statement of Financial Performance</w:t>
      </w:r>
      <w:bookmarkEnd w:id="42"/>
      <w:bookmarkEnd w:id="43"/>
    </w:p>
    <w:p w:rsidR="00590909" w:rsidRDefault="00590909" w:rsidP="00590909">
      <w:pPr>
        <w:keepNext/>
        <w:spacing w:line="276" w:lineRule="auto"/>
        <w:rPr>
          <w:rFonts w:cs="Arial"/>
          <w:b/>
        </w:rPr>
      </w:pPr>
    </w:p>
    <w:p w:rsidR="00590909" w:rsidRPr="00957875" w:rsidRDefault="00590909" w:rsidP="00590909">
      <w:pPr>
        <w:keepNext/>
        <w:spacing w:line="276" w:lineRule="auto"/>
        <w:rPr>
          <w:rFonts w:cs="Arial"/>
          <w:b/>
        </w:rPr>
      </w:pPr>
      <w:r w:rsidRPr="00957875">
        <w:rPr>
          <w:rFonts w:cs="Arial"/>
          <w:b/>
        </w:rPr>
        <w:t>Revenue</w:t>
      </w:r>
    </w:p>
    <w:p w:rsidR="00590909" w:rsidRPr="00957875" w:rsidRDefault="00590909" w:rsidP="00590909">
      <w:pPr>
        <w:keepNext/>
        <w:spacing w:line="276" w:lineRule="auto"/>
        <w:rPr>
          <w:rFonts w:cs="Arial"/>
          <w:b/>
        </w:rPr>
      </w:pPr>
    </w:p>
    <w:p w:rsidR="00590909" w:rsidRDefault="00590909" w:rsidP="00590909">
      <w:pPr>
        <w:spacing w:line="276" w:lineRule="auto"/>
        <w:jc w:val="center"/>
        <w:rPr>
          <w:rFonts w:cs="Arial"/>
          <w:b/>
        </w:rPr>
      </w:pPr>
      <w:r w:rsidRPr="00590909">
        <w:rPr>
          <w:noProof/>
        </w:rPr>
        <w:drawing>
          <wp:inline distT="0" distB="0" distL="0" distR="0">
            <wp:extent cx="6120765" cy="16840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684095"/>
                    </a:xfrm>
                    <a:prstGeom prst="rect">
                      <a:avLst/>
                    </a:prstGeom>
                    <a:noFill/>
                    <a:ln>
                      <a:noFill/>
                    </a:ln>
                  </pic:spPr>
                </pic:pic>
              </a:graphicData>
            </a:graphic>
          </wp:inline>
        </w:drawing>
      </w:r>
    </w:p>
    <w:p w:rsidR="00590909" w:rsidRPr="00957875" w:rsidRDefault="00590909" w:rsidP="00590909">
      <w:pPr>
        <w:spacing w:line="276" w:lineRule="auto"/>
        <w:jc w:val="center"/>
        <w:rPr>
          <w:rFonts w:cs="Arial"/>
          <w:b/>
        </w:rPr>
      </w:pPr>
    </w:p>
    <w:p w:rsidR="00590909" w:rsidRPr="00957875" w:rsidRDefault="00590909" w:rsidP="00590909">
      <w:pPr>
        <w:rPr>
          <w:rFonts w:cs="Arial"/>
          <w:b/>
        </w:rPr>
      </w:pPr>
      <w:r w:rsidRPr="00957875">
        <w:rPr>
          <w:rFonts w:cs="Arial"/>
          <w:szCs w:val="22"/>
        </w:rPr>
        <w:t>Contributions under the Program and Budget represent amounts payable at the start of each year of the biennium. Extrabudgetary funds under funds in trust represent revenue received in connection with contributions made by donors to individual projects not included in the Program and Budget. Revenue from extrabudgetary funds (funds in trust) is deferred until earned through the fulfillment of the performance conditions included in the donor agreement.</w:t>
      </w:r>
    </w:p>
    <w:p w:rsidR="00590909" w:rsidRPr="00957875" w:rsidRDefault="00590909" w:rsidP="00590909">
      <w:pPr>
        <w:rPr>
          <w:rFonts w:cs="Arial"/>
          <w:b/>
        </w:rPr>
      </w:pPr>
    </w:p>
    <w:p w:rsidR="00590909" w:rsidRPr="00957875" w:rsidRDefault="00590909" w:rsidP="00590909">
      <w:pPr>
        <w:spacing w:line="276" w:lineRule="auto"/>
        <w:rPr>
          <w:rFonts w:cs="Arial"/>
          <w:b/>
        </w:rPr>
      </w:pPr>
      <w:r w:rsidRPr="00957875">
        <w:rPr>
          <w:rFonts w:cs="Arial"/>
          <w:b/>
        </w:rPr>
        <w:t>Expenses</w:t>
      </w:r>
    </w:p>
    <w:p w:rsidR="00590909" w:rsidRPr="00957875" w:rsidRDefault="00590909" w:rsidP="00590909">
      <w:pPr>
        <w:rPr>
          <w:rFonts w:cs="Arial"/>
          <w:b/>
        </w:rPr>
      </w:pPr>
    </w:p>
    <w:p w:rsidR="00590909" w:rsidRDefault="0071432A" w:rsidP="00590909">
      <w:pPr>
        <w:spacing w:line="276" w:lineRule="auto"/>
        <w:rPr>
          <w:rFonts w:cs="Arial"/>
        </w:rPr>
      </w:pPr>
      <w:r w:rsidRPr="0071432A">
        <w:rPr>
          <w:noProof/>
        </w:rPr>
        <w:drawing>
          <wp:inline distT="0" distB="0" distL="0" distR="0">
            <wp:extent cx="6120765" cy="231386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313861"/>
                    </a:xfrm>
                    <a:prstGeom prst="rect">
                      <a:avLst/>
                    </a:prstGeom>
                    <a:noFill/>
                    <a:ln>
                      <a:noFill/>
                    </a:ln>
                  </pic:spPr>
                </pic:pic>
              </a:graphicData>
            </a:graphic>
          </wp:inline>
        </w:drawing>
      </w:r>
    </w:p>
    <w:p w:rsidR="00302FA1" w:rsidRPr="00957875" w:rsidRDefault="00302FA1" w:rsidP="00590909">
      <w:pPr>
        <w:spacing w:line="276" w:lineRule="auto"/>
        <w:rPr>
          <w:rFonts w:cs="Arial"/>
        </w:rPr>
      </w:pPr>
    </w:p>
    <w:p w:rsidR="00590909" w:rsidRPr="00E17281" w:rsidRDefault="00590909" w:rsidP="00E17281">
      <w:pPr>
        <w:pStyle w:val="Styletexte"/>
        <w:spacing w:after="0"/>
        <w:rPr>
          <w:rFonts w:cs="Arial"/>
          <w:sz w:val="20"/>
        </w:rPr>
      </w:pPr>
      <w:r w:rsidRPr="00E17281">
        <w:rPr>
          <w:rFonts w:cs="Arial"/>
          <w:sz w:val="20"/>
        </w:rPr>
        <w:t>Personnel expenditure includes employee benefits such as base salary, post adjustment, dependents’ allowance, pension contributions, health and other insurance contributions, home leave and other entitlements. Under IPSAS, personnel expenditure also includes certain amounts for the movements in after-service employee benefit liabilities.</w:t>
      </w:r>
      <w:r w:rsidR="00E57E0C">
        <w:rPr>
          <w:rFonts w:cs="Arial"/>
          <w:sz w:val="20"/>
        </w:rPr>
        <w:t xml:space="preserve"> </w:t>
      </w:r>
      <w:r w:rsidR="00302FA1" w:rsidRPr="00E17281">
        <w:rPr>
          <w:rFonts w:cs="Arial"/>
          <w:sz w:val="20"/>
        </w:rPr>
        <w:t>Travel, training and grants</w:t>
      </w:r>
      <w:r w:rsidRPr="00E17281">
        <w:rPr>
          <w:rFonts w:cs="Arial"/>
          <w:sz w:val="20"/>
        </w:rPr>
        <w:t xml:space="preserve"> includes the costs of airfare, daily subsistence </w:t>
      </w:r>
      <w:r w:rsidRPr="00E17281">
        <w:rPr>
          <w:rFonts w:cs="Arial"/>
          <w:sz w:val="20"/>
        </w:rPr>
        <w:lastRenderedPageBreak/>
        <w:t>allowances, terminal al</w:t>
      </w:r>
      <w:r w:rsidR="003A4976">
        <w:rPr>
          <w:rFonts w:cs="Arial"/>
          <w:sz w:val="20"/>
        </w:rPr>
        <w:t>lowances and other travel costs</w:t>
      </w:r>
      <w:r w:rsidR="00E57E0C">
        <w:rPr>
          <w:rFonts w:cs="Arial"/>
          <w:sz w:val="20"/>
        </w:rPr>
        <w:t xml:space="preserve"> </w:t>
      </w:r>
      <w:r w:rsidRPr="00E17281">
        <w:rPr>
          <w:rFonts w:cs="Arial"/>
          <w:sz w:val="20"/>
        </w:rPr>
        <w:t>for staff on official busin</w:t>
      </w:r>
      <w:r w:rsidR="00302FA1" w:rsidRPr="00E17281">
        <w:rPr>
          <w:rFonts w:cs="Arial"/>
          <w:sz w:val="20"/>
        </w:rPr>
        <w:t>ess</w:t>
      </w:r>
      <w:r w:rsidR="003A4976">
        <w:rPr>
          <w:rFonts w:cs="Arial"/>
          <w:sz w:val="20"/>
        </w:rPr>
        <w:t xml:space="preserve"> and travel for participants and lecturers in connection with training activities</w:t>
      </w:r>
      <w:r w:rsidRPr="00E17281">
        <w:rPr>
          <w:rFonts w:cs="Arial"/>
          <w:sz w:val="20"/>
        </w:rPr>
        <w:t>. Contractual services include translators, interpreters and other non-staff service agreements. Operating expenses include items such as premises rent, maintenance and bank charges.</w:t>
      </w:r>
    </w:p>
    <w:p w:rsidR="00050E16" w:rsidRDefault="00050E16" w:rsidP="001E6B5C">
      <w:pPr>
        <w:jc w:val="left"/>
      </w:pPr>
    </w:p>
    <w:p w:rsidR="00302FA1" w:rsidRPr="00957875" w:rsidRDefault="00302FA1" w:rsidP="00302FA1">
      <w:pPr>
        <w:pStyle w:val="Heading1"/>
        <w:rPr>
          <w:rFonts w:cs="Arial"/>
        </w:rPr>
      </w:pPr>
      <w:bookmarkStart w:id="44" w:name="_Toc460229927"/>
      <w:bookmarkStart w:id="45" w:name="_Toc522808859"/>
      <w:bookmarkStart w:id="46" w:name="_Toc48833490"/>
      <w:r w:rsidRPr="00957875">
        <w:rPr>
          <w:rFonts w:cs="Arial"/>
        </w:rPr>
        <w:t>WORKING CAPITAL FUND AND CONTRIBUTIONS</w:t>
      </w:r>
      <w:bookmarkEnd w:id="44"/>
      <w:bookmarkEnd w:id="45"/>
      <w:bookmarkEnd w:id="46"/>
    </w:p>
    <w:p w:rsidR="00302FA1" w:rsidRPr="00957875" w:rsidRDefault="00302FA1" w:rsidP="00302FA1">
      <w:pPr>
        <w:rPr>
          <w:rFonts w:cs="Arial"/>
        </w:rPr>
      </w:pPr>
    </w:p>
    <w:p w:rsidR="00302FA1" w:rsidRPr="00957875" w:rsidRDefault="00302FA1" w:rsidP="00E17281">
      <w:pPr>
        <w:pStyle w:val="Heading2"/>
      </w:pPr>
      <w:bookmarkStart w:id="47" w:name="_Toc460229928"/>
      <w:bookmarkStart w:id="48" w:name="_Toc522808860"/>
      <w:bookmarkStart w:id="49" w:name="_Toc48833491"/>
      <w:r w:rsidRPr="00957875">
        <w:t>Working Capital Fund as at December 31, 201</w:t>
      </w:r>
      <w:bookmarkEnd w:id="47"/>
      <w:bookmarkEnd w:id="48"/>
      <w:r>
        <w:t>9</w:t>
      </w:r>
      <w:bookmarkEnd w:id="49"/>
    </w:p>
    <w:p w:rsidR="00302FA1" w:rsidRPr="00957875" w:rsidRDefault="00302FA1" w:rsidP="00E17281">
      <w:pPr>
        <w:pStyle w:val="Heading2"/>
        <w:rPr>
          <w:snapToGrid w:val="0"/>
        </w:rPr>
      </w:pPr>
    </w:p>
    <w:p w:rsidR="003A4976" w:rsidRPr="003A4976" w:rsidRDefault="003A4976" w:rsidP="003A4976">
      <w:pPr>
        <w:rPr>
          <w:rFonts w:cs="Arial"/>
          <w:iCs/>
        </w:rPr>
      </w:pPr>
      <w:r w:rsidRPr="003A4976">
        <w:rPr>
          <w:rFonts w:cs="Arial"/>
          <w:iCs/>
        </w:rPr>
        <w:t>Under Regulation 4.2 of the Financial Regulations and Rules of UPOV (see document UPOV/INF/4/5), UPOV has a Working Capital Fund. According to the Statement of Financial Position as at December 31, 2019, the Working Capital Fund stands at 560,845</w:t>
      </w:r>
      <w:r w:rsidR="00F5247E">
        <w:rPr>
          <w:rFonts w:cs="Arial"/>
          <w:iCs/>
        </w:rPr>
        <w:t> Swiss francs</w:t>
      </w:r>
      <w:r w:rsidRPr="003A4976">
        <w:rPr>
          <w:rFonts w:cs="Arial"/>
          <w:iCs/>
        </w:rPr>
        <w:t>.  The share of each member of the Union, calculated in accordance with the decision taken by the Council at its twenty-third extraordinary session, held in Geneva on April 7, 2006 (see document C(Extr.)/23/5 “Report”, paragraph 12, Annex II and document UPOV/INF/13/2, Annex), is as follows:</w:t>
      </w:r>
    </w:p>
    <w:p w:rsidR="00302FA1" w:rsidRPr="00957875" w:rsidRDefault="00302FA1" w:rsidP="00302FA1">
      <w:pPr>
        <w:rPr>
          <w:rFonts w:cs="Arial"/>
          <w:snapToGrid w:val="0"/>
        </w:rPr>
      </w:pPr>
    </w:p>
    <w:p w:rsidR="00302FA1" w:rsidRPr="00957875" w:rsidRDefault="00103636" w:rsidP="00302FA1">
      <w:pPr>
        <w:jc w:val="center"/>
        <w:rPr>
          <w:rFonts w:cs="Arial"/>
        </w:rPr>
      </w:pPr>
      <w:r w:rsidRPr="00103636">
        <w:rPr>
          <w:noProof/>
        </w:rPr>
        <w:drawing>
          <wp:inline distT="0" distB="0" distL="0" distR="0">
            <wp:extent cx="5570220" cy="650105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76798" cy="6508730"/>
                    </a:xfrm>
                    <a:prstGeom prst="rect">
                      <a:avLst/>
                    </a:prstGeom>
                    <a:noFill/>
                    <a:ln>
                      <a:noFill/>
                    </a:ln>
                  </pic:spPr>
                </pic:pic>
              </a:graphicData>
            </a:graphic>
          </wp:inline>
        </w:drawing>
      </w:r>
    </w:p>
    <w:p w:rsidR="00302FA1" w:rsidRPr="00E17281" w:rsidRDefault="00302FA1" w:rsidP="00E17281">
      <w:pPr>
        <w:pStyle w:val="Heading2"/>
      </w:pPr>
      <w:bookmarkStart w:id="50" w:name="_Toc460229929"/>
      <w:bookmarkStart w:id="51" w:name="_Toc522808861"/>
      <w:bookmarkStart w:id="52" w:name="_Toc48833492"/>
      <w:r w:rsidRPr="00E17281">
        <w:lastRenderedPageBreak/>
        <w:t>Contributions of Members of the Union</w:t>
      </w:r>
      <w:bookmarkEnd w:id="50"/>
      <w:bookmarkEnd w:id="51"/>
      <w:bookmarkEnd w:id="52"/>
    </w:p>
    <w:p w:rsidR="00302FA1" w:rsidRPr="00957875" w:rsidRDefault="00302FA1" w:rsidP="00302FA1">
      <w:pPr>
        <w:keepNext/>
        <w:jc w:val="center"/>
        <w:rPr>
          <w:rFonts w:cs="Arial"/>
        </w:rPr>
      </w:pPr>
      <w:r w:rsidRPr="00957875">
        <w:rPr>
          <w:rFonts w:cs="Arial"/>
          <w:i/>
        </w:rPr>
        <w:t>(Swiss francs)</w:t>
      </w:r>
    </w:p>
    <w:p w:rsidR="00302FA1" w:rsidRPr="00957875" w:rsidRDefault="00302FA1" w:rsidP="00E17281">
      <w:pPr>
        <w:keepNext/>
        <w:rPr>
          <w:rFonts w:cs="Arial"/>
        </w:rPr>
      </w:pPr>
    </w:p>
    <w:p w:rsidR="00302FA1" w:rsidRPr="00957875" w:rsidRDefault="00E17281" w:rsidP="00302FA1">
      <w:pPr>
        <w:jc w:val="center"/>
        <w:rPr>
          <w:rFonts w:cs="Arial"/>
        </w:rPr>
      </w:pPr>
      <w:r w:rsidRPr="00E17281">
        <w:rPr>
          <w:noProof/>
        </w:rPr>
        <w:drawing>
          <wp:inline distT="0" distB="0" distL="0" distR="0">
            <wp:extent cx="4861560" cy="74218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61560" cy="7421880"/>
                    </a:xfrm>
                    <a:prstGeom prst="rect">
                      <a:avLst/>
                    </a:prstGeom>
                    <a:noFill/>
                    <a:ln>
                      <a:noFill/>
                    </a:ln>
                  </pic:spPr>
                </pic:pic>
              </a:graphicData>
            </a:graphic>
          </wp:inline>
        </w:drawing>
      </w:r>
    </w:p>
    <w:p w:rsidR="00302FA1" w:rsidRPr="00957875" w:rsidRDefault="00302FA1" w:rsidP="00302FA1">
      <w:pPr>
        <w:rPr>
          <w:rFonts w:cs="Arial"/>
        </w:rPr>
      </w:pPr>
      <w:r w:rsidRPr="00957875">
        <w:rPr>
          <w:rFonts w:cs="Arial"/>
        </w:rPr>
        <w:br w:type="page"/>
      </w:r>
    </w:p>
    <w:p w:rsidR="00302FA1" w:rsidRPr="00957875" w:rsidRDefault="00E17281" w:rsidP="00302FA1">
      <w:pPr>
        <w:jc w:val="center"/>
        <w:rPr>
          <w:rFonts w:cs="Arial"/>
        </w:rPr>
      </w:pPr>
      <w:r w:rsidRPr="00E17281">
        <w:rPr>
          <w:noProof/>
        </w:rPr>
        <w:lastRenderedPageBreak/>
        <w:drawing>
          <wp:inline distT="0" distB="0" distL="0" distR="0">
            <wp:extent cx="4861560" cy="61417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61560" cy="6141720"/>
                    </a:xfrm>
                    <a:prstGeom prst="rect">
                      <a:avLst/>
                    </a:prstGeom>
                    <a:noFill/>
                    <a:ln>
                      <a:noFill/>
                    </a:ln>
                  </pic:spPr>
                </pic:pic>
              </a:graphicData>
            </a:graphic>
          </wp:inline>
        </w:drawing>
      </w:r>
    </w:p>
    <w:p w:rsidR="00302FA1" w:rsidRPr="00957875" w:rsidRDefault="00302FA1" w:rsidP="00E17281">
      <w:pPr>
        <w:pStyle w:val="Heading2"/>
      </w:pPr>
      <w:r w:rsidRPr="00957875">
        <w:br w:type="page"/>
      </w:r>
      <w:bookmarkStart w:id="53" w:name="_Toc460229930"/>
      <w:bookmarkStart w:id="54" w:name="_Toc522808862"/>
      <w:bookmarkStart w:id="55" w:name="_Toc48833493"/>
      <w:r w:rsidRPr="00957875">
        <w:lastRenderedPageBreak/>
        <w:t>Contribution Payments Received in Advance</w:t>
      </w:r>
      <w:bookmarkEnd w:id="53"/>
      <w:bookmarkEnd w:id="54"/>
      <w:bookmarkEnd w:id="55"/>
    </w:p>
    <w:p w:rsidR="00302FA1" w:rsidRPr="00957875" w:rsidRDefault="00302FA1" w:rsidP="00302FA1">
      <w:pPr>
        <w:rPr>
          <w:rFonts w:cs="Arial"/>
        </w:rPr>
      </w:pPr>
    </w:p>
    <w:p w:rsidR="00302FA1" w:rsidRPr="00957875" w:rsidRDefault="00E17281" w:rsidP="00302FA1">
      <w:pPr>
        <w:jc w:val="center"/>
        <w:rPr>
          <w:rFonts w:cs="Arial"/>
          <w:u w:val="single"/>
        </w:rPr>
      </w:pPr>
      <w:r w:rsidRPr="00E17281">
        <w:rPr>
          <w:noProof/>
        </w:rPr>
        <w:drawing>
          <wp:inline distT="0" distB="0" distL="0" distR="0">
            <wp:extent cx="4061460" cy="50596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61460" cy="5059680"/>
                    </a:xfrm>
                    <a:prstGeom prst="rect">
                      <a:avLst/>
                    </a:prstGeom>
                    <a:noFill/>
                    <a:ln>
                      <a:noFill/>
                    </a:ln>
                  </pic:spPr>
                </pic:pic>
              </a:graphicData>
            </a:graphic>
          </wp:inline>
        </w:drawing>
      </w:r>
    </w:p>
    <w:p w:rsidR="00302FA1" w:rsidRPr="00957875" w:rsidRDefault="00302FA1" w:rsidP="00302FA1">
      <w:pPr>
        <w:jc w:val="center"/>
        <w:rPr>
          <w:rFonts w:cs="Arial"/>
          <w:u w:val="single"/>
        </w:rPr>
      </w:pPr>
    </w:p>
    <w:p w:rsidR="00302FA1" w:rsidRPr="00957875" w:rsidRDefault="00302FA1" w:rsidP="00302FA1">
      <w:pPr>
        <w:jc w:val="center"/>
        <w:rPr>
          <w:rFonts w:cs="Arial"/>
          <w:u w:val="single"/>
        </w:rPr>
      </w:pPr>
    </w:p>
    <w:p w:rsidR="00302FA1" w:rsidRPr="00957875" w:rsidRDefault="00302FA1" w:rsidP="00302FA1">
      <w:pPr>
        <w:rPr>
          <w:rFonts w:cs="Arial"/>
          <w:u w:val="single"/>
        </w:rPr>
      </w:pPr>
      <w:r w:rsidRPr="00957875">
        <w:rPr>
          <w:rFonts w:cs="Arial"/>
        </w:rPr>
        <w:br w:type="page"/>
      </w:r>
    </w:p>
    <w:p w:rsidR="00302FA1" w:rsidRPr="00957875" w:rsidRDefault="00302FA1" w:rsidP="00E17281">
      <w:pPr>
        <w:pStyle w:val="Heading2"/>
      </w:pPr>
      <w:bookmarkStart w:id="56" w:name="_Toc460229931"/>
      <w:bookmarkStart w:id="57" w:name="_Toc522808863"/>
      <w:bookmarkStart w:id="58" w:name="_Toc48833494"/>
      <w:r w:rsidRPr="00957875">
        <w:lastRenderedPageBreak/>
        <w:t>Amounts of the Contributions Due and Unpaid Working Capital as at December 31, 201</w:t>
      </w:r>
      <w:bookmarkEnd w:id="56"/>
      <w:bookmarkEnd w:id="57"/>
      <w:r w:rsidR="00E17281">
        <w:t>9</w:t>
      </w:r>
      <w:bookmarkEnd w:id="58"/>
    </w:p>
    <w:p w:rsidR="00302FA1" w:rsidRPr="00957875" w:rsidRDefault="00302FA1" w:rsidP="00302FA1">
      <w:pPr>
        <w:jc w:val="center"/>
        <w:rPr>
          <w:rFonts w:cs="Arial"/>
        </w:rPr>
      </w:pPr>
    </w:p>
    <w:p w:rsidR="00302FA1" w:rsidRPr="00957875" w:rsidRDefault="001E647D" w:rsidP="00302FA1">
      <w:pPr>
        <w:jc w:val="center"/>
        <w:rPr>
          <w:rFonts w:cs="Arial"/>
          <w:b/>
          <w:caps/>
          <w:u w:val="single"/>
        </w:rPr>
      </w:pPr>
      <w:r w:rsidRPr="001E647D">
        <w:rPr>
          <w:noProof/>
        </w:rPr>
        <w:drawing>
          <wp:inline distT="0" distB="0" distL="0" distR="0">
            <wp:extent cx="5151120" cy="75514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51120" cy="7551420"/>
                    </a:xfrm>
                    <a:prstGeom prst="rect">
                      <a:avLst/>
                    </a:prstGeom>
                    <a:noFill/>
                    <a:ln>
                      <a:noFill/>
                    </a:ln>
                  </pic:spPr>
                </pic:pic>
              </a:graphicData>
            </a:graphic>
          </wp:inline>
        </w:drawing>
      </w:r>
      <w:r w:rsidR="00302FA1" w:rsidRPr="00957875">
        <w:rPr>
          <w:rFonts w:cs="Arial"/>
        </w:rPr>
        <w:t xml:space="preserve"> </w:t>
      </w:r>
      <w:r w:rsidR="00302FA1" w:rsidRPr="00957875">
        <w:rPr>
          <w:rFonts w:cs="Arial"/>
        </w:rPr>
        <w:br w:type="page"/>
      </w:r>
    </w:p>
    <w:p w:rsidR="00302FA1" w:rsidRPr="00957875" w:rsidRDefault="00DD4821" w:rsidP="00302FA1">
      <w:pPr>
        <w:jc w:val="center"/>
        <w:rPr>
          <w:rFonts w:cs="Arial"/>
        </w:rPr>
      </w:pPr>
      <w:r w:rsidRPr="00DD4821">
        <w:rPr>
          <w:noProof/>
        </w:rPr>
        <w:lastRenderedPageBreak/>
        <w:drawing>
          <wp:inline distT="0" distB="0" distL="0" distR="0">
            <wp:extent cx="5151120" cy="72237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51120" cy="7223760"/>
                    </a:xfrm>
                    <a:prstGeom prst="rect">
                      <a:avLst/>
                    </a:prstGeom>
                    <a:noFill/>
                    <a:ln>
                      <a:noFill/>
                    </a:ln>
                  </pic:spPr>
                </pic:pic>
              </a:graphicData>
            </a:graphic>
          </wp:inline>
        </w:drawing>
      </w:r>
    </w:p>
    <w:p w:rsidR="00302FA1" w:rsidRPr="00957875" w:rsidRDefault="00302FA1" w:rsidP="00302FA1">
      <w:pPr>
        <w:rPr>
          <w:rFonts w:cs="Arial"/>
          <w:b/>
          <w:u w:val="single"/>
        </w:rPr>
      </w:pPr>
      <w:r w:rsidRPr="00957875">
        <w:rPr>
          <w:rFonts w:cs="Arial"/>
          <w:b/>
        </w:rPr>
        <w:br w:type="page"/>
      </w:r>
    </w:p>
    <w:p w:rsidR="00DD4821" w:rsidRPr="00957875" w:rsidRDefault="007E1556" w:rsidP="00DD4821">
      <w:pPr>
        <w:pStyle w:val="Heading1"/>
        <w:rPr>
          <w:rFonts w:cs="Arial"/>
        </w:rPr>
      </w:pPr>
      <w:bookmarkStart w:id="59" w:name="_Toc460229932"/>
      <w:bookmarkStart w:id="60" w:name="_Toc522808864"/>
      <w:bookmarkStart w:id="61" w:name="_Toc48833495"/>
      <w:r>
        <w:rPr>
          <w:rFonts w:cs="Arial"/>
        </w:rPr>
        <w:lastRenderedPageBreak/>
        <w:t>EXTRABUDGETARY FUNDS (FUNDS IN TRUST</w:t>
      </w:r>
      <w:r w:rsidR="00DD4821" w:rsidRPr="00957875">
        <w:rPr>
          <w:rFonts w:cs="Arial"/>
        </w:rPr>
        <w:t>)</w:t>
      </w:r>
      <w:bookmarkEnd w:id="59"/>
      <w:bookmarkEnd w:id="60"/>
      <w:bookmarkEnd w:id="61"/>
    </w:p>
    <w:p w:rsidR="00DD4821" w:rsidRPr="00957875" w:rsidRDefault="00DD4821" w:rsidP="00DD4821">
      <w:pPr>
        <w:pStyle w:val="Heading1"/>
        <w:rPr>
          <w:rFonts w:cs="Arial"/>
        </w:rPr>
      </w:pPr>
    </w:p>
    <w:p w:rsidR="00DD4821" w:rsidRPr="00957875" w:rsidRDefault="00DD4821" w:rsidP="00DD4821">
      <w:pPr>
        <w:keepNext/>
        <w:rPr>
          <w:rFonts w:cs="Arial"/>
        </w:rPr>
      </w:pPr>
      <w:r w:rsidRPr="00957875">
        <w:rPr>
          <w:rFonts w:cs="Arial"/>
        </w:rPr>
        <w:t xml:space="preserve">The extrabudgetary funds (including funds in trust) allocated by </w:t>
      </w:r>
      <w:r>
        <w:rPr>
          <w:rFonts w:cs="Arial"/>
        </w:rPr>
        <w:t xml:space="preserve">donor </w:t>
      </w:r>
      <w:r w:rsidRPr="00957875">
        <w:rPr>
          <w:rFonts w:cs="Arial"/>
        </w:rPr>
        <w:t>are presented below as independent accounts.</w:t>
      </w:r>
    </w:p>
    <w:p w:rsidR="00DD4821" w:rsidRPr="00957875" w:rsidRDefault="00DD4821" w:rsidP="00DD4821">
      <w:pPr>
        <w:keepNext/>
        <w:rPr>
          <w:rFonts w:cs="Arial"/>
        </w:rPr>
      </w:pPr>
    </w:p>
    <w:p w:rsidR="00DD4821" w:rsidRPr="00957875" w:rsidRDefault="002E17B1" w:rsidP="00DD4821">
      <w:pPr>
        <w:rPr>
          <w:rFonts w:cs="Arial"/>
        </w:rPr>
      </w:pPr>
      <w:r w:rsidRPr="002E17B1">
        <w:rPr>
          <w:noProof/>
        </w:rPr>
        <w:drawing>
          <wp:inline distT="0" distB="0" distL="0" distR="0">
            <wp:extent cx="6120765" cy="106841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1068418"/>
                    </a:xfrm>
                    <a:prstGeom prst="rect">
                      <a:avLst/>
                    </a:prstGeom>
                    <a:noFill/>
                    <a:ln>
                      <a:noFill/>
                    </a:ln>
                  </pic:spPr>
                </pic:pic>
              </a:graphicData>
            </a:graphic>
          </wp:inline>
        </w:drawing>
      </w:r>
    </w:p>
    <w:p w:rsidR="00DD4821" w:rsidRPr="00957875" w:rsidRDefault="00DD4821" w:rsidP="00DD4821">
      <w:pPr>
        <w:rPr>
          <w:rFonts w:cs="Arial"/>
        </w:rPr>
      </w:pPr>
    </w:p>
    <w:p w:rsidR="00DD4821" w:rsidRPr="00957875" w:rsidRDefault="00DD4821" w:rsidP="00DD4821">
      <w:pPr>
        <w:rPr>
          <w:rFonts w:cs="Arial"/>
          <w:b/>
        </w:rPr>
      </w:pPr>
      <w:r w:rsidRPr="00957875">
        <w:rPr>
          <w:rFonts w:cs="Arial"/>
          <w:b/>
        </w:rPr>
        <w:t>Inc</w:t>
      </w:r>
      <w:r w:rsidR="005A4EDB">
        <w:rPr>
          <w:rFonts w:cs="Arial"/>
          <w:b/>
        </w:rPr>
        <w:t>ome and expenditure for the 2018-2019</w:t>
      </w:r>
      <w:r w:rsidRPr="00957875">
        <w:rPr>
          <w:rFonts w:cs="Arial"/>
          <w:b/>
        </w:rPr>
        <w:t xml:space="preserve"> Biennium</w:t>
      </w:r>
    </w:p>
    <w:p w:rsidR="00DD4821" w:rsidRPr="00957875" w:rsidRDefault="00DD4821" w:rsidP="00DD4821">
      <w:pPr>
        <w:rPr>
          <w:rFonts w:cs="Arial"/>
          <w:b/>
        </w:rPr>
      </w:pPr>
    </w:p>
    <w:p w:rsidR="00DD4821" w:rsidRPr="00957875" w:rsidRDefault="002E17B1" w:rsidP="00DD4821">
      <w:pPr>
        <w:jc w:val="center"/>
        <w:rPr>
          <w:rFonts w:cs="Arial"/>
          <w:b/>
        </w:rPr>
      </w:pPr>
      <w:r w:rsidRPr="002E17B1">
        <w:rPr>
          <w:noProof/>
        </w:rPr>
        <w:drawing>
          <wp:inline distT="0" distB="0" distL="0" distR="0">
            <wp:extent cx="5981700" cy="23012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81700" cy="2301240"/>
                    </a:xfrm>
                    <a:prstGeom prst="rect">
                      <a:avLst/>
                    </a:prstGeom>
                    <a:noFill/>
                    <a:ln>
                      <a:noFill/>
                    </a:ln>
                  </pic:spPr>
                </pic:pic>
              </a:graphicData>
            </a:graphic>
          </wp:inline>
        </w:drawing>
      </w:r>
    </w:p>
    <w:p w:rsidR="00F17CE1" w:rsidRDefault="00F17CE1" w:rsidP="00DD4821">
      <w:pPr>
        <w:ind w:left="851" w:right="283" w:hanging="567"/>
        <w:rPr>
          <w:rFonts w:cs="Arial"/>
          <w:i/>
          <w:sz w:val="18"/>
          <w:szCs w:val="18"/>
        </w:rPr>
      </w:pPr>
    </w:p>
    <w:p w:rsidR="00DD4821" w:rsidRPr="00957875" w:rsidRDefault="00DD4821" w:rsidP="00DD4821">
      <w:pPr>
        <w:ind w:left="851" w:right="283" w:hanging="567"/>
        <w:rPr>
          <w:rFonts w:cs="Arial"/>
          <w:sz w:val="18"/>
          <w:szCs w:val="18"/>
        </w:rPr>
      </w:pPr>
      <w:r w:rsidRPr="00957875">
        <w:rPr>
          <w:rFonts w:cs="Arial"/>
          <w:i/>
          <w:sz w:val="18"/>
          <w:szCs w:val="18"/>
        </w:rPr>
        <w:t>Note</w:t>
      </w:r>
      <w:r w:rsidRPr="00957875">
        <w:rPr>
          <w:rFonts w:cs="Arial"/>
          <w:sz w:val="18"/>
          <w:szCs w:val="18"/>
        </w:rPr>
        <w:t>:</w:t>
      </w:r>
      <w:r w:rsidRPr="00957875">
        <w:rPr>
          <w:rFonts w:cs="Arial"/>
          <w:sz w:val="18"/>
          <w:szCs w:val="18"/>
        </w:rPr>
        <w:tab/>
        <w:t>Funds in trust in the form of an extrabudgetary fund from the Government of Japan intended for regional seminars and workshops on the protection of new plant varieties in the Asian region.</w:t>
      </w:r>
    </w:p>
    <w:p w:rsidR="00DD4821" w:rsidRPr="00957875" w:rsidRDefault="00DD4821" w:rsidP="00DD4821">
      <w:pPr>
        <w:ind w:left="567" w:hanging="567"/>
        <w:rPr>
          <w:rFonts w:cs="Arial"/>
          <w:sz w:val="18"/>
          <w:szCs w:val="18"/>
        </w:rPr>
      </w:pPr>
    </w:p>
    <w:p w:rsidR="00DD4821" w:rsidRPr="00957875" w:rsidRDefault="00DD4821" w:rsidP="00DD4821">
      <w:pPr>
        <w:ind w:left="567" w:hanging="567"/>
        <w:rPr>
          <w:rFonts w:cs="Arial"/>
          <w:sz w:val="18"/>
          <w:szCs w:val="18"/>
        </w:rPr>
      </w:pPr>
    </w:p>
    <w:p w:rsidR="00DD4821" w:rsidRPr="00957875" w:rsidRDefault="00DC7494" w:rsidP="00DD4821">
      <w:pPr>
        <w:ind w:left="567" w:hanging="567"/>
        <w:jc w:val="center"/>
        <w:rPr>
          <w:rFonts w:cs="Arial"/>
          <w:sz w:val="18"/>
          <w:szCs w:val="18"/>
        </w:rPr>
      </w:pPr>
      <w:r w:rsidRPr="00DC7494">
        <w:rPr>
          <w:noProof/>
        </w:rPr>
        <w:drawing>
          <wp:inline distT="0" distB="0" distL="0" distR="0">
            <wp:extent cx="5981700" cy="246888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81700" cy="2468880"/>
                    </a:xfrm>
                    <a:prstGeom prst="rect">
                      <a:avLst/>
                    </a:prstGeom>
                    <a:noFill/>
                    <a:ln>
                      <a:noFill/>
                    </a:ln>
                  </pic:spPr>
                </pic:pic>
              </a:graphicData>
            </a:graphic>
          </wp:inline>
        </w:drawing>
      </w:r>
    </w:p>
    <w:p w:rsidR="00F17CE1" w:rsidRDefault="00F17CE1" w:rsidP="00DD4821">
      <w:pPr>
        <w:ind w:left="851" w:right="283" w:hanging="567"/>
        <w:rPr>
          <w:rFonts w:cs="Arial"/>
          <w:i/>
          <w:sz w:val="18"/>
          <w:szCs w:val="18"/>
        </w:rPr>
      </w:pPr>
    </w:p>
    <w:p w:rsidR="00DD4821" w:rsidRPr="00957875" w:rsidRDefault="00DD4821" w:rsidP="00DD4821">
      <w:pPr>
        <w:ind w:left="851" w:right="283" w:hanging="567"/>
        <w:rPr>
          <w:rFonts w:cs="Arial"/>
          <w:sz w:val="18"/>
          <w:szCs w:val="18"/>
        </w:rPr>
      </w:pPr>
      <w:r w:rsidRPr="00957875">
        <w:rPr>
          <w:rFonts w:cs="Arial"/>
          <w:i/>
          <w:sz w:val="18"/>
          <w:szCs w:val="18"/>
        </w:rPr>
        <w:t>Note</w:t>
      </w:r>
      <w:r w:rsidRPr="00957875">
        <w:rPr>
          <w:rFonts w:cs="Arial"/>
          <w:sz w:val="18"/>
          <w:szCs w:val="18"/>
        </w:rPr>
        <w:t>:</w:t>
      </w:r>
      <w:r w:rsidRPr="00957875">
        <w:rPr>
          <w:rFonts w:cs="Arial"/>
          <w:sz w:val="18"/>
          <w:szCs w:val="18"/>
        </w:rPr>
        <w:tab/>
        <w:t xml:space="preserve">Extrabudgetary fund from the Government of the United States of America, intended for education in intellectual property protection in the area of plant variety protection. </w:t>
      </w:r>
      <w:r>
        <w:rPr>
          <w:rFonts w:cs="Arial"/>
          <w:sz w:val="18"/>
          <w:szCs w:val="18"/>
        </w:rPr>
        <w:t xml:space="preserve"> </w:t>
      </w:r>
      <w:r w:rsidRPr="00957875">
        <w:rPr>
          <w:rFonts w:cs="Arial"/>
          <w:sz w:val="18"/>
          <w:szCs w:val="18"/>
        </w:rPr>
        <w:t>The accounts and financial reports for this trust fund are kept in US dollars.</w:t>
      </w:r>
    </w:p>
    <w:p w:rsidR="00DD4821" w:rsidRPr="00957875" w:rsidRDefault="00DD4821" w:rsidP="00DD4821">
      <w:pPr>
        <w:rPr>
          <w:rFonts w:cs="Arial"/>
          <w:sz w:val="18"/>
          <w:szCs w:val="18"/>
        </w:rPr>
      </w:pPr>
      <w:r w:rsidRPr="00957875">
        <w:rPr>
          <w:rFonts w:cs="Arial"/>
          <w:sz w:val="18"/>
          <w:szCs w:val="18"/>
        </w:rPr>
        <w:br w:type="page"/>
      </w:r>
    </w:p>
    <w:p w:rsidR="00DD4821" w:rsidRPr="00957875" w:rsidRDefault="00DC7494" w:rsidP="00DD4821">
      <w:pPr>
        <w:ind w:left="567" w:hanging="567"/>
        <w:jc w:val="center"/>
        <w:rPr>
          <w:rFonts w:cs="Arial"/>
          <w:sz w:val="18"/>
          <w:szCs w:val="18"/>
        </w:rPr>
      </w:pPr>
      <w:r w:rsidRPr="00DC7494">
        <w:rPr>
          <w:noProof/>
        </w:rPr>
        <w:lastRenderedPageBreak/>
        <w:drawing>
          <wp:inline distT="0" distB="0" distL="0" distR="0">
            <wp:extent cx="5981700" cy="2286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81700" cy="2286000"/>
                    </a:xfrm>
                    <a:prstGeom prst="rect">
                      <a:avLst/>
                    </a:prstGeom>
                    <a:noFill/>
                    <a:ln>
                      <a:noFill/>
                    </a:ln>
                  </pic:spPr>
                </pic:pic>
              </a:graphicData>
            </a:graphic>
          </wp:inline>
        </w:drawing>
      </w:r>
    </w:p>
    <w:p w:rsidR="00F17CE1" w:rsidRDefault="00F17CE1" w:rsidP="00DD4821">
      <w:pPr>
        <w:ind w:left="851" w:right="283" w:hanging="567"/>
        <w:rPr>
          <w:rFonts w:cs="Arial"/>
          <w:i/>
          <w:sz w:val="18"/>
          <w:szCs w:val="18"/>
        </w:rPr>
      </w:pPr>
    </w:p>
    <w:p w:rsidR="00DD4821" w:rsidRDefault="00DD4821" w:rsidP="00DD4821">
      <w:pPr>
        <w:ind w:left="851" w:right="283" w:hanging="567"/>
        <w:rPr>
          <w:rFonts w:cs="Arial"/>
          <w:sz w:val="18"/>
          <w:szCs w:val="18"/>
        </w:rPr>
      </w:pPr>
      <w:r w:rsidRPr="00957875">
        <w:rPr>
          <w:rFonts w:cs="Arial"/>
          <w:i/>
          <w:sz w:val="18"/>
          <w:szCs w:val="18"/>
        </w:rPr>
        <w:t>Note</w:t>
      </w:r>
      <w:r w:rsidRPr="00957875">
        <w:rPr>
          <w:rFonts w:cs="Arial"/>
          <w:sz w:val="18"/>
          <w:szCs w:val="18"/>
        </w:rPr>
        <w:t>:</w:t>
      </w:r>
      <w:r w:rsidRPr="00957875">
        <w:rPr>
          <w:rFonts w:cs="Arial"/>
          <w:sz w:val="18"/>
          <w:szCs w:val="18"/>
        </w:rPr>
        <w:tab/>
        <w:t>Extrabudgetary fund from the Netherlands intended to provide and promote the UPOV system of plant variety protection.</w:t>
      </w:r>
    </w:p>
    <w:p w:rsidR="00DD4821" w:rsidRDefault="00DD4821" w:rsidP="00DC7494">
      <w:pPr>
        <w:ind w:right="283"/>
        <w:rPr>
          <w:rFonts w:cs="Arial"/>
          <w:sz w:val="18"/>
          <w:szCs w:val="18"/>
        </w:rPr>
      </w:pPr>
    </w:p>
    <w:p w:rsidR="00D34A74" w:rsidRDefault="00D34A74" w:rsidP="00DC7494">
      <w:pPr>
        <w:ind w:right="283"/>
        <w:rPr>
          <w:rFonts w:cs="Arial"/>
          <w:sz w:val="18"/>
          <w:szCs w:val="18"/>
        </w:rPr>
      </w:pPr>
    </w:p>
    <w:p w:rsidR="00DD4821" w:rsidRDefault="00DC7494" w:rsidP="00DC7494">
      <w:pPr>
        <w:ind w:left="851" w:right="283" w:hanging="761"/>
        <w:rPr>
          <w:rFonts w:cs="Arial"/>
          <w:sz w:val="18"/>
          <w:szCs w:val="18"/>
        </w:rPr>
      </w:pPr>
      <w:r w:rsidRPr="00DC7494">
        <w:rPr>
          <w:noProof/>
        </w:rPr>
        <w:drawing>
          <wp:inline distT="0" distB="0" distL="0" distR="0">
            <wp:extent cx="6001977" cy="22555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9813" cy="2258465"/>
                    </a:xfrm>
                    <a:prstGeom prst="rect">
                      <a:avLst/>
                    </a:prstGeom>
                    <a:noFill/>
                    <a:ln>
                      <a:noFill/>
                    </a:ln>
                  </pic:spPr>
                </pic:pic>
              </a:graphicData>
            </a:graphic>
          </wp:inline>
        </w:drawing>
      </w:r>
    </w:p>
    <w:p w:rsidR="00F17CE1" w:rsidRDefault="00F17CE1" w:rsidP="00DD4821">
      <w:pPr>
        <w:ind w:left="851" w:right="283" w:hanging="567"/>
        <w:rPr>
          <w:rFonts w:cs="Arial"/>
          <w:i/>
          <w:sz w:val="18"/>
          <w:szCs w:val="18"/>
        </w:rPr>
      </w:pPr>
    </w:p>
    <w:p w:rsidR="00DD4821" w:rsidRPr="00957875" w:rsidRDefault="00DD4821" w:rsidP="00DD4821">
      <w:pPr>
        <w:ind w:left="851" w:right="283" w:hanging="567"/>
        <w:rPr>
          <w:rFonts w:cs="Arial"/>
          <w:sz w:val="18"/>
          <w:szCs w:val="18"/>
        </w:rPr>
      </w:pPr>
      <w:r w:rsidRPr="00957875">
        <w:rPr>
          <w:rFonts w:cs="Arial"/>
          <w:i/>
          <w:sz w:val="18"/>
          <w:szCs w:val="18"/>
        </w:rPr>
        <w:t>Note</w:t>
      </w:r>
      <w:r w:rsidRPr="00957875">
        <w:rPr>
          <w:rFonts w:cs="Arial"/>
          <w:sz w:val="18"/>
          <w:szCs w:val="18"/>
        </w:rPr>
        <w:t>:</w:t>
      </w:r>
      <w:r w:rsidRPr="00957875">
        <w:rPr>
          <w:rFonts w:cs="Arial"/>
          <w:sz w:val="18"/>
          <w:szCs w:val="18"/>
        </w:rPr>
        <w:tab/>
        <w:t>Extrabud</w:t>
      </w:r>
      <w:r>
        <w:rPr>
          <w:rFonts w:cs="Arial"/>
          <w:sz w:val="18"/>
          <w:szCs w:val="18"/>
        </w:rPr>
        <w:t xml:space="preserve">getary fund from various organizations, communities and federations to promote the </w:t>
      </w:r>
      <w:r w:rsidRPr="0072209B">
        <w:rPr>
          <w:rFonts w:cs="Arial"/>
          <w:sz w:val="18"/>
          <w:szCs w:val="18"/>
        </w:rPr>
        <w:t>UPOV PRISMA PBR application tool</w:t>
      </w:r>
      <w:r>
        <w:rPr>
          <w:rFonts w:cs="Arial"/>
          <w:sz w:val="18"/>
          <w:szCs w:val="18"/>
        </w:rPr>
        <w:t xml:space="preserve">.  </w:t>
      </w:r>
      <w:r w:rsidR="009C5527" w:rsidRPr="009A1086">
        <w:rPr>
          <w:rFonts w:cs="Arial"/>
          <w:iCs/>
          <w:color w:val="000000"/>
          <w:sz w:val="18"/>
          <w:szCs w:val="18"/>
        </w:rPr>
        <w:t>UPOV PRISMA is an on-line tool to assist in making plant variety protection (PVP) applications to PVP Offices of participating members</w:t>
      </w:r>
      <w:r w:rsidR="009C5527">
        <w:rPr>
          <w:rFonts w:cs="Arial"/>
          <w:iCs/>
          <w:color w:val="000000"/>
          <w:sz w:val="18"/>
          <w:szCs w:val="18"/>
        </w:rPr>
        <w:t xml:space="preserve"> of the Union</w:t>
      </w:r>
      <w:r w:rsidRPr="0072209B">
        <w:rPr>
          <w:rFonts w:cs="Arial"/>
          <w:sz w:val="18"/>
          <w:szCs w:val="18"/>
        </w:rPr>
        <w:t>.</w:t>
      </w:r>
    </w:p>
    <w:p w:rsidR="00DD4821" w:rsidRDefault="00DD4821" w:rsidP="00DD4821">
      <w:pPr>
        <w:ind w:left="567" w:hanging="297"/>
        <w:rPr>
          <w:rFonts w:cs="Arial"/>
          <w:sz w:val="16"/>
          <w:szCs w:val="18"/>
        </w:rPr>
      </w:pPr>
    </w:p>
    <w:p w:rsidR="00D34A74" w:rsidRPr="00D34A74" w:rsidRDefault="00D34A74" w:rsidP="00DD4821">
      <w:pPr>
        <w:ind w:left="567" w:hanging="297"/>
        <w:rPr>
          <w:rFonts w:cs="Arial"/>
          <w:sz w:val="16"/>
          <w:szCs w:val="18"/>
        </w:rPr>
      </w:pPr>
    </w:p>
    <w:p w:rsidR="00DD4821" w:rsidRPr="00957875" w:rsidRDefault="00DC7494" w:rsidP="00D34A74">
      <w:pPr>
        <w:jc w:val="center"/>
        <w:rPr>
          <w:rFonts w:cs="Arial"/>
          <w:sz w:val="16"/>
          <w:szCs w:val="16"/>
        </w:rPr>
      </w:pPr>
      <w:r w:rsidRPr="00DC7494">
        <w:rPr>
          <w:noProof/>
        </w:rPr>
        <w:drawing>
          <wp:inline distT="0" distB="0" distL="0" distR="0">
            <wp:extent cx="5981700" cy="22479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81700" cy="2247900"/>
                    </a:xfrm>
                    <a:prstGeom prst="rect">
                      <a:avLst/>
                    </a:prstGeom>
                    <a:noFill/>
                    <a:ln>
                      <a:noFill/>
                    </a:ln>
                  </pic:spPr>
                </pic:pic>
              </a:graphicData>
            </a:graphic>
          </wp:inline>
        </w:drawing>
      </w:r>
    </w:p>
    <w:p w:rsidR="00DD4821" w:rsidRPr="00CA7770" w:rsidRDefault="00DD4821" w:rsidP="00DD4821">
      <w:pPr>
        <w:jc w:val="right"/>
        <w:rPr>
          <w:rFonts w:cs="Arial"/>
          <w:sz w:val="12"/>
        </w:rPr>
      </w:pPr>
    </w:p>
    <w:p w:rsidR="00DD4821" w:rsidRPr="009A1086" w:rsidRDefault="009A1086" w:rsidP="009A1086">
      <w:pPr>
        <w:ind w:left="900" w:hanging="630"/>
        <w:rPr>
          <w:rFonts w:cs="Arial"/>
          <w:sz w:val="18"/>
          <w:szCs w:val="18"/>
        </w:rPr>
      </w:pPr>
      <w:r>
        <w:rPr>
          <w:rFonts w:cs="Arial"/>
          <w:i/>
          <w:iCs/>
          <w:color w:val="000000"/>
          <w:sz w:val="18"/>
          <w:szCs w:val="18"/>
        </w:rPr>
        <w:t>Note:</w:t>
      </w:r>
      <w:r>
        <w:rPr>
          <w:rFonts w:cs="Arial"/>
          <w:i/>
          <w:iCs/>
          <w:color w:val="000000"/>
          <w:sz w:val="18"/>
          <w:szCs w:val="18"/>
        </w:rPr>
        <w:tab/>
      </w:r>
      <w:r w:rsidRPr="009A1086">
        <w:rPr>
          <w:rFonts w:cs="Arial"/>
          <w:iCs/>
          <w:color w:val="000000"/>
          <w:sz w:val="18"/>
          <w:szCs w:val="18"/>
        </w:rPr>
        <w:t>UPOV PRISMA is an on-line tool to assist in making plant variety protection (PVP) applications to PVP Offices of participating members</w:t>
      </w:r>
      <w:r w:rsidR="009C5527">
        <w:rPr>
          <w:rFonts w:cs="Arial"/>
          <w:iCs/>
          <w:color w:val="000000"/>
          <w:sz w:val="18"/>
          <w:szCs w:val="18"/>
        </w:rPr>
        <w:t xml:space="preserve"> of the Union</w:t>
      </w:r>
      <w:r w:rsidRPr="009A1086">
        <w:rPr>
          <w:rFonts w:cs="Arial"/>
          <w:iCs/>
          <w:color w:val="000000"/>
          <w:sz w:val="18"/>
          <w:szCs w:val="18"/>
        </w:rPr>
        <w:t>.  The UPOV PRISMA Fund is a contribution made by Naktuinbouw</w:t>
      </w:r>
      <w:r w:rsidR="009C5527">
        <w:rPr>
          <w:rFonts w:cs="Arial"/>
          <w:iCs/>
          <w:color w:val="000000"/>
          <w:sz w:val="18"/>
          <w:szCs w:val="18"/>
        </w:rPr>
        <w:t xml:space="preserve"> </w:t>
      </w:r>
      <w:r w:rsidR="009C5527" w:rsidRPr="00772DA9">
        <w:rPr>
          <w:rFonts w:cs="Arial"/>
          <w:iCs/>
          <w:color w:val="000000"/>
          <w:sz w:val="18"/>
          <w:szCs w:val="18"/>
        </w:rPr>
        <w:t>(Netherlands)</w:t>
      </w:r>
      <w:r w:rsidRPr="00772DA9">
        <w:rPr>
          <w:rFonts w:cs="Arial"/>
          <w:iCs/>
          <w:color w:val="000000"/>
          <w:sz w:val="18"/>
          <w:szCs w:val="18"/>
        </w:rPr>
        <w:t xml:space="preserve"> to support</w:t>
      </w:r>
      <w:r w:rsidRPr="009A1086">
        <w:rPr>
          <w:rFonts w:cs="Arial"/>
          <w:iCs/>
          <w:color w:val="000000"/>
          <w:sz w:val="18"/>
          <w:szCs w:val="18"/>
        </w:rPr>
        <w:t xml:space="preserve"> the development of UPOV PRISMA.</w:t>
      </w:r>
    </w:p>
    <w:p w:rsidR="00DD4821" w:rsidRDefault="00DD4821" w:rsidP="00DD4821">
      <w:pPr>
        <w:jc w:val="right"/>
        <w:rPr>
          <w:rFonts w:cs="Arial"/>
        </w:rPr>
      </w:pPr>
    </w:p>
    <w:p w:rsidR="00966516" w:rsidRDefault="00966516" w:rsidP="00DD4821">
      <w:pPr>
        <w:jc w:val="right"/>
        <w:rPr>
          <w:rFonts w:cs="Arial"/>
        </w:rPr>
      </w:pPr>
    </w:p>
    <w:p w:rsidR="00966516" w:rsidRPr="00957875" w:rsidRDefault="00966516" w:rsidP="00DD4821">
      <w:pPr>
        <w:jc w:val="right"/>
        <w:rPr>
          <w:rFonts w:cs="Arial"/>
        </w:rPr>
      </w:pPr>
    </w:p>
    <w:p w:rsidR="00302FA1" w:rsidRPr="00C5280D" w:rsidRDefault="00DD4821" w:rsidP="00966516">
      <w:pPr>
        <w:jc w:val="right"/>
      </w:pPr>
      <w:r w:rsidRPr="00957875">
        <w:rPr>
          <w:rFonts w:cs="Arial"/>
        </w:rPr>
        <w:t>[End of Annex and of document]</w:t>
      </w:r>
    </w:p>
    <w:sectPr w:rsidR="00302FA1" w:rsidRPr="00C5280D" w:rsidSect="0078204B">
      <w:headerReference w:type="default" r:id="rId48"/>
      <w:headerReference w:type="first" r:id="rId49"/>
      <w:pgSz w:w="11907" w:h="16840" w:code="9"/>
      <w:pgMar w:top="510" w:right="1134" w:bottom="907" w:left="1134" w:header="51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9A" w:rsidRDefault="0076469A" w:rsidP="006655D3">
      <w:r>
        <w:separator/>
      </w:r>
    </w:p>
    <w:p w:rsidR="0076469A" w:rsidRDefault="0076469A" w:rsidP="006655D3"/>
    <w:p w:rsidR="0076469A" w:rsidRDefault="0076469A" w:rsidP="006655D3"/>
  </w:endnote>
  <w:endnote w:type="continuationSeparator" w:id="0">
    <w:p w:rsidR="0076469A" w:rsidRDefault="0076469A" w:rsidP="006655D3">
      <w:r>
        <w:separator/>
      </w:r>
    </w:p>
    <w:p w:rsidR="0076469A" w:rsidRPr="00294751" w:rsidRDefault="0076469A">
      <w:pPr>
        <w:pStyle w:val="Footer"/>
        <w:spacing w:after="60"/>
        <w:rPr>
          <w:sz w:val="18"/>
          <w:lang w:val="fr-FR"/>
        </w:rPr>
      </w:pPr>
      <w:r w:rsidRPr="00294751">
        <w:rPr>
          <w:sz w:val="18"/>
          <w:lang w:val="fr-FR"/>
        </w:rPr>
        <w:t>[Suite de la note de la page précédente]</w:t>
      </w:r>
    </w:p>
    <w:p w:rsidR="0076469A" w:rsidRPr="00294751" w:rsidRDefault="0076469A" w:rsidP="006655D3">
      <w:pPr>
        <w:rPr>
          <w:lang w:val="fr-FR"/>
        </w:rPr>
      </w:pPr>
    </w:p>
    <w:p w:rsidR="0076469A" w:rsidRPr="00294751" w:rsidRDefault="0076469A" w:rsidP="006655D3">
      <w:pPr>
        <w:rPr>
          <w:lang w:val="fr-FR"/>
        </w:rPr>
      </w:pPr>
    </w:p>
  </w:endnote>
  <w:endnote w:type="continuationNotice" w:id="1">
    <w:p w:rsidR="0076469A" w:rsidRPr="00294751" w:rsidRDefault="0076469A" w:rsidP="006655D3">
      <w:pPr>
        <w:rPr>
          <w:lang w:val="fr-FR"/>
        </w:rPr>
      </w:pPr>
      <w:r w:rsidRPr="00294751">
        <w:rPr>
          <w:lang w:val="fr-FR"/>
        </w:rPr>
        <w:t>[Suite de la note page suivante]</w:t>
      </w:r>
    </w:p>
    <w:p w:rsidR="0076469A" w:rsidRPr="00294751" w:rsidRDefault="0076469A" w:rsidP="006655D3">
      <w:pPr>
        <w:rPr>
          <w:lang w:val="fr-FR"/>
        </w:rPr>
      </w:pPr>
    </w:p>
    <w:p w:rsidR="0076469A" w:rsidRPr="00294751" w:rsidRDefault="0076469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9A" w:rsidRDefault="0076469A">
    <w:pPr>
      <w:pStyle w:val="Footer"/>
      <w:jc w:val="right"/>
    </w:pPr>
  </w:p>
  <w:p w:rsidR="0076469A" w:rsidRDefault="0076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9A" w:rsidRDefault="0076469A" w:rsidP="006655D3">
      <w:r>
        <w:separator/>
      </w:r>
    </w:p>
  </w:footnote>
  <w:footnote w:type="continuationSeparator" w:id="0">
    <w:p w:rsidR="0076469A" w:rsidRDefault="0076469A" w:rsidP="006655D3">
      <w:r>
        <w:separator/>
      </w:r>
    </w:p>
  </w:footnote>
  <w:footnote w:type="continuationNotice" w:id="1">
    <w:p w:rsidR="0076469A" w:rsidRPr="00AB530F" w:rsidRDefault="0076469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9A" w:rsidRPr="00C5280D" w:rsidRDefault="0076469A" w:rsidP="00F82278">
    <w:pPr>
      <w:pStyle w:val="Header"/>
      <w:rPr>
        <w:rStyle w:val="PageNumber"/>
        <w:lang w:val="en-US"/>
      </w:rPr>
    </w:pPr>
    <w:r>
      <w:rPr>
        <w:rStyle w:val="PageNumber"/>
        <w:lang w:val="en-US"/>
      </w:rPr>
      <w:t>C/54/4</w:t>
    </w:r>
  </w:p>
  <w:p w:rsidR="0076469A" w:rsidRPr="00C5280D" w:rsidRDefault="0076469A" w:rsidP="00F82278">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76469A" w:rsidRPr="00C5280D" w:rsidRDefault="0076469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9A" w:rsidRPr="00C5280D" w:rsidRDefault="0076469A" w:rsidP="00F82278">
    <w:pPr>
      <w:pStyle w:val="Header"/>
      <w:rPr>
        <w:rStyle w:val="PageNumber"/>
        <w:lang w:val="en-US"/>
      </w:rPr>
    </w:pPr>
    <w:r>
      <w:rPr>
        <w:rStyle w:val="PageNumber"/>
        <w:lang w:val="en-US"/>
      </w:rPr>
      <w:t>C/54/4</w:t>
    </w:r>
  </w:p>
  <w:p w:rsidR="0076469A" w:rsidRPr="00C5280D" w:rsidRDefault="0076469A" w:rsidP="00F82278">
    <w:pPr>
      <w:pStyle w:val="Header"/>
    </w:pPr>
    <w:r>
      <w:t xml:space="preserve">Annex, </w:t>
    </w: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1D52">
      <w:rPr>
        <w:rStyle w:val="PageNumber"/>
        <w:noProof/>
        <w:lang w:val="en-US"/>
      </w:rPr>
      <w:t>19</w:t>
    </w:r>
    <w:r w:rsidRPr="00C5280D">
      <w:rPr>
        <w:rStyle w:val="PageNumber"/>
        <w:lang w:val="en-US"/>
      </w:rPr>
      <w:fldChar w:fldCharType="end"/>
    </w:r>
  </w:p>
  <w:p w:rsidR="0076469A" w:rsidRPr="00C5280D" w:rsidRDefault="0076469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9A" w:rsidRDefault="0076469A">
    <w:pPr>
      <w:pStyle w:val="Header"/>
      <w:rPr>
        <w:lang w:val="en-US"/>
      </w:rPr>
    </w:pPr>
    <w:r>
      <w:rPr>
        <w:lang w:val="en-US"/>
      </w:rPr>
      <w:t>C/54/4</w:t>
    </w:r>
  </w:p>
  <w:p w:rsidR="0076469A" w:rsidRDefault="0076469A">
    <w:pPr>
      <w:pStyle w:val="Header"/>
      <w:rPr>
        <w:lang w:val="en-US"/>
      </w:rPr>
    </w:pPr>
  </w:p>
  <w:p w:rsidR="0076469A" w:rsidRDefault="0076469A" w:rsidP="00736BEE">
    <w:pPr>
      <w:pStyle w:val="Header"/>
      <w:rPr>
        <w:lang w:val="en-US"/>
      </w:rPr>
    </w:pPr>
    <w:r>
      <w:rPr>
        <w:lang w:val="en-US"/>
      </w:rPr>
      <w:t>ANNEX</w:t>
    </w:r>
  </w:p>
  <w:p w:rsidR="0076469A" w:rsidRPr="00200C0E" w:rsidRDefault="0076469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F27885"/>
    <w:multiLevelType w:val="hybridMultilevel"/>
    <w:tmpl w:val="936C28BE"/>
    <w:lvl w:ilvl="0" w:tplc="08A8593A">
      <w:start w:val="1"/>
      <w:numFmt w:val="lowerRoman"/>
      <w:lvlText w:val="(%1)"/>
      <w:lvlJc w:val="left"/>
      <w:pPr>
        <w:ind w:left="720" w:hanging="720"/>
      </w:pPr>
      <w:rPr>
        <w:rFonts w:eastAsiaTheme="minorHAns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AE0"/>
    <w:rsid w:val="00010CF3"/>
    <w:rsid w:val="00011E27"/>
    <w:rsid w:val="000148BC"/>
    <w:rsid w:val="00021AC2"/>
    <w:rsid w:val="00024AB8"/>
    <w:rsid w:val="00030854"/>
    <w:rsid w:val="00036028"/>
    <w:rsid w:val="00044642"/>
    <w:rsid w:val="000446B9"/>
    <w:rsid w:val="00047E21"/>
    <w:rsid w:val="00050E16"/>
    <w:rsid w:val="00055C7E"/>
    <w:rsid w:val="0006306B"/>
    <w:rsid w:val="00085505"/>
    <w:rsid w:val="000C4E25"/>
    <w:rsid w:val="000C7021"/>
    <w:rsid w:val="000D6BBC"/>
    <w:rsid w:val="000D7780"/>
    <w:rsid w:val="000E636A"/>
    <w:rsid w:val="000F2F11"/>
    <w:rsid w:val="00103636"/>
    <w:rsid w:val="00105929"/>
    <w:rsid w:val="00110C36"/>
    <w:rsid w:val="001131D5"/>
    <w:rsid w:val="00115F98"/>
    <w:rsid w:val="001328E5"/>
    <w:rsid w:val="00141DB8"/>
    <w:rsid w:val="00172084"/>
    <w:rsid w:val="0017474A"/>
    <w:rsid w:val="001758C6"/>
    <w:rsid w:val="001779EB"/>
    <w:rsid w:val="00182B99"/>
    <w:rsid w:val="001C1525"/>
    <w:rsid w:val="001C4587"/>
    <w:rsid w:val="001D6ED6"/>
    <w:rsid w:val="001E647D"/>
    <w:rsid w:val="001E6B5C"/>
    <w:rsid w:val="00200C0E"/>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2E17B1"/>
    <w:rsid w:val="002F4039"/>
    <w:rsid w:val="00302FA1"/>
    <w:rsid w:val="00305A7F"/>
    <w:rsid w:val="003152FE"/>
    <w:rsid w:val="00323798"/>
    <w:rsid w:val="00327436"/>
    <w:rsid w:val="00344BD6"/>
    <w:rsid w:val="0034617C"/>
    <w:rsid w:val="0035528D"/>
    <w:rsid w:val="00361821"/>
    <w:rsid w:val="00361E9E"/>
    <w:rsid w:val="003719EA"/>
    <w:rsid w:val="00382FBC"/>
    <w:rsid w:val="0039633A"/>
    <w:rsid w:val="003A4976"/>
    <w:rsid w:val="003C26C8"/>
    <w:rsid w:val="003C7FBE"/>
    <w:rsid w:val="003D227C"/>
    <w:rsid w:val="003D2B4D"/>
    <w:rsid w:val="003F5F2B"/>
    <w:rsid w:val="00411846"/>
    <w:rsid w:val="004443FB"/>
    <w:rsid w:val="00444A88"/>
    <w:rsid w:val="00474DA4"/>
    <w:rsid w:val="00476B4D"/>
    <w:rsid w:val="004805FA"/>
    <w:rsid w:val="004872DD"/>
    <w:rsid w:val="004935D2"/>
    <w:rsid w:val="004B1215"/>
    <w:rsid w:val="004C59B9"/>
    <w:rsid w:val="004D047D"/>
    <w:rsid w:val="004F1E9E"/>
    <w:rsid w:val="004F305A"/>
    <w:rsid w:val="00512164"/>
    <w:rsid w:val="00520297"/>
    <w:rsid w:val="005338F9"/>
    <w:rsid w:val="0054281C"/>
    <w:rsid w:val="00544581"/>
    <w:rsid w:val="0055268D"/>
    <w:rsid w:val="00576660"/>
    <w:rsid w:val="00576BE4"/>
    <w:rsid w:val="00590909"/>
    <w:rsid w:val="005A400A"/>
    <w:rsid w:val="005A4EDB"/>
    <w:rsid w:val="005B4BBE"/>
    <w:rsid w:val="005C4EC4"/>
    <w:rsid w:val="005F0496"/>
    <w:rsid w:val="005F53B8"/>
    <w:rsid w:val="005F54AC"/>
    <w:rsid w:val="005F7B92"/>
    <w:rsid w:val="006013B4"/>
    <w:rsid w:val="00612379"/>
    <w:rsid w:val="006153B6"/>
    <w:rsid w:val="0061555F"/>
    <w:rsid w:val="006220DD"/>
    <w:rsid w:val="00636CA6"/>
    <w:rsid w:val="00641200"/>
    <w:rsid w:val="00645CA8"/>
    <w:rsid w:val="006655D3"/>
    <w:rsid w:val="00667404"/>
    <w:rsid w:val="00687EB4"/>
    <w:rsid w:val="00695C56"/>
    <w:rsid w:val="006A5CDE"/>
    <w:rsid w:val="006A644A"/>
    <w:rsid w:val="006B17D2"/>
    <w:rsid w:val="006C224E"/>
    <w:rsid w:val="006D780A"/>
    <w:rsid w:val="0071271E"/>
    <w:rsid w:val="0071432A"/>
    <w:rsid w:val="00732DEC"/>
    <w:rsid w:val="00735BD5"/>
    <w:rsid w:val="00736BEE"/>
    <w:rsid w:val="007451EC"/>
    <w:rsid w:val="00750CF0"/>
    <w:rsid w:val="00751613"/>
    <w:rsid w:val="007556F6"/>
    <w:rsid w:val="00760EEF"/>
    <w:rsid w:val="0076469A"/>
    <w:rsid w:val="00765918"/>
    <w:rsid w:val="00772DA9"/>
    <w:rsid w:val="00777EE5"/>
    <w:rsid w:val="0078204B"/>
    <w:rsid w:val="00782255"/>
    <w:rsid w:val="00784836"/>
    <w:rsid w:val="0079023E"/>
    <w:rsid w:val="007979A0"/>
    <w:rsid w:val="007A2854"/>
    <w:rsid w:val="007C09AC"/>
    <w:rsid w:val="007C1D92"/>
    <w:rsid w:val="007C3C19"/>
    <w:rsid w:val="007C4CB9"/>
    <w:rsid w:val="007D0B9D"/>
    <w:rsid w:val="007D0EF5"/>
    <w:rsid w:val="007D19B0"/>
    <w:rsid w:val="007D4635"/>
    <w:rsid w:val="007E1556"/>
    <w:rsid w:val="007F498F"/>
    <w:rsid w:val="0080679D"/>
    <w:rsid w:val="008108B0"/>
    <w:rsid w:val="00811B20"/>
    <w:rsid w:val="008211B5"/>
    <w:rsid w:val="0082296E"/>
    <w:rsid w:val="00824099"/>
    <w:rsid w:val="00846D7C"/>
    <w:rsid w:val="008502D5"/>
    <w:rsid w:val="00867AC1"/>
    <w:rsid w:val="00871C93"/>
    <w:rsid w:val="00885C2A"/>
    <w:rsid w:val="00890DF8"/>
    <w:rsid w:val="008A743F"/>
    <w:rsid w:val="008C0970"/>
    <w:rsid w:val="008D0BC5"/>
    <w:rsid w:val="008D1D52"/>
    <w:rsid w:val="008D2CF7"/>
    <w:rsid w:val="008F50F3"/>
    <w:rsid w:val="00900C26"/>
    <w:rsid w:val="0090197F"/>
    <w:rsid w:val="00903264"/>
    <w:rsid w:val="00906DDC"/>
    <w:rsid w:val="00912FBE"/>
    <w:rsid w:val="00931EC4"/>
    <w:rsid w:val="0093236A"/>
    <w:rsid w:val="00934E09"/>
    <w:rsid w:val="00935B3B"/>
    <w:rsid w:val="00936253"/>
    <w:rsid w:val="00940D46"/>
    <w:rsid w:val="00952DD4"/>
    <w:rsid w:val="00965AE7"/>
    <w:rsid w:val="00966516"/>
    <w:rsid w:val="00970FED"/>
    <w:rsid w:val="0098137E"/>
    <w:rsid w:val="00992D82"/>
    <w:rsid w:val="00997029"/>
    <w:rsid w:val="009A1086"/>
    <w:rsid w:val="009A7339"/>
    <w:rsid w:val="009B440E"/>
    <w:rsid w:val="009C5103"/>
    <w:rsid w:val="009C5527"/>
    <w:rsid w:val="009D690D"/>
    <w:rsid w:val="009E65B6"/>
    <w:rsid w:val="009F77CF"/>
    <w:rsid w:val="00A24C10"/>
    <w:rsid w:val="00A3365A"/>
    <w:rsid w:val="00A42AC3"/>
    <w:rsid w:val="00A430CF"/>
    <w:rsid w:val="00A54309"/>
    <w:rsid w:val="00A80443"/>
    <w:rsid w:val="00AB2B93"/>
    <w:rsid w:val="00AB530F"/>
    <w:rsid w:val="00AB7E5B"/>
    <w:rsid w:val="00AC2883"/>
    <w:rsid w:val="00AE0EF1"/>
    <w:rsid w:val="00AE2937"/>
    <w:rsid w:val="00AE6919"/>
    <w:rsid w:val="00B01762"/>
    <w:rsid w:val="00B03EC4"/>
    <w:rsid w:val="00B07301"/>
    <w:rsid w:val="00B11F3E"/>
    <w:rsid w:val="00B224DE"/>
    <w:rsid w:val="00B271AC"/>
    <w:rsid w:val="00B324D4"/>
    <w:rsid w:val="00B46575"/>
    <w:rsid w:val="00B61777"/>
    <w:rsid w:val="00B84BBD"/>
    <w:rsid w:val="00BA01B1"/>
    <w:rsid w:val="00BA43FB"/>
    <w:rsid w:val="00BA5312"/>
    <w:rsid w:val="00BC127D"/>
    <w:rsid w:val="00BC1FE6"/>
    <w:rsid w:val="00BF3484"/>
    <w:rsid w:val="00C0361E"/>
    <w:rsid w:val="00C0488B"/>
    <w:rsid w:val="00C061B6"/>
    <w:rsid w:val="00C22FDB"/>
    <w:rsid w:val="00C2446C"/>
    <w:rsid w:val="00C36AE5"/>
    <w:rsid w:val="00C3790B"/>
    <w:rsid w:val="00C41F17"/>
    <w:rsid w:val="00C527FA"/>
    <w:rsid w:val="00C5280D"/>
    <w:rsid w:val="00C53EB3"/>
    <w:rsid w:val="00C54DB8"/>
    <w:rsid w:val="00C5791C"/>
    <w:rsid w:val="00C66290"/>
    <w:rsid w:val="00C72B7A"/>
    <w:rsid w:val="00C95987"/>
    <w:rsid w:val="00C973F2"/>
    <w:rsid w:val="00CA1AFB"/>
    <w:rsid w:val="00CA2A66"/>
    <w:rsid w:val="00CA304C"/>
    <w:rsid w:val="00CA774A"/>
    <w:rsid w:val="00CA7770"/>
    <w:rsid w:val="00CC11B0"/>
    <w:rsid w:val="00CC2841"/>
    <w:rsid w:val="00CC7087"/>
    <w:rsid w:val="00CF1330"/>
    <w:rsid w:val="00CF4506"/>
    <w:rsid w:val="00CF7E36"/>
    <w:rsid w:val="00D3406D"/>
    <w:rsid w:val="00D34A74"/>
    <w:rsid w:val="00D3708D"/>
    <w:rsid w:val="00D40426"/>
    <w:rsid w:val="00D45834"/>
    <w:rsid w:val="00D50BC6"/>
    <w:rsid w:val="00D57C96"/>
    <w:rsid w:val="00D57D18"/>
    <w:rsid w:val="00D91203"/>
    <w:rsid w:val="00D95174"/>
    <w:rsid w:val="00D9771A"/>
    <w:rsid w:val="00DA2DE6"/>
    <w:rsid w:val="00DA2FC0"/>
    <w:rsid w:val="00DA4973"/>
    <w:rsid w:val="00DA6F36"/>
    <w:rsid w:val="00DB596E"/>
    <w:rsid w:val="00DB7773"/>
    <w:rsid w:val="00DC00EA"/>
    <w:rsid w:val="00DC3802"/>
    <w:rsid w:val="00DC7494"/>
    <w:rsid w:val="00DD4821"/>
    <w:rsid w:val="00DE67C2"/>
    <w:rsid w:val="00E07D87"/>
    <w:rsid w:val="00E17281"/>
    <w:rsid w:val="00E32F7E"/>
    <w:rsid w:val="00E37835"/>
    <w:rsid w:val="00E5267B"/>
    <w:rsid w:val="00E57E0C"/>
    <w:rsid w:val="00E63C0E"/>
    <w:rsid w:val="00E72D49"/>
    <w:rsid w:val="00E7593C"/>
    <w:rsid w:val="00E7678A"/>
    <w:rsid w:val="00E935F1"/>
    <w:rsid w:val="00E94A81"/>
    <w:rsid w:val="00EA1FFB"/>
    <w:rsid w:val="00EB048E"/>
    <w:rsid w:val="00EB4E9C"/>
    <w:rsid w:val="00EE34DF"/>
    <w:rsid w:val="00EE547F"/>
    <w:rsid w:val="00EF2F89"/>
    <w:rsid w:val="00F03325"/>
    <w:rsid w:val="00F03E98"/>
    <w:rsid w:val="00F1237A"/>
    <w:rsid w:val="00F17CE1"/>
    <w:rsid w:val="00F22CBD"/>
    <w:rsid w:val="00F272F1"/>
    <w:rsid w:val="00F45090"/>
    <w:rsid w:val="00F45372"/>
    <w:rsid w:val="00F5247E"/>
    <w:rsid w:val="00F560F7"/>
    <w:rsid w:val="00F6334D"/>
    <w:rsid w:val="00F63599"/>
    <w:rsid w:val="00F82278"/>
    <w:rsid w:val="00F97E07"/>
    <w:rsid w:val="00FA49AB"/>
    <w:rsid w:val="00FB13C6"/>
    <w:rsid w:val="00FC1065"/>
    <w:rsid w:val="00FD155D"/>
    <w:rsid w:val="00FD3B2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1536E2"/>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1D6ED6"/>
    <w:pPr>
      <w:keepNext/>
      <w:jc w:val="both"/>
      <w:outlineLvl w:val="0"/>
    </w:pPr>
    <w:rPr>
      <w:rFonts w:ascii="Arial" w:hAnsi="Arial"/>
      <w:b/>
      <w:caps/>
    </w:rPr>
  </w:style>
  <w:style w:type="paragraph" w:styleId="Heading2">
    <w:name w:val="heading 2"/>
    <w:next w:val="Normal"/>
    <w:autoRedefine/>
    <w:qFormat/>
    <w:rsid w:val="00E17281"/>
    <w:pPr>
      <w:keepNext/>
      <w:jc w:val="center"/>
      <w:outlineLvl w:val="1"/>
    </w:pPr>
    <w:rPr>
      <w:rFonts w:ascii="Arial" w:hAnsi="Arial"/>
      <w:b/>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3406D"/>
    <w:pPr>
      <w:tabs>
        <w:tab w:val="right" w:leader="dot" w:pos="9498"/>
      </w:tabs>
      <w:spacing w:before="120"/>
      <w:ind w:left="200"/>
    </w:pPr>
    <w:rPr>
      <w:rFonts w:ascii="Arial" w:hAnsi="Arial" w:cs="Arial"/>
      <w:i/>
      <w:iCs/>
      <w:noProof/>
      <w:sz w:val="18"/>
    </w:rPr>
  </w:style>
  <w:style w:type="paragraph" w:styleId="TOC3">
    <w:name w:val="toc 3"/>
    <w:next w:val="Normal"/>
    <w:autoRedefine/>
    <w:uiPriority w:val="39"/>
    <w:rsid w:val="003F5F2B"/>
    <w:pPr>
      <w:ind w:left="400"/>
    </w:pPr>
    <w:rPr>
      <w:rFonts w:asciiTheme="minorHAnsi" w:hAnsiTheme="minorHAnsi" w:cstheme="minorHAnsi"/>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ind w:left="600"/>
    </w:pPr>
    <w:rPr>
      <w:rFonts w:asciiTheme="minorHAnsi" w:hAnsiTheme="minorHAnsi" w:cstheme="minorHAnsi"/>
    </w:rPr>
  </w:style>
  <w:style w:type="paragraph" w:styleId="TOC1">
    <w:name w:val="toc 1"/>
    <w:next w:val="Normal"/>
    <w:autoRedefine/>
    <w:uiPriority w:val="39"/>
    <w:rsid w:val="00D3406D"/>
    <w:pPr>
      <w:tabs>
        <w:tab w:val="right" w:leader="dot" w:pos="9498"/>
      </w:tabs>
      <w:spacing w:before="240" w:after="120"/>
    </w:pPr>
    <w:rPr>
      <w:rFonts w:ascii="Arial" w:hAnsi="Arial" w:cs="Arial"/>
      <w:b/>
      <w:bCs/>
      <w:noProof/>
      <w:sz w:val="18"/>
    </w:rPr>
  </w:style>
  <w:style w:type="paragraph" w:styleId="TOC5">
    <w:name w:val="toc 5"/>
    <w:next w:val="Normal"/>
    <w:autoRedefine/>
    <w:rsid w:val="003F5F2B"/>
    <w:pPr>
      <w:ind w:left="8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Inf4Normal">
    <w:name w:val="Inf_4_Normal"/>
    <w:basedOn w:val="Normal"/>
    <w:rsid w:val="005F54AC"/>
    <w:pPr>
      <w:spacing w:before="108"/>
    </w:pPr>
  </w:style>
  <w:style w:type="paragraph" w:customStyle="1" w:styleId="Inf4Heading6">
    <w:name w:val="Inf_4_Heading_6"/>
    <w:basedOn w:val="Normal"/>
    <w:rsid w:val="005F54AC"/>
    <w:pPr>
      <w:keepNext/>
      <w:spacing w:before="108"/>
      <w:ind w:left="567"/>
      <w:outlineLvl w:val="5"/>
    </w:pPr>
    <w:rPr>
      <w:b/>
      <w:bCs/>
      <w:szCs w:val="24"/>
    </w:rPr>
  </w:style>
  <w:style w:type="character" w:customStyle="1" w:styleId="HeaderChar">
    <w:name w:val="Header Char"/>
    <w:link w:val="Header"/>
    <w:uiPriority w:val="99"/>
    <w:rsid w:val="005F54AC"/>
    <w:rPr>
      <w:rFonts w:ascii="Arial" w:hAnsi="Arial"/>
      <w:lang w:val="fr-FR"/>
    </w:rPr>
  </w:style>
  <w:style w:type="character" w:customStyle="1" w:styleId="FooterChar">
    <w:name w:val="Footer Char"/>
    <w:aliases w:val="doc_path_name Char"/>
    <w:link w:val="Footer"/>
    <w:uiPriority w:val="99"/>
    <w:rsid w:val="005F54AC"/>
    <w:rPr>
      <w:rFonts w:ascii="Arial" w:hAnsi="Arial"/>
      <w:sz w:val="14"/>
    </w:rPr>
  </w:style>
  <w:style w:type="paragraph" w:customStyle="1" w:styleId="Inf4Heading4">
    <w:name w:val="Inf_4_Heading_4"/>
    <w:basedOn w:val="Inf4Heading6"/>
    <w:next w:val="Normal"/>
    <w:rsid w:val="00200C0E"/>
    <w:pPr>
      <w:ind w:left="0"/>
    </w:pPr>
  </w:style>
  <w:style w:type="paragraph" w:customStyle="1" w:styleId="Inf4Heading3">
    <w:name w:val="Inf_4_Heading_3"/>
    <w:basedOn w:val="Inf4Heading4"/>
    <w:rsid w:val="00200C0E"/>
    <w:pPr>
      <w:spacing w:before="240"/>
    </w:pPr>
  </w:style>
  <w:style w:type="paragraph" w:styleId="TOCHeading">
    <w:name w:val="TOC Heading"/>
    <w:basedOn w:val="Heading1"/>
    <w:next w:val="Normal"/>
    <w:uiPriority w:val="39"/>
    <w:unhideWhenUsed/>
    <w:qFormat/>
    <w:rsid w:val="00F03325"/>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6">
    <w:name w:val="toc 6"/>
    <w:basedOn w:val="Normal"/>
    <w:next w:val="Normal"/>
    <w:autoRedefine/>
    <w:unhideWhenUsed/>
    <w:rsid w:val="00F03325"/>
    <w:pPr>
      <w:ind w:left="1000"/>
      <w:jc w:val="left"/>
    </w:pPr>
    <w:rPr>
      <w:rFonts w:asciiTheme="minorHAnsi" w:hAnsiTheme="minorHAnsi" w:cstheme="minorHAnsi"/>
    </w:rPr>
  </w:style>
  <w:style w:type="paragraph" w:styleId="TOC7">
    <w:name w:val="toc 7"/>
    <w:basedOn w:val="Normal"/>
    <w:next w:val="Normal"/>
    <w:autoRedefine/>
    <w:unhideWhenUsed/>
    <w:rsid w:val="00F03325"/>
    <w:pPr>
      <w:ind w:left="1200"/>
      <w:jc w:val="left"/>
    </w:pPr>
    <w:rPr>
      <w:rFonts w:asciiTheme="minorHAnsi" w:hAnsiTheme="minorHAnsi" w:cstheme="minorHAnsi"/>
    </w:rPr>
  </w:style>
  <w:style w:type="paragraph" w:styleId="TOC8">
    <w:name w:val="toc 8"/>
    <w:basedOn w:val="Normal"/>
    <w:next w:val="Normal"/>
    <w:autoRedefine/>
    <w:unhideWhenUsed/>
    <w:rsid w:val="00F03325"/>
    <w:pPr>
      <w:ind w:left="1400"/>
      <w:jc w:val="left"/>
    </w:pPr>
    <w:rPr>
      <w:rFonts w:asciiTheme="minorHAnsi" w:hAnsiTheme="minorHAnsi" w:cstheme="minorHAnsi"/>
    </w:rPr>
  </w:style>
  <w:style w:type="paragraph" w:styleId="TOC9">
    <w:name w:val="toc 9"/>
    <w:basedOn w:val="Normal"/>
    <w:next w:val="Normal"/>
    <w:autoRedefine/>
    <w:unhideWhenUsed/>
    <w:rsid w:val="00F03325"/>
    <w:pPr>
      <w:ind w:left="1600"/>
      <w:jc w:val="left"/>
    </w:pPr>
    <w:rPr>
      <w:rFonts w:asciiTheme="minorHAnsi" w:hAnsiTheme="minorHAnsi" w:cstheme="minorHAnsi"/>
    </w:rPr>
  </w:style>
  <w:style w:type="paragraph" w:styleId="ListParagraph">
    <w:name w:val="List Paragraph"/>
    <w:basedOn w:val="Normal"/>
    <w:uiPriority w:val="34"/>
    <w:qFormat/>
    <w:rsid w:val="00F03325"/>
    <w:pPr>
      <w:ind w:left="720"/>
      <w:contextualSpacing/>
    </w:pPr>
  </w:style>
  <w:style w:type="paragraph" w:customStyle="1" w:styleId="Style3">
    <w:name w:val="Style3"/>
    <w:basedOn w:val="Normal"/>
    <w:link w:val="Style3Char"/>
    <w:rsid w:val="006220DD"/>
    <w:pPr>
      <w:spacing w:after="120"/>
    </w:pPr>
    <w:rPr>
      <w:sz w:val="22"/>
    </w:rPr>
  </w:style>
  <w:style w:type="character" w:customStyle="1" w:styleId="Style3Char">
    <w:name w:val="Style3 Char"/>
    <w:link w:val="Style3"/>
    <w:locked/>
    <w:rsid w:val="006220DD"/>
    <w:rPr>
      <w:rFonts w:ascii="Arial" w:hAnsi="Arial"/>
      <w:sz w:val="22"/>
    </w:rPr>
  </w:style>
  <w:style w:type="paragraph" w:customStyle="1" w:styleId="Styletexte">
    <w:name w:val="Style texte"/>
    <w:basedOn w:val="Normal"/>
    <w:link w:val="StyletexteChar"/>
    <w:rsid w:val="00590909"/>
    <w:pPr>
      <w:spacing w:after="120"/>
    </w:pPr>
    <w:rPr>
      <w:sz w:val="22"/>
    </w:rPr>
  </w:style>
  <w:style w:type="character" w:customStyle="1" w:styleId="StyletexteChar">
    <w:name w:val="Style texte Char"/>
    <w:link w:val="Styletexte"/>
    <w:locked/>
    <w:rsid w:val="0059090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7545">
      <w:bodyDiv w:val="1"/>
      <w:marLeft w:val="0"/>
      <w:marRight w:val="0"/>
      <w:marTop w:val="0"/>
      <w:marBottom w:val="0"/>
      <w:divBdr>
        <w:top w:val="none" w:sz="0" w:space="0" w:color="auto"/>
        <w:left w:val="none" w:sz="0" w:space="0" w:color="auto"/>
        <w:bottom w:val="none" w:sz="0" w:space="0" w:color="auto"/>
        <w:right w:val="none" w:sz="0" w:space="0" w:color="auto"/>
      </w:divBdr>
    </w:div>
    <w:div w:id="668214996">
      <w:bodyDiv w:val="1"/>
      <w:marLeft w:val="0"/>
      <w:marRight w:val="0"/>
      <w:marTop w:val="0"/>
      <w:marBottom w:val="0"/>
      <w:divBdr>
        <w:top w:val="none" w:sz="0" w:space="0" w:color="auto"/>
        <w:left w:val="none" w:sz="0" w:space="0" w:color="auto"/>
        <w:bottom w:val="none" w:sz="0" w:space="0" w:color="auto"/>
        <w:right w:val="none" w:sz="0" w:space="0" w:color="auto"/>
      </w:divBdr>
    </w:div>
    <w:div w:id="694187873">
      <w:bodyDiv w:val="1"/>
      <w:marLeft w:val="0"/>
      <w:marRight w:val="0"/>
      <w:marTop w:val="0"/>
      <w:marBottom w:val="0"/>
      <w:divBdr>
        <w:top w:val="none" w:sz="0" w:space="0" w:color="auto"/>
        <w:left w:val="none" w:sz="0" w:space="0" w:color="auto"/>
        <w:bottom w:val="none" w:sz="0" w:space="0" w:color="auto"/>
        <w:right w:val="none" w:sz="0" w:space="0" w:color="auto"/>
      </w:divBdr>
    </w:div>
    <w:div w:id="826894244">
      <w:bodyDiv w:val="1"/>
      <w:marLeft w:val="0"/>
      <w:marRight w:val="0"/>
      <w:marTop w:val="0"/>
      <w:marBottom w:val="0"/>
      <w:divBdr>
        <w:top w:val="none" w:sz="0" w:space="0" w:color="auto"/>
        <w:left w:val="none" w:sz="0" w:space="0" w:color="auto"/>
        <w:bottom w:val="none" w:sz="0" w:space="0" w:color="auto"/>
        <w:right w:val="none" w:sz="0" w:space="0" w:color="auto"/>
      </w:divBdr>
    </w:div>
    <w:div w:id="149738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30.emf"/><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image" Target="media/image3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0" Type="http://schemas.openxmlformats.org/officeDocument/2006/relationships/image" Target="media/image11.png"/><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22313-39B2-492B-AD90-1A3F224A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26</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C/54/4</vt:lpstr>
    </vt:vector>
  </TitlesOfParts>
  <Company>UPOV</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C/54/4</dc:title>
  <dc:creator>SANCHEZ VIZCAINO GOMEZ Rosa Maria</dc:creator>
  <cp:keywords>FOR OFFICIAL USE ONLY</cp:keywords>
  <cp:lastModifiedBy>BESSE Ariane</cp:lastModifiedBy>
  <cp:revision>19</cp:revision>
  <cp:lastPrinted>2020-07-29T15:50:00Z</cp:lastPrinted>
  <dcterms:created xsi:type="dcterms:W3CDTF">2020-08-06T13:31:00Z</dcterms:created>
  <dcterms:modified xsi:type="dcterms:W3CDTF">2020-08-20T15:37:00Z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23f97445-2832-4c7a-9eea-9eb892bb3346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