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045F06">
        <w:tc>
          <w:tcPr>
            <w:tcW w:w="6512" w:type="dxa"/>
            <w:tcBorders>
              <w:bottom w:val="single" w:sz="4" w:space="0" w:color="auto"/>
            </w:tcBorders>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27" w:type="dxa"/>
            <w:tcBorders>
              <w:bottom w:val="single" w:sz="4" w:space="0" w:color="auto"/>
            </w:tcBorders>
          </w:tcPr>
          <w:p w:rsidR="00EB4E9C" w:rsidRPr="003C7FBE" w:rsidRDefault="005D46D3" w:rsidP="003C7FBE">
            <w:pPr>
              <w:pStyle w:val="Doccode"/>
            </w:pPr>
            <w:r>
              <w:t>C/54/18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633F9D">
            <w:pPr>
              <w:pStyle w:val="Docoriginal"/>
            </w:pPr>
            <w:r w:rsidRPr="00AC2883">
              <w:t>Date:</w:t>
            </w:r>
            <w:r w:rsidRPr="000E636A">
              <w:rPr>
                <w:b w:val="0"/>
                <w:spacing w:val="0"/>
              </w:rPr>
              <w:t xml:space="preserve">  </w:t>
            </w:r>
            <w:r w:rsidR="00633F9D">
              <w:rPr>
                <w:b w:val="0"/>
                <w:spacing w:val="0"/>
              </w:rPr>
              <w:t>September 25, 2020</w:t>
            </w:r>
          </w:p>
        </w:tc>
      </w:tr>
      <w:tr w:rsidR="00633F9D" w:rsidRPr="00C5280D" w:rsidTr="00045F06">
        <w:tc>
          <w:tcPr>
            <w:tcW w:w="6512" w:type="dxa"/>
            <w:tcBorders>
              <w:top w:val="single" w:sz="4" w:space="0" w:color="auto"/>
              <w:bottom w:val="single" w:sz="4" w:space="0" w:color="auto"/>
            </w:tcBorders>
          </w:tcPr>
          <w:p w:rsidR="00633F9D" w:rsidRDefault="00633F9D" w:rsidP="00AC2883">
            <w:pPr>
              <w:pStyle w:val="Sessiontc"/>
              <w:spacing w:line="240" w:lineRule="auto"/>
            </w:pPr>
            <w:r w:rsidRPr="0049132A">
              <w:rPr>
                <w:i/>
              </w:rPr>
              <w:t>to be considered by correspondence</w:t>
            </w:r>
          </w:p>
        </w:tc>
        <w:tc>
          <w:tcPr>
            <w:tcW w:w="3127" w:type="dxa"/>
            <w:tcBorders>
              <w:top w:val="single" w:sz="4" w:space="0" w:color="auto"/>
              <w:bottom w:val="single" w:sz="4" w:space="0" w:color="auto"/>
            </w:tcBorders>
          </w:tcPr>
          <w:p w:rsidR="00633F9D" w:rsidRDefault="00633F9D" w:rsidP="003C7FBE">
            <w:pPr>
              <w:pStyle w:val="Doccode"/>
            </w:pPr>
          </w:p>
        </w:tc>
      </w:tr>
    </w:tbl>
    <w:p w:rsidR="000D7780" w:rsidRPr="006A644A" w:rsidRDefault="005D46D3" w:rsidP="006A644A">
      <w:pPr>
        <w:pStyle w:val="Titleofdoc0"/>
      </w:pPr>
      <w:bookmarkStart w:id="0" w:name="TitleOfDoc"/>
      <w:bookmarkEnd w:id="0"/>
      <w:r w:rsidRPr="005D46D3">
        <w:t xml:space="preserve">Consolidation of </w:t>
      </w:r>
      <w:r w:rsidR="00633F9D" w:rsidRPr="005D46D3">
        <w:t xml:space="preserve">financial and performance </w:t>
      </w:r>
      <w:r w:rsidRPr="005D46D3">
        <w:t>reports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33F9D" w:rsidRDefault="00633F9D" w:rsidP="00633F9D">
      <w:pPr>
        <w:pStyle w:val="Heading1"/>
        <w:rPr>
          <w:snapToGrid w:val="0"/>
        </w:rPr>
      </w:pPr>
      <w:r>
        <w:rPr>
          <w:snapToGrid w:val="0"/>
        </w:rPr>
        <w:t>Executive summary</w:t>
      </w:r>
    </w:p>
    <w:p w:rsidR="00633F9D" w:rsidRDefault="00633F9D" w:rsidP="00633F9D">
      <w:pPr>
        <w:rPr>
          <w:snapToGrid w:val="0"/>
        </w:rPr>
      </w:pPr>
    </w:p>
    <w:p w:rsidR="00633F9D" w:rsidRDefault="00633F9D" w:rsidP="00633F9D">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a proposal to consolidate the following reports into a “UPOV Performance Report” (UPR):</w:t>
      </w:r>
    </w:p>
    <w:p w:rsidR="00633F9D" w:rsidRDefault="00633F9D" w:rsidP="00633F9D">
      <w:pPr>
        <w:rPr>
          <w:snapToGrid w:val="0"/>
        </w:rPr>
      </w:pPr>
    </w:p>
    <w:p w:rsidR="00633F9D" w:rsidRDefault="00633F9D" w:rsidP="00633F9D">
      <w:pPr>
        <w:pStyle w:val="ListParagraph"/>
        <w:numPr>
          <w:ilvl w:val="0"/>
          <w:numId w:val="1"/>
        </w:numPr>
      </w:pPr>
      <w:r w:rsidRPr="00AD4BE9">
        <w:t>Performance Report for the Biennium</w:t>
      </w:r>
    </w:p>
    <w:p w:rsidR="00633F9D" w:rsidRDefault="00633F9D" w:rsidP="00633F9D">
      <w:pPr>
        <w:pStyle w:val="ListParagraph"/>
        <w:numPr>
          <w:ilvl w:val="0"/>
          <w:numId w:val="1"/>
        </w:numPr>
      </w:pPr>
      <w:r w:rsidRPr="002761C7">
        <w:t>Annual Report o</w:t>
      </w:r>
      <w:r>
        <w:t>f the Secretary-General</w:t>
      </w:r>
    </w:p>
    <w:p w:rsidR="00633F9D" w:rsidRDefault="00633F9D" w:rsidP="00633F9D">
      <w:pPr>
        <w:pStyle w:val="ListParagraph"/>
        <w:numPr>
          <w:ilvl w:val="0"/>
          <w:numId w:val="1"/>
        </w:numPr>
      </w:pPr>
      <w:r w:rsidRPr="00AD4BE9">
        <w:t>Financial Management Report for the Biennium</w:t>
      </w:r>
    </w:p>
    <w:p w:rsidR="00633F9D" w:rsidRDefault="00633F9D" w:rsidP="00633F9D">
      <w:pPr>
        <w:rPr>
          <w:snapToGrid w:val="0"/>
        </w:rPr>
      </w:pPr>
    </w:p>
    <w:p w:rsidR="00633F9D" w:rsidRDefault="00633F9D" w:rsidP="00633F9D">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31348">
        <w:rPr>
          <w:snapToGrid w:val="0"/>
        </w:rPr>
        <w:t xml:space="preserve">The </w:t>
      </w:r>
      <w:r>
        <w:rPr>
          <w:snapToGrid w:val="0"/>
        </w:rPr>
        <w:t>Council</w:t>
      </w:r>
      <w:r w:rsidRPr="00631348">
        <w:rPr>
          <w:snapToGrid w:val="0"/>
        </w:rPr>
        <w:t xml:space="preserve"> is invited to approve the consolidation of existing financial and performance reports into a “UPOV Performance Report” (UPR).  The UPR would be presented alongside the Financial Statements, on an annual basis, starting with the reports for 2020, as set out in paragraphs 9 to 11 and the Annex to this document.</w:t>
      </w:r>
    </w:p>
    <w:p w:rsidR="00633F9D" w:rsidRDefault="00633F9D" w:rsidP="00633F9D">
      <w:pPr>
        <w:rPr>
          <w:snapToGrid w:val="0"/>
        </w:rPr>
      </w:pPr>
    </w:p>
    <w:p w:rsidR="00045F06" w:rsidRDefault="00045F06" w:rsidP="00633F9D">
      <w:pPr>
        <w:rPr>
          <w:snapToGrid w:val="0"/>
        </w:rPr>
      </w:pPr>
    </w:p>
    <w:p w:rsidR="00633F9D" w:rsidRDefault="00633F9D" w:rsidP="00633F9D">
      <w:pPr>
        <w:rPr>
          <w:snapToGrid w:val="0"/>
        </w:rPr>
      </w:pPr>
    </w:p>
    <w:p w:rsidR="00633F9D" w:rsidRDefault="00633F9D" w:rsidP="00633F9D">
      <w:pPr>
        <w:pStyle w:val="Heading1"/>
        <w:rPr>
          <w:snapToGrid w:val="0"/>
        </w:rPr>
      </w:pPr>
      <w:r>
        <w:rPr>
          <w:snapToGrid w:val="0"/>
        </w:rPr>
        <w:t>Background</w:t>
      </w:r>
    </w:p>
    <w:p w:rsidR="00633F9D" w:rsidRDefault="00633F9D" w:rsidP="00633F9D">
      <w:pPr>
        <w:rPr>
          <w:snapToGrid w:val="0"/>
        </w:rPr>
      </w:pPr>
    </w:p>
    <w:p w:rsidR="00633F9D" w:rsidRDefault="00633F9D" w:rsidP="00633F9D">
      <w:r>
        <w:fldChar w:fldCharType="begin"/>
      </w:r>
      <w:r>
        <w:instrText xml:space="preserve"> AUTONUM  </w:instrText>
      </w:r>
      <w:r>
        <w:fldChar w:fldCharType="end"/>
      </w:r>
      <w:r>
        <w:tab/>
        <w:t>Currently, the following reports are prepared for the Council:</w:t>
      </w:r>
    </w:p>
    <w:p w:rsidR="00633F9D" w:rsidRDefault="00633F9D" w:rsidP="00633F9D"/>
    <w:p w:rsidR="00633F9D" w:rsidRDefault="00633F9D" w:rsidP="00633F9D">
      <w:pPr>
        <w:pStyle w:val="ListParagraph"/>
        <w:numPr>
          <w:ilvl w:val="0"/>
          <w:numId w:val="1"/>
        </w:numPr>
      </w:pPr>
      <w:r w:rsidRPr="00AD4BE9">
        <w:t>Performance report for the Biennium</w:t>
      </w:r>
      <w:r>
        <w:t xml:space="preserve"> (e.g. document C/52/16)</w:t>
      </w:r>
    </w:p>
    <w:p w:rsidR="00633F9D" w:rsidRDefault="00633F9D" w:rsidP="00633F9D">
      <w:pPr>
        <w:pStyle w:val="ListParagraph"/>
        <w:numPr>
          <w:ilvl w:val="0"/>
          <w:numId w:val="1"/>
        </w:numPr>
      </w:pPr>
      <w:r w:rsidRPr="002761C7">
        <w:t>Annual report o</w:t>
      </w:r>
      <w:r>
        <w:t>f the Secretary-General (e.g. document C/53/2)</w:t>
      </w:r>
    </w:p>
    <w:p w:rsidR="00633F9D" w:rsidRDefault="00633F9D" w:rsidP="00633F9D">
      <w:pPr>
        <w:pStyle w:val="ListParagraph"/>
        <w:numPr>
          <w:ilvl w:val="0"/>
          <w:numId w:val="1"/>
        </w:numPr>
      </w:pPr>
      <w:r w:rsidRPr="00AD4BE9">
        <w:t>Financial Management Report for the Biennium</w:t>
      </w:r>
      <w:r>
        <w:t xml:space="preserve"> (e.g. document C/52/4)</w:t>
      </w:r>
    </w:p>
    <w:p w:rsidR="00633F9D" w:rsidRDefault="00633F9D" w:rsidP="00633F9D">
      <w:pPr>
        <w:pStyle w:val="ListParagraph"/>
        <w:numPr>
          <w:ilvl w:val="0"/>
          <w:numId w:val="1"/>
        </w:numPr>
      </w:pPr>
      <w:r>
        <w:t>Financial statements (e.g. document C/53/5)</w:t>
      </w:r>
      <w:r w:rsidRPr="001633D4">
        <w:t xml:space="preserve"> </w:t>
      </w:r>
    </w:p>
    <w:p w:rsidR="00633F9D" w:rsidRDefault="00633F9D" w:rsidP="00633F9D">
      <w:pPr>
        <w:pStyle w:val="ListParagraph"/>
        <w:numPr>
          <w:ilvl w:val="0"/>
          <w:numId w:val="1"/>
        </w:numPr>
      </w:pPr>
      <w:r w:rsidRPr="00AD4BE9">
        <w:t>Report on activities duri</w:t>
      </w:r>
      <w:r>
        <w:t>ng the first nine months (e.g. document C/53</w:t>
      </w:r>
      <w:r w:rsidRPr="00AD4BE9">
        <w:t>/INF/3</w:t>
      </w:r>
      <w:r>
        <w:t>)</w:t>
      </w:r>
    </w:p>
    <w:p w:rsidR="00633F9D" w:rsidRDefault="00633F9D" w:rsidP="00633F9D"/>
    <w:p w:rsidR="00633F9D" w:rsidRDefault="00633F9D" w:rsidP="00633F9D">
      <w:r>
        <w:fldChar w:fldCharType="begin"/>
      </w:r>
      <w:r>
        <w:instrText xml:space="preserve"> AUTONUM  </w:instrText>
      </w:r>
      <w:r>
        <w:fldChar w:fldCharType="end"/>
      </w:r>
      <w:r>
        <w:tab/>
        <w:t xml:space="preserve">The following section explains the current content of the documents and identifies the overlaps between the documents above, as a basis for a proposal to consolidate the Performance Report for the Biennium, the Annual Report of the Secretary-General and the Financial Management Report for the Biennium. </w:t>
      </w:r>
    </w:p>
    <w:p w:rsidR="00633F9D" w:rsidRDefault="00633F9D" w:rsidP="00633F9D"/>
    <w:p w:rsidR="00633F9D" w:rsidRDefault="00633F9D" w:rsidP="00633F9D"/>
    <w:p w:rsidR="00633F9D" w:rsidRDefault="00633F9D" w:rsidP="00633F9D">
      <w:pPr>
        <w:pStyle w:val="Heading2"/>
      </w:pPr>
      <w:r w:rsidRPr="00B8034D">
        <w:t>Performance Report for the Biennium</w:t>
      </w:r>
      <w:r>
        <w:t>/</w:t>
      </w:r>
      <w:r w:rsidRPr="00B8034D">
        <w:t>Annual report of the Secretary-General</w:t>
      </w:r>
    </w:p>
    <w:p w:rsidR="00633F9D" w:rsidRDefault="00633F9D" w:rsidP="00633F9D">
      <w:pPr>
        <w:rPr>
          <w:spacing w:val="-2"/>
        </w:rPr>
      </w:pPr>
    </w:p>
    <w:p w:rsidR="00633F9D" w:rsidRPr="005A5359" w:rsidRDefault="00633F9D" w:rsidP="00633F9D">
      <w:pPr>
        <w:rPr>
          <w:snapToGrid w:val="0"/>
          <w:spacing w:val="-2"/>
        </w:rPr>
      </w:pPr>
      <w:r w:rsidRPr="005A5359">
        <w:rPr>
          <w:spacing w:val="-2"/>
        </w:rPr>
        <w:fldChar w:fldCharType="begin"/>
      </w:r>
      <w:r w:rsidRPr="005A5359">
        <w:rPr>
          <w:spacing w:val="-2"/>
        </w:rPr>
        <w:instrText xml:space="preserve"> AUTONUM  </w:instrText>
      </w:r>
      <w:r w:rsidRPr="005A5359">
        <w:rPr>
          <w:spacing w:val="-2"/>
        </w:rPr>
        <w:fldChar w:fldCharType="end"/>
      </w:r>
      <w:r w:rsidRPr="005A5359">
        <w:rPr>
          <w:spacing w:val="-2"/>
        </w:rPr>
        <w:tab/>
        <w:t xml:space="preserve">At its </w:t>
      </w:r>
      <w:r w:rsidRPr="005A5359">
        <w:rPr>
          <w:snapToGrid w:val="0"/>
          <w:spacing w:val="-2"/>
        </w:rPr>
        <w:t xml:space="preserve">eighty-fifth session, held in Geneva on March 22, 2013, </w:t>
      </w:r>
      <w:r w:rsidRPr="005A5359">
        <w:rPr>
          <w:spacing w:val="-2"/>
        </w:rPr>
        <w:t>t</w:t>
      </w:r>
      <w:r w:rsidRPr="005A5359">
        <w:rPr>
          <w:snapToGrid w:val="0"/>
          <w:spacing w:val="-2"/>
        </w:rPr>
        <w:t>he Consultative Committee approved the presentation, in the annual report of the Secretary-General, of the results and performance indicators for the year concerned, as set out in paragraphs 2 to 6 of document CC/85/5 “Preparation of Reports to the Council” (see document CC/85/10 “Report on the Conclusions”, paragraph 25).  It further approved the presentation of the performance report for the biennium in a separate document, which would include information on expenditure, the total number of posts for the Office of the Union and results and performance indicators by sub­program, on the basis of the program and budget adopted by the Council, as set out in paragraphs 2 to 9 of document CC/85/5 (see document CC/85/10 “Report on the Conclusions”, paragraph 26).</w:t>
      </w:r>
    </w:p>
    <w:p w:rsidR="00633F9D" w:rsidRPr="00481476" w:rsidRDefault="00633F9D" w:rsidP="00633F9D">
      <w:pPr>
        <w:rPr>
          <w:snapToGrid w:val="0"/>
        </w:rPr>
      </w:pPr>
    </w:p>
    <w:p w:rsidR="00633F9D" w:rsidRDefault="00633F9D" w:rsidP="00633F9D">
      <w:pPr>
        <w:jc w:val="left"/>
        <w:rPr>
          <w:snapToGrid w:val="0"/>
        </w:rPr>
      </w:pPr>
      <w:r>
        <w:rPr>
          <w:snapToGrid w:val="0"/>
        </w:rPr>
        <w:br w:type="page"/>
      </w:r>
    </w:p>
    <w:p w:rsidR="00633F9D" w:rsidRPr="00481476" w:rsidRDefault="00633F9D" w:rsidP="00633F9D">
      <w:pPr>
        <w:keepNext/>
        <w:rPr>
          <w:snapToGrid w:val="0"/>
        </w:rPr>
      </w:pPr>
      <w:r w:rsidRPr="00481476">
        <w:rPr>
          <w:snapToGrid w:val="0"/>
        </w:rPr>
        <w:lastRenderedPageBreak/>
        <w:tab/>
        <w:t>The proposals made in paragraphs 6 to 9 of document CC/85/5 are reproduced below:</w:t>
      </w:r>
    </w:p>
    <w:p w:rsidR="00633F9D" w:rsidRPr="0075604A" w:rsidRDefault="00633F9D" w:rsidP="00633F9D">
      <w:pPr>
        <w:keepNext/>
        <w:rPr>
          <w:snapToGrid w:val="0"/>
          <w:sz w:val="16"/>
        </w:rPr>
      </w:pPr>
    </w:p>
    <w:p w:rsidR="00633F9D" w:rsidRPr="00481476" w:rsidRDefault="00633F9D" w:rsidP="00633F9D">
      <w:pPr>
        <w:keepNext/>
        <w:ind w:left="567" w:right="567"/>
        <w:rPr>
          <w:snapToGrid w:val="0"/>
          <w:sz w:val="18"/>
          <w:szCs w:val="18"/>
          <w:u w:val="single"/>
        </w:rPr>
      </w:pPr>
      <w:r w:rsidRPr="00481476">
        <w:rPr>
          <w:snapToGrid w:val="0"/>
          <w:sz w:val="18"/>
          <w:szCs w:val="18"/>
        </w:rPr>
        <w:t>“</w:t>
      </w:r>
      <w:r w:rsidRPr="00481476">
        <w:rPr>
          <w:snapToGrid w:val="0"/>
          <w:sz w:val="18"/>
          <w:szCs w:val="18"/>
          <w:u w:val="single"/>
        </w:rPr>
        <w:t>Proposal</w:t>
      </w:r>
    </w:p>
    <w:p w:rsidR="00633F9D" w:rsidRPr="00AC3B25" w:rsidRDefault="00633F9D" w:rsidP="00633F9D">
      <w:pPr>
        <w:keepNext/>
        <w:ind w:left="567" w:right="567"/>
        <w:rPr>
          <w:snapToGrid w:val="0"/>
          <w:sz w:val="16"/>
          <w:szCs w:val="18"/>
        </w:rPr>
      </w:pPr>
    </w:p>
    <w:p w:rsidR="00633F9D" w:rsidRPr="00481476" w:rsidRDefault="00633F9D" w:rsidP="00633F9D">
      <w:pPr>
        <w:ind w:left="567" w:right="567"/>
        <w:rPr>
          <w:i/>
          <w:snapToGrid w:val="0"/>
          <w:sz w:val="18"/>
          <w:szCs w:val="18"/>
        </w:rPr>
      </w:pPr>
      <w:r w:rsidRPr="00481476">
        <w:rPr>
          <w:i/>
          <w:snapToGrid w:val="0"/>
          <w:sz w:val="18"/>
          <w:szCs w:val="18"/>
        </w:rPr>
        <w:t xml:space="preserve">“Annual Report of the Secretary-General </w:t>
      </w:r>
    </w:p>
    <w:p w:rsidR="00633F9D" w:rsidRPr="00AC3B25" w:rsidRDefault="00633F9D" w:rsidP="00633F9D">
      <w:pPr>
        <w:ind w:left="567" w:right="567"/>
        <w:rPr>
          <w:snapToGrid w:val="0"/>
          <w:sz w:val="16"/>
          <w:szCs w:val="18"/>
        </w:rPr>
      </w:pPr>
    </w:p>
    <w:p w:rsidR="00633F9D" w:rsidRPr="00481476" w:rsidRDefault="00633F9D" w:rsidP="00633F9D">
      <w:pPr>
        <w:ind w:left="567" w:right="567"/>
        <w:rPr>
          <w:snapToGrid w:val="0"/>
          <w:sz w:val="18"/>
          <w:szCs w:val="18"/>
        </w:rPr>
      </w:pPr>
      <w:r w:rsidRPr="00481476">
        <w:rPr>
          <w:snapToGrid w:val="0"/>
          <w:sz w:val="18"/>
          <w:szCs w:val="18"/>
        </w:rPr>
        <w:t>“6.</w:t>
      </w:r>
      <w:r w:rsidRPr="00481476">
        <w:rPr>
          <w:snapToGrid w:val="0"/>
          <w:sz w:val="18"/>
          <w:szCs w:val="18"/>
        </w:rPr>
        <w:tab/>
        <w:t xml:space="preserve">It is proposed that the annual report of the Secretary-General presents the results and performance indicators for the year concerned, in a similar way to the presentation of information made in the annual report of the Secretary-General for the first year of the biennium (see, for example, document C/45/2 “Annual Report of the Secretary-General for 2010”).  The performance report for the biennium would then be presented in a separate document;  for example for the Biennium 2014-2015:  </w:t>
      </w:r>
    </w:p>
    <w:p w:rsidR="00633F9D" w:rsidRPr="00AC3B25" w:rsidRDefault="00633F9D" w:rsidP="00633F9D">
      <w:pPr>
        <w:ind w:left="567" w:right="567"/>
        <w:rPr>
          <w:snapToGrid w:val="0"/>
          <w:sz w:val="16"/>
          <w:szCs w:val="18"/>
        </w:rPr>
      </w:pPr>
    </w:p>
    <w:p w:rsidR="00633F9D" w:rsidRPr="00481476" w:rsidRDefault="00633F9D" w:rsidP="00633F9D">
      <w:pPr>
        <w:keepNext/>
        <w:ind w:left="567" w:right="567"/>
        <w:rPr>
          <w:snapToGrid w:val="0"/>
          <w:sz w:val="18"/>
          <w:szCs w:val="18"/>
        </w:rPr>
      </w:pPr>
      <w:r w:rsidRPr="00481476">
        <w:rPr>
          <w:snapToGrid w:val="0"/>
          <w:sz w:val="18"/>
          <w:szCs w:val="18"/>
        </w:rPr>
        <w:tab/>
        <w:t>“(a)</w:t>
      </w:r>
      <w:r w:rsidRPr="00481476">
        <w:rPr>
          <w:snapToGrid w:val="0"/>
          <w:sz w:val="18"/>
          <w:szCs w:val="18"/>
        </w:rPr>
        <w:tab/>
        <w:t>annual report with the results and performance indicators for 2014;</w:t>
      </w:r>
    </w:p>
    <w:p w:rsidR="00633F9D" w:rsidRPr="00AC3B25" w:rsidRDefault="00633F9D" w:rsidP="00633F9D">
      <w:pPr>
        <w:keepNext/>
        <w:ind w:left="567" w:right="567"/>
        <w:rPr>
          <w:snapToGrid w:val="0"/>
          <w:sz w:val="16"/>
          <w:szCs w:val="18"/>
        </w:rPr>
      </w:pPr>
    </w:p>
    <w:p w:rsidR="00633F9D" w:rsidRPr="00481476" w:rsidRDefault="00633F9D" w:rsidP="00633F9D">
      <w:pPr>
        <w:ind w:left="567" w:right="567"/>
        <w:rPr>
          <w:snapToGrid w:val="0"/>
          <w:sz w:val="18"/>
          <w:szCs w:val="18"/>
        </w:rPr>
      </w:pPr>
      <w:r w:rsidRPr="00481476">
        <w:rPr>
          <w:snapToGrid w:val="0"/>
          <w:sz w:val="18"/>
          <w:szCs w:val="18"/>
        </w:rPr>
        <w:tab/>
        <w:t>“(b)</w:t>
      </w:r>
      <w:r w:rsidRPr="00481476">
        <w:rPr>
          <w:snapToGrid w:val="0"/>
          <w:sz w:val="18"/>
          <w:szCs w:val="18"/>
        </w:rPr>
        <w:tab/>
        <w:t>annual report with the results and performance indicators for 2015;  and</w:t>
      </w:r>
    </w:p>
    <w:p w:rsidR="00633F9D" w:rsidRPr="00AC3B25" w:rsidRDefault="00633F9D" w:rsidP="00633F9D">
      <w:pPr>
        <w:ind w:left="567" w:right="567"/>
        <w:rPr>
          <w:snapToGrid w:val="0"/>
          <w:sz w:val="16"/>
          <w:szCs w:val="18"/>
        </w:rPr>
      </w:pPr>
    </w:p>
    <w:p w:rsidR="00633F9D" w:rsidRPr="00481476" w:rsidRDefault="00633F9D" w:rsidP="00633F9D">
      <w:pPr>
        <w:ind w:left="567" w:right="567"/>
        <w:rPr>
          <w:snapToGrid w:val="0"/>
          <w:sz w:val="18"/>
          <w:szCs w:val="18"/>
        </w:rPr>
      </w:pPr>
      <w:r w:rsidRPr="00481476">
        <w:rPr>
          <w:snapToGrid w:val="0"/>
          <w:sz w:val="18"/>
          <w:szCs w:val="18"/>
        </w:rPr>
        <w:tab/>
        <w:t>“(c)</w:t>
      </w:r>
      <w:r w:rsidRPr="00481476">
        <w:rPr>
          <w:snapToGrid w:val="0"/>
          <w:sz w:val="18"/>
          <w:szCs w:val="18"/>
        </w:rPr>
        <w:tab/>
        <w:t>performance report for the biennium 2014-2015, which would include information on expenditure, total number of posts for the Office of the Union and results and performance indicators by sub­program, on the basis of the program and budget adopted by the Council.</w:t>
      </w:r>
    </w:p>
    <w:p w:rsidR="00633F9D" w:rsidRPr="00AC3B25" w:rsidRDefault="00633F9D" w:rsidP="00633F9D">
      <w:pPr>
        <w:ind w:left="567" w:right="567"/>
        <w:rPr>
          <w:snapToGrid w:val="0"/>
          <w:sz w:val="16"/>
          <w:szCs w:val="18"/>
        </w:rPr>
      </w:pPr>
    </w:p>
    <w:p w:rsidR="00633F9D" w:rsidRPr="00481476" w:rsidRDefault="00633F9D" w:rsidP="00633F9D">
      <w:pPr>
        <w:ind w:left="567" w:right="567"/>
        <w:rPr>
          <w:i/>
          <w:snapToGrid w:val="0"/>
          <w:sz w:val="18"/>
          <w:szCs w:val="18"/>
        </w:rPr>
      </w:pPr>
      <w:r w:rsidRPr="00481476">
        <w:rPr>
          <w:i/>
          <w:snapToGrid w:val="0"/>
          <w:sz w:val="18"/>
          <w:szCs w:val="18"/>
        </w:rPr>
        <w:t>“Performance Report for the Biennium</w:t>
      </w:r>
    </w:p>
    <w:p w:rsidR="00633F9D" w:rsidRPr="00AC3B25" w:rsidRDefault="00633F9D" w:rsidP="00633F9D">
      <w:pPr>
        <w:ind w:left="567" w:right="567"/>
        <w:rPr>
          <w:snapToGrid w:val="0"/>
          <w:sz w:val="16"/>
          <w:szCs w:val="18"/>
        </w:rPr>
      </w:pPr>
    </w:p>
    <w:p w:rsidR="00633F9D" w:rsidRPr="00481476" w:rsidRDefault="00633F9D" w:rsidP="00633F9D">
      <w:pPr>
        <w:ind w:left="567" w:right="567"/>
        <w:rPr>
          <w:snapToGrid w:val="0"/>
          <w:sz w:val="18"/>
          <w:szCs w:val="18"/>
        </w:rPr>
      </w:pPr>
      <w:r w:rsidRPr="00481476">
        <w:rPr>
          <w:snapToGrid w:val="0"/>
          <w:sz w:val="18"/>
          <w:szCs w:val="18"/>
        </w:rPr>
        <w:t>“7.</w:t>
      </w:r>
      <w:r w:rsidRPr="00481476">
        <w:rPr>
          <w:snapToGrid w:val="0"/>
          <w:sz w:val="18"/>
          <w:szCs w:val="18"/>
        </w:rPr>
        <w:tab/>
        <w:t xml:space="preserve">With regard to the document presenting the performance report for the biennium, it is proposed that the document would include information on expenditure, the total number of posts for the Office of the Union and results and performance indicators by sub­program, on the basis of the program and budget adopted by the Council (see, for example, document C/45/4 Rev.2).  The presentation of such a document to the Council session in October/November 2014 would also, for example, provide a useful reference document for the Consultative Committee, at its session in March/April 2015, for its consideration of the draft program and budget for the 2016-2017 biennium. </w:t>
      </w:r>
    </w:p>
    <w:p w:rsidR="00633F9D" w:rsidRPr="00AC3B25" w:rsidRDefault="00633F9D" w:rsidP="00633F9D">
      <w:pPr>
        <w:ind w:left="567" w:right="567"/>
        <w:rPr>
          <w:snapToGrid w:val="0"/>
          <w:sz w:val="16"/>
          <w:szCs w:val="18"/>
        </w:rPr>
      </w:pPr>
    </w:p>
    <w:p w:rsidR="00633F9D" w:rsidRPr="00481476" w:rsidRDefault="00633F9D" w:rsidP="00633F9D">
      <w:pPr>
        <w:ind w:left="567" w:right="567"/>
        <w:rPr>
          <w:snapToGrid w:val="0"/>
          <w:sz w:val="18"/>
          <w:szCs w:val="18"/>
        </w:rPr>
      </w:pPr>
      <w:r w:rsidRPr="00481476">
        <w:rPr>
          <w:snapToGrid w:val="0"/>
          <w:sz w:val="18"/>
          <w:szCs w:val="18"/>
        </w:rPr>
        <w:t>“8.</w:t>
      </w:r>
      <w:r w:rsidRPr="00481476">
        <w:rPr>
          <w:snapToGrid w:val="0"/>
          <w:sz w:val="18"/>
          <w:szCs w:val="18"/>
        </w:rPr>
        <w:tab/>
        <w:t>In order to present the results and performance indicators in the most informative way, it is also proposed, where appropriate, to increase the use of graphics and to indicate trends over time. […]</w:t>
      </w:r>
    </w:p>
    <w:p w:rsidR="00633F9D" w:rsidRPr="00AC3B25" w:rsidRDefault="00633F9D" w:rsidP="00633F9D">
      <w:pPr>
        <w:ind w:left="567" w:right="567"/>
        <w:rPr>
          <w:snapToGrid w:val="0"/>
          <w:sz w:val="16"/>
          <w:szCs w:val="18"/>
        </w:rPr>
      </w:pPr>
    </w:p>
    <w:p w:rsidR="00633F9D" w:rsidRPr="00481476" w:rsidRDefault="00633F9D" w:rsidP="00633F9D">
      <w:pPr>
        <w:ind w:left="567" w:right="567"/>
        <w:rPr>
          <w:snapToGrid w:val="0"/>
          <w:sz w:val="18"/>
          <w:szCs w:val="18"/>
        </w:rPr>
      </w:pPr>
      <w:r w:rsidRPr="00481476">
        <w:rPr>
          <w:snapToGrid w:val="0"/>
          <w:sz w:val="18"/>
          <w:szCs w:val="18"/>
        </w:rPr>
        <w:t>“9.</w:t>
      </w:r>
      <w:r w:rsidRPr="00481476">
        <w:rPr>
          <w:snapToGrid w:val="0"/>
          <w:sz w:val="18"/>
          <w:szCs w:val="18"/>
        </w:rPr>
        <w:tab/>
        <w:t>In order to avoid unnecessary duplication, the performance report for the biennium would also refer to detailed information provided in the following documents:</w:t>
      </w:r>
    </w:p>
    <w:p w:rsidR="00633F9D" w:rsidRPr="00AC3B25" w:rsidRDefault="00633F9D" w:rsidP="00633F9D">
      <w:pPr>
        <w:keepNext/>
        <w:ind w:left="567" w:right="567"/>
        <w:rPr>
          <w:snapToGrid w:val="0"/>
          <w:sz w:val="16"/>
          <w:szCs w:val="18"/>
        </w:rPr>
      </w:pPr>
    </w:p>
    <w:p w:rsidR="00633F9D" w:rsidRPr="00481476" w:rsidRDefault="00633F9D" w:rsidP="00633F9D">
      <w:pPr>
        <w:keepNext/>
        <w:ind w:left="567" w:right="567"/>
        <w:rPr>
          <w:snapToGrid w:val="0"/>
          <w:sz w:val="18"/>
          <w:szCs w:val="18"/>
        </w:rPr>
      </w:pPr>
      <w:r w:rsidRPr="00481476">
        <w:rPr>
          <w:snapToGrid w:val="0"/>
          <w:sz w:val="18"/>
          <w:szCs w:val="18"/>
        </w:rPr>
        <w:tab/>
        <w:t>“(a)</w:t>
      </w:r>
      <w:r w:rsidRPr="00481476">
        <w:rPr>
          <w:snapToGrid w:val="0"/>
          <w:sz w:val="18"/>
          <w:szCs w:val="18"/>
        </w:rPr>
        <w:tab/>
        <w:t>Financial situation of the International Union for the Protection of New Varieties of Plants as at the end of the biennium (e.g. document C/46/4 “Financial Situation of the International Union for the Protection of New Varieties of Plants as at December 31, 2011”);</w:t>
      </w:r>
    </w:p>
    <w:p w:rsidR="00633F9D" w:rsidRPr="00AC3B25" w:rsidRDefault="00633F9D" w:rsidP="00633F9D">
      <w:pPr>
        <w:keepNext/>
        <w:ind w:left="567" w:right="567"/>
        <w:rPr>
          <w:snapToGrid w:val="0"/>
          <w:sz w:val="16"/>
          <w:szCs w:val="18"/>
        </w:rPr>
      </w:pPr>
    </w:p>
    <w:p w:rsidR="00633F9D" w:rsidRPr="00481476" w:rsidRDefault="00633F9D" w:rsidP="00633F9D">
      <w:pPr>
        <w:keepNext/>
        <w:ind w:left="567" w:right="567"/>
        <w:rPr>
          <w:snapToGrid w:val="0"/>
          <w:sz w:val="18"/>
          <w:szCs w:val="18"/>
        </w:rPr>
      </w:pPr>
      <w:r w:rsidRPr="00481476">
        <w:rPr>
          <w:snapToGrid w:val="0"/>
          <w:sz w:val="18"/>
          <w:szCs w:val="18"/>
        </w:rPr>
        <w:tab/>
        <w:t>“(b)</w:t>
      </w:r>
      <w:r w:rsidRPr="00481476">
        <w:rPr>
          <w:snapToGrid w:val="0"/>
          <w:sz w:val="18"/>
          <w:szCs w:val="18"/>
        </w:rPr>
        <w:tab/>
        <w:t>Annual report of the Secretary-General (e.g. document C/45/2);</w:t>
      </w:r>
    </w:p>
    <w:p w:rsidR="00633F9D" w:rsidRPr="00AC3B25" w:rsidRDefault="00633F9D" w:rsidP="00633F9D">
      <w:pPr>
        <w:keepNext/>
        <w:ind w:left="567" w:right="567"/>
        <w:rPr>
          <w:snapToGrid w:val="0"/>
          <w:sz w:val="16"/>
          <w:szCs w:val="18"/>
        </w:rPr>
      </w:pPr>
    </w:p>
    <w:p w:rsidR="00633F9D" w:rsidRPr="00AC3B25" w:rsidRDefault="00633F9D" w:rsidP="00633F9D">
      <w:pPr>
        <w:keepNext/>
        <w:ind w:left="567" w:right="567"/>
        <w:rPr>
          <w:snapToGrid w:val="0"/>
          <w:spacing w:val="-4"/>
          <w:sz w:val="18"/>
          <w:szCs w:val="18"/>
        </w:rPr>
      </w:pPr>
      <w:r w:rsidRPr="00AC3B25">
        <w:rPr>
          <w:snapToGrid w:val="0"/>
          <w:spacing w:val="-4"/>
          <w:sz w:val="18"/>
          <w:szCs w:val="18"/>
        </w:rPr>
        <w:tab/>
        <w:t>“(c)</w:t>
      </w:r>
      <w:r w:rsidRPr="00AC3B25">
        <w:rPr>
          <w:snapToGrid w:val="0"/>
          <w:spacing w:val="-4"/>
          <w:sz w:val="18"/>
          <w:szCs w:val="18"/>
        </w:rPr>
        <w:tab/>
        <w:t>Progress report of the work of the Administrative and Legal Committee (e.g. document C/46/</w:t>
      </w:r>
      <w:r w:rsidR="00AC3B25">
        <w:rPr>
          <w:snapToGrid w:val="0"/>
          <w:spacing w:val="-4"/>
          <w:sz w:val="18"/>
          <w:szCs w:val="18"/>
        </w:rPr>
        <w:t xml:space="preserve">9);  </w:t>
      </w:r>
      <w:r w:rsidRPr="00AC3B25">
        <w:rPr>
          <w:snapToGrid w:val="0"/>
          <w:spacing w:val="-4"/>
          <w:sz w:val="18"/>
          <w:szCs w:val="18"/>
        </w:rPr>
        <w:t>and</w:t>
      </w:r>
    </w:p>
    <w:p w:rsidR="00633F9D" w:rsidRPr="00AC3B25" w:rsidRDefault="00633F9D" w:rsidP="00633F9D">
      <w:pPr>
        <w:keepNext/>
        <w:ind w:left="567" w:right="567"/>
        <w:rPr>
          <w:snapToGrid w:val="0"/>
          <w:sz w:val="16"/>
          <w:szCs w:val="18"/>
        </w:rPr>
      </w:pPr>
    </w:p>
    <w:p w:rsidR="00633F9D" w:rsidRPr="00481476" w:rsidRDefault="00633F9D" w:rsidP="00633F9D">
      <w:pPr>
        <w:keepNext/>
        <w:ind w:left="567" w:right="567"/>
        <w:rPr>
          <w:snapToGrid w:val="0"/>
        </w:rPr>
      </w:pPr>
      <w:r w:rsidRPr="00481476">
        <w:rPr>
          <w:snapToGrid w:val="0"/>
          <w:sz w:val="18"/>
          <w:szCs w:val="18"/>
        </w:rPr>
        <w:tab/>
        <w:t>“(d)</w:t>
      </w:r>
      <w:r w:rsidRPr="00481476">
        <w:rPr>
          <w:snapToGrid w:val="0"/>
          <w:sz w:val="18"/>
          <w:szCs w:val="18"/>
        </w:rPr>
        <w:tab/>
        <w:t>Progress report of the work of the Technical Committee, the Technical Working Parties and the Working Group on Biochemical and Molecular Techniques, and DNA-Profili</w:t>
      </w:r>
      <w:r w:rsidR="00AC3B25">
        <w:rPr>
          <w:snapToGrid w:val="0"/>
          <w:sz w:val="18"/>
          <w:szCs w:val="18"/>
        </w:rPr>
        <w:t>ng in Particular (e.g. document </w:t>
      </w:r>
      <w:r w:rsidRPr="00481476">
        <w:rPr>
          <w:snapToGrid w:val="0"/>
          <w:sz w:val="18"/>
          <w:szCs w:val="18"/>
        </w:rPr>
        <w:t>C/46/10).”</w:t>
      </w:r>
    </w:p>
    <w:p w:rsidR="00633F9D" w:rsidRPr="0075604A" w:rsidRDefault="00633F9D" w:rsidP="00633F9D">
      <w:pPr>
        <w:rPr>
          <w:sz w:val="16"/>
        </w:rPr>
      </w:pPr>
    </w:p>
    <w:p w:rsidR="00633F9D" w:rsidRPr="00CE644C" w:rsidRDefault="00633F9D" w:rsidP="00633F9D">
      <w:pPr>
        <w:rPr>
          <w:snapToGrid w:val="0"/>
        </w:rPr>
      </w:pPr>
      <w:r w:rsidRPr="00AC3B25">
        <w:rPr>
          <w:snapToGrid w:val="0"/>
          <w:sz w:val="18"/>
        </w:rPr>
        <w:fldChar w:fldCharType="begin"/>
      </w:r>
      <w:r w:rsidRPr="00AC3B25">
        <w:rPr>
          <w:snapToGrid w:val="0"/>
          <w:sz w:val="18"/>
        </w:rPr>
        <w:instrText xml:space="preserve"> AUTONUM  </w:instrText>
      </w:r>
      <w:r w:rsidRPr="00AC3B25">
        <w:rPr>
          <w:snapToGrid w:val="0"/>
          <w:sz w:val="18"/>
        </w:rPr>
        <w:fldChar w:fldCharType="end"/>
      </w:r>
      <w:r>
        <w:rPr>
          <w:snapToGrid w:val="0"/>
        </w:rPr>
        <w:tab/>
      </w:r>
      <w:r w:rsidRPr="00CE644C">
        <w:t>The Consultative Committee</w:t>
      </w:r>
      <w:r>
        <w:t>,</w:t>
      </w:r>
      <w:r w:rsidRPr="00505A73">
        <w:t xml:space="preserve"> </w:t>
      </w:r>
      <w:r>
        <w:t>at</w:t>
      </w:r>
      <w:r w:rsidRPr="00505A73">
        <w:t xml:space="preserve"> its eighty-sixth session, held in Geneva on October 23</w:t>
      </w:r>
      <w:r>
        <w:t xml:space="preserve"> and 24</w:t>
      </w:r>
      <w:r w:rsidRPr="00505A73">
        <w:t>, 2013</w:t>
      </w:r>
      <w:r w:rsidRPr="00CE644C">
        <w:t xml:space="preserve"> considered </w:t>
      </w:r>
      <w:r w:rsidRPr="00CE644C">
        <w:rPr>
          <w:snapToGrid w:val="0"/>
        </w:rPr>
        <w:t>document CC/86/3</w:t>
      </w:r>
      <w:r>
        <w:rPr>
          <w:snapToGrid w:val="0"/>
        </w:rPr>
        <w:t xml:space="preserve"> “</w:t>
      </w:r>
      <w:r w:rsidRPr="00AD5CB6">
        <w:rPr>
          <w:snapToGrid w:val="0"/>
        </w:rPr>
        <w:t>Preparation of Reports to the Council</w:t>
      </w:r>
      <w:r>
        <w:rPr>
          <w:snapToGrid w:val="0"/>
        </w:rPr>
        <w:t>”</w:t>
      </w:r>
      <w:r w:rsidRPr="00CE644C">
        <w:rPr>
          <w:snapToGrid w:val="0"/>
        </w:rPr>
        <w:t>.</w:t>
      </w:r>
    </w:p>
    <w:p w:rsidR="00633F9D" w:rsidRPr="0075604A" w:rsidRDefault="00633F9D" w:rsidP="00633F9D">
      <w:pPr>
        <w:rPr>
          <w:snapToGrid w:val="0"/>
          <w:sz w:val="16"/>
        </w:rPr>
      </w:pPr>
    </w:p>
    <w:p w:rsidR="00633F9D" w:rsidRPr="00AC3B25" w:rsidRDefault="00633F9D" w:rsidP="00633F9D">
      <w:pPr>
        <w:rPr>
          <w:snapToGrid w:val="0"/>
        </w:rPr>
      </w:pPr>
      <w:r w:rsidRPr="00AC3B25">
        <w:fldChar w:fldCharType="begin"/>
      </w:r>
      <w:r w:rsidRPr="00AC3B25">
        <w:instrText xml:space="preserve"> AUTONUM  </w:instrText>
      </w:r>
      <w:r w:rsidRPr="00AC3B25">
        <w:fldChar w:fldCharType="end"/>
      </w:r>
      <w:r w:rsidRPr="00AC3B25">
        <w:tab/>
      </w:r>
      <w:r w:rsidRPr="00AC3B25">
        <w:rPr>
          <w:snapToGrid w:val="0"/>
        </w:rPr>
        <w:t>The Consultative Committee approved the proposed presentation of information in the performance report for the biennium on the basis of the Annex to document CC/86/3, with a recommend</w:t>
      </w:r>
      <w:r w:rsidR="00AC3B25" w:rsidRPr="00AC3B25">
        <w:rPr>
          <w:snapToGrid w:val="0"/>
        </w:rPr>
        <w:t>ation to avoid the use of three</w:t>
      </w:r>
      <w:r w:rsidR="00AC3B25" w:rsidRPr="00AC3B25">
        <w:rPr>
          <w:snapToGrid w:val="0"/>
        </w:rPr>
        <w:noBreakHyphen/>
      </w:r>
      <w:r w:rsidRPr="00AC3B25">
        <w:rPr>
          <w:snapToGrid w:val="0"/>
        </w:rPr>
        <w:t xml:space="preserve">dimensional graphics and to use appropriate color schemes (see </w:t>
      </w:r>
      <w:r w:rsidRPr="00AC3B25">
        <w:rPr>
          <w:rFonts w:cs="Arial"/>
          <w:snapToGrid w:val="0"/>
        </w:rPr>
        <w:t>document CC/86/15 “Report”, paragraph</w:t>
      </w:r>
      <w:r w:rsidR="00AC3B25" w:rsidRPr="00AC3B25">
        <w:rPr>
          <w:rFonts w:cs="Arial"/>
          <w:snapToGrid w:val="0"/>
        </w:rPr>
        <w:t>s </w:t>
      </w:r>
      <w:r w:rsidRPr="00AC3B25">
        <w:rPr>
          <w:rFonts w:cs="Arial"/>
          <w:snapToGrid w:val="0"/>
        </w:rPr>
        <w:t>45 and 46)</w:t>
      </w:r>
      <w:r w:rsidRPr="00AC3B25">
        <w:rPr>
          <w:snapToGrid w:val="0"/>
        </w:rPr>
        <w:t xml:space="preserve">. </w:t>
      </w:r>
    </w:p>
    <w:p w:rsidR="00633F9D" w:rsidRPr="00AC3B25" w:rsidRDefault="00633F9D" w:rsidP="00633F9D">
      <w:pPr>
        <w:rPr>
          <w:snapToGrid w:val="0"/>
          <w:sz w:val="16"/>
          <w:szCs w:val="18"/>
        </w:rPr>
      </w:pPr>
    </w:p>
    <w:p w:rsidR="00633F9D" w:rsidRPr="00AC3B25" w:rsidRDefault="00633F9D" w:rsidP="00633F9D">
      <w:pPr>
        <w:rPr>
          <w:snapToGrid w:val="0"/>
          <w:sz w:val="16"/>
          <w:szCs w:val="18"/>
        </w:rPr>
      </w:pPr>
    </w:p>
    <w:p w:rsidR="00633F9D" w:rsidRDefault="00633F9D" w:rsidP="00633F9D">
      <w:pPr>
        <w:pStyle w:val="Heading2"/>
      </w:pPr>
      <w:r>
        <w:t>Financial Management Report for the Biennium/Financial Statements</w:t>
      </w:r>
    </w:p>
    <w:p w:rsidR="00633F9D" w:rsidRPr="00AC3B25" w:rsidRDefault="00633F9D" w:rsidP="00633F9D">
      <w:pPr>
        <w:rPr>
          <w:sz w:val="16"/>
        </w:rPr>
      </w:pPr>
    </w:p>
    <w:p w:rsidR="00633F9D" w:rsidRDefault="00633F9D" w:rsidP="00633F9D">
      <w:r>
        <w:fldChar w:fldCharType="begin"/>
      </w:r>
      <w:r>
        <w:instrText xml:space="preserve"> AUTONUM  </w:instrText>
      </w:r>
      <w:r>
        <w:fldChar w:fldCharType="end"/>
      </w:r>
      <w:r>
        <w:tab/>
        <w:t>Document UPOV/INF/4/5 “Financial Regulations and Rules of UPOV” contains the following requirements concerning reporting:</w:t>
      </w:r>
    </w:p>
    <w:p w:rsidR="00AC3B25" w:rsidRPr="00AC3B25" w:rsidRDefault="00AC3B25" w:rsidP="00633F9D">
      <w:pPr>
        <w:rPr>
          <w:sz w:val="16"/>
        </w:rPr>
      </w:pPr>
    </w:p>
    <w:p w:rsidR="00633F9D" w:rsidRPr="0016482D" w:rsidRDefault="00633F9D" w:rsidP="00AC3B25">
      <w:pPr>
        <w:pStyle w:val="Inf4Heading3"/>
        <w:spacing w:before="0"/>
        <w:ind w:left="567" w:right="567"/>
        <w:rPr>
          <w:sz w:val="18"/>
        </w:rPr>
      </w:pPr>
      <w:bookmarkStart w:id="2" w:name="_Toc173661584"/>
      <w:bookmarkStart w:id="3" w:name="_Toc173748565"/>
      <w:bookmarkStart w:id="4" w:name="_Toc532830740"/>
      <w:r w:rsidRPr="0016482D">
        <w:rPr>
          <w:sz w:val="18"/>
        </w:rPr>
        <w:t xml:space="preserve">“Program and financial performance </w:t>
      </w:r>
      <w:bookmarkEnd w:id="2"/>
      <w:bookmarkEnd w:id="3"/>
      <w:r w:rsidRPr="0016482D">
        <w:rPr>
          <w:sz w:val="18"/>
        </w:rPr>
        <w:t>reporting</w:t>
      </w:r>
      <w:bookmarkEnd w:id="4"/>
    </w:p>
    <w:p w:rsidR="00633F9D" w:rsidRPr="0016482D" w:rsidRDefault="00633F9D" w:rsidP="00633F9D">
      <w:pPr>
        <w:pStyle w:val="Inf4Heading4"/>
        <w:ind w:left="567" w:right="567"/>
        <w:rPr>
          <w:sz w:val="18"/>
        </w:rPr>
      </w:pPr>
      <w:bookmarkStart w:id="5" w:name="_Toc173661585"/>
      <w:bookmarkStart w:id="6" w:name="_Toc173748566"/>
      <w:bookmarkStart w:id="7" w:name="_Toc532830741"/>
      <w:r w:rsidRPr="0016482D">
        <w:rPr>
          <w:sz w:val="18"/>
        </w:rPr>
        <w:t>“Regulation 2.14</w:t>
      </w:r>
      <w:bookmarkEnd w:id="5"/>
      <w:bookmarkEnd w:id="6"/>
      <w:bookmarkEnd w:id="7"/>
    </w:p>
    <w:p w:rsidR="00633F9D" w:rsidRPr="00AC3B25" w:rsidRDefault="00633F9D" w:rsidP="00633F9D">
      <w:pPr>
        <w:pStyle w:val="Inf4Normal"/>
        <w:ind w:left="567" w:right="567"/>
        <w:rPr>
          <w:spacing w:val="-2"/>
          <w:sz w:val="18"/>
        </w:rPr>
      </w:pPr>
      <w:r w:rsidRPr="00AC3B25">
        <w:rPr>
          <w:spacing w:val="-2"/>
          <w:sz w:val="18"/>
        </w:rPr>
        <w:t xml:space="preserve">“The </w:t>
      </w:r>
      <w:r w:rsidRPr="00AC3B25">
        <w:rPr>
          <w:spacing w:val="-2"/>
          <w:sz w:val="18"/>
          <w:highlight w:val="lightGray"/>
        </w:rPr>
        <w:t>Secretary</w:t>
      </w:r>
      <w:r w:rsidRPr="00AC3B25">
        <w:rPr>
          <w:spacing w:val="-2"/>
          <w:sz w:val="18"/>
          <w:highlight w:val="lightGray"/>
        </w:rPr>
        <w:noBreakHyphen/>
        <w:t>General</w:t>
      </w:r>
      <w:r w:rsidRPr="00AC3B25">
        <w:rPr>
          <w:spacing w:val="-2"/>
          <w:sz w:val="18"/>
        </w:rPr>
        <w:t xml:space="preserve"> shall prepare a report on program and budgetary performance, based on the program structure, results frameworks, and indicators of achievement contained in the program and budget, in accordance with the mechanism adopted by the </w:t>
      </w:r>
      <w:r w:rsidRPr="00AC3B25">
        <w:rPr>
          <w:spacing w:val="-2"/>
          <w:sz w:val="18"/>
          <w:highlight w:val="lightGray"/>
        </w:rPr>
        <w:t>members of UPOV</w:t>
      </w:r>
      <w:r w:rsidRPr="00AC3B25">
        <w:rPr>
          <w:spacing w:val="-2"/>
          <w:sz w:val="18"/>
        </w:rPr>
        <w:t xml:space="preserve"> in respect of their involvement in the preparation and follow up of the program and budget of UPOV.  The program and financial management report of (i) the first year of the biennium shall provide a progress report on program and budgetary performance; and of (ii) the second year of the biennium shall provide a report on the achievements of the biennium, together with financial management information as required under these Financial Regulations and Rules.</w:t>
      </w:r>
    </w:p>
    <w:p w:rsidR="00633F9D" w:rsidRPr="0016482D" w:rsidRDefault="00633F9D" w:rsidP="00633F9D">
      <w:pPr>
        <w:pStyle w:val="Inf4Heading6"/>
        <w:ind w:left="1134" w:right="567"/>
        <w:rPr>
          <w:sz w:val="18"/>
        </w:rPr>
      </w:pPr>
      <w:bookmarkStart w:id="8" w:name="_Toc173661586"/>
      <w:bookmarkStart w:id="9" w:name="_Toc173748567"/>
      <w:bookmarkStart w:id="10" w:name="_Toc532830742"/>
      <w:r>
        <w:rPr>
          <w:sz w:val="18"/>
        </w:rPr>
        <w:lastRenderedPageBreak/>
        <w:t>“</w:t>
      </w:r>
      <w:r w:rsidRPr="0016482D">
        <w:rPr>
          <w:sz w:val="18"/>
        </w:rPr>
        <w:t>Rule 102.6</w:t>
      </w:r>
      <w:bookmarkEnd w:id="8"/>
      <w:bookmarkEnd w:id="9"/>
      <w:bookmarkEnd w:id="10"/>
    </w:p>
    <w:p w:rsidR="00633F9D" w:rsidRPr="0016482D" w:rsidRDefault="00633F9D" w:rsidP="00633F9D">
      <w:pPr>
        <w:pStyle w:val="Inf4Normal"/>
        <w:ind w:left="1134" w:right="567"/>
        <w:rPr>
          <w:sz w:val="18"/>
          <w:szCs w:val="24"/>
        </w:rPr>
      </w:pPr>
      <w:r w:rsidRPr="0016482D">
        <w:rPr>
          <w:sz w:val="18"/>
          <w:szCs w:val="24"/>
        </w:rPr>
        <w:t>“</w:t>
      </w:r>
      <w:r w:rsidRPr="0016482D">
        <w:rPr>
          <w:sz w:val="18"/>
          <w:szCs w:val="24"/>
          <w:highlight w:val="lightGray"/>
        </w:rPr>
        <w:t>The Vice Secretary</w:t>
      </w:r>
      <w:r w:rsidRPr="0016482D">
        <w:rPr>
          <w:sz w:val="18"/>
          <w:szCs w:val="24"/>
          <w:highlight w:val="lightGray"/>
        </w:rPr>
        <w:noBreakHyphen/>
        <w:t>General</w:t>
      </w:r>
      <w:r w:rsidRPr="0016482D">
        <w:rPr>
          <w:sz w:val="18"/>
          <w:szCs w:val="24"/>
        </w:rPr>
        <w:t xml:space="preserve"> shall submit to the </w:t>
      </w:r>
      <w:r w:rsidRPr="0016482D">
        <w:rPr>
          <w:sz w:val="18"/>
          <w:szCs w:val="24"/>
          <w:highlight w:val="lightGray"/>
        </w:rPr>
        <w:t>Secretary</w:t>
      </w:r>
      <w:r w:rsidRPr="0016482D">
        <w:rPr>
          <w:sz w:val="18"/>
          <w:szCs w:val="24"/>
          <w:highlight w:val="lightGray"/>
        </w:rPr>
        <w:noBreakHyphen/>
        <w:t>General</w:t>
      </w:r>
      <w:r w:rsidRPr="0016482D">
        <w:rPr>
          <w:sz w:val="18"/>
          <w:szCs w:val="24"/>
        </w:rPr>
        <w:t xml:space="preserve"> such information and at such time as he or she shall prescribe for inclusion in the report on program performance.</w:t>
      </w:r>
    </w:p>
    <w:p w:rsidR="00633F9D" w:rsidRPr="0016482D" w:rsidRDefault="00633F9D" w:rsidP="00633F9D">
      <w:pPr>
        <w:pStyle w:val="Inf4Heading4"/>
        <w:ind w:left="567" w:right="567"/>
        <w:rPr>
          <w:sz w:val="18"/>
        </w:rPr>
      </w:pPr>
      <w:bookmarkStart w:id="11" w:name="_Toc532830743"/>
      <w:r w:rsidRPr="0016482D">
        <w:rPr>
          <w:sz w:val="18"/>
        </w:rPr>
        <w:t>“Regulation 2.14</w:t>
      </w:r>
      <w:r w:rsidRPr="0016482D">
        <w:rPr>
          <w:i/>
          <w:sz w:val="18"/>
        </w:rPr>
        <w:t>bis</w:t>
      </w:r>
      <w:bookmarkEnd w:id="11"/>
    </w:p>
    <w:p w:rsidR="00633F9D" w:rsidRPr="0016482D" w:rsidRDefault="00633F9D" w:rsidP="00633F9D">
      <w:pPr>
        <w:pStyle w:val="Inf4Normal"/>
        <w:ind w:left="567" w:right="567"/>
        <w:rPr>
          <w:sz w:val="18"/>
          <w:szCs w:val="24"/>
        </w:rPr>
      </w:pPr>
      <w:r w:rsidRPr="0016482D">
        <w:rPr>
          <w:sz w:val="18"/>
          <w:szCs w:val="24"/>
        </w:rPr>
        <w:t xml:space="preserve">“The program and financial management report of the second year of the biennium shall include the following financial information:  </w:t>
      </w:r>
    </w:p>
    <w:p w:rsidR="00633F9D" w:rsidRPr="0016482D" w:rsidRDefault="00633F9D" w:rsidP="00633F9D">
      <w:pPr>
        <w:pStyle w:val="Inf4Normal"/>
        <w:ind w:left="567" w:right="567"/>
        <w:rPr>
          <w:sz w:val="18"/>
          <w:szCs w:val="24"/>
        </w:rPr>
      </w:pPr>
      <w:r w:rsidRPr="0016482D">
        <w:rPr>
          <w:sz w:val="18"/>
          <w:szCs w:val="24"/>
        </w:rPr>
        <w:t>“(a)</w:t>
      </w:r>
      <w:r w:rsidRPr="0016482D">
        <w:rPr>
          <w:sz w:val="18"/>
          <w:szCs w:val="24"/>
        </w:rPr>
        <w:tab/>
        <w:t>A statement of budget and actual income and expenditure for the financial period reported on the same accounting basis as the adopted budget;</w:t>
      </w:r>
    </w:p>
    <w:p w:rsidR="00633F9D" w:rsidRPr="0016482D" w:rsidRDefault="00633F9D" w:rsidP="00633F9D">
      <w:pPr>
        <w:pStyle w:val="Inf4Normal"/>
        <w:ind w:left="567" w:right="567"/>
        <w:rPr>
          <w:sz w:val="18"/>
          <w:szCs w:val="24"/>
        </w:rPr>
      </w:pPr>
      <w:r w:rsidRPr="0016482D">
        <w:rPr>
          <w:sz w:val="18"/>
          <w:szCs w:val="24"/>
        </w:rPr>
        <w:t>“(b)</w:t>
      </w:r>
      <w:r w:rsidRPr="0016482D">
        <w:rPr>
          <w:sz w:val="18"/>
          <w:szCs w:val="24"/>
        </w:rPr>
        <w:tab/>
        <w:t>The status of appropriations, including:</w:t>
      </w:r>
    </w:p>
    <w:p w:rsidR="00633F9D" w:rsidRPr="0016482D" w:rsidRDefault="00633F9D" w:rsidP="00633F9D">
      <w:pPr>
        <w:pStyle w:val="Inf4Normal"/>
        <w:ind w:left="1134" w:right="567"/>
        <w:rPr>
          <w:sz w:val="18"/>
          <w:szCs w:val="24"/>
        </w:rPr>
      </w:pPr>
      <w:r>
        <w:rPr>
          <w:sz w:val="18"/>
          <w:szCs w:val="24"/>
        </w:rPr>
        <w:t>“</w:t>
      </w:r>
      <w:r w:rsidRPr="0016482D">
        <w:rPr>
          <w:sz w:val="18"/>
          <w:szCs w:val="24"/>
        </w:rPr>
        <w:t>(i)</w:t>
      </w:r>
      <w:r w:rsidRPr="0016482D">
        <w:rPr>
          <w:sz w:val="18"/>
          <w:szCs w:val="24"/>
        </w:rPr>
        <w:tab/>
        <w:t>the original budget appropriation;</w:t>
      </w:r>
    </w:p>
    <w:p w:rsidR="00633F9D" w:rsidRPr="0016482D" w:rsidRDefault="00633F9D" w:rsidP="00633F9D">
      <w:pPr>
        <w:pStyle w:val="Inf4Normal"/>
        <w:ind w:left="1134" w:right="567"/>
        <w:rPr>
          <w:sz w:val="18"/>
          <w:szCs w:val="24"/>
          <w:highlight w:val="yellow"/>
        </w:rPr>
      </w:pPr>
      <w:r>
        <w:rPr>
          <w:sz w:val="18"/>
          <w:szCs w:val="24"/>
        </w:rPr>
        <w:t>“</w:t>
      </w:r>
      <w:r w:rsidRPr="0016482D">
        <w:rPr>
          <w:sz w:val="18"/>
          <w:szCs w:val="24"/>
          <w:highlight w:val="lightGray"/>
        </w:rPr>
        <w:t>(ii)</w:t>
      </w:r>
      <w:r w:rsidRPr="0016482D">
        <w:rPr>
          <w:sz w:val="18"/>
          <w:szCs w:val="24"/>
          <w:highlight w:val="lightGray"/>
        </w:rPr>
        <w:tab/>
        <w:t>Not applicable to UPOV</w:t>
      </w:r>
    </w:p>
    <w:p w:rsidR="00633F9D" w:rsidRPr="0016482D" w:rsidRDefault="00633F9D" w:rsidP="00633F9D">
      <w:pPr>
        <w:pStyle w:val="Inf4Normal"/>
        <w:ind w:left="1134" w:right="567"/>
        <w:rPr>
          <w:sz w:val="18"/>
          <w:szCs w:val="24"/>
          <w:highlight w:val="lightGray"/>
        </w:rPr>
      </w:pPr>
      <w:r>
        <w:rPr>
          <w:sz w:val="18"/>
          <w:szCs w:val="24"/>
        </w:rPr>
        <w:t>“</w:t>
      </w:r>
      <w:r w:rsidRPr="0016482D">
        <w:rPr>
          <w:sz w:val="18"/>
          <w:szCs w:val="24"/>
          <w:highlight w:val="lightGray"/>
        </w:rPr>
        <w:t>(iii)</w:t>
      </w:r>
      <w:r w:rsidRPr="0016482D">
        <w:rPr>
          <w:sz w:val="18"/>
          <w:szCs w:val="24"/>
          <w:highlight w:val="lightGray"/>
        </w:rPr>
        <w:tab/>
        <w:t xml:space="preserve">Not applicable to UPOV. </w:t>
      </w:r>
    </w:p>
    <w:p w:rsidR="00633F9D" w:rsidRPr="0016482D" w:rsidRDefault="00633F9D" w:rsidP="00633F9D">
      <w:pPr>
        <w:pStyle w:val="Inf4Normal"/>
        <w:ind w:left="567" w:right="567"/>
        <w:rPr>
          <w:sz w:val="18"/>
          <w:szCs w:val="24"/>
        </w:rPr>
      </w:pPr>
      <w:r>
        <w:rPr>
          <w:sz w:val="18"/>
          <w:szCs w:val="24"/>
        </w:rPr>
        <w:t>“</w:t>
      </w:r>
      <w:r w:rsidRPr="0016482D">
        <w:rPr>
          <w:sz w:val="18"/>
          <w:szCs w:val="24"/>
        </w:rPr>
        <w:t xml:space="preserve">The </w:t>
      </w:r>
      <w:r w:rsidRPr="0016482D">
        <w:rPr>
          <w:sz w:val="18"/>
          <w:szCs w:val="24"/>
          <w:highlight w:val="lightGray"/>
        </w:rPr>
        <w:t>Secretary-General</w:t>
      </w:r>
      <w:r w:rsidRPr="0016482D">
        <w:rPr>
          <w:sz w:val="18"/>
          <w:szCs w:val="24"/>
        </w:rPr>
        <w:t xml:space="preserve"> shall also give such other information as may be appropriate to indicate the current financial position of </w:t>
      </w:r>
      <w:r w:rsidRPr="0016482D">
        <w:rPr>
          <w:sz w:val="18"/>
          <w:szCs w:val="24"/>
          <w:highlight w:val="lightGray"/>
        </w:rPr>
        <w:t>UPOV</w:t>
      </w:r>
      <w:r w:rsidRPr="0016482D">
        <w:rPr>
          <w:sz w:val="18"/>
          <w:szCs w:val="24"/>
        </w:rPr>
        <w:t>.</w:t>
      </w:r>
    </w:p>
    <w:p w:rsidR="00633F9D" w:rsidRPr="0016482D" w:rsidRDefault="00633F9D" w:rsidP="00633F9D">
      <w:pPr>
        <w:pStyle w:val="Inf4Heading6"/>
        <w:ind w:left="1134" w:right="567"/>
        <w:rPr>
          <w:sz w:val="18"/>
        </w:rPr>
      </w:pPr>
      <w:bookmarkStart w:id="12" w:name="_Toc532830744"/>
      <w:r w:rsidRPr="0016482D">
        <w:rPr>
          <w:sz w:val="18"/>
        </w:rPr>
        <w:t>“Rule 102.7</w:t>
      </w:r>
      <w:bookmarkEnd w:id="12"/>
    </w:p>
    <w:p w:rsidR="00633F9D" w:rsidRPr="0016482D" w:rsidRDefault="00633F9D" w:rsidP="00633F9D">
      <w:pPr>
        <w:pStyle w:val="Inf4Normal"/>
        <w:ind w:left="1134" w:right="567"/>
        <w:rPr>
          <w:sz w:val="18"/>
          <w:szCs w:val="24"/>
        </w:rPr>
      </w:pPr>
      <w:r w:rsidRPr="0016482D">
        <w:rPr>
          <w:sz w:val="18"/>
          <w:szCs w:val="24"/>
        </w:rPr>
        <w:t>“</w:t>
      </w:r>
      <w:r w:rsidRPr="0016482D">
        <w:rPr>
          <w:sz w:val="18"/>
          <w:szCs w:val="24"/>
          <w:highlight w:val="lightGray"/>
        </w:rPr>
        <w:t>(a)</w:t>
      </w:r>
      <w:r w:rsidRPr="0016482D">
        <w:rPr>
          <w:sz w:val="18"/>
          <w:szCs w:val="24"/>
        </w:rPr>
        <w:tab/>
        <w:t xml:space="preserve">The Controller </w:t>
      </w:r>
      <w:r w:rsidRPr="0016482D">
        <w:rPr>
          <w:sz w:val="18"/>
          <w:szCs w:val="24"/>
          <w:highlight w:val="lightGray"/>
        </w:rPr>
        <w:t>of WIPO</w:t>
      </w:r>
      <w:r w:rsidRPr="0016482D">
        <w:rPr>
          <w:sz w:val="18"/>
          <w:szCs w:val="24"/>
        </w:rPr>
        <w:t xml:space="preserve"> shall prepare the program and financial management report in accordance with Regulation 2.14 and 2.14</w:t>
      </w:r>
      <w:r w:rsidRPr="0016482D">
        <w:rPr>
          <w:i/>
          <w:sz w:val="18"/>
          <w:szCs w:val="24"/>
        </w:rPr>
        <w:t>bis</w:t>
      </w:r>
      <w:r w:rsidRPr="0016482D">
        <w:rPr>
          <w:sz w:val="18"/>
          <w:szCs w:val="24"/>
        </w:rPr>
        <w:t>.</w:t>
      </w:r>
    </w:p>
    <w:p w:rsidR="00633F9D" w:rsidRPr="0016482D" w:rsidRDefault="00633F9D" w:rsidP="00633F9D">
      <w:pPr>
        <w:pStyle w:val="Inf4Normal"/>
        <w:ind w:left="1134" w:right="567"/>
        <w:rPr>
          <w:sz w:val="18"/>
          <w:szCs w:val="24"/>
        </w:rPr>
      </w:pPr>
      <w:r w:rsidRPr="0016482D">
        <w:rPr>
          <w:sz w:val="18"/>
          <w:szCs w:val="24"/>
        </w:rPr>
        <w:t>“</w:t>
      </w:r>
      <w:r w:rsidRPr="0016482D">
        <w:rPr>
          <w:sz w:val="18"/>
          <w:szCs w:val="24"/>
          <w:highlight w:val="lightGray"/>
        </w:rPr>
        <w:t>(b)</w:t>
      </w:r>
      <w:r w:rsidRPr="0016482D">
        <w:rPr>
          <w:sz w:val="18"/>
          <w:szCs w:val="24"/>
          <w:highlight w:val="lightGray"/>
        </w:rPr>
        <w:tab/>
        <w:t>Within eight months after the end of each financial period, the Secretary-General shall submit to the Council the program and financial management report prepared in accordance with Regulations 2.14 and 2.14</w:t>
      </w:r>
      <w:r w:rsidRPr="0016482D">
        <w:rPr>
          <w:i/>
          <w:sz w:val="18"/>
          <w:szCs w:val="24"/>
          <w:highlight w:val="lightGray"/>
        </w:rPr>
        <w:t>bis</w:t>
      </w:r>
      <w:r w:rsidRPr="0016482D">
        <w:rPr>
          <w:sz w:val="18"/>
          <w:szCs w:val="24"/>
          <w:highlight w:val="lightGray"/>
        </w:rPr>
        <w:t>.</w:t>
      </w:r>
      <w:r w:rsidRPr="0016482D">
        <w:rPr>
          <w:sz w:val="18"/>
          <w:szCs w:val="24"/>
        </w:rPr>
        <w:t>”</w:t>
      </w:r>
    </w:p>
    <w:p w:rsidR="00633F9D" w:rsidRPr="0016482D" w:rsidRDefault="00633F9D" w:rsidP="00633F9D">
      <w:pPr>
        <w:pStyle w:val="Inf4Normal"/>
        <w:ind w:left="1134" w:right="567"/>
        <w:rPr>
          <w:sz w:val="18"/>
          <w:szCs w:val="24"/>
        </w:rPr>
      </w:pPr>
      <w:r w:rsidRPr="0016482D">
        <w:rPr>
          <w:sz w:val="18"/>
          <w:szCs w:val="24"/>
        </w:rPr>
        <w:t>[…]</w:t>
      </w:r>
    </w:p>
    <w:p w:rsidR="00633F9D" w:rsidRPr="0016482D" w:rsidRDefault="00633F9D" w:rsidP="00633F9D">
      <w:pPr>
        <w:pStyle w:val="Inf4Heading3"/>
        <w:ind w:left="567" w:right="567"/>
        <w:rPr>
          <w:sz w:val="18"/>
        </w:rPr>
      </w:pPr>
      <w:bookmarkStart w:id="13" w:name="_Toc532830932"/>
      <w:bookmarkStart w:id="14" w:name="_Toc173661769"/>
      <w:bookmarkStart w:id="15" w:name="_Toc173748750"/>
      <w:r w:rsidRPr="0016482D">
        <w:rPr>
          <w:sz w:val="18"/>
        </w:rPr>
        <w:t>“Financial reporting</w:t>
      </w:r>
      <w:bookmarkEnd w:id="13"/>
    </w:p>
    <w:p w:rsidR="00633F9D" w:rsidRPr="0016482D" w:rsidRDefault="00633F9D" w:rsidP="00633F9D">
      <w:pPr>
        <w:pStyle w:val="Inf4Heading4"/>
        <w:ind w:left="567" w:right="567"/>
        <w:rPr>
          <w:sz w:val="18"/>
        </w:rPr>
      </w:pPr>
      <w:bookmarkStart w:id="16" w:name="_Toc532830933"/>
      <w:r>
        <w:rPr>
          <w:sz w:val="18"/>
        </w:rPr>
        <w:t>“</w:t>
      </w:r>
      <w:r w:rsidRPr="0016482D">
        <w:rPr>
          <w:sz w:val="18"/>
        </w:rPr>
        <w:t>Regulation 6.5</w:t>
      </w:r>
      <w:bookmarkEnd w:id="16"/>
    </w:p>
    <w:p w:rsidR="00633F9D" w:rsidRPr="0016482D" w:rsidRDefault="00633F9D" w:rsidP="00633F9D">
      <w:pPr>
        <w:pStyle w:val="Inf4Normal"/>
        <w:ind w:left="567" w:right="567"/>
        <w:rPr>
          <w:sz w:val="18"/>
        </w:rPr>
      </w:pPr>
      <w:r w:rsidRPr="0016482D">
        <w:rPr>
          <w:sz w:val="18"/>
          <w:szCs w:val="24"/>
        </w:rPr>
        <w:t>“</w:t>
      </w:r>
      <w:r w:rsidRPr="0016482D">
        <w:rPr>
          <w:sz w:val="18"/>
          <w:highlight w:val="lightGray"/>
        </w:rPr>
        <w:t>(1)</w:t>
      </w:r>
      <w:r w:rsidRPr="0016482D">
        <w:rPr>
          <w:sz w:val="18"/>
        </w:rPr>
        <w:tab/>
        <w:t xml:space="preserve">The annual financial statements for each calendar year of the financial period shall be submitted by the </w:t>
      </w:r>
      <w:r w:rsidRPr="0016482D">
        <w:rPr>
          <w:sz w:val="18"/>
          <w:highlight w:val="lightGray"/>
        </w:rPr>
        <w:t>Secretary</w:t>
      </w:r>
      <w:r w:rsidRPr="0016482D">
        <w:rPr>
          <w:sz w:val="18"/>
          <w:highlight w:val="lightGray"/>
        </w:rPr>
        <w:noBreakHyphen/>
        <w:t>General</w:t>
      </w:r>
      <w:r w:rsidRPr="0016482D">
        <w:rPr>
          <w:sz w:val="18"/>
        </w:rPr>
        <w:t xml:space="preserve"> to the External Auditor no later than March 31 following the end of the calendar year to which they relate.</w:t>
      </w:r>
    </w:p>
    <w:p w:rsidR="00633F9D" w:rsidRPr="0016482D" w:rsidRDefault="00633F9D" w:rsidP="00633F9D">
      <w:pPr>
        <w:pStyle w:val="Inf4Normal"/>
        <w:ind w:left="567" w:right="567"/>
        <w:rPr>
          <w:rFonts w:cs="Arial"/>
          <w:sz w:val="18"/>
        </w:rPr>
      </w:pPr>
      <w:r w:rsidRPr="0016482D">
        <w:rPr>
          <w:sz w:val="18"/>
          <w:szCs w:val="24"/>
        </w:rPr>
        <w:t>“</w:t>
      </w:r>
      <w:r w:rsidRPr="0016482D">
        <w:rPr>
          <w:sz w:val="18"/>
          <w:highlight w:val="lightGray"/>
        </w:rPr>
        <w:t>(2)</w:t>
      </w:r>
      <w:r w:rsidRPr="0016482D">
        <w:rPr>
          <w:sz w:val="18"/>
        </w:rPr>
        <w:tab/>
      </w:r>
      <w:r w:rsidRPr="0016482D">
        <w:rPr>
          <w:rFonts w:cs="Arial"/>
          <w:sz w:val="18"/>
          <w:highlight w:val="lightGray"/>
        </w:rPr>
        <w:t>Within eight months after the end of each calendar year the Secretary</w:t>
      </w:r>
      <w:r w:rsidRPr="0016482D">
        <w:rPr>
          <w:rFonts w:cs="Arial"/>
          <w:sz w:val="18"/>
          <w:highlight w:val="lightGray"/>
        </w:rPr>
        <w:noBreakHyphen/>
        <w:t>General shall submit the annual financial statements and the audit report of the External Auditor to the Council.</w:t>
      </w:r>
    </w:p>
    <w:p w:rsidR="00633F9D" w:rsidRPr="0016482D" w:rsidRDefault="00633F9D" w:rsidP="00633F9D">
      <w:pPr>
        <w:pStyle w:val="Inf4Normal"/>
        <w:keepNext/>
        <w:keepLines/>
        <w:ind w:left="567" w:right="567"/>
        <w:rPr>
          <w:sz w:val="18"/>
        </w:rPr>
      </w:pPr>
      <w:r w:rsidRPr="0016482D">
        <w:rPr>
          <w:sz w:val="18"/>
          <w:szCs w:val="24"/>
        </w:rPr>
        <w:t>“</w:t>
      </w:r>
      <w:r w:rsidRPr="0016482D">
        <w:rPr>
          <w:sz w:val="18"/>
          <w:highlight w:val="lightGray"/>
        </w:rPr>
        <w:t>(3)</w:t>
      </w:r>
      <w:r w:rsidRPr="0016482D">
        <w:rPr>
          <w:sz w:val="18"/>
        </w:rPr>
        <w:tab/>
      </w:r>
      <w:r w:rsidRPr="0016482D">
        <w:rPr>
          <w:sz w:val="18"/>
          <w:highlight w:val="lightGray"/>
        </w:rPr>
        <w:t>The Council shall examine the annual financial statements.  It may identify adjustments to the share of UPOV in common expenditures</w:t>
      </w:r>
      <w:r w:rsidRPr="0016482D">
        <w:rPr>
          <w:rStyle w:val="FootnoteReference"/>
          <w:rFonts w:cs="Arial"/>
          <w:color w:val="000000"/>
          <w:sz w:val="18"/>
          <w:highlight w:val="lightGray"/>
        </w:rPr>
        <w:footnoteReference w:id="2"/>
      </w:r>
      <w:r w:rsidRPr="0016482D">
        <w:rPr>
          <w:sz w:val="18"/>
          <w:highlight w:val="lightGray"/>
        </w:rPr>
        <w:t>, if it finds that this share has not been correctly estimated and assessed by the Secretary</w:t>
      </w:r>
      <w:r w:rsidRPr="0016482D">
        <w:rPr>
          <w:sz w:val="18"/>
          <w:highlight w:val="lightGray"/>
        </w:rPr>
        <w:noBreakHyphen/>
        <w:t>General.  In such a case, after having consulted the Coordination Committee of WIPO, the Council shall establish the final allocation.</w:t>
      </w:r>
    </w:p>
    <w:p w:rsidR="00633F9D" w:rsidRPr="0016482D" w:rsidRDefault="00633F9D" w:rsidP="00633F9D">
      <w:pPr>
        <w:pStyle w:val="Inf4Normal"/>
        <w:ind w:left="567" w:right="567"/>
        <w:rPr>
          <w:rFonts w:cs="Arial"/>
          <w:sz w:val="18"/>
        </w:rPr>
      </w:pPr>
      <w:r w:rsidRPr="00B22C70">
        <w:rPr>
          <w:spacing w:val="-2"/>
          <w:sz w:val="18"/>
          <w:szCs w:val="24"/>
        </w:rPr>
        <w:t>“</w:t>
      </w:r>
      <w:r w:rsidRPr="00B22C70">
        <w:rPr>
          <w:rFonts w:cs="Arial"/>
          <w:spacing w:val="-2"/>
          <w:sz w:val="18"/>
          <w:highlight w:val="lightGray"/>
        </w:rPr>
        <w:t>(4)</w:t>
      </w:r>
      <w:r w:rsidRPr="00B22C70">
        <w:rPr>
          <w:rFonts w:cs="Arial"/>
          <w:spacing w:val="-2"/>
          <w:sz w:val="18"/>
        </w:rPr>
        <w:tab/>
      </w:r>
      <w:r w:rsidRPr="00B22C70">
        <w:rPr>
          <w:rFonts w:cs="Arial"/>
          <w:spacing w:val="-2"/>
          <w:sz w:val="18"/>
          <w:highlight w:val="lightGray"/>
        </w:rPr>
        <w:t>The Council shall approve the annual financial statements, after they have been audited in accordance wi</w:t>
      </w:r>
      <w:r w:rsidRPr="00B22C70">
        <w:rPr>
          <w:spacing w:val="-2"/>
          <w:sz w:val="18"/>
          <w:highlight w:val="lightGray"/>
        </w:rPr>
        <w:t>t</w:t>
      </w:r>
      <w:r w:rsidRPr="00B22C70">
        <w:rPr>
          <w:rFonts w:cs="Arial"/>
          <w:spacing w:val="-2"/>
          <w:sz w:val="18"/>
          <w:highlight w:val="lightGray"/>
        </w:rPr>
        <w:t>h Article 24 of the 1961 Convention, Article 25 of the 1978 Act and Article 29(6) of the 1991 Act</w:t>
      </w:r>
      <w:r w:rsidRPr="0016482D">
        <w:rPr>
          <w:rFonts w:cs="Arial"/>
          <w:sz w:val="18"/>
          <w:highlight w:val="lightGray"/>
        </w:rPr>
        <w:t>.</w:t>
      </w:r>
    </w:p>
    <w:p w:rsidR="00633F9D" w:rsidRPr="0016482D" w:rsidRDefault="00633F9D" w:rsidP="00633F9D">
      <w:pPr>
        <w:pStyle w:val="Inf4Heading6"/>
        <w:ind w:left="1134" w:right="567"/>
        <w:rPr>
          <w:sz w:val="18"/>
        </w:rPr>
      </w:pPr>
      <w:bookmarkStart w:id="17" w:name="_Toc532830934"/>
      <w:r>
        <w:rPr>
          <w:sz w:val="18"/>
        </w:rPr>
        <w:t>“</w:t>
      </w:r>
      <w:r w:rsidRPr="0016482D">
        <w:rPr>
          <w:sz w:val="18"/>
        </w:rPr>
        <w:t>Rule 106.11</w:t>
      </w:r>
      <w:bookmarkEnd w:id="14"/>
      <w:bookmarkEnd w:id="15"/>
      <w:bookmarkEnd w:id="17"/>
    </w:p>
    <w:p w:rsidR="00633F9D" w:rsidRPr="00B22C70" w:rsidRDefault="00633F9D" w:rsidP="00633F9D">
      <w:pPr>
        <w:pStyle w:val="Inf4Normal"/>
        <w:ind w:left="1134" w:right="567"/>
        <w:rPr>
          <w:rFonts w:cs="Arial"/>
          <w:spacing w:val="-4"/>
          <w:sz w:val="18"/>
        </w:rPr>
      </w:pPr>
      <w:r w:rsidRPr="00B22C70">
        <w:rPr>
          <w:spacing w:val="-4"/>
          <w:sz w:val="18"/>
          <w:szCs w:val="24"/>
        </w:rPr>
        <w:t>“</w:t>
      </w:r>
      <w:r w:rsidRPr="00B22C70">
        <w:rPr>
          <w:rFonts w:cs="Arial"/>
          <w:spacing w:val="-4"/>
          <w:sz w:val="18"/>
        </w:rPr>
        <w:t>(a)</w:t>
      </w:r>
      <w:r w:rsidRPr="00B22C70">
        <w:rPr>
          <w:rFonts w:cs="Arial"/>
          <w:spacing w:val="-4"/>
          <w:sz w:val="18"/>
        </w:rPr>
        <w:tab/>
        <w:t>Annual financial statements covering each calendar year of the financial period, as at December 31, shall be submitted to the E</w:t>
      </w:r>
      <w:bookmarkStart w:id="18" w:name="_GoBack"/>
      <w:bookmarkEnd w:id="18"/>
      <w:r w:rsidRPr="00B22C70">
        <w:rPr>
          <w:rFonts w:cs="Arial"/>
          <w:spacing w:val="-4"/>
          <w:sz w:val="18"/>
        </w:rPr>
        <w:t xml:space="preserve">xternal Auditor not later than March 31 following the end of the calendar year to which they relate.  The annual financial statements shall include all business units of </w:t>
      </w:r>
      <w:r w:rsidRPr="00B22C70">
        <w:rPr>
          <w:rFonts w:cs="Arial"/>
          <w:spacing w:val="-4"/>
          <w:sz w:val="18"/>
          <w:highlight w:val="lightGray"/>
        </w:rPr>
        <w:t>UPOV</w:t>
      </w:r>
      <w:r w:rsidRPr="00B22C70">
        <w:rPr>
          <w:rFonts w:cs="Arial"/>
          <w:spacing w:val="-4"/>
          <w:sz w:val="18"/>
        </w:rPr>
        <w:t xml:space="preserve">.  Copies of the annual financial statements shall also be transmitted to the </w:t>
      </w:r>
      <w:r w:rsidRPr="00B22C70">
        <w:rPr>
          <w:rFonts w:cs="Arial"/>
          <w:spacing w:val="-4"/>
          <w:sz w:val="18"/>
          <w:highlight w:val="lightGray"/>
        </w:rPr>
        <w:t>Consultative Committee</w:t>
      </w:r>
      <w:r w:rsidRPr="00B22C70">
        <w:rPr>
          <w:rFonts w:cs="Arial"/>
          <w:spacing w:val="-4"/>
          <w:sz w:val="18"/>
        </w:rPr>
        <w:t xml:space="preserve">.  Additional financial statements may be prepared as and when the Controller </w:t>
      </w:r>
      <w:r w:rsidRPr="00B22C70">
        <w:rPr>
          <w:rFonts w:cs="Arial"/>
          <w:spacing w:val="-4"/>
          <w:sz w:val="18"/>
          <w:highlight w:val="lightGray"/>
        </w:rPr>
        <w:t>of WIPO</w:t>
      </w:r>
      <w:r w:rsidRPr="00B22C70">
        <w:rPr>
          <w:spacing w:val="-4"/>
          <w:sz w:val="18"/>
        </w:rPr>
        <w:t xml:space="preserve"> </w:t>
      </w:r>
      <w:r w:rsidRPr="00B22C70">
        <w:rPr>
          <w:rFonts w:cs="Arial"/>
          <w:spacing w:val="-4"/>
          <w:sz w:val="18"/>
        </w:rPr>
        <w:t>deems it necessary.</w:t>
      </w:r>
    </w:p>
    <w:p w:rsidR="00633F9D" w:rsidRPr="0016482D" w:rsidRDefault="00633F9D" w:rsidP="00633F9D">
      <w:pPr>
        <w:pStyle w:val="Inf4Normal"/>
        <w:ind w:left="1134" w:right="567"/>
        <w:rPr>
          <w:rFonts w:cs="Arial"/>
          <w:sz w:val="18"/>
        </w:rPr>
      </w:pPr>
      <w:r w:rsidRPr="0016482D">
        <w:rPr>
          <w:sz w:val="18"/>
          <w:szCs w:val="24"/>
        </w:rPr>
        <w:t>“</w:t>
      </w:r>
      <w:r w:rsidRPr="0016482D">
        <w:rPr>
          <w:rFonts w:cs="Arial"/>
          <w:sz w:val="18"/>
        </w:rPr>
        <w:t>(b)</w:t>
      </w:r>
      <w:r w:rsidRPr="0016482D">
        <w:rPr>
          <w:rFonts w:cs="Arial"/>
          <w:sz w:val="18"/>
        </w:rPr>
        <w:tab/>
        <w:t>The annual financial statements submitted to the External Auditor shall include:</w:t>
      </w:r>
    </w:p>
    <w:p w:rsidR="00633F9D" w:rsidRPr="0016482D" w:rsidRDefault="00633F9D" w:rsidP="00633F9D">
      <w:pPr>
        <w:keepNext/>
        <w:tabs>
          <w:tab w:val="left" w:pos="1701"/>
        </w:tabs>
        <w:spacing w:before="108"/>
        <w:ind w:left="1701" w:right="567"/>
        <w:rPr>
          <w:rFonts w:cs="Arial"/>
          <w:sz w:val="18"/>
        </w:rPr>
      </w:pPr>
      <w:r>
        <w:rPr>
          <w:rFonts w:cs="Arial"/>
          <w:sz w:val="18"/>
        </w:rPr>
        <w:t>“</w:t>
      </w:r>
      <w:r w:rsidRPr="0016482D">
        <w:rPr>
          <w:rFonts w:cs="Arial"/>
          <w:sz w:val="18"/>
        </w:rPr>
        <w:t>(i)</w:t>
      </w:r>
      <w:r w:rsidRPr="0016482D">
        <w:rPr>
          <w:rFonts w:cs="Arial"/>
          <w:sz w:val="18"/>
        </w:rPr>
        <w:tab/>
        <w:t xml:space="preserve">a statement of financial position; </w:t>
      </w:r>
    </w:p>
    <w:p w:rsidR="00633F9D" w:rsidRPr="0016482D" w:rsidRDefault="00633F9D" w:rsidP="00633F9D">
      <w:pPr>
        <w:tabs>
          <w:tab w:val="left" w:pos="1701"/>
        </w:tabs>
        <w:spacing w:before="108"/>
        <w:ind w:left="1701" w:right="567"/>
        <w:rPr>
          <w:rFonts w:cs="Arial"/>
          <w:sz w:val="18"/>
        </w:rPr>
      </w:pPr>
      <w:r>
        <w:rPr>
          <w:rFonts w:cs="Arial"/>
          <w:sz w:val="18"/>
        </w:rPr>
        <w:t>“</w:t>
      </w:r>
      <w:r w:rsidRPr="0016482D">
        <w:rPr>
          <w:rFonts w:cs="Arial"/>
          <w:sz w:val="18"/>
        </w:rPr>
        <w:t>(ii)</w:t>
      </w:r>
      <w:r w:rsidRPr="0016482D">
        <w:rPr>
          <w:rFonts w:cs="Arial"/>
          <w:sz w:val="18"/>
        </w:rPr>
        <w:tab/>
        <w:t xml:space="preserve">a statement of financial performance; </w:t>
      </w:r>
    </w:p>
    <w:p w:rsidR="00633F9D" w:rsidRPr="0016482D" w:rsidRDefault="00633F9D" w:rsidP="00633F9D">
      <w:pPr>
        <w:tabs>
          <w:tab w:val="left" w:pos="1701"/>
        </w:tabs>
        <w:spacing w:before="108"/>
        <w:ind w:left="1701" w:right="567"/>
        <w:rPr>
          <w:rFonts w:cs="Arial"/>
          <w:sz w:val="18"/>
        </w:rPr>
      </w:pPr>
      <w:r>
        <w:rPr>
          <w:rFonts w:cs="Arial"/>
          <w:sz w:val="18"/>
        </w:rPr>
        <w:t>“</w:t>
      </w:r>
      <w:r w:rsidRPr="0016482D">
        <w:rPr>
          <w:rFonts w:cs="Arial"/>
          <w:sz w:val="18"/>
        </w:rPr>
        <w:t>(iii)</w:t>
      </w:r>
      <w:r w:rsidRPr="0016482D">
        <w:rPr>
          <w:rFonts w:cs="Arial"/>
          <w:sz w:val="18"/>
        </w:rPr>
        <w:tab/>
        <w:t>a statement of changes in net assets;</w:t>
      </w:r>
    </w:p>
    <w:p w:rsidR="00633F9D" w:rsidRPr="0016482D" w:rsidRDefault="00633F9D" w:rsidP="00633F9D">
      <w:pPr>
        <w:tabs>
          <w:tab w:val="left" w:pos="1701"/>
        </w:tabs>
        <w:spacing w:before="108"/>
        <w:ind w:left="1701" w:right="567"/>
        <w:rPr>
          <w:rFonts w:cs="Arial"/>
          <w:sz w:val="18"/>
        </w:rPr>
      </w:pPr>
      <w:r>
        <w:rPr>
          <w:rFonts w:cs="Arial"/>
          <w:sz w:val="18"/>
        </w:rPr>
        <w:t>“</w:t>
      </w:r>
      <w:r w:rsidRPr="0016482D">
        <w:rPr>
          <w:rFonts w:cs="Arial"/>
          <w:sz w:val="18"/>
        </w:rPr>
        <w:t>(iv)</w:t>
      </w:r>
      <w:r w:rsidRPr="0016482D">
        <w:rPr>
          <w:rFonts w:cs="Arial"/>
          <w:sz w:val="18"/>
        </w:rPr>
        <w:tab/>
        <w:t xml:space="preserve">a statement of cash flow; </w:t>
      </w:r>
    </w:p>
    <w:p w:rsidR="00633F9D" w:rsidRPr="0016482D" w:rsidRDefault="00633F9D" w:rsidP="00633F9D">
      <w:pPr>
        <w:tabs>
          <w:tab w:val="left" w:pos="1701"/>
        </w:tabs>
        <w:spacing w:before="108"/>
        <w:ind w:left="1701" w:right="567"/>
        <w:rPr>
          <w:rFonts w:cs="Arial"/>
          <w:sz w:val="18"/>
        </w:rPr>
      </w:pPr>
      <w:r>
        <w:rPr>
          <w:rFonts w:cs="Arial"/>
          <w:sz w:val="18"/>
        </w:rPr>
        <w:t>“</w:t>
      </w:r>
      <w:r w:rsidRPr="0016482D">
        <w:rPr>
          <w:rFonts w:cs="Arial"/>
          <w:sz w:val="18"/>
        </w:rPr>
        <w:t>(v)</w:t>
      </w:r>
      <w:r w:rsidRPr="0016482D">
        <w:rPr>
          <w:rFonts w:cs="Arial"/>
          <w:sz w:val="18"/>
        </w:rPr>
        <w:tab/>
        <w:t xml:space="preserve">a statement of comparison of budget and actual amounts; </w:t>
      </w:r>
    </w:p>
    <w:p w:rsidR="00633F9D" w:rsidRPr="00B22C70" w:rsidRDefault="00633F9D" w:rsidP="00633F9D">
      <w:pPr>
        <w:keepNext/>
        <w:spacing w:before="108"/>
        <w:ind w:left="2268" w:right="567" w:hanging="567"/>
        <w:rPr>
          <w:rFonts w:cs="Arial"/>
          <w:spacing w:val="-6"/>
          <w:sz w:val="18"/>
        </w:rPr>
      </w:pPr>
      <w:r w:rsidRPr="00B22C70">
        <w:rPr>
          <w:rFonts w:cs="Arial"/>
          <w:spacing w:val="-6"/>
          <w:sz w:val="18"/>
        </w:rPr>
        <w:t>“(vi)</w:t>
      </w:r>
      <w:r w:rsidRPr="00B22C70">
        <w:rPr>
          <w:rFonts w:cs="Arial"/>
          <w:spacing w:val="-6"/>
          <w:sz w:val="18"/>
        </w:rPr>
        <w:tab/>
        <w:t>notes, comprising a summary of significant accounting policies and other explanatory notes.</w:t>
      </w:r>
    </w:p>
    <w:p w:rsidR="00633F9D" w:rsidRPr="0016482D" w:rsidRDefault="00633F9D" w:rsidP="00633F9D">
      <w:pPr>
        <w:pStyle w:val="Inf4Normal"/>
        <w:ind w:left="1134" w:right="567"/>
        <w:rPr>
          <w:rFonts w:cs="Arial"/>
          <w:sz w:val="18"/>
        </w:rPr>
      </w:pPr>
      <w:r>
        <w:rPr>
          <w:rFonts w:cs="Arial"/>
          <w:sz w:val="18"/>
        </w:rPr>
        <w:t>“</w:t>
      </w:r>
      <w:r w:rsidRPr="0016482D">
        <w:rPr>
          <w:rFonts w:cs="Arial"/>
          <w:sz w:val="18"/>
        </w:rPr>
        <w:t>Subparagraphs (i) to (v) above shall be considered to constitute the primary financial statements.</w:t>
      </w:r>
    </w:p>
    <w:p w:rsidR="00633F9D" w:rsidRPr="0016482D" w:rsidRDefault="00633F9D" w:rsidP="00633F9D">
      <w:pPr>
        <w:pStyle w:val="Inf4Heading6"/>
        <w:ind w:left="1134" w:right="567"/>
        <w:rPr>
          <w:sz w:val="18"/>
        </w:rPr>
      </w:pPr>
      <w:bookmarkStart w:id="19" w:name="_Toc532830935"/>
      <w:r>
        <w:rPr>
          <w:sz w:val="18"/>
        </w:rPr>
        <w:lastRenderedPageBreak/>
        <w:t>“</w:t>
      </w:r>
      <w:r w:rsidRPr="0016482D">
        <w:rPr>
          <w:sz w:val="18"/>
        </w:rPr>
        <w:t>Rule 106.11</w:t>
      </w:r>
      <w:r w:rsidRPr="0016482D">
        <w:rPr>
          <w:i/>
          <w:sz w:val="18"/>
        </w:rPr>
        <w:t>bis</w:t>
      </w:r>
      <w:bookmarkEnd w:id="19"/>
    </w:p>
    <w:p w:rsidR="00633F9D" w:rsidRPr="0016482D" w:rsidRDefault="00633F9D" w:rsidP="00633F9D">
      <w:pPr>
        <w:pStyle w:val="Inf4Normal"/>
        <w:ind w:left="1134" w:right="567"/>
        <w:rPr>
          <w:rFonts w:cs="Arial"/>
          <w:sz w:val="18"/>
        </w:rPr>
      </w:pPr>
      <w:r>
        <w:rPr>
          <w:rFonts w:cs="Arial"/>
          <w:sz w:val="18"/>
        </w:rPr>
        <w:t>“</w:t>
      </w:r>
      <w:r w:rsidRPr="0016482D">
        <w:rPr>
          <w:rFonts w:cs="Arial"/>
          <w:sz w:val="18"/>
        </w:rPr>
        <w:t>The annual financial statements of the second year of the biennium shall provide the following:</w:t>
      </w:r>
    </w:p>
    <w:p w:rsidR="00633F9D" w:rsidRPr="0016482D" w:rsidRDefault="00633F9D" w:rsidP="00633F9D">
      <w:pPr>
        <w:tabs>
          <w:tab w:val="left" w:pos="1701"/>
        </w:tabs>
        <w:spacing w:before="108"/>
        <w:ind w:left="1134" w:right="567" w:firstLine="567"/>
        <w:rPr>
          <w:rFonts w:cs="Arial"/>
          <w:sz w:val="18"/>
        </w:rPr>
      </w:pPr>
      <w:r>
        <w:rPr>
          <w:rFonts w:cs="Arial"/>
          <w:sz w:val="18"/>
        </w:rPr>
        <w:t>“</w:t>
      </w:r>
      <w:r w:rsidRPr="0016482D">
        <w:rPr>
          <w:rFonts w:cs="Arial"/>
          <w:sz w:val="18"/>
        </w:rPr>
        <w:t>(a)</w:t>
      </w:r>
      <w:r w:rsidRPr="0016482D">
        <w:rPr>
          <w:rFonts w:cs="Arial"/>
          <w:sz w:val="18"/>
        </w:rPr>
        <w:tab/>
        <w:t>The income and expenditures of all funds;</w:t>
      </w:r>
    </w:p>
    <w:p w:rsidR="00633F9D" w:rsidRPr="0016482D" w:rsidRDefault="00633F9D" w:rsidP="00633F9D">
      <w:pPr>
        <w:tabs>
          <w:tab w:val="left" w:pos="1701"/>
        </w:tabs>
        <w:spacing w:before="108"/>
        <w:ind w:left="1134" w:right="567" w:firstLine="567"/>
        <w:rPr>
          <w:rFonts w:cs="Arial"/>
          <w:sz w:val="18"/>
        </w:rPr>
      </w:pPr>
      <w:r>
        <w:rPr>
          <w:rFonts w:cs="Arial"/>
          <w:sz w:val="18"/>
        </w:rPr>
        <w:t>“</w:t>
      </w:r>
      <w:r w:rsidRPr="0016482D">
        <w:rPr>
          <w:rFonts w:cs="Arial"/>
          <w:sz w:val="18"/>
        </w:rPr>
        <w:t>(b)</w:t>
      </w:r>
      <w:r w:rsidRPr="0016482D">
        <w:rPr>
          <w:rFonts w:cs="Arial"/>
          <w:sz w:val="18"/>
        </w:rPr>
        <w:tab/>
        <w:t>Credits, if any, other than the appropriations approved for the biennium, together with amounts charged against these, in the form of a comprehensive table;</w:t>
      </w:r>
    </w:p>
    <w:p w:rsidR="00633F9D" w:rsidRPr="0016482D" w:rsidRDefault="00633F9D" w:rsidP="00633F9D">
      <w:pPr>
        <w:tabs>
          <w:tab w:val="left" w:pos="1701"/>
        </w:tabs>
        <w:spacing w:before="108"/>
        <w:ind w:left="1134" w:right="567" w:firstLine="567"/>
        <w:rPr>
          <w:rFonts w:cs="Arial"/>
          <w:sz w:val="18"/>
        </w:rPr>
      </w:pPr>
      <w:r>
        <w:rPr>
          <w:rFonts w:cs="Arial"/>
          <w:sz w:val="18"/>
        </w:rPr>
        <w:t>“</w:t>
      </w:r>
      <w:r w:rsidRPr="0016482D">
        <w:rPr>
          <w:rFonts w:cs="Arial"/>
          <w:sz w:val="18"/>
        </w:rPr>
        <w:t>(c)</w:t>
      </w:r>
      <w:r w:rsidRPr="0016482D">
        <w:rPr>
          <w:rFonts w:cs="Arial"/>
          <w:sz w:val="18"/>
        </w:rPr>
        <w:tab/>
        <w:t>Within the discussion and analysis accompanying such statements, financial information for the financial period drawn from the primary financial statements prepared for each calendar year;</w:t>
      </w:r>
    </w:p>
    <w:p w:rsidR="00633F9D" w:rsidRPr="0016482D" w:rsidRDefault="00633F9D" w:rsidP="00633F9D">
      <w:pPr>
        <w:tabs>
          <w:tab w:val="left" w:pos="1701"/>
        </w:tabs>
        <w:spacing w:before="108"/>
        <w:ind w:left="1134" w:right="567" w:firstLine="567"/>
        <w:rPr>
          <w:rFonts w:cs="Arial"/>
          <w:sz w:val="18"/>
        </w:rPr>
      </w:pPr>
      <w:r>
        <w:rPr>
          <w:rFonts w:cs="Arial"/>
          <w:sz w:val="18"/>
        </w:rPr>
        <w:t>“</w:t>
      </w:r>
      <w:r w:rsidRPr="0016482D">
        <w:rPr>
          <w:rFonts w:cs="Arial"/>
          <w:sz w:val="18"/>
        </w:rPr>
        <w:t>(d)</w:t>
      </w:r>
      <w:r w:rsidRPr="0016482D">
        <w:rPr>
          <w:rFonts w:cs="Arial"/>
          <w:sz w:val="18"/>
        </w:rPr>
        <w:tab/>
        <w:t>A report on investments, as part of the notes to the financial statements.</w:t>
      </w:r>
      <w:r>
        <w:rPr>
          <w:rFonts w:cs="Arial"/>
          <w:sz w:val="18"/>
        </w:rPr>
        <w:t>”</w:t>
      </w:r>
    </w:p>
    <w:p w:rsidR="00633F9D" w:rsidRDefault="00633F9D" w:rsidP="00633F9D"/>
    <w:p w:rsidR="00633F9D" w:rsidRDefault="00633F9D" w:rsidP="00633F9D"/>
    <w:p w:rsidR="00045F06" w:rsidRDefault="00045F06" w:rsidP="00633F9D"/>
    <w:p w:rsidR="00633F9D" w:rsidRDefault="00633F9D" w:rsidP="00633F9D">
      <w:pPr>
        <w:pStyle w:val="Heading1"/>
      </w:pPr>
      <w:r>
        <w:t>Proposal</w:t>
      </w:r>
    </w:p>
    <w:p w:rsidR="00633F9D" w:rsidRDefault="00633F9D" w:rsidP="00633F9D"/>
    <w:p w:rsidR="00633F9D" w:rsidRDefault="00633F9D" w:rsidP="00633F9D">
      <w:r>
        <w:fldChar w:fldCharType="begin"/>
      </w:r>
      <w:r>
        <w:instrText xml:space="preserve"> AUTONUM  </w:instrText>
      </w:r>
      <w:r>
        <w:fldChar w:fldCharType="end"/>
      </w:r>
      <w:r>
        <w:tab/>
        <w:t xml:space="preserve">The </w:t>
      </w:r>
      <w:r w:rsidRPr="00AD4BE9">
        <w:t>Financial Management Report for the Biennium</w:t>
      </w:r>
      <w:r>
        <w:t xml:space="preserve"> has overlaps with the content of both the </w:t>
      </w:r>
      <w:r w:rsidRPr="00AD4BE9">
        <w:t>Performance Report for the Biennium</w:t>
      </w:r>
      <w:r>
        <w:t xml:space="preserve"> and the Financial Statements.  Furthermore, as explained in </w:t>
      </w:r>
      <w:r w:rsidRPr="0016482D">
        <w:t>paragraph 6, above, the content of the Performance Report for the Biennium has overlaps with the Annual</w:t>
      </w:r>
      <w:r w:rsidRPr="002761C7">
        <w:t xml:space="preserve"> Report o</w:t>
      </w:r>
      <w:r>
        <w:t xml:space="preserve">f the Secretary-General.  Therefore, it is proposed to consolidate the </w:t>
      </w:r>
      <w:r w:rsidRPr="00AD4BE9">
        <w:t>Performance Report for the Biennium</w:t>
      </w:r>
      <w:r>
        <w:t xml:space="preserve"> and the </w:t>
      </w:r>
      <w:r w:rsidRPr="00256DD8">
        <w:t>Financial Management Report for the Biennium</w:t>
      </w:r>
      <w:r>
        <w:t xml:space="preserve"> into a single “UPOV Performance Report” and to present the UPOV Performance Report on an annual basis to replace the </w:t>
      </w:r>
      <w:r w:rsidRPr="002761C7">
        <w:t>Annual report o</w:t>
      </w:r>
      <w:r>
        <w:t>f the Secretary</w:t>
      </w:r>
      <w:r>
        <w:noBreakHyphen/>
        <w:t xml:space="preserve">General.  The </w:t>
      </w:r>
      <w:r w:rsidRPr="003D061C">
        <w:t>Financial Statements</w:t>
      </w:r>
      <w:r>
        <w:t xml:space="preserve"> would continue to be presented without change. </w:t>
      </w:r>
    </w:p>
    <w:p w:rsidR="00633F9D" w:rsidRDefault="00633F9D" w:rsidP="00633F9D"/>
    <w:p w:rsidR="00633F9D" w:rsidRDefault="00633F9D" w:rsidP="00633F9D">
      <w:r>
        <w:fldChar w:fldCharType="begin"/>
      </w:r>
      <w:r>
        <w:instrText xml:space="preserve"> AUTONUM  </w:instrText>
      </w:r>
      <w:r>
        <w:fldChar w:fldCharType="end"/>
      </w:r>
      <w:r>
        <w:tab/>
        <w:t xml:space="preserve">The Annex to this document summarizes the contents of the </w:t>
      </w:r>
      <w:r w:rsidRPr="00AD4BE9">
        <w:t>Performance Report for the Biennium</w:t>
      </w:r>
      <w:r>
        <w:t xml:space="preserve">, the </w:t>
      </w:r>
      <w:r w:rsidRPr="002761C7">
        <w:t>Annual Report o</w:t>
      </w:r>
      <w:r>
        <w:t>f the Secretary-General, the</w:t>
      </w:r>
      <w:r w:rsidRPr="00A70936">
        <w:t xml:space="preserve"> </w:t>
      </w:r>
      <w:r w:rsidRPr="00AD4BE9">
        <w:t>Financial Management Report for the Biennium</w:t>
      </w:r>
      <w:r>
        <w:t xml:space="preserve"> and the Financial Statements, and presents the proposed content of a “UPOV Performance Report” and Financial Statements (unchanged).     </w:t>
      </w:r>
    </w:p>
    <w:p w:rsidR="00633F9D" w:rsidRDefault="00633F9D" w:rsidP="00633F9D"/>
    <w:p w:rsidR="00633F9D" w:rsidRDefault="00633F9D" w:rsidP="00633F9D">
      <w:r>
        <w:fldChar w:fldCharType="begin"/>
      </w:r>
      <w:r>
        <w:instrText xml:space="preserve"> AUTONUM  </w:instrText>
      </w:r>
      <w:r>
        <w:fldChar w:fldCharType="end"/>
      </w:r>
      <w:r>
        <w:tab/>
      </w:r>
      <w:r w:rsidRPr="00CB6435">
        <w:t xml:space="preserve">The </w:t>
      </w:r>
      <w:r>
        <w:t>“UPOV Performance Report”</w:t>
      </w:r>
      <w:r w:rsidRPr="00CB6435">
        <w:t xml:space="preserve"> </w:t>
      </w:r>
      <w:r>
        <w:t>would provide a comprehensive and transparent assessment of programmatic and financial performance, while eliminating</w:t>
      </w:r>
      <w:r w:rsidRPr="00CB6435">
        <w:t xml:space="preserve"> the duplication of information produced in the Financial Management Report for the Biennium, the Performance Report for the Biennium</w:t>
      </w:r>
      <w:r>
        <w:t xml:space="preserve">, </w:t>
      </w:r>
      <w:r w:rsidRPr="00CB6435">
        <w:t>the Annual report of the Secretary-Gener</w:t>
      </w:r>
      <w:r>
        <w:t>al and the Financial Statements</w:t>
      </w:r>
      <w:r w:rsidRPr="00CB6435">
        <w:t>.</w:t>
      </w:r>
      <w:r>
        <w:t xml:space="preserve">  The “UPOV Performance Report”</w:t>
      </w:r>
      <w:r w:rsidRPr="00CB6435">
        <w:t xml:space="preserve"> </w:t>
      </w:r>
      <w:r>
        <w:t xml:space="preserve">would be prepared in accordance with </w:t>
      </w:r>
      <w:r w:rsidRPr="00655756">
        <w:t>Regulations 2.14 and 2.14</w:t>
      </w:r>
      <w:r w:rsidRPr="0016482D">
        <w:rPr>
          <w:i/>
        </w:rPr>
        <w:t>bis</w:t>
      </w:r>
      <w:r w:rsidRPr="00655756">
        <w:t xml:space="preserve"> of the </w:t>
      </w:r>
      <w:r>
        <w:t xml:space="preserve">Financial Regulations and Rules of UPOV (see document UPOV/INF/4/5) </w:t>
      </w:r>
      <w:r w:rsidRPr="00655756">
        <w:t xml:space="preserve">and </w:t>
      </w:r>
      <w:r>
        <w:t>would report</w:t>
      </w:r>
      <w:r w:rsidRPr="00655756">
        <w:t xml:space="preserve"> performance against </w:t>
      </w:r>
      <w:r>
        <w:t>the performance indicators</w:t>
      </w:r>
      <w:r w:rsidRPr="00655756">
        <w:t xml:space="preserve"> established in the Pro</w:t>
      </w:r>
      <w:r>
        <w:t xml:space="preserve">gram and Budget for the </w:t>
      </w:r>
      <w:r w:rsidRPr="00655756">
        <w:t>biennium</w:t>
      </w:r>
      <w:r>
        <w:t xml:space="preserve"> concerned.  It is proposed that the “UPOV Performance Report” be introduced from the reports for 2020.</w:t>
      </w:r>
    </w:p>
    <w:p w:rsidR="00633F9D" w:rsidRDefault="00633F9D" w:rsidP="00633F9D"/>
    <w:p w:rsidR="00633F9D" w:rsidRDefault="00633F9D" w:rsidP="00633F9D">
      <w:pPr>
        <w:pStyle w:val="DecisionParagraphs"/>
      </w:pPr>
      <w:r>
        <w:fldChar w:fldCharType="begin"/>
      </w:r>
      <w:r>
        <w:instrText xml:space="preserve"> AUTONUM  </w:instrText>
      </w:r>
      <w:r>
        <w:fldChar w:fldCharType="end"/>
      </w:r>
      <w:r>
        <w:tab/>
      </w:r>
      <w:r w:rsidRPr="00A70936">
        <w:rPr>
          <w:snapToGrid w:val="0"/>
        </w:rPr>
        <w:t xml:space="preserve">The </w:t>
      </w:r>
      <w:r>
        <w:rPr>
          <w:snapToGrid w:val="0"/>
        </w:rPr>
        <w:t>Council</w:t>
      </w:r>
      <w:r w:rsidRPr="00A70936">
        <w:rPr>
          <w:snapToGrid w:val="0"/>
        </w:rPr>
        <w:t xml:space="preserve"> is invited to approve the consolidation of existing financial and performance reports into a “UPOV Performance Report”</w:t>
      </w:r>
      <w:r>
        <w:rPr>
          <w:snapToGrid w:val="0"/>
        </w:rPr>
        <w:t xml:space="preserve"> (UPR).  The UPR would be presented alongside </w:t>
      </w:r>
      <w:r w:rsidRPr="00B1290C">
        <w:rPr>
          <w:snapToGrid w:val="0"/>
        </w:rPr>
        <w:t>the</w:t>
      </w:r>
      <w:r>
        <w:rPr>
          <w:snapToGrid w:val="0"/>
        </w:rPr>
        <w:t xml:space="preserve"> </w:t>
      </w:r>
      <w:r w:rsidRPr="00B1290C">
        <w:rPr>
          <w:snapToGrid w:val="0"/>
        </w:rPr>
        <w:t xml:space="preserve">Financial Statements, </w:t>
      </w:r>
      <w:r w:rsidRPr="00A70936">
        <w:rPr>
          <w:snapToGrid w:val="0"/>
        </w:rPr>
        <w:t xml:space="preserve">on an annual basis, starting with the reports for 2020, as set out in paragraphs </w:t>
      </w:r>
      <w:r>
        <w:rPr>
          <w:snapToGrid w:val="0"/>
        </w:rPr>
        <w:t>9</w:t>
      </w:r>
      <w:r w:rsidRPr="00A70936">
        <w:rPr>
          <w:snapToGrid w:val="0"/>
        </w:rPr>
        <w:t xml:space="preserve"> to 1</w:t>
      </w:r>
      <w:r>
        <w:rPr>
          <w:snapToGrid w:val="0"/>
        </w:rPr>
        <w:t>1</w:t>
      </w:r>
      <w:r w:rsidRPr="00A70936">
        <w:rPr>
          <w:snapToGrid w:val="0"/>
        </w:rPr>
        <w:t xml:space="preserve"> and</w:t>
      </w:r>
      <w:r>
        <w:rPr>
          <w:snapToGrid w:val="0"/>
        </w:rPr>
        <w:t xml:space="preserve"> the Annex to this document.</w:t>
      </w:r>
    </w:p>
    <w:p w:rsidR="00633F9D" w:rsidRDefault="00633F9D" w:rsidP="00633F9D">
      <w:pPr>
        <w:pStyle w:val="DecisionParagraphs"/>
      </w:pPr>
    </w:p>
    <w:p w:rsidR="00633F9D" w:rsidRPr="00C651CE" w:rsidRDefault="00633F9D" w:rsidP="00633F9D">
      <w:pPr>
        <w:pStyle w:val="DecisionParagraphs"/>
      </w:pPr>
    </w:p>
    <w:p w:rsidR="00633F9D" w:rsidRDefault="00633F9D" w:rsidP="00633F9D">
      <w:pPr>
        <w:jc w:val="right"/>
      </w:pPr>
      <w:r>
        <w:t>[Annex follows</w:t>
      </w:r>
      <w:r w:rsidRPr="00C5280D">
        <w:t>]</w:t>
      </w:r>
    </w:p>
    <w:p w:rsidR="00633F9D" w:rsidRDefault="00633F9D" w:rsidP="00045F06">
      <w:pPr>
        <w:jc w:val="left"/>
      </w:pPr>
    </w:p>
    <w:p w:rsidR="00633F9D" w:rsidRDefault="00633F9D" w:rsidP="00633F9D">
      <w:pPr>
        <w:sectPr w:rsidR="00633F9D" w:rsidSect="0075604A">
          <w:headerReference w:type="even" r:id="rId8"/>
          <w:headerReference w:type="default" r:id="rId9"/>
          <w:pgSz w:w="11907" w:h="16840" w:code="9"/>
          <w:pgMar w:top="510" w:right="1134" w:bottom="709" w:left="1134" w:header="510" w:footer="680" w:gutter="0"/>
          <w:cols w:space="720"/>
          <w:titlePg/>
          <w:docGrid w:linePitch="272"/>
        </w:sectPr>
      </w:pPr>
    </w:p>
    <w:p w:rsidR="00633F9D" w:rsidRDefault="00633F9D" w:rsidP="00633F9D">
      <w:pPr>
        <w:spacing w:after="120"/>
        <w:jc w:val="center"/>
      </w:pPr>
      <w:r>
        <w:lastRenderedPageBreak/>
        <w:t>C/54/18</w:t>
      </w:r>
    </w:p>
    <w:p w:rsidR="00633F9D" w:rsidRDefault="00633F9D" w:rsidP="00633F9D">
      <w:pPr>
        <w:spacing w:after="120"/>
        <w:jc w:val="center"/>
      </w:pPr>
      <w:r>
        <w:t>ANNEX</w:t>
      </w:r>
    </w:p>
    <w:p w:rsidR="00633F9D" w:rsidRPr="00814029" w:rsidRDefault="00633F9D" w:rsidP="00633F9D">
      <w:pPr>
        <w:jc w:val="center"/>
      </w:pPr>
      <w:r w:rsidRPr="001A4D9B">
        <w:rPr>
          <w:noProof/>
        </w:rPr>
        <w:drawing>
          <wp:inline distT="0" distB="0" distL="0" distR="0" wp14:anchorId="6CEB54CC" wp14:editId="1B20F98B">
            <wp:extent cx="8285259" cy="619538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6356" cy="6211161"/>
                    </a:xfrm>
                    <a:prstGeom prst="rect">
                      <a:avLst/>
                    </a:prstGeom>
                    <a:noFill/>
                    <a:ln>
                      <a:noFill/>
                    </a:ln>
                  </pic:spPr>
                </pic:pic>
              </a:graphicData>
            </a:graphic>
          </wp:inline>
        </w:drawing>
      </w:r>
    </w:p>
    <w:p w:rsidR="00050E16" w:rsidRPr="00C5280D" w:rsidRDefault="00050E16" w:rsidP="00633F9D">
      <w:pPr>
        <w:spacing w:before="120"/>
        <w:jc w:val="right"/>
      </w:pPr>
      <w:r w:rsidRPr="00C5280D">
        <w:t>[End of document]</w:t>
      </w:r>
    </w:p>
    <w:sectPr w:rsidR="00050E16" w:rsidRPr="00C5280D" w:rsidSect="00045F06">
      <w:headerReference w:type="default" r:id="rId11"/>
      <w:pgSz w:w="16840" w:h="11907" w:orient="landscape" w:code="9"/>
      <w:pgMar w:top="510" w:right="851" w:bottom="425" w:left="851" w:header="425"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6D3" w:rsidRDefault="005D46D3" w:rsidP="006655D3">
      <w:r>
        <w:separator/>
      </w:r>
    </w:p>
    <w:p w:rsidR="005D46D3" w:rsidRDefault="005D46D3" w:rsidP="006655D3"/>
    <w:p w:rsidR="005D46D3" w:rsidRDefault="005D46D3" w:rsidP="006655D3"/>
  </w:endnote>
  <w:endnote w:type="continuationSeparator" w:id="0">
    <w:p w:rsidR="005D46D3" w:rsidRDefault="005D46D3" w:rsidP="006655D3">
      <w:r>
        <w:separator/>
      </w:r>
    </w:p>
    <w:p w:rsidR="005D46D3" w:rsidRPr="00294751" w:rsidRDefault="005D46D3">
      <w:pPr>
        <w:pStyle w:val="Footer"/>
        <w:spacing w:after="60"/>
        <w:rPr>
          <w:sz w:val="18"/>
          <w:lang w:val="fr-FR"/>
        </w:rPr>
      </w:pPr>
      <w:r w:rsidRPr="00294751">
        <w:rPr>
          <w:sz w:val="18"/>
          <w:lang w:val="fr-FR"/>
        </w:rPr>
        <w:t>[Suite de la note de la page précédente]</w:t>
      </w:r>
    </w:p>
    <w:p w:rsidR="005D46D3" w:rsidRPr="00294751" w:rsidRDefault="005D46D3" w:rsidP="006655D3">
      <w:pPr>
        <w:rPr>
          <w:lang w:val="fr-FR"/>
        </w:rPr>
      </w:pPr>
    </w:p>
    <w:p w:rsidR="005D46D3" w:rsidRPr="00294751" w:rsidRDefault="005D46D3" w:rsidP="006655D3">
      <w:pPr>
        <w:rPr>
          <w:lang w:val="fr-FR"/>
        </w:rPr>
      </w:pPr>
    </w:p>
  </w:endnote>
  <w:endnote w:type="continuationNotice" w:id="1">
    <w:p w:rsidR="005D46D3" w:rsidRPr="00294751" w:rsidRDefault="005D46D3" w:rsidP="006655D3">
      <w:pPr>
        <w:rPr>
          <w:lang w:val="fr-FR"/>
        </w:rPr>
      </w:pPr>
      <w:r w:rsidRPr="00294751">
        <w:rPr>
          <w:lang w:val="fr-FR"/>
        </w:rPr>
        <w:t>[Suite de la note page suivante]</w:t>
      </w:r>
    </w:p>
    <w:p w:rsidR="005D46D3" w:rsidRPr="00294751" w:rsidRDefault="005D46D3" w:rsidP="006655D3">
      <w:pPr>
        <w:rPr>
          <w:lang w:val="fr-FR"/>
        </w:rPr>
      </w:pPr>
    </w:p>
    <w:p w:rsidR="005D46D3" w:rsidRPr="00294751" w:rsidRDefault="005D46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6D3" w:rsidRDefault="005D46D3" w:rsidP="006655D3">
      <w:r>
        <w:separator/>
      </w:r>
    </w:p>
  </w:footnote>
  <w:footnote w:type="continuationSeparator" w:id="0">
    <w:p w:rsidR="005D46D3" w:rsidRDefault="005D46D3" w:rsidP="006655D3">
      <w:r>
        <w:separator/>
      </w:r>
    </w:p>
  </w:footnote>
  <w:footnote w:type="continuationNotice" w:id="1">
    <w:p w:rsidR="005D46D3" w:rsidRPr="00AB530F" w:rsidRDefault="005D46D3" w:rsidP="00AB530F">
      <w:pPr>
        <w:pStyle w:val="Footer"/>
      </w:pPr>
    </w:p>
  </w:footnote>
  <w:footnote w:id="2">
    <w:p w:rsidR="00633F9D" w:rsidRPr="00835AD2" w:rsidRDefault="00633F9D" w:rsidP="00633F9D">
      <w:pPr>
        <w:pStyle w:val="FootnoteText"/>
        <w:rPr>
          <w:u w:val="single"/>
        </w:rPr>
      </w:pPr>
      <w:r w:rsidRPr="00835AD2">
        <w:rPr>
          <w:rStyle w:val="FootnoteReference"/>
        </w:rPr>
        <w:footnoteRef/>
      </w:r>
      <w:r w:rsidRPr="00835AD2">
        <w:tab/>
      </w:r>
      <w:r w:rsidRPr="00101175">
        <w:rPr>
          <w:highlight w:val="lightGray"/>
        </w:rPr>
        <w:t>The WIPO/UPOV Agreement (</w:t>
      </w:r>
      <w:r>
        <w:rPr>
          <w:highlight w:val="lightGray"/>
        </w:rPr>
        <w:t xml:space="preserve">document UPOV/INF/8), Article 2 </w:t>
      </w:r>
      <w:r w:rsidRPr="00101175">
        <w:rPr>
          <w:highlight w:val="lightGray"/>
        </w:rPr>
        <w:t>(2)</w:t>
      </w:r>
      <w:r>
        <w:rPr>
          <w:highlight w:val="lightGray"/>
        </w:rPr>
        <w:t xml:space="preserve"> and (3)</w:t>
      </w:r>
      <w:r w:rsidRPr="00101175">
        <w:rPr>
          <w:highlight w:val="lightGray"/>
        </w:rPr>
        <w:t xml:space="preserve">, states that: “(2)  Where any service rendered by WIPO concerns both UPOV and one or more Unions administered by WIPO (hereinafter referred to as “common services”), or where any expenditure incurred by WIPO concerns both UPOV and one or more Unions administered by WIPO (hereinafter referred to as “common expenditures”), the amounts of the indemnification owed by UPOV to WIPO shall be established in proportion to the interest of UPOV in the said service or expenditure.”  </w:t>
      </w:r>
      <w:r>
        <w:rPr>
          <w:highlight w:val="lightGray"/>
        </w:rPr>
        <w:t>“</w:t>
      </w:r>
      <w:r w:rsidRPr="00101175">
        <w:rPr>
          <w:highlight w:val="lightGray"/>
        </w:rPr>
        <w:t>(3)  The value of any service rendered exclusively to UPOV by WIPO and the evaluation of the interest of UPOV in common services and common expenditures shall be established by the C</w:t>
      </w:r>
      <w:r>
        <w:rPr>
          <w:highlight w:val="lightGray"/>
        </w:rPr>
        <w:t>ouncil of UPOV and the Director </w:t>
      </w:r>
      <w:r w:rsidRPr="00101175">
        <w:rPr>
          <w:highlight w:val="lightGray"/>
        </w:rPr>
        <w:t>General of WIPO.”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F9D" w:rsidRPr="00C5280D" w:rsidRDefault="00633F9D" w:rsidP="00372931">
    <w:pPr>
      <w:pStyle w:val="Header"/>
      <w:rPr>
        <w:rStyle w:val="PageNumber"/>
        <w:lang w:val="en-US"/>
      </w:rPr>
    </w:pPr>
    <w:r>
      <w:rPr>
        <w:rStyle w:val="PageNumber"/>
        <w:lang w:val="en-US"/>
      </w:rPr>
      <w:t>CC/97/16</w:t>
    </w:r>
  </w:p>
  <w:p w:rsidR="00633F9D" w:rsidRPr="00C5280D" w:rsidRDefault="00633F9D" w:rsidP="00372931">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633F9D" w:rsidRPr="00C5280D" w:rsidRDefault="00633F9D" w:rsidP="003729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F9D" w:rsidRPr="00C5280D" w:rsidRDefault="00633F9D" w:rsidP="00EB048E">
    <w:pPr>
      <w:pStyle w:val="Header"/>
      <w:rPr>
        <w:rStyle w:val="PageNumber"/>
        <w:lang w:val="en-US"/>
      </w:rPr>
    </w:pPr>
    <w:r>
      <w:rPr>
        <w:rStyle w:val="PageNumber"/>
        <w:lang w:val="en-US"/>
      </w:rPr>
      <w:t>C/54/18</w:t>
    </w:r>
  </w:p>
  <w:p w:rsidR="00633F9D" w:rsidRPr="00C5280D" w:rsidRDefault="00633F9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2C70">
      <w:rPr>
        <w:rStyle w:val="PageNumber"/>
        <w:noProof/>
        <w:lang w:val="en-US"/>
      </w:rPr>
      <w:t>4</w:t>
    </w:r>
    <w:r w:rsidRPr="00C5280D">
      <w:rPr>
        <w:rStyle w:val="PageNumber"/>
        <w:lang w:val="en-US"/>
      </w:rPr>
      <w:fldChar w:fldCharType="end"/>
    </w:r>
  </w:p>
  <w:p w:rsidR="00633F9D" w:rsidRPr="00C5280D" w:rsidRDefault="00633F9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D46D3" w:rsidP="00EB048E">
    <w:pPr>
      <w:pStyle w:val="Header"/>
      <w:rPr>
        <w:rStyle w:val="PageNumber"/>
        <w:lang w:val="en-US"/>
      </w:rPr>
    </w:pPr>
    <w:r>
      <w:rPr>
        <w:rStyle w:val="PageNumber"/>
        <w:lang w:val="en-US"/>
      </w:rPr>
      <w:t>C/54/18</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3F9D">
      <w:rPr>
        <w:rStyle w:val="PageNumber"/>
        <w:noProof/>
        <w:lang w:val="en-US"/>
      </w:rPr>
      <w:t>6</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39F"/>
    <w:multiLevelType w:val="hybridMultilevel"/>
    <w:tmpl w:val="C49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D3"/>
    <w:rsid w:val="00010CF3"/>
    <w:rsid w:val="00011E27"/>
    <w:rsid w:val="000148BC"/>
    <w:rsid w:val="00024AB8"/>
    <w:rsid w:val="00030854"/>
    <w:rsid w:val="00036028"/>
    <w:rsid w:val="00044642"/>
    <w:rsid w:val="000446B9"/>
    <w:rsid w:val="00045F06"/>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F5F2B"/>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B7A61"/>
    <w:rsid w:val="005D46D3"/>
    <w:rsid w:val="005F7B92"/>
    <w:rsid w:val="00612379"/>
    <w:rsid w:val="006153B6"/>
    <w:rsid w:val="0061555F"/>
    <w:rsid w:val="00633F9D"/>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5604A"/>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B2B93"/>
    <w:rsid w:val="00AB530F"/>
    <w:rsid w:val="00AB7E5B"/>
    <w:rsid w:val="00AC2883"/>
    <w:rsid w:val="00AC3B25"/>
    <w:rsid w:val="00AE0EF1"/>
    <w:rsid w:val="00AE2937"/>
    <w:rsid w:val="00B07301"/>
    <w:rsid w:val="00B11F3E"/>
    <w:rsid w:val="00B224DE"/>
    <w:rsid w:val="00B22C70"/>
    <w:rsid w:val="00B324D4"/>
    <w:rsid w:val="00B46575"/>
    <w:rsid w:val="00B61777"/>
    <w:rsid w:val="00B84BBD"/>
    <w:rsid w:val="00BA43FB"/>
    <w:rsid w:val="00BC127D"/>
    <w:rsid w:val="00BC1FE6"/>
    <w:rsid w:val="00C036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DC91D3"/>
  <w15:docId w15:val="{48A088E8-4741-4D14-90F4-4AC8A514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33F9D"/>
    <w:pPr>
      <w:ind w:left="720"/>
      <w:contextualSpacing/>
    </w:pPr>
  </w:style>
  <w:style w:type="paragraph" w:customStyle="1" w:styleId="Inf4Normal">
    <w:name w:val="Inf_4_Normal"/>
    <w:basedOn w:val="Normal"/>
    <w:rsid w:val="00633F9D"/>
    <w:pPr>
      <w:spacing w:before="108"/>
    </w:pPr>
  </w:style>
  <w:style w:type="paragraph" w:customStyle="1" w:styleId="Inf4Heading4">
    <w:name w:val="Inf_4_Heading_4"/>
    <w:basedOn w:val="Inf4Heading6"/>
    <w:next w:val="Normal"/>
    <w:rsid w:val="00633F9D"/>
    <w:pPr>
      <w:ind w:left="0"/>
    </w:pPr>
  </w:style>
  <w:style w:type="paragraph" w:customStyle="1" w:styleId="Inf4Heading3">
    <w:name w:val="Inf_4_Heading_3"/>
    <w:basedOn w:val="Inf4Heading4"/>
    <w:rsid w:val="00633F9D"/>
    <w:pPr>
      <w:spacing w:before="240"/>
    </w:pPr>
  </w:style>
  <w:style w:type="paragraph" w:customStyle="1" w:styleId="Inf4Heading6">
    <w:name w:val="Inf_4_Heading_6"/>
    <w:basedOn w:val="Normal"/>
    <w:rsid w:val="00633F9D"/>
    <w:pPr>
      <w:keepNext/>
      <w:spacing w:before="108"/>
      <w:ind w:left="567"/>
      <w:outlineLvl w:val="5"/>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c_54_EN.dotx</Template>
  <TotalTime>16</TotalTime>
  <Pages>5</Pages>
  <Words>1941</Words>
  <Characters>11069</Characters>
  <Application>Microsoft Office Word</Application>
  <DocSecurity>0</DocSecurity>
  <Lines>335</Lines>
  <Paragraphs>164</Paragraphs>
  <ScaleCrop>false</ScaleCrop>
  <HeadingPairs>
    <vt:vector size="2" baseType="variant">
      <vt:variant>
        <vt:lpstr>Title</vt:lpstr>
      </vt:variant>
      <vt:variant>
        <vt:i4>1</vt:i4>
      </vt:variant>
    </vt:vector>
  </HeadingPairs>
  <TitlesOfParts>
    <vt:vector size="1" baseType="lpstr">
      <vt:lpstr>C/54/18</vt:lpstr>
    </vt:vector>
  </TitlesOfParts>
  <Company>UPOV</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C/54/18</dc:title>
  <dc:creator/>
  <cp:lastModifiedBy>SANTOS Carla Marina</cp:lastModifiedBy>
  <cp:revision>6</cp:revision>
  <cp:lastPrinted>2016-11-22T15:41:00Z</cp:lastPrinted>
  <dcterms:created xsi:type="dcterms:W3CDTF">2020-09-24T15:50:00Z</dcterms:created>
  <dcterms:modified xsi:type="dcterms:W3CDTF">2020-09-25T15:20:00Z</dcterms:modified>
</cp:coreProperties>
</file>