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EB4E9C" w:rsidRPr="00C5280D" w:rsidTr="00EB4E9C">
        <w:tc>
          <w:tcPr>
            <w:tcW w:w="6512" w:type="dxa"/>
          </w:tcPr>
          <w:p w:rsidR="00EB4E9C" w:rsidRPr="009907C5" w:rsidRDefault="00A3365A" w:rsidP="00AC2883">
            <w:pPr>
              <w:pStyle w:val="Sessiontc"/>
              <w:spacing w:line="240" w:lineRule="auto"/>
            </w:pPr>
            <w:r w:rsidRPr="009907C5">
              <w:t>Council</w:t>
            </w:r>
          </w:p>
          <w:p w:rsidR="00EB4E9C" w:rsidRPr="009907C5" w:rsidRDefault="00A3365A" w:rsidP="00782255">
            <w:pPr>
              <w:pStyle w:val="Sessiontcplacedate"/>
              <w:rPr>
                <w:sz w:val="22"/>
              </w:rPr>
            </w:pPr>
            <w:r w:rsidRPr="009907C5">
              <w:t>Fifty-</w:t>
            </w:r>
            <w:r w:rsidR="00782255" w:rsidRPr="009907C5">
              <w:t xml:space="preserve">Third </w:t>
            </w:r>
            <w:r w:rsidRPr="009907C5">
              <w:t xml:space="preserve">Ordinary </w:t>
            </w:r>
            <w:r w:rsidR="00EB4E9C" w:rsidRPr="009907C5">
              <w:t>Session</w:t>
            </w:r>
            <w:r w:rsidR="00EB4E9C" w:rsidRPr="009907C5">
              <w:br/>
              <w:t xml:space="preserve">Geneva, </w:t>
            </w:r>
            <w:r w:rsidR="007C3C19" w:rsidRPr="009907C5">
              <w:t xml:space="preserve">November </w:t>
            </w:r>
            <w:r w:rsidR="00782255" w:rsidRPr="009907C5">
              <w:t>1, 2019</w:t>
            </w:r>
          </w:p>
        </w:tc>
        <w:tc>
          <w:tcPr>
            <w:tcW w:w="3127" w:type="dxa"/>
          </w:tcPr>
          <w:p w:rsidR="00EB4E9C" w:rsidRPr="009907C5" w:rsidRDefault="00782255" w:rsidP="003C7FBE">
            <w:pPr>
              <w:pStyle w:val="Doccode"/>
            </w:pPr>
            <w:r w:rsidRPr="009907C5">
              <w:t>C</w:t>
            </w:r>
            <w:r w:rsidR="00DB2EB5" w:rsidRPr="009907C5">
              <w:t>/53/3</w:t>
            </w:r>
          </w:p>
          <w:p w:rsidR="00EB4E9C" w:rsidRPr="009907C5" w:rsidRDefault="00EB4E9C" w:rsidP="003C7FBE">
            <w:pPr>
              <w:pStyle w:val="Docoriginal"/>
            </w:pPr>
            <w:r w:rsidRPr="009907C5">
              <w:t>Original:</w:t>
            </w:r>
            <w:r w:rsidRPr="009907C5">
              <w:rPr>
                <w:b w:val="0"/>
                <w:spacing w:val="0"/>
              </w:rPr>
              <w:t xml:space="preserve">  English</w:t>
            </w:r>
          </w:p>
          <w:p w:rsidR="00EB4E9C" w:rsidRPr="007C1D92" w:rsidRDefault="00EB4E9C" w:rsidP="009907C5">
            <w:pPr>
              <w:pStyle w:val="Docoriginal"/>
            </w:pPr>
            <w:r w:rsidRPr="009907C5">
              <w:t>Date:</w:t>
            </w:r>
            <w:r w:rsidRPr="009907C5">
              <w:rPr>
                <w:b w:val="0"/>
                <w:spacing w:val="0"/>
              </w:rPr>
              <w:t xml:space="preserve">  </w:t>
            </w:r>
            <w:r w:rsidR="009907C5" w:rsidRPr="009907C5">
              <w:rPr>
                <w:b w:val="0"/>
                <w:spacing w:val="0"/>
              </w:rPr>
              <w:t>August 1</w:t>
            </w:r>
            <w:r w:rsidRPr="009907C5">
              <w:rPr>
                <w:b w:val="0"/>
                <w:spacing w:val="0"/>
              </w:rPr>
              <w:t>, 201</w:t>
            </w:r>
            <w:r w:rsidR="00782255" w:rsidRPr="009907C5">
              <w:rPr>
                <w:b w:val="0"/>
                <w:spacing w:val="0"/>
              </w:rPr>
              <w:t>9</w:t>
            </w:r>
          </w:p>
        </w:tc>
      </w:tr>
    </w:tbl>
    <w:p w:rsidR="000D7780" w:rsidRPr="006A644A" w:rsidRDefault="00DB2EB5" w:rsidP="006A644A">
      <w:pPr>
        <w:pStyle w:val="Titleofdoc0"/>
      </w:pPr>
      <w:bookmarkStart w:id="0" w:name="TitleOfDoc"/>
      <w:bookmarkEnd w:id="0"/>
      <w:r w:rsidRPr="00DB2EB5">
        <w:t>Adoption of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F45B7" w:rsidRPr="00294914" w:rsidRDefault="004F45B7" w:rsidP="004F45B7">
      <w:pPr>
        <w:rPr>
          <w:spacing w:val="-2"/>
        </w:rPr>
      </w:pPr>
      <w:r w:rsidRPr="00294914">
        <w:fldChar w:fldCharType="begin"/>
      </w:r>
      <w:r w:rsidRPr="00294914">
        <w:instrText xml:space="preserve"> AUTONUM  </w:instrText>
      </w:r>
      <w:r w:rsidRPr="00294914">
        <w:fldChar w:fldCharType="end"/>
      </w:r>
      <w:r w:rsidRPr="00294914">
        <w:tab/>
        <w:t>The purpose of this document is to provide information concerning the following documents</w:t>
      </w:r>
      <w:r>
        <w:t>, which</w:t>
      </w:r>
      <w:r w:rsidRPr="00294914">
        <w:t xml:space="preserve"> the Council will be invited to adopt at </w:t>
      </w:r>
      <w:r w:rsidRPr="00D2701A">
        <w:t>its fifty-</w:t>
      </w:r>
      <w:r w:rsidR="00565C8C">
        <w:t>third</w:t>
      </w:r>
      <w:r w:rsidRPr="00D2701A">
        <w:t xml:space="preserve"> ordinary session:</w:t>
      </w:r>
    </w:p>
    <w:p w:rsidR="004F45B7" w:rsidRPr="00294914" w:rsidRDefault="004F45B7" w:rsidP="004F45B7">
      <w:pPr>
        <w:keepNext/>
        <w:ind w:left="2268" w:hanging="1701"/>
        <w:rPr>
          <w:bCs/>
          <w:snapToGrid w:val="0"/>
          <w:szCs w:val="24"/>
        </w:rPr>
      </w:pPr>
    </w:p>
    <w:p w:rsidR="004F45B7" w:rsidRPr="00F158AB" w:rsidRDefault="004F45B7" w:rsidP="004F45B7">
      <w:pPr>
        <w:ind w:left="567"/>
        <w:rPr>
          <w:bCs/>
          <w:snapToGrid w:val="0"/>
          <w:szCs w:val="24"/>
        </w:rPr>
      </w:pPr>
      <w:r w:rsidRPr="000928BB">
        <w:rPr>
          <w:bCs/>
          <w:snapToGrid w:val="0"/>
          <w:szCs w:val="24"/>
          <w:u w:val="single"/>
        </w:rPr>
        <w:t>TGP documents</w:t>
      </w:r>
      <w:r w:rsidRPr="00F158AB">
        <w:rPr>
          <w:bCs/>
          <w:snapToGrid w:val="0"/>
          <w:szCs w:val="24"/>
        </w:rPr>
        <w:t>:</w:t>
      </w:r>
    </w:p>
    <w:p w:rsidR="004F45B7" w:rsidRPr="00F158AB" w:rsidRDefault="004F45B7" w:rsidP="004F45B7">
      <w:pPr>
        <w:ind w:left="2268" w:hanging="1701"/>
        <w:rPr>
          <w:bCs/>
          <w:snapToGrid w:val="0"/>
          <w:szCs w:val="24"/>
        </w:rPr>
      </w:pPr>
    </w:p>
    <w:p w:rsidR="004F45B7" w:rsidRDefault="004F45B7" w:rsidP="004F45B7">
      <w:pPr>
        <w:ind w:left="1985" w:hanging="851"/>
        <w:rPr>
          <w:bCs/>
          <w:snapToGrid w:val="0"/>
          <w:szCs w:val="24"/>
        </w:rPr>
      </w:pPr>
      <w:r w:rsidRPr="001F64D8">
        <w:rPr>
          <w:bCs/>
          <w:snapToGrid w:val="0"/>
          <w:szCs w:val="24"/>
        </w:rPr>
        <w:t>TGP/7</w:t>
      </w:r>
      <w:r w:rsidRPr="001F64D8">
        <w:rPr>
          <w:bCs/>
          <w:snapToGrid w:val="0"/>
          <w:szCs w:val="24"/>
        </w:rPr>
        <w:tab/>
        <w:t>Development of Test Guidelines (Revision) (</w:t>
      </w:r>
      <w:r w:rsidR="00565C8C" w:rsidRPr="001F64D8">
        <w:rPr>
          <w:bCs/>
          <w:snapToGrid w:val="0"/>
          <w:szCs w:val="24"/>
        </w:rPr>
        <w:t>document TGP/7/7 Draft 1</w:t>
      </w:r>
      <w:r w:rsidRPr="001F64D8">
        <w:rPr>
          <w:bCs/>
          <w:snapToGrid w:val="0"/>
          <w:szCs w:val="24"/>
        </w:rPr>
        <w:t>)</w:t>
      </w:r>
    </w:p>
    <w:p w:rsidR="00565C8C" w:rsidRDefault="00565C8C" w:rsidP="004F45B7">
      <w:pPr>
        <w:ind w:left="1985" w:hanging="851"/>
        <w:rPr>
          <w:bCs/>
          <w:snapToGrid w:val="0"/>
          <w:szCs w:val="24"/>
        </w:rPr>
      </w:pPr>
    </w:p>
    <w:p w:rsidR="00565C8C" w:rsidRPr="003E5FCE" w:rsidRDefault="00565C8C" w:rsidP="00565C8C">
      <w:pPr>
        <w:ind w:left="1985" w:hanging="851"/>
        <w:jc w:val="left"/>
      </w:pPr>
      <w:r w:rsidRPr="003E5FCE">
        <w:t>TGP/8</w:t>
      </w:r>
      <w:r w:rsidRPr="003E5FCE">
        <w:tab/>
        <w:t>Trial Design and Techniques Used in the Examination of Distinctness, Uniformity and Stability (Revision)</w:t>
      </w:r>
      <w:r>
        <w:t xml:space="preserve"> </w:t>
      </w:r>
      <w:r w:rsidRPr="003E5FCE">
        <w:t>(document TGP/8/4 Draft 1)</w:t>
      </w:r>
    </w:p>
    <w:p w:rsidR="00565C8C" w:rsidRPr="003E5FCE" w:rsidRDefault="00565C8C" w:rsidP="00565C8C">
      <w:pPr>
        <w:ind w:left="1985" w:hanging="851"/>
        <w:jc w:val="left"/>
      </w:pPr>
    </w:p>
    <w:p w:rsidR="00565C8C" w:rsidRPr="003E5FCE" w:rsidRDefault="00565C8C" w:rsidP="00565C8C">
      <w:pPr>
        <w:ind w:left="1985" w:hanging="851"/>
        <w:jc w:val="left"/>
      </w:pPr>
      <w:r w:rsidRPr="003E5FCE">
        <w:t>TGP/10</w:t>
      </w:r>
      <w:r w:rsidRPr="003E5FCE">
        <w:tab/>
        <w:t>Examining Uniformity (Revision)</w:t>
      </w:r>
      <w:r>
        <w:t xml:space="preserve"> </w:t>
      </w:r>
      <w:r w:rsidRPr="003E5FCE">
        <w:t>(document TGP/10/2 Draft 1)</w:t>
      </w:r>
    </w:p>
    <w:p w:rsidR="00565C8C" w:rsidRPr="003E5FCE" w:rsidRDefault="00565C8C" w:rsidP="00565C8C">
      <w:pPr>
        <w:ind w:left="1985" w:hanging="851"/>
        <w:jc w:val="left"/>
      </w:pPr>
    </w:p>
    <w:p w:rsidR="00565C8C" w:rsidRPr="003E5FCE" w:rsidRDefault="00565C8C" w:rsidP="00C4352D">
      <w:pPr>
        <w:ind w:left="1985" w:right="-179" w:hanging="851"/>
        <w:jc w:val="left"/>
      </w:pPr>
      <w:r w:rsidRPr="003E5FCE">
        <w:t>TGP/14</w:t>
      </w:r>
      <w:r w:rsidRPr="003E5FCE">
        <w:tab/>
        <w:t>Glossary of Terms Used in UPOV Documents (Revision)</w:t>
      </w:r>
      <w:r>
        <w:t xml:space="preserve"> </w:t>
      </w:r>
      <w:r w:rsidR="00C4352D">
        <w:t>(document TGP/14/4 Draft </w:t>
      </w:r>
      <w:r w:rsidRPr="003E5FCE">
        <w:t>1)</w:t>
      </w:r>
    </w:p>
    <w:p w:rsidR="00565C8C" w:rsidRPr="003E5FCE" w:rsidRDefault="00565C8C" w:rsidP="00565C8C">
      <w:pPr>
        <w:ind w:left="1985" w:hanging="851"/>
        <w:jc w:val="left"/>
      </w:pPr>
    </w:p>
    <w:p w:rsidR="00565C8C" w:rsidRPr="003E5FCE" w:rsidRDefault="00565C8C" w:rsidP="00565C8C">
      <w:pPr>
        <w:ind w:left="1985" w:hanging="851"/>
        <w:jc w:val="left"/>
      </w:pPr>
      <w:r w:rsidRPr="003E5FCE">
        <w:t>TGP/15</w:t>
      </w:r>
      <w:r w:rsidRPr="003E5FCE">
        <w:tab/>
        <w:t>Guidance on the Use of Biochemical and Molecular Markers in the Examination of Distinctness, Uniformity and Stability (DUS) (Revision)</w:t>
      </w:r>
      <w:r>
        <w:t xml:space="preserve"> </w:t>
      </w:r>
      <w:r w:rsidRPr="003E5FCE">
        <w:t>(document TGP/15/2 Draft 2)</w:t>
      </w:r>
    </w:p>
    <w:p w:rsidR="00565C8C" w:rsidRPr="003E5FCE" w:rsidRDefault="00565C8C" w:rsidP="00565C8C">
      <w:pPr>
        <w:ind w:left="1985" w:hanging="851"/>
        <w:jc w:val="left"/>
        <w:rPr>
          <w:bCs/>
          <w:snapToGrid w:val="0"/>
          <w:szCs w:val="24"/>
        </w:rPr>
      </w:pPr>
    </w:p>
    <w:p w:rsidR="00565C8C" w:rsidRPr="00565C8C" w:rsidRDefault="00565C8C" w:rsidP="00565C8C">
      <w:pPr>
        <w:ind w:left="1985" w:hanging="851"/>
        <w:jc w:val="left"/>
        <w:rPr>
          <w:bCs/>
          <w:snapToGrid w:val="0"/>
          <w:szCs w:val="24"/>
        </w:rPr>
      </w:pPr>
      <w:r w:rsidRPr="003E5FCE">
        <w:rPr>
          <w:bCs/>
          <w:snapToGrid w:val="0"/>
          <w:szCs w:val="24"/>
        </w:rPr>
        <w:t>TGP/0</w:t>
      </w:r>
      <w:r w:rsidRPr="003E5FCE">
        <w:rPr>
          <w:bCs/>
          <w:snapToGrid w:val="0"/>
          <w:szCs w:val="24"/>
        </w:rPr>
        <w:tab/>
        <w:t>List of TGP documents and latest issue dates (Revision)</w:t>
      </w:r>
      <w:r>
        <w:rPr>
          <w:bCs/>
          <w:snapToGrid w:val="0"/>
          <w:szCs w:val="24"/>
        </w:rPr>
        <w:t xml:space="preserve"> </w:t>
      </w:r>
      <w:r w:rsidRPr="00565C8C">
        <w:rPr>
          <w:bCs/>
          <w:snapToGrid w:val="0"/>
          <w:szCs w:val="24"/>
        </w:rPr>
        <w:t xml:space="preserve">(document TGP/0/11 Draft 1) </w:t>
      </w:r>
    </w:p>
    <w:p w:rsidR="004F45B7" w:rsidRPr="00F158AB" w:rsidRDefault="004F45B7" w:rsidP="004F45B7">
      <w:pPr>
        <w:ind w:left="2268" w:hanging="1701"/>
        <w:rPr>
          <w:bCs/>
          <w:snapToGrid w:val="0"/>
          <w:szCs w:val="24"/>
        </w:rPr>
      </w:pPr>
    </w:p>
    <w:p w:rsidR="004F45B7" w:rsidRPr="00F158AB" w:rsidRDefault="004F45B7" w:rsidP="004F45B7">
      <w:pPr>
        <w:keepNext/>
        <w:ind w:left="567"/>
        <w:rPr>
          <w:bCs/>
          <w:snapToGrid w:val="0"/>
          <w:szCs w:val="24"/>
        </w:rPr>
      </w:pPr>
      <w:r w:rsidRPr="000928BB">
        <w:rPr>
          <w:bCs/>
          <w:snapToGrid w:val="0"/>
          <w:szCs w:val="24"/>
          <w:u w:val="single"/>
        </w:rPr>
        <w:t>Information documents</w:t>
      </w:r>
      <w:r w:rsidRPr="00F158AB">
        <w:rPr>
          <w:bCs/>
          <w:snapToGrid w:val="0"/>
          <w:szCs w:val="24"/>
        </w:rPr>
        <w:t>:</w:t>
      </w:r>
    </w:p>
    <w:p w:rsidR="004F45B7" w:rsidRPr="00F158AB" w:rsidRDefault="004F45B7" w:rsidP="004F45B7">
      <w:pPr>
        <w:keepNext/>
        <w:ind w:left="567"/>
        <w:rPr>
          <w:bCs/>
          <w:snapToGrid w:val="0"/>
          <w:szCs w:val="24"/>
        </w:rPr>
      </w:pPr>
    </w:p>
    <w:p w:rsidR="00D73539" w:rsidRDefault="00D73539" w:rsidP="00D73539">
      <w:pPr>
        <w:ind w:left="2835" w:hanging="1701"/>
        <w:jc w:val="left"/>
        <w:rPr>
          <w:bCs/>
          <w:snapToGrid w:val="0"/>
          <w:szCs w:val="24"/>
        </w:rPr>
      </w:pPr>
      <w:r>
        <w:rPr>
          <w:bCs/>
          <w:snapToGrid w:val="0"/>
          <w:szCs w:val="24"/>
        </w:rPr>
        <w:t>UPOV/INF/5</w:t>
      </w:r>
      <w:r w:rsidRPr="00B93FE7">
        <w:rPr>
          <w:bCs/>
          <w:snapToGrid w:val="0"/>
          <w:szCs w:val="24"/>
        </w:rPr>
        <w:tab/>
      </w:r>
      <w:r>
        <w:rPr>
          <w:bCs/>
          <w:snapToGrid w:val="0"/>
          <w:szCs w:val="24"/>
        </w:rPr>
        <w:tab/>
      </w:r>
      <w:r w:rsidRPr="00B93FE7">
        <w:rPr>
          <w:bCs/>
          <w:snapToGrid w:val="0"/>
          <w:szCs w:val="24"/>
        </w:rPr>
        <w:t xml:space="preserve">UPOV Model Plant Breeders’ Rights </w:t>
      </w:r>
      <w:r>
        <w:rPr>
          <w:bCs/>
          <w:snapToGrid w:val="0"/>
          <w:szCs w:val="24"/>
        </w:rPr>
        <w:t xml:space="preserve">Publication </w:t>
      </w:r>
      <w:r w:rsidRPr="00B93FE7">
        <w:rPr>
          <w:bCs/>
          <w:snapToGrid w:val="0"/>
          <w:szCs w:val="24"/>
        </w:rPr>
        <w:t xml:space="preserve">(Revision) </w:t>
      </w:r>
      <w:r>
        <w:rPr>
          <w:bCs/>
          <w:snapToGrid w:val="0"/>
          <w:szCs w:val="24"/>
        </w:rPr>
        <w:br/>
      </w:r>
      <w:r w:rsidRPr="00B93FE7">
        <w:rPr>
          <w:bCs/>
          <w:snapToGrid w:val="0"/>
          <w:szCs w:val="24"/>
        </w:rPr>
        <w:t>(document UPOV/INF/5/</w:t>
      </w:r>
      <w:r w:rsidRPr="003E5FCE">
        <w:rPr>
          <w:bCs/>
          <w:snapToGrid w:val="0"/>
          <w:szCs w:val="24"/>
        </w:rPr>
        <w:t>2 Draft 2)</w:t>
      </w:r>
    </w:p>
    <w:p w:rsidR="004F45B7" w:rsidRPr="00F158AB" w:rsidRDefault="004F45B7" w:rsidP="004F45B7">
      <w:pPr>
        <w:ind w:left="3402" w:hanging="1701"/>
        <w:jc w:val="left"/>
        <w:rPr>
          <w:bCs/>
          <w:snapToGrid w:val="0"/>
          <w:szCs w:val="24"/>
        </w:rPr>
      </w:pPr>
    </w:p>
    <w:p w:rsidR="004F45B7" w:rsidRPr="00F158AB" w:rsidRDefault="004F45B7" w:rsidP="004F45B7">
      <w:pPr>
        <w:ind w:left="2835" w:hanging="1701"/>
        <w:jc w:val="left"/>
        <w:rPr>
          <w:bCs/>
          <w:snapToGrid w:val="0"/>
          <w:spacing w:val="-4"/>
          <w:szCs w:val="24"/>
        </w:rPr>
      </w:pPr>
      <w:r w:rsidRPr="00F158AB">
        <w:rPr>
          <w:bCs/>
          <w:snapToGrid w:val="0"/>
          <w:szCs w:val="24"/>
        </w:rPr>
        <w:t>UPOV/INF/22</w:t>
      </w:r>
      <w:r w:rsidRPr="00F158AB">
        <w:rPr>
          <w:bCs/>
          <w:snapToGrid w:val="0"/>
          <w:szCs w:val="24"/>
        </w:rPr>
        <w:tab/>
      </w:r>
      <w:r w:rsidRPr="00F158AB">
        <w:rPr>
          <w:bCs/>
          <w:snapToGrid w:val="0"/>
          <w:spacing w:val="-4"/>
          <w:szCs w:val="24"/>
        </w:rPr>
        <w:t xml:space="preserve">Software and Equipment Used by Members of the Union (Revision) </w:t>
      </w:r>
      <w:r w:rsidRPr="00F158AB">
        <w:rPr>
          <w:bCs/>
          <w:snapToGrid w:val="0"/>
          <w:spacing w:val="-4"/>
          <w:szCs w:val="24"/>
        </w:rPr>
        <w:br/>
        <w:t>(</w:t>
      </w:r>
      <w:r w:rsidR="00D73539" w:rsidRPr="009446B1">
        <w:rPr>
          <w:bCs/>
          <w:snapToGrid w:val="0"/>
          <w:szCs w:val="24"/>
        </w:rPr>
        <w:t>document UPOV/INF/</w:t>
      </w:r>
      <w:r w:rsidR="00D73539" w:rsidRPr="003E5FCE">
        <w:rPr>
          <w:bCs/>
          <w:snapToGrid w:val="0"/>
          <w:szCs w:val="24"/>
        </w:rPr>
        <w:t>22/6 Draft 1</w:t>
      </w:r>
      <w:r w:rsidRPr="00F158AB">
        <w:rPr>
          <w:bCs/>
          <w:snapToGrid w:val="0"/>
          <w:spacing w:val="-4"/>
          <w:szCs w:val="24"/>
        </w:rPr>
        <w:t>)</w:t>
      </w:r>
    </w:p>
    <w:p w:rsidR="004F45B7" w:rsidRPr="00F158AB" w:rsidRDefault="004F45B7" w:rsidP="004F45B7">
      <w:pPr>
        <w:ind w:left="3402" w:hanging="1701"/>
        <w:jc w:val="left"/>
        <w:rPr>
          <w:bCs/>
          <w:snapToGrid w:val="0"/>
          <w:spacing w:val="-4"/>
          <w:szCs w:val="24"/>
        </w:rPr>
      </w:pPr>
    </w:p>
    <w:p w:rsidR="004F45B7" w:rsidRPr="00F158AB" w:rsidRDefault="004F45B7" w:rsidP="004F45B7">
      <w:pPr>
        <w:ind w:left="2835" w:hanging="1701"/>
        <w:jc w:val="left"/>
      </w:pPr>
      <w:r w:rsidRPr="00F158AB">
        <w:t>UPOV/INF-EXN</w:t>
      </w:r>
      <w:r w:rsidRPr="00F158AB">
        <w:tab/>
        <w:t>List of UPOV/INF-EXN Documents and Latest Issue Dates (Revision)</w:t>
      </w:r>
      <w:r w:rsidRPr="00F158AB">
        <w:br/>
        <w:t>(</w:t>
      </w:r>
      <w:r w:rsidR="00D73539" w:rsidRPr="008221CB">
        <w:t>document UPOV</w:t>
      </w:r>
      <w:r w:rsidR="00D73539" w:rsidRPr="003E5FCE">
        <w:t>/INF-EXN/13 Draft 1</w:t>
      </w:r>
      <w:r w:rsidRPr="00F158AB">
        <w:t>)</w:t>
      </w:r>
    </w:p>
    <w:p w:rsidR="004F45B7" w:rsidRDefault="004F45B7" w:rsidP="004F45B7"/>
    <w:p w:rsidR="004F45B7" w:rsidRPr="00962F67" w:rsidRDefault="004F45B7" w:rsidP="004F45B7">
      <w:pPr>
        <w:rPr>
          <w:color w:val="000000"/>
        </w:rPr>
      </w:pPr>
      <w:r w:rsidRPr="00294914">
        <w:fldChar w:fldCharType="begin"/>
      </w:r>
      <w:r w:rsidRPr="00294914">
        <w:instrText xml:space="preserve"> AUTONUM  </w:instrText>
      </w:r>
      <w:r w:rsidRPr="00294914">
        <w:fldChar w:fldCharType="end"/>
      </w:r>
      <w:r w:rsidRPr="00294914">
        <w:tab/>
      </w:r>
      <w:r w:rsidRPr="00962F67">
        <w:rPr>
          <w:color w:val="000000"/>
        </w:rPr>
        <w:t>The following abbreviations are used in this document:</w:t>
      </w:r>
    </w:p>
    <w:p w:rsidR="004F45B7" w:rsidRPr="00962F67" w:rsidRDefault="004F45B7" w:rsidP="004F45B7">
      <w:pPr>
        <w:ind w:left="1692" w:hanging="1125"/>
        <w:jc w:val="left"/>
        <w:rPr>
          <w:color w:val="000000"/>
        </w:rPr>
      </w:pPr>
    </w:p>
    <w:p w:rsidR="004F45B7" w:rsidRPr="00962F67" w:rsidRDefault="004F45B7" w:rsidP="004F45B7">
      <w:pPr>
        <w:tabs>
          <w:tab w:val="left" w:pos="567"/>
          <w:tab w:val="left" w:pos="1701"/>
        </w:tabs>
      </w:pPr>
      <w:r w:rsidRPr="00962F67">
        <w:tab/>
        <w:t>CAJ:</w:t>
      </w:r>
      <w:r>
        <w:tab/>
      </w:r>
      <w:r w:rsidRPr="00962F67">
        <w:t>Administrative and Legal Committee</w:t>
      </w:r>
    </w:p>
    <w:p w:rsidR="004F45B7" w:rsidRPr="00962F67" w:rsidRDefault="004F45B7" w:rsidP="004F45B7">
      <w:pPr>
        <w:tabs>
          <w:tab w:val="left" w:pos="567"/>
          <w:tab w:val="left" w:pos="1701"/>
        </w:tabs>
      </w:pPr>
      <w:r>
        <w:tab/>
      </w:r>
      <w:r w:rsidRPr="00962F67">
        <w:t>TC:</w:t>
      </w:r>
      <w:r w:rsidRPr="00962F67">
        <w:tab/>
        <w:t>Technical Committee</w:t>
      </w:r>
    </w:p>
    <w:p w:rsidR="004F45B7" w:rsidRDefault="004F45B7" w:rsidP="004F45B7">
      <w:pPr>
        <w:tabs>
          <w:tab w:val="left" w:pos="567"/>
          <w:tab w:val="left" w:pos="1701"/>
        </w:tabs>
      </w:pPr>
    </w:p>
    <w:p w:rsidR="004F45B7" w:rsidRDefault="004F45B7" w:rsidP="004F45B7">
      <w:pPr>
        <w:tabs>
          <w:tab w:val="left" w:pos="567"/>
          <w:tab w:val="left" w:pos="1701"/>
        </w:tabs>
      </w:pPr>
    </w:p>
    <w:p w:rsidR="004F45B7" w:rsidRDefault="004F45B7" w:rsidP="004F45B7">
      <w:pPr>
        <w:jc w:val="left"/>
      </w:pPr>
      <w:r>
        <w:br w:type="page"/>
      </w:r>
    </w:p>
    <w:p w:rsidR="004F45B7" w:rsidRDefault="004F45B7" w:rsidP="004F45B7">
      <w:pPr>
        <w:pStyle w:val="Heading1"/>
        <w:rPr>
          <w:snapToGrid w:val="0"/>
        </w:rPr>
      </w:pPr>
      <w:r>
        <w:rPr>
          <w:snapToGrid w:val="0"/>
        </w:rPr>
        <w:lastRenderedPageBreak/>
        <w:t>TGP documents</w:t>
      </w:r>
    </w:p>
    <w:p w:rsidR="00E11AC8" w:rsidRPr="00E11AC8" w:rsidRDefault="00E11AC8" w:rsidP="001F64D8">
      <w:pPr>
        <w:keepNext/>
      </w:pPr>
    </w:p>
    <w:p w:rsidR="004F45B7" w:rsidRPr="00AB501B" w:rsidRDefault="004F45B7" w:rsidP="004F45B7">
      <w:pPr>
        <w:keepNext/>
        <w:rPr>
          <w:bCs/>
          <w:snapToGrid w:val="0"/>
          <w:szCs w:val="24"/>
          <w:u w:val="single"/>
        </w:rPr>
      </w:pPr>
      <w:r w:rsidRPr="001F64D8">
        <w:rPr>
          <w:bCs/>
          <w:snapToGrid w:val="0"/>
          <w:szCs w:val="24"/>
          <w:u w:val="single"/>
        </w:rPr>
        <w:t>TGP/7:  Development of Test Guidelines (Revision) (</w:t>
      </w:r>
      <w:r w:rsidR="008A48B2" w:rsidRPr="001F64D8">
        <w:rPr>
          <w:bCs/>
          <w:snapToGrid w:val="0"/>
          <w:szCs w:val="24"/>
          <w:u w:val="single"/>
        </w:rPr>
        <w:t>document TGP/7/7 Draft 1</w:t>
      </w:r>
      <w:r w:rsidRPr="001F64D8">
        <w:rPr>
          <w:bCs/>
          <w:snapToGrid w:val="0"/>
          <w:szCs w:val="24"/>
          <w:u w:val="single"/>
        </w:rPr>
        <w:t>)</w:t>
      </w:r>
    </w:p>
    <w:p w:rsidR="004F45B7" w:rsidRDefault="004F45B7" w:rsidP="004F45B7">
      <w:pPr>
        <w:keepNext/>
        <w:rPr>
          <w:bCs/>
          <w:snapToGrid w:val="0"/>
          <w:szCs w:val="24"/>
        </w:rPr>
      </w:pPr>
    </w:p>
    <w:bookmarkStart w:id="2" w:name="BAck_Annex_1"/>
    <w:bookmarkEnd w:id="2"/>
    <w:p w:rsidR="002944D2" w:rsidRDefault="002944D2" w:rsidP="002944D2">
      <w:pPr>
        <w:keepNext/>
      </w:pPr>
      <w:r w:rsidRPr="00273B07">
        <w:fldChar w:fldCharType="begin"/>
      </w:r>
      <w:r w:rsidRPr="00273B07">
        <w:instrText xml:space="preserve"> AUTONUM  </w:instrText>
      </w:r>
      <w:r w:rsidRPr="00273B07">
        <w:fldChar w:fldCharType="end"/>
      </w:r>
      <w:r w:rsidRPr="00273B07">
        <w:tab/>
      </w:r>
      <w:r>
        <w:t>The TC, at its fifty-fourth session</w:t>
      </w:r>
      <w:bookmarkStart w:id="3" w:name="_Ref13507369"/>
      <w:r w:rsidR="004975B4">
        <w:rPr>
          <w:rStyle w:val="FootnoteReference"/>
        </w:rPr>
        <w:footnoteReference w:id="2"/>
      </w:r>
      <w:bookmarkEnd w:id="3"/>
      <w:r>
        <w:t>,</w:t>
      </w:r>
      <w:r w:rsidR="00FC34F0" w:rsidRPr="00FC34F0">
        <w:t xml:space="preserve"> </w:t>
      </w:r>
      <w:r>
        <w:t xml:space="preserve">agreed the proposals for guidance on “Duration of DUS tests” and “Procedure for the introduction of Test Guidelines” to be included in a revision of document TGP/7 “Development of Test Guidelines” </w:t>
      </w:r>
      <w:r w:rsidR="001F64D8" w:rsidRPr="001F64D8">
        <w:t xml:space="preserve">(see </w:t>
      </w:r>
      <w:r w:rsidR="00FC34F0" w:rsidRPr="000279A4">
        <w:t>document</w:t>
      </w:r>
      <w:r w:rsidR="00FC34F0">
        <w:t> </w:t>
      </w:r>
      <w:hyperlink r:id="rId9" w:history="1">
        <w:r w:rsidR="00E3098E">
          <w:rPr>
            <w:rStyle w:val="Hyperlink"/>
            <w:lang w:val="fr-FR"/>
          </w:rPr>
          <w:t>TC/54/31 Corr.</w:t>
        </w:r>
      </w:hyperlink>
      <w:r w:rsidR="00FC34F0">
        <w:t xml:space="preserve"> “Report”, p</w:t>
      </w:r>
      <w:r w:rsidR="00E3098E">
        <w:t>aragraphs 210 to 212 and 217 to </w:t>
      </w:r>
      <w:r w:rsidR="00FC34F0">
        <w:t>220)</w:t>
      </w:r>
      <w:r>
        <w:t>.</w:t>
      </w:r>
    </w:p>
    <w:p w:rsidR="002944D2" w:rsidRDefault="002944D2" w:rsidP="00D72856">
      <w:pPr>
        <w:rPr>
          <w:bCs/>
          <w:snapToGrid w:val="0"/>
          <w:szCs w:val="24"/>
        </w:rPr>
      </w:pPr>
    </w:p>
    <w:p w:rsidR="00940819" w:rsidRDefault="00940819" w:rsidP="00D72856">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On the above basis, the TC agreed that </w:t>
      </w:r>
      <w:r w:rsidR="004975B4">
        <w:rPr>
          <w:spacing w:val="-2"/>
        </w:rPr>
        <w:t>a</w:t>
      </w:r>
      <w:r>
        <w:rPr>
          <w:spacing w:val="-2"/>
        </w:rPr>
        <w:t xml:space="preserve"> revision of document TGP/7/6 (document TGP/7/7 Draft 1) should be put forward for adoption by the Council at its fifty-third ordinary session, subject to the approval of the CAJ at its seventy-sixth session</w:t>
      </w:r>
      <w:bookmarkStart w:id="4" w:name="_Ref13509809"/>
      <w:r>
        <w:rPr>
          <w:rStyle w:val="FootnoteReference"/>
          <w:spacing w:val="-2"/>
        </w:rPr>
        <w:footnoteReference w:id="3"/>
      </w:r>
      <w:bookmarkEnd w:id="4"/>
      <w:r>
        <w:rPr>
          <w:spacing w:val="-2"/>
        </w:rPr>
        <w:t>.</w:t>
      </w:r>
    </w:p>
    <w:p w:rsidR="00940819" w:rsidRDefault="00940819" w:rsidP="00D72856">
      <w:pPr>
        <w:rPr>
          <w:spacing w:val="-2"/>
        </w:rPr>
      </w:pPr>
    </w:p>
    <w:p w:rsidR="00940819" w:rsidRDefault="00940819" w:rsidP="00D72856">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w:t>
      </w:r>
      <w:r w:rsidR="004B4CDA">
        <w:rPr>
          <w:spacing w:val="-2"/>
        </w:rPr>
        <w:t>ve</w:t>
      </w:r>
      <w:r>
        <w:rPr>
          <w:spacing w:val="-2"/>
        </w:rPr>
        <w:t xml:space="preserve"> been checked by the relevant members of the Editorial Committee prior to submission of the draft of document TGP/7/7 to the Council.  Document TGP/7/7 Draft 1 incorporates the amendments agreed by the TC, as presented in Annex I to this document</w:t>
      </w:r>
      <w:r w:rsidR="009A4E77">
        <w:rPr>
          <w:spacing w:val="-2"/>
        </w:rPr>
        <w:t xml:space="preserve"> (in revision mode)</w:t>
      </w:r>
      <w:r>
        <w:rPr>
          <w:spacing w:val="-2"/>
        </w:rPr>
        <w:t>, and the linguistic changes made by the re</w:t>
      </w:r>
      <w:r w:rsidR="002E0F20">
        <w:rPr>
          <w:spacing w:val="-2"/>
        </w:rPr>
        <w:t>levant members of the Editorial </w:t>
      </w:r>
      <w:r>
        <w:rPr>
          <w:spacing w:val="-2"/>
        </w:rPr>
        <w:t>Committee.</w:t>
      </w:r>
    </w:p>
    <w:p w:rsidR="00940819" w:rsidRDefault="00940819" w:rsidP="00D72856">
      <w:pPr>
        <w:rPr>
          <w:bCs/>
          <w:snapToGrid w:val="0"/>
          <w:szCs w:val="24"/>
        </w:rPr>
      </w:pPr>
    </w:p>
    <w:p w:rsidR="00914635" w:rsidRPr="00E11CE2" w:rsidRDefault="00914635" w:rsidP="00914635">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t>A report on the conclusions of the TC, at its fifty-fifth session</w:t>
      </w:r>
      <w:bookmarkStart w:id="5" w:name="_Ref13509977"/>
      <w:r w:rsidR="00940819">
        <w:rPr>
          <w:rStyle w:val="FootnoteReference"/>
          <w:spacing w:val="-2"/>
        </w:rPr>
        <w:footnoteReference w:id="4"/>
      </w:r>
      <w:bookmarkEnd w:id="5"/>
      <w:r w:rsidRPr="00E11AC8">
        <w:rPr>
          <w:spacing w:val="-2"/>
        </w:rPr>
        <w:t xml:space="preserve">, </w:t>
      </w:r>
      <w:r w:rsidRPr="00E11CE2">
        <w:t>and on the conclusions of the CAJ, at its seventy</w:t>
      </w:r>
      <w:r w:rsidRPr="00E11CE2">
        <w:noBreakHyphen/>
        <w:t>sixth session</w:t>
      </w:r>
      <w:r w:rsidR="004B4CDA" w:rsidRPr="00BF0B0F">
        <w:rPr>
          <w:vertAlign w:val="superscript"/>
        </w:rPr>
        <w:fldChar w:fldCharType="begin"/>
      </w:r>
      <w:r w:rsidR="004B4CDA" w:rsidRPr="00BF0B0F">
        <w:rPr>
          <w:vertAlign w:val="superscript"/>
        </w:rPr>
        <w:instrText xml:space="preserve"> NOTEREF _Ref13509809 \h </w:instrText>
      </w:r>
      <w:r w:rsidR="004B4CDA">
        <w:rPr>
          <w:vertAlign w:val="superscript"/>
        </w:rPr>
        <w:instrText xml:space="preserve"> \* MERGEFORMAT </w:instrText>
      </w:r>
      <w:r w:rsidR="004B4CDA" w:rsidRPr="00BF0B0F">
        <w:rPr>
          <w:vertAlign w:val="superscript"/>
        </w:rPr>
      </w:r>
      <w:r w:rsidR="004B4CDA" w:rsidRPr="00BF0B0F">
        <w:rPr>
          <w:vertAlign w:val="superscript"/>
        </w:rPr>
        <w:fldChar w:fldCharType="separate"/>
      </w:r>
      <w:r w:rsidR="006E3734">
        <w:rPr>
          <w:vertAlign w:val="superscript"/>
        </w:rPr>
        <w:t>2</w:t>
      </w:r>
      <w:r w:rsidR="004B4CDA" w:rsidRPr="00BF0B0F">
        <w:rPr>
          <w:vertAlign w:val="superscript"/>
        </w:rPr>
        <w:fldChar w:fldCharType="end"/>
      </w:r>
      <w:r w:rsidRPr="00E11CE2">
        <w:t>, concerning the proposals to revise docum</w:t>
      </w:r>
      <w:r w:rsidR="001F64D8">
        <w:t xml:space="preserve">ent </w:t>
      </w:r>
      <w:r w:rsidRPr="00E11CE2">
        <w:t>TGP/7/6, will be made to</w:t>
      </w:r>
      <w:r w:rsidR="001F64D8">
        <w:t xml:space="preserve"> the Council at </w:t>
      </w:r>
      <w:r w:rsidR="001F64D8" w:rsidRPr="00BF0B0F">
        <w:t>its fifty</w:t>
      </w:r>
      <w:r w:rsidR="001F64D8" w:rsidRPr="00BF0B0F">
        <w:noBreakHyphen/>
        <w:t>third </w:t>
      </w:r>
      <w:r w:rsidRPr="00BF0B0F">
        <w:t>ordinary session (see documents TC/55/[</w:t>
      </w:r>
      <w:r w:rsidR="00940819" w:rsidRPr="00BF0B0F">
        <w:t>xx</w:t>
      </w:r>
      <w:r w:rsidRPr="00BF0B0F">
        <w:t>] “Report” and CAJ/76/[</w:t>
      </w:r>
      <w:r w:rsidR="00940819" w:rsidRPr="00BF0B0F">
        <w:t>xx</w:t>
      </w:r>
      <w:r w:rsidRPr="00BF0B0F">
        <w:t>] “Report”).</w:t>
      </w:r>
      <w:r w:rsidRPr="00E11CE2">
        <w:t xml:space="preserve"> </w:t>
      </w:r>
    </w:p>
    <w:p w:rsidR="00E67F5D" w:rsidRPr="00E11CE2" w:rsidRDefault="00E67F5D" w:rsidP="00E67F5D"/>
    <w:p w:rsidR="00E67F5D" w:rsidRPr="00294914" w:rsidRDefault="00E67F5D" w:rsidP="00E67F5D">
      <w:pPr>
        <w:pStyle w:val="DecisionParagraphs"/>
      </w:pPr>
      <w:r w:rsidRPr="00E11CE2">
        <w:fldChar w:fldCharType="begin"/>
      </w:r>
      <w:r w:rsidRPr="00E11CE2">
        <w:instrText xml:space="preserve"> AUTONUM  </w:instrText>
      </w:r>
      <w:r w:rsidRPr="00E11CE2">
        <w:fldChar w:fldCharType="end"/>
      </w:r>
      <w:r w:rsidRPr="00E11CE2">
        <w:tab/>
        <w:t>The Council is invited to adop</w:t>
      </w:r>
      <w:r w:rsidR="00BB6643" w:rsidRPr="00E11CE2">
        <w:t>t a revision of document TGP/7</w:t>
      </w:r>
      <w:r w:rsidRPr="00E11CE2">
        <w:t xml:space="preserve"> “Development of Test Guidelines” (document TGP/7/</w:t>
      </w:r>
      <w:r w:rsidR="00BB6643" w:rsidRPr="00E11CE2">
        <w:t>7</w:t>
      </w:r>
      <w:r w:rsidRPr="00E11CE2">
        <w:t xml:space="preserve">), </w:t>
      </w:r>
      <w:r w:rsidR="00BB6643" w:rsidRPr="00E11CE2">
        <w:t xml:space="preserve">on the basis of </w:t>
      </w:r>
      <w:r w:rsidR="00602922">
        <w:t xml:space="preserve">document </w:t>
      </w:r>
      <w:r w:rsidR="00BB6643" w:rsidRPr="00BF0B0F">
        <w:t>TGP/7/7 Draft 1</w:t>
      </w:r>
      <w:r w:rsidRPr="00BF0B0F">
        <w:t>, taking into account the</w:t>
      </w:r>
      <w:r w:rsidRPr="00E11CE2">
        <w:t xml:space="preserve"> conclusions of the </w:t>
      </w:r>
      <w:r w:rsidR="0099612E">
        <w:t>TC at its fifty-fifth session, and of the </w:t>
      </w:r>
      <w:r w:rsidRPr="00E11CE2">
        <w:t>CAJ, at its seventy-</w:t>
      </w:r>
      <w:r w:rsidR="00BB6643" w:rsidRPr="00E11CE2">
        <w:t xml:space="preserve">sixth </w:t>
      </w:r>
      <w:r w:rsidRPr="00E11CE2">
        <w:t>session.</w:t>
      </w:r>
    </w:p>
    <w:p w:rsidR="00184FAA" w:rsidRDefault="00184FAA">
      <w:pPr>
        <w:jc w:val="left"/>
        <w:rPr>
          <w:bCs/>
          <w:snapToGrid w:val="0"/>
          <w:szCs w:val="24"/>
        </w:rPr>
      </w:pPr>
    </w:p>
    <w:p w:rsidR="009A614A" w:rsidRDefault="009A614A">
      <w:pPr>
        <w:jc w:val="left"/>
        <w:rPr>
          <w:bCs/>
          <w:snapToGrid w:val="0"/>
          <w:szCs w:val="24"/>
        </w:rPr>
      </w:pPr>
    </w:p>
    <w:p w:rsidR="003D0EB7" w:rsidRPr="00FE074A" w:rsidRDefault="003D0EB7" w:rsidP="004975B4">
      <w:pPr>
        <w:keepNext/>
        <w:rPr>
          <w:bCs/>
          <w:snapToGrid w:val="0"/>
          <w:szCs w:val="24"/>
          <w:u w:val="single"/>
        </w:rPr>
      </w:pPr>
      <w:r>
        <w:rPr>
          <w:bCs/>
          <w:snapToGrid w:val="0"/>
          <w:szCs w:val="24"/>
          <w:u w:val="single"/>
        </w:rPr>
        <w:t xml:space="preserve">TGP/8:  </w:t>
      </w:r>
      <w:r w:rsidRPr="003D0EB7">
        <w:rPr>
          <w:bCs/>
          <w:snapToGrid w:val="0"/>
          <w:szCs w:val="24"/>
          <w:u w:val="single"/>
        </w:rPr>
        <w:t>Trial Design and Techniques Used in the Examination of Distinctness, Uniformity and Stability (</w:t>
      </w:r>
      <w:r w:rsidRPr="00FE074A">
        <w:rPr>
          <w:bCs/>
          <w:snapToGrid w:val="0"/>
          <w:szCs w:val="24"/>
          <w:u w:val="single"/>
        </w:rPr>
        <w:t>Revision) (</w:t>
      </w:r>
      <w:r w:rsidR="00FE074A" w:rsidRPr="00FE074A">
        <w:rPr>
          <w:u w:val="single"/>
        </w:rPr>
        <w:t>document TGP/8/4 Draft 1</w:t>
      </w:r>
      <w:r w:rsidRPr="00FE074A">
        <w:rPr>
          <w:bCs/>
          <w:snapToGrid w:val="0"/>
          <w:szCs w:val="24"/>
          <w:u w:val="single"/>
        </w:rPr>
        <w:t>)</w:t>
      </w:r>
    </w:p>
    <w:p w:rsidR="003D0EB7" w:rsidRDefault="003D0EB7" w:rsidP="00184FAA">
      <w:pPr>
        <w:keepNext/>
        <w:jc w:val="left"/>
        <w:rPr>
          <w:u w:val="single"/>
        </w:rPr>
      </w:pPr>
    </w:p>
    <w:p w:rsidR="001A7309" w:rsidRDefault="001A7309" w:rsidP="001A7309">
      <w:r w:rsidRPr="00294914">
        <w:fldChar w:fldCharType="begin"/>
      </w:r>
      <w:r w:rsidRPr="00294914">
        <w:instrText xml:space="preserve"> AUTONUM  </w:instrText>
      </w:r>
      <w:r w:rsidRPr="00294914">
        <w:fldChar w:fldCharType="end"/>
      </w:r>
      <w:r w:rsidRPr="00294914">
        <w:tab/>
      </w:r>
      <w:r w:rsidRPr="00234BC0">
        <w:t>The TC</w:t>
      </w:r>
      <w:r>
        <w:t>,</w:t>
      </w:r>
      <w:r w:rsidRPr="00234BC0">
        <w:t xml:space="preserve"> </w:t>
      </w:r>
      <w:r>
        <w:t>at its fifty-</w:t>
      </w:r>
      <w:r w:rsidR="007D2E34">
        <w:t xml:space="preserve">third </w:t>
      </w:r>
      <w:r>
        <w:t>session</w:t>
      </w:r>
      <w:bookmarkStart w:id="6" w:name="_Ref13511775"/>
      <w:r w:rsidR="004975B4">
        <w:rPr>
          <w:rStyle w:val="FootnoteReference"/>
        </w:rPr>
        <w:footnoteReference w:id="5"/>
      </w:r>
      <w:bookmarkEnd w:id="6"/>
      <w:r>
        <w:t xml:space="preserve">, </w:t>
      </w:r>
      <w:r w:rsidR="007D2E34">
        <w:t>agreed the proposal for guidance on “</w:t>
      </w:r>
      <w:r w:rsidR="007D2E34" w:rsidRPr="0091141B">
        <w:t>Examining characteristics on the basis of bulk samples</w:t>
      </w:r>
      <w:r w:rsidR="007D2E34">
        <w:t>” to be included in a revision of document TGP/8 “</w:t>
      </w:r>
      <w:r w:rsidR="007D2E34" w:rsidRPr="00685AE9">
        <w:t>Trial Design and Techniques Used in the Examination of Distinctness, Uniformity and Stability</w:t>
      </w:r>
      <w:r w:rsidR="007D2E34">
        <w:t>” (see document </w:t>
      </w:r>
      <w:hyperlink r:id="rId10" w:history="1">
        <w:r w:rsidR="00084193" w:rsidRPr="000A0EE8">
          <w:rPr>
            <w:rStyle w:val="Hyperlink"/>
          </w:rPr>
          <w:t>TC/53/31</w:t>
        </w:r>
      </w:hyperlink>
      <w:r w:rsidR="00084193" w:rsidRPr="000279A4">
        <w:t xml:space="preserve"> “</w:t>
      </w:r>
      <w:r w:rsidR="00084193">
        <w:t>Report”, paragraphs 113 to 116</w:t>
      </w:r>
      <w:r w:rsidR="007D2E34">
        <w:t>).</w:t>
      </w:r>
    </w:p>
    <w:p w:rsidR="001A7309" w:rsidRDefault="001A7309" w:rsidP="00184FAA">
      <w:pPr>
        <w:keepNext/>
        <w:jc w:val="left"/>
        <w:rPr>
          <w:u w:val="single"/>
        </w:rPr>
      </w:pPr>
    </w:p>
    <w:p w:rsidR="001A7309" w:rsidRDefault="001A7309" w:rsidP="001A7309">
      <w:r w:rsidRPr="00273B07">
        <w:fldChar w:fldCharType="begin"/>
      </w:r>
      <w:r w:rsidRPr="00273B07">
        <w:instrText xml:space="preserve"> AUTONUM  </w:instrText>
      </w:r>
      <w:r w:rsidRPr="00273B07">
        <w:fldChar w:fldCharType="end"/>
      </w:r>
      <w:r w:rsidRPr="00273B07">
        <w:tab/>
        <w:t>The TC</w:t>
      </w:r>
      <w:r w:rsidR="007D2E34">
        <w:t>,</w:t>
      </w:r>
      <w:r w:rsidRPr="00273B07">
        <w:t xml:space="preserve"> </w:t>
      </w:r>
      <w:r w:rsidR="007D2E34">
        <w:t>at its fifty-fourth session</w:t>
      </w:r>
      <w:r w:rsidR="004975B4" w:rsidRPr="00BF0B0F">
        <w:rPr>
          <w:vertAlign w:val="superscript"/>
        </w:rPr>
        <w:fldChar w:fldCharType="begin"/>
      </w:r>
      <w:r w:rsidR="004975B4" w:rsidRPr="00BF0B0F">
        <w:rPr>
          <w:vertAlign w:val="superscript"/>
        </w:rPr>
        <w:instrText xml:space="preserve"> NOTEREF _Ref13507369 \h </w:instrText>
      </w:r>
      <w:r w:rsidR="004975B4">
        <w:rPr>
          <w:vertAlign w:val="superscript"/>
        </w:rPr>
        <w:instrText xml:space="preserve"> \* MERGEFORMAT </w:instrText>
      </w:r>
      <w:r w:rsidR="004975B4" w:rsidRPr="00BF0B0F">
        <w:rPr>
          <w:vertAlign w:val="superscript"/>
        </w:rPr>
      </w:r>
      <w:r w:rsidR="004975B4" w:rsidRPr="00BF0B0F">
        <w:rPr>
          <w:vertAlign w:val="superscript"/>
        </w:rPr>
        <w:fldChar w:fldCharType="separate"/>
      </w:r>
      <w:r w:rsidR="006E3734">
        <w:rPr>
          <w:vertAlign w:val="superscript"/>
        </w:rPr>
        <w:t>1</w:t>
      </w:r>
      <w:r w:rsidR="004975B4" w:rsidRPr="00BF0B0F">
        <w:rPr>
          <w:vertAlign w:val="superscript"/>
        </w:rPr>
        <w:fldChar w:fldCharType="end"/>
      </w:r>
      <w:r w:rsidR="007D2E34">
        <w:t xml:space="preserve">, </w:t>
      </w:r>
      <w:r w:rsidRPr="00273B07">
        <w:t>noted that guidance on the same matter had been developed for document TGP/10 and agreed that the guidance in document TGP/8/2: Part II: Section 8: Subsection 8.1.7 should be replaced by a cross-reference to the new guidance on “Assessing uniformity by off-types on the basis of more than one growing cycle or on the basis of sub-samples” to be included in document TGP/10 “Examining Uniformity”</w:t>
      </w:r>
      <w:r w:rsidR="004E031E">
        <w:t xml:space="preserve"> </w:t>
      </w:r>
      <w:r w:rsidR="004E031E" w:rsidRPr="001F64D8">
        <w:t xml:space="preserve">(see </w:t>
      </w:r>
      <w:r w:rsidR="004E031E" w:rsidRPr="000279A4">
        <w:t>document</w:t>
      </w:r>
      <w:r w:rsidR="004E031E">
        <w:t> </w:t>
      </w:r>
      <w:hyperlink r:id="rId11" w:history="1">
        <w:r w:rsidR="00E3098E">
          <w:rPr>
            <w:rStyle w:val="Hyperlink"/>
            <w:lang w:val="fr-FR"/>
          </w:rPr>
          <w:t>TC/54/31 Corr.</w:t>
        </w:r>
      </w:hyperlink>
      <w:r w:rsidR="004E031E">
        <w:t xml:space="preserve"> “Report”, paragraphs 231 and 232).</w:t>
      </w:r>
    </w:p>
    <w:p w:rsidR="001A7309" w:rsidRDefault="001A7309" w:rsidP="00DB2BDB"/>
    <w:p w:rsidR="004B4CDA" w:rsidRDefault="004B4CDA" w:rsidP="004B4CDA">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TGP/8/3 (document TGP/8/4 Draft 1) should be put forward for adoption by the Council at its fifty-third ordinary session, subject to the approval of the CAJ at its seventy-sixth session</w:t>
      </w:r>
      <w:r w:rsidRPr="00BF0B0F">
        <w:rPr>
          <w:spacing w:val="-2"/>
          <w:vertAlign w:val="superscript"/>
        </w:rPr>
        <w:fldChar w:fldCharType="begin"/>
      </w:r>
      <w:r w:rsidRPr="00BF0B0F">
        <w:rPr>
          <w:spacing w:val="-2"/>
          <w:vertAlign w:val="superscript"/>
        </w:rPr>
        <w:instrText xml:space="preserve"> NOTEREF _Ref13509809 \h </w:instrText>
      </w:r>
      <w:r>
        <w:rPr>
          <w:spacing w:val="-2"/>
          <w:vertAlign w:val="superscript"/>
        </w:rPr>
        <w:instrText xml:space="preserve"> \* MERGEFORMAT </w:instrText>
      </w:r>
      <w:r w:rsidRPr="00BF0B0F">
        <w:rPr>
          <w:spacing w:val="-2"/>
          <w:vertAlign w:val="superscript"/>
        </w:rPr>
      </w:r>
      <w:r w:rsidRPr="00BF0B0F">
        <w:rPr>
          <w:spacing w:val="-2"/>
          <w:vertAlign w:val="superscript"/>
        </w:rPr>
        <w:fldChar w:fldCharType="separate"/>
      </w:r>
      <w:r w:rsidR="006E3734">
        <w:rPr>
          <w:spacing w:val="-2"/>
          <w:vertAlign w:val="superscript"/>
        </w:rPr>
        <w:t>2</w:t>
      </w:r>
      <w:r w:rsidRPr="00BF0B0F">
        <w:rPr>
          <w:spacing w:val="-2"/>
          <w:vertAlign w:val="superscript"/>
        </w:rPr>
        <w:fldChar w:fldCharType="end"/>
      </w:r>
      <w:r>
        <w:rPr>
          <w:spacing w:val="-2"/>
        </w:rPr>
        <w:t xml:space="preserve">.  </w:t>
      </w:r>
    </w:p>
    <w:p w:rsidR="004B4CDA" w:rsidRDefault="004B4CDA" w:rsidP="004B4CDA">
      <w:pPr>
        <w:rPr>
          <w:spacing w:val="-2"/>
        </w:rPr>
      </w:pPr>
    </w:p>
    <w:p w:rsidR="004B4CDA" w:rsidRDefault="004B4CDA" w:rsidP="004B4CDA">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TGP/8/4 to the Council.  Document TGP/8/4 Draft 1 incorporates the amendments agreed by the TC, as presented in Annex II to this document</w:t>
      </w:r>
      <w:r w:rsidR="009A4E77">
        <w:rPr>
          <w:spacing w:val="-2"/>
        </w:rPr>
        <w:t xml:space="preserve"> (in revision mode)</w:t>
      </w:r>
      <w:r>
        <w:rPr>
          <w:spacing w:val="-2"/>
        </w:rPr>
        <w:t>, and the linguistic changes made by the re</w:t>
      </w:r>
      <w:r w:rsidR="0067303E">
        <w:rPr>
          <w:spacing w:val="-2"/>
        </w:rPr>
        <w:t>levant members of the Editorial </w:t>
      </w:r>
      <w:r>
        <w:rPr>
          <w:spacing w:val="-2"/>
        </w:rPr>
        <w:t>Committee.</w:t>
      </w:r>
    </w:p>
    <w:p w:rsidR="004B4CDA" w:rsidRDefault="004B4CDA" w:rsidP="004B4CDA">
      <w:pPr>
        <w:rPr>
          <w:bCs/>
          <w:snapToGrid w:val="0"/>
          <w:szCs w:val="24"/>
        </w:rPr>
      </w:pPr>
    </w:p>
    <w:p w:rsidR="00602922" w:rsidRDefault="00084193" w:rsidP="00E3098E">
      <w:r w:rsidRPr="00E11AC8">
        <w:rPr>
          <w:spacing w:val="-2"/>
        </w:rPr>
        <w:lastRenderedPageBreak/>
        <w:fldChar w:fldCharType="begin"/>
      </w:r>
      <w:r w:rsidRPr="00E11AC8">
        <w:rPr>
          <w:spacing w:val="-2"/>
        </w:rPr>
        <w:instrText xml:space="preserve"> AUTONUM  </w:instrText>
      </w:r>
      <w:r w:rsidRPr="00E11AC8">
        <w:rPr>
          <w:spacing w:val="-2"/>
        </w:rPr>
        <w:fldChar w:fldCharType="end"/>
      </w:r>
      <w:r w:rsidRPr="00E11AC8">
        <w:rPr>
          <w:spacing w:val="-2"/>
        </w:rPr>
        <w:tab/>
        <w:t>A report on the conclusions of the TC, at its fifty-fifth session</w:t>
      </w:r>
      <w:r w:rsidR="00FB361A" w:rsidRPr="000B0411">
        <w:rPr>
          <w:spacing w:val="-2"/>
          <w:vertAlign w:val="superscript"/>
        </w:rPr>
        <w:fldChar w:fldCharType="begin"/>
      </w:r>
      <w:r w:rsidR="00FB361A" w:rsidRPr="000B0411">
        <w:rPr>
          <w:spacing w:val="-2"/>
          <w:vertAlign w:val="superscript"/>
        </w:rPr>
        <w:instrText xml:space="preserve"> NOTEREF _Ref13509977 \h </w:instrText>
      </w:r>
      <w:r w:rsidR="00FB361A">
        <w:rPr>
          <w:spacing w:val="-2"/>
          <w:vertAlign w:val="superscript"/>
        </w:rPr>
        <w:instrText xml:space="preserve"> \* MERGEFORMAT </w:instrText>
      </w:r>
      <w:r w:rsidR="00FB361A" w:rsidRPr="000B0411">
        <w:rPr>
          <w:spacing w:val="-2"/>
          <w:vertAlign w:val="superscript"/>
        </w:rPr>
      </w:r>
      <w:r w:rsidR="00FB361A" w:rsidRPr="000B0411">
        <w:rPr>
          <w:spacing w:val="-2"/>
          <w:vertAlign w:val="superscript"/>
        </w:rPr>
        <w:fldChar w:fldCharType="separate"/>
      </w:r>
      <w:r w:rsidR="006E3734">
        <w:rPr>
          <w:spacing w:val="-2"/>
          <w:vertAlign w:val="superscript"/>
        </w:rPr>
        <w:t>3</w:t>
      </w:r>
      <w:r w:rsidR="00FB361A" w:rsidRPr="000B0411">
        <w:rPr>
          <w:spacing w:val="-2"/>
          <w:vertAlign w:val="superscript"/>
        </w:rPr>
        <w:fldChar w:fldCharType="end"/>
      </w:r>
      <w:r w:rsidRPr="00E11AC8">
        <w:rPr>
          <w:spacing w:val="-2"/>
        </w:rPr>
        <w:t xml:space="preserve">, </w:t>
      </w:r>
      <w:r w:rsidRPr="00E11CE2">
        <w:t>and on the conclusions of the CAJ, at its seventy</w:t>
      </w:r>
      <w:r w:rsidRPr="00E11CE2">
        <w:noBreakHyphen/>
        <w:t>sixth session</w:t>
      </w:r>
      <w:r w:rsidR="00FB361A" w:rsidRPr="000B0411">
        <w:rPr>
          <w:vertAlign w:val="superscript"/>
        </w:rPr>
        <w:fldChar w:fldCharType="begin"/>
      </w:r>
      <w:r w:rsidR="00FB361A" w:rsidRPr="000B0411">
        <w:rPr>
          <w:vertAlign w:val="superscript"/>
        </w:rPr>
        <w:instrText xml:space="preserve"> NOTEREF _Ref13509809 \h </w:instrText>
      </w:r>
      <w:r w:rsidR="00FB361A">
        <w:rPr>
          <w:vertAlign w:val="superscript"/>
        </w:rPr>
        <w:instrText xml:space="preserve"> \* MERGEFORMAT </w:instrText>
      </w:r>
      <w:r w:rsidR="00FB361A" w:rsidRPr="000B0411">
        <w:rPr>
          <w:vertAlign w:val="superscript"/>
        </w:rPr>
      </w:r>
      <w:r w:rsidR="00FB361A" w:rsidRPr="000B0411">
        <w:rPr>
          <w:vertAlign w:val="superscript"/>
        </w:rPr>
        <w:fldChar w:fldCharType="separate"/>
      </w:r>
      <w:r w:rsidR="006E3734">
        <w:rPr>
          <w:vertAlign w:val="superscript"/>
        </w:rPr>
        <w:t>2</w:t>
      </w:r>
      <w:r w:rsidR="00FB361A" w:rsidRPr="000B0411">
        <w:rPr>
          <w:vertAlign w:val="superscript"/>
        </w:rPr>
        <w:fldChar w:fldCharType="end"/>
      </w:r>
      <w:r w:rsidRPr="00E11CE2">
        <w:t xml:space="preserve">, concerning the proposals to revise </w:t>
      </w:r>
      <w:r>
        <w:t>document TGP/8/3</w:t>
      </w:r>
      <w:r w:rsidRPr="00E11CE2">
        <w:t xml:space="preserve">, will be made to the Council at </w:t>
      </w:r>
      <w:r w:rsidRPr="00BF0B0F">
        <w:t>its fifty</w:t>
      </w:r>
      <w:r w:rsidRPr="00BF0B0F">
        <w:noBreakHyphen/>
        <w:t>third ordinary session (see documents TC/55/[</w:t>
      </w:r>
      <w:r w:rsidR="00FB361A" w:rsidRPr="00BF0B0F">
        <w:t>xx</w:t>
      </w:r>
      <w:r w:rsidRPr="00BF0B0F">
        <w:t>] “Report” and CAJ/76/[</w:t>
      </w:r>
      <w:r w:rsidR="00FB361A" w:rsidRPr="00BF0B0F">
        <w:t>xx</w:t>
      </w:r>
      <w:r w:rsidRPr="00BF0B0F">
        <w:t>] “Report”).</w:t>
      </w:r>
      <w:r w:rsidRPr="00E11CE2">
        <w:t xml:space="preserve"> </w:t>
      </w:r>
    </w:p>
    <w:p w:rsidR="00E3098E" w:rsidRDefault="00E3098E" w:rsidP="00E3098E"/>
    <w:p w:rsidR="00DB2BDB" w:rsidRPr="00294914" w:rsidRDefault="00DB2BDB" w:rsidP="00DB2BDB">
      <w:pPr>
        <w:pStyle w:val="DecisionParagraphs"/>
      </w:pPr>
      <w:r w:rsidRPr="00254FA7">
        <w:fldChar w:fldCharType="begin"/>
      </w:r>
      <w:r w:rsidRPr="00254FA7">
        <w:instrText xml:space="preserve"> AUTONUM  </w:instrText>
      </w:r>
      <w:r w:rsidRPr="00254FA7">
        <w:fldChar w:fldCharType="end"/>
      </w:r>
      <w:r w:rsidRPr="00254FA7">
        <w:tab/>
        <w:t>The Council is invited to adopt a revision of document TGP/</w:t>
      </w:r>
      <w:r w:rsidR="00587EB0">
        <w:t>8</w:t>
      </w:r>
      <w:r w:rsidRPr="00254FA7">
        <w:t xml:space="preserve"> “</w:t>
      </w:r>
      <w:r w:rsidR="00587EB0" w:rsidRPr="00587EB0">
        <w:t>Trial Design and Techniques Used in the Examination of Distinctness, Uniformity and Stability”</w:t>
      </w:r>
      <w:r w:rsidR="00587EB0">
        <w:t xml:space="preserve"> (document TGP/8/3</w:t>
      </w:r>
      <w:r w:rsidRPr="00254FA7">
        <w:t>)</w:t>
      </w:r>
      <w:r w:rsidR="00587EB0">
        <w:t>, o</w:t>
      </w:r>
      <w:r w:rsidR="00602922">
        <w:t>n the basis of document TGP/8/4 </w:t>
      </w:r>
      <w:r w:rsidR="00587EB0">
        <w:t>Draft 1</w:t>
      </w:r>
      <w:r w:rsidRPr="00254FA7">
        <w:t xml:space="preserve">, taking into account the conclusions of the </w:t>
      </w:r>
      <w:r w:rsidR="009A4E77">
        <w:t>TC at its fifty-fifth session, and of the </w:t>
      </w:r>
      <w:r w:rsidRPr="00254FA7">
        <w:t>CAJ, at its seventy-</w:t>
      </w:r>
      <w:r w:rsidR="00587EB0">
        <w:t>sixth</w:t>
      </w:r>
      <w:r w:rsidRPr="00254FA7">
        <w:t xml:space="preserve"> session.</w:t>
      </w:r>
      <w:r w:rsidR="00587EB0">
        <w:t xml:space="preserve"> </w:t>
      </w:r>
    </w:p>
    <w:p w:rsidR="00D131B7" w:rsidRDefault="00D131B7" w:rsidP="008966F7">
      <w:pPr>
        <w:jc w:val="left"/>
      </w:pPr>
    </w:p>
    <w:p w:rsidR="008966F7" w:rsidRPr="003E5FCE" w:rsidRDefault="008966F7" w:rsidP="008966F7">
      <w:pPr>
        <w:jc w:val="left"/>
      </w:pPr>
    </w:p>
    <w:p w:rsidR="003D0EB7" w:rsidRPr="003D0EB7" w:rsidRDefault="003D0EB7" w:rsidP="00191B77">
      <w:pPr>
        <w:keepNext/>
        <w:jc w:val="left"/>
        <w:rPr>
          <w:bCs/>
          <w:snapToGrid w:val="0"/>
          <w:szCs w:val="24"/>
          <w:u w:val="single"/>
        </w:rPr>
      </w:pPr>
      <w:r>
        <w:rPr>
          <w:bCs/>
          <w:snapToGrid w:val="0"/>
          <w:szCs w:val="24"/>
          <w:u w:val="single"/>
        </w:rPr>
        <w:t xml:space="preserve">TGP/10:  </w:t>
      </w:r>
      <w:r w:rsidRPr="003D0EB7">
        <w:rPr>
          <w:bCs/>
          <w:snapToGrid w:val="0"/>
          <w:szCs w:val="24"/>
          <w:u w:val="single"/>
        </w:rPr>
        <w:t>Examining Uniformity (Revision) (</w:t>
      </w:r>
      <w:r w:rsidR="00D131B7" w:rsidRPr="00D131B7">
        <w:rPr>
          <w:bCs/>
          <w:snapToGrid w:val="0"/>
          <w:szCs w:val="24"/>
          <w:u w:val="single"/>
        </w:rPr>
        <w:t>document TGP/10/2 Draft 1)</w:t>
      </w:r>
    </w:p>
    <w:p w:rsidR="005D1FEE" w:rsidRDefault="005D1FEE" w:rsidP="00191B77">
      <w:pPr>
        <w:keepNext/>
      </w:pPr>
    </w:p>
    <w:p w:rsidR="00191B77" w:rsidRPr="00DB522D" w:rsidRDefault="00191B77" w:rsidP="00191B77">
      <w:pPr>
        <w:keepNext/>
        <w:keepLines/>
      </w:pPr>
      <w:r>
        <w:fldChar w:fldCharType="begin"/>
      </w:r>
      <w:r>
        <w:instrText xml:space="preserve"> AUTONUM  </w:instrText>
      </w:r>
      <w:r>
        <w:fldChar w:fldCharType="end"/>
      </w:r>
      <w:r>
        <w:tab/>
      </w:r>
      <w:r w:rsidRPr="00DB522D">
        <w:t>The TC</w:t>
      </w:r>
      <w:r>
        <w:t>, at its fifty-fourth session</w:t>
      </w:r>
      <w:r w:rsidR="00FB361A" w:rsidRPr="00BF0B0F">
        <w:rPr>
          <w:vertAlign w:val="superscript"/>
        </w:rPr>
        <w:fldChar w:fldCharType="begin"/>
      </w:r>
      <w:r w:rsidR="00FB361A" w:rsidRPr="00BF0B0F">
        <w:rPr>
          <w:vertAlign w:val="superscript"/>
        </w:rPr>
        <w:instrText xml:space="preserve"> NOTEREF _Ref13507369 \h </w:instrText>
      </w:r>
      <w:r w:rsidR="00FB361A">
        <w:rPr>
          <w:vertAlign w:val="superscript"/>
        </w:rPr>
        <w:instrText xml:space="preserve"> \* MERGEFORMAT </w:instrText>
      </w:r>
      <w:r w:rsidR="00FB361A" w:rsidRPr="00BF0B0F">
        <w:rPr>
          <w:vertAlign w:val="superscript"/>
        </w:rPr>
      </w:r>
      <w:r w:rsidR="00FB361A" w:rsidRPr="00BF0B0F">
        <w:rPr>
          <w:vertAlign w:val="superscript"/>
        </w:rPr>
        <w:fldChar w:fldCharType="separate"/>
      </w:r>
      <w:r w:rsidR="006E3734">
        <w:rPr>
          <w:vertAlign w:val="superscript"/>
        </w:rPr>
        <w:t>1</w:t>
      </w:r>
      <w:r w:rsidR="00FB361A" w:rsidRPr="00BF0B0F">
        <w:rPr>
          <w:vertAlign w:val="superscript"/>
        </w:rPr>
        <w:fldChar w:fldCharType="end"/>
      </w:r>
      <w:r>
        <w:t>,</w:t>
      </w:r>
      <w:r w:rsidRPr="00DB522D">
        <w:t xml:space="preserve"> </w:t>
      </w:r>
      <w:r>
        <w:t>agreed that the draft </w:t>
      </w:r>
      <w:r w:rsidRPr="00DB522D">
        <w:t xml:space="preserve">guidance </w:t>
      </w:r>
      <w:r w:rsidRPr="0021251E">
        <w:rPr>
          <w:rFonts w:eastAsia="MS Mincho"/>
          <w:color w:val="000000"/>
          <w:szCs w:val="24"/>
          <w:lang w:eastAsia="ja-JP"/>
        </w:rPr>
        <w:t xml:space="preserve">on </w:t>
      </w:r>
      <w:r>
        <w:rPr>
          <w:rFonts w:eastAsia="MS Mincho"/>
          <w:color w:val="000000"/>
          <w:szCs w:val="24"/>
          <w:lang w:eastAsia="ja-JP"/>
        </w:rPr>
        <w:t>“A</w:t>
      </w:r>
      <w:r w:rsidRPr="0021251E">
        <w:rPr>
          <w:rFonts w:eastAsia="MS Mincho"/>
          <w:color w:val="000000"/>
          <w:szCs w:val="24"/>
          <w:lang w:eastAsia="ja-JP"/>
        </w:rPr>
        <w:t>ssessing uniformity by off-types on the basis of more than one growing cycle or on the basis of sub-samples</w:t>
      </w:r>
      <w:r>
        <w:rPr>
          <w:rFonts w:eastAsia="MS Mincho"/>
          <w:color w:val="000000"/>
          <w:szCs w:val="24"/>
          <w:lang w:eastAsia="ja-JP"/>
        </w:rPr>
        <w:t>”</w:t>
      </w:r>
      <w:r>
        <w:t xml:space="preserve"> </w:t>
      </w:r>
      <w:r w:rsidRPr="00DB522D">
        <w:t>should be put forward for adoption by the Council for inclusion in a future revision of docume</w:t>
      </w:r>
      <w:r>
        <w:t>nt TGP/10 “Examining Uniformity</w:t>
      </w:r>
      <w:r w:rsidRPr="00DB522D">
        <w:t>”</w:t>
      </w:r>
      <w:r w:rsidR="007D2E34">
        <w:t xml:space="preserve"> (see document </w:t>
      </w:r>
      <w:hyperlink r:id="rId12" w:history="1">
        <w:r w:rsidR="00E3098E">
          <w:rPr>
            <w:rStyle w:val="Hyperlink"/>
            <w:lang w:val="fr-FR"/>
          </w:rPr>
          <w:t>TC/54/31 Corr.</w:t>
        </w:r>
      </w:hyperlink>
      <w:r w:rsidR="007D2E34">
        <w:t xml:space="preserve"> “Report”, paragraphs 233 and 234).</w:t>
      </w:r>
      <w:r w:rsidRPr="0021251E">
        <w:rPr>
          <w:rFonts w:eastAsia="MS Mincho"/>
          <w:color w:val="000000"/>
          <w:szCs w:val="24"/>
          <w:lang w:eastAsia="ja-JP"/>
        </w:rPr>
        <w:t xml:space="preserve">  </w:t>
      </w:r>
    </w:p>
    <w:p w:rsidR="00191B77" w:rsidRDefault="00191B77" w:rsidP="00191B77"/>
    <w:p w:rsidR="00FB361A" w:rsidRDefault="00FB361A" w:rsidP="00FB361A">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TGP/10/2 to the Council.  Document TGP/10/2 Draft 1 incorporates the amendments agreed by the TC, as presented in Annex III to this document, and the linguistic changes made by the relevant members of the Editorial Committee.</w:t>
      </w:r>
    </w:p>
    <w:p w:rsidR="00FB361A" w:rsidRDefault="00FB361A" w:rsidP="00FB361A">
      <w:pPr>
        <w:rPr>
          <w:bCs/>
          <w:snapToGrid w:val="0"/>
          <w:szCs w:val="24"/>
        </w:rPr>
      </w:pPr>
    </w:p>
    <w:p w:rsidR="00084193" w:rsidRPr="00E11CE2" w:rsidRDefault="00084193" w:rsidP="00084193">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t>A report on the conclusions of the TC, at its fifty-fifth session</w:t>
      </w:r>
      <w:r w:rsidR="00FB361A" w:rsidRPr="000B0411">
        <w:rPr>
          <w:spacing w:val="-2"/>
          <w:vertAlign w:val="superscript"/>
        </w:rPr>
        <w:fldChar w:fldCharType="begin"/>
      </w:r>
      <w:r w:rsidR="00FB361A" w:rsidRPr="000B0411">
        <w:rPr>
          <w:spacing w:val="-2"/>
          <w:vertAlign w:val="superscript"/>
        </w:rPr>
        <w:instrText xml:space="preserve"> NOTEREF _Ref13509977 \h </w:instrText>
      </w:r>
      <w:r w:rsidR="00FB361A">
        <w:rPr>
          <w:spacing w:val="-2"/>
          <w:vertAlign w:val="superscript"/>
        </w:rPr>
        <w:instrText xml:space="preserve"> \* MERGEFORMAT </w:instrText>
      </w:r>
      <w:r w:rsidR="00FB361A" w:rsidRPr="000B0411">
        <w:rPr>
          <w:spacing w:val="-2"/>
          <w:vertAlign w:val="superscript"/>
        </w:rPr>
      </w:r>
      <w:r w:rsidR="00FB361A" w:rsidRPr="000B0411">
        <w:rPr>
          <w:spacing w:val="-2"/>
          <w:vertAlign w:val="superscript"/>
        </w:rPr>
        <w:fldChar w:fldCharType="separate"/>
      </w:r>
      <w:r w:rsidR="006E3734">
        <w:rPr>
          <w:spacing w:val="-2"/>
          <w:vertAlign w:val="superscript"/>
        </w:rPr>
        <w:t>3</w:t>
      </w:r>
      <w:r w:rsidR="00FB361A" w:rsidRPr="000B0411">
        <w:rPr>
          <w:spacing w:val="-2"/>
          <w:vertAlign w:val="superscript"/>
        </w:rPr>
        <w:fldChar w:fldCharType="end"/>
      </w:r>
      <w:r w:rsidRPr="00E11AC8">
        <w:rPr>
          <w:spacing w:val="-2"/>
        </w:rPr>
        <w:t xml:space="preserve">, </w:t>
      </w:r>
      <w:r w:rsidRPr="00E11CE2">
        <w:t>and on the conclusions of the CAJ, at its seventy</w:t>
      </w:r>
      <w:r w:rsidRPr="00E11CE2">
        <w:noBreakHyphen/>
        <w:t>sixth session</w:t>
      </w:r>
      <w:r w:rsidR="00FB361A" w:rsidRPr="000B0411">
        <w:rPr>
          <w:vertAlign w:val="superscript"/>
        </w:rPr>
        <w:fldChar w:fldCharType="begin"/>
      </w:r>
      <w:r w:rsidR="00FB361A" w:rsidRPr="000B0411">
        <w:rPr>
          <w:vertAlign w:val="superscript"/>
        </w:rPr>
        <w:instrText xml:space="preserve"> NOTEREF _Ref13509809 \h </w:instrText>
      </w:r>
      <w:r w:rsidR="00FB361A">
        <w:rPr>
          <w:vertAlign w:val="superscript"/>
        </w:rPr>
        <w:instrText xml:space="preserve"> \* MERGEFORMAT </w:instrText>
      </w:r>
      <w:r w:rsidR="00FB361A" w:rsidRPr="000B0411">
        <w:rPr>
          <w:vertAlign w:val="superscript"/>
        </w:rPr>
      </w:r>
      <w:r w:rsidR="00FB361A" w:rsidRPr="000B0411">
        <w:rPr>
          <w:vertAlign w:val="superscript"/>
        </w:rPr>
        <w:fldChar w:fldCharType="separate"/>
      </w:r>
      <w:r w:rsidR="006E3734">
        <w:rPr>
          <w:vertAlign w:val="superscript"/>
        </w:rPr>
        <w:t>2</w:t>
      </w:r>
      <w:r w:rsidR="00FB361A" w:rsidRPr="000B0411">
        <w:rPr>
          <w:vertAlign w:val="superscript"/>
        </w:rPr>
        <w:fldChar w:fldCharType="end"/>
      </w:r>
      <w:r w:rsidRPr="00E11CE2">
        <w:t xml:space="preserve">, </w:t>
      </w:r>
      <w:r w:rsidRPr="00A32BED">
        <w:t xml:space="preserve">concerning the proposals to revise document </w:t>
      </w:r>
      <w:r>
        <w:t>TGP/10/1</w:t>
      </w:r>
      <w:r w:rsidRPr="00A32BED">
        <w:t xml:space="preserve">, </w:t>
      </w:r>
      <w:r w:rsidRPr="00E11CE2">
        <w:t xml:space="preserve">will be made to the Council at </w:t>
      </w:r>
      <w:r w:rsidRPr="00BF0B0F">
        <w:t>its fifty</w:t>
      </w:r>
      <w:r w:rsidRPr="00BF0B0F">
        <w:noBreakHyphen/>
        <w:t>third ordinary session (see documents TC/55/[</w:t>
      </w:r>
      <w:r w:rsidR="00FB361A" w:rsidRPr="00BF0B0F">
        <w:t>xx</w:t>
      </w:r>
      <w:r w:rsidRPr="00BF0B0F">
        <w:t>] “Report” and CAJ/76/[</w:t>
      </w:r>
      <w:r w:rsidR="00FB361A" w:rsidRPr="00BF0B0F">
        <w:t>xx</w:t>
      </w:r>
      <w:r w:rsidRPr="00BF0B0F">
        <w:t>] “Report”).</w:t>
      </w:r>
      <w:r w:rsidRPr="00E11CE2">
        <w:t xml:space="preserve"> </w:t>
      </w:r>
    </w:p>
    <w:p w:rsidR="00084193" w:rsidRDefault="00084193" w:rsidP="00807CB1"/>
    <w:p w:rsidR="005D1FEE" w:rsidRPr="00294914" w:rsidRDefault="005D1FEE" w:rsidP="005D1FEE">
      <w:pPr>
        <w:pStyle w:val="DecisionParagraphs"/>
      </w:pPr>
      <w:r w:rsidRPr="00254FA7">
        <w:fldChar w:fldCharType="begin"/>
      </w:r>
      <w:r w:rsidRPr="00254FA7">
        <w:instrText xml:space="preserve"> AUTONUM  </w:instrText>
      </w:r>
      <w:r w:rsidRPr="00254FA7">
        <w:fldChar w:fldCharType="end"/>
      </w:r>
      <w:r w:rsidRPr="00254FA7">
        <w:tab/>
        <w:t xml:space="preserve">The Council is invited </w:t>
      </w:r>
      <w:r w:rsidR="00BF0B0F">
        <w:t xml:space="preserve">to adopt a revision </w:t>
      </w:r>
      <w:r w:rsidR="00BF0B0F">
        <w:br/>
        <w:t xml:space="preserve">of document </w:t>
      </w:r>
      <w:r>
        <w:t>TGP/10 “</w:t>
      </w:r>
      <w:r w:rsidRPr="003E7167">
        <w:t>Examin</w:t>
      </w:r>
      <w:r>
        <w:t>ing</w:t>
      </w:r>
      <w:r w:rsidRPr="003E7167">
        <w:t xml:space="preserve"> Uniformity</w:t>
      </w:r>
      <w:r w:rsidRPr="00587EB0">
        <w:t>”</w:t>
      </w:r>
      <w:r>
        <w:t xml:space="preserve"> (document TGP/10/1</w:t>
      </w:r>
      <w:r w:rsidRPr="00254FA7">
        <w:t>)</w:t>
      </w:r>
      <w:r w:rsidR="00BF0B0F">
        <w:t>, on the basis of document TGP/10/2 </w:t>
      </w:r>
      <w:r>
        <w:t>Draft 1</w:t>
      </w:r>
      <w:r w:rsidRPr="00254FA7">
        <w:t xml:space="preserve">, taking into account the conclusions of the </w:t>
      </w:r>
      <w:r w:rsidR="00FB361A">
        <w:t>TC at its fifty-fifth session, and of the </w:t>
      </w:r>
      <w:r w:rsidRPr="00254FA7">
        <w:t>CAJ, at its seventy-</w:t>
      </w:r>
      <w:r>
        <w:t>sixth</w:t>
      </w:r>
      <w:r w:rsidRPr="00254FA7">
        <w:t xml:space="preserve"> session.</w:t>
      </w:r>
      <w:r>
        <w:t xml:space="preserve"> </w:t>
      </w:r>
    </w:p>
    <w:p w:rsidR="00D131B7" w:rsidRDefault="00D131B7" w:rsidP="003D0EB7">
      <w:pPr>
        <w:jc w:val="left"/>
      </w:pPr>
    </w:p>
    <w:p w:rsidR="008966F7" w:rsidRDefault="008966F7" w:rsidP="003D0EB7">
      <w:pPr>
        <w:jc w:val="left"/>
      </w:pPr>
    </w:p>
    <w:p w:rsidR="003D0EB7" w:rsidRPr="003D0EB7" w:rsidRDefault="003D0EB7" w:rsidP="003D0EB7">
      <w:pPr>
        <w:jc w:val="left"/>
        <w:rPr>
          <w:bCs/>
          <w:snapToGrid w:val="0"/>
          <w:szCs w:val="24"/>
          <w:u w:val="single"/>
        </w:rPr>
      </w:pPr>
      <w:r>
        <w:rPr>
          <w:bCs/>
          <w:snapToGrid w:val="0"/>
          <w:szCs w:val="24"/>
          <w:u w:val="single"/>
        </w:rPr>
        <w:t xml:space="preserve">TGP/14:  </w:t>
      </w:r>
      <w:r w:rsidRPr="003D0EB7">
        <w:rPr>
          <w:bCs/>
          <w:snapToGrid w:val="0"/>
          <w:szCs w:val="24"/>
          <w:u w:val="single"/>
        </w:rPr>
        <w:t>Glossary of Terms Used in UPOV Documents (Revision) (document TGP/14/4 Draft 1)</w:t>
      </w:r>
    </w:p>
    <w:p w:rsidR="003D0EB7" w:rsidRPr="003D0EB7" w:rsidRDefault="003D0EB7" w:rsidP="003D0EB7">
      <w:pPr>
        <w:jc w:val="left"/>
      </w:pPr>
    </w:p>
    <w:p w:rsidR="00067473" w:rsidRDefault="000F250F" w:rsidP="000F250F">
      <w:r w:rsidRPr="00294914">
        <w:fldChar w:fldCharType="begin"/>
      </w:r>
      <w:r w:rsidRPr="00294914">
        <w:instrText xml:space="preserve"> AUTONUM  </w:instrText>
      </w:r>
      <w:r w:rsidRPr="00294914">
        <w:fldChar w:fldCharType="end"/>
      </w:r>
      <w:r w:rsidRPr="00294914">
        <w:tab/>
      </w:r>
      <w:r w:rsidR="00067473" w:rsidRPr="000279A4">
        <w:t>The TC, at its fifty-third session</w:t>
      </w:r>
      <w:r w:rsidR="0027272E" w:rsidRPr="00BF0B0F">
        <w:rPr>
          <w:vertAlign w:val="superscript"/>
        </w:rPr>
        <w:fldChar w:fldCharType="begin"/>
      </w:r>
      <w:r w:rsidR="0027272E" w:rsidRPr="00BF0B0F">
        <w:rPr>
          <w:vertAlign w:val="superscript"/>
        </w:rPr>
        <w:instrText xml:space="preserve"> NOTEREF _Ref13511775 \h </w:instrText>
      </w:r>
      <w:r w:rsidR="0027272E">
        <w:rPr>
          <w:vertAlign w:val="superscript"/>
        </w:rPr>
        <w:instrText xml:space="preserve"> \* MERGEFORMAT </w:instrText>
      </w:r>
      <w:r w:rsidR="0027272E" w:rsidRPr="00BF0B0F">
        <w:rPr>
          <w:vertAlign w:val="superscript"/>
        </w:rPr>
      </w:r>
      <w:r w:rsidR="0027272E" w:rsidRPr="00BF0B0F">
        <w:rPr>
          <w:vertAlign w:val="superscript"/>
        </w:rPr>
        <w:fldChar w:fldCharType="separate"/>
      </w:r>
      <w:r w:rsidR="006E3734">
        <w:rPr>
          <w:vertAlign w:val="superscript"/>
        </w:rPr>
        <w:t>4</w:t>
      </w:r>
      <w:r w:rsidR="0027272E" w:rsidRPr="00BF0B0F">
        <w:rPr>
          <w:vertAlign w:val="superscript"/>
        </w:rPr>
        <w:fldChar w:fldCharType="end"/>
      </w:r>
      <w:r w:rsidR="00067473" w:rsidRPr="000279A4">
        <w:t>,</w:t>
      </w:r>
      <w:r w:rsidR="00084193" w:rsidRPr="00084193">
        <w:t xml:space="preserve"> </w:t>
      </w:r>
      <w:r w:rsidR="00067473" w:rsidRPr="000279A4">
        <w:t xml:space="preserve">agreed to revise document TGP/14: Section 2: Subsection 2: </w:t>
      </w:r>
      <w:r w:rsidR="00067473">
        <w:t>“</w:t>
      </w:r>
      <w:r w:rsidR="00067473" w:rsidRPr="000279A4">
        <w:t>Shapes and structures</w:t>
      </w:r>
      <w:r w:rsidR="00067473">
        <w:t>”</w:t>
      </w:r>
      <w:r w:rsidR="00067473" w:rsidRPr="000279A4">
        <w:t xml:space="preserve"> to amend the grid in Example 5, Alternative 2, </w:t>
      </w:r>
      <w:r w:rsidR="00067473">
        <w:t xml:space="preserve">as presented in </w:t>
      </w:r>
      <w:r w:rsidR="00067473" w:rsidRPr="005B0157">
        <w:t>Annex IV to</w:t>
      </w:r>
      <w:r w:rsidR="00067473">
        <w:t xml:space="preserve"> this document</w:t>
      </w:r>
      <w:r w:rsidR="00084193">
        <w:t xml:space="preserve"> (s</w:t>
      </w:r>
      <w:r w:rsidR="00084193" w:rsidRPr="00685185">
        <w:t xml:space="preserve">ee document </w:t>
      </w:r>
      <w:hyperlink r:id="rId13" w:history="1">
        <w:r w:rsidR="00084193" w:rsidRPr="000A0EE8">
          <w:rPr>
            <w:rStyle w:val="Hyperlink"/>
          </w:rPr>
          <w:t>TC/53/31</w:t>
        </w:r>
      </w:hyperlink>
      <w:r w:rsidR="00084193">
        <w:t xml:space="preserve"> </w:t>
      </w:r>
      <w:r w:rsidR="00084193" w:rsidRPr="00685185">
        <w:t>“Report”, paragraph 141</w:t>
      </w:r>
      <w:r w:rsidR="00084193">
        <w:t>)</w:t>
      </w:r>
      <w:r w:rsidR="00067473">
        <w:t>.</w:t>
      </w:r>
    </w:p>
    <w:p w:rsidR="00067473" w:rsidRDefault="00067473" w:rsidP="000F250F"/>
    <w:p w:rsidR="000F250F" w:rsidRDefault="00067473" w:rsidP="000F250F">
      <w:r w:rsidRPr="00294914">
        <w:fldChar w:fldCharType="begin"/>
      </w:r>
      <w:r w:rsidRPr="00294914">
        <w:instrText xml:space="preserve"> AUTONUM  </w:instrText>
      </w:r>
      <w:r w:rsidRPr="00294914">
        <w:fldChar w:fldCharType="end"/>
      </w:r>
      <w:r w:rsidRPr="00294914">
        <w:tab/>
      </w:r>
      <w:r w:rsidR="000F250F" w:rsidRPr="00234BC0">
        <w:t>The TC</w:t>
      </w:r>
      <w:r w:rsidR="000F250F">
        <w:t>,</w:t>
      </w:r>
      <w:r w:rsidR="000F250F" w:rsidRPr="00234BC0">
        <w:t xml:space="preserve"> </w:t>
      </w:r>
      <w:r w:rsidR="000F250F">
        <w:t>at its fifty-fourth session</w:t>
      </w:r>
      <w:r w:rsidR="0027272E" w:rsidRPr="00BF0B0F">
        <w:rPr>
          <w:vertAlign w:val="superscript"/>
        </w:rPr>
        <w:fldChar w:fldCharType="begin"/>
      </w:r>
      <w:r w:rsidR="0027272E" w:rsidRPr="00BF0B0F">
        <w:rPr>
          <w:vertAlign w:val="superscript"/>
        </w:rPr>
        <w:instrText xml:space="preserve"> NOTEREF _Ref13507369 \h </w:instrText>
      </w:r>
      <w:r w:rsidR="0027272E">
        <w:rPr>
          <w:vertAlign w:val="superscript"/>
        </w:rPr>
        <w:instrText xml:space="preserve"> \* MERGEFORMAT </w:instrText>
      </w:r>
      <w:r w:rsidR="0027272E" w:rsidRPr="00BF0B0F">
        <w:rPr>
          <w:vertAlign w:val="superscript"/>
        </w:rPr>
      </w:r>
      <w:r w:rsidR="0027272E" w:rsidRPr="00BF0B0F">
        <w:rPr>
          <w:vertAlign w:val="superscript"/>
        </w:rPr>
        <w:fldChar w:fldCharType="separate"/>
      </w:r>
      <w:r w:rsidR="006E3734">
        <w:rPr>
          <w:vertAlign w:val="superscript"/>
        </w:rPr>
        <w:t>1</w:t>
      </w:r>
      <w:r w:rsidR="0027272E" w:rsidRPr="00BF0B0F">
        <w:rPr>
          <w:vertAlign w:val="superscript"/>
        </w:rPr>
        <w:fldChar w:fldCharType="end"/>
      </w:r>
      <w:r w:rsidR="000F250F">
        <w:t xml:space="preserve">, </w:t>
      </w:r>
      <w:r w:rsidR="000F250F" w:rsidRPr="00256CA0">
        <w:t xml:space="preserve">agreed the proposed revisions of </w:t>
      </w:r>
      <w:r w:rsidR="000F250F">
        <w:t xml:space="preserve">document TGP/14 “Glossary of terms used in UPOV documents” </w:t>
      </w:r>
      <w:r w:rsidRPr="00B1729B">
        <w:t xml:space="preserve">to include guidance on the factors to be considered for creating </w:t>
      </w:r>
      <w:r w:rsidR="00E3098E">
        <w:br/>
      </w:r>
      <w:r w:rsidRPr="00B1729B">
        <w:t>color groups for grouping of varieties and organizing the growing trial</w:t>
      </w:r>
      <w:r w:rsidR="00E3098E">
        <w:t xml:space="preserve"> (see </w:t>
      </w:r>
      <w:r w:rsidR="007D2E34" w:rsidRPr="00685185">
        <w:t xml:space="preserve">document </w:t>
      </w:r>
      <w:hyperlink r:id="rId14" w:history="1">
        <w:r w:rsidR="00E3098E">
          <w:rPr>
            <w:rStyle w:val="Hyperlink"/>
            <w:lang w:val="fr-FR"/>
          </w:rPr>
          <w:t>TC/54/31 </w:t>
        </w:r>
        <w:r w:rsidR="00E3098E">
          <w:rPr>
            <w:rStyle w:val="Hyperlink"/>
            <w:lang w:val="fr-FR"/>
          </w:rPr>
          <w:t>Corr.</w:t>
        </w:r>
      </w:hyperlink>
      <w:r w:rsidR="00E3098E">
        <w:t xml:space="preserve"> “Report”, paragraph </w:t>
      </w:r>
      <w:r w:rsidR="007D2E34">
        <w:t>244)</w:t>
      </w:r>
      <w:r>
        <w:t>.</w:t>
      </w:r>
    </w:p>
    <w:p w:rsidR="00E578A3" w:rsidRDefault="00E578A3" w:rsidP="008966F7"/>
    <w:p w:rsidR="004E031E" w:rsidRDefault="004E031E" w:rsidP="004E031E">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TGP/14/3 (document TGP/14/4 Draft 1) should be put forward for adoption by the Council at its fifty-third ordinary session, subject to the approval of the CAJ at its seventy-sixth session</w:t>
      </w:r>
      <w:r w:rsidRPr="003E1190">
        <w:rPr>
          <w:spacing w:val="-2"/>
          <w:vertAlign w:val="superscript"/>
        </w:rPr>
        <w:fldChar w:fldCharType="begin"/>
      </w:r>
      <w:r w:rsidRPr="003E1190">
        <w:rPr>
          <w:spacing w:val="-2"/>
          <w:vertAlign w:val="superscript"/>
        </w:rPr>
        <w:instrText xml:space="preserve"> NOTEREF _Ref13509809 \h </w:instrText>
      </w:r>
      <w:r>
        <w:rPr>
          <w:spacing w:val="-2"/>
          <w:vertAlign w:val="superscript"/>
        </w:rPr>
        <w:instrText xml:space="preserve"> \* MERGEFORMAT </w:instrText>
      </w:r>
      <w:r w:rsidRPr="003E1190">
        <w:rPr>
          <w:spacing w:val="-2"/>
          <w:vertAlign w:val="superscript"/>
        </w:rPr>
      </w:r>
      <w:r w:rsidRPr="003E1190">
        <w:rPr>
          <w:spacing w:val="-2"/>
          <w:vertAlign w:val="superscript"/>
        </w:rPr>
        <w:fldChar w:fldCharType="separate"/>
      </w:r>
      <w:r w:rsidR="006E3734">
        <w:rPr>
          <w:spacing w:val="-2"/>
          <w:vertAlign w:val="superscript"/>
        </w:rPr>
        <w:t>2</w:t>
      </w:r>
      <w:r w:rsidRPr="003E1190">
        <w:rPr>
          <w:spacing w:val="-2"/>
          <w:vertAlign w:val="superscript"/>
        </w:rPr>
        <w:fldChar w:fldCharType="end"/>
      </w:r>
      <w:r>
        <w:rPr>
          <w:spacing w:val="-2"/>
        </w:rPr>
        <w:t xml:space="preserve">.  </w:t>
      </w:r>
    </w:p>
    <w:p w:rsidR="004E031E" w:rsidRDefault="004E031E" w:rsidP="004E031E">
      <w:pPr>
        <w:rPr>
          <w:spacing w:val="-2"/>
        </w:rPr>
      </w:pPr>
    </w:p>
    <w:p w:rsidR="0027272E" w:rsidRDefault="0027272E" w:rsidP="0027272E">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TGP/14/</w:t>
      </w:r>
      <w:r w:rsidR="00B43485">
        <w:rPr>
          <w:spacing w:val="-2"/>
        </w:rPr>
        <w:t>4</w:t>
      </w:r>
      <w:r>
        <w:rPr>
          <w:spacing w:val="-2"/>
        </w:rPr>
        <w:t xml:space="preserve"> to the Council.  Document TGP/14/4 Draft 1 incorporates the amendments agreed by the TC, as presented in Annex IV to this document, and the linguistic changes made by the relevant members of the Editorial Committee.</w:t>
      </w:r>
    </w:p>
    <w:p w:rsidR="0027272E" w:rsidRDefault="0027272E" w:rsidP="0027272E">
      <w:pPr>
        <w:rPr>
          <w:bCs/>
          <w:snapToGrid w:val="0"/>
          <w:szCs w:val="24"/>
        </w:rPr>
      </w:pPr>
    </w:p>
    <w:p w:rsidR="00FD3216" w:rsidRPr="00E11CE2" w:rsidRDefault="00FD3216" w:rsidP="00FD3216">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t>A report on the conclusions of the TC, at its fifty-fifth session</w:t>
      </w:r>
      <w:r w:rsidR="0027272E" w:rsidRPr="000B0411">
        <w:rPr>
          <w:spacing w:val="-2"/>
          <w:vertAlign w:val="superscript"/>
        </w:rPr>
        <w:fldChar w:fldCharType="begin"/>
      </w:r>
      <w:r w:rsidR="0027272E" w:rsidRPr="000B0411">
        <w:rPr>
          <w:spacing w:val="-2"/>
          <w:vertAlign w:val="superscript"/>
        </w:rPr>
        <w:instrText xml:space="preserve"> NOTEREF _Ref13509977 \h </w:instrText>
      </w:r>
      <w:r w:rsidR="0027272E">
        <w:rPr>
          <w:spacing w:val="-2"/>
          <w:vertAlign w:val="superscript"/>
        </w:rPr>
        <w:instrText xml:space="preserve"> \* MERGEFORMAT </w:instrText>
      </w:r>
      <w:r w:rsidR="0027272E" w:rsidRPr="000B0411">
        <w:rPr>
          <w:spacing w:val="-2"/>
          <w:vertAlign w:val="superscript"/>
        </w:rPr>
      </w:r>
      <w:r w:rsidR="0027272E" w:rsidRPr="000B0411">
        <w:rPr>
          <w:spacing w:val="-2"/>
          <w:vertAlign w:val="superscript"/>
        </w:rPr>
        <w:fldChar w:fldCharType="separate"/>
      </w:r>
      <w:r w:rsidR="006E3734">
        <w:rPr>
          <w:spacing w:val="-2"/>
          <w:vertAlign w:val="superscript"/>
        </w:rPr>
        <w:t>3</w:t>
      </w:r>
      <w:r w:rsidR="0027272E" w:rsidRPr="000B0411">
        <w:rPr>
          <w:spacing w:val="-2"/>
          <w:vertAlign w:val="superscript"/>
        </w:rPr>
        <w:fldChar w:fldCharType="end"/>
      </w:r>
      <w:r w:rsidRPr="00E11AC8">
        <w:rPr>
          <w:spacing w:val="-2"/>
        </w:rPr>
        <w:t xml:space="preserve">, </w:t>
      </w:r>
      <w:r w:rsidRPr="00E11CE2">
        <w:t>and on the conclusions of the CAJ, at its seventy</w:t>
      </w:r>
      <w:r w:rsidRPr="00E11CE2">
        <w:noBreakHyphen/>
        <w:t>sixth session</w:t>
      </w:r>
      <w:r w:rsidR="0027272E" w:rsidRPr="000B0411">
        <w:rPr>
          <w:vertAlign w:val="superscript"/>
        </w:rPr>
        <w:fldChar w:fldCharType="begin"/>
      </w:r>
      <w:r w:rsidR="0027272E" w:rsidRPr="000B0411">
        <w:rPr>
          <w:vertAlign w:val="superscript"/>
        </w:rPr>
        <w:instrText xml:space="preserve"> NOTEREF _Ref13509809 \h </w:instrText>
      </w:r>
      <w:r w:rsidR="0027272E">
        <w:rPr>
          <w:vertAlign w:val="superscript"/>
        </w:rPr>
        <w:instrText xml:space="preserve"> \* MERGEFORMAT </w:instrText>
      </w:r>
      <w:r w:rsidR="0027272E" w:rsidRPr="000B0411">
        <w:rPr>
          <w:vertAlign w:val="superscript"/>
        </w:rPr>
      </w:r>
      <w:r w:rsidR="0027272E" w:rsidRPr="000B0411">
        <w:rPr>
          <w:vertAlign w:val="superscript"/>
        </w:rPr>
        <w:fldChar w:fldCharType="separate"/>
      </w:r>
      <w:r w:rsidR="006E3734">
        <w:rPr>
          <w:vertAlign w:val="superscript"/>
        </w:rPr>
        <w:t>2</w:t>
      </w:r>
      <w:r w:rsidR="0027272E" w:rsidRPr="000B0411">
        <w:rPr>
          <w:vertAlign w:val="superscript"/>
        </w:rPr>
        <w:fldChar w:fldCharType="end"/>
      </w:r>
      <w:r w:rsidRPr="00E11CE2">
        <w:t xml:space="preserve">, </w:t>
      </w:r>
      <w:r w:rsidRPr="00A32BED">
        <w:t xml:space="preserve">concerning the proposals to revise </w:t>
      </w:r>
      <w:r w:rsidRPr="0027034F">
        <w:t>d</w:t>
      </w:r>
      <w:r>
        <w:t xml:space="preserve">ocument </w:t>
      </w:r>
      <w:r w:rsidRPr="0027034F">
        <w:t>TGP/14/3</w:t>
      </w:r>
      <w:r w:rsidRPr="00A32BED">
        <w:t>,</w:t>
      </w:r>
      <w:r>
        <w:t xml:space="preserve"> </w:t>
      </w:r>
      <w:r w:rsidRPr="00E11CE2">
        <w:t xml:space="preserve">will be made to the Council at </w:t>
      </w:r>
      <w:r w:rsidRPr="00EF5FE8">
        <w:t>its fifty</w:t>
      </w:r>
      <w:r w:rsidRPr="00EF5FE8">
        <w:noBreakHyphen/>
        <w:t>third ordinary session (see documents TC/55/[</w:t>
      </w:r>
      <w:r w:rsidR="0027272E" w:rsidRPr="00EF5FE8">
        <w:t>xx</w:t>
      </w:r>
      <w:r w:rsidRPr="00EF5FE8">
        <w:t>] “Report” and CAJ/76/[</w:t>
      </w:r>
      <w:r w:rsidR="0027272E" w:rsidRPr="00EF5FE8">
        <w:t>xx</w:t>
      </w:r>
      <w:r w:rsidRPr="00EF5FE8">
        <w:t>] “Report”).</w:t>
      </w:r>
      <w:r w:rsidRPr="00E11CE2">
        <w:t xml:space="preserve"> </w:t>
      </w:r>
    </w:p>
    <w:p w:rsidR="00067473" w:rsidRDefault="00067473" w:rsidP="00E578A3"/>
    <w:p w:rsidR="000F250F" w:rsidRPr="00294914" w:rsidRDefault="000F250F" w:rsidP="00E3098E">
      <w:pPr>
        <w:pStyle w:val="DecisionParagraphs"/>
        <w:keepLines/>
      </w:pPr>
      <w:r w:rsidRPr="00254FA7">
        <w:lastRenderedPageBreak/>
        <w:fldChar w:fldCharType="begin"/>
      </w:r>
      <w:r w:rsidRPr="00254FA7">
        <w:instrText xml:space="preserve"> AUTONUM  </w:instrText>
      </w:r>
      <w:r w:rsidRPr="00254FA7">
        <w:fldChar w:fldCharType="end"/>
      </w:r>
      <w:r w:rsidRPr="00254FA7">
        <w:tab/>
        <w:t xml:space="preserve">The Council is invited </w:t>
      </w:r>
      <w:r w:rsidR="00BF0B0F">
        <w:t xml:space="preserve">to adopt a revision </w:t>
      </w:r>
      <w:r w:rsidR="00BF0B0F">
        <w:br/>
        <w:t xml:space="preserve">of document </w:t>
      </w:r>
      <w:r>
        <w:t>TGP/14 “Glossary of terms used in UPOV </w:t>
      </w:r>
      <w:r w:rsidRPr="000F250F">
        <w:t>documents</w:t>
      </w:r>
      <w:r w:rsidRPr="00587EB0">
        <w:t>”</w:t>
      </w:r>
      <w:r>
        <w:t xml:space="preserve"> (document TGP/14/3</w:t>
      </w:r>
      <w:r w:rsidRPr="00254FA7">
        <w:t>)</w:t>
      </w:r>
      <w:r>
        <w:t>, on the basis of document TGP/14/4 Draft 1</w:t>
      </w:r>
      <w:r w:rsidRPr="00254FA7">
        <w:t xml:space="preserve">, taking into account the conclusions of the </w:t>
      </w:r>
      <w:r w:rsidR="0027272E">
        <w:t>TC at its fifty-fifth session, and of the </w:t>
      </w:r>
      <w:r w:rsidRPr="00254FA7">
        <w:t>CAJ, at its seventy-</w:t>
      </w:r>
      <w:r>
        <w:t>sixth</w:t>
      </w:r>
      <w:r w:rsidRPr="00254FA7">
        <w:t xml:space="preserve"> session.</w:t>
      </w:r>
      <w:r>
        <w:t xml:space="preserve"> </w:t>
      </w:r>
    </w:p>
    <w:p w:rsidR="00E3098E" w:rsidRDefault="00E3098E" w:rsidP="003D0EB7">
      <w:pPr>
        <w:jc w:val="left"/>
      </w:pPr>
    </w:p>
    <w:p w:rsidR="004F43A6" w:rsidRDefault="004F43A6" w:rsidP="003D0EB7">
      <w:pPr>
        <w:jc w:val="left"/>
      </w:pPr>
    </w:p>
    <w:p w:rsidR="003D0EB7" w:rsidRPr="003D0EB7" w:rsidRDefault="003D0EB7" w:rsidP="00BF0B0F">
      <w:pPr>
        <w:keepNext/>
        <w:rPr>
          <w:bCs/>
          <w:snapToGrid w:val="0"/>
          <w:szCs w:val="24"/>
          <w:u w:val="single"/>
        </w:rPr>
      </w:pPr>
      <w:r>
        <w:rPr>
          <w:bCs/>
          <w:snapToGrid w:val="0"/>
          <w:szCs w:val="24"/>
          <w:u w:val="single"/>
        </w:rPr>
        <w:t xml:space="preserve">TGP/15:  </w:t>
      </w:r>
      <w:r w:rsidRPr="003D0EB7">
        <w:rPr>
          <w:bCs/>
          <w:snapToGrid w:val="0"/>
          <w:szCs w:val="24"/>
          <w:u w:val="single"/>
        </w:rPr>
        <w:t>Guidance on the Use of Biochemical and Molecular Markers in the Examination of Distinctness, Uniformity and Stability (DUS) (Revision) (document TGP/15/2 Draft 2)</w:t>
      </w:r>
    </w:p>
    <w:p w:rsidR="003D0EB7" w:rsidRDefault="003D0EB7" w:rsidP="007111B2">
      <w:pPr>
        <w:keepNext/>
        <w:jc w:val="left"/>
      </w:pPr>
    </w:p>
    <w:p w:rsidR="009D162E" w:rsidRDefault="00FE319F" w:rsidP="009D162E">
      <w:r>
        <w:rPr>
          <w:rFonts w:cs="Arial"/>
        </w:rPr>
        <w:fldChar w:fldCharType="begin"/>
      </w:r>
      <w:r>
        <w:rPr>
          <w:rFonts w:cs="Arial"/>
        </w:rPr>
        <w:instrText xml:space="preserve"> AUTONUM  </w:instrText>
      </w:r>
      <w:r>
        <w:rPr>
          <w:rFonts w:cs="Arial"/>
        </w:rPr>
        <w:fldChar w:fldCharType="end"/>
      </w:r>
      <w:r>
        <w:rPr>
          <w:rFonts w:cs="Arial"/>
        </w:rPr>
        <w:tab/>
        <w:t>The TC</w:t>
      </w:r>
      <w:r>
        <w:t>, at its fifty-fourth session</w:t>
      </w:r>
      <w:r w:rsidRPr="0048775F">
        <w:rPr>
          <w:vertAlign w:val="superscript"/>
        </w:rPr>
        <w:fldChar w:fldCharType="begin"/>
      </w:r>
      <w:r w:rsidRPr="0048775F">
        <w:rPr>
          <w:vertAlign w:val="superscript"/>
        </w:rPr>
        <w:instrText xml:space="preserve"> NOTEREF _Ref13507369 \h </w:instrText>
      </w:r>
      <w:r>
        <w:rPr>
          <w:vertAlign w:val="superscript"/>
        </w:rPr>
        <w:instrText xml:space="preserve"> \* MERGEFORMAT </w:instrText>
      </w:r>
      <w:r w:rsidRPr="0048775F">
        <w:rPr>
          <w:vertAlign w:val="superscript"/>
        </w:rPr>
      </w:r>
      <w:r w:rsidRPr="0048775F">
        <w:rPr>
          <w:vertAlign w:val="superscript"/>
        </w:rPr>
        <w:fldChar w:fldCharType="separate"/>
      </w:r>
      <w:r w:rsidR="006E3734">
        <w:rPr>
          <w:vertAlign w:val="superscript"/>
        </w:rPr>
        <w:t>1</w:t>
      </w:r>
      <w:r w:rsidRPr="0048775F">
        <w:rPr>
          <w:vertAlign w:val="superscript"/>
        </w:rPr>
        <w:fldChar w:fldCharType="end"/>
      </w:r>
      <w:r>
        <w:t>,</w:t>
      </w:r>
      <w:r w:rsidRPr="00B708A5">
        <w:t xml:space="preserve"> </w:t>
      </w:r>
      <w:r>
        <w:rPr>
          <w:rFonts w:cs="Arial"/>
        </w:rPr>
        <w:t>agreed</w:t>
      </w:r>
      <w:r w:rsidRPr="0089570C">
        <w:t xml:space="preserve"> </w:t>
      </w:r>
      <w:r>
        <w:t>to revise</w:t>
      </w:r>
      <w:r w:rsidRPr="0089570C">
        <w:t xml:space="preserve"> document TGP/15 to clarify that it </w:t>
      </w:r>
      <w:r>
        <w:t>was</w:t>
      </w:r>
      <w:r w:rsidRPr="0089570C">
        <w:t xml:space="preserve"> the responsibility of the authority to decide on the reliability of the link between the gene and the expression of the characte</w:t>
      </w:r>
      <w:r>
        <w:t>ristic (s</w:t>
      </w:r>
      <w:r w:rsidRPr="008F7048">
        <w:t xml:space="preserve">ee document </w:t>
      </w:r>
      <w:hyperlink r:id="rId15" w:history="1">
        <w:r w:rsidR="00E3098E">
          <w:rPr>
            <w:rStyle w:val="Hyperlink"/>
            <w:lang w:val="fr-FR"/>
          </w:rPr>
          <w:t>TC/54/31 Corr.</w:t>
        </w:r>
      </w:hyperlink>
      <w:r>
        <w:t xml:space="preserve"> “Report”, paragraphs 272 and 273).</w:t>
      </w:r>
    </w:p>
    <w:p w:rsidR="009D162E" w:rsidRPr="00A8721B" w:rsidRDefault="009D162E" w:rsidP="009D162E">
      <w:pPr>
        <w:rPr>
          <w:rFonts w:cs="Arial"/>
          <w:highlight w:val="yellow"/>
        </w:rPr>
      </w:pPr>
    </w:p>
    <w:p w:rsidR="00D14E8F" w:rsidRDefault="00D14E8F" w:rsidP="00B43485">
      <w:r>
        <w:rPr>
          <w:rFonts w:cs="Arial"/>
        </w:rPr>
        <w:fldChar w:fldCharType="begin"/>
      </w:r>
      <w:r>
        <w:rPr>
          <w:rFonts w:cs="Arial"/>
        </w:rPr>
        <w:instrText xml:space="preserve"> AUTONUM  </w:instrText>
      </w:r>
      <w:r>
        <w:rPr>
          <w:rFonts w:cs="Arial"/>
        </w:rPr>
        <w:fldChar w:fldCharType="end"/>
      </w:r>
      <w:r>
        <w:rPr>
          <w:rFonts w:cs="Arial"/>
        </w:rPr>
        <w:tab/>
      </w:r>
      <w:r w:rsidR="009D162E">
        <w:t xml:space="preserve">The TC, at its fifty-fourth session, </w:t>
      </w:r>
      <w:r w:rsidR="00B43485">
        <w:t xml:space="preserve">further </w:t>
      </w:r>
      <w:r>
        <w:t xml:space="preserve">agreed with the inclusion of a new model </w:t>
      </w:r>
      <w:r w:rsidR="00B43485">
        <w:t xml:space="preserve">“Genetic selection of similar varieties for the first growing cycle: example French Bean” </w:t>
      </w:r>
      <w:r>
        <w:t xml:space="preserve">in document TGP/15 for using biochemical and molecular markers in the examination of Distinctness, Uniformity and Stability (DUS) </w:t>
      </w:r>
      <w:r w:rsidR="00B43485">
        <w:t>on the basis of document TGP/15/2 Draft 1</w:t>
      </w:r>
      <w:r w:rsidR="001F0A16">
        <w:t>, as</w:t>
      </w:r>
      <w:r w:rsidR="00B43485">
        <w:t xml:space="preserve"> revised by the TC-EDC, as set out in Annex III to document </w:t>
      </w:r>
      <w:hyperlink r:id="rId16" w:history="1">
        <w:r w:rsidR="00E3098E">
          <w:rPr>
            <w:rStyle w:val="Hyperlink"/>
            <w:lang w:val="fr-FR"/>
          </w:rPr>
          <w:t>TC/54/31 </w:t>
        </w:r>
        <w:r w:rsidR="00E3098E">
          <w:rPr>
            <w:rStyle w:val="Hyperlink"/>
            <w:lang w:val="fr-FR"/>
          </w:rPr>
          <w:t>Corr.</w:t>
        </w:r>
      </w:hyperlink>
      <w:r w:rsidR="00B43485">
        <w:t xml:space="preserve"> “Report” </w:t>
      </w:r>
      <w:r>
        <w:t>(s</w:t>
      </w:r>
      <w:r w:rsidRPr="008F7048">
        <w:t xml:space="preserve">ee document </w:t>
      </w:r>
      <w:hyperlink r:id="rId17" w:history="1">
        <w:r w:rsidR="00E3098E">
          <w:rPr>
            <w:rStyle w:val="Hyperlink"/>
            <w:lang w:val="fr-FR"/>
          </w:rPr>
          <w:t>TC/54/31 Corr.</w:t>
        </w:r>
      </w:hyperlink>
      <w:r>
        <w:t xml:space="preserve"> “Report”, paragraphs 290 and 291).</w:t>
      </w:r>
    </w:p>
    <w:p w:rsidR="008966F7" w:rsidRDefault="008966F7" w:rsidP="008966F7"/>
    <w:p w:rsidR="00B43485" w:rsidRDefault="00B43485" w:rsidP="00B43485">
      <w:pPr>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On the above basis, the TC agreed that a revision of document TGP/15/1 (document TGP/15/2 Draft 2) should be put forward for adoption by the Council at its fifty-third ordinary session, subject to the approval of the CAJ at its seventy-sixth session</w:t>
      </w:r>
      <w:r w:rsidRPr="000B0411">
        <w:rPr>
          <w:spacing w:val="-2"/>
          <w:vertAlign w:val="superscript"/>
        </w:rPr>
        <w:fldChar w:fldCharType="begin"/>
      </w:r>
      <w:r w:rsidRPr="000B0411">
        <w:rPr>
          <w:spacing w:val="-2"/>
          <w:vertAlign w:val="superscript"/>
        </w:rPr>
        <w:instrText xml:space="preserve"> NOTEREF _Ref13509809 \h </w:instrText>
      </w:r>
      <w:r>
        <w:rPr>
          <w:spacing w:val="-2"/>
          <w:vertAlign w:val="superscript"/>
        </w:rPr>
        <w:instrText xml:space="preserve"> \* MERGEFORMAT </w:instrText>
      </w:r>
      <w:r w:rsidRPr="000B0411">
        <w:rPr>
          <w:spacing w:val="-2"/>
          <w:vertAlign w:val="superscript"/>
        </w:rPr>
      </w:r>
      <w:r w:rsidRPr="000B0411">
        <w:rPr>
          <w:spacing w:val="-2"/>
          <w:vertAlign w:val="superscript"/>
        </w:rPr>
        <w:fldChar w:fldCharType="separate"/>
      </w:r>
      <w:r w:rsidR="006E3734">
        <w:rPr>
          <w:spacing w:val="-2"/>
          <w:vertAlign w:val="superscript"/>
        </w:rPr>
        <w:t>2</w:t>
      </w:r>
      <w:r w:rsidRPr="000B0411">
        <w:rPr>
          <w:spacing w:val="-2"/>
          <w:vertAlign w:val="superscript"/>
        </w:rPr>
        <w:fldChar w:fldCharType="end"/>
      </w:r>
      <w:r>
        <w:rPr>
          <w:spacing w:val="-2"/>
        </w:rPr>
        <w:t>.</w:t>
      </w:r>
    </w:p>
    <w:p w:rsidR="00B43485" w:rsidRDefault="00B43485" w:rsidP="00B43485">
      <w:pPr>
        <w:rPr>
          <w:spacing w:val="-2"/>
        </w:rPr>
      </w:pPr>
    </w:p>
    <w:p w:rsidR="00B43485" w:rsidRDefault="00B43485" w:rsidP="00B43485">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The French, German and Spanish translations of the original English text have been checked by the relevant members of the Editorial Committee prior to submission of the draft of document TGP/15/2 to the Council.  Document TGP/15/2 Draft 2 incorporates the amendments agreed by the TC, as presented in Annex V to this document, and the linguistic changes made by the relevant members of the Editorial Committee.</w:t>
      </w:r>
    </w:p>
    <w:p w:rsidR="00B43485" w:rsidRDefault="00B43485" w:rsidP="00B43485">
      <w:pPr>
        <w:rPr>
          <w:bCs/>
          <w:snapToGrid w:val="0"/>
          <w:szCs w:val="24"/>
        </w:rPr>
      </w:pPr>
    </w:p>
    <w:p w:rsidR="005B0157" w:rsidRDefault="00D14E8F" w:rsidP="00D14E8F">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t>A report on the conclusions of the TC, at its fifty-fifth session</w:t>
      </w:r>
      <w:r w:rsidR="005C3142" w:rsidRPr="000B0411">
        <w:rPr>
          <w:spacing w:val="-2"/>
          <w:vertAlign w:val="superscript"/>
        </w:rPr>
        <w:fldChar w:fldCharType="begin"/>
      </w:r>
      <w:r w:rsidR="005C3142" w:rsidRPr="000B0411">
        <w:rPr>
          <w:spacing w:val="-2"/>
          <w:vertAlign w:val="superscript"/>
        </w:rPr>
        <w:instrText xml:space="preserve"> NOTEREF _Ref13509977 \h </w:instrText>
      </w:r>
      <w:r w:rsidR="005C3142">
        <w:rPr>
          <w:spacing w:val="-2"/>
          <w:vertAlign w:val="superscript"/>
        </w:rPr>
        <w:instrText xml:space="preserve"> \* MERGEFORMAT </w:instrText>
      </w:r>
      <w:r w:rsidR="005C3142" w:rsidRPr="000B0411">
        <w:rPr>
          <w:spacing w:val="-2"/>
          <w:vertAlign w:val="superscript"/>
        </w:rPr>
      </w:r>
      <w:r w:rsidR="005C3142" w:rsidRPr="000B0411">
        <w:rPr>
          <w:spacing w:val="-2"/>
          <w:vertAlign w:val="superscript"/>
        </w:rPr>
        <w:fldChar w:fldCharType="separate"/>
      </w:r>
      <w:r w:rsidR="006E3734">
        <w:rPr>
          <w:spacing w:val="-2"/>
          <w:vertAlign w:val="superscript"/>
        </w:rPr>
        <w:t>3</w:t>
      </w:r>
      <w:r w:rsidR="005C3142" w:rsidRPr="000B0411">
        <w:rPr>
          <w:spacing w:val="-2"/>
          <w:vertAlign w:val="superscript"/>
        </w:rPr>
        <w:fldChar w:fldCharType="end"/>
      </w:r>
      <w:r w:rsidRPr="00E11AC8">
        <w:rPr>
          <w:spacing w:val="-2"/>
        </w:rPr>
        <w:t xml:space="preserve">, </w:t>
      </w:r>
      <w:r w:rsidRPr="00E11CE2">
        <w:t>and on the conclusions of the CAJ, at its seventy</w:t>
      </w:r>
      <w:r w:rsidRPr="00E11CE2">
        <w:noBreakHyphen/>
        <w:t>sixth session</w:t>
      </w:r>
      <w:r w:rsidR="005C3142" w:rsidRPr="000B0411">
        <w:rPr>
          <w:vertAlign w:val="superscript"/>
        </w:rPr>
        <w:fldChar w:fldCharType="begin"/>
      </w:r>
      <w:r w:rsidR="005C3142" w:rsidRPr="000B0411">
        <w:rPr>
          <w:vertAlign w:val="superscript"/>
        </w:rPr>
        <w:instrText xml:space="preserve"> NOTEREF _Ref13509809 \h </w:instrText>
      </w:r>
      <w:r w:rsidR="005C3142">
        <w:rPr>
          <w:vertAlign w:val="superscript"/>
        </w:rPr>
        <w:instrText xml:space="preserve"> \* MERGEFORMAT </w:instrText>
      </w:r>
      <w:r w:rsidR="005C3142" w:rsidRPr="000B0411">
        <w:rPr>
          <w:vertAlign w:val="superscript"/>
        </w:rPr>
      </w:r>
      <w:r w:rsidR="005C3142" w:rsidRPr="000B0411">
        <w:rPr>
          <w:vertAlign w:val="superscript"/>
        </w:rPr>
        <w:fldChar w:fldCharType="separate"/>
      </w:r>
      <w:r w:rsidR="006E3734">
        <w:rPr>
          <w:vertAlign w:val="superscript"/>
        </w:rPr>
        <w:t>2</w:t>
      </w:r>
      <w:r w:rsidR="005C3142" w:rsidRPr="000B0411">
        <w:rPr>
          <w:vertAlign w:val="superscript"/>
        </w:rPr>
        <w:fldChar w:fldCharType="end"/>
      </w:r>
      <w:r w:rsidRPr="00E11CE2">
        <w:t xml:space="preserve">, </w:t>
      </w:r>
      <w:r w:rsidRPr="00A32BED">
        <w:t>concerning t</w:t>
      </w:r>
      <w:r>
        <w:t>he proposals to revise document </w:t>
      </w:r>
      <w:r w:rsidRPr="0022778F">
        <w:rPr>
          <w:spacing w:val="-2"/>
        </w:rPr>
        <w:t>TGP/15/1</w:t>
      </w:r>
      <w:r w:rsidRPr="00A32BED">
        <w:t xml:space="preserve">, </w:t>
      </w:r>
      <w:r w:rsidRPr="00E11CE2">
        <w:t xml:space="preserve">will be made to the Council at </w:t>
      </w:r>
      <w:r w:rsidRPr="00EF5FE8">
        <w:t>its fifty</w:t>
      </w:r>
      <w:r w:rsidRPr="00EF5FE8">
        <w:noBreakHyphen/>
        <w:t>third ordinary session (see documents TC/55/[</w:t>
      </w:r>
      <w:r w:rsidR="005C3142" w:rsidRPr="00EF5FE8">
        <w:t>xx</w:t>
      </w:r>
      <w:r w:rsidRPr="00EF5FE8">
        <w:t>] “Report” and CAJ/76/[</w:t>
      </w:r>
      <w:r w:rsidR="005C3142" w:rsidRPr="00EF5FE8">
        <w:t>xx</w:t>
      </w:r>
      <w:r w:rsidRPr="00EF5FE8">
        <w:t>] “Report”).</w:t>
      </w:r>
      <w:r w:rsidRPr="00E11CE2">
        <w:t xml:space="preserve"> </w:t>
      </w:r>
    </w:p>
    <w:p w:rsidR="005B0157" w:rsidRDefault="005B0157" w:rsidP="00D14E8F"/>
    <w:p w:rsidR="002C7C01" w:rsidRPr="00294914" w:rsidRDefault="002C7C01" w:rsidP="002C7C01">
      <w:pPr>
        <w:pStyle w:val="DecisionParagraphs"/>
      </w:pPr>
      <w:r w:rsidRPr="00254FA7">
        <w:fldChar w:fldCharType="begin"/>
      </w:r>
      <w:r w:rsidRPr="00254FA7">
        <w:instrText xml:space="preserve"> AUTONUM  </w:instrText>
      </w:r>
      <w:r w:rsidRPr="00254FA7">
        <w:fldChar w:fldCharType="end"/>
      </w:r>
      <w:r w:rsidRPr="00254FA7">
        <w:tab/>
        <w:t xml:space="preserve">The Council is invited </w:t>
      </w:r>
      <w:r>
        <w:t>to adopt a revision of document TGP/15</w:t>
      </w:r>
      <w:r w:rsidRPr="002C7C01">
        <w:t xml:space="preserve"> “Guidance on the use of Biochemical and Molecular Markers in the examination of Distinctness, Uniformity and Stability (DUS)” </w:t>
      </w:r>
      <w:r>
        <w:t>(docume</w:t>
      </w:r>
      <w:r w:rsidR="00BF0B0F">
        <w:t xml:space="preserve">nt </w:t>
      </w:r>
      <w:r>
        <w:t>TGP/15/1</w:t>
      </w:r>
      <w:r w:rsidRPr="00254FA7">
        <w:t>)</w:t>
      </w:r>
      <w:r w:rsidR="00BF0B0F">
        <w:t>, on the basis of document TGP/15/2 </w:t>
      </w:r>
      <w:r>
        <w:t>Draft 2</w:t>
      </w:r>
      <w:r w:rsidRPr="00254FA7">
        <w:t xml:space="preserve">, taking into account the conclusions of the </w:t>
      </w:r>
      <w:r w:rsidR="005C3142">
        <w:t>TC at its fifty-fifth session, and of the </w:t>
      </w:r>
      <w:r w:rsidRPr="00254FA7">
        <w:t>CAJ, at its seventy-</w:t>
      </w:r>
      <w:r>
        <w:t>sixth</w:t>
      </w:r>
      <w:r w:rsidRPr="00254FA7">
        <w:t xml:space="preserve"> session.</w:t>
      </w:r>
      <w:r>
        <w:t xml:space="preserve"> </w:t>
      </w:r>
    </w:p>
    <w:p w:rsidR="002C7C01" w:rsidRDefault="002C7C01" w:rsidP="003D0EB7">
      <w:pPr>
        <w:jc w:val="left"/>
      </w:pPr>
    </w:p>
    <w:p w:rsidR="003D0EB7" w:rsidRPr="003D0EB7" w:rsidRDefault="003D0EB7" w:rsidP="003D0EB7">
      <w:pPr>
        <w:jc w:val="left"/>
      </w:pPr>
    </w:p>
    <w:p w:rsidR="003D0EB7" w:rsidRPr="003D0EB7" w:rsidRDefault="003D0EB7" w:rsidP="003D0EB7">
      <w:pPr>
        <w:jc w:val="left"/>
        <w:rPr>
          <w:bCs/>
          <w:snapToGrid w:val="0"/>
          <w:szCs w:val="24"/>
          <w:u w:val="single"/>
        </w:rPr>
      </w:pPr>
      <w:r>
        <w:rPr>
          <w:bCs/>
          <w:snapToGrid w:val="0"/>
          <w:szCs w:val="24"/>
          <w:u w:val="single"/>
        </w:rPr>
        <w:t xml:space="preserve">TGP/0:  </w:t>
      </w:r>
      <w:r w:rsidRPr="003D0EB7">
        <w:rPr>
          <w:bCs/>
          <w:snapToGrid w:val="0"/>
          <w:szCs w:val="24"/>
          <w:u w:val="single"/>
        </w:rPr>
        <w:t xml:space="preserve">List of TGP documents and latest issue dates (Revision) (document TGP/0/11 Draft 1) </w:t>
      </w:r>
    </w:p>
    <w:p w:rsidR="004F45B7" w:rsidRDefault="004F45B7" w:rsidP="004F45B7">
      <w:pPr>
        <w:keepNext/>
      </w:pPr>
    </w:p>
    <w:p w:rsidR="004F45B7" w:rsidRPr="0015114A" w:rsidRDefault="004F45B7" w:rsidP="004F45B7">
      <w:pPr>
        <w:keepNext/>
        <w:rPr>
          <w:rFonts w:cs="Arial"/>
        </w:rPr>
      </w:pPr>
      <w:r w:rsidRPr="00A06E76">
        <w:fldChar w:fldCharType="begin"/>
      </w:r>
      <w:r w:rsidRPr="00A06E76">
        <w:instrText xml:space="preserve"> AUTONUM  </w:instrText>
      </w:r>
      <w:r w:rsidRPr="00A06E76">
        <w:fldChar w:fldCharType="end"/>
      </w:r>
      <w:r w:rsidRPr="00A06E76">
        <w:tab/>
        <w:t>In conjunction with</w:t>
      </w:r>
      <w:r w:rsidRPr="0015114A">
        <w:t xml:space="preserve"> the adoption of the revised TGP documents </w:t>
      </w:r>
      <w:r w:rsidRPr="0015114A">
        <w:rPr>
          <w:lang w:eastAsia="zh-CN"/>
        </w:rPr>
        <w:t xml:space="preserve">at the </w:t>
      </w:r>
      <w:r w:rsidRPr="0015114A">
        <w:t>fifty</w:t>
      </w:r>
      <w:r w:rsidRPr="0015114A">
        <w:noBreakHyphen/>
      </w:r>
      <w:r w:rsidR="00A06E76">
        <w:t>third</w:t>
      </w:r>
      <w:r w:rsidRPr="0015114A">
        <w:t> </w:t>
      </w:r>
      <w:r w:rsidRPr="0015114A">
        <w:rPr>
          <w:lang w:eastAsia="zh-CN"/>
        </w:rPr>
        <w:t>ordinary session of the</w:t>
      </w:r>
      <w:r w:rsidR="005C3142">
        <w:rPr>
          <w:lang w:eastAsia="zh-CN"/>
        </w:rPr>
        <w:t> </w:t>
      </w:r>
      <w:r w:rsidRPr="0015114A">
        <w:rPr>
          <w:lang w:eastAsia="zh-CN"/>
        </w:rPr>
        <w:t>Council</w:t>
      </w:r>
      <w:r w:rsidRPr="0015114A">
        <w:t>, it is proposed to adop</w:t>
      </w:r>
      <w:r w:rsidR="00A06E76">
        <w:t>t a revision of document TGP/0/10</w:t>
      </w:r>
      <w:r w:rsidRPr="0015114A">
        <w:t xml:space="preserve"> </w:t>
      </w:r>
      <w:r w:rsidRPr="0015114A">
        <w:rPr>
          <w:lang w:eastAsia="zh-CN"/>
        </w:rPr>
        <w:t>“List of TGP documents and latest</w:t>
      </w:r>
      <w:r w:rsidR="00A06E76">
        <w:rPr>
          <w:lang w:eastAsia="zh-CN"/>
        </w:rPr>
        <w:t xml:space="preserve"> issue dates” (document TGP/0/11</w:t>
      </w:r>
      <w:r w:rsidRPr="0015114A">
        <w:rPr>
          <w:lang w:eastAsia="zh-CN"/>
        </w:rPr>
        <w:t xml:space="preserve">) </w:t>
      </w:r>
      <w:r w:rsidRPr="0015114A">
        <w:t>o</w:t>
      </w:r>
      <w:r w:rsidR="00A06E76">
        <w:t>n the basis of document TGP/0/11</w:t>
      </w:r>
      <w:r w:rsidRPr="0015114A">
        <w:t> Draft 1</w:t>
      </w:r>
      <w:r w:rsidRPr="0015114A">
        <w:rPr>
          <w:rFonts w:cs="Arial"/>
        </w:rPr>
        <w:t>.</w:t>
      </w:r>
    </w:p>
    <w:p w:rsidR="004F45B7" w:rsidRPr="0015114A" w:rsidRDefault="004F45B7" w:rsidP="004F45B7"/>
    <w:p w:rsidR="004F45B7" w:rsidRDefault="004F45B7" w:rsidP="004F45B7">
      <w:pPr>
        <w:tabs>
          <w:tab w:val="left" w:pos="5387"/>
          <w:tab w:val="left" w:pos="5954"/>
        </w:tabs>
        <w:ind w:left="4820"/>
      </w:pPr>
      <w:r w:rsidRPr="0015114A">
        <w:rPr>
          <w:i/>
        </w:rPr>
        <w:fldChar w:fldCharType="begin"/>
      </w:r>
      <w:r w:rsidRPr="0015114A">
        <w:rPr>
          <w:i/>
        </w:rPr>
        <w:instrText xml:space="preserve"> AUTONUM  </w:instrText>
      </w:r>
      <w:r w:rsidRPr="0015114A">
        <w:rPr>
          <w:i/>
        </w:rPr>
        <w:fldChar w:fldCharType="end"/>
      </w:r>
      <w:r w:rsidRPr="0015114A">
        <w:rPr>
          <w:i/>
        </w:rPr>
        <w:tab/>
        <w:t xml:space="preserve">The Council is invited to adopt a revision </w:t>
      </w:r>
      <w:r w:rsidRPr="0015114A">
        <w:rPr>
          <w:i/>
        </w:rPr>
        <w:br/>
      </w:r>
      <w:r w:rsidRPr="0015114A">
        <w:t xml:space="preserve">of </w:t>
      </w:r>
      <w:r w:rsidRPr="0015114A">
        <w:rPr>
          <w:rFonts w:cs="Arial"/>
          <w:i/>
        </w:rPr>
        <w:t xml:space="preserve">document TGP/0 “List of TGP documents and latest issue dates” (document TGP/0/10) on the basis of </w:t>
      </w:r>
      <w:r w:rsidR="00A06E76" w:rsidRPr="00A06E76">
        <w:rPr>
          <w:rFonts w:cs="Arial"/>
          <w:i/>
        </w:rPr>
        <w:t>document TGP/0/11</w:t>
      </w:r>
      <w:r w:rsidRPr="00A06E76">
        <w:rPr>
          <w:rFonts w:cs="Arial"/>
          <w:i/>
        </w:rPr>
        <w:t xml:space="preserve"> Draft 1.</w:t>
      </w:r>
      <w:r>
        <w:t xml:space="preserve"> </w:t>
      </w:r>
    </w:p>
    <w:p w:rsidR="004F45B7" w:rsidRDefault="004F45B7" w:rsidP="004F45B7">
      <w:pPr>
        <w:rPr>
          <w:snapToGrid w:val="0"/>
        </w:rPr>
      </w:pPr>
    </w:p>
    <w:p w:rsidR="00380AD5" w:rsidRDefault="00380AD5" w:rsidP="004F45B7">
      <w:pPr>
        <w:rPr>
          <w:snapToGrid w:val="0"/>
        </w:rPr>
      </w:pPr>
    </w:p>
    <w:p w:rsidR="00AE7C50" w:rsidRDefault="00AE7C50" w:rsidP="004F45B7">
      <w:pPr>
        <w:rPr>
          <w:snapToGrid w:val="0"/>
        </w:rPr>
      </w:pPr>
    </w:p>
    <w:p w:rsidR="00E3098E" w:rsidRDefault="00E3098E">
      <w:pPr>
        <w:jc w:val="left"/>
        <w:rPr>
          <w:caps/>
          <w:snapToGrid w:val="0"/>
        </w:rPr>
      </w:pPr>
      <w:r>
        <w:rPr>
          <w:snapToGrid w:val="0"/>
        </w:rPr>
        <w:br w:type="page"/>
      </w:r>
    </w:p>
    <w:p w:rsidR="004F45B7" w:rsidRPr="00F158AB" w:rsidRDefault="004F45B7" w:rsidP="00E325A2">
      <w:pPr>
        <w:pStyle w:val="Heading1"/>
        <w:rPr>
          <w:snapToGrid w:val="0"/>
        </w:rPr>
      </w:pPr>
      <w:r>
        <w:rPr>
          <w:snapToGrid w:val="0"/>
        </w:rPr>
        <w:lastRenderedPageBreak/>
        <w:t>Information documents</w:t>
      </w:r>
    </w:p>
    <w:p w:rsidR="004F45B7" w:rsidRDefault="004F45B7" w:rsidP="00E325A2">
      <w:pPr>
        <w:keepNext/>
        <w:rPr>
          <w:snapToGrid w:val="0"/>
        </w:rPr>
      </w:pPr>
    </w:p>
    <w:p w:rsidR="006850E3" w:rsidRPr="00AB501B" w:rsidRDefault="006850E3" w:rsidP="006850E3">
      <w:pPr>
        <w:jc w:val="left"/>
        <w:rPr>
          <w:bCs/>
          <w:snapToGrid w:val="0"/>
          <w:szCs w:val="24"/>
          <w:u w:val="single"/>
        </w:rPr>
      </w:pPr>
      <w:r>
        <w:rPr>
          <w:bCs/>
          <w:snapToGrid w:val="0"/>
          <w:szCs w:val="24"/>
          <w:u w:val="single"/>
        </w:rPr>
        <w:t xml:space="preserve">UPOV/INF/5:  </w:t>
      </w:r>
      <w:r w:rsidRPr="006850E3">
        <w:rPr>
          <w:bCs/>
          <w:snapToGrid w:val="0"/>
          <w:szCs w:val="24"/>
          <w:u w:val="single"/>
        </w:rPr>
        <w:t xml:space="preserve">UPOV Model Plant Breeders’ Rights Publication (Revision) </w:t>
      </w:r>
      <w:r w:rsidRPr="00AB501B">
        <w:rPr>
          <w:bCs/>
          <w:snapToGrid w:val="0"/>
          <w:szCs w:val="24"/>
          <w:u w:val="single"/>
        </w:rPr>
        <w:t>(</w:t>
      </w:r>
      <w:r w:rsidRPr="006850E3">
        <w:rPr>
          <w:bCs/>
          <w:snapToGrid w:val="0"/>
          <w:szCs w:val="24"/>
          <w:u w:val="single"/>
        </w:rPr>
        <w:t>document UPOV/INF/5/2 Draft 2</w:t>
      </w:r>
      <w:r w:rsidRPr="00AB501B">
        <w:rPr>
          <w:bCs/>
          <w:snapToGrid w:val="0"/>
          <w:szCs w:val="24"/>
          <w:u w:val="single"/>
        </w:rPr>
        <w:t>)</w:t>
      </w:r>
      <w:r>
        <w:rPr>
          <w:bCs/>
          <w:snapToGrid w:val="0"/>
          <w:szCs w:val="24"/>
          <w:u w:val="single"/>
        </w:rPr>
        <w:t xml:space="preserve">  </w:t>
      </w:r>
    </w:p>
    <w:p w:rsidR="006850E3" w:rsidRDefault="006850E3" w:rsidP="004F45B7">
      <w:pPr>
        <w:rPr>
          <w:snapToGrid w:val="0"/>
        </w:rPr>
      </w:pPr>
    </w:p>
    <w:p w:rsidR="00AE7C50" w:rsidRDefault="009B2162" w:rsidP="009B2162">
      <w:pPr>
        <w:rPr>
          <w:rFonts w:eastAsia="SimSun"/>
          <w:snapToGrid w:val="0"/>
          <w:lang w:eastAsia="ja-JP"/>
        </w:rPr>
      </w:pPr>
      <w:r w:rsidRPr="001971D3">
        <w:rPr>
          <w:i/>
          <w:spacing w:val="-2"/>
        </w:rPr>
        <w:fldChar w:fldCharType="begin"/>
      </w:r>
      <w:r w:rsidRPr="001971D3">
        <w:rPr>
          <w:spacing w:val="-2"/>
        </w:rPr>
        <w:instrText xml:space="preserve"> AUTONUM  </w:instrText>
      </w:r>
      <w:r w:rsidRPr="001971D3">
        <w:rPr>
          <w:i/>
          <w:spacing w:val="-2"/>
        </w:rPr>
        <w:fldChar w:fldCharType="end"/>
      </w:r>
      <w:r w:rsidRPr="001971D3">
        <w:rPr>
          <w:spacing w:val="-2"/>
        </w:rPr>
        <w:tab/>
      </w:r>
      <w:r w:rsidRPr="005417CA">
        <w:rPr>
          <w:spacing w:val="-2"/>
        </w:rPr>
        <w:t>The CAJ</w:t>
      </w:r>
      <w:r>
        <w:rPr>
          <w:spacing w:val="-2"/>
        </w:rPr>
        <w:t xml:space="preserve">, </w:t>
      </w:r>
      <w:r>
        <w:t xml:space="preserve">at its </w:t>
      </w:r>
      <w:r w:rsidRPr="009B2162">
        <w:t xml:space="preserve">seventy-fifth </w:t>
      </w:r>
      <w:r>
        <w:t>session</w:t>
      </w:r>
      <w:r w:rsidR="005B0157">
        <w:rPr>
          <w:rStyle w:val="FootnoteReference"/>
        </w:rPr>
        <w:footnoteReference w:id="6"/>
      </w:r>
      <w:r>
        <w:t xml:space="preserve">, </w:t>
      </w:r>
      <w:r>
        <w:rPr>
          <w:rFonts w:eastAsia="SimSun"/>
          <w:snapToGrid w:val="0"/>
          <w:lang w:eastAsia="ja-JP"/>
        </w:rPr>
        <w:t>approved the</w:t>
      </w:r>
      <w:r w:rsidRPr="005417CA">
        <w:rPr>
          <w:rFonts w:eastAsia="SimSun"/>
          <w:snapToGrid w:val="0"/>
          <w:lang w:eastAsia="ja-JP"/>
        </w:rPr>
        <w:t xml:space="preserve"> </w:t>
      </w:r>
      <w:r>
        <w:rPr>
          <w:rFonts w:eastAsia="SimSun"/>
          <w:snapToGrid w:val="0"/>
          <w:lang w:eastAsia="ja-JP"/>
        </w:rPr>
        <w:t>revision</w:t>
      </w:r>
      <w:r w:rsidRPr="005417CA">
        <w:rPr>
          <w:rFonts w:eastAsia="SimSun"/>
          <w:snapToGrid w:val="0"/>
          <w:lang w:eastAsia="ja-JP"/>
        </w:rPr>
        <w:t xml:space="preserve"> to document UPOV/INF/5 “UPOV Model Plant Breeders’ Rights Gaz</w:t>
      </w:r>
      <w:r w:rsidR="001C29A3">
        <w:rPr>
          <w:rFonts w:eastAsia="SimSun"/>
          <w:snapToGrid w:val="0"/>
          <w:lang w:eastAsia="ja-JP"/>
        </w:rPr>
        <w:t>ette”, as presented in document</w:t>
      </w:r>
      <w:r w:rsidR="005B0157">
        <w:rPr>
          <w:rFonts w:eastAsia="SimSun"/>
          <w:snapToGrid w:val="0"/>
          <w:lang w:eastAsia="ja-JP"/>
        </w:rPr>
        <w:t xml:space="preserve"> UPOV/INF/5/2 Draft </w:t>
      </w:r>
      <w:r w:rsidRPr="005417CA">
        <w:rPr>
          <w:rFonts w:eastAsia="SimSun"/>
          <w:snapToGrid w:val="0"/>
          <w:lang w:eastAsia="ja-JP"/>
        </w:rPr>
        <w:t>1 “UPOV Model Plant Breeders’ Rights Publication (Revision)</w:t>
      </w:r>
      <w:r>
        <w:t xml:space="preserve">.  The CAJ agreed to present the revision of </w:t>
      </w:r>
      <w:r w:rsidRPr="005417CA">
        <w:rPr>
          <w:rFonts w:eastAsia="SimSun"/>
          <w:snapToGrid w:val="0"/>
          <w:lang w:eastAsia="ja-JP"/>
        </w:rPr>
        <w:t>document UPOV/INF/5</w:t>
      </w:r>
      <w:r>
        <w:rPr>
          <w:rFonts w:eastAsia="SimSun"/>
          <w:snapToGrid w:val="0"/>
          <w:lang w:eastAsia="ja-JP"/>
        </w:rPr>
        <w:t xml:space="preserve">, on the basis of </w:t>
      </w:r>
      <w:r w:rsidR="00EE045D">
        <w:rPr>
          <w:rFonts w:eastAsia="SimSun"/>
          <w:snapToGrid w:val="0"/>
          <w:lang w:eastAsia="ja-JP"/>
        </w:rPr>
        <w:t>document UPOV/INF/5/2</w:t>
      </w:r>
      <w:r w:rsidR="005B0157">
        <w:rPr>
          <w:rFonts w:eastAsia="SimSun"/>
          <w:snapToGrid w:val="0"/>
          <w:lang w:eastAsia="ja-JP"/>
        </w:rPr>
        <w:t> Draft </w:t>
      </w:r>
      <w:r w:rsidR="00EE045D">
        <w:rPr>
          <w:rFonts w:eastAsia="SimSun"/>
          <w:snapToGrid w:val="0"/>
          <w:lang w:eastAsia="ja-JP"/>
        </w:rPr>
        <w:t>2 “UPOV </w:t>
      </w:r>
      <w:r w:rsidR="00EE045D" w:rsidRPr="00EE045D">
        <w:rPr>
          <w:rFonts w:eastAsia="SimSun"/>
          <w:snapToGrid w:val="0"/>
          <w:lang w:eastAsia="ja-JP"/>
        </w:rPr>
        <w:t>Model Plant Breeders’ Rights Publication</w:t>
      </w:r>
      <w:r w:rsidR="00EE045D">
        <w:rPr>
          <w:rFonts w:eastAsia="SimSun"/>
          <w:snapToGrid w:val="0"/>
          <w:lang w:eastAsia="ja-JP"/>
        </w:rPr>
        <w:t>”,</w:t>
      </w:r>
      <w:r>
        <w:rPr>
          <w:rFonts w:eastAsia="SimSun"/>
          <w:snapToGrid w:val="0"/>
          <w:lang w:eastAsia="ja-JP"/>
        </w:rPr>
        <w:t xml:space="preserve"> for adoption by the Council in 2019</w:t>
      </w:r>
      <w:r w:rsidR="001C29A3">
        <w:rPr>
          <w:rFonts w:eastAsia="SimSun"/>
          <w:snapToGrid w:val="0"/>
          <w:lang w:eastAsia="ja-JP"/>
        </w:rPr>
        <w:t xml:space="preserve"> </w:t>
      </w:r>
      <w:r w:rsidR="001C29A3">
        <w:t xml:space="preserve">(see document </w:t>
      </w:r>
      <w:hyperlink r:id="rId18" w:history="1">
        <w:r w:rsidR="001C29A3" w:rsidRPr="00E42843">
          <w:rPr>
            <w:rStyle w:val="Hyperlink"/>
          </w:rPr>
          <w:t>CAJ/75/14</w:t>
        </w:r>
      </w:hyperlink>
      <w:bookmarkStart w:id="7" w:name="_GoBack"/>
      <w:bookmarkEnd w:id="7"/>
      <w:r w:rsidR="001C29A3">
        <w:t xml:space="preserve"> “Report”, paragraph 27)</w:t>
      </w:r>
      <w:r>
        <w:rPr>
          <w:rFonts w:eastAsia="SimSun"/>
          <w:snapToGrid w:val="0"/>
          <w:lang w:eastAsia="ja-JP"/>
        </w:rPr>
        <w:t>.</w:t>
      </w:r>
    </w:p>
    <w:p w:rsidR="00AE7C50" w:rsidRPr="00AE7C50" w:rsidRDefault="00AE7C50" w:rsidP="009B2162">
      <w:pPr>
        <w:rPr>
          <w:rFonts w:eastAsia="SimSun"/>
          <w:snapToGrid w:val="0"/>
          <w:lang w:eastAsia="ja-JP"/>
        </w:rPr>
      </w:pPr>
    </w:p>
    <w:p w:rsidR="00AE7C50" w:rsidRPr="00EF5FE8" w:rsidRDefault="00AE7C50" w:rsidP="00F6380E">
      <w:pPr>
        <w:keepLines/>
        <w:rPr>
          <w:i/>
          <w:spacing w:val="-2"/>
        </w:rPr>
      </w:pPr>
      <w:r w:rsidRPr="00EF5FE8">
        <w:rPr>
          <w:i/>
          <w:spacing w:val="-2"/>
        </w:rPr>
        <w:fldChar w:fldCharType="begin"/>
      </w:r>
      <w:r w:rsidRPr="00EF5FE8">
        <w:rPr>
          <w:spacing w:val="-2"/>
        </w:rPr>
        <w:instrText xml:space="preserve"> AUTONUM  </w:instrText>
      </w:r>
      <w:r w:rsidRPr="00EF5FE8">
        <w:rPr>
          <w:i/>
          <w:spacing w:val="-2"/>
        </w:rPr>
        <w:fldChar w:fldCharType="end"/>
      </w:r>
      <w:r w:rsidRPr="00EF5FE8">
        <w:rPr>
          <w:i/>
          <w:spacing w:val="-2"/>
        </w:rPr>
        <w:tab/>
      </w:r>
      <w:r w:rsidRPr="00EF5FE8">
        <w:rPr>
          <w:spacing w:val="-2"/>
        </w:rPr>
        <w:t xml:space="preserve">In the preparation of </w:t>
      </w:r>
      <w:r w:rsidRPr="00EF5FE8">
        <w:rPr>
          <w:rFonts w:eastAsia="SimSun"/>
          <w:snapToGrid w:val="0"/>
          <w:lang w:eastAsia="ja-JP"/>
        </w:rPr>
        <w:t xml:space="preserve">document UPOV/INF/5/2 Draft 2, the Office of the Union </w:t>
      </w:r>
      <w:r w:rsidR="00F6380E" w:rsidRPr="00EF5FE8">
        <w:rPr>
          <w:rFonts w:eastAsia="SimSun"/>
          <w:snapToGrid w:val="0"/>
          <w:lang w:eastAsia="ja-JP"/>
        </w:rPr>
        <w:t>noted that</w:t>
      </w:r>
      <w:r w:rsidR="00884300" w:rsidRPr="00EF5FE8">
        <w:rPr>
          <w:rFonts w:eastAsia="SimSun"/>
          <w:snapToGrid w:val="0"/>
          <w:lang w:eastAsia="ja-JP"/>
        </w:rPr>
        <w:t>,</w:t>
      </w:r>
      <w:r w:rsidR="00F6380E" w:rsidRPr="00EF5FE8">
        <w:rPr>
          <w:rFonts w:eastAsia="SimSun"/>
          <w:snapToGrid w:val="0"/>
          <w:lang w:eastAsia="ja-JP"/>
        </w:rPr>
        <w:t xml:space="preserve"> in section “Changes to variety denominations”, subsection “Changes to proposed variety denominations”, the title of the column “Variety Denomination” should read “Previous Proposed Variety Denomination”, in accordance with the column “Previous Variety Denomination” under subsection “Approvals of new variety denominations of protected varieties”.  This correction has been reflected i</w:t>
      </w:r>
      <w:r w:rsidR="00884300" w:rsidRPr="00EF5FE8">
        <w:rPr>
          <w:rFonts w:eastAsia="SimSun"/>
          <w:snapToGrid w:val="0"/>
          <w:lang w:eastAsia="ja-JP"/>
        </w:rPr>
        <w:t xml:space="preserve">n document UPOV/INF/5/2 Draft 2 </w:t>
      </w:r>
      <w:r w:rsidR="00AE6CAF" w:rsidRPr="00EF5FE8">
        <w:rPr>
          <w:rFonts w:eastAsia="SimSun"/>
          <w:snapToGrid w:val="0"/>
          <w:lang w:eastAsia="ja-JP"/>
        </w:rPr>
        <w:t>(</w:t>
      </w:r>
      <w:r w:rsidR="00884300" w:rsidRPr="00EF5FE8">
        <w:rPr>
          <w:rFonts w:eastAsia="SimSun"/>
          <w:snapToGrid w:val="0"/>
          <w:lang w:eastAsia="ja-JP"/>
        </w:rPr>
        <w:t>see endnote </w:t>
      </w:r>
      <w:proofErr w:type="spellStart"/>
      <w:r w:rsidR="00884300" w:rsidRPr="00EF5FE8">
        <w:rPr>
          <w:rFonts w:eastAsia="SimSun"/>
          <w:snapToGrid w:val="0"/>
          <w:lang w:eastAsia="ja-JP"/>
        </w:rPr>
        <w:t>i</w:t>
      </w:r>
      <w:proofErr w:type="spellEnd"/>
      <w:r w:rsidR="00AE6CAF" w:rsidRPr="00EF5FE8">
        <w:rPr>
          <w:rFonts w:eastAsia="SimSun"/>
          <w:snapToGrid w:val="0"/>
          <w:lang w:eastAsia="ja-JP"/>
        </w:rPr>
        <w:t>)</w:t>
      </w:r>
      <w:r w:rsidR="00884300" w:rsidRPr="00EF5FE8">
        <w:rPr>
          <w:rFonts w:eastAsia="SimSun"/>
          <w:snapToGrid w:val="0"/>
          <w:lang w:eastAsia="ja-JP"/>
        </w:rPr>
        <w:t xml:space="preserve">. </w:t>
      </w:r>
    </w:p>
    <w:p w:rsidR="00AE7C50" w:rsidRPr="00EF5FE8" w:rsidRDefault="00AE7C50" w:rsidP="009B2162">
      <w:pPr>
        <w:rPr>
          <w:rFonts w:eastAsia="SimSun"/>
          <w:snapToGrid w:val="0"/>
          <w:lang w:eastAsia="ja-JP"/>
        </w:rPr>
      </w:pPr>
    </w:p>
    <w:p w:rsidR="00807CB1" w:rsidRPr="00EF5FE8" w:rsidRDefault="004E3225" w:rsidP="00807CB1">
      <w:pPr>
        <w:pStyle w:val="DecisionParagraphs"/>
      </w:pPr>
      <w:r w:rsidRPr="00EF5FE8">
        <w:fldChar w:fldCharType="begin"/>
      </w:r>
      <w:r w:rsidRPr="00EF5FE8">
        <w:instrText xml:space="preserve"> AUTONUM  </w:instrText>
      </w:r>
      <w:r w:rsidRPr="00EF5FE8">
        <w:fldChar w:fldCharType="end"/>
      </w:r>
      <w:r w:rsidRPr="00EF5FE8">
        <w:tab/>
        <w:t xml:space="preserve">The Council is invited to adopt </w:t>
      </w:r>
      <w:r w:rsidRPr="00EF5FE8">
        <w:rPr>
          <w:color w:val="000000"/>
        </w:rPr>
        <w:t xml:space="preserve">the revision of </w:t>
      </w:r>
      <w:r w:rsidRPr="00EF5FE8">
        <w:t xml:space="preserve">document </w:t>
      </w:r>
      <w:r w:rsidRPr="00EF5FE8">
        <w:rPr>
          <w:spacing w:val="-2"/>
        </w:rPr>
        <w:t>UPOV/INF/5 “UPOV Model Plant Breeders’ Rights Gazette” (document UPOV/INF/</w:t>
      </w:r>
      <w:r w:rsidR="00EE045D" w:rsidRPr="00EF5FE8">
        <w:rPr>
          <w:spacing w:val="-2"/>
        </w:rPr>
        <w:t>5</w:t>
      </w:r>
      <w:r w:rsidRPr="00EF5FE8">
        <w:rPr>
          <w:spacing w:val="-2"/>
        </w:rPr>
        <w:t>),</w:t>
      </w:r>
      <w:r w:rsidRPr="00EF5FE8">
        <w:t xml:space="preserve"> as presented </w:t>
      </w:r>
      <w:r w:rsidR="00EE045D" w:rsidRPr="00EF5FE8">
        <w:t>in document UPOV/INF/5/2 Draft 2</w:t>
      </w:r>
      <w:r w:rsidRPr="00EF5FE8">
        <w:t xml:space="preserve"> </w:t>
      </w:r>
      <w:r w:rsidRPr="00EF5FE8">
        <w:rPr>
          <w:i w:val="0"/>
        </w:rPr>
        <w:t>“</w:t>
      </w:r>
      <w:r w:rsidRPr="00EF5FE8">
        <w:t>UPOV Model Plant Breeders’ Rights Publication</w:t>
      </w:r>
      <w:r w:rsidRPr="00EF5FE8">
        <w:rPr>
          <w:i w:val="0"/>
        </w:rPr>
        <w:t>”</w:t>
      </w:r>
      <w:r w:rsidRPr="00EF5FE8">
        <w:t>.</w:t>
      </w:r>
      <w:r w:rsidR="00807CB1" w:rsidRPr="00EF5FE8">
        <w:t xml:space="preserve">  </w:t>
      </w:r>
    </w:p>
    <w:p w:rsidR="004F45B7" w:rsidRPr="00EF5FE8" w:rsidRDefault="004F45B7" w:rsidP="009A1C33">
      <w:pPr>
        <w:pStyle w:val="DecisionParagraphs"/>
        <w:ind w:left="0"/>
        <w:rPr>
          <w:lang w:eastAsia="zh-CN"/>
        </w:rPr>
      </w:pPr>
    </w:p>
    <w:p w:rsidR="004F45B7" w:rsidRPr="00EF5FE8" w:rsidRDefault="004F45B7" w:rsidP="004F45B7">
      <w:pPr>
        <w:jc w:val="left"/>
        <w:rPr>
          <w:bCs/>
          <w:snapToGrid w:val="0"/>
        </w:rPr>
      </w:pPr>
    </w:p>
    <w:p w:rsidR="004F45B7" w:rsidRPr="00EF5FE8" w:rsidRDefault="004F45B7" w:rsidP="004F45B7">
      <w:pPr>
        <w:keepNext/>
        <w:ind w:left="1418" w:hanging="1418"/>
        <w:jc w:val="left"/>
        <w:rPr>
          <w:bCs/>
          <w:snapToGrid w:val="0"/>
          <w:spacing w:val="-4"/>
          <w:u w:val="single"/>
        </w:rPr>
      </w:pPr>
      <w:r w:rsidRPr="00EF5FE8">
        <w:rPr>
          <w:bCs/>
          <w:snapToGrid w:val="0"/>
          <w:u w:val="single"/>
        </w:rPr>
        <w:t xml:space="preserve">UPOV/INF/22:  </w:t>
      </w:r>
      <w:r w:rsidRPr="00EF5FE8">
        <w:rPr>
          <w:bCs/>
          <w:snapToGrid w:val="0"/>
          <w:spacing w:val="-4"/>
          <w:u w:val="single"/>
        </w:rPr>
        <w:t xml:space="preserve">Software and Equipment Used by Members of the Union (Revision) </w:t>
      </w:r>
    </w:p>
    <w:p w:rsidR="004F45B7" w:rsidRPr="00EF5FE8" w:rsidRDefault="004F45B7" w:rsidP="004F45B7">
      <w:pPr>
        <w:keepNext/>
        <w:ind w:left="1418" w:hanging="1418"/>
        <w:jc w:val="left"/>
        <w:rPr>
          <w:bCs/>
          <w:snapToGrid w:val="0"/>
          <w:spacing w:val="-4"/>
          <w:u w:val="single"/>
        </w:rPr>
      </w:pPr>
      <w:r w:rsidRPr="00EF5FE8">
        <w:rPr>
          <w:bCs/>
          <w:snapToGrid w:val="0"/>
          <w:spacing w:val="-4"/>
          <w:u w:val="single"/>
        </w:rPr>
        <w:t>(document UPOV/INF/22/</w:t>
      </w:r>
      <w:r w:rsidR="00F163A1" w:rsidRPr="00EF5FE8">
        <w:rPr>
          <w:bCs/>
          <w:snapToGrid w:val="0"/>
          <w:spacing w:val="-4"/>
          <w:u w:val="single"/>
        </w:rPr>
        <w:t>6</w:t>
      </w:r>
      <w:r w:rsidRPr="00EF5FE8">
        <w:rPr>
          <w:bCs/>
          <w:snapToGrid w:val="0"/>
          <w:spacing w:val="-4"/>
          <w:u w:val="single"/>
        </w:rPr>
        <w:t xml:space="preserve"> Draft 1)</w:t>
      </w:r>
    </w:p>
    <w:p w:rsidR="004F45B7" w:rsidRPr="00EF5FE8" w:rsidRDefault="004F45B7" w:rsidP="004F45B7">
      <w:pPr>
        <w:keepNext/>
        <w:jc w:val="left"/>
        <w:rPr>
          <w:bCs/>
          <w:snapToGrid w:val="0"/>
          <w:spacing w:val="-4"/>
          <w:u w:val="single"/>
        </w:rPr>
      </w:pPr>
    </w:p>
    <w:p w:rsidR="004F45B7" w:rsidRPr="00EF5FE8" w:rsidRDefault="004F45B7" w:rsidP="004F45B7">
      <w:pPr>
        <w:keepNext/>
      </w:pPr>
      <w:r w:rsidRPr="00EF5FE8">
        <w:fldChar w:fldCharType="begin"/>
      </w:r>
      <w:r w:rsidRPr="00EF5FE8">
        <w:instrText xml:space="preserve"> AUTONUM  </w:instrText>
      </w:r>
      <w:r w:rsidRPr="00EF5FE8">
        <w:fldChar w:fldCharType="end"/>
      </w:r>
      <w:r w:rsidRPr="00EF5FE8">
        <w:tab/>
        <w:t>The TC, at its fifty-</w:t>
      </w:r>
      <w:r w:rsidR="00630AF6" w:rsidRPr="00EF5FE8">
        <w:t>fifth</w:t>
      </w:r>
      <w:r w:rsidRPr="00EF5FE8">
        <w:t xml:space="preserve"> session</w:t>
      </w:r>
      <w:r w:rsidR="005B0157" w:rsidRPr="00EF5FE8">
        <w:rPr>
          <w:spacing w:val="-2"/>
          <w:vertAlign w:val="superscript"/>
        </w:rPr>
        <w:fldChar w:fldCharType="begin"/>
      </w:r>
      <w:r w:rsidR="005B0157" w:rsidRPr="00EF5FE8">
        <w:rPr>
          <w:spacing w:val="-2"/>
          <w:vertAlign w:val="superscript"/>
        </w:rPr>
        <w:instrText xml:space="preserve"> NOTEREF _Ref13509977 \h  \* MERGEFORMAT </w:instrText>
      </w:r>
      <w:r w:rsidR="005B0157" w:rsidRPr="00EF5FE8">
        <w:rPr>
          <w:spacing w:val="-2"/>
          <w:vertAlign w:val="superscript"/>
        </w:rPr>
      </w:r>
      <w:r w:rsidR="005B0157" w:rsidRPr="00EF5FE8">
        <w:rPr>
          <w:spacing w:val="-2"/>
          <w:vertAlign w:val="superscript"/>
        </w:rPr>
        <w:fldChar w:fldCharType="separate"/>
      </w:r>
      <w:r w:rsidR="006E3734">
        <w:rPr>
          <w:spacing w:val="-2"/>
          <w:vertAlign w:val="superscript"/>
        </w:rPr>
        <w:t>3</w:t>
      </w:r>
      <w:r w:rsidR="005B0157" w:rsidRPr="00EF5FE8">
        <w:rPr>
          <w:spacing w:val="-2"/>
          <w:vertAlign w:val="superscript"/>
        </w:rPr>
        <w:fldChar w:fldCharType="end"/>
      </w:r>
      <w:r w:rsidRPr="00EF5FE8">
        <w:t>, and the CAJ, at its seventy-</w:t>
      </w:r>
      <w:r w:rsidR="00630AF6" w:rsidRPr="00EF5FE8">
        <w:t>sixth</w:t>
      </w:r>
      <w:r w:rsidRPr="00EF5FE8">
        <w:t xml:space="preserve"> session</w:t>
      </w:r>
      <w:r w:rsidR="005B0157" w:rsidRPr="00EF5FE8">
        <w:rPr>
          <w:vertAlign w:val="superscript"/>
        </w:rPr>
        <w:fldChar w:fldCharType="begin"/>
      </w:r>
      <w:r w:rsidR="005B0157" w:rsidRPr="00EF5FE8">
        <w:rPr>
          <w:vertAlign w:val="superscript"/>
        </w:rPr>
        <w:instrText xml:space="preserve"> NOTEREF _Ref13509809 \h  \* MERGEFORMAT </w:instrText>
      </w:r>
      <w:r w:rsidR="005B0157" w:rsidRPr="00EF5FE8">
        <w:rPr>
          <w:vertAlign w:val="superscript"/>
        </w:rPr>
      </w:r>
      <w:r w:rsidR="005B0157" w:rsidRPr="00EF5FE8">
        <w:rPr>
          <w:vertAlign w:val="superscript"/>
        </w:rPr>
        <w:fldChar w:fldCharType="separate"/>
      </w:r>
      <w:r w:rsidR="006E3734">
        <w:rPr>
          <w:vertAlign w:val="superscript"/>
        </w:rPr>
        <w:t>2</w:t>
      </w:r>
      <w:r w:rsidR="005B0157" w:rsidRPr="00EF5FE8">
        <w:rPr>
          <w:vertAlign w:val="superscript"/>
        </w:rPr>
        <w:fldChar w:fldCharType="end"/>
      </w:r>
      <w:r w:rsidRPr="00EF5FE8">
        <w:t xml:space="preserve">, will be invited to agree the proposals to </w:t>
      </w:r>
      <w:r w:rsidR="00D74D5D" w:rsidRPr="00EF5FE8">
        <w:rPr>
          <w:spacing w:val="-2"/>
        </w:rPr>
        <w:t>revise document</w:t>
      </w:r>
      <w:r w:rsidR="005B0157" w:rsidRPr="00EF5FE8">
        <w:rPr>
          <w:spacing w:val="-2"/>
        </w:rPr>
        <w:t xml:space="preserve"> </w:t>
      </w:r>
      <w:r w:rsidR="00F163A1" w:rsidRPr="00EF5FE8">
        <w:rPr>
          <w:spacing w:val="-2"/>
        </w:rPr>
        <w:t>UPOV/INF/22/5</w:t>
      </w:r>
      <w:r w:rsidRPr="00EF5FE8">
        <w:rPr>
          <w:spacing w:val="-2"/>
        </w:rPr>
        <w:t xml:space="preserve"> “Software and equipment used by members of the Union”, as pre</w:t>
      </w:r>
      <w:r w:rsidR="00D74D5D" w:rsidRPr="00EF5FE8">
        <w:rPr>
          <w:spacing w:val="-2"/>
        </w:rPr>
        <w:t>sented in document </w:t>
      </w:r>
      <w:r w:rsidR="00F163A1" w:rsidRPr="00EF5FE8">
        <w:rPr>
          <w:spacing w:val="-2"/>
        </w:rPr>
        <w:t>UPOV/INF/</w:t>
      </w:r>
      <w:r w:rsidR="005B0157" w:rsidRPr="00EF5FE8">
        <w:rPr>
          <w:spacing w:val="-2"/>
        </w:rPr>
        <w:t>22/6 Draft </w:t>
      </w:r>
      <w:r w:rsidR="00F163A1" w:rsidRPr="00EF5FE8">
        <w:rPr>
          <w:spacing w:val="-2"/>
        </w:rPr>
        <w:t>1</w:t>
      </w:r>
      <w:r w:rsidRPr="00EF5FE8">
        <w:rPr>
          <w:spacing w:val="-2"/>
        </w:rPr>
        <w:t>.</w:t>
      </w:r>
    </w:p>
    <w:p w:rsidR="004F45B7" w:rsidRPr="00EF5FE8" w:rsidRDefault="004F45B7" w:rsidP="004F45B7"/>
    <w:p w:rsidR="004F45B7" w:rsidRDefault="004F45B7" w:rsidP="00EE045D">
      <w:r w:rsidRPr="00EF5FE8">
        <w:fldChar w:fldCharType="begin"/>
      </w:r>
      <w:r w:rsidRPr="00EF5FE8">
        <w:instrText xml:space="preserve"> AUTONUM  </w:instrText>
      </w:r>
      <w:r w:rsidRPr="00EF5FE8">
        <w:fldChar w:fldCharType="end"/>
      </w:r>
      <w:r w:rsidRPr="00EF5FE8">
        <w:tab/>
        <w:t xml:space="preserve">A </w:t>
      </w:r>
      <w:r w:rsidR="00EE045D" w:rsidRPr="00EF5FE8">
        <w:rPr>
          <w:spacing w:val="-2"/>
        </w:rPr>
        <w:t xml:space="preserve">report on the conclusions of the TC, at its fifty-fifth session, </w:t>
      </w:r>
      <w:r w:rsidR="00EE045D" w:rsidRPr="00EF5FE8">
        <w:t>and on the conclusions of the CAJ, at its</w:t>
      </w:r>
      <w:r w:rsidR="00EE045D" w:rsidRPr="00E11CE2">
        <w:t xml:space="preserve"> seventy</w:t>
      </w:r>
      <w:r w:rsidR="00EE045D" w:rsidRPr="00E11CE2">
        <w:noBreakHyphen/>
        <w:t xml:space="preserve">sixth session, </w:t>
      </w:r>
      <w:r w:rsidR="00EE045D" w:rsidRPr="00AE7C50">
        <w:t xml:space="preserve">concerning the proposals to revise document </w:t>
      </w:r>
      <w:r w:rsidR="00EE045D" w:rsidRPr="00AE7C50">
        <w:rPr>
          <w:spacing w:val="-2"/>
        </w:rPr>
        <w:t>UPOV/INF/22/5</w:t>
      </w:r>
      <w:r w:rsidR="00EE045D" w:rsidRPr="00AE7C50">
        <w:t xml:space="preserve">, </w:t>
      </w:r>
      <w:r w:rsidR="00EE045D" w:rsidRPr="00E11CE2">
        <w:t xml:space="preserve">will be made to the </w:t>
      </w:r>
      <w:r w:rsidR="00EE045D" w:rsidRPr="00EF5FE8">
        <w:t>Council at its fifty</w:t>
      </w:r>
      <w:r w:rsidR="00EE045D" w:rsidRPr="00EF5FE8">
        <w:noBreakHyphen/>
        <w:t>third ordinary session (see documents TC/55/[</w:t>
      </w:r>
      <w:r w:rsidR="00AE6CAF" w:rsidRPr="00EF5FE8">
        <w:t>xx</w:t>
      </w:r>
      <w:r w:rsidR="00EE045D" w:rsidRPr="00EF5FE8">
        <w:t>] “Report” and CAJ/76/[</w:t>
      </w:r>
      <w:r w:rsidR="00AE6CAF" w:rsidRPr="00EF5FE8">
        <w:t>xx</w:t>
      </w:r>
      <w:r w:rsidR="00EE045D" w:rsidRPr="00EF5FE8">
        <w:t>] “Report”).</w:t>
      </w:r>
    </w:p>
    <w:p w:rsidR="00EE045D" w:rsidRPr="00AE7C50" w:rsidRDefault="00EE045D" w:rsidP="00EE045D"/>
    <w:p w:rsidR="004F45B7" w:rsidRDefault="004F45B7" w:rsidP="00EE045D">
      <w:pPr>
        <w:pStyle w:val="DecisionParagraphs"/>
        <w:keepLines/>
        <w:rPr>
          <w:spacing w:val="-2"/>
        </w:rPr>
      </w:pPr>
      <w:r w:rsidRPr="00AE7C50">
        <w:rPr>
          <w:lang w:eastAsia="zh-CN"/>
        </w:rPr>
        <w:fldChar w:fldCharType="begin"/>
      </w:r>
      <w:r w:rsidRPr="00AE7C50">
        <w:rPr>
          <w:lang w:eastAsia="zh-CN"/>
        </w:rPr>
        <w:instrText xml:space="preserve"> AUTONUM  </w:instrText>
      </w:r>
      <w:r w:rsidRPr="00AE7C50">
        <w:rPr>
          <w:lang w:eastAsia="zh-CN"/>
        </w:rPr>
        <w:fldChar w:fldCharType="end"/>
      </w:r>
      <w:r w:rsidRPr="00AE7C50">
        <w:rPr>
          <w:lang w:eastAsia="zh-CN"/>
        </w:rPr>
        <w:tab/>
      </w:r>
      <w:r w:rsidRPr="00AE7C50">
        <w:t>T</w:t>
      </w:r>
      <w:r w:rsidRPr="00AE7C50">
        <w:rPr>
          <w:lang w:eastAsia="zh-CN"/>
        </w:rPr>
        <w:t>he Council is invited to adopt a re</w:t>
      </w:r>
      <w:r w:rsidR="00F163A1" w:rsidRPr="00AE7C50">
        <w:rPr>
          <w:lang w:eastAsia="zh-CN"/>
        </w:rPr>
        <w:t xml:space="preserve">vision </w:t>
      </w:r>
      <w:r w:rsidR="00EF5FE8">
        <w:rPr>
          <w:lang w:eastAsia="zh-CN"/>
        </w:rPr>
        <w:br/>
      </w:r>
      <w:r w:rsidR="00F163A1" w:rsidRPr="00AE7C50">
        <w:rPr>
          <w:lang w:eastAsia="zh-CN"/>
        </w:rPr>
        <w:t xml:space="preserve">of </w:t>
      </w:r>
      <w:r w:rsidR="005B0157">
        <w:rPr>
          <w:lang w:eastAsia="zh-CN"/>
        </w:rPr>
        <w:t xml:space="preserve">document </w:t>
      </w:r>
      <w:r w:rsidR="00F163A1" w:rsidRPr="00AE7C50">
        <w:rPr>
          <w:lang w:eastAsia="zh-CN"/>
        </w:rPr>
        <w:t>UPOV/INF/22/5</w:t>
      </w:r>
      <w:r w:rsidRPr="00AE7C50">
        <w:rPr>
          <w:lang w:eastAsia="zh-CN"/>
        </w:rPr>
        <w:t xml:space="preserve"> “Software and </w:t>
      </w:r>
      <w:r w:rsidR="00EF5FE8">
        <w:rPr>
          <w:lang w:eastAsia="zh-CN"/>
        </w:rPr>
        <w:br/>
      </w:r>
      <w:r w:rsidRPr="00AE7C50">
        <w:rPr>
          <w:lang w:eastAsia="zh-CN"/>
        </w:rPr>
        <w:t xml:space="preserve">equipment used by members of the Union” </w:t>
      </w:r>
      <w:r w:rsidR="00EF5FE8">
        <w:rPr>
          <w:lang w:eastAsia="zh-CN"/>
        </w:rPr>
        <w:br/>
      </w:r>
      <w:r w:rsidRPr="00AE7C50">
        <w:rPr>
          <w:lang w:eastAsia="zh-CN"/>
        </w:rPr>
        <w:t>(</w:t>
      </w:r>
      <w:r w:rsidR="00EF5FE8">
        <w:t xml:space="preserve">document </w:t>
      </w:r>
      <w:r w:rsidRPr="00AE7C50">
        <w:t>UPOV/INF/22/5</w:t>
      </w:r>
      <w:r w:rsidR="00F163A1" w:rsidRPr="00AE7C50">
        <w:t>/1</w:t>
      </w:r>
      <w:r w:rsidRPr="00AE7C50">
        <w:t>)</w:t>
      </w:r>
      <w:r w:rsidR="005B0157">
        <w:rPr>
          <w:lang w:eastAsia="zh-CN"/>
        </w:rPr>
        <w:t xml:space="preserve">, on the basis of document </w:t>
      </w:r>
      <w:r w:rsidR="00F163A1" w:rsidRPr="00AE7C50">
        <w:rPr>
          <w:spacing w:val="-2"/>
        </w:rPr>
        <w:t>UPOV/INF/22/6 Draft 1</w:t>
      </w:r>
      <w:r w:rsidRPr="00AE7C50">
        <w:t>, taking into account the conclusions of the TC at its fifty-</w:t>
      </w:r>
      <w:r w:rsidR="00F163A1" w:rsidRPr="00AE7C50">
        <w:t>fifth</w:t>
      </w:r>
      <w:r w:rsidRPr="00AE7C50">
        <w:t xml:space="preserve"> session, and </w:t>
      </w:r>
      <w:r w:rsidRPr="00AE7C50">
        <w:rPr>
          <w:spacing w:val="-2"/>
        </w:rPr>
        <w:t>of the CAJ, at its seventy</w:t>
      </w:r>
      <w:r w:rsidRPr="00AE7C50">
        <w:rPr>
          <w:spacing w:val="-2"/>
        </w:rPr>
        <w:noBreakHyphen/>
      </w:r>
      <w:r w:rsidR="00F163A1" w:rsidRPr="00AE7C50">
        <w:rPr>
          <w:spacing w:val="-2"/>
        </w:rPr>
        <w:t>sixth</w:t>
      </w:r>
      <w:r w:rsidRPr="00AE7C50">
        <w:rPr>
          <w:spacing w:val="-2"/>
        </w:rPr>
        <w:t> session.</w:t>
      </w:r>
    </w:p>
    <w:p w:rsidR="00EE045D" w:rsidRDefault="00EE045D" w:rsidP="00EE045D">
      <w:pPr>
        <w:pStyle w:val="DecisionParagraphs"/>
        <w:ind w:left="0"/>
        <w:jc w:val="left"/>
        <w:rPr>
          <w:spacing w:val="-2"/>
        </w:rPr>
      </w:pPr>
    </w:p>
    <w:p w:rsidR="00EE045D" w:rsidRPr="00AE7C50" w:rsidRDefault="00EE045D" w:rsidP="00EE045D">
      <w:pPr>
        <w:pStyle w:val="DecisionParagraphs"/>
        <w:ind w:left="0"/>
        <w:jc w:val="left"/>
        <w:rPr>
          <w:spacing w:val="-2"/>
        </w:rPr>
      </w:pPr>
    </w:p>
    <w:p w:rsidR="004F45B7" w:rsidRPr="00AE7C50" w:rsidRDefault="004F45B7" w:rsidP="004F45B7">
      <w:pPr>
        <w:keepNext/>
        <w:ind w:left="1560" w:hanging="1560"/>
        <w:jc w:val="left"/>
        <w:rPr>
          <w:u w:val="single"/>
        </w:rPr>
      </w:pPr>
      <w:r w:rsidRPr="00AE7C50">
        <w:rPr>
          <w:u w:val="single"/>
        </w:rPr>
        <w:t xml:space="preserve">UPOV/INF-EXN:  List of UPOV/INF-EXN Documents and Latest Issue Dates (Revision) </w:t>
      </w:r>
    </w:p>
    <w:p w:rsidR="004F45B7" w:rsidRPr="00AE7C50" w:rsidRDefault="004F45B7" w:rsidP="004F45B7">
      <w:pPr>
        <w:keepNext/>
        <w:ind w:left="1560" w:hanging="1560"/>
        <w:jc w:val="left"/>
        <w:rPr>
          <w:u w:val="single"/>
        </w:rPr>
      </w:pPr>
      <w:r w:rsidRPr="00AE7C50">
        <w:rPr>
          <w:u w:val="single"/>
        </w:rPr>
        <w:t>(document UPOV/INF-EXN/1</w:t>
      </w:r>
      <w:r w:rsidR="002B521A">
        <w:rPr>
          <w:u w:val="single"/>
        </w:rPr>
        <w:t>3</w:t>
      </w:r>
      <w:r w:rsidRPr="00AE7C50">
        <w:rPr>
          <w:u w:val="single"/>
        </w:rPr>
        <w:t xml:space="preserve"> Draft 1)</w:t>
      </w:r>
    </w:p>
    <w:p w:rsidR="004F45B7" w:rsidRPr="00AE7C50" w:rsidRDefault="004F45B7" w:rsidP="004F45B7">
      <w:pPr>
        <w:keepNext/>
      </w:pPr>
    </w:p>
    <w:p w:rsidR="004F45B7" w:rsidRPr="00AE7C50" w:rsidRDefault="004F45B7" w:rsidP="004F45B7">
      <w:pPr>
        <w:keepNext/>
      </w:pPr>
      <w:r w:rsidRPr="00AE7C50">
        <w:fldChar w:fldCharType="begin"/>
      </w:r>
      <w:r w:rsidRPr="00AE7C50">
        <w:instrText xml:space="preserve"> AUTONUM  </w:instrText>
      </w:r>
      <w:r w:rsidRPr="00AE7C50">
        <w:fldChar w:fldCharType="end"/>
      </w:r>
      <w:r w:rsidRPr="00AE7C50">
        <w:tab/>
        <w:t>In conjunction with the information documents</w:t>
      </w:r>
      <w:r w:rsidRPr="00AE7C50">
        <w:rPr>
          <w:spacing w:val="-2"/>
        </w:rPr>
        <w:t xml:space="preserve"> that</w:t>
      </w:r>
      <w:r w:rsidRPr="00AE7C50">
        <w:t xml:space="preserve"> the Council will be invited to adopt at its fifty</w:t>
      </w:r>
      <w:r w:rsidRPr="00AE7C50">
        <w:noBreakHyphen/>
      </w:r>
      <w:r w:rsidR="00026FCE" w:rsidRPr="00AE7C50">
        <w:t>third</w:t>
      </w:r>
      <w:r w:rsidRPr="00AE7C50">
        <w:t> ordinary session, it is proposed to adopt a revi</w:t>
      </w:r>
      <w:r w:rsidR="00316B0C">
        <w:t>sion of document UPOV/INF</w:t>
      </w:r>
      <w:r w:rsidR="00316B0C">
        <w:noBreakHyphen/>
        <w:t>EXN/12</w:t>
      </w:r>
      <w:r w:rsidRPr="00AE7C50">
        <w:t xml:space="preserve"> “List of UPOV/INF</w:t>
      </w:r>
      <w:r w:rsidRPr="00AE7C50">
        <w:noBreakHyphen/>
        <w:t>EXN Documents and Latest Issue Dates” on the b</w:t>
      </w:r>
      <w:r w:rsidR="00316B0C">
        <w:t>asis of document UPOV/INF</w:t>
      </w:r>
      <w:r w:rsidR="00316B0C">
        <w:noBreakHyphen/>
        <w:t>EXN/13</w:t>
      </w:r>
      <w:r w:rsidRPr="00AE7C50">
        <w:t> Draft 1.</w:t>
      </w:r>
    </w:p>
    <w:p w:rsidR="004F45B7" w:rsidRPr="00AE7C50" w:rsidRDefault="004F45B7" w:rsidP="004F45B7"/>
    <w:p w:rsidR="004F45B7" w:rsidRPr="00AE7C50" w:rsidRDefault="004F45B7" w:rsidP="004F45B7">
      <w:pPr>
        <w:pStyle w:val="DecisionParagraphs"/>
      </w:pPr>
      <w:r w:rsidRPr="00AE7C50">
        <w:fldChar w:fldCharType="begin"/>
      </w:r>
      <w:r w:rsidRPr="00AE7C50">
        <w:instrText xml:space="preserve"> AUTONUM  </w:instrText>
      </w:r>
      <w:r w:rsidRPr="00AE7C50">
        <w:fldChar w:fldCharType="end"/>
      </w:r>
      <w:r w:rsidRPr="00AE7C50">
        <w:tab/>
        <w:t xml:space="preserve">The Council is invited to adopt a revision </w:t>
      </w:r>
      <w:r w:rsidR="00EF5FE8">
        <w:br/>
      </w:r>
      <w:r w:rsidR="00316B0C">
        <w:t>of document UPOV/INF-EXN/12</w:t>
      </w:r>
      <w:r w:rsidRPr="00AE7C50">
        <w:t xml:space="preserve"> “List of </w:t>
      </w:r>
      <w:r w:rsidR="00EF5FE8">
        <w:br/>
      </w:r>
      <w:r w:rsidRPr="00AE7C50">
        <w:t>INF-EXN Documents an</w:t>
      </w:r>
      <w:r w:rsidR="00EF5FE8">
        <w:t xml:space="preserve">d Latest Issue Dates” (document </w:t>
      </w:r>
      <w:r w:rsidR="00316B0C">
        <w:t>UPOV/INF-EXN/13</w:t>
      </w:r>
      <w:r w:rsidRPr="00AE7C50">
        <w:t>) on the basis of document UPOV/INF</w:t>
      </w:r>
      <w:r w:rsidRPr="00AE7C50">
        <w:noBreakHyphen/>
        <w:t>EXN/1</w:t>
      </w:r>
      <w:r w:rsidR="00316B0C">
        <w:t>3</w:t>
      </w:r>
      <w:r w:rsidRPr="00AE7C50">
        <w:t> Draft 1.</w:t>
      </w:r>
    </w:p>
    <w:p w:rsidR="004F45B7" w:rsidRPr="00AE7C50" w:rsidRDefault="004F45B7" w:rsidP="004F45B7"/>
    <w:p w:rsidR="004F45B7" w:rsidRPr="00AE7C50" w:rsidRDefault="004F45B7" w:rsidP="004F45B7"/>
    <w:p w:rsidR="004F45B7" w:rsidRPr="00AE7C50" w:rsidRDefault="004F45B7" w:rsidP="004F45B7"/>
    <w:p w:rsidR="004F45B7" w:rsidRDefault="004F45B7" w:rsidP="004F45B7">
      <w:pPr>
        <w:jc w:val="right"/>
      </w:pPr>
      <w:r w:rsidRPr="00AE7C50">
        <w:t>[Annexes follow]</w:t>
      </w:r>
    </w:p>
    <w:p w:rsidR="000C67D9" w:rsidRDefault="000C67D9" w:rsidP="004F45B7">
      <w:pPr>
        <w:jc w:val="right"/>
      </w:pPr>
    </w:p>
    <w:p w:rsidR="004F45B7" w:rsidRPr="00AE7C50" w:rsidRDefault="004F45B7" w:rsidP="004F45B7">
      <w:pPr>
        <w:jc w:val="center"/>
      </w:pPr>
    </w:p>
    <w:p w:rsidR="004F45B7" w:rsidRPr="00AE7C50" w:rsidRDefault="004F45B7" w:rsidP="004F45B7">
      <w:pPr>
        <w:jc w:val="right"/>
        <w:sectPr w:rsidR="004F45B7" w:rsidRPr="00AE7C50" w:rsidSect="004F43A6">
          <w:headerReference w:type="default" r:id="rId19"/>
          <w:footnotePr>
            <w:numRestart w:val="eachSect"/>
          </w:footnotePr>
          <w:pgSz w:w="11907" w:h="16840" w:code="9"/>
          <w:pgMar w:top="504" w:right="1138" w:bottom="1138" w:left="1138" w:header="504" w:footer="677" w:gutter="0"/>
          <w:cols w:space="720"/>
          <w:titlePg/>
        </w:sectPr>
      </w:pPr>
    </w:p>
    <w:p w:rsidR="004F45B7" w:rsidRPr="002E1B40" w:rsidRDefault="004F45B7" w:rsidP="004F45B7">
      <w:pPr>
        <w:jc w:val="center"/>
        <w:rPr>
          <w:caps/>
        </w:rPr>
      </w:pPr>
      <w:r w:rsidRPr="002E1B40">
        <w:rPr>
          <w:caps/>
        </w:rPr>
        <w:lastRenderedPageBreak/>
        <w:t>Revision</w:t>
      </w:r>
      <w:r>
        <w:rPr>
          <w:caps/>
        </w:rPr>
        <w:t>s</w:t>
      </w:r>
      <w:r w:rsidRPr="002E1B40">
        <w:rPr>
          <w:caps/>
        </w:rPr>
        <w:t xml:space="preserve"> </w:t>
      </w:r>
      <w:r w:rsidR="004A086C">
        <w:rPr>
          <w:caps/>
        </w:rPr>
        <w:t>to</w:t>
      </w:r>
      <w:r w:rsidRPr="002E1B40">
        <w:rPr>
          <w:caps/>
        </w:rPr>
        <w:t xml:space="preserve"> document TGP/7 “Development of Test Guidelines” </w:t>
      </w:r>
    </w:p>
    <w:p w:rsidR="004F45B7" w:rsidRDefault="0099612E" w:rsidP="004F45B7">
      <w:pPr>
        <w:jc w:val="center"/>
      </w:pPr>
      <w:r>
        <w:t>AGREED BY THE TECHNICAL COMMITTEE AT ITS FIFTY-FOURTH SESSION</w:t>
      </w:r>
      <w:r>
        <w:rPr>
          <w:rStyle w:val="FootnoteReference"/>
        </w:rPr>
        <w:footnoteReference w:id="7"/>
      </w:r>
    </w:p>
    <w:p w:rsidR="0099612E" w:rsidRDefault="0099612E" w:rsidP="004F45B7">
      <w:pPr>
        <w:jc w:val="center"/>
      </w:pPr>
    </w:p>
    <w:p w:rsidR="004F45B7" w:rsidRPr="002E1B40" w:rsidRDefault="004F45B7" w:rsidP="004F45B7">
      <w:pPr>
        <w:jc w:val="center"/>
      </w:pPr>
    </w:p>
    <w:p w:rsidR="004F45B7" w:rsidRPr="002E1B40" w:rsidRDefault="004F45B7" w:rsidP="004F45B7">
      <w:r w:rsidRPr="002E1B40">
        <w:rPr>
          <w:noProof/>
        </w:rPr>
        <mc:AlternateContent>
          <mc:Choice Requires="wps">
            <w:drawing>
              <wp:anchor distT="0" distB="0" distL="114300" distR="114300" simplePos="0" relativeHeight="251660288" behindDoc="0" locked="0" layoutInCell="1" allowOverlap="1" wp14:anchorId="5C3E0320" wp14:editId="520AC05C">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4352D" w:rsidRDefault="00C4352D" w:rsidP="004F45B7">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4352D" w:rsidRDefault="00C4352D" w:rsidP="004F45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E0320"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">
                <v:textbox>
                  <w:txbxContent>
                    <w:p w:rsidR="00C4352D" w:rsidRDefault="00C4352D" w:rsidP="004F45B7">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4352D" w:rsidRDefault="00C4352D" w:rsidP="004F45B7"/>
                  </w:txbxContent>
                </v:textbox>
              </v:shape>
            </w:pict>
          </mc:Fallback>
        </mc:AlternateContent>
      </w:r>
    </w:p>
    <w:p w:rsidR="004F45B7" w:rsidRPr="002E1B40" w:rsidRDefault="004F45B7" w:rsidP="004F45B7"/>
    <w:p w:rsidR="004F45B7" w:rsidRPr="002E1B40" w:rsidRDefault="004F45B7" w:rsidP="004F45B7"/>
    <w:p w:rsidR="004F45B7" w:rsidRPr="002E1B40" w:rsidRDefault="004F45B7" w:rsidP="004F45B7"/>
    <w:p w:rsidR="00A8283B" w:rsidRPr="00273B07" w:rsidRDefault="00A8283B" w:rsidP="00A8283B"/>
    <w:p w:rsidR="00A8283B" w:rsidRPr="00273B07" w:rsidRDefault="00A8283B" w:rsidP="00A8283B">
      <w:pPr>
        <w:rPr>
          <w:u w:val="single"/>
        </w:rPr>
      </w:pPr>
      <w:r w:rsidRPr="00273B07">
        <w:rPr>
          <w:u w:val="single"/>
        </w:rPr>
        <w:t xml:space="preserve">Duration of DUS tests: </w:t>
      </w:r>
    </w:p>
    <w:p w:rsidR="00A8283B" w:rsidRPr="00273B07" w:rsidRDefault="00A8283B" w:rsidP="00A8283B">
      <w:pPr>
        <w:rPr>
          <w:u w:val="single"/>
        </w:rPr>
      </w:pPr>
    </w:p>
    <w:p w:rsidR="00A8283B" w:rsidRPr="00273B07" w:rsidRDefault="00A8283B" w:rsidP="00A8283B">
      <w:pPr>
        <w:rPr>
          <w:i/>
        </w:rPr>
      </w:pPr>
      <w:r w:rsidRPr="00273B07">
        <w:rPr>
          <w:i/>
        </w:rPr>
        <w:t>Universal Standard Wording: Section 3.1: Number of Growing Cycles</w:t>
      </w:r>
    </w:p>
    <w:p w:rsidR="00A8283B" w:rsidRPr="00273B07" w:rsidRDefault="00A8283B" w:rsidP="00A8283B"/>
    <w:p w:rsidR="00A8283B" w:rsidRPr="00273B07" w:rsidRDefault="00A8283B" w:rsidP="00A8283B">
      <w:r w:rsidRPr="00273B07">
        <w:t xml:space="preserve">The TC agreed that the following sentence should be </w:t>
      </w:r>
      <w:r w:rsidRPr="00FE42F1">
        <w:t>included as standard wording</w:t>
      </w:r>
      <w:r w:rsidRPr="00273B07">
        <w:t xml:space="preserve"> in Test Guidelines</w:t>
      </w:r>
      <w:r>
        <w:t xml:space="preserve"> </w:t>
      </w:r>
      <w:r w:rsidRPr="00273B07">
        <w:t>(see document TC/54/31</w:t>
      </w:r>
      <w:r w:rsidR="00E42843">
        <w:t xml:space="preserve"> Corr.</w:t>
      </w:r>
      <w:r w:rsidRPr="00273B07">
        <w:t xml:space="preserve"> “Report”, paragraphs 210 to 212):</w:t>
      </w:r>
    </w:p>
    <w:p w:rsidR="00A8283B" w:rsidRPr="00273B07" w:rsidRDefault="00A8283B" w:rsidP="00A8283B">
      <w:pPr>
        <w:rPr>
          <w:sz w:val="18"/>
          <w:highlight w:val="yellow"/>
        </w:rPr>
      </w:pPr>
    </w:p>
    <w:p w:rsidR="00A8283B" w:rsidRPr="00273B07" w:rsidRDefault="00A8283B" w:rsidP="00A8283B">
      <w:pPr>
        <w:ind w:left="567" w:right="567"/>
        <w:rPr>
          <w:sz w:val="18"/>
          <w:u w:val="single"/>
        </w:rPr>
      </w:pPr>
      <w:r w:rsidRPr="00273B07">
        <w:rPr>
          <w:sz w:val="18"/>
          <w:highlight w:val="lightGray"/>
          <w:u w:val="single"/>
        </w:rPr>
        <w:t>“The testing of a variety may be concluded when the competent authority can determine with certainty the outcome of the test.”</w:t>
      </w:r>
    </w:p>
    <w:p w:rsidR="00A8283B" w:rsidRPr="00273B07" w:rsidRDefault="00A8283B" w:rsidP="00A8283B"/>
    <w:p w:rsidR="00A8283B" w:rsidRDefault="00A8283B" w:rsidP="00A8283B">
      <w:pPr>
        <w:rPr>
          <w:rFonts w:eastAsia="MS Mincho"/>
          <w:u w:val="single"/>
        </w:rPr>
      </w:pPr>
    </w:p>
    <w:p w:rsidR="00A8283B" w:rsidRPr="00273B07" w:rsidRDefault="00A8283B" w:rsidP="00A8283B">
      <w:pPr>
        <w:rPr>
          <w:rFonts w:eastAsia="MS Mincho"/>
          <w:u w:val="single"/>
        </w:rPr>
      </w:pPr>
      <w:r w:rsidRPr="00273B07">
        <w:rPr>
          <w:rFonts w:eastAsia="MS Mincho"/>
          <w:u w:val="single"/>
        </w:rPr>
        <w:t xml:space="preserve">Procedure for the adoption of Test Guidelines by </w:t>
      </w:r>
      <w:r w:rsidRPr="00FE42F1">
        <w:rPr>
          <w:rFonts w:eastAsia="MS Mincho"/>
          <w:u w:val="single"/>
        </w:rPr>
        <w:t>correspondence</w:t>
      </w:r>
      <w:r w:rsidRPr="00273B07">
        <w:rPr>
          <w:rFonts w:eastAsia="MS Mincho"/>
          <w:u w:val="single"/>
        </w:rPr>
        <w:t xml:space="preserve"> </w:t>
      </w:r>
    </w:p>
    <w:p w:rsidR="00A8283B" w:rsidRPr="00273B07" w:rsidRDefault="00A8283B" w:rsidP="00A8283B">
      <w:pPr>
        <w:rPr>
          <w:i/>
        </w:rPr>
      </w:pPr>
    </w:p>
    <w:p w:rsidR="00A8283B" w:rsidRDefault="00A8283B" w:rsidP="00A8283B">
      <w:pPr>
        <w:rPr>
          <w:i/>
        </w:rPr>
      </w:pPr>
      <w:r w:rsidRPr="00273B07">
        <w:rPr>
          <w:i/>
        </w:rPr>
        <w:t>Section 2.2 “Procedure for the Introduction of Test Guidelines”</w:t>
      </w:r>
    </w:p>
    <w:p w:rsidR="00A8283B" w:rsidRPr="00273B07" w:rsidRDefault="00A8283B" w:rsidP="00A8283B">
      <w:pPr>
        <w:rPr>
          <w:i/>
        </w:rPr>
      </w:pPr>
    </w:p>
    <w:p w:rsidR="00A8283B" w:rsidRPr="00273B07" w:rsidRDefault="00A8283B" w:rsidP="00A8283B">
      <w:r w:rsidRPr="00273B07">
        <w:t>The TC agreed that guidance in document TGP/7 should be revised to read as follows</w:t>
      </w:r>
      <w:r>
        <w:t xml:space="preserve"> </w:t>
      </w:r>
      <w:r w:rsidR="00E42843">
        <w:t>(see document TC/54/31 </w:t>
      </w:r>
      <w:proofErr w:type="spellStart"/>
      <w:r w:rsidR="00E42843">
        <w:t>Corr</w:t>
      </w:r>
      <w:proofErr w:type="spellEnd"/>
      <w:r w:rsidR="00E42843">
        <w:t>.</w:t>
      </w:r>
      <w:r w:rsidRPr="00273B07">
        <w:t xml:space="preserve">“Report”, paragraphs 217 to 220): </w:t>
      </w:r>
    </w:p>
    <w:p w:rsidR="00A8283B" w:rsidRPr="00273B07" w:rsidRDefault="00A8283B" w:rsidP="00A8283B"/>
    <w:p w:rsidR="00A8283B" w:rsidRPr="00273B07" w:rsidRDefault="00A8283B" w:rsidP="00A8283B">
      <w:pPr>
        <w:ind w:left="567" w:right="567"/>
        <w:rPr>
          <w:sz w:val="18"/>
          <w:szCs w:val="18"/>
          <w:u w:val="single"/>
        </w:rPr>
      </w:pPr>
      <w:r w:rsidRPr="00273B07">
        <w:rPr>
          <w:sz w:val="18"/>
          <w:szCs w:val="18"/>
          <w:u w:val="single"/>
        </w:rPr>
        <w:t>“2.2.7</w:t>
      </w:r>
      <w:r w:rsidRPr="00273B07">
        <w:rPr>
          <w:sz w:val="18"/>
          <w:szCs w:val="18"/>
          <w:u w:val="single"/>
        </w:rPr>
        <w:tab/>
      </w:r>
      <w:r w:rsidRPr="00273B07">
        <w:rPr>
          <w:sz w:val="18"/>
          <w:szCs w:val="18"/>
          <w:u w:val="single"/>
          <w:bdr w:val="single" w:sz="4" w:space="0" w:color="auto"/>
        </w:rPr>
        <w:t>STEP 7</w:t>
      </w:r>
      <w:r w:rsidRPr="00273B07">
        <w:rPr>
          <w:sz w:val="18"/>
          <w:szCs w:val="18"/>
          <w:u w:val="single"/>
        </w:rPr>
        <w:tab/>
        <w:t xml:space="preserve">Consideration of Draft Test Guidelines by the TC-EDC  </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rPr>
      </w:pPr>
      <w:r w:rsidRPr="00273B07">
        <w:rPr>
          <w:sz w:val="18"/>
          <w:szCs w:val="18"/>
        </w:rPr>
        <w:t>“2.2.7.1</w:t>
      </w:r>
      <w:r w:rsidRPr="00273B07">
        <w:rPr>
          <w:sz w:val="18"/>
          <w:szCs w:val="18"/>
        </w:rPr>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rPr>
      </w:pPr>
      <w:r w:rsidRPr="00273B07">
        <w:rPr>
          <w:sz w:val="18"/>
          <w:szCs w:val="18"/>
        </w:rPr>
        <w:t>“2.2.7.2</w:t>
      </w:r>
      <w:r w:rsidRPr="00273B07">
        <w:rPr>
          <w:sz w:val="18"/>
          <w:szCs w:val="18"/>
        </w:rPr>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A8283B" w:rsidRPr="00273B07" w:rsidRDefault="00A8283B" w:rsidP="00A8283B">
      <w:pPr>
        <w:ind w:left="567" w:right="567"/>
        <w:rPr>
          <w:sz w:val="18"/>
          <w:szCs w:val="18"/>
        </w:rPr>
      </w:pPr>
    </w:p>
    <w:p w:rsidR="00A8283B" w:rsidRPr="00273B07" w:rsidRDefault="00A8283B" w:rsidP="00A8283B">
      <w:pPr>
        <w:ind w:left="567" w:right="567"/>
        <w:rPr>
          <w:strike/>
          <w:sz w:val="18"/>
          <w:szCs w:val="18"/>
          <w:highlight w:val="lightGray"/>
        </w:rPr>
      </w:pPr>
      <w:r w:rsidRPr="00273B07">
        <w:rPr>
          <w:strike/>
          <w:sz w:val="18"/>
          <w:szCs w:val="18"/>
          <w:highlight w:val="lightGray"/>
        </w:rPr>
        <w:t>“2.2.7.3</w:t>
      </w:r>
      <w:r w:rsidRPr="00273B07">
        <w:rPr>
          <w:strike/>
          <w:sz w:val="18"/>
          <w:szCs w:val="18"/>
          <w:highlight w:val="lightGray"/>
        </w:rPr>
        <w:tab/>
        <w:t xml:space="preserve">If it considers that there are technical issues to be resolved, the TC-EDC may seek to resolve the issues with the Leading Expert, prior to consideration of the </w:t>
      </w:r>
      <w:r w:rsidRPr="00273B07">
        <w:rPr>
          <w:strike/>
          <w:color w:val="000000"/>
          <w:sz w:val="18"/>
          <w:szCs w:val="18"/>
          <w:highlight w:val="lightGray"/>
        </w:rPr>
        <w:t>Test Guidelines</w:t>
      </w:r>
      <w:r w:rsidRPr="00273B07">
        <w:rPr>
          <w:strike/>
          <w:sz w:val="18"/>
          <w:szCs w:val="18"/>
          <w:highlight w:val="lightGray"/>
        </w:rPr>
        <w:t xml:space="preserve"> by the Technical Committee.  Where this is not possible, the TC-EDC may recommend that the Technical Committee:</w:t>
      </w:r>
    </w:p>
    <w:p w:rsidR="00A8283B" w:rsidRPr="00273B07" w:rsidRDefault="00A8283B" w:rsidP="00A8283B">
      <w:pPr>
        <w:ind w:left="567" w:right="567"/>
        <w:rPr>
          <w:strike/>
          <w:sz w:val="18"/>
          <w:szCs w:val="18"/>
          <w:highlight w:val="lightGray"/>
        </w:rPr>
      </w:pPr>
    </w:p>
    <w:p w:rsidR="00A8283B" w:rsidRPr="00273B07" w:rsidRDefault="00A8283B" w:rsidP="00A8283B">
      <w:pPr>
        <w:ind w:left="567" w:right="567"/>
        <w:rPr>
          <w:strike/>
          <w:sz w:val="18"/>
          <w:szCs w:val="18"/>
          <w:highlight w:val="lightGray"/>
        </w:rPr>
      </w:pPr>
      <w:r w:rsidRPr="00273B07">
        <w:rPr>
          <w:strike/>
          <w:sz w:val="18"/>
          <w:szCs w:val="18"/>
          <w:highlight w:val="lightGray"/>
        </w:rPr>
        <w:tab/>
        <w:t>(a)</w:t>
      </w:r>
      <w:r w:rsidRPr="00273B07">
        <w:rPr>
          <w:strike/>
          <w:sz w:val="18"/>
          <w:szCs w:val="18"/>
          <w:highlight w:val="lightGray"/>
        </w:rPr>
        <w:tab/>
        <w:t xml:space="preserve">refer the Test Guidelines back to the TWP (Step 4) or, </w:t>
      </w:r>
    </w:p>
    <w:p w:rsidR="00A8283B" w:rsidRPr="00273B07" w:rsidRDefault="00A8283B" w:rsidP="00A8283B">
      <w:pPr>
        <w:ind w:left="567" w:right="567"/>
        <w:rPr>
          <w:strike/>
          <w:sz w:val="18"/>
          <w:szCs w:val="18"/>
        </w:rPr>
      </w:pPr>
      <w:r w:rsidRPr="00273B07">
        <w:rPr>
          <w:strike/>
          <w:sz w:val="18"/>
          <w:szCs w:val="18"/>
          <w:highlight w:val="lightGray"/>
        </w:rPr>
        <w:tab/>
        <w:t>(b)</w:t>
      </w:r>
      <w:r w:rsidRPr="00273B07">
        <w:rPr>
          <w:strike/>
          <w:sz w:val="18"/>
          <w:szCs w:val="18"/>
          <w:highlight w:val="lightGray"/>
        </w:rPr>
        <w:tab/>
        <w:t>adopt the Test Guidelines subject to further information being provided by the Leading Expert with the agreement of all interested experts and the Chairperson of the TWP concerned.</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Unless otherwise agreed by the TC, the TC-EDC meets twice each year, once in the period March/April and once in conjunction with the TC session (October/November).  The TC-EDC will consider Test Guidelines submitted by the Technical Working Parties at least 14 weeks prior to the TC</w:t>
      </w:r>
      <w:r w:rsidRPr="00273B07">
        <w:rPr>
          <w:sz w:val="18"/>
          <w:szCs w:val="18"/>
          <w:highlight w:val="lightGray"/>
          <w:u w:val="single"/>
        </w:rPr>
        <w:noBreakHyphen/>
        <w:t>EDC meeting.  Test Guidelines submitted less than 14 weeks prior to the TC</w:t>
      </w:r>
      <w:r w:rsidRPr="00273B07">
        <w:rPr>
          <w:sz w:val="18"/>
          <w:szCs w:val="18"/>
          <w:highlight w:val="lightGray"/>
          <w:u w:val="single"/>
        </w:rPr>
        <w:noBreakHyphen/>
        <w:t>EDC meeting will be considered at its subsequent meeting.</w:t>
      </w:r>
    </w:p>
    <w:p w:rsidR="00A8283B" w:rsidRPr="00273B07" w:rsidRDefault="00A8283B" w:rsidP="00A8283B">
      <w:pPr>
        <w:tabs>
          <w:tab w:val="left" w:pos="567"/>
          <w:tab w:val="left" w:pos="1134"/>
          <w:tab w:val="left" w:pos="5387"/>
        </w:tabs>
        <w:ind w:left="567" w:right="567"/>
        <w:rPr>
          <w:sz w:val="18"/>
          <w:szCs w:val="18"/>
          <w:highlight w:val="lightGray"/>
          <w:u w:val="single"/>
        </w:rPr>
      </w:pPr>
    </w:p>
    <w:p w:rsidR="00A8283B" w:rsidRPr="00273B07" w:rsidRDefault="00A8283B" w:rsidP="00A8283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potential outcomes for Test Guidelines considered by the TC-EDC are as follows:</w:t>
      </w:r>
    </w:p>
    <w:p w:rsidR="00A8283B" w:rsidRPr="00273B07" w:rsidRDefault="00A8283B" w:rsidP="00A8283B">
      <w:pPr>
        <w:ind w:left="567" w:right="567"/>
        <w:rPr>
          <w:sz w:val="18"/>
          <w:szCs w:val="18"/>
          <w:highlight w:val="lightGray"/>
          <w:u w:val="single"/>
        </w:rPr>
      </w:pPr>
    </w:p>
    <w:p w:rsidR="00A8283B" w:rsidRPr="00273B07" w:rsidRDefault="00A8283B" w:rsidP="00A8283B">
      <w:pPr>
        <w:numPr>
          <w:ilvl w:val="0"/>
          <w:numId w:val="7"/>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no changes required to the Test Guidelines, or strictly editorial changes for which recommendations are agreed by the TC-EDC; or</w:t>
      </w:r>
    </w:p>
    <w:p w:rsidR="00A8283B" w:rsidRPr="00273B07" w:rsidRDefault="00A8283B" w:rsidP="00A8283B">
      <w:pPr>
        <w:numPr>
          <w:ilvl w:val="0"/>
          <w:numId w:val="7"/>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editorial clarifications required; or</w:t>
      </w:r>
    </w:p>
    <w:p w:rsidR="00A8283B" w:rsidRPr="00273B07" w:rsidRDefault="00A8283B" w:rsidP="00A8283B">
      <w:pPr>
        <w:numPr>
          <w:ilvl w:val="0"/>
          <w:numId w:val="7"/>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lastRenderedPageBreak/>
        <w:t>technical issues to be resolved.</w:t>
      </w:r>
    </w:p>
    <w:p w:rsidR="00A8283B" w:rsidRPr="00273B07" w:rsidRDefault="00A8283B" w:rsidP="00A8283B">
      <w:pPr>
        <w:ind w:left="567" w:right="567"/>
        <w:rPr>
          <w:sz w:val="18"/>
          <w:szCs w:val="18"/>
          <w:highlight w:val="lightGray"/>
          <w:u w:val="single"/>
        </w:rPr>
      </w:pPr>
    </w:p>
    <w:p w:rsidR="00A8283B" w:rsidRPr="00273B07" w:rsidRDefault="00A8283B" w:rsidP="00A8283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 xml:space="preserve">In cases where no changes are required to the Test Guidelines, or strictly editorial changes for which recommendations are agreed by the TC-EDC, the Test Guidelines will be put forward for adoption by the Technical Committee. </w:t>
      </w:r>
    </w:p>
    <w:p w:rsidR="00A8283B" w:rsidRPr="00273B07" w:rsidRDefault="00A8283B" w:rsidP="00A8283B">
      <w:pPr>
        <w:ind w:left="567" w:right="567"/>
        <w:rPr>
          <w:sz w:val="18"/>
          <w:szCs w:val="18"/>
          <w:highlight w:val="lightGray"/>
          <w:u w:val="single"/>
        </w:rPr>
      </w:pPr>
    </w:p>
    <w:p w:rsidR="00A8283B" w:rsidRPr="00273B07" w:rsidRDefault="00A8283B" w:rsidP="00A8283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 xml:space="preserve">The following procedure applies for Test Guidelines when editorial clarifications are required: </w:t>
      </w:r>
    </w:p>
    <w:p w:rsidR="00A8283B" w:rsidRPr="00273B07" w:rsidRDefault="00A8283B" w:rsidP="00A8283B">
      <w:pPr>
        <w:ind w:left="567" w:right="567"/>
        <w:rPr>
          <w:rFonts w:cs="Arial"/>
          <w:sz w:val="18"/>
          <w:szCs w:val="18"/>
          <w:highlight w:val="lightGray"/>
          <w:u w:val="single"/>
        </w:rPr>
      </w:pPr>
    </w:p>
    <w:p w:rsidR="00A8283B" w:rsidRPr="00273B07" w:rsidRDefault="00A8283B" w:rsidP="00A8283B">
      <w:pPr>
        <w:numPr>
          <w:ilvl w:val="0"/>
          <w:numId w:val="5"/>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request for clarifications is transmitted to the Leading Expert;</w:t>
      </w:r>
    </w:p>
    <w:p w:rsidR="00A8283B" w:rsidRPr="00273B07" w:rsidRDefault="00A8283B" w:rsidP="00A8283B">
      <w:pPr>
        <w:numPr>
          <w:ilvl w:val="0"/>
          <w:numId w:val="5"/>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clarifications to be provided within four weeks;</w:t>
      </w:r>
    </w:p>
    <w:p w:rsidR="00A8283B" w:rsidRPr="00273B07" w:rsidRDefault="00A8283B" w:rsidP="00A8283B">
      <w:pPr>
        <w:numPr>
          <w:ilvl w:val="0"/>
          <w:numId w:val="5"/>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the clarifications are agreed by the TC-EDC, the Test Guidelines will be recommended for adoption at the TC-EDC meeting;</w:t>
      </w:r>
    </w:p>
    <w:p w:rsidR="00A8283B" w:rsidRPr="00273B07" w:rsidRDefault="00A8283B" w:rsidP="00A8283B">
      <w:pPr>
        <w:numPr>
          <w:ilvl w:val="0"/>
          <w:numId w:val="5"/>
        </w:numPr>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Test Guidelines are considered for adoption by the TC.</w:t>
      </w:r>
    </w:p>
    <w:p w:rsidR="00A8283B" w:rsidRPr="00273B07" w:rsidRDefault="00A8283B" w:rsidP="00A8283B">
      <w:pPr>
        <w:ind w:left="993" w:right="567" w:hanging="426"/>
        <w:rPr>
          <w:sz w:val="18"/>
          <w:szCs w:val="18"/>
          <w:highlight w:val="lightGray"/>
          <w:u w:val="single"/>
        </w:rPr>
      </w:pPr>
    </w:p>
    <w:p w:rsidR="00A8283B" w:rsidRPr="00273B07" w:rsidRDefault="00A8283B" w:rsidP="00A8283B">
      <w:pPr>
        <w:ind w:left="993" w:right="567" w:hanging="426"/>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following procedure applies for Test Guidelines with technical issues to be resolved:</w:t>
      </w:r>
    </w:p>
    <w:p w:rsidR="00A8283B" w:rsidRPr="00273B07" w:rsidRDefault="00A8283B" w:rsidP="00A8283B">
      <w:pPr>
        <w:ind w:left="993" w:right="567" w:hanging="426"/>
        <w:rPr>
          <w:rFonts w:cs="Arial"/>
          <w:sz w:val="18"/>
          <w:szCs w:val="18"/>
          <w:highlight w:val="lightGray"/>
          <w:u w:val="single"/>
        </w:rPr>
      </w:pPr>
    </w:p>
    <w:p w:rsidR="00A8283B" w:rsidRPr="00273B07" w:rsidRDefault="00A8283B" w:rsidP="00A8283B">
      <w:pPr>
        <w:numPr>
          <w:ilvl w:val="0"/>
          <w:numId w:val="6"/>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 xml:space="preserve">technical issues to be transmitted to the Leading Expert </w:t>
      </w:r>
    </w:p>
    <w:p w:rsidR="00A8283B" w:rsidRPr="00273B07" w:rsidRDefault="00A8283B" w:rsidP="00A8283B">
      <w:pPr>
        <w:numPr>
          <w:ilvl w:val="0"/>
          <w:numId w:val="6"/>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 xml:space="preserve">the technical issues are to be addressed at the respective Technical Working Party by means of a TWP document prepared by the Leading Expert at least four weeks before TWP session (new draft Test Guidelines should not be prepared)  </w:t>
      </w:r>
    </w:p>
    <w:p w:rsidR="00A8283B" w:rsidRPr="00273B07" w:rsidRDefault="00A8283B" w:rsidP="00A8283B">
      <w:pPr>
        <w:numPr>
          <w:ilvl w:val="0"/>
          <w:numId w:val="6"/>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resolution of the issues to be provided to the TC-EDC at least seven weeks before the TC-EDC meeting;</w:t>
      </w:r>
    </w:p>
    <w:p w:rsidR="00A8283B" w:rsidRPr="00273B07" w:rsidRDefault="00A8283B" w:rsidP="00A8283B">
      <w:pPr>
        <w:numPr>
          <w:ilvl w:val="0"/>
          <w:numId w:val="5"/>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agreed by the TC-EDC, the Test Guidelines would be recommended for adoption at the TC</w:t>
      </w:r>
      <w:r w:rsidRPr="00273B07">
        <w:rPr>
          <w:rFonts w:cs="Arial"/>
          <w:sz w:val="18"/>
          <w:szCs w:val="18"/>
          <w:highlight w:val="lightGray"/>
          <w:u w:val="single"/>
          <w:lang w:val="en-GB" w:eastAsia="en-GB"/>
        </w:rPr>
        <w:noBreakHyphen/>
        <w:t>EDC meeting;</w:t>
      </w:r>
    </w:p>
    <w:p w:rsidR="00A8283B" w:rsidRPr="00273B07" w:rsidRDefault="00A8283B" w:rsidP="00A8283B">
      <w:pPr>
        <w:numPr>
          <w:ilvl w:val="0"/>
          <w:numId w:val="5"/>
        </w:numPr>
        <w:ind w:left="993" w:right="567" w:hanging="426"/>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Test Guidelines are considered for adoption by the TC.</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u w:val="single"/>
        </w:rPr>
      </w:pPr>
      <w:r w:rsidRPr="00273B07">
        <w:rPr>
          <w:sz w:val="18"/>
          <w:szCs w:val="18"/>
          <w:u w:val="single"/>
        </w:rPr>
        <w:t>“2.2.8</w:t>
      </w:r>
      <w:r w:rsidRPr="00273B07">
        <w:rPr>
          <w:sz w:val="18"/>
          <w:szCs w:val="18"/>
          <w:u w:val="single"/>
        </w:rPr>
        <w:tab/>
      </w:r>
      <w:r w:rsidRPr="00273B07">
        <w:rPr>
          <w:sz w:val="18"/>
          <w:szCs w:val="18"/>
          <w:u w:val="single"/>
          <w:bdr w:val="single" w:sz="4" w:space="0" w:color="auto"/>
        </w:rPr>
        <w:t>STEP 8</w:t>
      </w:r>
      <w:r w:rsidRPr="00273B07">
        <w:rPr>
          <w:sz w:val="18"/>
          <w:szCs w:val="18"/>
          <w:u w:val="single"/>
        </w:rPr>
        <w:tab/>
        <w:t xml:space="preserve">Adoption of Draft Test Guidelines by the Technical Committee  </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rPr>
      </w:pPr>
      <w:r w:rsidRPr="00273B07">
        <w:rPr>
          <w:sz w:val="18"/>
          <w:szCs w:val="18"/>
        </w:rPr>
        <w:t>“2.2.8.1</w:t>
      </w:r>
      <w:r w:rsidRPr="00273B07">
        <w:rPr>
          <w:sz w:val="18"/>
          <w:szCs w:val="18"/>
        </w:rPr>
        <w:tab/>
        <w:t>The Technical Committee will, on the basis of the recommendations of the TC</w:t>
      </w:r>
      <w:r w:rsidRPr="00273B07">
        <w:rPr>
          <w:sz w:val="18"/>
          <w:szCs w:val="18"/>
        </w:rPr>
        <w:noBreakHyphen/>
        <w:t>EDC, decide whether to adopt the Test Guidelines, or refer them back to the TWP concerned.</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highlight w:val="lightGray"/>
          <w:u w:val="single"/>
        </w:rPr>
      </w:pPr>
      <w:r w:rsidRPr="00273B07">
        <w:rPr>
          <w:sz w:val="18"/>
          <w:szCs w:val="18"/>
          <w:highlight w:val="lightGray"/>
          <w:u w:val="single"/>
        </w:rPr>
        <w:t>“NEW</w:t>
      </w:r>
      <w:r w:rsidRPr="00273B07">
        <w:rPr>
          <w:sz w:val="18"/>
          <w:szCs w:val="18"/>
          <w:highlight w:val="lightGray"/>
          <w:u w:val="single"/>
        </w:rPr>
        <w:tab/>
      </w:r>
      <w:r w:rsidRPr="00273B07">
        <w:rPr>
          <w:sz w:val="18"/>
          <w:szCs w:val="18"/>
          <w:highlight w:val="lightGray"/>
          <w:u w:val="single"/>
        </w:rPr>
        <w:tab/>
        <w:t>The Technical Committee may adopt Test Guidelines at its session or by correspondence.  Test Guidelines may be adopted by correspondence according to the following procedure:</w:t>
      </w:r>
    </w:p>
    <w:p w:rsidR="00A8283B" w:rsidRPr="00273B07" w:rsidRDefault="00A8283B" w:rsidP="00A8283B">
      <w:pPr>
        <w:ind w:left="567" w:right="567"/>
        <w:rPr>
          <w:sz w:val="18"/>
          <w:szCs w:val="18"/>
          <w:highlight w:val="lightGray"/>
          <w:u w:val="single"/>
        </w:rPr>
      </w:pPr>
    </w:p>
    <w:p w:rsidR="00A8283B" w:rsidRPr="00273B07" w:rsidRDefault="00A8283B" w:rsidP="00A8283B">
      <w:pPr>
        <w:numPr>
          <w:ilvl w:val="0"/>
          <w:numId w:val="4"/>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draft Test Guidelines are circulated to the TC for adoption by correspondence with the recommendations by the TC-EDC;</w:t>
      </w:r>
    </w:p>
    <w:p w:rsidR="00A8283B" w:rsidRPr="00273B07" w:rsidRDefault="00A8283B" w:rsidP="00A8283B">
      <w:pPr>
        <w:numPr>
          <w:ilvl w:val="0"/>
          <w:numId w:val="4"/>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The draft Test Guidelines are considered as adopted if no comments are received within six weeks;</w:t>
      </w:r>
    </w:p>
    <w:p w:rsidR="00A8283B" w:rsidRPr="00273B07" w:rsidRDefault="00A8283B" w:rsidP="00A8283B">
      <w:pPr>
        <w:numPr>
          <w:ilvl w:val="0"/>
          <w:numId w:val="4"/>
        </w:numPr>
        <w:tabs>
          <w:tab w:val="left" w:pos="1134"/>
          <w:tab w:val="left" w:pos="5387"/>
        </w:tabs>
        <w:ind w:left="1134" w:right="567" w:hanging="567"/>
        <w:contextualSpacing/>
        <w:rPr>
          <w:rFonts w:cs="Arial"/>
          <w:sz w:val="18"/>
          <w:szCs w:val="18"/>
          <w:highlight w:val="lightGray"/>
          <w:u w:val="single"/>
          <w:lang w:val="en-GB" w:eastAsia="en-GB"/>
        </w:rPr>
      </w:pPr>
      <w:r w:rsidRPr="00273B07">
        <w:rPr>
          <w:rFonts w:cs="Arial"/>
          <w:sz w:val="18"/>
          <w:szCs w:val="18"/>
          <w:highlight w:val="lightGray"/>
          <w:u w:val="single"/>
          <w:lang w:val="en-GB" w:eastAsia="en-GB"/>
        </w:rPr>
        <w:t>If any comments are received, the draft Test Guidelines are referred to the relevant TWP to address those comments.</w:t>
      </w:r>
    </w:p>
    <w:p w:rsidR="00A8283B" w:rsidRPr="00273B07" w:rsidRDefault="00A8283B" w:rsidP="00A8283B">
      <w:pPr>
        <w:ind w:left="567" w:right="567"/>
        <w:rPr>
          <w:sz w:val="18"/>
          <w:szCs w:val="18"/>
        </w:rPr>
      </w:pPr>
    </w:p>
    <w:p w:rsidR="00A8283B" w:rsidRPr="00273B07" w:rsidRDefault="00A8283B" w:rsidP="00A8283B">
      <w:pPr>
        <w:ind w:left="567" w:right="567"/>
        <w:rPr>
          <w:sz w:val="18"/>
          <w:szCs w:val="18"/>
        </w:rPr>
      </w:pPr>
      <w:r w:rsidRPr="00273B07">
        <w:rPr>
          <w:sz w:val="18"/>
          <w:szCs w:val="18"/>
        </w:rPr>
        <w:t>“2.2.8.2</w:t>
      </w:r>
      <w:r w:rsidRPr="00273B07">
        <w:rPr>
          <w:sz w:val="18"/>
          <w:szCs w:val="18"/>
        </w:rPr>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A8283B" w:rsidRPr="00273B07" w:rsidRDefault="00A8283B" w:rsidP="00A8283B">
      <w:pPr>
        <w:ind w:left="567" w:right="567"/>
        <w:rPr>
          <w:strike/>
          <w:sz w:val="18"/>
          <w:szCs w:val="18"/>
        </w:rPr>
      </w:pPr>
    </w:p>
    <w:p w:rsidR="00A8283B" w:rsidRPr="00273B07" w:rsidRDefault="00A8283B" w:rsidP="00A8283B">
      <w:pPr>
        <w:ind w:left="567" w:right="567"/>
        <w:rPr>
          <w:strike/>
          <w:sz w:val="18"/>
          <w:szCs w:val="18"/>
        </w:rPr>
      </w:pPr>
      <w:r w:rsidRPr="00273B07">
        <w:rPr>
          <w:strike/>
          <w:sz w:val="18"/>
          <w:szCs w:val="18"/>
          <w:highlight w:val="lightGray"/>
        </w:rPr>
        <w:t>“2.2.8.3</w:t>
      </w:r>
      <w:r w:rsidRPr="00273B07">
        <w:rPr>
          <w:strike/>
          <w:sz w:val="18"/>
          <w:szCs w:val="18"/>
          <w:highlight w:val="lightGray"/>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273B07">
        <w:rPr>
          <w:strike/>
          <w:sz w:val="18"/>
          <w:szCs w:val="18"/>
          <w:highlight w:val="lightGray"/>
        </w:rPr>
        <w:noBreakHyphen/>
        <w:t>presented at the TWP concerned (Step 4).”</w:t>
      </w:r>
    </w:p>
    <w:p w:rsidR="00A8283B" w:rsidRPr="00273B07" w:rsidRDefault="00A8283B" w:rsidP="00A8283B"/>
    <w:p w:rsidR="00A8283B" w:rsidRDefault="00A8283B" w:rsidP="00A8283B"/>
    <w:p w:rsidR="00A8283B" w:rsidRPr="00273B07" w:rsidRDefault="00A8283B" w:rsidP="00A8283B"/>
    <w:p w:rsidR="00A8283B" w:rsidRPr="00273B07" w:rsidRDefault="00A8283B" w:rsidP="00A8283B">
      <w:pPr>
        <w:jc w:val="right"/>
      </w:pPr>
      <w:r w:rsidRPr="00273B07">
        <w:t>[Annex II follows]</w:t>
      </w:r>
    </w:p>
    <w:p w:rsidR="004F45B7" w:rsidRDefault="004F45B7" w:rsidP="004F45B7"/>
    <w:p w:rsidR="00A8283B" w:rsidRDefault="00A8283B" w:rsidP="004F45B7">
      <w:pPr>
        <w:sectPr w:rsidR="00A8283B" w:rsidSect="00A20071">
          <w:headerReference w:type="default" r:id="rId20"/>
          <w:headerReference w:type="first" r:id="rId21"/>
          <w:footnotePr>
            <w:numRestart w:val="eachSect"/>
          </w:footnotePr>
          <w:pgSz w:w="11907" w:h="16840" w:code="9"/>
          <w:pgMar w:top="510" w:right="1134" w:bottom="1134" w:left="1134" w:header="510" w:footer="680" w:gutter="0"/>
          <w:pgNumType w:start="1"/>
          <w:cols w:space="720"/>
          <w:titlePg/>
        </w:sectPr>
      </w:pPr>
    </w:p>
    <w:p w:rsidR="00C315A0" w:rsidRDefault="00C315A0" w:rsidP="00C315A0">
      <w:pPr>
        <w:jc w:val="center"/>
        <w:rPr>
          <w:caps/>
        </w:rPr>
      </w:pPr>
      <w:r w:rsidRPr="002E1B40">
        <w:rPr>
          <w:caps/>
        </w:rPr>
        <w:lastRenderedPageBreak/>
        <w:t>Revision</w:t>
      </w:r>
      <w:r>
        <w:rPr>
          <w:caps/>
        </w:rPr>
        <w:t xml:space="preserve">s </w:t>
      </w:r>
      <w:r w:rsidR="004A086C">
        <w:rPr>
          <w:caps/>
        </w:rPr>
        <w:t>to</w:t>
      </w:r>
      <w:r>
        <w:rPr>
          <w:caps/>
        </w:rPr>
        <w:t xml:space="preserve"> document TGP/8</w:t>
      </w:r>
      <w:r w:rsidRPr="002E1B40">
        <w:rPr>
          <w:caps/>
        </w:rPr>
        <w:t xml:space="preserve"> “</w:t>
      </w:r>
      <w:r w:rsidRPr="00C315A0">
        <w:rPr>
          <w:caps/>
        </w:rPr>
        <w:t>Trial Design and Techniques Used in the Examination of Distinctness, Uniformity and Stability</w:t>
      </w:r>
      <w:r w:rsidRPr="002E1B40">
        <w:rPr>
          <w:caps/>
        </w:rPr>
        <w:t xml:space="preserve">” </w:t>
      </w:r>
    </w:p>
    <w:p w:rsidR="0099612E" w:rsidRDefault="0099612E" w:rsidP="0099612E">
      <w:pPr>
        <w:jc w:val="center"/>
      </w:pPr>
      <w:r>
        <w:t>AGREED BY THE TECHNICAL COMMITTEE AT ITS FIFTY-</w:t>
      </w:r>
      <w:r w:rsidR="005E1F43">
        <w:t>THIRD</w:t>
      </w:r>
      <w:bookmarkStart w:id="8" w:name="_Ref13509596"/>
      <w:r w:rsidR="005E1F43">
        <w:rPr>
          <w:rStyle w:val="FootnoteReference"/>
        </w:rPr>
        <w:footnoteReference w:id="8"/>
      </w:r>
      <w:bookmarkEnd w:id="8"/>
      <w:r w:rsidR="005E1F43">
        <w:t xml:space="preserve"> AND FIFTY-</w:t>
      </w:r>
      <w:r>
        <w:t>FOURTH</w:t>
      </w:r>
      <w:bookmarkStart w:id="9" w:name="_Ref13509615"/>
      <w:r w:rsidR="005E1F43">
        <w:rPr>
          <w:rStyle w:val="FootnoteReference"/>
        </w:rPr>
        <w:footnoteReference w:id="9"/>
      </w:r>
      <w:bookmarkEnd w:id="9"/>
      <w:r>
        <w:t xml:space="preserve"> SESSION</w:t>
      </w:r>
      <w:r w:rsidR="005E1F43">
        <w:t>S</w:t>
      </w:r>
    </w:p>
    <w:p w:rsidR="0099612E" w:rsidRPr="002E1B40" w:rsidRDefault="0099612E" w:rsidP="00C315A0">
      <w:pPr>
        <w:jc w:val="center"/>
        <w:rPr>
          <w:caps/>
        </w:rPr>
      </w:pPr>
    </w:p>
    <w:p w:rsidR="00CD0F11" w:rsidRPr="002E1B40" w:rsidRDefault="00CD0F11" w:rsidP="00CD0F11">
      <w:pPr>
        <w:jc w:val="center"/>
      </w:pPr>
    </w:p>
    <w:p w:rsidR="00CD0F11" w:rsidRPr="002E1B40" w:rsidRDefault="00CD0F11" w:rsidP="00CD0F11">
      <w:r w:rsidRPr="002E1B40">
        <w:rPr>
          <w:noProof/>
        </w:rPr>
        <mc:AlternateContent>
          <mc:Choice Requires="wps">
            <w:drawing>
              <wp:anchor distT="0" distB="0" distL="114300" distR="114300" simplePos="0" relativeHeight="251663360" behindDoc="0" locked="0" layoutInCell="1" allowOverlap="1" wp14:anchorId="0229558E" wp14:editId="06C3D6D2">
                <wp:simplePos x="0" y="0"/>
                <wp:positionH relativeFrom="column">
                  <wp:align>center</wp:align>
                </wp:positionH>
                <wp:positionV relativeFrom="paragraph">
                  <wp:posOffset>0</wp:posOffset>
                </wp:positionV>
                <wp:extent cx="4119842" cy="402609"/>
                <wp:effectExtent l="0" t="0" r="1460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4352D" w:rsidRDefault="00C4352D" w:rsidP="00CD0F11">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4352D" w:rsidRDefault="00C4352D" w:rsidP="00CD0F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9558E" id="_x0000_s1027" type="#_x0000_t202" style="position:absolute;left:0;text-align:left;margin-left:0;margin-top:0;width:324.4pt;height:31.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JQIAAEsEAAAOAAAAZHJzL2Uyb0RvYy54bWysVNuO2yAQfa/Uf0C8N77I2W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">
                <v:textbox>
                  <w:txbxContent>
                    <w:p w:rsidR="00C4352D" w:rsidRDefault="00C4352D" w:rsidP="00CD0F11">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4352D" w:rsidRDefault="00C4352D" w:rsidP="00CD0F11"/>
                  </w:txbxContent>
                </v:textbox>
              </v:shape>
            </w:pict>
          </mc:Fallback>
        </mc:AlternateContent>
      </w:r>
    </w:p>
    <w:p w:rsidR="00CD0F11" w:rsidRPr="002E1B40" w:rsidRDefault="00CD0F11" w:rsidP="00CD0F11"/>
    <w:p w:rsidR="00CD0F11" w:rsidRPr="002E1B40" w:rsidRDefault="00CD0F11" w:rsidP="00CD0F11"/>
    <w:p w:rsidR="00CD0F11" w:rsidRPr="002E1B40" w:rsidRDefault="00CD0F11" w:rsidP="00CD0F11"/>
    <w:p w:rsidR="00A8283B" w:rsidRDefault="00A8283B" w:rsidP="004F45B7"/>
    <w:p w:rsidR="0061050E" w:rsidRPr="00273B07" w:rsidRDefault="0061050E" w:rsidP="0061050E">
      <w:pPr>
        <w:keepNext/>
        <w:rPr>
          <w:caps/>
        </w:rPr>
      </w:pPr>
    </w:p>
    <w:p w:rsidR="0061050E" w:rsidRPr="00273B07" w:rsidRDefault="0061050E" w:rsidP="0061050E">
      <w:pPr>
        <w:keepNext/>
        <w:rPr>
          <w:u w:val="single"/>
        </w:rPr>
      </w:pPr>
      <w:r w:rsidRPr="00273B07">
        <w:rPr>
          <w:u w:val="single"/>
        </w:rPr>
        <w:t>Examining DUS in Bulk Samples</w:t>
      </w:r>
    </w:p>
    <w:p w:rsidR="0061050E" w:rsidRDefault="0061050E" w:rsidP="0061050E">
      <w:pPr>
        <w:keepNext/>
      </w:pPr>
    </w:p>
    <w:p w:rsidR="005E1F43" w:rsidRPr="00273B07" w:rsidRDefault="005E1F43" w:rsidP="005E1F43">
      <w:pPr>
        <w:keepNext/>
        <w:rPr>
          <w:i/>
        </w:rPr>
      </w:pPr>
      <w:r w:rsidRPr="00273B07">
        <w:rPr>
          <w:i/>
        </w:rPr>
        <w:t>New Section 12: Examining characteristics on the basis of bulk samples</w:t>
      </w:r>
    </w:p>
    <w:p w:rsidR="005E1F43" w:rsidRPr="00273B07" w:rsidRDefault="005E1F43" w:rsidP="005E1F43">
      <w:pPr>
        <w:keepNext/>
      </w:pPr>
    </w:p>
    <w:p w:rsidR="005E1F43" w:rsidRDefault="005E1F43" w:rsidP="005E1F43">
      <w:pPr>
        <w:keepNext/>
      </w:pPr>
      <w:r w:rsidRPr="00273B07">
        <w:t>The TC, at its fifty-third session</w:t>
      </w:r>
      <w:r w:rsidRPr="00BF0B0F">
        <w:rPr>
          <w:vertAlign w:val="superscript"/>
        </w:rPr>
        <w:fldChar w:fldCharType="begin"/>
      </w:r>
      <w:r w:rsidRPr="00BF0B0F">
        <w:rPr>
          <w:vertAlign w:val="superscript"/>
        </w:rPr>
        <w:instrText xml:space="preserve"> NOTEREF _Ref13509596 \h </w:instrText>
      </w:r>
      <w:r>
        <w:rPr>
          <w:vertAlign w:val="superscript"/>
        </w:rPr>
        <w:instrText xml:space="preserve"> \* MERGEFORMAT </w:instrText>
      </w:r>
      <w:r w:rsidRPr="00BF0B0F">
        <w:rPr>
          <w:vertAlign w:val="superscript"/>
        </w:rPr>
      </w:r>
      <w:r w:rsidRPr="00BF0B0F">
        <w:rPr>
          <w:vertAlign w:val="superscript"/>
        </w:rPr>
        <w:fldChar w:fldCharType="separate"/>
      </w:r>
      <w:r w:rsidR="006E3734">
        <w:rPr>
          <w:vertAlign w:val="superscript"/>
        </w:rPr>
        <w:t>1</w:t>
      </w:r>
      <w:r w:rsidRPr="00BF0B0F">
        <w:rPr>
          <w:vertAlign w:val="superscript"/>
        </w:rPr>
        <w:fldChar w:fldCharType="end"/>
      </w:r>
      <w:r w:rsidRPr="00273B07">
        <w:t>, agreed a list of criteria as the basis for the development of guidance for inclusion in a future revision of document TGP/8, as follows (see document TC/53/31 “Report”, paragraphs 113 to 116):</w:t>
      </w:r>
    </w:p>
    <w:p w:rsidR="005E1F43" w:rsidRDefault="005E1F43" w:rsidP="005E1F43">
      <w:pPr>
        <w:keepNext/>
      </w:pPr>
    </w:p>
    <w:p w:rsidR="005E1F43" w:rsidRPr="00CD0F11" w:rsidRDefault="005E1F43" w:rsidP="005E1F43">
      <w:pPr>
        <w:keepNext/>
        <w:ind w:left="567" w:right="567"/>
        <w:rPr>
          <w:b/>
          <w:sz w:val="18"/>
          <w:highlight w:val="lightGray"/>
          <w:u w:val="single"/>
        </w:rPr>
      </w:pPr>
      <w:r w:rsidRPr="00CD0F11">
        <w:rPr>
          <w:b/>
          <w:sz w:val="18"/>
          <w:highlight w:val="lightGray"/>
          <w:u w:val="single"/>
        </w:rPr>
        <w:t>12.</w:t>
      </w:r>
      <w:r w:rsidRPr="00CD0F11">
        <w:rPr>
          <w:b/>
          <w:sz w:val="18"/>
          <w:highlight w:val="lightGray"/>
          <w:u w:val="single"/>
        </w:rPr>
        <w:tab/>
        <w:t>EXAMINING CHARACTERISTICS ON THE BASIS OF BULK SAMPLES</w:t>
      </w:r>
    </w:p>
    <w:p w:rsidR="005E1F43" w:rsidRPr="00CD0F11" w:rsidRDefault="005E1F43" w:rsidP="005E1F43">
      <w:pPr>
        <w:keepNext/>
        <w:ind w:left="567" w:right="567"/>
        <w:rPr>
          <w:sz w:val="18"/>
          <w:highlight w:val="lightGray"/>
          <w:u w:val="single"/>
        </w:rPr>
      </w:pPr>
    </w:p>
    <w:p w:rsidR="005E1F43" w:rsidRPr="00CD0F11" w:rsidRDefault="005E1F43" w:rsidP="005E1F43">
      <w:pPr>
        <w:keepNext/>
        <w:ind w:left="567" w:right="567"/>
        <w:rPr>
          <w:sz w:val="18"/>
          <w:u w:val="single"/>
        </w:rPr>
      </w:pPr>
      <w:r w:rsidRPr="00CD0F11">
        <w:rPr>
          <w:sz w:val="18"/>
          <w:highlight w:val="lightGray"/>
          <w:u w:val="single"/>
        </w:rPr>
        <w:t>The following criteria should be observed when examining characteristics on the basis of bulk samples:</w:t>
      </w:r>
    </w:p>
    <w:p w:rsidR="005E1F43" w:rsidRPr="00CD0F11" w:rsidRDefault="005E1F43" w:rsidP="005E1F43">
      <w:pPr>
        <w:keepNext/>
        <w:ind w:left="567" w:right="567"/>
        <w:rPr>
          <w:sz w:val="18"/>
        </w:rPr>
      </w:pPr>
    </w:p>
    <w:p w:rsidR="005E1F43" w:rsidRPr="00CD0F11" w:rsidRDefault="005E1F43" w:rsidP="005E1F43">
      <w:pPr>
        <w:numPr>
          <w:ilvl w:val="0"/>
          <w:numId w:val="9"/>
        </w:numPr>
        <w:ind w:left="1134" w:right="567" w:hanging="567"/>
        <w:rPr>
          <w:sz w:val="18"/>
          <w:highlight w:val="lightGray"/>
          <w:u w:val="single"/>
        </w:rPr>
      </w:pPr>
      <w:r w:rsidRPr="00CD0F11">
        <w:rPr>
          <w:iCs/>
          <w:sz w:val="18"/>
          <w:highlight w:val="lightGray"/>
          <w:u w:val="single"/>
        </w:rPr>
        <w:t xml:space="preserve">“the characteristic should fulfill the requirements </w:t>
      </w:r>
      <w:r w:rsidRPr="00CD0F11">
        <w:rPr>
          <w:sz w:val="18"/>
          <w:highlight w:val="lightGray"/>
          <w:u w:val="single"/>
        </w:rPr>
        <w:t>of a characteristic, as set out in the “General Introduction to the Examination of Distinctness, Uniformity and Stability and the Development of Harmonized Descriptions of new Varieties of Plants” (see document TG/1/3, Section 4.2.1);</w:t>
      </w:r>
    </w:p>
    <w:p w:rsidR="005E1F43" w:rsidRPr="00CD0F11" w:rsidRDefault="005E1F43" w:rsidP="005E1F43">
      <w:pPr>
        <w:ind w:left="1134" w:right="567" w:hanging="567"/>
        <w:rPr>
          <w:sz w:val="18"/>
          <w:highlight w:val="lightGray"/>
          <w:u w:val="single"/>
        </w:rPr>
      </w:pPr>
    </w:p>
    <w:p w:rsidR="005E1F43" w:rsidRPr="00CD0F11" w:rsidRDefault="005E1F43" w:rsidP="005E1F43">
      <w:pPr>
        <w:numPr>
          <w:ilvl w:val="0"/>
          <w:numId w:val="9"/>
        </w:numPr>
        <w:ind w:left="1134" w:right="567" w:hanging="567"/>
        <w:rPr>
          <w:sz w:val="18"/>
          <w:highlight w:val="lightGray"/>
          <w:u w:val="single"/>
        </w:rPr>
      </w:pPr>
      <w:r w:rsidRPr="00CD0F11">
        <w:rPr>
          <w:sz w:val="18"/>
          <w:highlight w:val="lightGray"/>
          <w:u w:val="single"/>
        </w:rPr>
        <w:t>“there should be knowledge of the genetic control of the characteristic;</w:t>
      </w:r>
    </w:p>
    <w:p w:rsidR="005E1F43" w:rsidRPr="00CD0F11" w:rsidRDefault="005E1F43" w:rsidP="005E1F43">
      <w:pPr>
        <w:ind w:left="1134" w:right="567" w:hanging="567"/>
        <w:rPr>
          <w:iCs/>
          <w:sz w:val="18"/>
          <w:highlight w:val="lightGray"/>
          <w:u w:val="single"/>
        </w:rPr>
      </w:pPr>
    </w:p>
    <w:p w:rsidR="005E1F43" w:rsidRPr="00CD0F11" w:rsidRDefault="005E1F43" w:rsidP="005E1F43">
      <w:pPr>
        <w:numPr>
          <w:ilvl w:val="0"/>
          <w:numId w:val="9"/>
        </w:numPr>
        <w:ind w:left="1134" w:right="567" w:hanging="567"/>
        <w:rPr>
          <w:iCs/>
          <w:sz w:val="18"/>
          <w:highlight w:val="lightGray"/>
          <w:u w:val="single"/>
        </w:rPr>
      </w:pPr>
      <w:r w:rsidRPr="00CD0F11">
        <w:rPr>
          <w:iCs/>
          <w:sz w:val="18"/>
          <w:highlight w:val="lightGray"/>
          <w:u w:val="single"/>
        </w:rPr>
        <w:t xml:space="preserve">“the suitability of the characteristic should be validated through an initial assessment of uniformity on individual plants; </w:t>
      </w:r>
    </w:p>
    <w:p w:rsidR="005E1F43" w:rsidRPr="00CD0F11" w:rsidRDefault="005E1F43" w:rsidP="005E1F43">
      <w:pPr>
        <w:ind w:left="1134" w:right="567" w:hanging="567"/>
        <w:rPr>
          <w:iCs/>
          <w:sz w:val="18"/>
          <w:highlight w:val="lightGray"/>
          <w:u w:val="single"/>
        </w:rPr>
      </w:pPr>
    </w:p>
    <w:p w:rsidR="005E1F43" w:rsidRPr="00CD0F11" w:rsidRDefault="005E1F43" w:rsidP="005E1F43">
      <w:pPr>
        <w:numPr>
          <w:ilvl w:val="0"/>
          <w:numId w:val="9"/>
        </w:numPr>
        <w:ind w:left="1134" w:right="567" w:hanging="567"/>
        <w:rPr>
          <w:iCs/>
          <w:sz w:val="18"/>
          <w:highlight w:val="lightGray"/>
          <w:u w:val="single"/>
        </w:rPr>
      </w:pPr>
      <w:r w:rsidRPr="00CD0F11">
        <w:rPr>
          <w:sz w:val="18"/>
          <w:highlight w:val="lightGray"/>
          <w:u w:val="single"/>
        </w:rPr>
        <w:t xml:space="preserve">“information on plant-by-plant variation and differences between growing cycles should be provided (data from </w:t>
      </w:r>
      <w:r w:rsidRPr="00CD0F11">
        <w:rPr>
          <w:iCs/>
          <w:sz w:val="18"/>
          <w:highlight w:val="lightGray"/>
          <w:u w:val="single"/>
        </w:rPr>
        <w:t>routine measurement of the characteristic from different years);</w:t>
      </w:r>
    </w:p>
    <w:p w:rsidR="005E1F43" w:rsidRPr="00CD0F11" w:rsidRDefault="005E1F43" w:rsidP="005E1F43">
      <w:pPr>
        <w:ind w:left="1134" w:right="567" w:hanging="567"/>
        <w:rPr>
          <w:iCs/>
          <w:sz w:val="18"/>
          <w:highlight w:val="lightGray"/>
          <w:u w:val="single"/>
        </w:rPr>
      </w:pPr>
    </w:p>
    <w:p w:rsidR="005E1F43" w:rsidRPr="00CD0F11" w:rsidRDefault="005E1F43" w:rsidP="005E1F43">
      <w:pPr>
        <w:numPr>
          <w:ilvl w:val="0"/>
          <w:numId w:val="9"/>
        </w:numPr>
        <w:ind w:left="1134" w:right="567" w:hanging="567"/>
        <w:rPr>
          <w:sz w:val="18"/>
          <w:highlight w:val="lightGray"/>
          <w:u w:val="single"/>
        </w:rPr>
      </w:pPr>
      <w:r w:rsidRPr="00CD0F11">
        <w:rPr>
          <w:sz w:val="18"/>
          <w:highlight w:val="lightGray"/>
          <w:u w:val="single"/>
        </w:rPr>
        <w:t>“a full description of the method of assessment should be provided;</w:t>
      </w:r>
    </w:p>
    <w:p w:rsidR="005E1F43" w:rsidRPr="00CD0F11" w:rsidRDefault="005E1F43" w:rsidP="005E1F43">
      <w:pPr>
        <w:ind w:left="1134" w:right="567" w:hanging="567"/>
        <w:rPr>
          <w:sz w:val="18"/>
          <w:highlight w:val="lightGray"/>
          <w:u w:val="single"/>
        </w:rPr>
      </w:pPr>
    </w:p>
    <w:p w:rsidR="005E1F43" w:rsidRPr="00CD0F11" w:rsidRDefault="005E1F43" w:rsidP="005E1F43">
      <w:pPr>
        <w:numPr>
          <w:ilvl w:val="0"/>
          <w:numId w:val="9"/>
        </w:numPr>
        <w:ind w:left="1134" w:right="567" w:hanging="567"/>
        <w:rPr>
          <w:sz w:val="18"/>
          <w:highlight w:val="lightGray"/>
          <w:u w:val="single"/>
        </w:rPr>
      </w:pPr>
      <w:r w:rsidRPr="00CD0F11">
        <w:rPr>
          <w:sz w:val="18"/>
          <w:highlight w:val="lightGray"/>
          <w:u w:val="single"/>
        </w:rPr>
        <w:t>“states of expression should be based on existing variation between varieties considering environmental influence.”</w:t>
      </w:r>
    </w:p>
    <w:p w:rsidR="005E1F43" w:rsidRDefault="005E1F43" w:rsidP="005E1F43">
      <w:pPr>
        <w:rPr>
          <w:u w:val="single"/>
        </w:rPr>
      </w:pPr>
    </w:p>
    <w:p w:rsidR="005E1F43" w:rsidRPr="00CD0F11" w:rsidRDefault="005E1F43" w:rsidP="005E1F43">
      <w:pPr>
        <w:rPr>
          <w:u w:val="single"/>
        </w:rPr>
      </w:pPr>
    </w:p>
    <w:p w:rsidR="00CD0F11" w:rsidRPr="00BF0B0F" w:rsidRDefault="00CD0F11" w:rsidP="0061050E">
      <w:pPr>
        <w:keepNext/>
        <w:rPr>
          <w:i/>
        </w:rPr>
      </w:pPr>
      <w:r w:rsidRPr="00BF0B0F">
        <w:rPr>
          <w:i/>
        </w:rPr>
        <w:t>Method for more than one single test (year)</w:t>
      </w:r>
    </w:p>
    <w:p w:rsidR="00CD0F11" w:rsidRDefault="00CD0F11" w:rsidP="0061050E">
      <w:pPr>
        <w:keepNext/>
      </w:pPr>
    </w:p>
    <w:p w:rsidR="00CD0F11" w:rsidRDefault="00CD0F11" w:rsidP="0061050E">
      <w:pPr>
        <w:keepNext/>
      </w:pPr>
      <w:r w:rsidRPr="00273B07">
        <w:t>The TC</w:t>
      </w:r>
      <w:r>
        <w:t>,</w:t>
      </w:r>
      <w:r w:rsidRPr="00273B07">
        <w:t xml:space="preserve"> </w:t>
      </w:r>
      <w:r>
        <w:t>at its fifty-fourth session</w:t>
      </w:r>
      <w:r w:rsidR="005E1F43" w:rsidRPr="00BF0B0F">
        <w:rPr>
          <w:vertAlign w:val="superscript"/>
        </w:rPr>
        <w:fldChar w:fldCharType="begin"/>
      </w:r>
      <w:r w:rsidR="005E1F43" w:rsidRPr="00BF0B0F">
        <w:rPr>
          <w:vertAlign w:val="superscript"/>
        </w:rPr>
        <w:instrText xml:space="preserve"> NOTEREF _Ref13509615 \h </w:instrText>
      </w:r>
      <w:r w:rsidR="005E1F43">
        <w:rPr>
          <w:vertAlign w:val="superscript"/>
        </w:rPr>
        <w:instrText xml:space="preserve"> \* MERGEFORMAT </w:instrText>
      </w:r>
      <w:r w:rsidR="005E1F43" w:rsidRPr="00BF0B0F">
        <w:rPr>
          <w:vertAlign w:val="superscript"/>
        </w:rPr>
      </w:r>
      <w:r w:rsidR="005E1F43" w:rsidRPr="00BF0B0F">
        <w:rPr>
          <w:vertAlign w:val="superscript"/>
        </w:rPr>
        <w:fldChar w:fldCharType="separate"/>
      </w:r>
      <w:r w:rsidR="006E3734">
        <w:rPr>
          <w:vertAlign w:val="superscript"/>
        </w:rPr>
        <w:t>2</w:t>
      </w:r>
      <w:r w:rsidR="005E1F43" w:rsidRPr="00BF0B0F">
        <w:rPr>
          <w:vertAlign w:val="superscript"/>
        </w:rPr>
        <w:fldChar w:fldCharType="end"/>
      </w:r>
      <w:r>
        <w:t xml:space="preserve">, </w:t>
      </w:r>
      <w:r w:rsidRPr="00273B07">
        <w:t xml:space="preserve">noted that guidance on </w:t>
      </w:r>
      <w:r w:rsidRPr="00CD0F11">
        <w:t xml:space="preserve">“Examining characteristics on the basis of bulk samples” </w:t>
      </w:r>
      <w:r w:rsidRPr="00273B07">
        <w:t>had been developed for document TGP/10 and agreed that the current guidance in document TGP/8/2: Part II: Section 8: Subsection 8.1.7 should be replaced by a cross-reference to the new guidance on “Assessing uniformity by off-types on the basis of more than one growing cycle or on the basis of sub-samples” to be included in document TGP/10 “Examining Uniformity”</w:t>
      </w:r>
      <w:r>
        <w:t>:</w:t>
      </w:r>
    </w:p>
    <w:p w:rsidR="00CD0F11" w:rsidRDefault="00CD0F11" w:rsidP="0061050E">
      <w:pPr>
        <w:keepNext/>
      </w:pPr>
    </w:p>
    <w:p w:rsidR="00CD0F11" w:rsidRPr="00CD0F11" w:rsidRDefault="00CD0F11" w:rsidP="00CD0F11">
      <w:pPr>
        <w:keepNext/>
        <w:tabs>
          <w:tab w:val="left" w:pos="1276"/>
        </w:tabs>
        <w:ind w:left="567" w:right="567"/>
        <w:rPr>
          <w:sz w:val="18"/>
        </w:rPr>
      </w:pPr>
      <w:r w:rsidRPr="00CD0F11">
        <w:rPr>
          <w:sz w:val="18"/>
        </w:rPr>
        <w:t>8.1.7</w:t>
      </w:r>
      <w:r w:rsidRPr="00CD0F11">
        <w:rPr>
          <w:sz w:val="18"/>
        </w:rPr>
        <w:tab/>
        <w:t>Method for more than one single test (year)</w:t>
      </w:r>
    </w:p>
    <w:p w:rsidR="00CD0F11" w:rsidRPr="00CD0F11" w:rsidRDefault="00CD0F11" w:rsidP="00CD0F11">
      <w:pPr>
        <w:keepNext/>
        <w:tabs>
          <w:tab w:val="left" w:pos="1276"/>
        </w:tabs>
        <w:ind w:left="567" w:right="567"/>
        <w:rPr>
          <w:sz w:val="18"/>
        </w:rPr>
      </w:pPr>
    </w:p>
    <w:p w:rsidR="00CD0F11" w:rsidRPr="00BF0B0F" w:rsidRDefault="00CD0F11" w:rsidP="00BF0B0F">
      <w:pPr>
        <w:keepNext/>
        <w:tabs>
          <w:tab w:val="left" w:pos="1276"/>
        </w:tabs>
        <w:ind w:left="567" w:right="567"/>
        <w:rPr>
          <w:sz w:val="18"/>
          <w:u w:val="single"/>
        </w:rPr>
      </w:pPr>
      <w:r w:rsidRPr="00CD0F11">
        <w:rPr>
          <w:sz w:val="18"/>
          <w:highlight w:val="lightGray"/>
          <w:u w:val="single"/>
        </w:rPr>
        <w:t>8.1.7.1</w:t>
      </w:r>
      <w:r w:rsidRPr="00CD0F11">
        <w:rPr>
          <w:sz w:val="18"/>
          <w:highlight w:val="lightGray"/>
          <w:u w:val="single"/>
        </w:rPr>
        <w:tab/>
        <w:t>Guidance on assessing uniformity by off-types on the basis of more than one growing cycle and on the basis of sub-samples within a single test/trial is provided in document TGP/10 “Assessing Uniformity”.</w:t>
      </w:r>
    </w:p>
    <w:p w:rsidR="00CD0F11" w:rsidRPr="00273B07" w:rsidRDefault="00CD0F11" w:rsidP="0061050E">
      <w:pPr>
        <w:keepNext/>
      </w:pPr>
    </w:p>
    <w:p w:rsidR="0061050E" w:rsidRPr="00273B07" w:rsidRDefault="0061050E" w:rsidP="0061050E"/>
    <w:p w:rsidR="0061050E" w:rsidRPr="00273B07" w:rsidRDefault="0061050E" w:rsidP="0061050E"/>
    <w:p w:rsidR="0061050E" w:rsidRPr="00273B07" w:rsidRDefault="0061050E" w:rsidP="0061050E">
      <w:pPr>
        <w:jc w:val="right"/>
      </w:pPr>
      <w:r w:rsidRPr="00273B07">
        <w:t xml:space="preserve">[Annex III </w:t>
      </w:r>
      <w:r w:rsidRPr="00C33E97">
        <w:t>follows</w:t>
      </w:r>
      <w:r w:rsidRPr="00273B07">
        <w:t>]</w:t>
      </w:r>
    </w:p>
    <w:p w:rsidR="0061050E" w:rsidRDefault="0061050E" w:rsidP="0061050E"/>
    <w:p w:rsidR="0061050E" w:rsidRDefault="0061050E" w:rsidP="0061050E">
      <w:pPr>
        <w:sectPr w:rsidR="0061050E" w:rsidSect="00A20071">
          <w:headerReference w:type="first" r:id="rId22"/>
          <w:footnotePr>
            <w:numRestart w:val="eachSect"/>
          </w:footnotePr>
          <w:pgSz w:w="11907" w:h="16840" w:code="9"/>
          <w:pgMar w:top="510" w:right="1134" w:bottom="1134" w:left="1134" w:header="510" w:footer="680" w:gutter="0"/>
          <w:pgNumType w:start="1"/>
          <w:cols w:space="720"/>
          <w:titlePg/>
        </w:sectPr>
      </w:pPr>
    </w:p>
    <w:p w:rsidR="00E23559" w:rsidRPr="002E1B40" w:rsidRDefault="00E23559" w:rsidP="00E23559">
      <w:pPr>
        <w:jc w:val="center"/>
        <w:rPr>
          <w:caps/>
        </w:rPr>
      </w:pPr>
      <w:r w:rsidRPr="002E1B40">
        <w:rPr>
          <w:caps/>
        </w:rPr>
        <w:lastRenderedPageBreak/>
        <w:t>Revision</w:t>
      </w:r>
      <w:r>
        <w:rPr>
          <w:caps/>
        </w:rPr>
        <w:t xml:space="preserve">s </w:t>
      </w:r>
      <w:r w:rsidR="004A086C">
        <w:rPr>
          <w:caps/>
        </w:rPr>
        <w:t>to</w:t>
      </w:r>
      <w:r>
        <w:rPr>
          <w:caps/>
        </w:rPr>
        <w:t xml:space="preserve"> document TGP/10</w:t>
      </w:r>
      <w:r w:rsidRPr="002E1B40">
        <w:rPr>
          <w:caps/>
        </w:rPr>
        <w:t xml:space="preserve"> “</w:t>
      </w:r>
      <w:r w:rsidRPr="00E23559">
        <w:rPr>
          <w:caps/>
        </w:rPr>
        <w:t>Examining Uniformity”</w:t>
      </w:r>
      <w:r w:rsidRPr="002E1B40">
        <w:rPr>
          <w:caps/>
        </w:rPr>
        <w:t xml:space="preserve"> </w:t>
      </w:r>
    </w:p>
    <w:p w:rsidR="00A20071" w:rsidRDefault="00A20071" w:rsidP="00A20071">
      <w:pPr>
        <w:jc w:val="center"/>
      </w:pPr>
      <w:r>
        <w:t>AGREED BY THE TECHNICAL COMMITTEE AT ITS FIFTY-FOURTH SESSION</w:t>
      </w:r>
      <w:r>
        <w:rPr>
          <w:rStyle w:val="FootnoteReference"/>
        </w:rPr>
        <w:footnoteReference w:id="10"/>
      </w:r>
    </w:p>
    <w:p w:rsidR="0061050E" w:rsidRDefault="0061050E" w:rsidP="0061050E">
      <w:pPr>
        <w:rPr>
          <w:sz w:val="18"/>
        </w:rPr>
      </w:pPr>
    </w:p>
    <w:p w:rsidR="00E12538" w:rsidRPr="00273B07" w:rsidRDefault="00E12538" w:rsidP="0061050E">
      <w:pPr>
        <w:rPr>
          <w:sz w:val="18"/>
        </w:rPr>
      </w:pPr>
    </w:p>
    <w:p w:rsidR="0061050E" w:rsidRPr="00EF65E9" w:rsidRDefault="0061050E" w:rsidP="00EF65E9">
      <w:pPr>
        <w:rPr>
          <w:u w:val="single"/>
        </w:rPr>
      </w:pPr>
      <w:r w:rsidRPr="00EF65E9">
        <w:rPr>
          <w:rFonts w:eastAsia="MS Mincho"/>
          <w:u w:val="single"/>
        </w:rPr>
        <w:t>New Section 4.7: Assessing Uniformity by Off-Types on the Basis of More than One Growing Cycle</w:t>
      </w:r>
    </w:p>
    <w:p w:rsidR="0061050E" w:rsidRPr="00EF65E9" w:rsidRDefault="0061050E" w:rsidP="00EF65E9"/>
    <w:p w:rsidR="0061050E" w:rsidRPr="00EF65E9" w:rsidRDefault="0061050E" w:rsidP="00EF65E9">
      <w:pPr>
        <w:rPr>
          <w:szCs w:val="24"/>
        </w:rPr>
      </w:pPr>
      <w:r w:rsidRPr="00EF65E9">
        <w:t>Two independent growing cycles could take place in a single location in different years, or in different locations in the same year, according to document TGP/8 Part I, Sections 1.2 and 1.3.</w:t>
      </w:r>
    </w:p>
    <w:p w:rsidR="0061050E" w:rsidRPr="00EF65E9" w:rsidRDefault="0061050E" w:rsidP="00EF65E9">
      <w:pPr>
        <w:rPr>
          <w:szCs w:val="24"/>
        </w:rPr>
      </w:pPr>
    </w:p>
    <w:p w:rsidR="0061050E" w:rsidRPr="00EF65E9" w:rsidRDefault="0061050E" w:rsidP="00EF65E9">
      <w:pPr>
        <w:rPr>
          <w:szCs w:val="24"/>
        </w:rPr>
      </w:pPr>
      <w:r w:rsidRPr="00EF65E9">
        <w:t>The following guidance is not intended to be used for the assessment of uniformity by off-types on the same plants in two growing cycles.  Results from growing cycles using different lots of plant material should not be combined.</w:t>
      </w:r>
    </w:p>
    <w:p w:rsidR="0061050E" w:rsidRPr="00EF65E9" w:rsidRDefault="0061050E" w:rsidP="00EF65E9">
      <w:pPr>
        <w:rPr>
          <w:sz w:val="22"/>
          <w:szCs w:val="24"/>
        </w:rPr>
      </w:pPr>
    </w:p>
    <w:p w:rsidR="0061050E" w:rsidRPr="00EF65E9" w:rsidRDefault="0061050E" w:rsidP="00EF65E9">
      <w:pPr>
        <w:ind w:firstLine="567"/>
        <w:rPr>
          <w:i/>
          <w:szCs w:val="24"/>
        </w:rPr>
      </w:pPr>
      <w:r w:rsidRPr="00EF65E9">
        <w:rPr>
          <w:i/>
          <w:szCs w:val="24"/>
        </w:rPr>
        <w:t xml:space="preserve">Approach 1:  Third growing cycle in the case of inconsistent results </w:t>
      </w:r>
    </w:p>
    <w:p w:rsidR="0061050E" w:rsidRPr="00EF65E9" w:rsidRDefault="0061050E" w:rsidP="00EF65E9">
      <w:pPr>
        <w:jc w:val="center"/>
        <w:rPr>
          <w:b/>
          <w:szCs w:val="24"/>
        </w:rPr>
      </w:pPr>
    </w:p>
    <w:p w:rsidR="0061050E" w:rsidRPr="00EF65E9" w:rsidRDefault="0061050E" w:rsidP="00EF65E9">
      <w:pPr>
        <w:rPr>
          <w:rFonts w:eastAsia="SimSun"/>
          <w:szCs w:val="24"/>
          <w:lang w:eastAsia="zh-CN"/>
        </w:rPr>
      </w:pPr>
      <w:r w:rsidRPr="00EF65E9">
        <w:rPr>
          <w:rFonts w:eastAsia="SimSun"/>
          <w:szCs w:val="24"/>
          <w:lang w:eastAsia="zh-CN"/>
        </w:rPr>
        <w:t>A variety is considered uniform if it is within the uniformity standard in both of the two growing cycles.</w:t>
      </w:r>
    </w:p>
    <w:p w:rsidR="0061050E" w:rsidRPr="00EF65E9" w:rsidRDefault="0061050E" w:rsidP="00EF65E9">
      <w:pPr>
        <w:rPr>
          <w:rFonts w:eastAsia="SimSun"/>
          <w:szCs w:val="24"/>
          <w:lang w:eastAsia="zh-CN"/>
        </w:rPr>
      </w:pPr>
    </w:p>
    <w:p w:rsidR="0061050E" w:rsidRPr="00EF65E9" w:rsidRDefault="0061050E" w:rsidP="00EF65E9">
      <w:pPr>
        <w:rPr>
          <w:rFonts w:eastAsia="SimSun"/>
          <w:szCs w:val="24"/>
          <w:lang w:eastAsia="zh-CN"/>
        </w:rPr>
      </w:pPr>
      <w:r w:rsidRPr="00EF65E9">
        <w:rPr>
          <w:rFonts w:eastAsia="SimSun"/>
          <w:szCs w:val="24"/>
          <w:lang w:eastAsia="zh-CN"/>
        </w:rPr>
        <w:t>A variety is considered non-uniform if it fails to meet the uniformity standard in both of the two growing cycles.</w:t>
      </w:r>
    </w:p>
    <w:p w:rsidR="0061050E" w:rsidRPr="00EF65E9" w:rsidRDefault="0061050E" w:rsidP="00EF65E9">
      <w:pPr>
        <w:rPr>
          <w:rFonts w:eastAsia="SimSun"/>
          <w:szCs w:val="24"/>
          <w:lang w:eastAsia="zh-CN"/>
        </w:rPr>
      </w:pPr>
    </w:p>
    <w:p w:rsidR="0061050E" w:rsidRPr="00EF65E9" w:rsidRDefault="0061050E" w:rsidP="00EF65E9">
      <w:pPr>
        <w:rPr>
          <w:rFonts w:eastAsia="SimSun"/>
          <w:lang w:eastAsia="zh-CN"/>
        </w:rPr>
      </w:pPr>
      <w:r w:rsidRPr="00EF65E9">
        <w:rPr>
          <w:rFonts w:eastAsia="SimSun"/>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61050E" w:rsidRPr="00EF65E9" w:rsidRDefault="0061050E" w:rsidP="00EF65E9">
      <w:pPr>
        <w:rPr>
          <w:color w:val="000000"/>
        </w:rPr>
      </w:pPr>
    </w:p>
    <w:p w:rsidR="0061050E" w:rsidRPr="00EF65E9" w:rsidRDefault="0061050E" w:rsidP="00EF65E9">
      <w:r w:rsidRPr="00EF65E9">
        <w:rPr>
          <w:color w:val="000000"/>
        </w:rPr>
        <w:t xml:space="preserve">Care is needed when considering results that were very different in each of the growing cycles, such as when a type of off-type was observed at a high level in one growing cycle and was absent in another growing cycle.  </w:t>
      </w:r>
      <w:r w:rsidRPr="00EF65E9">
        <w:t>It is important to identify whether differences in number of off</w:t>
      </w:r>
      <w:r w:rsidRPr="00EF65E9">
        <w:noBreakHyphen/>
        <w:t xml:space="preserve">types between growing cycles were due to environmental reasons or sampling variation.  </w:t>
      </w:r>
    </w:p>
    <w:p w:rsidR="0061050E" w:rsidRPr="00EF65E9" w:rsidRDefault="0061050E" w:rsidP="00EF65E9"/>
    <w:p w:rsidR="0061050E" w:rsidRPr="00EF65E9" w:rsidRDefault="0061050E" w:rsidP="00EF65E9">
      <w:pPr>
        <w:rPr>
          <w:rFonts w:eastAsia="SimSun"/>
          <w:lang w:eastAsia="zh-CN"/>
        </w:rPr>
      </w:pPr>
      <w:r w:rsidRPr="00EF65E9">
        <w:rPr>
          <w:rFonts w:eastAsia="SimSun"/>
          <w:lang w:eastAsia="zh-CN"/>
        </w:rPr>
        <w:t>Furthermore, if in the first growing cycle a variety exceeds a predefined upper limit of off-types the variety may be rejected after a single growing cycle.</w:t>
      </w:r>
      <w:r w:rsidRPr="00EF65E9">
        <w:t xml:space="preserve"> </w:t>
      </w:r>
    </w:p>
    <w:p w:rsidR="0061050E" w:rsidRPr="00EF65E9" w:rsidRDefault="0061050E" w:rsidP="00EF65E9">
      <w:pPr>
        <w:keepNext/>
        <w:keepLines/>
        <w:rPr>
          <w:rFonts w:eastAsia="SimSun"/>
          <w:szCs w:val="24"/>
          <w:lang w:eastAsia="zh-CN"/>
        </w:rPr>
      </w:pPr>
    </w:p>
    <w:p w:rsidR="0061050E" w:rsidRPr="00EF65E9" w:rsidRDefault="0061050E" w:rsidP="00EF65E9">
      <w:pPr>
        <w:ind w:firstLine="567"/>
        <w:rPr>
          <w:i/>
          <w:szCs w:val="24"/>
        </w:rPr>
      </w:pPr>
      <w:r w:rsidRPr="00EF65E9">
        <w:rPr>
          <w:i/>
          <w:szCs w:val="24"/>
        </w:rPr>
        <w:t>Approach 2:  Combining the results of two growing cycles in the case of inconsistent results</w:t>
      </w:r>
    </w:p>
    <w:p w:rsidR="0061050E" w:rsidRPr="00EF65E9" w:rsidRDefault="0061050E" w:rsidP="00EF65E9">
      <w:pPr>
        <w:keepNext/>
        <w:keepLines/>
        <w:rPr>
          <w:rFonts w:eastAsia="MS Mincho"/>
          <w:color w:val="000000"/>
          <w:lang w:eastAsia="ja-JP"/>
        </w:rPr>
      </w:pPr>
    </w:p>
    <w:p w:rsidR="0061050E" w:rsidRPr="00EF65E9" w:rsidRDefault="0061050E" w:rsidP="00EF65E9">
      <w:pPr>
        <w:rPr>
          <w:rFonts w:eastAsia="SimSun"/>
          <w:lang w:eastAsia="zh-CN"/>
        </w:rPr>
      </w:pPr>
      <w:r w:rsidRPr="00EF65E9">
        <w:rPr>
          <w:rFonts w:eastAsia="SimSun"/>
          <w:lang w:eastAsia="zh-CN"/>
        </w:rPr>
        <w:t>A variety is considered uniform if it is within the uniformity standard in both of the two growing cycles.</w:t>
      </w:r>
    </w:p>
    <w:p w:rsidR="0061050E" w:rsidRPr="00EF65E9" w:rsidRDefault="0061050E" w:rsidP="00EF65E9">
      <w:pPr>
        <w:rPr>
          <w:rFonts w:eastAsia="SimSun"/>
          <w:lang w:eastAsia="zh-CN"/>
        </w:rPr>
      </w:pPr>
    </w:p>
    <w:p w:rsidR="0061050E" w:rsidRPr="00EF65E9" w:rsidRDefault="0061050E" w:rsidP="00EF65E9">
      <w:pPr>
        <w:rPr>
          <w:rFonts w:eastAsia="SimSun"/>
          <w:lang w:eastAsia="zh-CN"/>
        </w:rPr>
      </w:pPr>
      <w:r w:rsidRPr="00EF65E9">
        <w:rPr>
          <w:rFonts w:eastAsia="SimSun"/>
          <w:lang w:eastAsia="zh-CN"/>
        </w:rPr>
        <w:t>A variety is considered non-uniform if it fails to meet the uniformity standard in both of the two growing cycles.</w:t>
      </w:r>
    </w:p>
    <w:p w:rsidR="0061050E" w:rsidRPr="00EF65E9" w:rsidRDefault="0061050E" w:rsidP="00EF65E9">
      <w:pPr>
        <w:rPr>
          <w:rFonts w:eastAsia="SimSun"/>
          <w:lang w:eastAsia="zh-CN"/>
        </w:rPr>
      </w:pPr>
    </w:p>
    <w:p w:rsidR="0061050E" w:rsidRPr="00EF65E9" w:rsidRDefault="0061050E" w:rsidP="00EF65E9">
      <w:pPr>
        <w:rPr>
          <w:rFonts w:eastAsia="SimSun"/>
          <w:lang w:eastAsia="zh-CN"/>
        </w:rPr>
      </w:pPr>
      <w:r w:rsidRPr="00EF65E9">
        <w:rPr>
          <w:rFonts w:eastAsia="SimSun"/>
          <w:lang w:eastAsia="zh-CN"/>
        </w:rPr>
        <w:t>If at the end of the two growing cycles the variety is within the uniformity standard in one growing cycle but is not within the uniformity standard in the other growing cycle, a</w:t>
      </w:r>
      <w:r w:rsidRPr="00EF65E9" w:rsidDel="00882017">
        <w:rPr>
          <w:rFonts w:eastAsia="SimSun"/>
          <w:lang w:eastAsia="zh-CN"/>
        </w:rPr>
        <w:t xml:space="preserve"> </w:t>
      </w:r>
      <w:r w:rsidRPr="00EF65E9">
        <w:rPr>
          <w:rFonts w:eastAsia="SimSun"/>
          <w:lang w:eastAsia="zh-CN"/>
        </w:rPr>
        <w:t>variety is considered uniform if the total number of off</w:t>
      </w:r>
      <w:r w:rsidRPr="00EF65E9">
        <w:rPr>
          <w:rFonts w:eastAsia="SimSun"/>
          <w:lang w:eastAsia="zh-CN"/>
        </w:rPr>
        <w:noBreakHyphen/>
        <w:t>types at the end of the two growing cycles does not exceed the number of allowed off-types for the sample size of growing cycles 1 and 2 combined.</w:t>
      </w:r>
    </w:p>
    <w:p w:rsidR="0061050E" w:rsidRPr="00EF65E9" w:rsidRDefault="0061050E" w:rsidP="00EF65E9">
      <w:pPr>
        <w:rPr>
          <w:rFonts w:eastAsia="SimSun"/>
          <w:lang w:eastAsia="zh-CN"/>
        </w:rPr>
      </w:pPr>
    </w:p>
    <w:p w:rsidR="0061050E" w:rsidRPr="00EF65E9" w:rsidRDefault="0061050E" w:rsidP="00EF65E9">
      <w:pPr>
        <w:rPr>
          <w:rFonts w:eastAsia="SimSun"/>
          <w:szCs w:val="24"/>
          <w:lang w:eastAsia="zh-CN"/>
        </w:rPr>
      </w:pPr>
      <w:r w:rsidRPr="00EF65E9">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EF65E9">
        <w:t>A statistical test for consistency should be applied when appropriate.  It is important to identify whether differences in number of off</w:t>
      </w:r>
      <w:r w:rsidRPr="00EF65E9">
        <w:noBreakHyphen/>
        <w:t xml:space="preserve">types between growing cycles were due to environmental reasons or sampling variation.  </w:t>
      </w:r>
    </w:p>
    <w:p w:rsidR="0061050E" w:rsidRPr="00EF65E9" w:rsidRDefault="0061050E" w:rsidP="00EF65E9"/>
    <w:p w:rsidR="0061050E" w:rsidRPr="00EF65E9" w:rsidRDefault="0061050E" w:rsidP="00EF65E9">
      <w:pPr>
        <w:rPr>
          <w:rFonts w:eastAsia="SimSun"/>
          <w:szCs w:val="24"/>
          <w:u w:val="single"/>
          <w:lang w:eastAsia="zh-CN"/>
        </w:rPr>
      </w:pPr>
      <w:r w:rsidRPr="00EF65E9">
        <w:rPr>
          <w:rFonts w:eastAsia="SimSun"/>
          <w:szCs w:val="24"/>
          <w:lang w:eastAsia="zh-CN"/>
        </w:rPr>
        <w:t>Furthermore, if in the first growing cycle a variety exceeds a predefined upper limit of off-types the variety may be rejected after a single growing cycle.</w:t>
      </w:r>
    </w:p>
    <w:p w:rsidR="0061050E" w:rsidRPr="00EF65E9" w:rsidRDefault="0061050E" w:rsidP="00EF65E9">
      <w:pPr>
        <w:rPr>
          <w:rFonts w:eastAsia="SimSun"/>
          <w:szCs w:val="24"/>
          <w:lang w:eastAsia="zh-CN"/>
        </w:rPr>
      </w:pPr>
    </w:p>
    <w:p w:rsidR="0061050E" w:rsidRPr="00EF65E9" w:rsidRDefault="0061050E" w:rsidP="00EF65E9">
      <w:pPr>
        <w:keepNext/>
        <w:ind w:firstLine="567"/>
        <w:rPr>
          <w:bCs/>
          <w:i/>
        </w:rPr>
      </w:pPr>
      <w:r w:rsidRPr="00EF65E9">
        <w:rPr>
          <w:bCs/>
          <w:i/>
        </w:rPr>
        <w:t>Approach 3:  Combining the results of two growing cycles</w:t>
      </w:r>
    </w:p>
    <w:p w:rsidR="0061050E" w:rsidRPr="00EF65E9" w:rsidRDefault="0061050E" w:rsidP="00EF65E9">
      <w:pPr>
        <w:keepNext/>
      </w:pPr>
    </w:p>
    <w:p w:rsidR="0061050E" w:rsidRPr="00EF65E9" w:rsidRDefault="0061050E" w:rsidP="00EF65E9">
      <w:r w:rsidRPr="00EF65E9">
        <w:t>A variety is considered uniform if the total number of off-types at the end of the two growing cycles does not exceed the number of allowed off-types for the combined sample.</w:t>
      </w:r>
    </w:p>
    <w:p w:rsidR="0061050E" w:rsidRPr="00EF65E9" w:rsidRDefault="0061050E" w:rsidP="00EF65E9"/>
    <w:p w:rsidR="0061050E" w:rsidRPr="00EF65E9" w:rsidRDefault="0061050E" w:rsidP="00EF65E9">
      <w:r w:rsidRPr="00EF65E9">
        <w:lastRenderedPageBreak/>
        <w:t>A variety is considered non-uniform if the total number of off-types at the end of the two growing cycles exceeds the number of allowed off-types for the combined sample.</w:t>
      </w:r>
    </w:p>
    <w:p w:rsidR="0061050E" w:rsidRPr="00EF65E9" w:rsidRDefault="0061050E" w:rsidP="00EF65E9"/>
    <w:p w:rsidR="0061050E" w:rsidRPr="00EF65E9" w:rsidRDefault="0061050E" w:rsidP="00EF65E9">
      <w:pPr>
        <w:spacing w:after="120"/>
      </w:pPr>
      <w:r w:rsidRPr="00EF65E9">
        <w:t>A variety may be rejected after a single growing cycle, if the number of off-types exceeds the number of allowed off-types for the combined sample (over two cycles).</w:t>
      </w:r>
    </w:p>
    <w:p w:rsidR="00E12538" w:rsidRPr="00EF65E9" w:rsidRDefault="00E12538" w:rsidP="00EF65E9">
      <w:pPr>
        <w:spacing w:after="120"/>
      </w:pPr>
    </w:p>
    <w:p w:rsidR="0061050E" w:rsidRPr="00EF65E9" w:rsidRDefault="0061050E" w:rsidP="00EF65E9">
      <w:pPr>
        <w:keepNext/>
        <w:keepLines/>
        <w:rPr>
          <w:rFonts w:eastAsia="SimSun"/>
          <w:szCs w:val="24"/>
          <w:lang w:eastAsia="zh-CN"/>
        </w:rPr>
      </w:pPr>
      <w:r w:rsidRPr="00EF65E9">
        <w:t xml:space="preserve">Care is needed when considering results that are very different in each of the growing cycles, such as when a type of off-type is observed at a high level in one growing cycle and is absent in another growing cycle. </w:t>
      </w:r>
      <w:r w:rsidRPr="00EF65E9">
        <w:rPr>
          <w:rFonts w:eastAsia="SimSun"/>
          <w:lang w:eastAsia="zh-CN"/>
        </w:rPr>
        <w:t xml:space="preserve">A statistical test for consistency should be applied when appropriate.  </w:t>
      </w:r>
      <w:r w:rsidRPr="00EF65E9">
        <w:t>It is important to identify whether differences in number of off</w:t>
      </w:r>
      <w:r w:rsidRPr="00EF65E9">
        <w:noBreakHyphen/>
        <w:t>types between growing cycles were due to environmental reasons or sampling variation.</w:t>
      </w:r>
      <w:r w:rsidRPr="00EF65E9">
        <w:rPr>
          <w:highlight w:val="lightGray"/>
          <w:u w:val="single"/>
        </w:rPr>
        <w:t xml:space="preserve"> </w:t>
      </w:r>
    </w:p>
    <w:p w:rsidR="0061050E" w:rsidRPr="00EF65E9" w:rsidRDefault="0061050E" w:rsidP="00EF65E9">
      <w:pPr>
        <w:keepNext/>
        <w:keepLines/>
        <w:jc w:val="left"/>
        <w:rPr>
          <w:sz w:val="22"/>
          <w:szCs w:val="24"/>
        </w:rPr>
      </w:pPr>
    </w:p>
    <w:p w:rsidR="0061050E" w:rsidRPr="00EF65E9" w:rsidRDefault="0061050E" w:rsidP="00EF65E9">
      <w:pPr>
        <w:keepNext/>
        <w:keepLines/>
        <w:ind w:firstLine="567"/>
        <w:jc w:val="left"/>
        <w:rPr>
          <w:i/>
          <w:szCs w:val="24"/>
        </w:rPr>
      </w:pPr>
      <w:r w:rsidRPr="00EF65E9">
        <w:rPr>
          <w:i/>
          <w:szCs w:val="24"/>
        </w:rPr>
        <w:t>Example:</w:t>
      </w:r>
    </w:p>
    <w:p w:rsidR="0061050E" w:rsidRPr="00EF65E9" w:rsidRDefault="0061050E" w:rsidP="00EF65E9">
      <w:pPr>
        <w:keepNext/>
        <w:keepLines/>
        <w:jc w:val="left"/>
        <w:rPr>
          <w:sz w:val="22"/>
          <w:szCs w:val="24"/>
        </w:rPr>
      </w:pPr>
    </w:p>
    <w:tbl>
      <w:tblPr>
        <w:tblW w:w="7734" w:type="dxa"/>
        <w:tblInd w:w="709" w:type="dxa"/>
        <w:tblLayout w:type="fixed"/>
        <w:tblLook w:val="04A0" w:firstRow="1" w:lastRow="0" w:firstColumn="1" w:lastColumn="0" w:noHBand="0" w:noVBand="1"/>
      </w:tblPr>
      <w:tblGrid>
        <w:gridCol w:w="567"/>
        <w:gridCol w:w="236"/>
        <w:gridCol w:w="756"/>
        <w:gridCol w:w="993"/>
        <w:gridCol w:w="35"/>
        <w:gridCol w:w="977"/>
        <w:gridCol w:w="1050"/>
        <w:gridCol w:w="1561"/>
        <w:gridCol w:w="35"/>
        <w:gridCol w:w="1524"/>
      </w:tblGrid>
      <w:tr w:rsidR="0061050E" w:rsidRPr="00EF65E9" w:rsidTr="00EF65E9">
        <w:trPr>
          <w:gridAfter w:val="2"/>
          <w:wAfter w:w="1559" w:type="dxa"/>
          <w:trHeight w:val="255"/>
        </w:trPr>
        <w:tc>
          <w:tcPr>
            <w:tcW w:w="567" w:type="dxa"/>
            <w:tcBorders>
              <w:top w:val="nil"/>
              <w:left w:val="nil"/>
              <w:bottom w:val="nil"/>
            </w:tcBorders>
            <w:shd w:val="clear" w:color="auto" w:fill="auto"/>
            <w:noWrap/>
            <w:vAlign w:val="bottom"/>
          </w:tcPr>
          <w:p w:rsidR="0061050E" w:rsidRPr="00EF65E9" w:rsidRDefault="0061050E" w:rsidP="00EF65E9">
            <w:pPr>
              <w:jc w:val="left"/>
              <w:rPr>
                <w:rFonts w:cs="Arial"/>
                <w:color w:val="000000"/>
                <w:szCs w:val="18"/>
              </w:rPr>
            </w:pPr>
          </w:p>
        </w:tc>
        <w:tc>
          <w:tcPr>
            <w:tcW w:w="5608" w:type="dxa"/>
            <w:gridSpan w:val="7"/>
            <w:tcBorders>
              <w:top w:val="nil"/>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 xml:space="preserve">Population Standard  = 1%  </w:t>
            </w:r>
          </w:p>
        </w:tc>
      </w:tr>
      <w:tr w:rsidR="0061050E" w:rsidRPr="00EF65E9" w:rsidTr="00EF65E9">
        <w:trPr>
          <w:gridAfter w:val="2"/>
          <w:wAfter w:w="1559" w:type="dxa"/>
          <w:trHeight w:val="270"/>
        </w:trPr>
        <w:tc>
          <w:tcPr>
            <w:tcW w:w="567" w:type="dxa"/>
            <w:tcBorders>
              <w:top w:val="nil"/>
              <w:left w:val="nil"/>
              <w:bottom w:val="nil"/>
            </w:tcBorders>
            <w:shd w:val="clear" w:color="auto" w:fill="auto"/>
            <w:noWrap/>
            <w:vAlign w:val="bottom"/>
            <w:hideMark/>
          </w:tcPr>
          <w:p w:rsidR="0061050E" w:rsidRPr="00EF65E9" w:rsidRDefault="0061050E" w:rsidP="00EF65E9">
            <w:pPr>
              <w:jc w:val="left"/>
              <w:rPr>
                <w:rFonts w:cs="Arial"/>
                <w:color w:val="000000"/>
                <w:szCs w:val="18"/>
              </w:rPr>
            </w:pPr>
          </w:p>
        </w:tc>
        <w:tc>
          <w:tcPr>
            <w:tcW w:w="5608" w:type="dxa"/>
            <w:gridSpan w:val="7"/>
            <w:tcBorders>
              <w:top w:val="nil"/>
              <w:bottom w:val="single" w:sz="4" w:space="0" w:color="auto"/>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Acceptance Probability ≥ 95%</w:t>
            </w:r>
          </w:p>
        </w:tc>
      </w:tr>
      <w:tr w:rsidR="0061050E" w:rsidRPr="00EF65E9" w:rsidTr="00EF65E9">
        <w:trPr>
          <w:gridBefore w:val="1"/>
          <w:gridAfter w:val="2"/>
          <w:wBefore w:w="567" w:type="dxa"/>
          <w:wAfter w:w="1559" w:type="dxa"/>
          <w:trHeight w:val="255"/>
        </w:trPr>
        <w:tc>
          <w:tcPr>
            <w:tcW w:w="5608"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Sample Size in each of growing cycles 1 and 2 = 50</w:t>
            </w:r>
          </w:p>
        </w:tc>
      </w:tr>
      <w:tr w:rsidR="0061050E" w:rsidRPr="00EF65E9" w:rsidTr="00EF65E9">
        <w:trPr>
          <w:gridBefore w:val="1"/>
          <w:gridAfter w:val="2"/>
          <w:wBefore w:w="567" w:type="dxa"/>
          <w:wAfter w:w="1559" w:type="dxa"/>
          <w:trHeight w:val="270"/>
        </w:trPr>
        <w:tc>
          <w:tcPr>
            <w:tcW w:w="5608"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Maximum number of Off-Types = 2</w:t>
            </w:r>
          </w:p>
        </w:tc>
      </w:tr>
      <w:tr w:rsidR="0061050E" w:rsidRPr="00EF65E9" w:rsidTr="00EF65E9">
        <w:trPr>
          <w:gridBefore w:val="1"/>
          <w:gridAfter w:val="2"/>
          <w:wBefore w:w="567" w:type="dxa"/>
          <w:wAfter w:w="1559" w:type="dxa"/>
          <w:trHeight w:val="270"/>
        </w:trPr>
        <w:tc>
          <w:tcPr>
            <w:tcW w:w="5608" w:type="dxa"/>
            <w:gridSpan w:val="7"/>
            <w:tcBorders>
              <w:top w:val="single" w:sz="4" w:space="0" w:color="auto"/>
              <w:left w:val="single" w:sz="4" w:space="0" w:color="auto"/>
              <w:bottom w:val="nil"/>
              <w:right w:val="single" w:sz="4" w:space="0" w:color="auto"/>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Sample Size in growing cycles 1 and 2 combined = 100</w:t>
            </w:r>
          </w:p>
        </w:tc>
      </w:tr>
      <w:tr w:rsidR="0061050E" w:rsidRPr="00EF65E9" w:rsidTr="00EF65E9">
        <w:trPr>
          <w:gridBefore w:val="1"/>
          <w:gridAfter w:val="2"/>
          <w:wBefore w:w="567" w:type="dxa"/>
          <w:wAfter w:w="1559" w:type="dxa"/>
          <w:trHeight w:val="270"/>
        </w:trPr>
        <w:tc>
          <w:tcPr>
            <w:tcW w:w="5608" w:type="dxa"/>
            <w:gridSpan w:val="7"/>
            <w:tcBorders>
              <w:top w:val="nil"/>
              <w:left w:val="single" w:sz="4" w:space="0" w:color="auto"/>
              <w:bottom w:val="single" w:sz="4" w:space="0" w:color="auto"/>
              <w:right w:val="single" w:sz="4" w:space="0" w:color="auto"/>
            </w:tcBorders>
            <w:shd w:val="clear" w:color="auto" w:fill="auto"/>
            <w:vAlign w:val="bottom"/>
          </w:tcPr>
          <w:p w:rsidR="0061050E" w:rsidRPr="00EF65E9" w:rsidRDefault="0061050E" w:rsidP="00EF65E9">
            <w:pPr>
              <w:jc w:val="left"/>
              <w:rPr>
                <w:rFonts w:cs="Arial"/>
                <w:color w:val="000000"/>
                <w:szCs w:val="18"/>
              </w:rPr>
            </w:pPr>
            <w:r w:rsidRPr="00EF65E9">
              <w:rPr>
                <w:rFonts w:cs="Arial"/>
                <w:color w:val="000000"/>
                <w:szCs w:val="18"/>
              </w:rPr>
              <w:t>Maximum number of Off-Types = 3</w:t>
            </w:r>
          </w:p>
        </w:tc>
      </w:tr>
      <w:tr w:rsidR="0061050E" w:rsidRPr="00EF65E9" w:rsidTr="00EF65E9">
        <w:trPr>
          <w:gridBefore w:val="1"/>
          <w:gridAfter w:val="1"/>
          <w:wBefore w:w="567" w:type="dxa"/>
          <w:wAfter w:w="1524" w:type="dxa"/>
          <w:trHeight w:val="239"/>
        </w:trPr>
        <w:tc>
          <w:tcPr>
            <w:tcW w:w="236" w:type="dxa"/>
            <w:tcBorders>
              <w:top w:val="nil"/>
              <w:left w:val="nil"/>
              <w:bottom w:val="single" w:sz="4" w:space="0" w:color="auto"/>
              <w:right w:val="nil"/>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c>
          <w:tcPr>
            <w:tcW w:w="1784" w:type="dxa"/>
            <w:gridSpan w:val="3"/>
            <w:tcBorders>
              <w:top w:val="nil"/>
              <w:left w:val="nil"/>
              <w:bottom w:val="single" w:sz="4" w:space="0" w:color="auto"/>
              <w:right w:val="nil"/>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c>
          <w:tcPr>
            <w:tcW w:w="977" w:type="dxa"/>
            <w:tcBorders>
              <w:top w:val="nil"/>
              <w:left w:val="nil"/>
              <w:bottom w:val="single" w:sz="4" w:space="0" w:color="auto"/>
              <w:right w:val="nil"/>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c>
          <w:tcPr>
            <w:tcW w:w="2646" w:type="dxa"/>
            <w:gridSpan w:val="3"/>
            <w:tcBorders>
              <w:top w:val="nil"/>
              <w:left w:val="nil"/>
              <w:bottom w:val="single" w:sz="4" w:space="0" w:color="auto"/>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r>
      <w:tr w:rsidR="0061050E" w:rsidRPr="00EF65E9" w:rsidTr="00EF65E9">
        <w:trPr>
          <w:trHeight w:val="380"/>
        </w:trPr>
        <w:tc>
          <w:tcPr>
            <w:tcW w:w="567" w:type="dxa"/>
            <w:tcBorders>
              <w:top w:val="nil"/>
              <w:left w:val="nil"/>
              <w:bottom w:val="nil"/>
              <w:right w:val="single" w:sz="4" w:space="0" w:color="auto"/>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Growing cycle</w:t>
            </w:r>
          </w:p>
        </w:tc>
        <w:tc>
          <w:tcPr>
            <w:tcW w:w="5182" w:type="dxa"/>
            <w:gridSpan w:val="6"/>
            <w:tcBorders>
              <w:top w:val="single" w:sz="4" w:space="0" w:color="auto"/>
              <w:left w:val="nil"/>
              <w:bottom w:val="single" w:sz="4" w:space="0" w:color="auto"/>
              <w:right w:val="single" w:sz="4" w:space="0" w:color="auto"/>
            </w:tcBorders>
            <w:shd w:val="clear" w:color="auto" w:fill="auto"/>
            <w:noWrap/>
            <w:vAlign w:val="center"/>
            <w:hideMark/>
          </w:tcPr>
          <w:p w:rsidR="0061050E" w:rsidRPr="00EF65E9" w:rsidRDefault="0061050E" w:rsidP="00EF65E9">
            <w:pPr>
              <w:jc w:val="center"/>
              <w:rPr>
                <w:szCs w:val="18"/>
              </w:rPr>
            </w:pPr>
            <w:r w:rsidRPr="00EF65E9">
              <w:rPr>
                <w:rFonts w:cs="Arial"/>
                <w:color w:val="000000"/>
                <w:szCs w:val="18"/>
              </w:rPr>
              <w:t>Decision</w:t>
            </w:r>
          </w:p>
        </w:tc>
      </w:tr>
      <w:tr w:rsidR="0061050E" w:rsidRPr="00EF65E9" w:rsidTr="00EF65E9">
        <w:trPr>
          <w:trHeight w:val="236"/>
        </w:trPr>
        <w:tc>
          <w:tcPr>
            <w:tcW w:w="567" w:type="dxa"/>
            <w:tcBorders>
              <w:top w:val="nil"/>
              <w:left w:val="nil"/>
              <w:bottom w:val="single" w:sz="4" w:space="0" w:color="auto"/>
              <w:right w:val="single" w:sz="4" w:space="0" w:color="auto"/>
            </w:tcBorders>
            <w:shd w:val="clear" w:color="auto" w:fill="auto"/>
            <w:noWrap/>
            <w:vAlign w:val="bottom"/>
            <w:hideMark/>
          </w:tcPr>
          <w:p w:rsidR="0061050E" w:rsidRPr="00EF65E9" w:rsidRDefault="0061050E" w:rsidP="00EF65E9">
            <w:pPr>
              <w:jc w:val="left"/>
              <w:rPr>
                <w:rFonts w:cs="Arial"/>
                <w:color w:val="000000"/>
                <w:szCs w:val="18"/>
              </w:rPr>
            </w:pPr>
            <w:r w:rsidRPr="00EF65E9">
              <w:rPr>
                <w:rFonts w:cs="Arial"/>
                <w:color w:val="000000"/>
                <w:szCs w:val="18"/>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1050E" w:rsidRPr="00EF65E9" w:rsidRDefault="0061050E" w:rsidP="00EF65E9">
            <w:pPr>
              <w:spacing w:after="100" w:afterAutospacing="1"/>
              <w:jc w:val="center"/>
              <w:rPr>
                <w:rFonts w:cs="Arial"/>
                <w:color w:val="000000"/>
                <w:szCs w:val="18"/>
              </w:rPr>
            </w:pPr>
            <w:r w:rsidRPr="00EF65E9">
              <w:rPr>
                <w:rFonts w:cs="Arial"/>
                <w:color w:val="000000"/>
                <w:szCs w:val="18"/>
              </w:rPr>
              <w:t>First</w:t>
            </w:r>
          </w:p>
        </w:tc>
        <w:tc>
          <w:tcPr>
            <w:tcW w:w="993" w:type="dxa"/>
            <w:tcBorders>
              <w:top w:val="nil"/>
              <w:left w:val="nil"/>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Second</w:t>
            </w:r>
          </w:p>
        </w:tc>
        <w:tc>
          <w:tcPr>
            <w:tcW w:w="2062" w:type="dxa"/>
            <w:gridSpan w:val="3"/>
            <w:tcBorders>
              <w:top w:val="nil"/>
              <w:left w:val="nil"/>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Approach 1</w:t>
            </w:r>
          </w:p>
        </w:tc>
        <w:tc>
          <w:tcPr>
            <w:tcW w:w="1560" w:type="dxa"/>
            <w:tcBorders>
              <w:top w:val="nil"/>
              <w:left w:val="nil"/>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Approach 2</w:t>
            </w:r>
          </w:p>
        </w:tc>
        <w:tc>
          <w:tcPr>
            <w:tcW w:w="1559" w:type="dxa"/>
            <w:gridSpan w:val="2"/>
            <w:tcBorders>
              <w:top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Approach 3</w:t>
            </w:r>
          </w:p>
        </w:tc>
      </w:tr>
      <w:tr w:rsidR="0061050E" w:rsidRPr="00EF65E9" w:rsidTr="00EF65E9">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rsidR="0061050E" w:rsidRPr="00EF65E9" w:rsidRDefault="0061050E" w:rsidP="00EF65E9">
            <w:pPr>
              <w:jc w:val="center"/>
              <w:rPr>
                <w:rFonts w:cs="Arial"/>
                <w:color w:val="000000"/>
                <w:szCs w:val="18"/>
              </w:rPr>
            </w:pPr>
            <w:r w:rsidRPr="00EF65E9">
              <w:rPr>
                <w:rFonts w:cs="Arial"/>
                <w:color w:val="000000"/>
                <w:szCs w:val="18"/>
              </w:rPr>
              <w:t xml:space="preserve">Number of </w:t>
            </w:r>
            <w:r w:rsidRPr="00EF65E9">
              <w:rPr>
                <w:rFonts w:cs="Arial"/>
                <w:color w:val="000000"/>
                <w:szCs w:val="18"/>
              </w:rPr>
              <w:br/>
              <w:t>Off-Types</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61050E" w:rsidRPr="00EF65E9" w:rsidRDefault="0061050E" w:rsidP="00EF65E9">
            <w:pPr>
              <w:jc w:val="center"/>
              <w:rPr>
                <w:rFonts w:cs="Arial"/>
                <w:color w:val="000000"/>
                <w:szCs w:val="18"/>
              </w:rPr>
            </w:pPr>
            <w:r w:rsidRPr="00EF65E9">
              <w:rPr>
                <w:rFonts w:cs="Arial"/>
                <w:color w:val="000000"/>
                <w:szCs w:val="18"/>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rsidR="0061050E" w:rsidRPr="00EF65E9" w:rsidRDefault="0061050E" w:rsidP="00EF65E9">
            <w:pPr>
              <w:jc w:val="center"/>
              <w:rPr>
                <w:rFonts w:cs="Arial"/>
                <w:color w:val="000000"/>
                <w:szCs w:val="18"/>
              </w:rPr>
            </w:pPr>
            <w:r w:rsidRPr="00EF65E9">
              <w:rPr>
                <w:rFonts w:cs="Arial"/>
                <w:color w:val="000000"/>
                <w:szCs w:val="18"/>
              </w:rPr>
              <w:t>1</w:t>
            </w:r>
          </w:p>
        </w:tc>
        <w:tc>
          <w:tcPr>
            <w:tcW w:w="2062" w:type="dxa"/>
            <w:gridSpan w:val="3"/>
            <w:tcBorders>
              <w:top w:val="single" w:sz="4" w:space="0" w:color="auto"/>
              <w:left w:val="single" w:sz="6" w:space="0" w:color="auto"/>
              <w:bottom w:val="single" w:sz="6" w:space="0" w:color="auto"/>
              <w:right w:val="single" w:sz="6" w:space="0" w:color="auto"/>
            </w:tcBorders>
            <w:shd w:val="clear" w:color="auto" w:fill="auto"/>
            <w:noWrap/>
            <w:vAlign w:val="center"/>
          </w:tcPr>
          <w:p w:rsidR="0061050E" w:rsidRPr="00EF65E9" w:rsidRDefault="0061050E" w:rsidP="00EF65E9">
            <w:pPr>
              <w:jc w:val="center"/>
              <w:rPr>
                <w:rFonts w:cs="Arial"/>
                <w:color w:val="000000"/>
                <w:szCs w:val="18"/>
              </w:rPr>
            </w:pPr>
            <w:r w:rsidRPr="00EF65E9">
              <w:rPr>
                <w:rFonts w:cs="Arial"/>
                <w:color w:val="000000"/>
                <w:szCs w:val="18"/>
              </w:rPr>
              <w:t>uniform</w:t>
            </w:r>
          </w:p>
        </w:tc>
        <w:tc>
          <w:tcPr>
            <w:tcW w:w="1560" w:type="dxa"/>
            <w:tcBorders>
              <w:top w:val="single" w:sz="4" w:space="0" w:color="auto"/>
              <w:left w:val="single" w:sz="6" w:space="0" w:color="auto"/>
              <w:bottom w:val="single" w:sz="6" w:space="0" w:color="auto"/>
              <w:right w:val="single" w:sz="4" w:space="0" w:color="auto"/>
            </w:tcBorders>
            <w:shd w:val="clear" w:color="auto" w:fill="auto"/>
            <w:vAlign w:val="center"/>
          </w:tcPr>
          <w:p w:rsidR="0061050E" w:rsidRPr="00EF65E9" w:rsidRDefault="0061050E" w:rsidP="00EF65E9">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rFonts w:cs="Arial"/>
                <w:color w:val="000000"/>
                <w:szCs w:val="18"/>
              </w:rPr>
              <w:t>uniform</w:t>
            </w:r>
          </w:p>
        </w:tc>
      </w:tr>
      <w:tr w:rsidR="0061050E" w:rsidRPr="00EF65E9" w:rsidTr="00EF65E9">
        <w:trPr>
          <w:trHeight w:val="240"/>
        </w:trPr>
        <w:tc>
          <w:tcPr>
            <w:tcW w:w="567" w:type="dxa"/>
            <w:vMerge/>
            <w:tcBorders>
              <w:left w:val="single" w:sz="4" w:space="0" w:color="auto"/>
              <w:right w:val="single" w:sz="4" w:space="0" w:color="auto"/>
            </w:tcBorders>
            <w:shd w:val="clear" w:color="auto" w:fill="auto"/>
            <w:textDirection w:val="btLr"/>
            <w:vAlign w:val="center"/>
            <w:hideMark/>
          </w:tcPr>
          <w:p w:rsidR="0061050E" w:rsidRPr="00EF65E9" w:rsidRDefault="0061050E" w:rsidP="00EF65E9">
            <w:pPr>
              <w:jc w:val="center"/>
              <w:rPr>
                <w:rFonts w:cs="Arial"/>
                <w:color w:val="000000"/>
                <w:szCs w:val="18"/>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2</w:t>
            </w:r>
          </w:p>
        </w:tc>
        <w:tc>
          <w:tcPr>
            <w:tcW w:w="2062" w:type="dxa"/>
            <w:gridSpan w:val="3"/>
            <w:tcBorders>
              <w:top w:val="single" w:sz="6" w:space="0" w:color="auto"/>
              <w:left w:val="single" w:sz="6" w:space="0" w:color="auto"/>
              <w:bottom w:val="single" w:sz="4" w:space="0" w:color="auto"/>
              <w:right w:val="single" w:sz="6"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uniform</w:t>
            </w:r>
          </w:p>
        </w:tc>
        <w:tc>
          <w:tcPr>
            <w:tcW w:w="1560"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non-uniform</w:t>
            </w:r>
          </w:p>
        </w:tc>
      </w:tr>
      <w:tr w:rsidR="0061050E" w:rsidRPr="00EF65E9" w:rsidTr="00EF65E9">
        <w:trPr>
          <w:trHeight w:val="273"/>
        </w:trPr>
        <w:tc>
          <w:tcPr>
            <w:tcW w:w="567" w:type="dxa"/>
            <w:vMerge/>
            <w:tcBorders>
              <w:left w:val="single" w:sz="4" w:space="0" w:color="auto"/>
              <w:right w:val="single" w:sz="4" w:space="0" w:color="000000"/>
            </w:tcBorders>
            <w:vAlign w:val="center"/>
            <w:hideMark/>
          </w:tcPr>
          <w:p w:rsidR="0061050E" w:rsidRPr="00EF65E9" w:rsidRDefault="0061050E" w:rsidP="00EF65E9">
            <w:pPr>
              <w:jc w:val="left"/>
              <w:rPr>
                <w:rFonts w:cs="Arial"/>
                <w:color w:val="000000"/>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3*</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rPr>
                <w:rFonts w:cs="Arial"/>
                <w:color w:val="000000"/>
                <w:szCs w:val="18"/>
              </w:rPr>
            </w:pPr>
            <w:r w:rsidRPr="00EF65E9">
              <w:rPr>
                <w:rFonts w:cs="Arial"/>
                <w:color w:val="000000"/>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uniform*</w:t>
            </w:r>
          </w:p>
        </w:tc>
        <w:tc>
          <w:tcPr>
            <w:tcW w:w="1559" w:type="dxa"/>
            <w:gridSpan w:val="2"/>
            <w:tcBorders>
              <w:top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uniform*</w:t>
            </w:r>
          </w:p>
        </w:tc>
      </w:tr>
      <w:tr w:rsidR="0061050E" w:rsidRPr="00EF65E9" w:rsidTr="00EF65E9">
        <w:trPr>
          <w:trHeight w:val="248"/>
        </w:trPr>
        <w:tc>
          <w:tcPr>
            <w:tcW w:w="567" w:type="dxa"/>
            <w:vMerge/>
            <w:tcBorders>
              <w:left w:val="single" w:sz="4" w:space="0" w:color="auto"/>
              <w:right w:val="single" w:sz="4" w:space="0" w:color="auto"/>
            </w:tcBorders>
            <w:vAlign w:val="center"/>
            <w:hideMark/>
          </w:tcPr>
          <w:p w:rsidR="0061050E" w:rsidRPr="00EF65E9" w:rsidRDefault="0061050E" w:rsidP="00EF65E9">
            <w:pPr>
              <w:jc w:val="left"/>
              <w:rPr>
                <w:rFonts w:cs="Arial"/>
                <w:color w:val="000000"/>
                <w:szCs w:val="18"/>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3*</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61050E" w:rsidRPr="00EF65E9" w:rsidRDefault="0061050E" w:rsidP="00EF65E9">
            <w:pPr>
              <w:rPr>
                <w:rFonts w:cs="Arial"/>
                <w:color w:val="000000"/>
                <w:szCs w:val="18"/>
              </w:rPr>
            </w:pPr>
            <w:r w:rsidRPr="00EF65E9">
              <w:rPr>
                <w:rFonts w:cs="Arial"/>
                <w:color w:val="000000"/>
                <w:szCs w:val="18"/>
              </w:rPr>
              <w:t>third growing cycle*</w:t>
            </w:r>
          </w:p>
        </w:tc>
        <w:tc>
          <w:tcPr>
            <w:tcW w:w="156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non-uniform*</w:t>
            </w:r>
          </w:p>
        </w:tc>
      </w:tr>
      <w:tr w:rsidR="0061050E" w:rsidRPr="00EF65E9" w:rsidTr="00EF65E9">
        <w:trPr>
          <w:trHeight w:val="267"/>
        </w:trPr>
        <w:tc>
          <w:tcPr>
            <w:tcW w:w="567" w:type="dxa"/>
            <w:vMerge/>
            <w:tcBorders>
              <w:left w:val="single" w:sz="4" w:space="0" w:color="auto"/>
              <w:right w:val="single" w:sz="4" w:space="0" w:color="000000"/>
            </w:tcBorders>
            <w:vAlign w:val="center"/>
            <w:hideMark/>
          </w:tcPr>
          <w:p w:rsidR="0061050E" w:rsidRPr="00EF65E9" w:rsidRDefault="0061050E" w:rsidP="00EF65E9">
            <w:pPr>
              <w:jc w:val="left"/>
              <w:rPr>
                <w:rFonts w:cs="Arial"/>
                <w:color w:val="000000"/>
                <w:szCs w:val="1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1050E" w:rsidRPr="00EF65E9" w:rsidRDefault="0061050E" w:rsidP="00EF65E9">
            <w:pPr>
              <w:ind w:left="49"/>
              <w:jc w:val="center"/>
              <w:rPr>
                <w:rFonts w:cs="Arial"/>
                <w:color w:val="000000"/>
                <w:szCs w:val="18"/>
              </w:rPr>
            </w:pPr>
            <w:r w:rsidRPr="00EF65E9">
              <w:rPr>
                <w:rFonts w:cs="Arial"/>
                <w:color w:val="000000"/>
                <w:szCs w:val="18"/>
              </w:rPr>
              <w:t>4*</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rPr>
                <w:rFonts w:cs="Arial"/>
                <w:color w:val="000000"/>
                <w:szCs w:val="18"/>
              </w:rPr>
            </w:pPr>
            <w:r w:rsidRPr="00EF65E9">
              <w:rPr>
                <w:rFonts w:cs="Arial"/>
                <w:color w:val="000000"/>
                <w:szCs w:val="18"/>
              </w:rPr>
              <w:t>third growing cycle*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1050E" w:rsidRPr="00EF65E9" w:rsidRDefault="0061050E" w:rsidP="00EF65E9">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non-uniform*</w:t>
            </w:r>
          </w:p>
        </w:tc>
      </w:tr>
      <w:tr w:rsidR="0061050E" w:rsidRPr="00EF65E9" w:rsidTr="00EF65E9">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rsidR="0061050E" w:rsidRPr="00EF65E9" w:rsidRDefault="0061050E" w:rsidP="00EF65E9">
            <w:pPr>
              <w:jc w:val="left"/>
              <w:rPr>
                <w:rFonts w:cs="Arial"/>
                <w:color w:val="000000"/>
                <w:szCs w:val="18"/>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rsidR="0061050E" w:rsidRPr="00EF65E9" w:rsidRDefault="0061050E" w:rsidP="00EF65E9">
            <w:pPr>
              <w:ind w:left="49"/>
              <w:jc w:val="center"/>
              <w:rPr>
                <w:rFonts w:cs="Arial"/>
                <w:color w:val="000000"/>
                <w:szCs w:val="18"/>
              </w:rPr>
            </w:pPr>
            <w:r w:rsidRPr="00EF65E9">
              <w:rPr>
                <w:rFonts w:cs="Arial"/>
                <w:color w:val="000000"/>
                <w:szCs w:val="18"/>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1*</w:t>
            </w:r>
          </w:p>
        </w:tc>
        <w:tc>
          <w:tcPr>
            <w:tcW w:w="2062" w:type="dxa"/>
            <w:gridSpan w:val="3"/>
            <w:tcBorders>
              <w:top w:val="nil"/>
              <w:left w:val="single" w:sz="4" w:space="0" w:color="auto"/>
              <w:bottom w:val="single" w:sz="4" w:space="0" w:color="auto"/>
              <w:right w:val="single" w:sz="4" w:space="0" w:color="auto"/>
            </w:tcBorders>
            <w:shd w:val="clear" w:color="auto" w:fill="auto"/>
            <w:noWrap/>
            <w:vAlign w:val="center"/>
            <w:hideMark/>
          </w:tcPr>
          <w:p w:rsidR="0061050E" w:rsidRPr="00EF65E9" w:rsidRDefault="0061050E" w:rsidP="00EF65E9">
            <w:pPr>
              <w:rPr>
                <w:rFonts w:cs="Arial"/>
                <w:color w:val="000000"/>
                <w:szCs w:val="18"/>
              </w:rPr>
            </w:pPr>
            <w:r w:rsidRPr="00EF65E9">
              <w:rPr>
                <w:rFonts w:cs="Arial"/>
                <w:color w:val="000000"/>
                <w:szCs w:val="18"/>
              </w:rPr>
              <w:t>third growing cycle*</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61050E" w:rsidRPr="00EF65E9" w:rsidRDefault="0061050E" w:rsidP="00EF65E9">
            <w:pPr>
              <w:jc w:val="center"/>
              <w:rPr>
                <w:rFonts w:cs="Arial"/>
                <w:color w:val="000000"/>
                <w:szCs w:val="18"/>
              </w:rPr>
            </w:pPr>
            <w:r w:rsidRPr="00EF65E9">
              <w:rPr>
                <w:rFonts w:cs="Arial"/>
                <w:color w:val="000000"/>
                <w:szCs w:val="18"/>
              </w:rPr>
              <w:t>non-uniform*</w:t>
            </w:r>
          </w:p>
        </w:tc>
        <w:tc>
          <w:tcPr>
            <w:tcW w:w="1559" w:type="dxa"/>
            <w:gridSpan w:val="2"/>
            <w:tcBorders>
              <w:top w:val="single" w:sz="4" w:space="0" w:color="auto"/>
              <w:bottom w:val="single" w:sz="4" w:space="0" w:color="auto"/>
              <w:right w:val="single" w:sz="4" w:space="0" w:color="auto"/>
            </w:tcBorders>
            <w:shd w:val="clear" w:color="auto" w:fill="auto"/>
          </w:tcPr>
          <w:p w:rsidR="0061050E" w:rsidRPr="00EF65E9" w:rsidRDefault="0061050E" w:rsidP="00EF65E9">
            <w:pPr>
              <w:jc w:val="center"/>
              <w:rPr>
                <w:szCs w:val="18"/>
              </w:rPr>
            </w:pPr>
            <w:r w:rsidRPr="00EF65E9">
              <w:rPr>
                <w:szCs w:val="18"/>
              </w:rPr>
              <w:t>non-uniform*</w:t>
            </w:r>
          </w:p>
        </w:tc>
      </w:tr>
    </w:tbl>
    <w:p w:rsidR="0061050E" w:rsidRPr="00EF65E9" w:rsidRDefault="0061050E" w:rsidP="00EF65E9">
      <w:pPr>
        <w:spacing w:after="240"/>
        <w:rPr>
          <w:b/>
          <w:caps/>
          <w:sz w:val="14"/>
          <w:szCs w:val="24"/>
        </w:rPr>
      </w:pPr>
    </w:p>
    <w:p w:rsidR="0061050E" w:rsidRPr="00EF65E9" w:rsidRDefault="0061050E" w:rsidP="00EF65E9">
      <w:pPr>
        <w:keepNext/>
        <w:keepLines/>
        <w:rPr>
          <w:sz w:val="16"/>
          <w:u w:val="single"/>
        </w:rPr>
      </w:pPr>
      <w:r w:rsidRPr="00EF65E9">
        <w:rPr>
          <w:sz w:val="18"/>
          <w:szCs w:val="24"/>
        </w:rPr>
        <w:t xml:space="preserve">*  </w:t>
      </w:r>
      <w:r w:rsidRPr="00EF65E9">
        <w:rPr>
          <w:rFonts w:eastAsia="SimSun"/>
          <w:sz w:val="18"/>
          <w:lang w:eastAsia="zh-CN"/>
        </w:rPr>
        <w:t>Care is needed when considering results that were very different in each of the growing cycles, such as when a type of off</w:t>
      </w:r>
      <w:r w:rsidRPr="00EF65E9">
        <w:rPr>
          <w:rFonts w:eastAsia="SimSun"/>
          <w:sz w:val="18"/>
          <w:lang w:eastAsia="zh-CN"/>
        </w:rPr>
        <w:noBreakHyphen/>
        <w:t xml:space="preserve">type was observed at a high level in one growing cycle and was absent in another growing cycle.  </w:t>
      </w:r>
      <w:r w:rsidRPr="00EF65E9">
        <w:rPr>
          <w:sz w:val="18"/>
        </w:rPr>
        <w:t xml:space="preserve">A statistical test for consistency should be applied when appropriate. </w:t>
      </w:r>
      <w:r w:rsidRPr="00EF65E9">
        <w:rPr>
          <w:sz w:val="16"/>
        </w:rPr>
        <w:t xml:space="preserve"> </w:t>
      </w:r>
      <w:r w:rsidRPr="00EF65E9">
        <w:rPr>
          <w:sz w:val="18"/>
        </w:rPr>
        <w:t>It is important to identify whether differences in number of off types between growing cycles were due to environmental reasons or sampling variation.</w:t>
      </w:r>
    </w:p>
    <w:p w:rsidR="0061050E" w:rsidRPr="00EF65E9" w:rsidRDefault="0061050E" w:rsidP="00EF65E9">
      <w:pPr>
        <w:keepNext/>
        <w:keepLines/>
        <w:rPr>
          <w:sz w:val="18"/>
        </w:rPr>
      </w:pPr>
    </w:p>
    <w:p w:rsidR="0061050E" w:rsidRPr="00EF65E9" w:rsidRDefault="0061050E" w:rsidP="00EF65E9">
      <w:pPr>
        <w:jc w:val="left"/>
      </w:pPr>
      <w:r w:rsidRPr="00EF65E9">
        <w:rPr>
          <w:sz w:val="18"/>
        </w:rPr>
        <w:t>**  if in the first growing cycle a variety exceeds a predefined upper limit of off-types the variety may be rejected after a single growing cycle.</w:t>
      </w:r>
    </w:p>
    <w:p w:rsidR="0061050E" w:rsidRPr="00EF65E9" w:rsidRDefault="0061050E" w:rsidP="00EF65E9"/>
    <w:p w:rsidR="0061050E" w:rsidRPr="00EF65E9" w:rsidRDefault="0061050E" w:rsidP="00EF65E9"/>
    <w:p w:rsidR="0061050E" w:rsidRPr="00EF65E9" w:rsidRDefault="0061050E" w:rsidP="00EF65E9">
      <w:pPr>
        <w:rPr>
          <w:u w:val="single"/>
        </w:rPr>
      </w:pPr>
      <w:r w:rsidRPr="00EF65E9">
        <w:rPr>
          <w:u w:val="single"/>
        </w:rPr>
        <w:t xml:space="preserve">New Section 4.8: Assessing uniformity by off-types on the basis of sub-samples within a single test/trial </w:t>
      </w:r>
    </w:p>
    <w:p w:rsidR="0061050E" w:rsidRPr="00EF65E9" w:rsidRDefault="0061050E" w:rsidP="00EF65E9"/>
    <w:p w:rsidR="0061050E" w:rsidRPr="00EF65E9" w:rsidRDefault="0061050E" w:rsidP="00EF65E9">
      <w:pPr>
        <w:ind w:firstLine="567"/>
        <w:rPr>
          <w:i/>
        </w:rPr>
      </w:pPr>
      <w:r w:rsidRPr="00EF65E9">
        <w:rPr>
          <w:i/>
        </w:rPr>
        <w:t>Approach:  Use of sub-sample as a first step of assessment</w:t>
      </w:r>
    </w:p>
    <w:p w:rsidR="0061050E" w:rsidRPr="00EF65E9" w:rsidRDefault="0061050E" w:rsidP="00EF65E9">
      <w:pPr>
        <w:rPr>
          <w:b/>
        </w:rPr>
      </w:pPr>
    </w:p>
    <w:p w:rsidR="0061050E" w:rsidRPr="00EF65E9" w:rsidRDefault="0061050E" w:rsidP="00EF65E9">
      <w:r w:rsidRPr="00EF65E9">
        <w:t>A variety is considered uniform if the number of off-types does not exceed a predefined lower limit in the sub</w:t>
      </w:r>
      <w:r w:rsidRPr="00EF65E9">
        <w:noBreakHyphen/>
        <w:t>sample.</w:t>
      </w:r>
    </w:p>
    <w:p w:rsidR="0061050E" w:rsidRPr="00EF65E9" w:rsidRDefault="0061050E" w:rsidP="00EF65E9"/>
    <w:p w:rsidR="0061050E" w:rsidRPr="00EF65E9" w:rsidRDefault="0061050E" w:rsidP="00EF65E9">
      <w:r w:rsidRPr="00EF65E9">
        <w:t>A variety is considered non–uniform if the number of off-types exceeds a predefined upper limit in the sub</w:t>
      </w:r>
      <w:r w:rsidRPr="00EF65E9">
        <w:noBreakHyphen/>
        <w:t>sample.</w:t>
      </w:r>
    </w:p>
    <w:p w:rsidR="0061050E" w:rsidRPr="00EF65E9" w:rsidRDefault="0061050E" w:rsidP="00EF65E9"/>
    <w:p w:rsidR="0061050E" w:rsidRPr="00EF65E9" w:rsidRDefault="0061050E" w:rsidP="00EF65E9">
      <w:r w:rsidRPr="00EF65E9">
        <w:t>If the number of off-types is between the predefined lower and upper limits, the whole sample is assessed. The lower and upper limits have to be chosen considering comparable type I and type II errors in the sub</w:t>
      </w:r>
      <w:r w:rsidRPr="00EF65E9">
        <w:noBreakHyphen/>
        <w:t>sample and the whole sample.</w:t>
      </w:r>
    </w:p>
    <w:p w:rsidR="0061050E" w:rsidRPr="00EF65E9" w:rsidRDefault="0061050E" w:rsidP="00EF65E9"/>
    <w:p w:rsidR="0061050E" w:rsidRPr="00EF65E9" w:rsidRDefault="0061050E" w:rsidP="00EF65E9">
      <w:pPr>
        <w:ind w:firstLine="567"/>
        <w:rPr>
          <w:i/>
          <w:szCs w:val="24"/>
        </w:rPr>
      </w:pPr>
      <w:r w:rsidRPr="00EF65E9">
        <w:rPr>
          <w:i/>
          <w:szCs w:val="24"/>
        </w:rPr>
        <w:t>Example:</w:t>
      </w:r>
    </w:p>
    <w:p w:rsidR="0061050E" w:rsidRPr="00EF65E9" w:rsidRDefault="0061050E" w:rsidP="00EF65E9">
      <w:pPr>
        <w:rPr>
          <w:szCs w:val="24"/>
        </w:rPr>
      </w:pPr>
    </w:p>
    <w:p w:rsidR="0061050E" w:rsidRPr="00EF65E9" w:rsidRDefault="0061050E" w:rsidP="00EF65E9">
      <w:pPr>
        <w:autoSpaceDE w:val="0"/>
        <w:autoSpaceDN w:val="0"/>
        <w:adjustRightInd w:val="0"/>
        <w:rPr>
          <w:color w:val="000000"/>
          <w:szCs w:val="24"/>
        </w:rPr>
      </w:pPr>
      <w:r w:rsidRPr="00EF65E9">
        <w:rPr>
          <w:color w:val="000000"/>
          <w:szCs w:val="24"/>
        </w:rPr>
        <w:t>In a sample size of 100 plants, the acceptable number of off-types is 3 (based on a population standard of 1% and an acceptance probability of at least 95%).</w:t>
      </w:r>
    </w:p>
    <w:p w:rsidR="0061050E" w:rsidRPr="00EF65E9" w:rsidRDefault="0061050E" w:rsidP="00EF65E9">
      <w:pPr>
        <w:autoSpaceDE w:val="0"/>
        <w:autoSpaceDN w:val="0"/>
        <w:adjustRightInd w:val="0"/>
        <w:rPr>
          <w:color w:val="000000"/>
          <w:szCs w:val="24"/>
        </w:rPr>
      </w:pPr>
    </w:p>
    <w:p w:rsidR="0061050E" w:rsidRPr="00EF65E9" w:rsidRDefault="0061050E" w:rsidP="00EF65E9">
      <w:pPr>
        <w:autoSpaceDE w:val="0"/>
        <w:autoSpaceDN w:val="0"/>
        <w:adjustRightInd w:val="0"/>
        <w:rPr>
          <w:color w:val="000000"/>
          <w:szCs w:val="24"/>
        </w:rPr>
      </w:pPr>
      <w:r w:rsidRPr="00EF65E9">
        <w:rPr>
          <w:color w:val="000000"/>
          <w:szCs w:val="24"/>
        </w:rPr>
        <w:lastRenderedPageBreak/>
        <w:t>In a subsample of 20 plants used in the context of the sample size of 100 plants above:</w:t>
      </w:r>
    </w:p>
    <w:p w:rsidR="0061050E" w:rsidRPr="00EF65E9" w:rsidRDefault="0061050E" w:rsidP="00EF65E9">
      <w:pPr>
        <w:autoSpaceDE w:val="0"/>
        <w:autoSpaceDN w:val="0"/>
        <w:adjustRightInd w:val="0"/>
        <w:rPr>
          <w:color w:val="000000"/>
          <w:szCs w:val="24"/>
        </w:rPr>
      </w:pPr>
    </w:p>
    <w:p w:rsidR="0061050E" w:rsidRPr="00EF65E9" w:rsidRDefault="0061050E" w:rsidP="00EF65E9">
      <w:r w:rsidRPr="00EF65E9">
        <w:t>A variety is considered uniform if no off-types are observed in the sub-sample.</w:t>
      </w:r>
    </w:p>
    <w:p w:rsidR="0061050E" w:rsidRPr="00EF65E9" w:rsidRDefault="0061050E" w:rsidP="00EF65E9"/>
    <w:p w:rsidR="0061050E" w:rsidRPr="00EF65E9" w:rsidRDefault="0061050E" w:rsidP="00EF65E9">
      <w:r w:rsidRPr="00EF65E9">
        <w:t>A variety is considered non–uniform if the number of off-types in the sub-sample exceeds 3.</w:t>
      </w:r>
    </w:p>
    <w:p w:rsidR="0061050E" w:rsidRPr="00EF65E9" w:rsidRDefault="0061050E" w:rsidP="00EF65E9"/>
    <w:p w:rsidR="0061050E" w:rsidRPr="00EF65E9" w:rsidRDefault="0061050E" w:rsidP="00EF65E9">
      <w:r w:rsidRPr="00EF65E9">
        <w:t>If the number of off-types is 1 to 3, the whole sample of 100 plants is assessed.</w:t>
      </w:r>
    </w:p>
    <w:p w:rsidR="0061050E" w:rsidRPr="00EF65E9" w:rsidRDefault="0061050E" w:rsidP="00EF65E9"/>
    <w:p w:rsidR="0061050E" w:rsidRPr="00EF65E9" w:rsidRDefault="0061050E" w:rsidP="00EF65E9">
      <w:r w:rsidRPr="00EF65E9">
        <w:rPr>
          <w:rFonts w:cs="Arial"/>
        </w:rPr>
        <w:t>If the number of off-types in the sample of 100 plants exceeds 3, the variety is considered non-uniform.</w:t>
      </w:r>
    </w:p>
    <w:p w:rsidR="00E12538" w:rsidRDefault="00E12538" w:rsidP="0061050E">
      <w:pPr>
        <w:jc w:val="right"/>
      </w:pPr>
    </w:p>
    <w:p w:rsidR="00E12538" w:rsidRDefault="00E12538" w:rsidP="00EF65E9">
      <w:pPr>
        <w:jc w:val="right"/>
      </w:pPr>
    </w:p>
    <w:p w:rsidR="00EF65E9" w:rsidRPr="00EF65E9" w:rsidRDefault="00EF65E9" w:rsidP="00EF65E9">
      <w:pPr>
        <w:jc w:val="right"/>
      </w:pPr>
    </w:p>
    <w:p w:rsidR="00E23559" w:rsidRDefault="0061050E" w:rsidP="0061050E">
      <w:pPr>
        <w:jc w:val="right"/>
        <w:rPr>
          <w:rFonts w:cs="Arial"/>
        </w:rPr>
        <w:sectPr w:rsidR="00E23559" w:rsidSect="00EF65E9">
          <w:headerReference w:type="default" r:id="rId23"/>
          <w:headerReference w:type="first" r:id="rId24"/>
          <w:footnotePr>
            <w:numRestart w:val="eachSect"/>
          </w:footnotePr>
          <w:pgSz w:w="11907" w:h="16840" w:code="9"/>
          <w:pgMar w:top="510" w:right="1134" w:bottom="1134" w:left="1134" w:header="510" w:footer="680" w:gutter="0"/>
          <w:pgNumType w:start="1"/>
          <w:cols w:space="720"/>
          <w:titlePg/>
        </w:sectPr>
      </w:pPr>
      <w:r w:rsidRPr="00273B07">
        <w:t>[Annex IV follows</w:t>
      </w:r>
      <w:r>
        <w:rPr>
          <w:rFonts w:cs="Arial"/>
        </w:rPr>
        <w:t>]</w:t>
      </w:r>
    </w:p>
    <w:p w:rsidR="00E23559" w:rsidRPr="002E1B40" w:rsidRDefault="00E23559" w:rsidP="00E23559">
      <w:pPr>
        <w:jc w:val="center"/>
        <w:rPr>
          <w:caps/>
        </w:rPr>
      </w:pPr>
      <w:r w:rsidRPr="002E1B40">
        <w:rPr>
          <w:caps/>
        </w:rPr>
        <w:lastRenderedPageBreak/>
        <w:t>Revision</w:t>
      </w:r>
      <w:r>
        <w:rPr>
          <w:caps/>
        </w:rPr>
        <w:t xml:space="preserve">s </w:t>
      </w:r>
      <w:r w:rsidR="004A086C">
        <w:rPr>
          <w:caps/>
        </w:rPr>
        <w:t>to</w:t>
      </w:r>
      <w:r>
        <w:rPr>
          <w:caps/>
        </w:rPr>
        <w:t xml:space="preserve"> document TGP/14</w:t>
      </w:r>
      <w:r w:rsidRPr="002E1B40">
        <w:rPr>
          <w:caps/>
        </w:rPr>
        <w:t xml:space="preserve"> “</w:t>
      </w:r>
      <w:r w:rsidRPr="00E23559">
        <w:rPr>
          <w:caps/>
        </w:rPr>
        <w:t>Glossary of Terms Used in UPOV Documents”</w:t>
      </w:r>
      <w:r w:rsidRPr="002E1B40">
        <w:rPr>
          <w:caps/>
        </w:rPr>
        <w:t xml:space="preserve"> </w:t>
      </w:r>
    </w:p>
    <w:p w:rsidR="00FF70E5" w:rsidRDefault="00FF70E5" w:rsidP="00FF70E5">
      <w:pPr>
        <w:jc w:val="center"/>
      </w:pPr>
      <w:r>
        <w:t>AGREED BY THE TECHNICAL COMMITTEE AT ITS FIFTY-THIRD</w:t>
      </w:r>
      <w:r>
        <w:rPr>
          <w:rStyle w:val="FootnoteReference"/>
        </w:rPr>
        <w:footnoteReference w:id="11"/>
      </w:r>
      <w:r>
        <w:t xml:space="preserve"> AND FIFTY-FOURTH</w:t>
      </w:r>
      <w:r>
        <w:rPr>
          <w:rStyle w:val="FootnoteReference"/>
        </w:rPr>
        <w:footnoteReference w:id="12"/>
      </w:r>
      <w:r>
        <w:t xml:space="preserve"> SESSIONS</w:t>
      </w:r>
    </w:p>
    <w:p w:rsidR="00E23559" w:rsidRPr="00273B07" w:rsidRDefault="00E23559" w:rsidP="00E23559"/>
    <w:p w:rsidR="00E23559" w:rsidRPr="00273B07" w:rsidRDefault="00E23559" w:rsidP="00E23559"/>
    <w:p w:rsidR="00E23559" w:rsidRPr="00273B07" w:rsidRDefault="00E23559" w:rsidP="00E23559">
      <w:pPr>
        <w:rPr>
          <w:u w:val="single"/>
        </w:rPr>
      </w:pPr>
      <w:r w:rsidRPr="00273B07">
        <w:rPr>
          <w:u w:val="single"/>
        </w:rPr>
        <w:t>(</w:t>
      </w:r>
      <w:proofErr w:type="spellStart"/>
      <w:r w:rsidRPr="00273B07">
        <w:rPr>
          <w:u w:val="single"/>
        </w:rPr>
        <w:t>i</w:t>
      </w:r>
      <w:proofErr w:type="spellEnd"/>
      <w:r w:rsidRPr="00273B07">
        <w:rPr>
          <w:u w:val="single"/>
        </w:rPr>
        <w:t>)</w:t>
      </w:r>
      <w:r w:rsidRPr="00273B07">
        <w:rPr>
          <w:u w:val="single"/>
        </w:rPr>
        <w:tab/>
        <w:t>Illustrations for shape and ratio characteristics</w:t>
      </w:r>
    </w:p>
    <w:p w:rsidR="00E23559" w:rsidRPr="00273B07" w:rsidRDefault="00E23559" w:rsidP="00E23559">
      <w:pPr>
        <w:rPr>
          <w:snapToGrid w:val="0"/>
        </w:rPr>
      </w:pPr>
    </w:p>
    <w:p w:rsidR="00E23559" w:rsidRPr="00273B07" w:rsidRDefault="00E23559" w:rsidP="00E23559">
      <w:r w:rsidRPr="00273B07">
        <w:t>The TC, at its fifty-third session,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to read as follows (see document TC/53/31 “Report”, paragraph 141) (</w:t>
      </w:r>
      <w:r w:rsidRPr="00273B07">
        <w:rPr>
          <w:strike/>
          <w:highlight w:val="lightGray"/>
        </w:rPr>
        <w:t>highlighting and strikethrough</w:t>
      </w:r>
      <w:r w:rsidRPr="00273B07">
        <w:t xml:space="preserve"> for deletions and </w:t>
      </w:r>
      <w:r w:rsidRPr="00273B07">
        <w:rPr>
          <w:highlight w:val="lightGray"/>
          <w:u w:val="single"/>
        </w:rPr>
        <w:t>highlighting and underline</w:t>
      </w:r>
      <w:r w:rsidRPr="00273B07">
        <w:t xml:space="preserve"> for addition):</w:t>
      </w:r>
    </w:p>
    <w:p w:rsidR="00E23559" w:rsidRPr="00273B07" w:rsidRDefault="00E23559" w:rsidP="00E23559">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E23559" w:rsidRPr="00273B07" w:rsidTr="00FD0F20">
        <w:trPr>
          <w:gridBefore w:val="1"/>
          <w:gridAfter w:val="1"/>
          <w:wBefore w:w="379" w:type="dxa"/>
          <w:wAfter w:w="14" w:type="dxa"/>
          <w:cantSplit/>
          <w:jc w:val="center"/>
        </w:trPr>
        <w:tc>
          <w:tcPr>
            <w:tcW w:w="422" w:type="dxa"/>
            <w:tcBorders>
              <w:top w:val="nil"/>
              <w:left w:val="nil"/>
              <w:bottom w:val="nil"/>
              <w:right w:val="nil"/>
            </w:tcBorders>
          </w:tcPr>
          <w:p w:rsidR="00E23559" w:rsidRPr="00273B07" w:rsidRDefault="00E23559" w:rsidP="00FD0F20">
            <w:pPr>
              <w:keepNext/>
              <w:keepLines/>
              <w:jc w:val="center"/>
              <w:rPr>
                <w:sz w:val="18"/>
              </w:rPr>
            </w:pPr>
          </w:p>
        </w:tc>
        <w:tc>
          <w:tcPr>
            <w:tcW w:w="283" w:type="dxa"/>
            <w:gridSpan w:val="2"/>
            <w:tcBorders>
              <w:top w:val="nil"/>
              <w:left w:val="nil"/>
              <w:bottom w:val="nil"/>
              <w:right w:val="nil"/>
            </w:tcBorders>
          </w:tcPr>
          <w:p w:rsidR="00E23559" w:rsidRPr="00273B07" w:rsidRDefault="00E23559" w:rsidP="00FD0F20">
            <w:pPr>
              <w:keepNext/>
              <w:keepLines/>
              <w:jc w:val="center"/>
              <w:rPr>
                <w:sz w:val="18"/>
              </w:rPr>
            </w:pPr>
          </w:p>
        </w:tc>
        <w:tc>
          <w:tcPr>
            <w:tcW w:w="8357" w:type="dxa"/>
            <w:gridSpan w:val="9"/>
            <w:tcBorders>
              <w:left w:val="single" w:sz="4" w:space="0" w:color="auto"/>
              <w:bottom w:val="nil"/>
            </w:tcBorders>
          </w:tcPr>
          <w:p w:rsidR="00E23559" w:rsidRPr="00273B07" w:rsidRDefault="00E23559" w:rsidP="00FD0F20">
            <w:pPr>
              <w:keepNext/>
              <w:keepLines/>
              <w:jc w:val="center"/>
              <w:rPr>
                <w:sz w:val="18"/>
              </w:rPr>
            </w:pPr>
            <w:r w:rsidRPr="00273B07">
              <w:rPr>
                <w:noProof/>
                <w:sz w:val="18"/>
              </w:rPr>
              <w:tab/>
            </w:r>
            <w:r w:rsidRPr="00273B07">
              <w:rPr>
                <w:noProof/>
                <w:sz w:val="18"/>
              </w:rPr>
              <w:sym w:font="Wingdings" w:char="F0DF"/>
            </w:r>
            <w:r w:rsidRPr="00273B07">
              <w:rPr>
                <w:noProof/>
                <w:sz w:val="18"/>
              </w:rPr>
              <w:tab/>
            </w:r>
            <w:r w:rsidRPr="00273B07">
              <w:rPr>
                <w:noProof/>
                <w:sz w:val="18"/>
              </w:rPr>
              <w:tab/>
            </w:r>
            <w:r w:rsidRPr="00273B07">
              <w:rPr>
                <w:sz w:val="18"/>
              </w:rPr>
              <w:t>broadest part</w:t>
            </w:r>
            <w:r w:rsidRPr="00273B07">
              <w:rPr>
                <w:sz w:val="18"/>
              </w:rPr>
              <w:tab/>
            </w:r>
            <w:r w:rsidRPr="00273B07">
              <w:rPr>
                <w:sz w:val="18"/>
              </w:rPr>
              <w:tab/>
            </w:r>
            <w:r w:rsidRPr="00273B07">
              <w:rPr>
                <w:noProof/>
                <w:sz w:val="18"/>
              </w:rPr>
              <w:sym w:font="Wingdings" w:char="F0E0"/>
            </w:r>
            <w:r w:rsidRPr="00273B07">
              <w:rPr>
                <w:noProof/>
                <w:sz w:val="18"/>
              </w:rPr>
              <w:t xml:space="preserve"> </w:t>
            </w:r>
            <w:r w:rsidRPr="00273B07">
              <w:rPr>
                <w:noProof/>
                <w:sz w:val="18"/>
              </w:rPr>
              <w:tab/>
            </w:r>
          </w:p>
        </w:tc>
      </w:tr>
      <w:tr w:rsidR="00E23559" w:rsidRPr="00273B07" w:rsidTr="00FD0F20">
        <w:trPr>
          <w:gridBefore w:val="1"/>
          <w:gridAfter w:val="1"/>
          <w:wBefore w:w="379" w:type="dxa"/>
          <w:wAfter w:w="14" w:type="dxa"/>
          <w:cantSplit/>
          <w:jc w:val="center"/>
        </w:trPr>
        <w:tc>
          <w:tcPr>
            <w:tcW w:w="422" w:type="dxa"/>
            <w:tcBorders>
              <w:top w:val="nil"/>
              <w:left w:val="nil"/>
              <w:bottom w:val="nil"/>
              <w:right w:val="nil"/>
            </w:tcBorders>
          </w:tcPr>
          <w:p w:rsidR="00E23559" w:rsidRPr="00273B07" w:rsidRDefault="00E23559" w:rsidP="00FD0F20">
            <w:pPr>
              <w:jc w:val="center"/>
              <w:rPr>
                <w:sz w:val="18"/>
              </w:rPr>
            </w:pP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2835" w:type="dxa"/>
            <w:gridSpan w:val="4"/>
            <w:tcBorders>
              <w:top w:val="single" w:sz="4" w:space="0" w:color="auto"/>
              <w:left w:val="single" w:sz="4" w:space="0" w:color="auto"/>
              <w:bottom w:val="single" w:sz="4" w:space="0" w:color="auto"/>
              <w:right w:val="single" w:sz="4" w:space="0" w:color="auto"/>
            </w:tcBorders>
          </w:tcPr>
          <w:p w:rsidR="00E23559" w:rsidRPr="00273B07" w:rsidRDefault="00E23559" w:rsidP="00FD0F20">
            <w:pPr>
              <w:jc w:val="center"/>
              <w:rPr>
                <w:sz w:val="18"/>
              </w:rPr>
            </w:pPr>
            <w:r w:rsidRPr="00273B07">
              <w:rPr>
                <w:noProof/>
                <w:sz w:val="18"/>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E23559" w:rsidRPr="00273B07" w:rsidRDefault="00E23559" w:rsidP="00FD0F20">
            <w:pPr>
              <w:jc w:val="center"/>
              <w:rPr>
                <w:sz w:val="18"/>
              </w:rPr>
            </w:pPr>
            <w:r w:rsidRPr="00273B07">
              <w:rPr>
                <w:sz w:val="18"/>
              </w:rPr>
              <w:t>at middle</w:t>
            </w:r>
          </w:p>
        </w:tc>
        <w:tc>
          <w:tcPr>
            <w:tcW w:w="4104" w:type="dxa"/>
            <w:gridSpan w:val="3"/>
            <w:tcBorders>
              <w:top w:val="single" w:sz="4" w:space="0" w:color="auto"/>
              <w:left w:val="single" w:sz="4" w:space="0" w:color="auto"/>
              <w:bottom w:val="single" w:sz="4" w:space="0" w:color="auto"/>
              <w:right w:val="single" w:sz="4" w:space="0" w:color="auto"/>
            </w:tcBorders>
          </w:tcPr>
          <w:p w:rsidR="00E23559" w:rsidRPr="00273B07" w:rsidRDefault="00E23559" w:rsidP="00FD0F20">
            <w:pPr>
              <w:jc w:val="center"/>
              <w:rPr>
                <w:sz w:val="18"/>
              </w:rPr>
            </w:pPr>
            <w:r w:rsidRPr="00273B07">
              <w:rPr>
                <w:noProof/>
                <w:sz w:val="18"/>
              </w:rPr>
              <w:t>(above middle)</w:t>
            </w:r>
          </w:p>
        </w:tc>
      </w:tr>
      <w:tr w:rsidR="00E23559" w:rsidRPr="00273B07" w:rsidTr="00FD0F20">
        <w:trPr>
          <w:gridBefore w:val="1"/>
          <w:wBefore w:w="379" w:type="dxa"/>
          <w:trHeight w:val="163"/>
          <w:jc w:val="center"/>
        </w:trPr>
        <w:tc>
          <w:tcPr>
            <w:tcW w:w="429" w:type="dxa"/>
            <w:gridSpan w:val="2"/>
            <w:tcBorders>
              <w:top w:val="nil"/>
              <w:left w:val="nil"/>
              <w:bottom w:val="nil"/>
              <w:right w:val="nil"/>
            </w:tcBorders>
          </w:tcPr>
          <w:p w:rsidR="00E23559" w:rsidRPr="00273B07" w:rsidRDefault="00E23559" w:rsidP="00FD0F20">
            <w:pPr>
              <w:jc w:val="center"/>
              <w:rPr>
                <w:sz w:val="18"/>
              </w:rPr>
            </w:pP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1420" w:type="dxa"/>
            <w:tcBorders>
              <w:top w:val="nil"/>
              <w:left w:val="nil"/>
              <w:bottom w:val="nil"/>
              <w:right w:val="nil"/>
            </w:tcBorders>
          </w:tcPr>
          <w:p w:rsidR="00E23559" w:rsidRPr="00273B07" w:rsidRDefault="00E23559" w:rsidP="00FD0F20">
            <w:pPr>
              <w:jc w:val="center"/>
              <w:rPr>
                <w:sz w:val="18"/>
              </w:rPr>
            </w:pPr>
          </w:p>
        </w:tc>
        <w:tc>
          <w:tcPr>
            <w:tcW w:w="1389" w:type="dxa"/>
            <w:tcBorders>
              <w:top w:val="nil"/>
              <w:left w:val="nil"/>
              <w:bottom w:val="nil"/>
              <w:right w:val="nil"/>
            </w:tcBorders>
          </w:tcPr>
          <w:p w:rsidR="00E23559" w:rsidRPr="00273B07" w:rsidRDefault="00E23559" w:rsidP="00FD0F20">
            <w:pPr>
              <w:jc w:val="center"/>
              <w:rPr>
                <w:sz w:val="18"/>
              </w:rPr>
            </w:pPr>
          </w:p>
        </w:tc>
        <w:tc>
          <w:tcPr>
            <w:tcW w:w="1389" w:type="dxa"/>
            <w:gridSpan w:val="2"/>
            <w:tcBorders>
              <w:top w:val="nil"/>
              <w:left w:val="nil"/>
              <w:bottom w:val="nil"/>
              <w:right w:val="nil"/>
            </w:tcBorders>
          </w:tcPr>
          <w:p w:rsidR="00E23559" w:rsidRPr="00273B07" w:rsidRDefault="00E23559" w:rsidP="00FD0F20">
            <w:pPr>
              <w:jc w:val="center"/>
              <w:rPr>
                <w:sz w:val="18"/>
              </w:rPr>
            </w:pPr>
          </w:p>
        </w:tc>
        <w:tc>
          <w:tcPr>
            <w:tcW w:w="1388" w:type="dxa"/>
            <w:gridSpan w:val="2"/>
            <w:tcBorders>
              <w:top w:val="nil"/>
              <w:left w:val="nil"/>
              <w:bottom w:val="nil"/>
              <w:right w:val="nil"/>
            </w:tcBorders>
          </w:tcPr>
          <w:p w:rsidR="00E23559" w:rsidRPr="00273B07" w:rsidRDefault="00E23559" w:rsidP="00FD0F20">
            <w:pPr>
              <w:jc w:val="center"/>
              <w:rPr>
                <w:sz w:val="18"/>
              </w:rPr>
            </w:pPr>
          </w:p>
        </w:tc>
        <w:tc>
          <w:tcPr>
            <w:tcW w:w="1389" w:type="dxa"/>
            <w:tcBorders>
              <w:top w:val="nil"/>
              <w:left w:val="nil"/>
              <w:bottom w:val="nil"/>
              <w:right w:val="nil"/>
            </w:tcBorders>
          </w:tcPr>
          <w:p w:rsidR="00E23559" w:rsidRPr="00273B07" w:rsidRDefault="00E23559" w:rsidP="00FD0F20">
            <w:pPr>
              <w:jc w:val="center"/>
              <w:rPr>
                <w:sz w:val="18"/>
              </w:rPr>
            </w:pPr>
          </w:p>
        </w:tc>
        <w:tc>
          <w:tcPr>
            <w:tcW w:w="1389" w:type="dxa"/>
            <w:gridSpan w:val="2"/>
            <w:tcBorders>
              <w:top w:val="nil"/>
              <w:left w:val="nil"/>
              <w:bottom w:val="nil"/>
              <w:right w:val="nil"/>
            </w:tcBorders>
          </w:tcPr>
          <w:p w:rsidR="00E23559" w:rsidRPr="00273B07" w:rsidRDefault="00E23559" w:rsidP="00FD0F20">
            <w:pPr>
              <w:jc w:val="center"/>
              <w:rPr>
                <w:sz w:val="18"/>
              </w:rPr>
            </w:pPr>
          </w:p>
        </w:tc>
      </w:tr>
      <w:tr w:rsidR="00E23559" w:rsidRPr="00273B07" w:rsidTr="00FD0F20">
        <w:trPr>
          <w:cantSplit/>
          <w:jc w:val="center"/>
        </w:trPr>
        <w:tc>
          <w:tcPr>
            <w:tcW w:w="379" w:type="dxa"/>
            <w:vMerge w:val="restart"/>
            <w:shd w:val="clear" w:color="auto" w:fill="auto"/>
            <w:textDirection w:val="btLr"/>
          </w:tcPr>
          <w:p w:rsidR="00E23559" w:rsidRPr="00273B07" w:rsidRDefault="00E23559" w:rsidP="00FD0F20">
            <w:pPr>
              <w:ind w:left="113" w:right="113"/>
              <w:jc w:val="center"/>
              <w:rPr>
                <w:noProof/>
                <w:sz w:val="18"/>
                <w:u w:val="single"/>
              </w:rPr>
            </w:pPr>
            <w:r w:rsidRPr="00273B07">
              <w:rPr>
                <w:noProof/>
                <w:sz w:val="18"/>
                <w:highlight w:val="lightGray"/>
                <w:u w:val="single"/>
              </w:rPr>
              <w:sym w:font="Wingdings" w:char="F0DF"/>
            </w:r>
            <w:r w:rsidRPr="00273B07">
              <w:rPr>
                <w:noProof/>
                <w:sz w:val="18"/>
                <w:highlight w:val="lightGray"/>
                <w:u w:val="single"/>
              </w:rPr>
              <w:t xml:space="preserve">                  relative </w:t>
            </w:r>
            <w:r w:rsidRPr="00273B07">
              <w:rPr>
                <w:sz w:val="18"/>
                <w:highlight w:val="lightGray"/>
                <w:u w:val="single"/>
              </w:rPr>
              <w:t xml:space="preserve">width                 </w:t>
            </w:r>
            <w:r w:rsidRPr="00273B07">
              <w:rPr>
                <w:noProof/>
                <w:sz w:val="18"/>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E23559" w:rsidRPr="00273B07" w:rsidRDefault="00E23559" w:rsidP="00FD0F20">
            <w:pPr>
              <w:ind w:left="113" w:right="113"/>
              <w:jc w:val="center"/>
              <w:rPr>
                <w:sz w:val="18"/>
              </w:rPr>
            </w:pPr>
            <w:r w:rsidRPr="00273B07">
              <w:rPr>
                <w:noProof/>
                <w:sz w:val="18"/>
              </w:rPr>
              <w:t xml:space="preserve">broad </w:t>
            </w:r>
            <w:r w:rsidRPr="00273B07">
              <w:rPr>
                <w:strike/>
                <w:noProof/>
                <w:sz w:val="18"/>
                <w:highlight w:val="lightGray"/>
              </w:rPr>
              <w:t>(</w:t>
            </w:r>
            <w:r w:rsidRPr="00273B07">
              <w:rPr>
                <w:i/>
                <w:strike/>
                <w:sz w:val="18"/>
                <w:highlight w:val="lightGray"/>
              </w:rPr>
              <w:t>low)</w:t>
            </w:r>
            <w:r w:rsidRPr="00273B07">
              <w:rPr>
                <w:noProof/>
                <w:sz w:val="18"/>
              </w:rPr>
              <w:sym w:font="Wingdings" w:char="F0DF"/>
            </w:r>
            <w:r w:rsidRPr="00273B07">
              <w:rPr>
                <w:noProof/>
                <w:sz w:val="18"/>
              </w:rPr>
              <w:tab/>
            </w:r>
            <w:r w:rsidRPr="00273B07">
              <w:rPr>
                <w:strike/>
                <w:sz w:val="18"/>
                <w:highlight w:val="lightGray"/>
              </w:rPr>
              <w:t>width</w:t>
            </w:r>
            <w:r w:rsidRPr="00273B07">
              <w:rPr>
                <w:strike/>
                <w:sz w:val="18"/>
              </w:rPr>
              <w:t xml:space="preserve"> </w:t>
            </w:r>
            <w:r w:rsidRPr="00273B07">
              <w:rPr>
                <w:strike/>
                <w:sz w:val="18"/>
                <w:highlight w:val="lightGray"/>
              </w:rPr>
              <w:t>(</w:t>
            </w:r>
            <w:r w:rsidRPr="00273B07">
              <w:rPr>
                <w:strike/>
                <w:color w:val="000000"/>
                <w:sz w:val="18"/>
                <w:highlight w:val="lightGray"/>
              </w:rPr>
              <w:t>ratio length/width)</w:t>
            </w:r>
            <w:r w:rsidRPr="00273B07">
              <w:rPr>
                <w:sz w:val="18"/>
              </w:rPr>
              <w:tab/>
            </w:r>
            <w:r w:rsidRPr="00273B07">
              <w:rPr>
                <w:noProof/>
                <w:sz w:val="18"/>
              </w:rPr>
              <w:sym w:font="Wingdings" w:char="F0E0"/>
            </w:r>
            <w:r w:rsidRPr="00273B07">
              <w:rPr>
                <w:noProof/>
                <w:sz w:val="18"/>
              </w:rPr>
              <w:t xml:space="preserve"> narrow </w:t>
            </w:r>
            <w:r w:rsidRPr="00273B07">
              <w:rPr>
                <w:strike/>
                <w:noProof/>
                <w:sz w:val="18"/>
                <w:highlight w:val="lightGray"/>
              </w:rPr>
              <w:t>(</w:t>
            </w:r>
            <w:r w:rsidRPr="00273B07">
              <w:rPr>
                <w:i/>
                <w:strike/>
                <w:sz w:val="18"/>
                <w:highlight w:val="lightGray"/>
              </w:rPr>
              <w:t>high</w:t>
            </w:r>
            <w:r w:rsidRPr="00273B07">
              <w:rPr>
                <w:strike/>
                <w:noProof/>
                <w:sz w:val="18"/>
                <w:highlight w:val="lightGray"/>
              </w:rPr>
              <w:t>)</w:t>
            </w: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1420" w:type="dxa"/>
            <w:tcBorders>
              <w:left w:val="single" w:sz="4" w:space="0" w:color="auto"/>
            </w:tcBorders>
          </w:tcPr>
          <w:p w:rsidR="00E23559" w:rsidRPr="00273B07" w:rsidRDefault="00E23559" w:rsidP="00FD0F20">
            <w:pPr>
              <w:jc w:val="center"/>
              <w:rPr>
                <w:sz w:val="18"/>
              </w:rPr>
            </w:pP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r w:rsidRPr="00273B07">
              <w:rPr>
                <w:noProof/>
                <w:sz w:val="18"/>
              </w:rPr>
              <w:drawing>
                <wp:inline distT="0" distB="0" distL="0" distR="0" wp14:anchorId="26475D9D" wp14:editId="1ADF1CFD">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 xml:space="preserve">6 </w:t>
            </w:r>
          </w:p>
          <w:p w:rsidR="00E23559" w:rsidRPr="00273B07" w:rsidRDefault="00E23559" w:rsidP="00FD0F20">
            <w:pPr>
              <w:jc w:val="center"/>
              <w:rPr>
                <w:sz w:val="18"/>
              </w:rPr>
            </w:pPr>
            <w:r w:rsidRPr="00273B07">
              <w:rPr>
                <w:sz w:val="18"/>
              </w:rPr>
              <w:t>linear</w:t>
            </w:r>
          </w:p>
        </w:tc>
        <w:tc>
          <w:tcPr>
            <w:tcW w:w="1388" w:type="dxa"/>
            <w:gridSpan w:val="2"/>
          </w:tcPr>
          <w:p w:rsidR="00E23559" w:rsidRPr="00273B07" w:rsidRDefault="00E23559" w:rsidP="00FD0F20">
            <w:pPr>
              <w:jc w:val="center"/>
              <w:rPr>
                <w:sz w:val="18"/>
              </w:rPr>
            </w:pP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p>
        </w:tc>
      </w:tr>
      <w:tr w:rsidR="00E23559" w:rsidRPr="00273B07" w:rsidTr="00FD0F20">
        <w:trPr>
          <w:cantSplit/>
          <w:jc w:val="center"/>
        </w:trPr>
        <w:tc>
          <w:tcPr>
            <w:tcW w:w="379" w:type="dxa"/>
            <w:vMerge/>
            <w:shd w:val="clear" w:color="auto" w:fill="auto"/>
          </w:tcPr>
          <w:p w:rsidR="00E23559" w:rsidRPr="00273B07" w:rsidRDefault="00E23559" w:rsidP="00FD0F20">
            <w:pPr>
              <w:jc w:val="center"/>
              <w:rPr>
                <w:sz w:val="18"/>
              </w:rPr>
            </w:pPr>
          </w:p>
        </w:tc>
        <w:tc>
          <w:tcPr>
            <w:tcW w:w="429" w:type="dxa"/>
            <w:gridSpan w:val="2"/>
            <w:vMerge/>
            <w:tcBorders>
              <w:right w:val="single" w:sz="4" w:space="0" w:color="auto"/>
            </w:tcBorders>
          </w:tcPr>
          <w:p w:rsidR="00E23559" w:rsidRPr="00273B07" w:rsidRDefault="00E23559" w:rsidP="00FD0F20">
            <w:pPr>
              <w:jc w:val="center"/>
              <w:rPr>
                <w:sz w:val="18"/>
              </w:rPr>
            </w:pP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1420" w:type="dxa"/>
            <w:tcBorders>
              <w:left w:val="single" w:sz="4" w:space="0" w:color="auto"/>
            </w:tcBorders>
          </w:tcPr>
          <w:p w:rsidR="00E23559" w:rsidRPr="00273B07" w:rsidRDefault="00E23559" w:rsidP="00FD0F20">
            <w:pPr>
              <w:jc w:val="center"/>
              <w:rPr>
                <w:sz w:val="18"/>
              </w:rPr>
            </w:pP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r w:rsidRPr="00273B07">
              <w:rPr>
                <w:noProof/>
                <w:sz w:val="18"/>
              </w:rPr>
              <w:drawing>
                <wp:inline distT="0" distB="0" distL="0" distR="0" wp14:anchorId="7C67DE4A" wp14:editId="37C7A88E">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5</w:t>
            </w:r>
          </w:p>
          <w:p w:rsidR="00E23559" w:rsidRPr="00273B07" w:rsidRDefault="00E23559" w:rsidP="00FD0F20">
            <w:pPr>
              <w:jc w:val="center"/>
              <w:rPr>
                <w:sz w:val="18"/>
              </w:rPr>
            </w:pPr>
            <w:r w:rsidRPr="00273B07">
              <w:rPr>
                <w:sz w:val="18"/>
              </w:rPr>
              <w:t>oblong</w:t>
            </w:r>
          </w:p>
        </w:tc>
        <w:tc>
          <w:tcPr>
            <w:tcW w:w="1388" w:type="dxa"/>
            <w:gridSpan w:val="2"/>
          </w:tcPr>
          <w:p w:rsidR="00E23559" w:rsidRPr="00273B07" w:rsidRDefault="00E23559" w:rsidP="00FD0F20">
            <w:pPr>
              <w:jc w:val="center"/>
              <w:rPr>
                <w:sz w:val="18"/>
              </w:rPr>
            </w:pPr>
            <w:r w:rsidRPr="00273B07">
              <w:rPr>
                <w:noProof/>
                <w:sz w:val="18"/>
              </w:rPr>
              <w:drawing>
                <wp:inline distT="0" distB="0" distL="0" distR="0" wp14:anchorId="019A2A2E" wp14:editId="1250CAFB">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8</w:t>
            </w:r>
          </w:p>
          <w:p w:rsidR="00E23559" w:rsidRPr="00273B07" w:rsidRDefault="00E23559" w:rsidP="00FD0F20">
            <w:pPr>
              <w:jc w:val="center"/>
              <w:rPr>
                <w:sz w:val="18"/>
              </w:rPr>
            </w:pPr>
            <w:r w:rsidRPr="00273B07">
              <w:rPr>
                <w:sz w:val="18"/>
              </w:rPr>
              <w:t>oblanceolate</w:t>
            </w:r>
          </w:p>
        </w:tc>
        <w:tc>
          <w:tcPr>
            <w:tcW w:w="1389" w:type="dxa"/>
          </w:tcPr>
          <w:p w:rsidR="00E23559" w:rsidRPr="00273B07" w:rsidRDefault="00E23559" w:rsidP="00FD0F20">
            <w:pPr>
              <w:jc w:val="center"/>
              <w:rPr>
                <w:sz w:val="18"/>
              </w:rPr>
            </w:pPr>
            <w:r w:rsidRPr="00273B07">
              <w:rPr>
                <w:noProof/>
                <w:sz w:val="18"/>
              </w:rPr>
              <w:drawing>
                <wp:inline distT="0" distB="0" distL="0" distR="0" wp14:anchorId="4087AF5D" wp14:editId="305F6042">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9</w:t>
            </w:r>
          </w:p>
          <w:p w:rsidR="00E23559" w:rsidRPr="00273B07" w:rsidRDefault="00E23559" w:rsidP="00FD0F20">
            <w:pPr>
              <w:jc w:val="center"/>
              <w:rPr>
                <w:sz w:val="18"/>
              </w:rPr>
            </w:pPr>
            <w:proofErr w:type="spellStart"/>
            <w:r w:rsidRPr="00273B07">
              <w:rPr>
                <w:sz w:val="18"/>
              </w:rPr>
              <w:t>spatulate</w:t>
            </w:r>
            <w:proofErr w:type="spellEnd"/>
          </w:p>
        </w:tc>
        <w:tc>
          <w:tcPr>
            <w:tcW w:w="1389" w:type="dxa"/>
            <w:gridSpan w:val="2"/>
          </w:tcPr>
          <w:p w:rsidR="00E23559" w:rsidRPr="00273B07" w:rsidRDefault="00E23559" w:rsidP="00FD0F20">
            <w:pPr>
              <w:jc w:val="center"/>
              <w:rPr>
                <w:sz w:val="18"/>
              </w:rPr>
            </w:pPr>
          </w:p>
        </w:tc>
      </w:tr>
      <w:tr w:rsidR="00E23559" w:rsidRPr="00273B07" w:rsidTr="00FD0F20">
        <w:trPr>
          <w:cantSplit/>
          <w:jc w:val="center"/>
        </w:trPr>
        <w:tc>
          <w:tcPr>
            <w:tcW w:w="379" w:type="dxa"/>
            <w:vMerge/>
            <w:shd w:val="clear" w:color="auto" w:fill="auto"/>
          </w:tcPr>
          <w:p w:rsidR="00E23559" w:rsidRPr="00273B07" w:rsidRDefault="00E23559" w:rsidP="00FD0F20">
            <w:pPr>
              <w:jc w:val="center"/>
              <w:rPr>
                <w:sz w:val="18"/>
              </w:rPr>
            </w:pPr>
          </w:p>
        </w:tc>
        <w:tc>
          <w:tcPr>
            <w:tcW w:w="429" w:type="dxa"/>
            <w:gridSpan w:val="2"/>
            <w:vMerge/>
            <w:tcBorders>
              <w:right w:val="single" w:sz="4" w:space="0" w:color="auto"/>
            </w:tcBorders>
          </w:tcPr>
          <w:p w:rsidR="00E23559" w:rsidRPr="00273B07" w:rsidRDefault="00E23559" w:rsidP="00FD0F20">
            <w:pPr>
              <w:jc w:val="center"/>
              <w:rPr>
                <w:sz w:val="18"/>
              </w:rPr>
            </w:pP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1420" w:type="dxa"/>
            <w:tcBorders>
              <w:left w:val="single" w:sz="4" w:space="0" w:color="auto"/>
            </w:tcBorders>
          </w:tcPr>
          <w:p w:rsidR="00E23559" w:rsidRPr="00273B07" w:rsidRDefault="00E23559" w:rsidP="00FD0F20">
            <w:pPr>
              <w:jc w:val="center"/>
              <w:rPr>
                <w:sz w:val="18"/>
              </w:rPr>
            </w:pPr>
            <w:r w:rsidRPr="00273B07">
              <w:rPr>
                <w:noProof/>
                <w:sz w:val="18"/>
              </w:rPr>
              <w:drawing>
                <wp:inline distT="0" distB="0" distL="0" distR="0" wp14:anchorId="55FCA17C" wp14:editId="57CC0642">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 xml:space="preserve">1 </w:t>
            </w:r>
          </w:p>
          <w:p w:rsidR="00E23559" w:rsidRPr="00273B07" w:rsidRDefault="00E23559" w:rsidP="00FD0F20">
            <w:pPr>
              <w:jc w:val="center"/>
              <w:rPr>
                <w:sz w:val="18"/>
              </w:rPr>
            </w:pPr>
            <w:r w:rsidRPr="00273B07">
              <w:rPr>
                <w:sz w:val="18"/>
              </w:rPr>
              <w:t>triangular</w:t>
            </w:r>
          </w:p>
        </w:tc>
        <w:tc>
          <w:tcPr>
            <w:tcW w:w="1389" w:type="dxa"/>
          </w:tcPr>
          <w:p w:rsidR="00E23559" w:rsidRPr="00273B07" w:rsidRDefault="00E23559" w:rsidP="00FD0F20">
            <w:pPr>
              <w:jc w:val="center"/>
              <w:rPr>
                <w:sz w:val="18"/>
              </w:rPr>
            </w:pPr>
            <w:r w:rsidRPr="00273B07">
              <w:rPr>
                <w:noProof/>
                <w:sz w:val="18"/>
              </w:rPr>
              <w:drawing>
                <wp:inline distT="0" distB="0" distL="0" distR="0" wp14:anchorId="4919079D" wp14:editId="6045F29E">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2</w:t>
            </w:r>
          </w:p>
          <w:p w:rsidR="00E23559" w:rsidRPr="00273B07" w:rsidRDefault="00E23559" w:rsidP="00FD0F20">
            <w:pPr>
              <w:jc w:val="center"/>
              <w:rPr>
                <w:sz w:val="18"/>
              </w:rPr>
            </w:pPr>
            <w:r w:rsidRPr="00273B07">
              <w:rPr>
                <w:sz w:val="18"/>
              </w:rPr>
              <w:t>ovate</w:t>
            </w:r>
          </w:p>
        </w:tc>
        <w:tc>
          <w:tcPr>
            <w:tcW w:w="1389" w:type="dxa"/>
            <w:gridSpan w:val="2"/>
          </w:tcPr>
          <w:p w:rsidR="00E23559" w:rsidRPr="00273B07" w:rsidRDefault="00E23559" w:rsidP="00FD0F20">
            <w:pPr>
              <w:jc w:val="center"/>
              <w:rPr>
                <w:sz w:val="18"/>
              </w:rPr>
            </w:pPr>
            <w:r w:rsidRPr="00273B07">
              <w:rPr>
                <w:noProof/>
                <w:sz w:val="18"/>
              </w:rPr>
              <w:drawing>
                <wp:inline distT="0" distB="0" distL="0" distR="0" wp14:anchorId="76797668" wp14:editId="2CC059E9">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4</w:t>
            </w:r>
          </w:p>
          <w:p w:rsidR="00E23559" w:rsidRPr="00273B07" w:rsidRDefault="00E23559" w:rsidP="00FD0F20">
            <w:pPr>
              <w:jc w:val="center"/>
              <w:rPr>
                <w:sz w:val="18"/>
              </w:rPr>
            </w:pPr>
            <w:r w:rsidRPr="00273B07">
              <w:rPr>
                <w:sz w:val="18"/>
              </w:rPr>
              <w:t>elliptic</w:t>
            </w:r>
          </w:p>
        </w:tc>
        <w:tc>
          <w:tcPr>
            <w:tcW w:w="1388" w:type="dxa"/>
            <w:gridSpan w:val="2"/>
          </w:tcPr>
          <w:p w:rsidR="00E23559" w:rsidRPr="00273B07" w:rsidRDefault="00E23559" w:rsidP="00FD0F20">
            <w:pPr>
              <w:jc w:val="center"/>
              <w:rPr>
                <w:sz w:val="18"/>
              </w:rPr>
            </w:pPr>
            <w:r w:rsidRPr="00273B07">
              <w:rPr>
                <w:noProof/>
                <w:sz w:val="18"/>
              </w:rPr>
              <w:drawing>
                <wp:inline distT="0" distB="0" distL="0" distR="0" wp14:anchorId="6A46094C" wp14:editId="1BDF97A8">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7</w:t>
            </w:r>
          </w:p>
          <w:p w:rsidR="00E23559" w:rsidRPr="00273B07" w:rsidRDefault="00E23559" w:rsidP="00FD0F20">
            <w:pPr>
              <w:jc w:val="center"/>
              <w:rPr>
                <w:sz w:val="18"/>
              </w:rPr>
            </w:pPr>
            <w:r w:rsidRPr="00273B07">
              <w:rPr>
                <w:sz w:val="18"/>
              </w:rPr>
              <w:t>obovate</w:t>
            </w: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r w:rsidRPr="00273B07">
              <w:rPr>
                <w:noProof/>
                <w:sz w:val="18"/>
              </w:rPr>
              <w:drawing>
                <wp:inline distT="0" distB="0" distL="0" distR="0" wp14:anchorId="6BC9C2D9" wp14:editId="3644EF3A">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 xml:space="preserve">10 </w:t>
            </w:r>
            <w:proofErr w:type="spellStart"/>
            <w:r w:rsidRPr="00273B07">
              <w:rPr>
                <w:sz w:val="18"/>
              </w:rPr>
              <w:t>obtriangular</w:t>
            </w:r>
            <w:proofErr w:type="spellEnd"/>
          </w:p>
        </w:tc>
      </w:tr>
      <w:tr w:rsidR="00E23559" w:rsidRPr="00273B07" w:rsidTr="00FD0F20">
        <w:trPr>
          <w:cantSplit/>
          <w:trHeight w:val="2035"/>
          <w:jc w:val="center"/>
        </w:trPr>
        <w:tc>
          <w:tcPr>
            <w:tcW w:w="379" w:type="dxa"/>
            <w:vMerge/>
            <w:shd w:val="clear" w:color="auto" w:fill="auto"/>
          </w:tcPr>
          <w:p w:rsidR="00E23559" w:rsidRPr="00273B07" w:rsidRDefault="00E23559" w:rsidP="00FD0F20">
            <w:pPr>
              <w:jc w:val="center"/>
              <w:rPr>
                <w:sz w:val="18"/>
              </w:rPr>
            </w:pPr>
          </w:p>
        </w:tc>
        <w:tc>
          <w:tcPr>
            <w:tcW w:w="429" w:type="dxa"/>
            <w:gridSpan w:val="2"/>
            <w:vMerge/>
            <w:tcBorders>
              <w:right w:val="single" w:sz="4" w:space="0" w:color="auto"/>
            </w:tcBorders>
          </w:tcPr>
          <w:p w:rsidR="00E23559" w:rsidRPr="00273B07" w:rsidRDefault="00E23559" w:rsidP="00FD0F20">
            <w:pPr>
              <w:jc w:val="center"/>
              <w:rPr>
                <w:sz w:val="18"/>
              </w:rPr>
            </w:pPr>
          </w:p>
        </w:tc>
        <w:tc>
          <w:tcPr>
            <w:tcW w:w="283" w:type="dxa"/>
            <w:gridSpan w:val="2"/>
            <w:tcBorders>
              <w:top w:val="nil"/>
              <w:left w:val="nil"/>
              <w:bottom w:val="nil"/>
              <w:right w:val="nil"/>
            </w:tcBorders>
          </w:tcPr>
          <w:p w:rsidR="00E23559" w:rsidRPr="00273B07" w:rsidRDefault="00E23559" w:rsidP="00FD0F20">
            <w:pPr>
              <w:jc w:val="center"/>
              <w:rPr>
                <w:sz w:val="18"/>
              </w:rPr>
            </w:pPr>
          </w:p>
        </w:tc>
        <w:tc>
          <w:tcPr>
            <w:tcW w:w="1420" w:type="dxa"/>
            <w:tcBorders>
              <w:left w:val="single" w:sz="4" w:space="0" w:color="auto"/>
            </w:tcBorders>
          </w:tcPr>
          <w:p w:rsidR="00E23559" w:rsidRPr="00273B07" w:rsidRDefault="00E23559" w:rsidP="00FD0F20">
            <w:pPr>
              <w:jc w:val="center"/>
              <w:rPr>
                <w:sz w:val="18"/>
              </w:rPr>
            </w:pP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r w:rsidRPr="00273B07">
              <w:rPr>
                <w:noProof/>
                <w:sz w:val="18"/>
              </w:rPr>
              <w:drawing>
                <wp:inline distT="0" distB="0" distL="0" distR="0" wp14:anchorId="0D9A493C" wp14:editId="72F82902">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E23559" w:rsidRPr="00273B07" w:rsidRDefault="00E23559" w:rsidP="00FD0F20">
            <w:pPr>
              <w:jc w:val="center"/>
              <w:rPr>
                <w:sz w:val="18"/>
              </w:rPr>
            </w:pPr>
            <w:r w:rsidRPr="00273B07">
              <w:rPr>
                <w:sz w:val="18"/>
              </w:rPr>
              <w:t>3</w:t>
            </w:r>
          </w:p>
          <w:p w:rsidR="00E23559" w:rsidRPr="00273B07" w:rsidRDefault="00E23559" w:rsidP="00FD0F20">
            <w:pPr>
              <w:jc w:val="center"/>
              <w:rPr>
                <w:sz w:val="18"/>
              </w:rPr>
            </w:pPr>
            <w:r w:rsidRPr="00273B07">
              <w:rPr>
                <w:sz w:val="18"/>
              </w:rPr>
              <w:t>circular</w:t>
            </w:r>
          </w:p>
        </w:tc>
        <w:tc>
          <w:tcPr>
            <w:tcW w:w="1388" w:type="dxa"/>
            <w:gridSpan w:val="2"/>
          </w:tcPr>
          <w:p w:rsidR="00E23559" w:rsidRPr="00273B07" w:rsidRDefault="00E23559" w:rsidP="00FD0F20">
            <w:pPr>
              <w:jc w:val="center"/>
              <w:rPr>
                <w:sz w:val="18"/>
              </w:rPr>
            </w:pPr>
          </w:p>
        </w:tc>
        <w:tc>
          <w:tcPr>
            <w:tcW w:w="1389" w:type="dxa"/>
          </w:tcPr>
          <w:p w:rsidR="00E23559" w:rsidRPr="00273B07" w:rsidRDefault="00E23559" w:rsidP="00FD0F20">
            <w:pPr>
              <w:jc w:val="center"/>
              <w:rPr>
                <w:sz w:val="18"/>
              </w:rPr>
            </w:pPr>
          </w:p>
        </w:tc>
        <w:tc>
          <w:tcPr>
            <w:tcW w:w="1389" w:type="dxa"/>
            <w:gridSpan w:val="2"/>
          </w:tcPr>
          <w:p w:rsidR="00E23559" w:rsidRPr="00273B07" w:rsidRDefault="00E23559" w:rsidP="00FD0F20">
            <w:pPr>
              <w:jc w:val="center"/>
              <w:rPr>
                <w:sz w:val="18"/>
              </w:rPr>
            </w:pPr>
          </w:p>
        </w:tc>
      </w:tr>
    </w:tbl>
    <w:p w:rsidR="00E23559" w:rsidRPr="00273B07" w:rsidRDefault="00E23559" w:rsidP="00E23559"/>
    <w:p w:rsidR="00E23559" w:rsidRPr="00273B07" w:rsidRDefault="00E23559" w:rsidP="00E23559"/>
    <w:p w:rsidR="00E23559" w:rsidRPr="00273B07" w:rsidRDefault="00E23559" w:rsidP="00E23559">
      <w:pPr>
        <w:jc w:val="left"/>
      </w:pPr>
      <w:r w:rsidRPr="00273B07">
        <w:br w:type="page"/>
      </w:r>
    </w:p>
    <w:p w:rsidR="00E23559" w:rsidRPr="003B033C" w:rsidRDefault="00E23559" w:rsidP="00E23559">
      <w:pPr>
        <w:rPr>
          <w:rFonts w:eastAsia="MS Mincho"/>
          <w:u w:val="single"/>
        </w:rPr>
      </w:pPr>
      <w:r w:rsidRPr="003B033C">
        <w:rPr>
          <w:rFonts w:eastAsia="MS Mincho"/>
          <w:u w:val="single"/>
        </w:rPr>
        <w:lastRenderedPageBreak/>
        <w:t>(ii)</w:t>
      </w:r>
      <w:r w:rsidRPr="003B033C">
        <w:rPr>
          <w:rFonts w:eastAsia="MS Mincho"/>
          <w:u w:val="single"/>
        </w:rPr>
        <w:tab/>
        <w:t>Factors to be considered for creating color groups</w:t>
      </w:r>
    </w:p>
    <w:p w:rsidR="00E23559" w:rsidRPr="003B033C" w:rsidRDefault="00E23559" w:rsidP="00E23559"/>
    <w:p w:rsidR="00E23559" w:rsidRPr="003B033C" w:rsidRDefault="00E23559" w:rsidP="00E23559">
      <w:r w:rsidRPr="003B033C">
        <w:t xml:space="preserve">The TC, at its fifty-fourth session, considered document TC/54/22 “Color names for the RHS </w:t>
      </w:r>
      <w:proofErr w:type="spellStart"/>
      <w:r w:rsidRPr="003B033C">
        <w:t>Colour</w:t>
      </w:r>
      <w:proofErr w:type="spellEnd"/>
      <w:r w:rsidRPr="003B033C">
        <w:t xml:space="preserve"> Chart” (see document </w:t>
      </w:r>
      <w:r w:rsidR="00E42843">
        <w:t>TC/54/31 Corr.</w:t>
      </w:r>
      <w:r w:rsidRPr="003B033C">
        <w:t xml:space="preserve"> “Report”, paragraph 244).</w:t>
      </w:r>
    </w:p>
    <w:p w:rsidR="00E23559" w:rsidRPr="003B033C" w:rsidRDefault="00E23559" w:rsidP="00E23559"/>
    <w:p w:rsidR="00E23559" w:rsidRPr="003B033C" w:rsidRDefault="00E23559" w:rsidP="00E23559">
      <w:r w:rsidRPr="003B033C">
        <w:t>The TC agreed to propose the revision of document TGP/14 to include guidance on the factors to be considered for creating color groups for grouping of varieties and organizing the growing trial, as follows:</w:t>
      </w:r>
    </w:p>
    <w:p w:rsidR="00E23559" w:rsidRPr="003B033C" w:rsidRDefault="00E23559" w:rsidP="00E23559">
      <w:pPr>
        <w:rPr>
          <w:rFonts w:eastAsiaTheme="minorEastAsia" w:cs="Arial"/>
        </w:rPr>
      </w:pPr>
    </w:p>
    <w:p w:rsidR="00E23559" w:rsidRPr="00EF65E9" w:rsidRDefault="00E23559" w:rsidP="00E23559">
      <w:pPr>
        <w:ind w:left="567" w:right="567"/>
        <w:rPr>
          <w:rFonts w:eastAsiaTheme="minorEastAsia" w:cs="Arial"/>
          <w:szCs w:val="18"/>
        </w:rPr>
      </w:pPr>
      <w:r w:rsidRPr="00EF65E9">
        <w:rPr>
          <w:rFonts w:eastAsiaTheme="minorEastAsia" w:cs="Arial"/>
          <w:szCs w:val="18"/>
        </w:rPr>
        <w:t>Subsection 3: Color: New Section: 5 “Factors to be considered for creating color groups”</w:t>
      </w:r>
    </w:p>
    <w:p w:rsidR="00E23559" w:rsidRPr="00EF65E9" w:rsidRDefault="00E23559" w:rsidP="00E23559">
      <w:pPr>
        <w:ind w:left="567" w:right="567"/>
        <w:rPr>
          <w:rFonts w:eastAsiaTheme="minorEastAsia" w:cs="Arial"/>
        </w:rPr>
      </w:pPr>
    </w:p>
    <w:p w:rsidR="00E23559" w:rsidRPr="00EF65E9" w:rsidRDefault="00E23559" w:rsidP="00E23559">
      <w:pPr>
        <w:ind w:left="567" w:right="567"/>
        <w:rPr>
          <w:rFonts w:eastAsiaTheme="minorEastAsia" w:cs="Arial"/>
        </w:rPr>
      </w:pPr>
      <w:r w:rsidRPr="00EF65E9">
        <w:rPr>
          <w:rFonts w:eastAsiaTheme="minorEastAsia" w:cs="Arial"/>
        </w:rPr>
        <w:t xml:space="preserve">“When using the color of a plant part for grouping of varieties, a very clear and large difference between the colors is required. However, the color groups are also used in the Technical Questionnaire for applicants who have no RHS </w:t>
      </w:r>
      <w:proofErr w:type="spellStart"/>
      <w:r w:rsidRPr="00EF65E9">
        <w:rPr>
          <w:rFonts w:eastAsiaTheme="minorEastAsia" w:cs="Arial"/>
        </w:rPr>
        <w:t>Colour</w:t>
      </w:r>
      <w:proofErr w:type="spellEnd"/>
      <w:r w:rsidRPr="00EF65E9">
        <w:rPr>
          <w:rFonts w:eastAsiaTheme="minorEastAsia" w:cs="Arial"/>
        </w:rPr>
        <w:t xml:space="preserve"> Chart. Therefore the groups need to be small enough so that applicants are able to give an adequate state of expression for the characteristic.</w:t>
      </w:r>
    </w:p>
    <w:p w:rsidR="00E23559" w:rsidRPr="00EF65E9" w:rsidRDefault="00E23559" w:rsidP="00E23559">
      <w:pPr>
        <w:ind w:left="567" w:right="567"/>
        <w:rPr>
          <w:rFonts w:eastAsiaTheme="minorEastAsia" w:cs="Arial"/>
        </w:rPr>
      </w:pPr>
    </w:p>
    <w:p w:rsidR="00E23559" w:rsidRPr="00EF65E9" w:rsidRDefault="00E23559" w:rsidP="00E23559">
      <w:pPr>
        <w:ind w:left="567" w:right="567"/>
        <w:rPr>
          <w:rFonts w:eastAsiaTheme="minorEastAsia" w:cs="Arial"/>
        </w:rPr>
      </w:pPr>
      <w:r w:rsidRPr="00EF65E9">
        <w:rPr>
          <w:rFonts w:eastAsiaTheme="minorEastAsia" w:cs="Arial"/>
        </w:rPr>
        <w:t>“The following factors have to be considered when creating color groups for grouping:</w:t>
      </w:r>
    </w:p>
    <w:p w:rsidR="00E23559" w:rsidRPr="00EF65E9" w:rsidRDefault="00E23559" w:rsidP="00E23559">
      <w:pPr>
        <w:ind w:left="567" w:right="567"/>
        <w:rPr>
          <w:rFonts w:eastAsiaTheme="minorEastAsia" w:cs="Arial"/>
          <w:sz w:val="12"/>
        </w:rPr>
      </w:pPr>
    </w:p>
    <w:p w:rsidR="00E23559" w:rsidRPr="00EF65E9" w:rsidRDefault="00E23559" w:rsidP="00E23559">
      <w:pPr>
        <w:numPr>
          <w:ilvl w:val="0"/>
          <w:numId w:val="8"/>
        </w:numPr>
        <w:ind w:left="1701" w:right="567" w:hanging="567"/>
        <w:contextualSpacing/>
        <w:rPr>
          <w:rFonts w:eastAsiaTheme="minorEastAsia" w:cs="Arial"/>
        </w:rPr>
      </w:pPr>
      <w:r w:rsidRPr="00EF65E9">
        <w:rPr>
          <w:rFonts w:eastAsiaTheme="minorEastAsia" w:cs="Arial"/>
        </w:rPr>
        <w:t>range of variation of the color of the plant part within the species</w:t>
      </w:r>
    </w:p>
    <w:p w:rsidR="00E23559" w:rsidRPr="00EF65E9" w:rsidRDefault="00E23559" w:rsidP="00E23559">
      <w:pPr>
        <w:numPr>
          <w:ilvl w:val="0"/>
          <w:numId w:val="8"/>
        </w:numPr>
        <w:ind w:left="1701" w:right="567" w:hanging="567"/>
        <w:contextualSpacing/>
        <w:rPr>
          <w:rFonts w:eastAsiaTheme="minorEastAsia" w:cs="Arial"/>
        </w:rPr>
      </w:pPr>
      <w:r w:rsidRPr="00EF65E9">
        <w:rPr>
          <w:rFonts w:eastAsiaTheme="minorEastAsia" w:cs="Arial"/>
        </w:rPr>
        <w:t>difference between colors for varieties to be considered clearly distinguishable</w:t>
      </w:r>
    </w:p>
    <w:p w:rsidR="00E23559" w:rsidRPr="00EF65E9" w:rsidRDefault="00E23559" w:rsidP="00E23559">
      <w:pPr>
        <w:numPr>
          <w:ilvl w:val="0"/>
          <w:numId w:val="8"/>
        </w:numPr>
        <w:ind w:left="1701" w:right="567" w:hanging="567"/>
        <w:contextualSpacing/>
        <w:rPr>
          <w:rFonts w:eastAsiaTheme="minorEastAsia" w:cs="Arial"/>
        </w:rPr>
      </w:pPr>
      <w:r w:rsidRPr="00EF65E9">
        <w:rPr>
          <w:rFonts w:eastAsiaTheme="minorEastAsia" w:cs="Arial"/>
        </w:rPr>
        <w:t>possible influence of the environment on the color of the plant part.</w:t>
      </w:r>
    </w:p>
    <w:p w:rsidR="00E23559" w:rsidRPr="00EF65E9" w:rsidRDefault="00E23559" w:rsidP="00E23559">
      <w:pPr>
        <w:rPr>
          <w:rFonts w:eastAsiaTheme="minorEastAsia"/>
          <w:sz w:val="22"/>
        </w:rPr>
      </w:pPr>
    </w:p>
    <w:p w:rsidR="00E23559" w:rsidRPr="00EF65E9" w:rsidRDefault="00E23559" w:rsidP="00E23559">
      <w:pPr>
        <w:ind w:left="567" w:right="567"/>
        <w:rPr>
          <w:rFonts w:eastAsiaTheme="minorEastAsia" w:cs="Arial"/>
        </w:rPr>
      </w:pPr>
      <w:r w:rsidRPr="00EF65E9">
        <w:rPr>
          <w:rFonts w:eastAsiaTheme="minorEastAsia" w:cs="Arial"/>
        </w:rPr>
        <w:t>“Depending on the species and the plant part observed the color groups for grouping can be different. Examples for color groups in grouping characteristics of different Test Guidelines are listed in the following table.</w:t>
      </w:r>
    </w:p>
    <w:p w:rsidR="00E23559" w:rsidRPr="00EF65E9" w:rsidRDefault="00E23559" w:rsidP="00E23559">
      <w:pPr>
        <w:tabs>
          <w:tab w:val="left" w:pos="8556"/>
        </w:tabs>
        <w:rPr>
          <w:rFonts w:eastAsiaTheme="minorEastAsia" w:cs="Arial"/>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E23559" w:rsidRPr="00EF65E9" w:rsidTr="00FD0F20">
        <w:trPr>
          <w:cantSplit/>
          <w:trHeight w:val="397"/>
          <w:jc w:val="center"/>
        </w:trPr>
        <w:tc>
          <w:tcPr>
            <w:tcW w:w="1508" w:type="dxa"/>
            <w:tcBorders>
              <w:top w:val="single" w:sz="4" w:space="0" w:color="auto"/>
              <w:left w:val="nil"/>
              <w:bottom w:val="single" w:sz="4" w:space="0" w:color="auto"/>
              <w:right w:val="single" w:sz="4" w:space="0" w:color="auto"/>
            </w:tcBorders>
          </w:tcPr>
          <w:p w:rsidR="00E23559" w:rsidRPr="00EF65E9" w:rsidRDefault="00E23559" w:rsidP="00FD0F20">
            <w:pPr>
              <w:keepNext/>
              <w:rPr>
                <w:sz w:val="18"/>
              </w:rPr>
            </w:pPr>
            <w:r w:rsidRPr="00EF65E9">
              <w:rPr>
                <w:sz w:val="18"/>
              </w:rPr>
              <w:t>Test Guidelines</w:t>
            </w:r>
          </w:p>
        </w:tc>
        <w:tc>
          <w:tcPr>
            <w:tcW w:w="1786" w:type="dxa"/>
            <w:tcBorders>
              <w:top w:val="single" w:sz="4" w:space="0" w:color="auto"/>
              <w:left w:val="single" w:sz="4" w:space="0" w:color="auto"/>
              <w:bottom w:val="single" w:sz="4" w:space="0" w:color="auto"/>
              <w:right w:val="single" w:sz="4" w:space="0" w:color="auto"/>
            </w:tcBorders>
            <w:hideMark/>
          </w:tcPr>
          <w:p w:rsidR="00E23559" w:rsidRPr="00EF65E9" w:rsidRDefault="00E23559" w:rsidP="00FD0F20">
            <w:pPr>
              <w:keepNext/>
              <w:rPr>
                <w:sz w:val="18"/>
              </w:rPr>
            </w:pPr>
            <w:r w:rsidRPr="00EF65E9">
              <w:rPr>
                <w:sz w:val="18"/>
              </w:rPr>
              <w:t>Campanula</w:t>
            </w:r>
            <w:r w:rsidRPr="00EF65E9">
              <w:rPr>
                <w:sz w:val="18"/>
              </w:rPr>
              <w:br/>
              <w:t>(TG/305/1)</w:t>
            </w:r>
          </w:p>
        </w:tc>
        <w:tc>
          <w:tcPr>
            <w:tcW w:w="2002" w:type="dxa"/>
            <w:tcBorders>
              <w:top w:val="single" w:sz="4" w:space="0" w:color="auto"/>
              <w:left w:val="single" w:sz="4" w:space="0" w:color="auto"/>
              <w:bottom w:val="single" w:sz="4" w:space="0" w:color="auto"/>
              <w:right w:val="single" w:sz="4" w:space="0" w:color="auto"/>
            </w:tcBorders>
            <w:hideMark/>
          </w:tcPr>
          <w:p w:rsidR="00E23559" w:rsidRPr="00EF65E9" w:rsidRDefault="00E23559" w:rsidP="00FD0F20">
            <w:pPr>
              <w:keepNext/>
              <w:rPr>
                <w:sz w:val="18"/>
              </w:rPr>
            </w:pPr>
            <w:proofErr w:type="spellStart"/>
            <w:r w:rsidRPr="00EF65E9">
              <w:rPr>
                <w:sz w:val="18"/>
              </w:rPr>
              <w:t>Hosta</w:t>
            </w:r>
            <w:proofErr w:type="spellEnd"/>
            <w:r w:rsidRPr="00EF65E9">
              <w:rPr>
                <w:sz w:val="18"/>
              </w:rPr>
              <w:br/>
              <w:t>(TG/299/1)</w:t>
            </w:r>
          </w:p>
        </w:tc>
        <w:tc>
          <w:tcPr>
            <w:tcW w:w="1741" w:type="dxa"/>
            <w:tcBorders>
              <w:top w:val="single" w:sz="4" w:space="0" w:color="auto"/>
              <w:left w:val="single" w:sz="4" w:space="0" w:color="auto"/>
              <w:bottom w:val="single" w:sz="4" w:space="0" w:color="auto"/>
              <w:right w:val="single" w:sz="4" w:space="0" w:color="auto"/>
            </w:tcBorders>
            <w:hideMark/>
          </w:tcPr>
          <w:p w:rsidR="00E23559" w:rsidRPr="00EF65E9" w:rsidRDefault="00E23559" w:rsidP="00FD0F20">
            <w:pPr>
              <w:keepNext/>
              <w:rPr>
                <w:sz w:val="18"/>
              </w:rPr>
            </w:pPr>
            <w:proofErr w:type="spellStart"/>
            <w:r w:rsidRPr="00EF65E9">
              <w:rPr>
                <w:sz w:val="18"/>
              </w:rPr>
              <w:t>Cordyline</w:t>
            </w:r>
            <w:proofErr w:type="spellEnd"/>
            <w:r w:rsidRPr="00EF65E9">
              <w:rPr>
                <w:sz w:val="18"/>
              </w:rPr>
              <w:br/>
              <w:t>(TG/317/1)</w:t>
            </w:r>
          </w:p>
        </w:tc>
        <w:tc>
          <w:tcPr>
            <w:tcW w:w="1701" w:type="dxa"/>
            <w:tcBorders>
              <w:top w:val="single" w:sz="4" w:space="0" w:color="auto"/>
              <w:left w:val="single" w:sz="4" w:space="0" w:color="auto"/>
              <w:bottom w:val="single" w:sz="4" w:space="0" w:color="auto"/>
            </w:tcBorders>
            <w:hideMark/>
          </w:tcPr>
          <w:p w:rsidR="00E23559" w:rsidRPr="00EF65E9" w:rsidRDefault="00E23559" w:rsidP="00FD0F20">
            <w:pPr>
              <w:keepNext/>
              <w:rPr>
                <w:sz w:val="18"/>
              </w:rPr>
            </w:pPr>
            <w:proofErr w:type="spellStart"/>
            <w:r w:rsidRPr="00EF65E9">
              <w:rPr>
                <w:sz w:val="18"/>
              </w:rPr>
              <w:t>Osteospermum</w:t>
            </w:r>
            <w:proofErr w:type="spellEnd"/>
            <w:r w:rsidRPr="00EF65E9">
              <w:rPr>
                <w:sz w:val="18"/>
              </w:rPr>
              <w:br/>
              <w:t>(TG/175/5)</w:t>
            </w:r>
          </w:p>
        </w:tc>
      </w:tr>
      <w:tr w:rsidR="00E23559" w:rsidRPr="00EF65E9" w:rsidTr="00FD0F20">
        <w:trPr>
          <w:cantSplit/>
          <w:jc w:val="center"/>
        </w:trPr>
        <w:tc>
          <w:tcPr>
            <w:tcW w:w="1508" w:type="dxa"/>
            <w:tcBorders>
              <w:top w:val="nil"/>
              <w:left w:val="nil"/>
              <w:bottom w:val="single" w:sz="4" w:space="0" w:color="auto"/>
              <w:right w:val="single" w:sz="4" w:space="0" w:color="auto"/>
            </w:tcBorders>
          </w:tcPr>
          <w:p w:rsidR="00E23559" w:rsidRPr="00EF65E9" w:rsidRDefault="00E23559" w:rsidP="00FD0F20">
            <w:pPr>
              <w:keepNext/>
              <w:jc w:val="left"/>
              <w:rPr>
                <w:sz w:val="18"/>
              </w:rPr>
            </w:pPr>
            <w:r w:rsidRPr="00EF65E9">
              <w:rPr>
                <w:sz w:val="18"/>
              </w:rPr>
              <w:t>Characteristic</w:t>
            </w:r>
          </w:p>
        </w:tc>
        <w:tc>
          <w:tcPr>
            <w:tcW w:w="1786" w:type="dxa"/>
            <w:tcBorders>
              <w:top w:val="nil"/>
              <w:left w:val="single" w:sz="4" w:space="0" w:color="auto"/>
              <w:bottom w:val="single" w:sz="4" w:space="0" w:color="auto"/>
              <w:right w:val="single" w:sz="4" w:space="0" w:color="auto"/>
            </w:tcBorders>
            <w:hideMark/>
          </w:tcPr>
          <w:p w:rsidR="00E23559" w:rsidRPr="00EF65E9" w:rsidRDefault="00E23559" w:rsidP="00FD0F20">
            <w:pPr>
              <w:keepNext/>
              <w:jc w:val="left"/>
              <w:rPr>
                <w:sz w:val="18"/>
              </w:rPr>
            </w:pPr>
            <w:r w:rsidRPr="00EF65E9">
              <w:rPr>
                <w:sz w:val="18"/>
              </w:rPr>
              <w:t>Corolla: main color of inner side</w:t>
            </w:r>
          </w:p>
        </w:tc>
        <w:tc>
          <w:tcPr>
            <w:tcW w:w="2002" w:type="dxa"/>
            <w:tcBorders>
              <w:top w:val="nil"/>
              <w:left w:val="single" w:sz="4" w:space="0" w:color="auto"/>
              <w:bottom w:val="single" w:sz="4" w:space="0" w:color="auto"/>
              <w:right w:val="single" w:sz="4" w:space="0" w:color="auto"/>
            </w:tcBorders>
            <w:hideMark/>
          </w:tcPr>
          <w:p w:rsidR="00E23559" w:rsidRPr="00EF65E9" w:rsidRDefault="00E23559" w:rsidP="00FD0F20">
            <w:pPr>
              <w:keepNext/>
              <w:jc w:val="left"/>
              <w:rPr>
                <w:sz w:val="18"/>
              </w:rPr>
            </w:pPr>
            <w:r w:rsidRPr="00EF65E9">
              <w:rPr>
                <w:sz w:val="18"/>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E23559" w:rsidRPr="00EF65E9" w:rsidRDefault="00E23559" w:rsidP="00FD0F20">
            <w:pPr>
              <w:keepNext/>
              <w:jc w:val="left"/>
              <w:rPr>
                <w:sz w:val="18"/>
              </w:rPr>
            </w:pPr>
            <w:r w:rsidRPr="00EF65E9">
              <w:rPr>
                <w:sz w:val="18"/>
              </w:rPr>
              <w:t>Leaf: secondary color</w:t>
            </w:r>
          </w:p>
        </w:tc>
        <w:tc>
          <w:tcPr>
            <w:tcW w:w="1701" w:type="dxa"/>
            <w:tcBorders>
              <w:top w:val="nil"/>
              <w:left w:val="single" w:sz="4" w:space="0" w:color="auto"/>
              <w:bottom w:val="single" w:sz="4" w:space="0" w:color="auto"/>
            </w:tcBorders>
            <w:hideMark/>
          </w:tcPr>
          <w:p w:rsidR="00E23559" w:rsidRPr="00EF65E9" w:rsidRDefault="00E23559" w:rsidP="00FD0F20">
            <w:pPr>
              <w:keepNext/>
              <w:jc w:val="left"/>
              <w:rPr>
                <w:sz w:val="18"/>
              </w:rPr>
            </w:pPr>
            <w:r w:rsidRPr="00EF65E9">
              <w:rPr>
                <w:sz w:val="18"/>
              </w:rPr>
              <w:t>Ray floret: main color of middle part</w:t>
            </w:r>
          </w:p>
        </w:tc>
      </w:tr>
      <w:tr w:rsidR="00E23559" w:rsidRPr="00EF65E9" w:rsidTr="00FD0F20">
        <w:trPr>
          <w:cantSplit/>
          <w:jc w:val="center"/>
        </w:trPr>
        <w:tc>
          <w:tcPr>
            <w:tcW w:w="1508" w:type="dxa"/>
            <w:vMerge w:val="restart"/>
            <w:tcBorders>
              <w:top w:val="nil"/>
              <w:left w:val="nil"/>
              <w:right w:val="single" w:sz="4" w:space="0" w:color="auto"/>
            </w:tcBorders>
            <w:hideMark/>
          </w:tcPr>
          <w:p w:rsidR="00E23559" w:rsidRPr="00EF65E9" w:rsidRDefault="00E23559" w:rsidP="00FD0F20">
            <w:pPr>
              <w:keepNext/>
              <w:rPr>
                <w:sz w:val="18"/>
              </w:rPr>
            </w:pPr>
            <w:r w:rsidRPr="00EF65E9">
              <w:rPr>
                <w:sz w:val="18"/>
              </w:rPr>
              <w:t>Color groups</w:t>
            </w:r>
          </w:p>
          <w:p w:rsidR="00E23559" w:rsidRPr="00EF65E9" w:rsidRDefault="00E23559" w:rsidP="00FD0F20">
            <w:pPr>
              <w:keepNext/>
              <w:rPr>
                <w:sz w:val="18"/>
              </w:rPr>
            </w:pPr>
            <w:r w:rsidRPr="00EF65E9">
              <w:rPr>
                <w:sz w:val="18"/>
              </w:rPr>
              <w:t>for grouping</w:t>
            </w:r>
          </w:p>
        </w:tc>
        <w:tc>
          <w:tcPr>
            <w:tcW w:w="1786"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white</w:t>
            </w: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white</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white</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white</w:t>
            </w:r>
          </w:p>
        </w:tc>
      </w:tr>
      <w:tr w:rsidR="00E23559" w:rsidRPr="00EF65E9" w:rsidTr="00FD0F20">
        <w:trPr>
          <w:cantSplit/>
          <w:jc w:val="center"/>
        </w:trPr>
        <w:tc>
          <w:tcPr>
            <w:tcW w:w="1508" w:type="dxa"/>
            <w:vMerge/>
            <w:tcBorders>
              <w:left w:val="nil"/>
              <w:bottom w:val="nil"/>
              <w:right w:val="single" w:sz="4" w:space="0" w:color="auto"/>
            </w:tcBorders>
            <w:hideMark/>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pink</w:t>
            </w: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light yellow</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yellow</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yellow</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red purple</w:t>
            </w: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medium yellow</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green</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orange</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purple</w:t>
            </w: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dark yellow</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red</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pink</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blue</w:t>
            </w: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light green</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purple</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red</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tcPr>
          <w:p w:rsidR="00E23559" w:rsidRPr="00EF65E9" w:rsidRDefault="00E23559" w:rsidP="00FD0F20">
            <w:pPr>
              <w:keepNext/>
              <w:rPr>
                <w:sz w:val="18"/>
              </w:rPr>
            </w:pP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medium green</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brown</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purple</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keepNext/>
              <w:rPr>
                <w:sz w:val="18"/>
              </w:rPr>
            </w:pPr>
          </w:p>
        </w:tc>
        <w:tc>
          <w:tcPr>
            <w:tcW w:w="1786" w:type="dxa"/>
            <w:tcBorders>
              <w:top w:val="nil"/>
              <w:left w:val="single" w:sz="4" w:space="0" w:color="auto"/>
              <w:bottom w:val="nil"/>
              <w:right w:val="single" w:sz="4" w:space="0" w:color="auto"/>
            </w:tcBorders>
          </w:tcPr>
          <w:p w:rsidR="00E23559" w:rsidRPr="00EF65E9" w:rsidRDefault="00E23559" w:rsidP="00FD0F20">
            <w:pPr>
              <w:keepNext/>
              <w:rPr>
                <w:sz w:val="18"/>
              </w:rPr>
            </w:pPr>
          </w:p>
        </w:tc>
        <w:tc>
          <w:tcPr>
            <w:tcW w:w="2002"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dark green</w:t>
            </w:r>
          </w:p>
        </w:tc>
        <w:tc>
          <w:tcPr>
            <w:tcW w:w="1741" w:type="dxa"/>
            <w:tcBorders>
              <w:top w:val="nil"/>
              <w:left w:val="single" w:sz="4" w:space="0" w:color="auto"/>
              <w:bottom w:val="nil"/>
              <w:right w:val="single" w:sz="4" w:space="0" w:color="auto"/>
            </w:tcBorders>
            <w:hideMark/>
          </w:tcPr>
          <w:p w:rsidR="00E23559" w:rsidRPr="00EF65E9" w:rsidRDefault="00E23559" w:rsidP="00FD0F20">
            <w:pPr>
              <w:keepNext/>
              <w:rPr>
                <w:sz w:val="18"/>
              </w:rPr>
            </w:pPr>
            <w:r w:rsidRPr="00EF65E9">
              <w:rPr>
                <w:sz w:val="18"/>
              </w:rPr>
              <w:t>blackish</w:t>
            </w:r>
          </w:p>
        </w:tc>
        <w:tc>
          <w:tcPr>
            <w:tcW w:w="1701" w:type="dxa"/>
            <w:tcBorders>
              <w:top w:val="nil"/>
              <w:left w:val="single" w:sz="4" w:space="0" w:color="auto"/>
              <w:bottom w:val="nil"/>
            </w:tcBorders>
            <w:hideMark/>
          </w:tcPr>
          <w:p w:rsidR="00E23559" w:rsidRPr="00EF65E9" w:rsidRDefault="00E23559" w:rsidP="00FD0F20">
            <w:pPr>
              <w:keepNext/>
              <w:rPr>
                <w:sz w:val="18"/>
              </w:rPr>
            </w:pPr>
            <w:r w:rsidRPr="00EF65E9">
              <w:rPr>
                <w:sz w:val="18"/>
              </w:rPr>
              <w:t>violet</w:t>
            </w:r>
          </w:p>
        </w:tc>
      </w:tr>
      <w:tr w:rsidR="00E23559" w:rsidRPr="00EF65E9" w:rsidTr="00FD0F20">
        <w:trPr>
          <w:cantSplit/>
          <w:jc w:val="center"/>
        </w:trPr>
        <w:tc>
          <w:tcPr>
            <w:tcW w:w="1508" w:type="dxa"/>
            <w:tcBorders>
              <w:top w:val="nil"/>
              <w:left w:val="nil"/>
              <w:bottom w:val="nil"/>
              <w:right w:val="single" w:sz="4" w:space="0" w:color="auto"/>
            </w:tcBorders>
          </w:tcPr>
          <w:p w:rsidR="00E23559" w:rsidRPr="00EF65E9" w:rsidRDefault="00E23559" w:rsidP="00FD0F20">
            <w:pPr>
              <w:rPr>
                <w:sz w:val="18"/>
              </w:rPr>
            </w:pPr>
          </w:p>
        </w:tc>
        <w:tc>
          <w:tcPr>
            <w:tcW w:w="1786" w:type="dxa"/>
            <w:tcBorders>
              <w:top w:val="nil"/>
              <w:left w:val="single" w:sz="4" w:space="0" w:color="auto"/>
              <w:bottom w:val="nil"/>
              <w:right w:val="single" w:sz="4" w:space="0" w:color="auto"/>
            </w:tcBorders>
          </w:tcPr>
          <w:p w:rsidR="00E23559" w:rsidRPr="00EF65E9" w:rsidRDefault="00E23559" w:rsidP="00FD0F20">
            <w:pPr>
              <w:rPr>
                <w:sz w:val="18"/>
              </w:rPr>
            </w:pPr>
          </w:p>
        </w:tc>
        <w:tc>
          <w:tcPr>
            <w:tcW w:w="2002" w:type="dxa"/>
            <w:tcBorders>
              <w:top w:val="nil"/>
              <w:left w:val="single" w:sz="4" w:space="0" w:color="auto"/>
              <w:bottom w:val="nil"/>
              <w:right w:val="single" w:sz="4" w:space="0" w:color="auto"/>
            </w:tcBorders>
            <w:hideMark/>
          </w:tcPr>
          <w:p w:rsidR="00E23559" w:rsidRPr="00EF65E9" w:rsidRDefault="00E23559" w:rsidP="00FD0F20">
            <w:pPr>
              <w:rPr>
                <w:sz w:val="18"/>
              </w:rPr>
            </w:pPr>
            <w:r w:rsidRPr="00EF65E9">
              <w:rPr>
                <w:sz w:val="18"/>
              </w:rPr>
              <w:t>blue green</w:t>
            </w:r>
          </w:p>
        </w:tc>
        <w:tc>
          <w:tcPr>
            <w:tcW w:w="1741" w:type="dxa"/>
            <w:tcBorders>
              <w:top w:val="nil"/>
              <w:left w:val="single" w:sz="4" w:space="0" w:color="auto"/>
              <w:bottom w:val="nil"/>
              <w:right w:val="single" w:sz="4" w:space="0" w:color="auto"/>
            </w:tcBorders>
          </w:tcPr>
          <w:p w:rsidR="00E23559" w:rsidRPr="00EF65E9" w:rsidRDefault="00E23559" w:rsidP="00FD0F20">
            <w:pPr>
              <w:rPr>
                <w:sz w:val="18"/>
              </w:rPr>
            </w:pPr>
          </w:p>
        </w:tc>
        <w:tc>
          <w:tcPr>
            <w:tcW w:w="1701" w:type="dxa"/>
            <w:tcBorders>
              <w:top w:val="nil"/>
              <w:left w:val="single" w:sz="4" w:space="0" w:color="auto"/>
              <w:bottom w:val="nil"/>
            </w:tcBorders>
          </w:tcPr>
          <w:p w:rsidR="00E23559" w:rsidRPr="00EF65E9" w:rsidRDefault="00E23559" w:rsidP="00FD0F20">
            <w:pPr>
              <w:rPr>
                <w:sz w:val="18"/>
              </w:rPr>
            </w:pPr>
          </w:p>
        </w:tc>
      </w:tr>
    </w:tbl>
    <w:p w:rsidR="00E23559" w:rsidRPr="00EF65E9" w:rsidRDefault="00E23559" w:rsidP="00E23559">
      <w:pPr>
        <w:rPr>
          <w:rFonts w:eastAsiaTheme="minorEastAsia" w:cs="Arial"/>
        </w:rPr>
      </w:pPr>
    </w:p>
    <w:p w:rsidR="00E23559" w:rsidRPr="00EF65E9" w:rsidRDefault="00E23559" w:rsidP="00E23559">
      <w:pPr>
        <w:keepLines/>
        <w:ind w:left="567" w:right="567"/>
        <w:rPr>
          <w:rFonts w:eastAsiaTheme="minorEastAsia" w:cs="Arial"/>
        </w:rPr>
      </w:pPr>
      <w:r w:rsidRPr="00EF65E9">
        <w:rPr>
          <w:rFonts w:eastAsiaTheme="minorEastAsia" w:cs="Arial"/>
        </w:rPr>
        <w:t xml:space="preserve">“It should be emphasized that not all groups are necessarily clearly distinct from each other when information is used that does not come from the same source (same location, same observer) and cannot always be used to exclude varieties from the trial.  E.g. in </w:t>
      </w:r>
      <w:proofErr w:type="spellStart"/>
      <w:r w:rsidRPr="00EF65E9">
        <w:rPr>
          <w:rFonts w:eastAsiaTheme="minorEastAsia" w:cs="Arial"/>
        </w:rPr>
        <w:t>Cordyline</w:t>
      </w:r>
      <w:proofErr w:type="spellEnd"/>
      <w:r w:rsidRPr="00EF65E9">
        <w:rPr>
          <w:rFonts w:eastAsiaTheme="minorEastAsia" w:cs="Arial"/>
        </w:rPr>
        <w:t xml:space="preserve"> for the characteristic ‘Leaf: secondary color’ it might not be possible to clearly distinguish between ‘brown’ and ‘blackish’ when looking at photos on the internet or in a plant catalogue.”</w:t>
      </w:r>
    </w:p>
    <w:p w:rsidR="00E23559" w:rsidRPr="00273B07" w:rsidRDefault="00E23559" w:rsidP="00E23559">
      <w:pPr>
        <w:jc w:val="left"/>
      </w:pPr>
    </w:p>
    <w:p w:rsidR="00E23559" w:rsidRDefault="00E23559" w:rsidP="00E23559">
      <w:pPr>
        <w:jc w:val="left"/>
      </w:pPr>
    </w:p>
    <w:p w:rsidR="00E23559" w:rsidRDefault="00E23559" w:rsidP="00E23559">
      <w:pPr>
        <w:jc w:val="left"/>
      </w:pPr>
    </w:p>
    <w:p w:rsidR="00E23559" w:rsidRPr="00273B07" w:rsidRDefault="00E23559" w:rsidP="00E23559">
      <w:pPr>
        <w:jc w:val="right"/>
      </w:pPr>
      <w:r w:rsidRPr="00273B07">
        <w:t xml:space="preserve">[Annex V </w:t>
      </w:r>
      <w:r w:rsidRPr="003B033C">
        <w:t>follows</w:t>
      </w:r>
      <w:r w:rsidRPr="00273B07">
        <w:t>]</w:t>
      </w:r>
    </w:p>
    <w:p w:rsidR="00E23559" w:rsidRPr="00273B07" w:rsidRDefault="00E23559" w:rsidP="00E23559">
      <w:pPr>
        <w:jc w:val="left"/>
      </w:pPr>
    </w:p>
    <w:p w:rsidR="00E23559" w:rsidRPr="00273B07" w:rsidRDefault="00E23559" w:rsidP="00E23559">
      <w:pPr>
        <w:jc w:val="left"/>
      </w:pPr>
    </w:p>
    <w:p w:rsidR="00E23559" w:rsidRDefault="00E23559" w:rsidP="004F45B7">
      <w:pPr>
        <w:sectPr w:rsidR="00E23559" w:rsidSect="00EF65E9">
          <w:headerReference w:type="default" r:id="rId35"/>
          <w:headerReference w:type="first" r:id="rId36"/>
          <w:footnotePr>
            <w:numRestart w:val="eachSect"/>
          </w:footnotePr>
          <w:pgSz w:w="11907" w:h="16840" w:code="9"/>
          <w:pgMar w:top="510" w:right="1134" w:bottom="1134" w:left="1134" w:header="510" w:footer="680" w:gutter="0"/>
          <w:pgNumType w:start="1"/>
          <w:cols w:space="720"/>
          <w:titlePg/>
        </w:sectPr>
      </w:pPr>
    </w:p>
    <w:p w:rsidR="00E23559" w:rsidRPr="002E1B40" w:rsidRDefault="00E23559" w:rsidP="00E23559">
      <w:pPr>
        <w:jc w:val="center"/>
        <w:rPr>
          <w:caps/>
        </w:rPr>
      </w:pPr>
      <w:r w:rsidRPr="002E1B40">
        <w:rPr>
          <w:caps/>
        </w:rPr>
        <w:lastRenderedPageBreak/>
        <w:t>Revision</w:t>
      </w:r>
      <w:r>
        <w:rPr>
          <w:caps/>
        </w:rPr>
        <w:t xml:space="preserve">s </w:t>
      </w:r>
      <w:r w:rsidR="004A086C">
        <w:rPr>
          <w:caps/>
        </w:rPr>
        <w:t>to</w:t>
      </w:r>
      <w:r>
        <w:rPr>
          <w:caps/>
        </w:rPr>
        <w:t xml:space="preserve"> document TGP/15</w:t>
      </w:r>
      <w:r w:rsidRPr="002E1B40">
        <w:rPr>
          <w:caps/>
        </w:rPr>
        <w:t xml:space="preserve"> “</w:t>
      </w:r>
      <w:r w:rsidRPr="00E23559">
        <w:rPr>
          <w:caps/>
        </w:rPr>
        <w:t>Guidance on the Use of Biochemical and Molecular Markers in the Examination of Distinctness, Uniformity and Stability (DUS)”</w:t>
      </w:r>
      <w:r w:rsidRPr="002E1B40">
        <w:rPr>
          <w:caps/>
        </w:rPr>
        <w:t xml:space="preserve"> </w:t>
      </w:r>
    </w:p>
    <w:p w:rsidR="005C3142" w:rsidRDefault="005C3142" w:rsidP="005C3142">
      <w:pPr>
        <w:jc w:val="center"/>
      </w:pPr>
      <w:r>
        <w:t>AGREED BY THE TECHNICAL COMMITTEE AT ITS FIFTY-FOURTH SESSION</w:t>
      </w:r>
      <w:r>
        <w:rPr>
          <w:rStyle w:val="FootnoteReference"/>
        </w:rPr>
        <w:footnoteReference w:id="13"/>
      </w:r>
    </w:p>
    <w:p w:rsidR="00E23559" w:rsidRPr="00273B07" w:rsidRDefault="00E23559" w:rsidP="00E23559"/>
    <w:p w:rsidR="00FD3A90" w:rsidRDefault="00FD3A90" w:rsidP="00FD3A90"/>
    <w:p w:rsidR="00FD3A90" w:rsidRPr="0099568D" w:rsidRDefault="00FD3A90" w:rsidP="00FD3A90">
      <w:pPr>
        <w:rPr>
          <w:u w:val="single"/>
        </w:rPr>
      </w:pPr>
      <w:r w:rsidRPr="0099568D">
        <w:rPr>
          <w:u w:val="single"/>
        </w:rPr>
        <w:t>Revision of model 1: new text on reliability of the link between the gene and the expression of the characteristic</w:t>
      </w:r>
    </w:p>
    <w:p w:rsidR="00810A9A" w:rsidRDefault="00810A9A" w:rsidP="00810A9A"/>
    <w:p w:rsidR="00810A9A" w:rsidRDefault="00810A9A" w:rsidP="00810A9A">
      <w:r>
        <w:t>Following the agreed proposals by the TC, at its fifty-fourth session, the following sentences are proposed for inclusion in document TGP/15:</w:t>
      </w:r>
    </w:p>
    <w:p w:rsidR="00810A9A" w:rsidRDefault="00810A9A" w:rsidP="00810A9A"/>
    <w:p w:rsidR="00810A9A" w:rsidRPr="00A25E6C" w:rsidRDefault="00810A9A" w:rsidP="00BF0B0F">
      <w:pPr>
        <w:tabs>
          <w:tab w:val="left" w:pos="1276"/>
        </w:tabs>
        <w:ind w:left="567" w:right="567"/>
        <w:rPr>
          <w:rFonts w:cs="Arial"/>
        </w:rPr>
      </w:pPr>
      <w:r>
        <w:t>“</w:t>
      </w:r>
      <w:r w:rsidRPr="00A25E6C">
        <w:rPr>
          <w:rFonts w:cs="Arial"/>
        </w:rPr>
        <w:t>2.1.2</w:t>
      </w:r>
      <w:r w:rsidRPr="00A25E6C">
        <w:rPr>
          <w:rFonts w:cs="Arial"/>
        </w:rPr>
        <w:tab/>
        <w:t>It is a matter for the relevant authority to consider if the assumptions are met when applying the model and example, as presented in Annex I of this document.</w:t>
      </w:r>
    </w:p>
    <w:p w:rsidR="00810A9A" w:rsidRPr="00A25E6C" w:rsidRDefault="00810A9A" w:rsidP="00BF0B0F">
      <w:pPr>
        <w:tabs>
          <w:tab w:val="left" w:pos="1276"/>
        </w:tabs>
        <w:ind w:left="567" w:right="567"/>
        <w:rPr>
          <w:rFonts w:cs="Arial"/>
        </w:rPr>
      </w:pPr>
    </w:p>
    <w:p w:rsidR="00810A9A" w:rsidRPr="006E0086" w:rsidRDefault="00810A9A" w:rsidP="00BF0B0F">
      <w:pPr>
        <w:tabs>
          <w:tab w:val="left" w:pos="1276"/>
        </w:tabs>
        <w:ind w:left="567" w:right="567"/>
        <w:rPr>
          <w:rFonts w:cs="Arial"/>
        </w:rPr>
      </w:pPr>
      <w:r>
        <w:rPr>
          <w:rFonts w:cs="Arial"/>
        </w:rPr>
        <w:t>“</w:t>
      </w:r>
      <w:r w:rsidRPr="00A25E6C">
        <w:rPr>
          <w:rFonts w:cs="Arial"/>
        </w:rPr>
        <w:t>2.1.3</w:t>
      </w:r>
      <w:r w:rsidRPr="00A25E6C">
        <w:rPr>
          <w:rFonts w:cs="Arial"/>
        </w:rPr>
        <w:tab/>
      </w:r>
      <w:r w:rsidRPr="00A25E6C">
        <w:t>In order to include a method based on the model in Annex I of this document in Test Guidelines</w:t>
      </w:r>
      <w:r w:rsidR="001F0A16">
        <w:t>,</w:t>
      </w:r>
      <w:r w:rsidRPr="00A25E6C">
        <w:t xml:space="preserve"> the relevant Technical Working Party and the TC would need to agree that the requirement for reliability of the link between the gene and the expression of the characteristic was satisfied</w:t>
      </w:r>
      <w:r w:rsidRPr="00A25E6C">
        <w:rPr>
          <w:rFonts w:cs="Arial"/>
        </w:rPr>
        <w:t>.</w:t>
      </w:r>
      <w:r>
        <w:t>”</w:t>
      </w:r>
    </w:p>
    <w:p w:rsidR="00FD3A90" w:rsidRPr="00273B07" w:rsidRDefault="00FD3A90" w:rsidP="00FD3A90"/>
    <w:p w:rsidR="00FD3A90" w:rsidRPr="00273B07" w:rsidRDefault="00FD3A90" w:rsidP="00FD3A90">
      <w:pPr>
        <w:jc w:val="left"/>
      </w:pPr>
    </w:p>
    <w:p w:rsidR="00FD3A90" w:rsidRPr="00273B07" w:rsidRDefault="00FD3A90" w:rsidP="00FD3A90">
      <w:pPr>
        <w:rPr>
          <w:u w:val="single"/>
        </w:rPr>
      </w:pPr>
      <w:r w:rsidRPr="00273B07">
        <w:rPr>
          <w:u w:val="single"/>
        </w:rPr>
        <w:t>New model: “</w:t>
      </w:r>
      <w:r w:rsidRPr="00273B07">
        <w:rPr>
          <w:rFonts w:cs="Arial"/>
          <w:iCs/>
          <w:u w:val="single"/>
        </w:rPr>
        <w:t>Genetic selection of similar varieties for the first growing cycle”</w:t>
      </w:r>
    </w:p>
    <w:p w:rsidR="00FD3A90" w:rsidRPr="00273B07" w:rsidRDefault="00FD3A90" w:rsidP="00FD3A90"/>
    <w:p w:rsidR="00FD3A90" w:rsidRPr="00273B07" w:rsidRDefault="00FD3A90" w:rsidP="00FD3A90">
      <w:r w:rsidRPr="00273B07">
        <w:t xml:space="preserve">The TC, at its fifty-fourth session, agreed with the inclusion of a new model in document TGP/15, as follows (see document </w:t>
      </w:r>
      <w:r w:rsidR="00E42843">
        <w:t>TC/54/31 Corr.</w:t>
      </w:r>
      <w:r w:rsidRPr="00273B07">
        <w:t xml:space="preserve"> “Report”, paragraphs 290 and 291):</w:t>
      </w:r>
    </w:p>
    <w:p w:rsidR="00FD3A90" w:rsidRPr="00273B07" w:rsidRDefault="00FD3A90" w:rsidP="00FD3A90"/>
    <w:p w:rsidR="00FD3A90" w:rsidRPr="00273B07" w:rsidRDefault="00FD3A90" w:rsidP="00BF0B0F">
      <w:pPr>
        <w:ind w:left="567" w:right="567"/>
        <w:rPr>
          <w:i/>
        </w:rPr>
      </w:pPr>
      <w:r w:rsidRPr="00273B07">
        <w:rPr>
          <w:i/>
        </w:rPr>
        <w:t>New Section 2.3 “Genetic Selection of Similar Varieties for the First Growing Cycle”</w:t>
      </w:r>
    </w:p>
    <w:p w:rsidR="00FD3A90" w:rsidRPr="00273B07" w:rsidRDefault="00FD3A90" w:rsidP="00BF0B0F">
      <w:pPr>
        <w:ind w:left="567" w:right="567"/>
      </w:pPr>
    </w:p>
    <w:p w:rsidR="00FD3A90" w:rsidRPr="00273B07" w:rsidRDefault="00FD3A90" w:rsidP="00BF0B0F">
      <w:pPr>
        <w:ind w:left="567" w:right="567"/>
      </w:pPr>
      <w:r w:rsidRPr="00273B07">
        <w:t>2.3</w:t>
      </w:r>
      <w:r w:rsidRPr="00273B07">
        <w:tab/>
        <w:t>Genetic Selection of Similar Varieties for the First Growing Cycle (see Annex III)</w:t>
      </w:r>
    </w:p>
    <w:p w:rsidR="00FD3A90" w:rsidRPr="00273B07" w:rsidRDefault="00FD3A90" w:rsidP="00BF0B0F">
      <w:pPr>
        <w:ind w:left="567" w:right="567"/>
      </w:pPr>
    </w:p>
    <w:p w:rsidR="00FD3A90" w:rsidRPr="00273B07" w:rsidRDefault="00FD3A90" w:rsidP="00BF0B0F">
      <w:pPr>
        <w:ind w:left="567" w:right="567"/>
      </w:pPr>
      <w:r w:rsidRPr="00273B07">
        <w:t xml:space="preserve">2.3.1 </w:t>
      </w:r>
      <w:r w:rsidRPr="00273B07">
        <w:tab/>
        <w:t>This approach involves a step to check for genetic similarity before the first growing cycle.</w:t>
      </w:r>
    </w:p>
    <w:p w:rsidR="00FD3A90" w:rsidRPr="00273B07" w:rsidRDefault="00FD3A90" w:rsidP="00BF0B0F">
      <w:pPr>
        <w:ind w:left="567" w:right="567"/>
      </w:pPr>
    </w:p>
    <w:p w:rsidR="00FD3A90" w:rsidRPr="00273B07" w:rsidRDefault="00FD3A90" w:rsidP="00BF0B0F">
      <w:pPr>
        <w:ind w:left="567" w:right="567"/>
      </w:pPr>
      <w:r w:rsidRPr="00273B07">
        <w:t>2.3.2</w:t>
      </w:r>
      <w:r w:rsidRPr="00273B07">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FD3A90" w:rsidRPr="00273B07" w:rsidRDefault="00FD3A90" w:rsidP="00BF0B0F">
      <w:pPr>
        <w:ind w:left="567" w:right="567"/>
      </w:pPr>
      <w:r w:rsidRPr="00273B07">
        <w:t xml:space="preserve"> </w:t>
      </w:r>
    </w:p>
    <w:p w:rsidR="00FD3A90" w:rsidRPr="00273B07" w:rsidRDefault="00FD3A90" w:rsidP="00BF0B0F">
      <w:pPr>
        <w:ind w:left="567" w:right="567"/>
      </w:pPr>
      <w:r w:rsidRPr="00273B07">
        <w:t>2.3.3</w:t>
      </w:r>
      <w:r w:rsidRPr="00273B07">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FD3A90" w:rsidRPr="00273B07" w:rsidRDefault="00FD3A90" w:rsidP="00BF0B0F">
      <w:pPr>
        <w:ind w:left="567" w:right="567"/>
      </w:pPr>
    </w:p>
    <w:p w:rsidR="00FD3A90" w:rsidRPr="00273B07" w:rsidRDefault="00FD3A90" w:rsidP="00BF0B0F">
      <w:pPr>
        <w:ind w:left="567" w:right="567"/>
      </w:pPr>
      <w:r w:rsidRPr="00273B07">
        <w:t>2.3.4</w:t>
      </w:r>
      <w:r w:rsidRPr="00273B07">
        <w:tab/>
        <w:t>Annex III to this document “Genetic Selection of Similar Varieties for the First Growing Cycle” provides an example of the genetic selection of similar varieties for the first growing cycle.</w:t>
      </w:r>
    </w:p>
    <w:p w:rsidR="00FD3A90" w:rsidRPr="00273B07" w:rsidRDefault="00FD3A90" w:rsidP="00BF0B0F">
      <w:pPr>
        <w:ind w:left="567" w:right="567"/>
      </w:pPr>
    </w:p>
    <w:p w:rsidR="00FD3A90" w:rsidRPr="00273B07" w:rsidRDefault="00FD3A90" w:rsidP="00BF0B0F">
      <w:pPr>
        <w:ind w:left="567" w:right="567"/>
        <w:rPr>
          <w:i/>
        </w:rPr>
      </w:pPr>
      <w:r w:rsidRPr="00273B07">
        <w:rPr>
          <w:i/>
        </w:rPr>
        <w:t>Annex III “Model: Genetic Selection of Similar Varieties for the First Growing Cycle”</w:t>
      </w:r>
    </w:p>
    <w:p w:rsidR="00FD3A90" w:rsidRPr="00273B07" w:rsidRDefault="00FD3A90" w:rsidP="00BF0B0F">
      <w:pPr>
        <w:ind w:left="567" w:right="567"/>
        <w:jc w:val="center"/>
        <w:rPr>
          <w:snapToGrid w:val="0"/>
          <w:color w:val="000000"/>
        </w:rPr>
      </w:pPr>
    </w:p>
    <w:p w:rsidR="00FD3A90" w:rsidRPr="00273B07" w:rsidRDefault="00FD3A90" w:rsidP="00BF0B0F">
      <w:pPr>
        <w:ind w:left="567" w:right="567"/>
        <w:jc w:val="left"/>
        <w:rPr>
          <w:i/>
        </w:rPr>
      </w:pPr>
      <w:r w:rsidRPr="00273B07">
        <w:t>Example:  French Bean (prepared by an expert from the Netherlands)</w:t>
      </w:r>
    </w:p>
    <w:p w:rsidR="00FD3A90" w:rsidRPr="00273B07" w:rsidRDefault="00FD3A90" w:rsidP="00BF0B0F">
      <w:pPr>
        <w:ind w:left="567" w:right="567"/>
        <w:jc w:val="center"/>
        <w:rPr>
          <w:rFonts w:cs="Arial"/>
          <w:i/>
        </w:rPr>
      </w:pPr>
    </w:p>
    <w:p w:rsidR="00FD3A90" w:rsidRPr="00273B07" w:rsidRDefault="00FD3A90" w:rsidP="00BF0B0F">
      <w:pPr>
        <w:ind w:left="567" w:right="567"/>
      </w:pPr>
      <w:r w:rsidRPr="00273B07">
        <w:t>1.</w:t>
      </w:r>
      <w:r w:rsidRPr="00273B07">
        <w:tab/>
        <w:t>Introduction</w:t>
      </w:r>
    </w:p>
    <w:p w:rsidR="00FD3A90" w:rsidRPr="00273B07" w:rsidRDefault="00FD3A90" w:rsidP="00BF0B0F">
      <w:pPr>
        <w:ind w:left="567" w:right="567"/>
      </w:pPr>
    </w:p>
    <w:p w:rsidR="00FD3A90" w:rsidRPr="00273B07" w:rsidRDefault="00FD3A90" w:rsidP="00BF0B0F">
      <w:pPr>
        <w:ind w:left="567" w:right="567"/>
      </w:pPr>
      <w:r w:rsidRPr="00273B07">
        <w:t xml:space="preserve">1.1 </w:t>
      </w:r>
      <w:r w:rsidRPr="00273B07">
        <w:tab/>
        <w:t xml:space="preserve">This approach involves a step to check for genetic similarity before the first growing cycle.  </w:t>
      </w:r>
    </w:p>
    <w:p w:rsidR="00FD3A90" w:rsidRPr="00273B07" w:rsidRDefault="00FD3A90" w:rsidP="00BF0B0F">
      <w:pPr>
        <w:ind w:left="567" w:right="567"/>
      </w:pPr>
    </w:p>
    <w:p w:rsidR="00FD3A90" w:rsidRPr="00273B07" w:rsidRDefault="00FD3A90" w:rsidP="00BF0B0F">
      <w:pPr>
        <w:ind w:left="567" w:right="567"/>
      </w:pPr>
      <w:r w:rsidRPr="00273B07">
        <w:t>1.2</w:t>
      </w:r>
      <w:r w:rsidRPr="00273B07">
        <w:tab/>
        <w:t xml:space="preserve">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  </w:t>
      </w:r>
    </w:p>
    <w:p w:rsidR="00FD3A90" w:rsidRPr="00273B07" w:rsidRDefault="00FD3A90" w:rsidP="00BF0B0F">
      <w:pPr>
        <w:ind w:left="567" w:right="567"/>
      </w:pPr>
    </w:p>
    <w:p w:rsidR="00FD3A90" w:rsidRPr="00273B07" w:rsidRDefault="00FD3A90" w:rsidP="00BF0B0F">
      <w:pPr>
        <w:ind w:left="567" w:right="567"/>
      </w:pPr>
      <w:r w:rsidRPr="00273B07">
        <w:t>1.3</w:t>
      </w:r>
      <w:r w:rsidRPr="00273B07">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FD3A90" w:rsidRPr="00273B07" w:rsidRDefault="00FD3A90" w:rsidP="00BF0B0F">
      <w:pPr>
        <w:ind w:left="567" w:right="567"/>
      </w:pPr>
    </w:p>
    <w:p w:rsidR="00FD3A90" w:rsidRPr="00273B07" w:rsidRDefault="00FD3A90" w:rsidP="00BF0B0F">
      <w:pPr>
        <w:ind w:left="567" w:right="567"/>
      </w:pPr>
      <w:r w:rsidRPr="00273B07">
        <w:t>2.</w:t>
      </w:r>
      <w:r w:rsidRPr="00273B07">
        <w:tab/>
        <w:t>Procedure</w:t>
      </w:r>
    </w:p>
    <w:p w:rsidR="00FD3A90" w:rsidRPr="00273B07" w:rsidRDefault="00FD3A90" w:rsidP="00BF0B0F">
      <w:pPr>
        <w:keepNext/>
        <w:ind w:left="567" w:right="567"/>
        <w:outlineLvl w:val="2"/>
        <w:rPr>
          <w:rFonts w:eastAsia="MS Mincho"/>
          <w:i/>
        </w:rPr>
      </w:pPr>
      <w:r w:rsidRPr="00273B07">
        <w:rPr>
          <w:rFonts w:eastAsia="MS Mincho"/>
          <w:i/>
        </w:rPr>
        <w:t xml:space="preserve"> </w:t>
      </w:r>
    </w:p>
    <w:p w:rsidR="00FD3A90" w:rsidRPr="00273B07" w:rsidRDefault="00FD3A90" w:rsidP="00BF0B0F">
      <w:pPr>
        <w:ind w:left="567" w:right="567"/>
        <w:rPr>
          <w:i/>
        </w:rPr>
      </w:pPr>
      <w:r w:rsidRPr="00273B07">
        <w:rPr>
          <w:i/>
        </w:rPr>
        <w:t>Determine genetic similarity</w:t>
      </w:r>
    </w:p>
    <w:p w:rsidR="00FD3A90" w:rsidRPr="00273B07" w:rsidRDefault="00FD3A90" w:rsidP="00BF0B0F">
      <w:pPr>
        <w:ind w:left="567" w:right="567"/>
      </w:pPr>
    </w:p>
    <w:p w:rsidR="00FD3A90" w:rsidRPr="00273B07" w:rsidRDefault="00FD3A90" w:rsidP="00BF0B0F">
      <w:pPr>
        <w:ind w:left="567" w:right="567"/>
      </w:pPr>
      <w:r w:rsidRPr="00273B07">
        <w:t>2.1</w:t>
      </w:r>
      <w:r w:rsidRPr="00273B07">
        <w:tab/>
        <w:t>The DNA-profile of the candidate variety is produced as soon as plant material is received.</w:t>
      </w:r>
    </w:p>
    <w:p w:rsidR="00FD3A90" w:rsidRPr="00273B07" w:rsidRDefault="00FD3A90" w:rsidP="00BF0B0F">
      <w:pPr>
        <w:ind w:left="567" w:right="567"/>
      </w:pPr>
    </w:p>
    <w:p w:rsidR="00FD3A90" w:rsidRPr="00273B07" w:rsidRDefault="00FD3A90" w:rsidP="00BF0B0F">
      <w:pPr>
        <w:ind w:left="567" w:right="567"/>
      </w:pPr>
      <w:r w:rsidRPr="00273B07">
        <w:t>2.2</w:t>
      </w:r>
      <w:r w:rsidRPr="00273B07">
        <w:tab/>
        <w:t xml:space="preserve">The DNA-profile is compared with the profiles of all varieties in the variety collection and genetically similar varieties are identified. </w:t>
      </w:r>
    </w:p>
    <w:p w:rsidR="00FD3A90" w:rsidRPr="00273B07" w:rsidRDefault="00FD3A90" w:rsidP="00BF0B0F">
      <w:pPr>
        <w:ind w:left="567" w:right="567"/>
      </w:pPr>
    </w:p>
    <w:p w:rsidR="00FD3A90" w:rsidRPr="00273B07" w:rsidRDefault="00FD3A90" w:rsidP="00BF0B0F">
      <w:pPr>
        <w:ind w:left="567" w:right="567"/>
        <w:rPr>
          <w:i/>
        </w:rPr>
      </w:pPr>
      <w:r w:rsidRPr="00273B07">
        <w:rPr>
          <w:i/>
        </w:rPr>
        <w:t>Technical Questionnaire information</w:t>
      </w:r>
    </w:p>
    <w:p w:rsidR="00FD3A90" w:rsidRPr="00273B07" w:rsidRDefault="00FD3A90" w:rsidP="00BF0B0F">
      <w:pPr>
        <w:ind w:left="567" w:right="567"/>
      </w:pPr>
    </w:p>
    <w:p w:rsidR="00FD3A90" w:rsidRPr="00273B07" w:rsidRDefault="00FD3A90" w:rsidP="00BF0B0F">
      <w:pPr>
        <w:ind w:left="567" w:right="567"/>
      </w:pPr>
      <w:r w:rsidRPr="00273B07">
        <w:t>2.3</w:t>
      </w:r>
      <w:r w:rsidRPr="00273B07">
        <w:tab/>
        <w:t xml:space="preserve">The information provided by the applicant in the Technical Questionnaire (TQ) is then used to see if there are clear differences in DUS characteristics from some of the genetically similar varieties so that they do not need to be compared with candidate varieties in a growing trial.   </w:t>
      </w:r>
    </w:p>
    <w:p w:rsidR="00FD3A90" w:rsidRPr="00273B07" w:rsidRDefault="00FD3A90" w:rsidP="00BF0B0F">
      <w:pPr>
        <w:ind w:left="567" w:right="567"/>
      </w:pPr>
    </w:p>
    <w:p w:rsidR="00FD3A90" w:rsidRPr="00273B07" w:rsidRDefault="00FD3A90" w:rsidP="00BF0B0F">
      <w:pPr>
        <w:ind w:left="567" w:right="567"/>
        <w:rPr>
          <w:i/>
        </w:rPr>
      </w:pPr>
      <w:r w:rsidRPr="00273B07">
        <w:rPr>
          <w:i/>
        </w:rPr>
        <w:t>Field trial</w:t>
      </w:r>
    </w:p>
    <w:p w:rsidR="00FD3A90" w:rsidRPr="00273B07" w:rsidRDefault="00FD3A90" w:rsidP="00BF0B0F">
      <w:pPr>
        <w:ind w:left="567" w:right="567"/>
      </w:pPr>
    </w:p>
    <w:p w:rsidR="00FD3A90" w:rsidRPr="00273B07" w:rsidRDefault="00FD3A90" w:rsidP="00BF0B0F">
      <w:pPr>
        <w:ind w:left="567" w:right="567" w:firstLine="567"/>
        <w:rPr>
          <w:u w:val="single"/>
        </w:rPr>
      </w:pPr>
      <w:r w:rsidRPr="00273B07">
        <w:rPr>
          <w:u w:val="single"/>
        </w:rPr>
        <w:t>First growing cycle:</w:t>
      </w:r>
    </w:p>
    <w:p w:rsidR="00FD3A90" w:rsidRPr="00273B07" w:rsidRDefault="00FD3A90" w:rsidP="00BF0B0F">
      <w:pPr>
        <w:ind w:left="567" w:right="567"/>
      </w:pPr>
    </w:p>
    <w:p w:rsidR="00FD3A90" w:rsidRPr="00273B07" w:rsidRDefault="00FD3A90" w:rsidP="00BF0B0F">
      <w:pPr>
        <w:ind w:left="567" w:right="567"/>
      </w:pPr>
      <w:r w:rsidRPr="00273B07">
        <w:t>2.4</w:t>
      </w:r>
      <w:r w:rsidRPr="00273B07">
        <w:tab/>
        <w:t xml:space="preserve">The candidate and the genetically similar varieties selected by the procedure above are grown in the same field trial. A complete description of the DUS characteristics of the candidate variety is produced and is compared to the descriptions of all varieties in the variety collection using a database containing descriptions produced at the same location in previous years. </w:t>
      </w:r>
    </w:p>
    <w:p w:rsidR="00FD3A90" w:rsidRPr="00273B07" w:rsidRDefault="00FD3A90" w:rsidP="00BF0B0F">
      <w:pPr>
        <w:ind w:left="567" w:right="567"/>
      </w:pPr>
    </w:p>
    <w:p w:rsidR="00FD3A90" w:rsidRPr="00273B07" w:rsidRDefault="00FD3A90" w:rsidP="00BF0B0F">
      <w:pPr>
        <w:ind w:left="567" w:right="567"/>
      </w:pPr>
      <w:r w:rsidRPr="00273B07">
        <w:t>2.5</w:t>
      </w:r>
      <w:r w:rsidRPr="00273B07">
        <w:tab/>
        <w:t xml:space="preserve">Possible outcomes: </w:t>
      </w:r>
    </w:p>
    <w:p w:rsidR="00FD3A90" w:rsidRPr="00273B07" w:rsidRDefault="00FD3A90" w:rsidP="00BF0B0F">
      <w:pPr>
        <w:ind w:left="567" w:right="567"/>
      </w:pPr>
    </w:p>
    <w:p w:rsidR="00FD3A90" w:rsidRPr="00273B07" w:rsidRDefault="00FD3A90" w:rsidP="00BF0B0F">
      <w:pPr>
        <w:ind w:left="567" w:right="567"/>
      </w:pPr>
      <w:r w:rsidRPr="00273B07">
        <w:t xml:space="preserve">If the candidate variety is not distinct from the genetically similar varieties on the basis of DUS characteristics, the test will be continued for another growing cycle. </w:t>
      </w:r>
    </w:p>
    <w:p w:rsidR="00FD3A90" w:rsidRPr="00273B07" w:rsidRDefault="00FD3A90" w:rsidP="00BF0B0F">
      <w:pPr>
        <w:ind w:left="567" w:right="567"/>
      </w:pPr>
    </w:p>
    <w:p w:rsidR="00FD3A90" w:rsidRPr="00273B07" w:rsidRDefault="00FD3A90" w:rsidP="00BF0B0F">
      <w:pPr>
        <w:ind w:left="567" w:right="567"/>
      </w:pPr>
      <w:r w:rsidRPr="00273B07">
        <w:t xml:space="preserve">In any case, the description of the candidate variety produced in the first growing cycle is compared to the descriptions of the varieties in the variety collection using a database containing descriptions produced at the same location. </w:t>
      </w:r>
    </w:p>
    <w:p w:rsidR="00FD3A90" w:rsidRPr="00273B07" w:rsidRDefault="00FD3A90" w:rsidP="00BF0B0F">
      <w:pPr>
        <w:ind w:left="567" w:right="567"/>
      </w:pPr>
    </w:p>
    <w:p w:rsidR="00FD3A90" w:rsidRPr="00273B07" w:rsidRDefault="00FD3A90" w:rsidP="00BF0B0F">
      <w:pPr>
        <w:ind w:left="567" w:right="567"/>
      </w:pPr>
      <w:r w:rsidRPr="00273B07">
        <w:tab/>
      </w:r>
      <w:r w:rsidRPr="00273B07">
        <w:tab/>
        <w:t>(a) If the candidate variety is found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FD3A90" w:rsidRPr="00273B07" w:rsidRDefault="00FD3A90" w:rsidP="00BF0B0F">
      <w:pPr>
        <w:ind w:left="567" w:right="567"/>
      </w:pPr>
    </w:p>
    <w:p w:rsidR="00FD3A90" w:rsidRPr="00273B07" w:rsidRDefault="00FD3A90" w:rsidP="00BF0B0F">
      <w:pPr>
        <w:ind w:left="567" w:right="567"/>
      </w:pPr>
      <w:r w:rsidRPr="00273B07">
        <w:tab/>
      </w:r>
      <w:r w:rsidRPr="00273B07">
        <w:tab/>
        <w:t xml:space="preserve">(b) In all other cases a second growing cycle is performed. </w:t>
      </w:r>
    </w:p>
    <w:p w:rsidR="00FD3A90" w:rsidRPr="00273B07" w:rsidRDefault="00FD3A90" w:rsidP="00BF0B0F">
      <w:pPr>
        <w:ind w:left="567" w:right="567"/>
      </w:pPr>
    </w:p>
    <w:p w:rsidR="00FD3A90" w:rsidRPr="00273B07" w:rsidRDefault="00FD3A90" w:rsidP="00BF0B0F">
      <w:pPr>
        <w:ind w:left="567" w:right="567" w:firstLine="567"/>
        <w:rPr>
          <w:u w:val="single"/>
        </w:rPr>
      </w:pPr>
      <w:r w:rsidRPr="00273B07">
        <w:rPr>
          <w:u w:val="single"/>
        </w:rPr>
        <w:t>Second growing cycle</w:t>
      </w:r>
    </w:p>
    <w:p w:rsidR="00FD3A90" w:rsidRPr="00273B07" w:rsidRDefault="00FD3A90" w:rsidP="00BF0B0F">
      <w:pPr>
        <w:ind w:left="567" w:right="567"/>
      </w:pPr>
    </w:p>
    <w:p w:rsidR="00FD3A90" w:rsidRPr="00273B07" w:rsidRDefault="00FD3A90" w:rsidP="00BF0B0F">
      <w:pPr>
        <w:ind w:left="567" w:right="567"/>
      </w:pPr>
      <w:r w:rsidRPr="00273B07">
        <w:t>2.6</w:t>
      </w:r>
      <w:r w:rsidRPr="00273B07">
        <w:tab/>
        <w:t xml:space="preserve">In the second growing cycle, the candidate variety is grown with the all varieties in the variety collection from which it was not found to be distinct at the end of the first growing cycle. </w:t>
      </w:r>
    </w:p>
    <w:p w:rsidR="00FD3A90" w:rsidRPr="00273B07" w:rsidRDefault="00FD3A90" w:rsidP="00BF0B0F">
      <w:pPr>
        <w:ind w:left="567" w:right="567"/>
      </w:pPr>
    </w:p>
    <w:p w:rsidR="00FD3A90" w:rsidRPr="00273B07" w:rsidRDefault="00FD3A90" w:rsidP="00BF0B0F">
      <w:pPr>
        <w:ind w:left="567" w:right="567"/>
      </w:pPr>
      <w:r w:rsidRPr="00273B07">
        <w:t>2.7</w:t>
      </w:r>
      <w:r w:rsidRPr="00273B07">
        <w:tab/>
        <w:t>At the end of the second growing cycle, an assessment of DUS is made.  If it is not possible to reach a decision on DUS at the end of the second growing cycle, a further growing cycle may be conducted.</w:t>
      </w:r>
    </w:p>
    <w:p w:rsidR="00FD3A90" w:rsidRPr="0053502B" w:rsidRDefault="00FD3A90" w:rsidP="00FD3A90"/>
    <w:p w:rsidR="005C3142" w:rsidRDefault="005C3142" w:rsidP="009B440E">
      <w:pPr>
        <w:jc w:val="left"/>
      </w:pPr>
    </w:p>
    <w:p w:rsidR="00050E16" w:rsidRPr="00C5280D" w:rsidRDefault="0053502B" w:rsidP="009B440E">
      <w:pPr>
        <w:jc w:val="left"/>
      </w:pPr>
      <w:r>
        <w:rPr>
          <w:noProof/>
        </w:rPr>
        <mc:AlternateContent>
          <mc:Choice Requires="wps">
            <w:drawing>
              <wp:anchor distT="0" distB="0" distL="114300" distR="114300" simplePos="0" relativeHeight="251661312" behindDoc="0" locked="0" layoutInCell="1" allowOverlap="1">
                <wp:simplePos x="0" y="0"/>
                <wp:positionH relativeFrom="column">
                  <wp:posOffset>4098317</wp:posOffset>
                </wp:positionH>
                <wp:positionV relativeFrom="paragraph">
                  <wp:posOffset>154250</wp:posOffset>
                </wp:positionV>
                <wp:extent cx="2186609" cy="285667"/>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186609" cy="285667"/>
                        </a:xfrm>
                        <a:prstGeom prst="rect">
                          <a:avLst/>
                        </a:prstGeom>
                        <a:noFill/>
                        <a:ln w="6350">
                          <a:noFill/>
                        </a:ln>
                      </wps:spPr>
                      <wps:txbx>
                        <w:txbxContent>
                          <w:p w:rsidR="00C4352D" w:rsidRPr="0053502B" w:rsidRDefault="00C4352D" w:rsidP="0053502B">
                            <w:pPr>
                              <w:jc w:val="right"/>
                            </w:pPr>
                            <w:r w:rsidRPr="0053502B">
                              <w:t>[End of Annex V and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2.7pt;margin-top:12.15pt;width:172.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" filled="f" stroked="f" strokeweight=".5pt">
                <v:textbox>
                  <w:txbxContent>
                    <w:p w:rsidR="00C4352D" w:rsidRPr="0053502B" w:rsidRDefault="00C4352D" w:rsidP="0053502B">
                      <w:pPr>
                        <w:jc w:val="right"/>
                      </w:pPr>
                      <w:r w:rsidRPr="0053502B">
                        <w:t>[End of Annex V and of document]</w:t>
                      </w:r>
                    </w:p>
                  </w:txbxContent>
                </v:textbox>
              </v:shape>
            </w:pict>
          </mc:Fallback>
        </mc:AlternateContent>
      </w:r>
    </w:p>
    <w:sectPr w:rsidR="00050E16" w:rsidRPr="00C5280D" w:rsidSect="00BF0B0F">
      <w:headerReference w:type="default" r:id="rId37"/>
      <w:headerReference w:type="first" r:id="rId38"/>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2D" w:rsidRDefault="00C4352D" w:rsidP="006655D3">
      <w:r>
        <w:separator/>
      </w:r>
    </w:p>
    <w:p w:rsidR="00C4352D" w:rsidRDefault="00C4352D" w:rsidP="006655D3"/>
    <w:p w:rsidR="00C4352D" w:rsidRDefault="00C4352D" w:rsidP="006655D3"/>
  </w:endnote>
  <w:endnote w:type="continuationSeparator" w:id="0">
    <w:p w:rsidR="00C4352D" w:rsidRDefault="00C4352D" w:rsidP="006655D3">
      <w:r>
        <w:separator/>
      </w:r>
    </w:p>
    <w:p w:rsidR="00C4352D" w:rsidRPr="00294751" w:rsidRDefault="00C4352D">
      <w:pPr>
        <w:pStyle w:val="Footer"/>
        <w:spacing w:after="60"/>
        <w:rPr>
          <w:sz w:val="18"/>
          <w:lang w:val="fr-FR"/>
        </w:rPr>
      </w:pPr>
      <w:r w:rsidRPr="00294751">
        <w:rPr>
          <w:sz w:val="18"/>
          <w:lang w:val="fr-FR"/>
        </w:rPr>
        <w:t>[Suite de la note de la page précédente]</w:t>
      </w:r>
    </w:p>
    <w:p w:rsidR="00C4352D" w:rsidRPr="00294751" w:rsidRDefault="00C4352D" w:rsidP="006655D3">
      <w:pPr>
        <w:rPr>
          <w:lang w:val="fr-FR"/>
        </w:rPr>
      </w:pPr>
    </w:p>
    <w:p w:rsidR="00C4352D" w:rsidRPr="00294751" w:rsidRDefault="00C4352D" w:rsidP="006655D3">
      <w:pPr>
        <w:rPr>
          <w:lang w:val="fr-FR"/>
        </w:rPr>
      </w:pPr>
    </w:p>
  </w:endnote>
  <w:endnote w:type="continuationNotice" w:id="1">
    <w:p w:rsidR="00C4352D" w:rsidRPr="00294751" w:rsidRDefault="00C4352D" w:rsidP="006655D3">
      <w:pPr>
        <w:rPr>
          <w:lang w:val="fr-FR"/>
        </w:rPr>
      </w:pPr>
      <w:r w:rsidRPr="00294751">
        <w:rPr>
          <w:lang w:val="fr-FR"/>
        </w:rPr>
        <w:t>[Suite de la note page suivante]</w:t>
      </w:r>
    </w:p>
    <w:p w:rsidR="00C4352D" w:rsidRPr="00294751" w:rsidRDefault="00C4352D" w:rsidP="006655D3">
      <w:pPr>
        <w:rPr>
          <w:lang w:val="fr-FR"/>
        </w:rPr>
      </w:pPr>
    </w:p>
    <w:p w:rsidR="00C4352D" w:rsidRPr="00294751" w:rsidRDefault="00C435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2D" w:rsidRDefault="00C4352D" w:rsidP="006655D3">
      <w:r>
        <w:separator/>
      </w:r>
    </w:p>
  </w:footnote>
  <w:footnote w:type="continuationSeparator" w:id="0">
    <w:p w:rsidR="00C4352D" w:rsidRDefault="00C4352D" w:rsidP="006655D3">
      <w:r>
        <w:separator/>
      </w:r>
    </w:p>
  </w:footnote>
  <w:footnote w:type="continuationNotice" w:id="1">
    <w:p w:rsidR="00C4352D" w:rsidRPr="00AB530F" w:rsidRDefault="00C4352D" w:rsidP="00AB530F">
      <w:pPr>
        <w:pStyle w:val="Footer"/>
      </w:pPr>
    </w:p>
  </w:footnote>
  <w:footnote w:id="2">
    <w:p w:rsidR="00C4352D" w:rsidRDefault="00C4352D">
      <w:pPr>
        <w:pStyle w:val="FootnoteText"/>
      </w:pPr>
      <w:r>
        <w:rPr>
          <w:rStyle w:val="FootnoteReference"/>
        </w:rPr>
        <w:footnoteRef/>
      </w:r>
      <w:r>
        <w:tab/>
        <w:t>H</w:t>
      </w:r>
      <w:r w:rsidRPr="00273B07">
        <w:t>eld in Geneva on October 2</w:t>
      </w:r>
      <w:r>
        <w:t>9</w:t>
      </w:r>
      <w:r w:rsidRPr="00273B07">
        <w:t xml:space="preserve"> and </w:t>
      </w:r>
      <w:r>
        <w:t>30</w:t>
      </w:r>
      <w:r w:rsidRPr="00273B07">
        <w:t>, 2018</w:t>
      </w:r>
    </w:p>
  </w:footnote>
  <w:footnote w:id="3">
    <w:p w:rsidR="00C4352D" w:rsidRDefault="00C4352D">
      <w:pPr>
        <w:pStyle w:val="FootnoteText"/>
      </w:pPr>
      <w:r>
        <w:rPr>
          <w:rStyle w:val="FootnoteReference"/>
        </w:rPr>
        <w:footnoteRef/>
      </w:r>
      <w:r>
        <w:tab/>
      </w:r>
      <w:r>
        <w:rPr>
          <w:spacing w:val="-2"/>
        </w:rPr>
        <w:t>To be held in Geneva on October 30, 2019.</w:t>
      </w:r>
    </w:p>
  </w:footnote>
  <w:footnote w:id="4">
    <w:p w:rsidR="00C4352D" w:rsidRDefault="00C4352D">
      <w:pPr>
        <w:pStyle w:val="FootnoteText"/>
      </w:pPr>
      <w:r>
        <w:rPr>
          <w:rStyle w:val="FootnoteReference"/>
        </w:rPr>
        <w:footnoteRef/>
      </w:r>
      <w:r>
        <w:tab/>
        <w:t>T</w:t>
      </w:r>
      <w:r w:rsidRPr="00E11AC8">
        <w:rPr>
          <w:spacing w:val="-2"/>
        </w:rPr>
        <w:t>o be held in Geneva on October 28 and 29, 2019</w:t>
      </w:r>
      <w:r>
        <w:rPr>
          <w:spacing w:val="-2"/>
        </w:rPr>
        <w:t>.</w:t>
      </w:r>
    </w:p>
  </w:footnote>
  <w:footnote w:id="5">
    <w:p w:rsidR="00C4352D" w:rsidRDefault="00C4352D">
      <w:pPr>
        <w:pStyle w:val="FootnoteText"/>
      </w:pPr>
      <w:r>
        <w:rPr>
          <w:rStyle w:val="FootnoteReference"/>
        </w:rPr>
        <w:footnoteRef/>
      </w:r>
      <w:r>
        <w:tab/>
        <w:t>Held in Geneva from April 3 to 5, 2017.</w:t>
      </w:r>
    </w:p>
  </w:footnote>
  <w:footnote w:id="6">
    <w:p w:rsidR="00C4352D" w:rsidRDefault="00C4352D">
      <w:pPr>
        <w:pStyle w:val="FootnoteText"/>
      </w:pPr>
      <w:r>
        <w:rPr>
          <w:rStyle w:val="FootnoteReference"/>
        </w:rPr>
        <w:footnoteRef/>
      </w:r>
      <w:r>
        <w:tab/>
        <w:t>Held in Geneva on October 31</w:t>
      </w:r>
      <w:r w:rsidRPr="00E67F5D">
        <w:t>, 2018</w:t>
      </w:r>
      <w:r>
        <w:t>.</w:t>
      </w:r>
    </w:p>
  </w:footnote>
  <w:footnote w:id="7">
    <w:p w:rsidR="00C4352D" w:rsidRDefault="00C4352D">
      <w:pPr>
        <w:pStyle w:val="FootnoteText"/>
      </w:pPr>
      <w:r>
        <w:rPr>
          <w:rStyle w:val="FootnoteReference"/>
        </w:rPr>
        <w:footnoteRef/>
      </w:r>
      <w:r>
        <w:t xml:space="preserve"> </w:t>
      </w:r>
      <w:r>
        <w:tab/>
        <w:t>Held in Geneva on October 28 and 29, 2018.</w:t>
      </w:r>
    </w:p>
  </w:footnote>
  <w:footnote w:id="8">
    <w:p w:rsidR="00C4352D" w:rsidRDefault="00C4352D">
      <w:pPr>
        <w:pStyle w:val="FootnoteText"/>
      </w:pPr>
      <w:r>
        <w:rPr>
          <w:rStyle w:val="FootnoteReference"/>
        </w:rPr>
        <w:footnoteRef/>
      </w:r>
      <w:r>
        <w:tab/>
      </w:r>
      <w:r w:rsidRPr="00273B07">
        <w:t>Held in Geneva from April 3 to 5, 2017</w:t>
      </w:r>
      <w:r>
        <w:t>.</w:t>
      </w:r>
    </w:p>
  </w:footnote>
  <w:footnote w:id="9">
    <w:p w:rsidR="00C4352D" w:rsidRDefault="00C4352D" w:rsidP="005E1F43">
      <w:pPr>
        <w:pStyle w:val="FootnoteText"/>
      </w:pPr>
      <w:r>
        <w:rPr>
          <w:rStyle w:val="FootnoteReference"/>
        </w:rPr>
        <w:footnoteRef/>
      </w:r>
      <w:r>
        <w:t xml:space="preserve"> </w:t>
      </w:r>
      <w:r>
        <w:tab/>
        <w:t>Held in Geneva on October 28 and 29, 2018.</w:t>
      </w:r>
    </w:p>
  </w:footnote>
  <w:footnote w:id="10">
    <w:p w:rsidR="00C4352D" w:rsidRDefault="00C4352D" w:rsidP="00A20071">
      <w:pPr>
        <w:pStyle w:val="FootnoteText"/>
      </w:pPr>
      <w:r>
        <w:rPr>
          <w:rStyle w:val="FootnoteReference"/>
        </w:rPr>
        <w:footnoteRef/>
      </w:r>
      <w:r>
        <w:t xml:space="preserve"> </w:t>
      </w:r>
      <w:r>
        <w:tab/>
        <w:t>Held in Geneva on October 28 and 29, 2018.</w:t>
      </w:r>
    </w:p>
  </w:footnote>
  <w:footnote w:id="11">
    <w:p w:rsidR="00C4352D" w:rsidRDefault="00C4352D" w:rsidP="00FF70E5">
      <w:pPr>
        <w:pStyle w:val="FootnoteText"/>
      </w:pPr>
      <w:r>
        <w:rPr>
          <w:rStyle w:val="FootnoteReference"/>
        </w:rPr>
        <w:footnoteRef/>
      </w:r>
      <w:r>
        <w:tab/>
      </w:r>
      <w:r w:rsidRPr="00273B07">
        <w:t>Held in Geneva from April 3 to 5, 2017</w:t>
      </w:r>
      <w:r>
        <w:t>.</w:t>
      </w:r>
    </w:p>
  </w:footnote>
  <w:footnote w:id="12">
    <w:p w:rsidR="00C4352D" w:rsidRDefault="00C4352D" w:rsidP="00FF70E5">
      <w:pPr>
        <w:pStyle w:val="FootnoteText"/>
      </w:pPr>
      <w:r>
        <w:rPr>
          <w:rStyle w:val="FootnoteReference"/>
        </w:rPr>
        <w:footnoteRef/>
      </w:r>
      <w:r>
        <w:t xml:space="preserve"> </w:t>
      </w:r>
      <w:r>
        <w:tab/>
        <w:t>Held in Geneva on October 28 and 29, 2018.</w:t>
      </w:r>
    </w:p>
  </w:footnote>
  <w:footnote w:id="13">
    <w:p w:rsidR="00C4352D" w:rsidRDefault="00C4352D" w:rsidP="005C3142">
      <w:pPr>
        <w:pStyle w:val="FootnoteText"/>
      </w:pPr>
      <w:r>
        <w:rPr>
          <w:rStyle w:val="FootnoteReference"/>
        </w:rPr>
        <w:footnoteRef/>
      </w:r>
      <w:r>
        <w:t xml:space="preserve"> </w:t>
      </w:r>
      <w:r>
        <w:tab/>
        <w:t>Held in Geneva on October 28 and 29,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Pr="00C5280D" w:rsidRDefault="00C4352D" w:rsidP="00EB048E">
    <w:pPr>
      <w:pStyle w:val="Header"/>
      <w:rPr>
        <w:rStyle w:val="PageNumber"/>
        <w:lang w:val="en-US"/>
      </w:rPr>
    </w:pPr>
    <w:r>
      <w:rPr>
        <w:rStyle w:val="PageNumber"/>
        <w:lang w:val="en-US"/>
      </w:rPr>
      <w:t>C/53/3</w:t>
    </w:r>
  </w:p>
  <w:p w:rsidR="00C4352D" w:rsidRPr="00C5280D" w:rsidRDefault="00C4352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712">
      <w:rPr>
        <w:rStyle w:val="PageNumber"/>
        <w:noProof/>
        <w:lang w:val="en-US"/>
      </w:rPr>
      <w:t>5</w:t>
    </w:r>
    <w:r w:rsidRPr="00C5280D">
      <w:rPr>
        <w:rStyle w:val="PageNumber"/>
        <w:lang w:val="en-US"/>
      </w:rPr>
      <w:fldChar w:fldCharType="end"/>
    </w:r>
  </w:p>
  <w:p w:rsidR="00C4352D" w:rsidRPr="00C5280D" w:rsidRDefault="00C4352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Default="00C4352D" w:rsidP="00CB4522">
    <w:pPr>
      <w:pStyle w:val="Header"/>
      <w:rPr>
        <w:lang w:val="en-US"/>
      </w:rPr>
    </w:pPr>
    <w:r>
      <w:rPr>
        <w:lang w:val="en-US"/>
      </w:rPr>
      <w:t>C/53/3</w:t>
    </w:r>
  </w:p>
  <w:p w:rsidR="00C4352D" w:rsidRDefault="00C4352D" w:rsidP="00CB4522">
    <w:pPr>
      <w:pStyle w:val="Header"/>
      <w:rPr>
        <w:lang w:val="en-US"/>
      </w:rPr>
    </w:pPr>
  </w:p>
  <w:p w:rsidR="00C4352D" w:rsidRDefault="00C4352D" w:rsidP="00CB4522">
    <w:pPr>
      <w:pStyle w:val="Header"/>
      <w:rPr>
        <w:lang w:val="en-US"/>
      </w:rPr>
    </w:pPr>
    <w:r>
      <w:rPr>
        <w:lang w:val="en-US"/>
      </w:rPr>
      <w:t>ANNEX V</w:t>
    </w:r>
  </w:p>
  <w:p w:rsidR="00C4352D" w:rsidRDefault="00C4352D" w:rsidP="00CB4522">
    <w:pPr>
      <w:pStyle w:val="Header"/>
      <w:rPr>
        <w:lang w:val="en-US"/>
      </w:rPr>
    </w:pPr>
  </w:p>
  <w:p w:rsidR="00C4352D" w:rsidRDefault="00C43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Pr="00C5280D" w:rsidRDefault="00C4352D" w:rsidP="00EB048E">
    <w:pPr>
      <w:pStyle w:val="Header"/>
      <w:rPr>
        <w:rStyle w:val="PageNumber"/>
        <w:lang w:val="en-US"/>
      </w:rPr>
    </w:pPr>
    <w:r>
      <w:rPr>
        <w:rStyle w:val="PageNumber"/>
        <w:lang w:val="en-US"/>
      </w:rPr>
      <w:t>C/53/3</w:t>
    </w:r>
  </w:p>
  <w:p w:rsidR="00C4352D" w:rsidRDefault="00C4352D" w:rsidP="00A8283B">
    <w:pPr>
      <w:pStyle w:val="Header"/>
      <w:rPr>
        <w:rStyle w:val="PageNumbe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712">
      <w:rPr>
        <w:rStyle w:val="PageNumber"/>
        <w:noProof/>
        <w:lang w:val="en-US"/>
      </w:rPr>
      <w:t>2</w:t>
    </w:r>
    <w:r w:rsidRPr="00C5280D">
      <w:rPr>
        <w:rStyle w:val="PageNumber"/>
        <w:lang w:val="en-US"/>
      </w:rPr>
      <w:fldChar w:fldCharType="end"/>
    </w:r>
  </w:p>
  <w:p w:rsidR="00C4352D" w:rsidRPr="00A8283B" w:rsidRDefault="00C4352D" w:rsidP="00A8283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Default="00C4352D" w:rsidP="00CB4522">
    <w:pPr>
      <w:pStyle w:val="Header"/>
      <w:rPr>
        <w:lang w:val="en-US"/>
      </w:rPr>
    </w:pPr>
    <w:r>
      <w:rPr>
        <w:lang w:val="en-US"/>
      </w:rPr>
      <w:t>C/53/3</w:t>
    </w:r>
  </w:p>
  <w:p w:rsidR="00C4352D" w:rsidRDefault="00C4352D" w:rsidP="00CB4522">
    <w:pPr>
      <w:pStyle w:val="Header"/>
      <w:rPr>
        <w:lang w:val="en-US"/>
      </w:rPr>
    </w:pPr>
  </w:p>
  <w:p w:rsidR="00C4352D" w:rsidRDefault="00C4352D" w:rsidP="00CB4522">
    <w:pPr>
      <w:pStyle w:val="Header"/>
      <w:rPr>
        <w:lang w:val="en-US"/>
      </w:rPr>
    </w:pPr>
    <w:r>
      <w:rPr>
        <w:lang w:val="en-US"/>
      </w:rPr>
      <w:t>ANNEX I</w:t>
    </w:r>
  </w:p>
  <w:p w:rsidR="00C4352D" w:rsidRDefault="00C4352D" w:rsidP="00CB4522">
    <w:pPr>
      <w:pStyle w:val="Header"/>
      <w:rPr>
        <w:lang w:val="en-US"/>
      </w:rPr>
    </w:pPr>
  </w:p>
  <w:p w:rsidR="00C4352D" w:rsidRDefault="00C435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Default="00C4352D" w:rsidP="00CB4522">
    <w:pPr>
      <w:pStyle w:val="Header"/>
      <w:rPr>
        <w:lang w:val="en-US"/>
      </w:rPr>
    </w:pPr>
    <w:r>
      <w:rPr>
        <w:lang w:val="en-US"/>
      </w:rPr>
      <w:t>C/53/3</w:t>
    </w:r>
  </w:p>
  <w:p w:rsidR="00C4352D" w:rsidRDefault="00C4352D" w:rsidP="00CB4522">
    <w:pPr>
      <w:pStyle w:val="Header"/>
      <w:rPr>
        <w:lang w:val="en-US"/>
      </w:rPr>
    </w:pPr>
  </w:p>
  <w:p w:rsidR="00C4352D" w:rsidRDefault="00C4352D" w:rsidP="00CB4522">
    <w:pPr>
      <w:pStyle w:val="Header"/>
      <w:rPr>
        <w:lang w:val="en-US"/>
      </w:rPr>
    </w:pPr>
    <w:r>
      <w:rPr>
        <w:lang w:val="en-US"/>
      </w:rPr>
      <w:t>ANNEX II</w:t>
    </w:r>
  </w:p>
  <w:p w:rsidR="00C4352D" w:rsidRDefault="00C4352D" w:rsidP="00CB4522">
    <w:pPr>
      <w:pStyle w:val="Header"/>
      <w:rPr>
        <w:lang w:val="en-US"/>
      </w:rPr>
    </w:pPr>
  </w:p>
  <w:p w:rsidR="00C4352D" w:rsidRDefault="00C435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Pr="00C5280D" w:rsidRDefault="00C4352D" w:rsidP="00EB048E">
    <w:pPr>
      <w:pStyle w:val="Header"/>
      <w:rPr>
        <w:rStyle w:val="PageNumber"/>
        <w:lang w:val="en-US"/>
      </w:rPr>
    </w:pPr>
    <w:r>
      <w:rPr>
        <w:rStyle w:val="PageNumber"/>
        <w:lang w:val="en-US"/>
      </w:rPr>
      <w:t>C/53/3</w:t>
    </w:r>
  </w:p>
  <w:p w:rsidR="00C4352D" w:rsidRDefault="00C4352D" w:rsidP="00A8283B">
    <w:pPr>
      <w:pStyle w:val="Header"/>
      <w:rPr>
        <w:rStyle w:val="PageNumbe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712">
      <w:rPr>
        <w:rStyle w:val="PageNumber"/>
        <w:noProof/>
        <w:lang w:val="en-US"/>
      </w:rPr>
      <w:t>3</w:t>
    </w:r>
    <w:r w:rsidRPr="00C5280D">
      <w:rPr>
        <w:rStyle w:val="PageNumber"/>
        <w:lang w:val="en-US"/>
      </w:rPr>
      <w:fldChar w:fldCharType="end"/>
    </w:r>
  </w:p>
  <w:p w:rsidR="00C4352D" w:rsidRPr="00A8283B" w:rsidRDefault="00C4352D" w:rsidP="00A8283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Default="00C4352D" w:rsidP="00CB4522">
    <w:pPr>
      <w:pStyle w:val="Header"/>
      <w:rPr>
        <w:lang w:val="en-US"/>
      </w:rPr>
    </w:pPr>
    <w:r>
      <w:rPr>
        <w:lang w:val="en-US"/>
      </w:rPr>
      <w:t>C/53/3</w:t>
    </w:r>
  </w:p>
  <w:p w:rsidR="00C4352D" w:rsidRDefault="00C4352D" w:rsidP="00CB4522">
    <w:pPr>
      <w:pStyle w:val="Header"/>
      <w:rPr>
        <w:lang w:val="en-US"/>
      </w:rPr>
    </w:pPr>
  </w:p>
  <w:p w:rsidR="00C4352D" w:rsidRDefault="00C4352D" w:rsidP="00CB4522">
    <w:pPr>
      <w:pStyle w:val="Header"/>
      <w:rPr>
        <w:lang w:val="en-US"/>
      </w:rPr>
    </w:pPr>
    <w:r>
      <w:rPr>
        <w:lang w:val="en-US"/>
      </w:rPr>
      <w:t>ANNEX III</w:t>
    </w:r>
  </w:p>
  <w:p w:rsidR="00C4352D" w:rsidRDefault="00C4352D" w:rsidP="00CB4522">
    <w:pPr>
      <w:pStyle w:val="Header"/>
      <w:rPr>
        <w:lang w:val="en-US"/>
      </w:rPr>
    </w:pPr>
  </w:p>
  <w:p w:rsidR="00C4352D" w:rsidRDefault="00C435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Pr="00C5280D" w:rsidRDefault="00C4352D" w:rsidP="00EB048E">
    <w:pPr>
      <w:pStyle w:val="Header"/>
      <w:rPr>
        <w:rStyle w:val="PageNumber"/>
        <w:lang w:val="en-US"/>
      </w:rPr>
    </w:pPr>
    <w:r>
      <w:rPr>
        <w:rStyle w:val="PageNumber"/>
        <w:lang w:val="en-US"/>
      </w:rPr>
      <w:t>C/53/3</w:t>
    </w:r>
  </w:p>
  <w:p w:rsidR="00C4352D" w:rsidRDefault="00C4352D" w:rsidP="00A8283B">
    <w:pPr>
      <w:pStyle w:val="Header"/>
      <w:rPr>
        <w:rStyle w:val="PageNumbe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712">
      <w:rPr>
        <w:rStyle w:val="PageNumber"/>
        <w:noProof/>
        <w:lang w:val="en-US"/>
      </w:rPr>
      <w:t>2</w:t>
    </w:r>
    <w:r w:rsidRPr="00C5280D">
      <w:rPr>
        <w:rStyle w:val="PageNumber"/>
        <w:lang w:val="en-US"/>
      </w:rPr>
      <w:fldChar w:fldCharType="end"/>
    </w:r>
  </w:p>
  <w:p w:rsidR="00C4352D" w:rsidRPr="00A8283B" w:rsidRDefault="00C4352D" w:rsidP="00A8283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Default="00C4352D" w:rsidP="00CB4522">
    <w:pPr>
      <w:pStyle w:val="Header"/>
      <w:rPr>
        <w:lang w:val="en-US"/>
      </w:rPr>
    </w:pPr>
    <w:r>
      <w:rPr>
        <w:lang w:val="en-US"/>
      </w:rPr>
      <w:t>C/53/3</w:t>
    </w:r>
  </w:p>
  <w:p w:rsidR="00C4352D" w:rsidRDefault="00C4352D" w:rsidP="00CB4522">
    <w:pPr>
      <w:pStyle w:val="Header"/>
      <w:rPr>
        <w:lang w:val="en-US"/>
      </w:rPr>
    </w:pPr>
  </w:p>
  <w:p w:rsidR="00C4352D" w:rsidRDefault="00C4352D" w:rsidP="00CB4522">
    <w:pPr>
      <w:pStyle w:val="Header"/>
      <w:rPr>
        <w:lang w:val="en-US"/>
      </w:rPr>
    </w:pPr>
    <w:r>
      <w:rPr>
        <w:lang w:val="en-US"/>
      </w:rPr>
      <w:t>ANNEX IV</w:t>
    </w:r>
  </w:p>
  <w:p w:rsidR="00C4352D" w:rsidRDefault="00C4352D" w:rsidP="00CB4522">
    <w:pPr>
      <w:pStyle w:val="Header"/>
      <w:rPr>
        <w:lang w:val="en-US"/>
      </w:rPr>
    </w:pPr>
  </w:p>
  <w:p w:rsidR="00C4352D" w:rsidRDefault="00C435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52D" w:rsidRPr="00C5280D" w:rsidRDefault="00C4352D" w:rsidP="00EB048E">
    <w:pPr>
      <w:pStyle w:val="Header"/>
      <w:rPr>
        <w:rStyle w:val="PageNumber"/>
        <w:lang w:val="en-US"/>
      </w:rPr>
    </w:pPr>
    <w:r>
      <w:rPr>
        <w:rStyle w:val="PageNumber"/>
        <w:lang w:val="en-US"/>
      </w:rPr>
      <w:t>C/53/3</w:t>
    </w:r>
  </w:p>
  <w:p w:rsidR="00C4352D" w:rsidRDefault="00C4352D" w:rsidP="00A8283B">
    <w:pPr>
      <w:pStyle w:val="Header"/>
      <w:rPr>
        <w:rStyle w:val="PageNumbe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6712">
      <w:rPr>
        <w:rStyle w:val="PageNumber"/>
        <w:noProof/>
        <w:lang w:val="en-US"/>
      </w:rPr>
      <w:t>2</w:t>
    </w:r>
    <w:r w:rsidRPr="00C5280D">
      <w:rPr>
        <w:rStyle w:val="PageNumber"/>
        <w:lang w:val="en-US"/>
      </w:rPr>
      <w:fldChar w:fldCharType="end"/>
    </w:r>
  </w:p>
  <w:p w:rsidR="00C4352D" w:rsidRPr="00A8283B" w:rsidRDefault="00C4352D" w:rsidP="00A8283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68D2437"/>
    <w:multiLevelType w:val="hybridMultilevel"/>
    <w:tmpl w:val="E632D114"/>
    <w:lvl w:ilvl="0" w:tplc="0409000F">
      <w:start w:val="1"/>
      <w:numFmt w:val="decimal"/>
      <w:lvlText w:val="%1."/>
      <w:lvlJc w:val="left"/>
      <w:pPr>
        <w:ind w:left="-351" w:hanging="360"/>
      </w:p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3"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8"/>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4BD7"/>
    <w:rsid w:val="00006712"/>
    <w:rsid w:val="00010CF3"/>
    <w:rsid w:val="00011E27"/>
    <w:rsid w:val="000148BC"/>
    <w:rsid w:val="00024AB8"/>
    <w:rsid w:val="00026FCE"/>
    <w:rsid w:val="00030854"/>
    <w:rsid w:val="00036028"/>
    <w:rsid w:val="00044642"/>
    <w:rsid w:val="000446B9"/>
    <w:rsid w:val="00047E21"/>
    <w:rsid w:val="00050791"/>
    <w:rsid w:val="00050E16"/>
    <w:rsid w:val="00067473"/>
    <w:rsid w:val="00077DB5"/>
    <w:rsid w:val="00082542"/>
    <w:rsid w:val="00084193"/>
    <w:rsid w:val="00085505"/>
    <w:rsid w:val="000938BB"/>
    <w:rsid w:val="0009468B"/>
    <w:rsid w:val="000A790D"/>
    <w:rsid w:val="000B49CA"/>
    <w:rsid w:val="000C4E25"/>
    <w:rsid w:val="000C67D9"/>
    <w:rsid w:val="000C7021"/>
    <w:rsid w:val="000D064D"/>
    <w:rsid w:val="000D6BBC"/>
    <w:rsid w:val="000D7780"/>
    <w:rsid w:val="000E636A"/>
    <w:rsid w:val="000E7A75"/>
    <w:rsid w:val="000F250F"/>
    <w:rsid w:val="000F2F11"/>
    <w:rsid w:val="00104878"/>
    <w:rsid w:val="00105929"/>
    <w:rsid w:val="00110C36"/>
    <w:rsid w:val="001131D5"/>
    <w:rsid w:val="00141DB8"/>
    <w:rsid w:val="00172084"/>
    <w:rsid w:val="0017474A"/>
    <w:rsid w:val="001758C6"/>
    <w:rsid w:val="00181938"/>
    <w:rsid w:val="00182B99"/>
    <w:rsid w:val="00184FAA"/>
    <w:rsid w:val="00191B77"/>
    <w:rsid w:val="00195DD2"/>
    <w:rsid w:val="001A7309"/>
    <w:rsid w:val="001B4D3B"/>
    <w:rsid w:val="001C1525"/>
    <w:rsid w:val="001C29A3"/>
    <w:rsid w:val="001F0A16"/>
    <w:rsid w:val="001F64D8"/>
    <w:rsid w:val="00202E8D"/>
    <w:rsid w:val="0021332C"/>
    <w:rsid w:val="00213982"/>
    <w:rsid w:val="00214C72"/>
    <w:rsid w:val="0022778F"/>
    <w:rsid w:val="002422C8"/>
    <w:rsid w:val="0024416D"/>
    <w:rsid w:val="00256BFA"/>
    <w:rsid w:val="0027034F"/>
    <w:rsid w:val="00271911"/>
    <w:rsid w:val="0027272E"/>
    <w:rsid w:val="002800A0"/>
    <w:rsid w:val="002801B3"/>
    <w:rsid w:val="00281060"/>
    <w:rsid w:val="002940E8"/>
    <w:rsid w:val="002944D2"/>
    <w:rsid w:val="00294751"/>
    <w:rsid w:val="002A6E50"/>
    <w:rsid w:val="002B4298"/>
    <w:rsid w:val="002B521A"/>
    <w:rsid w:val="002C256A"/>
    <w:rsid w:val="002C7C01"/>
    <w:rsid w:val="002E0F20"/>
    <w:rsid w:val="00305A7F"/>
    <w:rsid w:val="003152FE"/>
    <w:rsid w:val="00316B0C"/>
    <w:rsid w:val="00327436"/>
    <w:rsid w:val="00344BD6"/>
    <w:rsid w:val="0035528D"/>
    <w:rsid w:val="00361821"/>
    <w:rsid w:val="00361E9E"/>
    <w:rsid w:val="00380AD5"/>
    <w:rsid w:val="0039633A"/>
    <w:rsid w:val="003A5EC7"/>
    <w:rsid w:val="003B186E"/>
    <w:rsid w:val="003B7F3C"/>
    <w:rsid w:val="003C7FBE"/>
    <w:rsid w:val="003D0EB7"/>
    <w:rsid w:val="003D227C"/>
    <w:rsid w:val="003D2B4D"/>
    <w:rsid w:val="003F5F2B"/>
    <w:rsid w:val="00415530"/>
    <w:rsid w:val="00444A88"/>
    <w:rsid w:val="00474DA4"/>
    <w:rsid w:val="00476B4D"/>
    <w:rsid w:val="004805FA"/>
    <w:rsid w:val="00480E30"/>
    <w:rsid w:val="004935D2"/>
    <w:rsid w:val="004975B4"/>
    <w:rsid w:val="004A086C"/>
    <w:rsid w:val="004B1215"/>
    <w:rsid w:val="004B4CDA"/>
    <w:rsid w:val="004D047D"/>
    <w:rsid w:val="004E031E"/>
    <w:rsid w:val="004E3225"/>
    <w:rsid w:val="004F1E9E"/>
    <w:rsid w:val="004F305A"/>
    <w:rsid w:val="004F43A6"/>
    <w:rsid w:val="004F45B7"/>
    <w:rsid w:val="005042AF"/>
    <w:rsid w:val="00512164"/>
    <w:rsid w:val="00520297"/>
    <w:rsid w:val="005338F9"/>
    <w:rsid w:val="0053502B"/>
    <w:rsid w:val="00541668"/>
    <w:rsid w:val="0054281C"/>
    <w:rsid w:val="00544581"/>
    <w:rsid w:val="0055268D"/>
    <w:rsid w:val="00565C8C"/>
    <w:rsid w:val="00576BE4"/>
    <w:rsid w:val="00587EB0"/>
    <w:rsid w:val="005A400A"/>
    <w:rsid w:val="005B0157"/>
    <w:rsid w:val="005C3142"/>
    <w:rsid w:val="005D1FEE"/>
    <w:rsid w:val="005E1F43"/>
    <w:rsid w:val="005F7B92"/>
    <w:rsid w:val="00602922"/>
    <w:rsid w:val="0061050E"/>
    <w:rsid w:val="00612379"/>
    <w:rsid w:val="00612488"/>
    <w:rsid w:val="006153B6"/>
    <w:rsid w:val="0061555F"/>
    <w:rsid w:val="00630971"/>
    <w:rsid w:val="00630AF6"/>
    <w:rsid w:val="00636CA6"/>
    <w:rsid w:val="00641200"/>
    <w:rsid w:val="00645CA8"/>
    <w:rsid w:val="006655D3"/>
    <w:rsid w:val="00667404"/>
    <w:rsid w:val="0067303E"/>
    <w:rsid w:val="006850E3"/>
    <w:rsid w:val="00687EB4"/>
    <w:rsid w:val="00695C56"/>
    <w:rsid w:val="00695E22"/>
    <w:rsid w:val="006A5CDE"/>
    <w:rsid w:val="006A5FC5"/>
    <w:rsid w:val="006A644A"/>
    <w:rsid w:val="006B17D2"/>
    <w:rsid w:val="006B3E1A"/>
    <w:rsid w:val="006C224E"/>
    <w:rsid w:val="006D780A"/>
    <w:rsid w:val="006E3734"/>
    <w:rsid w:val="006E5C45"/>
    <w:rsid w:val="007111B2"/>
    <w:rsid w:val="0071271E"/>
    <w:rsid w:val="00717A8E"/>
    <w:rsid w:val="00732DEC"/>
    <w:rsid w:val="00735BD5"/>
    <w:rsid w:val="00741658"/>
    <w:rsid w:val="007451EC"/>
    <w:rsid w:val="00751613"/>
    <w:rsid w:val="007556F6"/>
    <w:rsid w:val="00760EEF"/>
    <w:rsid w:val="00766E97"/>
    <w:rsid w:val="00777EE5"/>
    <w:rsid w:val="00782255"/>
    <w:rsid w:val="00784836"/>
    <w:rsid w:val="0079023E"/>
    <w:rsid w:val="00792504"/>
    <w:rsid w:val="007A2854"/>
    <w:rsid w:val="007C1D92"/>
    <w:rsid w:val="007C3C19"/>
    <w:rsid w:val="007C4CB9"/>
    <w:rsid w:val="007D0B9D"/>
    <w:rsid w:val="007D19B0"/>
    <w:rsid w:val="007D2E34"/>
    <w:rsid w:val="007D4635"/>
    <w:rsid w:val="007F498F"/>
    <w:rsid w:val="0080679D"/>
    <w:rsid w:val="00807CB1"/>
    <w:rsid w:val="008108B0"/>
    <w:rsid w:val="00810A9A"/>
    <w:rsid w:val="00811B20"/>
    <w:rsid w:val="008211B5"/>
    <w:rsid w:val="0082296E"/>
    <w:rsid w:val="00824099"/>
    <w:rsid w:val="00846D7C"/>
    <w:rsid w:val="00867AC1"/>
    <w:rsid w:val="00884300"/>
    <w:rsid w:val="00890DF8"/>
    <w:rsid w:val="008966F7"/>
    <w:rsid w:val="0089704D"/>
    <w:rsid w:val="008A41A6"/>
    <w:rsid w:val="008A48B2"/>
    <w:rsid w:val="008A743F"/>
    <w:rsid w:val="008C0970"/>
    <w:rsid w:val="008C788B"/>
    <w:rsid w:val="008D0BC5"/>
    <w:rsid w:val="008D2CF7"/>
    <w:rsid w:val="00900C26"/>
    <w:rsid w:val="0090197F"/>
    <w:rsid w:val="00903264"/>
    <w:rsid w:val="00906DDC"/>
    <w:rsid w:val="009124F3"/>
    <w:rsid w:val="00914635"/>
    <w:rsid w:val="00934E09"/>
    <w:rsid w:val="00936253"/>
    <w:rsid w:val="00940819"/>
    <w:rsid w:val="00940D46"/>
    <w:rsid w:val="0094332F"/>
    <w:rsid w:val="00952DD4"/>
    <w:rsid w:val="00965AE7"/>
    <w:rsid w:val="009663C2"/>
    <w:rsid w:val="00970FED"/>
    <w:rsid w:val="009907C5"/>
    <w:rsid w:val="00992D82"/>
    <w:rsid w:val="0099612E"/>
    <w:rsid w:val="00997029"/>
    <w:rsid w:val="009A1C33"/>
    <w:rsid w:val="009A21B9"/>
    <w:rsid w:val="009A2EF3"/>
    <w:rsid w:val="009A4E77"/>
    <w:rsid w:val="009A614A"/>
    <w:rsid w:val="009A7339"/>
    <w:rsid w:val="009B2162"/>
    <w:rsid w:val="009B440E"/>
    <w:rsid w:val="009D162E"/>
    <w:rsid w:val="009D690D"/>
    <w:rsid w:val="009E65B6"/>
    <w:rsid w:val="009F77CF"/>
    <w:rsid w:val="00A06E76"/>
    <w:rsid w:val="00A20071"/>
    <w:rsid w:val="00A23A7B"/>
    <w:rsid w:val="00A24C10"/>
    <w:rsid w:val="00A3365A"/>
    <w:rsid w:val="00A42AC3"/>
    <w:rsid w:val="00A430CF"/>
    <w:rsid w:val="00A54309"/>
    <w:rsid w:val="00A56DAF"/>
    <w:rsid w:val="00A8283B"/>
    <w:rsid w:val="00AA1410"/>
    <w:rsid w:val="00AB2B93"/>
    <w:rsid w:val="00AB530F"/>
    <w:rsid w:val="00AB7E5B"/>
    <w:rsid w:val="00AC2883"/>
    <w:rsid w:val="00AD13BD"/>
    <w:rsid w:val="00AE0EF1"/>
    <w:rsid w:val="00AE2937"/>
    <w:rsid w:val="00AE6CAF"/>
    <w:rsid w:val="00AE7C50"/>
    <w:rsid w:val="00B05240"/>
    <w:rsid w:val="00B07301"/>
    <w:rsid w:val="00B07900"/>
    <w:rsid w:val="00B11F3E"/>
    <w:rsid w:val="00B141A2"/>
    <w:rsid w:val="00B212B3"/>
    <w:rsid w:val="00B224DE"/>
    <w:rsid w:val="00B324D4"/>
    <w:rsid w:val="00B43485"/>
    <w:rsid w:val="00B46575"/>
    <w:rsid w:val="00B5756B"/>
    <w:rsid w:val="00B61777"/>
    <w:rsid w:val="00B62624"/>
    <w:rsid w:val="00B708A5"/>
    <w:rsid w:val="00B84BBD"/>
    <w:rsid w:val="00BA43FB"/>
    <w:rsid w:val="00BA6D9A"/>
    <w:rsid w:val="00BB1583"/>
    <w:rsid w:val="00BB50C5"/>
    <w:rsid w:val="00BB6643"/>
    <w:rsid w:val="00BB7F69"/>
    <w:rsid w:val="00BC127D"/>
    <w:rsid w:val="00BC1FE6"/>
    <w:rsid w:val="00BF0B0F"/>
    <w:rsid w:val="00BF490B"/>
    <w:rsid w:val="00C061B6"/>
    <w:rsid w:val="00C07AF9"/>
    <w:rsid w:val="00C16393"/>
    <w:rsid w:val="00C1787D"/>
    <w:rsid w:val="00C23EC2"/>
    <w:rsid w:val="00C2446C"/>
    <w:rsid w:val="00C315A0"/>
    <w:rsid w:val="00C36AE5"/>
    <w:rsid w:val="00C41F17"/>
    <w:rsid w:val="00C4352D"/>
    <w:rsid w:val="00C527FA"/>
    <w:rsid w:val="00C5280D"/>
    <w:rsid w:val="00C53EB3"/>
    <w:rsid w:val="00C5791C"/>
    <w:rsid w:val="00C66290"/>
    <w:rsid w:val="00C72B7A"/>
    <w:rsid w:val="00C821C8"/>
    <w:rsid w:val="00C91A30"/>
    <w:rsid w:val="00C973F2"/>
    <w:rsid w:val="00CA304C"/>
    <w:rsid w:val="00CA42FA"/>
    <w:rsid w:val="00CA774A"/>
    <w:rsid w:val="00CB4522"/>
    <w:rsid w:val="00CC11B0"/>
    <w:rsid w:val="00CC2841"/>
    <w:rsid w:val="00CD0F11"/>
    <w:rsid w:val="00CF1330"/>
    <w:rsid w:val="00CF7E36"/>
    <w:rsid w:val="00D131B7"/>
    <w:rsid w:val="00D14E8F"/>
    <w:rsid w:val="00D2444E"/>
    <w:rsid w:val="00D24A6C"/>
    <w:rsid w:val="00D3708D"/>
    <w:rsid w:val="00D40426"/>
    <w:rsid w:val="00D57C96"/>
    <w:rsid w:val="00D57D18"/>
    <w:rsid w:val="00D72856"/>
    <w:rsid w:val="00D73539"/>
    <w:rsid w:val="00D74D5D"/>
    <w:rsid w:val="00D91203"/>
    <w:rsid w:val="00D95174"/>
    <w:rsid w:val="00DA4973"/>
    <w:rsid w:val="00DA6F36"/>
    <w:rsid w:val="00DB2BDB"/>
    <w:rsid w:val="00DB2EB5"/>
    <w:rsid w:val="00DB596E"/>
    <w:rsid w:val="00DB7773"/>
    <w:rsid w:val="00DC00EA"/>
    <w:rsid w:val="00DC3802"/>
    <w:rsid w:val="00DD5AB0"/>
    <w:rsid w:val="00E07D87"/>
    <w:rsid w:val="00E11AC8"/>
    <w:rsid w:val="00E11CE2"/>
    <w:rsid w:val="00E12538"/>
    <w:rsid w:val="00E23559"/>
    <w:rsid w:val="00E3098E"/>
    <w:rsid w:val="00E325A2"/>
    <w:rsid w:val="00E32F7E"/>
    <w:rsid w:val="00E42843"/>
    <w:rsid w:val="00E5267B"/>
    <w:rsid w:val="00E54696"/>
    <w:rsid w:val="00E578A3"/>
    <w:rsid w:val="00E57FD3"/>
    <w:rsid w:val="00E63C0E"/>
    <w:rsid w:val="00E6781F"/>
    <w:rsid w:val="00E67F5D"/>
    <w:rsid w:val="00E72D49"/>
    <w:rsid w:val="00E73557"/>
    <w:rsid w:val="00E7593C"/>
    <w:rsid w:val="00E7678A"/>
    <w:rsid w:val="00E77F58"/>
    <w:rsid w:val="00E84FCE"/>
    <w:rsid w:val="00E8527B"/>
    <w:rsid w:val="00E935F1"/>
    <w:rsid w:val="00E948AB"/>
    <w:rsid w:val="00E94A81"/>
    <w:rsid w:val="00EA1FFB"/>
    <w:rsid w:val="00EB048E"/>
    <w:rsid w:val="00EB4E9C"/>
    <w:rsid w:val="00EE045D"/>
    <w:rsid w:val="00EE34DF"/>
    <w:rsid w:val="00EF2F89"/>
    <w:rsid w:val="00EF5FE8"/>
    <w:rsid w:val="00EF65E9"/>
    <w:rsid w:val="00F03E98"/>
    <w:rsid w:val="00F1237A"/>
    <w:rsid w:val="00F163A1"/>
    <w:rsid w:val="00F22CBD"/>
    <w:rsid w:val="00F272F1"/>
    <w:rsid w:val="00F45372"/>
    <w:rsid w:val="00F560F7"/>
    <w:rsid w:val="00F6334D"/>
    <w:rsid w:val="00F63599"/>
    <w:rsid w:val="00F6380E"/>
    <w:rsid w:val="00FA49AB"/>
    <w:rsid w:val="00FA7A1E"/>
    <w:rsid w:val="00FB361A"/>
    <w:rsid w:val="00FC34F0"/>
    <w:rsid w:val="00FC7CCC"/>
    <w:rsid w:val="00FD0F20"/>
    <w:rsid w:val="00FD3216"/>
    <w:rsid w:val="00FD3A90"/>
    <w:rsid w:val="00FE074A"/>
    <w:rsid w:val="00FE319F"/>
    <w:rsid w:val="00FE39C7"/>
    <w:rsid w:val="00FE3C8A"/>
    <w:rsid w:val="00FF4D07"/>
    <w:rsid w:val="00FF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9F16C30"/>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3D0EB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40819"/>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F45B7"/>
    <w:pPr>
      <w:ind w:left="720"/>
      <w:contextualSpacing/>
    </w:pPr>
  </w:style>
  <w:style w:type="character" w:customStyle="1" w:styleId="DecisionParagraphsChar">
    <w:name w:val="DecisionParagraphs Char"/>
    <w:basedOn w:val="DefaultParagraphFont"/>
    <w:link w:val="DecisionParagraphs"/>
    <w:rsid w:val="004F45B7"/>
    <w:rPr>
      <w:rFonts w:ascii="Arial" w:hAnsi="Arial"/>
      <w:i/>
    </w:rPr>
  </w:style>
  <w:style w:type="character" w:customStyle="1" w:styleId="HeaderChar">
    <w:name w:val="Header Char"/>
    <w:link w:val="Header"/>
    <w:rsid w:val="004F45B7"/>
    <w:rPr>
      <w:rFonts w:ascii="Arial" w:hAnsi="Arial"/>
      <w:lang w:val="fr-FR"/>
    </w:rPr>
  </w:style>
  <w:style w:type="table" w:styleId="TableGrid">
    <w:name w:val="Table Grid"/>
    <w:basedOn w:val="TableNormal"/>
    <w:rsid w:val="004F4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4F45B7"/>
    <w:pPr>
      <w:numPr>
        <w:numId w:val="2"/>
      </w:numPr>
      <w:contextualSpacing/>
    </w:pPr>
  </w:style>
  <w:style w:type="character" w:styleId="FollowedHyperlink">
    <w:name w:val="FollowedHyperlink"/>
    <w:basedOn w:val="DefaultParagraphFont"/>
    <w:rsid w:val="004F45B7"/>
    <w:rPr>
      <w:color w:val="800080" w:themeColor="followedHyperlink"/>
      <w:u w:val="single"/>
    </w:rPr>
  </w:style>
  <w:style w:type="character" w:customStyle="1" w:styleId="Heading6Char">
    <w:name w:val="Heading 6 Char"/>
    <w:basedOn w:val="DefaultParagraphFont"/>
    <w:link w:val="Heading6"/>
    <w:semiHidden/>
    <w:rsid w:val="003D0EB7"/>
    <w:rPr>
      <w:rFonts w:asciiTheme="majorHAnsi" w:eastAsiaTheme="majorEastAsia" w:hAnsiTheme="majorHAnsi" w:cstheme="majorBidi"/>
      <w:color w:val="243F60" w:themeColor="accent1" w:themeShade="7F"/>
    </w:rPr>
  </w:style>
  <w:style w:type="character" w:customStyle="1" w:styleId="Heading4Char">
    <w:name w:val="Heading 4 Char"/>
    <w:link w:val="Heading4"/>
    <w:rsid w:val="003D0EB7"/>
    <w:rPr>
      <w:rFonts w:ascii="Arial" w:hAnsi="Arial"/>
      <w:u w:val="single"/>
      <w:lang w:val="fr-FR"/>
    </w:rPr>
  </w:style>
  <w:style w:type="table" w:customStyle="1" w:styleId="TableGrid2">
    <w:name w:val="Table Grid2"/>
    <w:basedOn w:val="TableNormal"/>
    <w:next w:val="TableGrid"/>
    <w:uiPriority w:val="59"/>
    <w:rsid w:val="00E67F5D"/>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7F5D"/>
    <w:rPr>
      <w:rFonts w:ascii="Arial" w:hAnsi="Arial"/>
      <w:i/>
    </w:rPr>
  </w:style>
  <w:style w:type="character" w:customStyle="1" w:styleId="EndnoteTextChar">
    <w:name w:val="Endnote Text Char"/>
    <w:basedOn w:val="DefaultParagraphFont"/>
    <w:link w:val="EndnoteText"/>
    <w:semiHidden/>
    <w:rsid w:val="009D16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ov.int/meetings/en/doc_details.jsp?meeting_id=42485&amp;doc_id=369923" TargetMode="External"/><Relationship Id="rId18" Type="http://schemas.openxmlformats.org/officeDocument/2006/relationships/hyperlink" Target="https://www.upov.int/edocs/mdocs/upov/en/caj_75/caj_75_14.pdf"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hyperlink" Target="https://www.upov.int/edocs/mdocs/upov/en/tc_54/tc_54_31.pdf" TargetMode="External"/><Relationship Id="rId17" Type="http://schemas.openxmlformats.org/officeDocument/2006/relationships/hyperlink" Target="https://www.upov.int/edocs/mdocs/upov/en/tc_54/tc_54_31.pdf"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upov.int/edocs/mdocs/upov/en/tc_54/tc_54_31.pdf" TargetMode="External"/><Relationship Id="rId20"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c_54/tc_54_31.pdf" TargetMode="External"/><Relationship Id="rId24" Type="http://schemas.openxmlformats.org/officeDocument/2006/relationships/header" Target="header6.xml"/><Relationship Id="rId32" Type="http://schemas.openxmlformats.org/officeDocument/2006/relationships/image" Target="media/image9.wmf"/><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pov.int/edocs/mdocs/upov/en/tc_54/tc_54_31.pdf" TargetMode="External"/><Relationship Id="rId23" Type="http://schemas.openxmlformats.org/officeDocument/2006/relationships/header" Target="header5.xml"/><Relationship Id="rId28" Type="http://schemas.openxmlformats.org/officeDocument/2006/relationships/image" Target="media/image5.wmf"/><Relationship Id="rId36" Type="http://schemas.openxmlformats.org/officeDocument/2006/relationships/header" Target="header8.xml"/><Relationship Id="rId10" Type="http://schemas.openxmlformats.org/officeDocument/2006/relationships/hyperlink" Target="https://www.upov.int/edocs/mdocs/upov/en/tc_53/tc_53_31.pdf" TargetMode="External"/><Relationship Id="rId19" Type="http://schemas.openxmlformats.org/officeDocument/2006/relationships/header" Target="header1.xm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www.upov.int/edocs/mdocs/upov/en/tc_54/tc_54_31.pdf" TargetMode="External"/><Relationship Id="rId14" Type="http://schemas.openxmlformats.org/officeDocument/2006/relationships/hyperlink" Target="https://www.upov.int/edocs/mdocs/upov/en/tc_54/tc_54_31.pdf" TargetMode="External"/><Relationship Id="rId22" Type="http://schemas.openxmlformats.org/officeDocument/2006/relationships/header" Target="header4.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6D6-0FA8-4C34-BF6F-9871857D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95</TotalTime>
  <Pages>15</Pages>
  <Words>6246</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C/53/3</vt:lpstr>
    </vt:vector>
  </TitlesOfParts>
  <Company>UPOV</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C/53/3</dc:title>
  <dc:creator>SANCHEZ VIZCAINO GOMEZ Rosa Maria</dc:creator>
  <cp:lastModifiedBy>SANCHEZ VIZCAINO GOMEZ Rosa Maria</cp:lastModifiedBy>
  <cp:revision>32</cp:revision>
  <cp:lastPrinted>2019-08-01T14:19:00Z</cp:lastPrinted>
  <dcterms:created xsi:type="dcterms:W3CDTF">2019-07-09T14:17:00Z</dcterms:created>
  <dcterms:modified xsi:type="dcterms:W3CDTF">2019-08-02T12:45:00Z</dcterms:modified>
</cp:coreProperties>
</file>