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0B6848" w:rsidRPr="00815738" w:rsidTr="000B6848">
        <w:trPr>
          <w:trHeight w:val="288"/>
        </w:trPr>
        <w:tc>
          <w:tcPr>
            <w:tcW w:w="6522" w:type="dxa"/>
          </w:tcPr>
          <w:p w:rsidR="000B6848" w:rsidRPr="00AC2883" w:rsidRDefault="000B6848" w:rsidP="0083248D">
            <w:r w:rsidRPr="00D250C5">
              <w:rPr>
                <w:noProof/>
              </w:rPr>
              <w:drawing>
                <wp:inline distT="0" distB="0" distL="0" distR="0" wp14:anchorId="3B3DEC44" wp14:editId="519DCCAF">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0B6848" w:rsidRPr="000B6848" w:rsidRDefault="000B6848" w:rsidP="0083248D">
            <w:pPr>
              <w:pStyle w:val="Lettrine"/>
              <w:rPr>
                <w:szCs w:val="36"/>
              </w:rPr>
            </w:pPr>
            <w:r w:rsidRPr="000B6848">
              <w:rPr>
                <w:szCs w:val="36"/>
              </w:rPr>
              <w:t>E</w:t>
            </w:r>
          </w:p>
        </w:tc>
      </w:tr>
      <w:tr w:rsidR="000B6848" w:rsidRPr="00DA4973" w:rsidTr="0083248D">
        <w:trPr>
          <w:trHeight w:val="219"/>
        </w:trPr>
        <w:tc>
          <w:tcPr>
            <w:tcW w:w="6522" w:type="dxa"/>
          </w:tcPr>
          <w:p w:rsidR="000B6848" w:rsidRPr="000B6848" w:rsidRDefault="000B6848" w:rsidP="000B6848">
            <w:pPr>
              <w:pStyle w:val="upove"/>
              <w:jc w:val="left"/>
              <w:rPr>
                <w:b/>
                <w:szCs w:val="16"/>
              </w:rPr>
            </w:pPr>
            <w:r w:rsidRPr="000B6848">
              <w:rPr>
                <w:szCs w:val="16"/>
              </w:rPr>
              <w:t>International Union for the Protection of New Varieties of Plants</w:t>
            </w:r>
          </w:p>
        </w:tc>
        <w:tc>
          <w:tcPr>
            <w:tcW w:w="3117" w:type="dxa"/>
          </w:tcPr>
          <w:p w:rsidR="000B6848" w:rsidRPr="00DA4973" w:rsidRDefault="000B6848" w:rsidP="0083248D"/>
        </w:tc>
      </w:tr>
    </w:tbl>
    <w:p w:rsidR="000B6848" w:rsidRDefault="000B6848" w:rsidP="000B6848"/>
    <w:p w:rsidR="000B6848" w:rsidRPr="00365DC1" w:rsidRDefault="000B6848" w:rsidP="000B6848"/>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0B6848" w:rsidRPr="00C5280D" w:rsidTr="0083248D">
        <w:tc>
          <w:tcPr>
            <w:tcW w:w="6512" w:type="dxa"/>
          </w:tcPr>
          <w:p w:rsidR="000B6848" w:rsidRPr="00DF70DA" w:rsidRDefault="000B6848" w:rsidP="000238B3">
            <w:pPr>
              <w:pStyle w:val="Sessiontc"/>
            </w:pPr>
            <w:r w:rsidRPr="00DF70DA">
              <w:t>Council</w:t>
            </w:r>
          </w:p>
          <w:p w:rsidR="000B6848" w:rsidRPr="00DF70DA" w:rsidRDefault="000B6848" w:rsidP="000B6848">
            <w:pPr>
              <w:pStyle w:val="Sessiontcplacedate"/>
              <w:rPr>
                <w:sz w:val="22"/>
              </w:rPr>
            </w:pPr>
            <w:r w:rsidRPr="00DF70DA">
              <w:t>Fifty-Second Ordinary Session</w:t>
            </w:r>
            <w:r w:rsidRPr="00DF70DA">
              <w:br/>
              <w:t>Geneva, November 2, 2018</w:t>
            </w:r>
          </w:p>
        </w:tc>
        <w:tc>
          <w:tcPr>
            <w:tcW w:w="3127" w:type="dxa"/>
          </w:tcPr>
          <w:p w:rsidR="000B6848" w:rsidRPr="00DF70DA" w:rsidRDefault="000B6848" w:rsidP="000238B3">
            <w:pPr>
              <w:pStyle w:val="Doccode"/>
            </w:pPr>
            <w:r w:rsidRPr="00DF70DA">
              <w:t>C/52/4</w:t>
            </w:r>
          </w:p>
          <w:p w:rsidR="000B6848" w:rsidRPr="00DF70DA" w:rsidRDefault="000B6848" w:rsidP="000238B3">
            <w:pPr>
              <w:pStyle w:val="Docoriginal"/>
              <w:rPr>
                <w:rStyle w:val="Doclang"/>
              </w:rPr>
            </w:pPr>
            <w:r w:rsidRPr="00DF70DA">
              <w:rPr>
                <w:lang w:val="en-US"/>
              </w:rPr>
              <w:t>Original:</w:t>
            </w:r>
            <w:r w:rsidRPr="00DF70DA">
              <w:rPr>
                <w:b w:val="0"/>
                <w:spacing w:val="0"/>
                <w:lang w:val="en-US"/>
              </w:rPr>
              <w:t xml:space="preserve">  English</w:t>
            </w:r>
          </w:p>
          <w:p w:rsidR="000B6848" w:rsidRPr="000238B3" w:rsidRDefault="000B6848" w:rsidP="00DF70DA">
            <w:pPr>
              <w:pStyle w:val="Docoriginal"/>
              <w:rPr>
                <w:lang w:val="en-US"/>
              </w:rPr>
            </w:pPr>
            <w:r w:rsidRPr="00DF70DA">
              <w:rPr>
                <w:lang w:val="en-US"/>
              </w:rPr>
              <w:t>Date:</w:t>
            </w:r>
            <w:r w:rsidRPr="00DF70DA">
              <w:rPr>
                <w:b w:val="0"/>
                <w:spacing w:val="0"/>
                <w:lang w:val="en-US"/>
              </w:rPr>
              <w:t xml:space="preserve">  </w:t>
            </w:r>
            <w:r w:rsidR="00CA0410" w:rsidRPr="00DF70DA">
              <w:rPr>
                <w:b w:val="0"/>
                <w:spacing w:val="0"/>
                <w:lang w:val="en-US"/>
              </w:rPr>
              <w:t xml:space="preserve">August </w:t>
            </w:r>
            <w:r w:rsidR="006B621B" w:rsidRPr="00DF70DA">
              <w:rPr>
                <w:b w:val="0"/>
                <w:spacing w:val="0"/>
                <w:lang w:val="en-US"/>
              </w:rPr>
              <w:t>2</w:t>
            </w:r>
            <w:r w:rsidR="00DF70DA" w:rsidRPr="00DF70DA">
              <w:rPr>
                <w:b w:val="0"/>
                <w:spacing w:val="0"/>
                <w:lang w:val="en-US"/>
              </w:rPr>
              <w:t>9</w:t>
            </w:r>
            <w:r w:rsidRPr="00DF70DA">
              <w:rPr>
                <w:b w:val="0"/>
                <w:spacing w:val="0"/>
                <w:lang w:val="en-US"/>
              </w:rPr>
              <w:t>, 2018</w:t>
            </w:r>
          </w:p>
        </w:tc>
      </w:tr>
    </w:tbl>
    <w:p w:rsidR="000B6848" w:rsidRPr="000B6848" w:rsidRDefault="000B6848" w:rsidP="000B6848">
      <w:pPr>
        <w:pStyle w:val="Titleofdoc0"/>
        <w:jc w:val="left"/>
        <w:rPr>
          <w:b/>
        </w:rPr>
      </w:pPr>
      <w:bookmarkStart w:id="0" w:name="TitleOfDoc"/>
      <w:bookmarkEnd w:id="0"/>
      <w:r w:rsidRPr="000B6848">
        <w:rPr>
          <w:b/>
        </w:rPr>
        <w:t>FINANCIAL MANAGEMENT REPORT FOR THE 2016-2017 BIENNIUM</w:t>
      </w:r>
    </w:p>
    <w:p w:rsidR="000B6848" w:rsidRPr="006A644A" w:rsidRDefault="000B6848" w:rsidP="000B6848">
      <w:pPr>
        <w:pStyle w:val="preparedby1"/>
        <w:spacing w:after="240"/>
        <w:jc w:val="left"/>
      </w:pPr>
      <w:bookmarkStart w:id="1" w:name="Prepared"/>
      <w:bookmarkEnd w:id="1"/>
      <w:r w:rsidRPr="000C4E25">
        <w:t>Document prepared by the Office of the Union</w:t>
      </w:r>
    </w:p>
    <w:p w:rsidR="000B6848" w:rsidRPr="006A644A" w:rsidRDefault="000B6848" w:rsidP="000B6848">
      <w:pPr>
        <w:pStyle w:val="Disclaimer"/>
      </w:pPr>
      <w:r w:rsidRPr="006A644A">
        <w:t>Disclaimer:  this document does not represent UPOV policies or guidance</w:t>
      </w:r>
    </w:p>
    <w:p w:rsidR="000B6848" w:rsidRPr="00957875" w:rsidRDefault="000B6848" w:rsidP="000B6848">
      <w:pPr>
        <w:rPr>
          <w:rFonts w:cs="Arial"/>
          <w:snapToGrid w:val="0"/>
        </w:rPr>
      </w:pPr>
      <w:r w:rsidRPr="00957875">
        <w:rPr>
          <w:rFonts w:cs="Arial"/>
          <w:caps/>
          <w:snapToGrid w:val="0"/>
        </w:rPr>
        <w:fldChar w:fldCharType="begin"/>
      </w:r>
      <w:r w:rsidRPr="00957875">
        <w:rPr>
          <w:rFonts w:cs="Arial"/>
          <w:caps/>
          <w:snapToGrid w:val="0"/>
        </w:rPr>
        <w:instrText xml:space="preserve"> AUTONUM  </w:instrText>
      </w:r>
      <w:r w:rsidRPr="00957875">
        <w:rPr>
          <w:rFonts w:cs="Arial"/>
          <w:caps/>
          <w:snapToGrid w:val="0"/>
        </w:rPr>
        <w:fldChar w:fldCharType="end"/>
      </w:r>
      <w:r w:rsidRPr="00957875">
        <w:rPr>
          <w:rFonts w:cs="Arial"/>
          <w:caps/>
          <w:snapToGrid w:val="0"/>
        </w:rPr>
        <w:tab/>
      </w:r>
      <w:r w:rsidRPr="00957875">
        <w:rPr>
          <w:rFonts w:cs="Arial"/>
          <w:snapToGrid w:val="0"/>
        </w:rPr>
        <w:t>The Annex to this document contains the Financial Management Report (FMR) of the International Union for the Protection of New Varieties of Plants (UPOV) for the 201</w:t>
      </w:r>
      <w:r>
        <w:rPr>
          <w:rFonts w:cs="Arial"/>
          <w:snapToGrid w:val="0"/>
        </w:rPr>
        <w:t>6</w:t>
      </w:r>
      <w:r w:rsidRPr="00957875">
        <w:rPr>
          <w:rFonts w:cs="Arial"/>
          <w:snapToGrid w:val="0"/>
        </w:rPr>
        <w:t>-201</w:t>
      </w:r>
      <w:r>
        <w:rPr>
          <w:rFonts w:cs="Arial"/>
          <w:snapToGrid w:val="0"/>
        </w:rPr>
        <w:t>7</w:t>
      </w:r>
      <w:r w:rsidRPr="00957875">
        <w:rPr>
          <w:rFonts w:cs="Arial"/>
          <w:snapToGrid w:val="0"/>
        </w:rPr>
        <w:t xml:space="preserve"> Biennium, in accordance with Regulations 6.6 and 6.7 of the Financial Regulations and Rules of UPOV (FRR) (see document UPOV/INF/4/4 “Financial Regulations and Rules of UPOV”), for approval by the Council</w:t>
      </w:r>
      <w:r>
        <w:rPr>
          <w:rFonts w:cs="Arial"/>
          <w:snapToGrid w:val="0"/>
        </w:rPr>
        <w:t>.</w:t>
      </w:r>
    </w:p>
    <w:p w:rsidR="000B6848" w:rsidRPr="00957875" w:rsidRDefault="000B6848" w:rsidP="000B6848">
      <w:pPr>
        <w:rPr>
          <w:rFonts w:cs="Arial"/>
          <w:snapToGrid w:val="0"/>
        </w:rPr>
      </w:pPr>
    </w:p>
    <w:p w:rsidR="000B6848" w:rsidRPr="00957875" w:rsidRDefault="000B6848" w:rsidP="000B6848">
      <w:pPr>
        <w:rPr>
          <w:rFonts w:cs="Arial"/>
          <w:snapToGrid w:val="0"/>
        </w:rPr>
      </w:pPr>
      <w:r w:rsidRPr="00957875">
        <w:rPr>
          <w:rFonts w:cs="Arial"/>
          <w:snapToGrid w:val="0"/>
        </w:rPr>
        <w:fldChar w:fldCharType="begin"/>
      </w:r>
      <w:r w:rsidRPr="00957875">
        <w:rPr>
          <w:rFonts w:cs="Arial"/>
          <w:snapToGrid w:val="0"/>
        </w:rPr>
        <w:instrText xml:space="preserve"> AUTONUM  </w:instrText>
      </w:r>
      <w:r w:rsidRPr="00957875">
        <w:rPr>
          <w:rFonts w:cs="Arial"/>
          <w:snapToGrid w:val="0"/>
        </w:rPr>
        <w:fldChar w:fldCharType="end"/>
      </w:r>
      <w:r w:rsidRPr="00957875">
        <w:rPr>
          <w:rFonts w:cs="Arial"/>
          <w:snapToGrid w:val="0"/>
        </w:rPr>
        <w:tab/>
        <w:t xml:space="preserve">The FMR is not subject to an external audit. </w:t>
      </w:r>
    </w:p>
    <w:p w:rsidR="000B6848" w:rsidRPr="00957875" w:rsidRDefault="000B6848" w:rsidP="000B6848">
      <w:pPr>
        <w:rPr>
          <w:rFonts w:cs="Arial"/>
          <w:snapToGrid w:val="0"/>
        </w:rPr>
      </w:pPr>
    </w:p>
    <w:p w:rsidR="000B6848" w:rsidRPr="00957875" w:rsidRDefault="000B6848" w:rsidP="000B6848">
      <w:pPr>
        <w:rPr>
          <w:rFonts w:cs="Arial"/>
          <w:snapToGrid w:val="0"/>
        </w:rPr>
      </w:pPr>
      <w:r w:rsidRPr="00957875">
        <w:rPr>
          <w:rFonts w:cs="Arial"/>
          <w:snapToGrid w:val="0"/>
        </w:rPr>
        <w:fldChar w:fldCharType="begin"/>
      </w:r>
      <w:r w:rsidRPr="00957875">
        <w:rPr>
          <w:rFonts w:cs="Arial"/>
          <w:snapToGrid w:val="0"/>
        </w:rPr>
        <w:instrText xml:space="preserve"> AUTONUM  </w:instrText>
      </w:r>
      <w:r w:rsidRPr="00957875">
        <w:rPr>
          <w:rFonts w:cs="Arial"/>
          <w:snapToGrid w:val="0"/>
        </w:rPr>
        <w:fldChar w:fldCharType="end"/>
      </w:r>
      <w:r w:rsidRPr="00957875">
        <w:rPr>
          <w:rFonts w:cs="Arial"/>
          <w:snapToGrid w:val="0"/>
        </w:rPr>
        <w:tab/>
        <w:t xml:space="preserve">Regulations 6.6 and 6.7 of the FRR state as follows: </w:t>
      </w:r>
    </w:p>
    <w:p w:rsidR="000B6848" w:rsidRPr="00957875" w:rsidRDefault="000B6848" w:rsidP="000B6848">
      <w:pPr>
        <w:rPr>
          <w:rFonts w:cs="Arial"/>
          <w:snapToGrid w:val="0"/>
        </w:rPr>
      </w:pPr>
    </w:p>
    <w:p w:rsidR="000B6848" w:rsidRPr="00957875" w:rsidRDefault="000B6848" w:rsidP="000B6848">
      <w:pPr>
        <w:ind w:left="567"/>
        <w:rPr>
          <w:rFonts w:cs="Arial"/>
          <w:b/>
          <w:sz w:val="18"/>
        </w:rPr>
      </w:pPr>
      <w:r w:rsidRPr="00957875">
        <w:rPr>
          <w:rFonts w:cs="Arial"/>
          <w:sz w:val="18"/>
        </w:rPr>
        <w:t>“</w:t>
      </w:r>
      <w:r w:rsidRPr="00957875">
        <w:rPr>
          <w:rFonts w:cs="Arial"/>
          <w:b/>
          <w:sz w:val="18"/>
        </w:rPr>
        <w:t>Regulation 6.6</w:t>
      </w:r>
    </w:p>
    <w:p w:rsidR="000B6848" w:rsidRPr="00957875" w:rsidRDefault="000B6848" w:rsidP="000B6848">
      <w:pPr>
        <w:ind w:left="567"/>
        <w:rPr>
          <w:rFonts w:cs="Arial"/>
          <w:snapToGrid w:val="0"/>
          <w:sz w:val="18"/>
        </w:rPr>
      </w:pPr>
    </w:p>
    <w:p w:rsidR="000B6848" w:rsidRPr="00957875" w:rsidRDefault="000B6848" w:rsidP="000B6848">
      <w:pPr>
        <w:ind w:left="567"/>
        <w:rPr>
          <w:rFonts w:cs="Arial"/>
          <w:snapToGrid w:val="0"/>
        </w:rPr>
      </w:pPr>
      <w:r w:rsidRPr="00957875">
        <w:rPr>
          <w:rFonts w:cs="Arial"/>
          <w:snapToGrid w:val="0"/>
        </w:rPr>
        <w:t>“[…]</w:t>
      </w:r>
    </w:p>
    <w:p w:rsidR="000B6848" w:rsidRPr="00957875" w:rsidRDefault="000B6848" w:rsidP="000B6848">
      <w:pPr>
        <w:pStyle w:val="Inf4Heading6"/>
        <w:ind w:left="1134" w:right="567"/>
        <w:rPr>
          <w:rFonts w:cs="Arial"/>
          <w:sz w:val="18"/>
        </w:rPr>
      </w:pPr>
      <w:r w:rsidRPr="00957875">
        <w:rPr>
          <w:rFonts w:cs="Arial"/>
          <w:b w:val="0"/>
          <w:sz w:val="18"/>
        </w:rPr>
        <w:t>“</w:t>
      </w:r>
      <w:r w:rsidRPr="00957875">
        <w:rPr>
          <w:rFonts w:cs="Arial"/>
          <w:sz w:val="18"/>
        </w:rPr>
        <w:t>Rule 106.12</w:t>
      </w:r>
    </w:p>
    <w:p w:rsidR="000B6848" w:rsidRPr="00957875" w:rsidRDefault="000B6848" w:rsidP="000B6848">
      <w:pPr>
        <w:pStyle w:val="Inf4Normal"/>
        <w:ind w:left="1134" w:right="567"/>
        <w:rPr>
          <w:rFonts w:cs="Arial"/>
          <w:sz w:val="18"/>
        </w:rPr>
      </w:pPr>
      <w:r w:rsidRPr="00957875">
        <w:rPr>
          <w:rFonts w:cs="Arial"/>
          <w:sz w:val="18"/>
        </w:rPr>
        <w:t>“[…]</w:t>
      </w:r>
    </w:p>
    <w:p w:rsidR="000B6848" w:rsidRPr="00957875" w:rsidRDefault="000B6848" w:rsidP="000B6848">
      <w:pPr>
        <w:pStyle w:val="Inf4Normal"/>
        <w:ind w:left="1134" w:right="567"/>
        <w:rPr>
          <w:rFonts w:cs="Arial"/>
          <w:sz w:val="18"/>
        </w:rPr>
      </w:pPr>
      <w:r w:rsidRPr="00957875">
        <w:rPr>
          <w:rFonts w:cs="Arial"/>
          <w:sz w:val="18"/>
        </w:rPr>
        <w:t>“(b)</w:t>
      </w:r>
      <w:r w:rsidRPr="00957875">
        <w:rPr>
          <w:rFonts w:cs="Arial"/>
          <w:sz w:val="18"/>
        </w:rPr>
        <w:tab/>
        <w:t>Within eight months after the end of each financial period, the Secretary</w:t>
      </w:r>
      <w:r w:rsidRPr="00957875">
        <w:rPr>
          <w:rFonts w:cs="Arial"/>
          <w:sz w:val="18"/>
        </w:rPr>
        <w:noBreakHyphen/>
        <w:t>General shall submit to the Council the financial management report prepared in accordance with Regulation 6.6.</w:t>
      </w:r>
    </w:p>
    <w:p w:rsidR="000B6848" w:rsidRPr="00957875" w:rsidRDefault="000B6848" w:rsidP="000B6848">
      <w:pPr>
        <w:rPr>
          <w:rFonts w:cs="Arial"/>
          <w:snapToGrid w:val="0"/>
        </w:rPr>
      </w:pPr>
    </w:p>
    <w:p w:rsidR="000B6848" w:rsidRPr="00957875" w:rsidRDefault="000B6848" w:rsidP="000B6848">
      <w:pPr>
        <w:ind w:left="567"/>
        <w:rPr>
          <w:rFonts w:cs="Arial"/>
          <w:sz w:val="16"/>
        </w:rPr>
      </w:pPr>
      <w:bookmarkStart w:id="2" w:name="_Toc173661770"/>
      <w:bookmarkStart w:id="3" w:name="_Toc173748751"/>
      <w:bookmarkStart w:id="4" w:name="_Toc355190048"/>
      <w:r w:rsidRPr="00957875">
        <w:rPr>
          <w:rFonts w:cs="Arial"/>
          <w:sz w:val="18"/>
        </w:rPr>
        <w:t>“</w:t>
      </w:r>
      <w:r w:rsidRPr="00957875">
        <w:rPr>
          <w:rFonts w:cs="Arial"/>
          <w:b/>
          <w:sz w:val="18"/>
        </w:rPr>
        <w:t>Regulation 6</w:t>
      </w:r>
      <w:bookmarkEnd w:id="2"/>
      <w:bookmarkEnd w:id="3"/>
      <w:bookmarkEnd w:id="4"/>
      <w:r w:rsidRPr="00957875">
        <w:rPr>
          <w:rFonts w:cs="Arial"/>
          <w:b/>
          <w:sz w:val="18"/>
        </w:rPr>
        <w:t>.7</w:t>
      </w:r>
    </w:p>
    <w:p w:rsidR="000B6848" w:rsidRPr="00957875" w:rsidRDefault="000B6848" w:rsidP="000B6848">
      <w:pPr>
        <w:pStyle w:val="Inf4Normal"/>
        <w:ind w:left="567" w:right="567"/>
        <w:rPr>
          <w:rFonts w:cs="Arial"/>
          <w:sz w:val="18"/>
          <w:szCs w:val="18"/>
        </w:rPr>
      </w:pPr>
      <w:r w:rsidRPr="00957875">
        <w:rPr>
          <w:rFonts w:cs="Arial"/>
          <w:sz w:val="18"/>
          <w:szCs w:val="18"/>
        </w:rPr>
        <w:t>“After the annual audit and examination by the Council, the annual financial statements and the report of the External Auditor shall be transmitted to all the interested members of UPOV.  Every two years following the end of the biennium, the financial management report shall also be transmitted to all the interested members of UPOV.”</w:t>
      </w:r>
    </w:p>
    <w:p w:rsidR="000B6848" w:rsidRPr="00957875" w:rsidRDefault="000B6848" w:rsidP="000B6848">
      <w:pPr>
        <w:pStyle w:val="Inf4Normal"/>
        <w:ind w:left="1418" w:right="1179"/>
        <w:rPr>
          <w:rFonts w:cs="Arial"/>
          <w:sz w:val="18"/>
          <w:szCs w:val="18"/>
        </w:rPr>
      </w:pPr>
    </w:p>
    <w:p w:rsidR="000B6848" w:rsidRPr="00957875" w:rsidRDefault="000B6848" w:rsidP="000B6848">
      <w:pPr>
        <w:tabs>
          <w:tab w:val="left" w:pos="5387"/>
          <w:tab w:val="left" w:pos="5954"/>
        </w:tabs>
        <w:ind w:left="4820"/>
        <w:rPr>
          <w:rFonts w:cs="Arial"/>
          <w:i/>
        </w:rPr>
      </w:pPr>
      <w:r w:rsidRPr="00957875">
        <w:rPr>
          <w:rFonts w:cs="Arial"/>
          <w:i/>
        </w:rPr>
        <w:fldChar w:fldCharType="begin"/>
      </w:r>
      <w:r w:rsidRPr="00957875">
        <w:rPr>
          <w:rFonts w:cs="Arial"/>
          <w:i/>
        </w:rPr>
        <w:instrText xml:space="preserve"> AUTONUM  </w:instrText>
      </w:r>
      <w:r w:rsidRPr="00957875">
        <w:rPr>
          <w:rFonts w:cs="Arial"/>
          <w:i/>
        </w:rPr>
        <w:fldChar w:fldCharType="end"/>
      </w:r>
      <w:r w:rsidRPr="00957875">
        <w:rPr>
          <w:rFonts w:cs="Arial"/>
          <w:i/>
        </w:rPr>
        <w:tab/>
        <w:t xml:space="preserve">The Council is invited to approve the </w:t>
      </w:r>
      <w:r w:rsidR="00164861" w:rsidRPr="00957875">
        <w:rPr>
          <w:rFonts w:cs="Arial"/>
          <w:i/>
        </w:rPr>
        <w:t xml:space="preserve">Financial Management Report </w:t>
      </w:r>
      <w:r w:rsidRPr="00957875">
        <w:rPr>
          <w:rFonts w:cs="Arial"/>
          <w:i/>
        </w:rPr>
        <w:t>for the 201</w:t>
      </w:r>
      <w:r>
        <w:rPr>
          <w:rFonts w:cs="Arial"/>
          <w:i/>
        </w:rPr>
        <w:t>6</w:t>
      </w:r>
      <w:r w:rsidRPr="00957875">
        <w:rPr>
          <w:rFonts w:cs="Arial"/>
          <w:i/>
        </w:rPr>
        <w:t>-201</w:t>
      </w:r>
      <w:r>
        <w:rPr>
          <w:rFonts w:cs="Arial"/>
          <w:i/>
        </w:rPr>
        <w:t>7</w:t>
      </w:r>
      <w:r w:rsidRPr="00957875">
        <w:rPr>
          <w:rFonts w:cs="Arial"/>
          <w:i/>
        </w:rPr>
        <w:t xml:space="preserve"> Biennium.</w:t>
      </w:r>
    </w:p>
    <w:p w:rsidR="000B6848" w:rsidRPr="00957875" w:rsidRDefault="000B6848" w:rsidP="000B6848">
      <w:pPr>
        <w:tabs>
          <w:tab w:val="left" w:pos="5387"/>
          <w:tab w:val="left" w:pos="5954"/>
        </w:tabs>
        <w:ind w:left="4820" w:hanging="4820"/>
        <w:rPr>
          <w:rFonts w:cs="Arial"/>
          <w:i/>
        </w:rPr>
      </w:pPr>
    </w:p>
    <w:p w:rsidR="000B6848" w:rsidRPr="00957875" w:rsidRDefault="000B6848" w:rsidP="000B6848">
      <w:pPr>
        <w:rPr>
          <w:rFonts w:cs="Arial"/>
        </w:rPr>
      </w:pPr>
    </w:p>
    <w:p w:rsidR="000B6848" w:rsidRPr="00957875" w:rsidRDefault="000B6848" w:rsidP="000B6848">
      <w:pPr>
        <w:rPr>
          <w:rFonts w:cs="Arial"/>
        </w:rPr>
      </w:pPr>
    </w:p>
    <w:p w:rsidR="000B6848" w:rsidRPr="00957875" w:rsidRDefault="000B6848" w:rsidP="000B6848">
      <w:pPr>
        <w:jc w:val="right"/>
        <w:rPr>
          <w:rFonts w:cs="Arial"/>
        </w:rPr>
      </w:pPr>
      <w:r w:rsidRPr="00957875">
        <w:rPr>
          <w:rFonts w:cs="Arial"/>
        </w:rPr>
        <w:t>[Annex follows]</w:t>
      </w:r>
    </w:p>
    <w:p w:rsidR="000B6848" w:rsidRPr="004B1215" w:rsidRDefault="000B6848" w:rsidP="000B6848"/>
    <w:p w:rsidR="000F209C" w:rsidRPr="00957875" w:rsidRDefault="000F209C" w:rsidP="005F05B6">
      <w:pPr>
        <w:jc w:val="right"/>
        <w:rPr>
          <w:rFonts w:cs="Arial"/>
        </w:rPr>
      </w:pPr>
    </w:p>
    <w:p w:rsidR="005C7018" w:rsidRPr="00957875" w:rsidRDefault="005C7018" w:rsidP="005C7018">
      <w:pPr>
        <w:jc w:val="center"/>
        <w:rPr>
          <w:rFonts w:cs="Arial"/>
        </w:rPr>
      </w:pPr>
    </w:p>
    <w:p w:rsidR="00A4653A" w:rsidRPr="00957875" w:rsidRDefault="00A4653A" w:rsidP="005F05B6">
      <w:pPr>
        <w:jc w:val="right"/>
        <w:rPr>
          <w:rFonts w:cs="Arial"/>
        </w:rPr>
        <w:sectPr w:rsidR="00A4653A" w:rsidRPr="00957875" w:rsidSect="00141316">
          <w:headerReference w:type="default" r:id="rId9"/>
          <w:footerReference w:type="first" r:id="rId10"/>
          <w:pgSz w:w="11907" w:h="16840" w:code="9"/>
          <w:pgMar w:top="510" w:right="1134" w:bottom="1134" w:left="1134" w:header="510" w:footer="680" w:gutter="0"/>
          <w:cols w:space="720"/>
          <w:titlePg/>
        </w:sectPr>
      </w:pPr>
    </w:p>
    <w:p w:rsidR="000F209C" w:rsidRPr="00957875" w:rsidRDefault="000F209C" w:rsidP="00D81BFB">
      <w:pPr>
        <w:rPr>
          <w:rFonts w:cs="Arial"/>
        </w:rPr>
      </w:pPr>
    </w:p>
    <w:p w:rsidR="00A4653A" w:rsidRPr="00957875" w:rsidRDefault="00A4653A" w:rsidP="00D81BFB">
      <w:pPr>
        <w:rPr>
          <w:rFonts w:cs="Arial"/>
        </w:rPr>
      </w:pPr>
    </w:p>
    <w:p w:rsidR="00A4653A" w:rsidRPr="00957875" w:rsidRDefault="00A4653A" w:rsidP="00A4653A">
      <w:pPr>
        <w:jc w:val="center"/>
        <w:rPr>
          <w:rFonts w:cs="Arial"/>
          <w:b/>
        </w:rPr>
      </w:pPr>
      <w:r w:rsidRPr="00957875">
        <w:rPr>
          <w:rFonts w:cs="Arial"/>
          <w:b/>
          <w:snapToGrid w:val="0"/>
        </w:rPr>
        <w:t>INTERNATIONAL UNION FOR THE PROTECTION OF NEW VARIETIES OF PLANTS</w:t>
      </w:r>
    </w:p>
    <w:p w:rsidR="00A4653A" w:rsidRPr="00957875" w:rsidRDefault="00A4653A" w:rsidP="00A4653A">
      <w:pPr>
        <w:jc w:val="center"/>
        <w:rPr>
          <w:rFonts w:cs="Arial"/>
        </w:rPr>
      </w:pPr>
    </w:p>
    <w:p w:rsidR="00A4653A" w:rsidRPr="00957875" w:rsidRDefault="00A4653A" w:rsidP="00A4653A">
      <w:pPr>
        <w:jc w:val="center"/>
        <w:rPr>
          <w:rFonts w:cs="Arial"/>
        </w:rPr>
      </w:pPr>
      <w:r w:rsidRPr="00957875">
        <w:rPr>
          <w:rFonts w:cs="Arial"/>
        </w:rPr>
        <w:t>Financial Management Report</w:t>
      </w:r>
      <w:r w:rsidR="00743DC1" w:rsidRPr="00957875">
        <w:rPr>
          <w:rFonts w:cs="Arial"/>
        </w:rPr>
        <w:t xml:space="preserve"> for the</w:t>
      </w:r>
      <w:r w:rsidR="000B6848">
        <w:rPr>
          <w:rFonts w:cs="Arial"/>
        </w:rPr>
        <w:t xml:space="preserve"> 2016-</w:t>
      </w:r>
      <w:r w:rsidR="00EA78F1">
        <w:rPr>
          <w:rFonts w:cs="Arial"/>
        </w:rPr>
        <w:t>20</w:t>
      </w:r>
      <w:r w:rsidR="000B6848">
        <w:rPr>
          <w:rFonts w:cs="Arial"/>
        </w:rPr>
        <w:t>17</w:t>
      </w:r>
      <w:r w:rsidR="00743DC1" w:rsidRPr="00957875">
        <w:rPr>
          <w:rFonts w:cs="Arial"/>
        </w:rPr>
        <w:t xml:space="preserve"> Biennium</w:t>
      </w:r>
    </w:p>
    <w:p w:rsidR="00A4653A" w:rsidRPr="00957875" w:rsidRDefault="00A4653A" w:rsidP="00A4653A">
      <w:pPr>
        <w:jc w:val="center"/>
        <w:rPr>
          <w:rFonts w:cs="Arial"/>
        </w:rPr>
      </w:pPr>
    </w:p>
    <w:p w:rsidR="00A4653A" w:rsidRPr="00957875" w:rsidRDefault="00A4653A" w:rsidP="00A4653A">
      <w:pPr>
        <w:jc w:val="center"/>
        <w:rPr>
          <w:rFonts w:cs="Arial"/>
        </w:rPr>
      </w:pPr>
    </w:p>
    <w:p w:rsidR="006603C1" w:rsidRPr="00957875" w:rsidRDefault="006603C1" w:rsidP="002F4B84">
      <w:pPr>
        <w:tabs>
          <w:tab w:val="right" w:pos="9639"/>
        </w:tabs>
        <w:rPr>
          <w:rFonts w:cs="Arial"/>
          <w:b/>
        </w:rPr>
      </w:pPr>
    </w:p>
    <w:p w:rsidR="006603C1" w:rsidRPr="00957875" w:rsidRDefault="006603C1" w:rsidP="002F4B84">
      <w:pPr>
        <w:tabs>
          <w:tab w:val="right" w:pos="9639"/>
        </w:tabs>
        <w:rPr>
          <w:rFonts w:cs="Arial"/>
          <w:b/>
        </w:rPr>
      </w:pPr>
    </w:p>
    <w:p w:rsidR="00140793" w:rsidRPr="00957875" w:rsidRDefault="00140793" w:rsidP="00D81BFB">
      <w:pPr>
        <w:tabs>
          <w:tab w:val="right" w:pos="9639"/>
        </w:tabs>
        <w:rPr>
          <w:rFonts w:cs="Arial"/>
        </w:rPr>
      </w:pPr>
      <w:r w:rsidRPr="00957875">
        <w:rPr>
          <w:rFonts w:cs="Arial"/>
          <w:b/>
        </w:rPr>
        <w:t>TABLE OF CONTENTS</w:t>
      </w:r>
      <w:r w:rsidR="002F4B84" w:rsidRPr="00957875">
        <w:rPr>
          <w:rFonts w:cs="Arial"/>
          <w:b/>
        </w:rPr>
        <w:tab/>
      </w:r>
      <w:r w:rsidRPr="00957875">
        <w:rPr>
          <w:rFonts w:cs="Arial"/>
          <w:b/>
          <w:caps/>
        </w:rPr>
        <w:t>page</w:t>
      </w:r>
    </w:p>
    <w:p w:rsidR="0018246F" w:rsidRDefault="0018246F" w:rsidP="00D81BFB">
      <w:pPr>
        <w:rPr>
          <w:rFonts w:cs="Arial"/>
        </w:rPr>
      </w:pPr>
    </w:p>
    <w:p w:rsidR="00B7780C" w:rsidRDefault="00060302">
      <w:pPr>
        <w:pStyle w:val="TOC1"/>
        <w:rPr>
          <w:rFonts w:asciiTheme="minorHAnsi" w:eastAsiaTheme="minorEastAsia" w:hAnsiTheme="minorHAnsi" w:cstheme="minorBidi"/>
          <w:b w:val="0"/>
          <w:caps w:val="0"/>
          <w:sz w:val="22"/>
          <w:szCs w:val="22"/>
        </w:rPr>
      </w:pPr>
      <w:r>
        <w:fldChar w:fldCharType="begin"/>
      </w:r>
      <w:r>
        <w:instrText xml:space="preserve"> TOC \o "1-3" \u </w:instrText>
      </w:r>
      <w:r>
        <w:fldChar w:fldCharType="separate"/>
      </w:r>
      <w:r w:rsidR="00B7780C" w:rsidRPr="000577BB">
        <w:rPr>
          <w:rFonts w:cs="Arial"/>
        </w:rPr>
        <w:t>SUMMARY and analysis OF BUDGETARY RESULT</w:t>
      </w:r>
      <w:r w:rsidR="00B7780C">
        <w:tab/>
      </w:r>
      <w:r w:rsidR="00B7780C">
        <w:fldChar w:fldCharType="begin"/>
      </w:r>
      <w:r w:rsidR="00B7780C">
        <w:instrText xml:space="preserve"> PAGEREF _Toc522808842 \h </w:instrText>
      </w:r>
      <w:r w:rsidR="00B7780C">
        <w:fldChar w:fldCharType="separate"/>
      </w:r>
      <w:r w:rsidR="00EC3A12">
        <w:t>2</w:t>
      </w:r>
      <w:r w:rsidR="00B7780C">
        <w:fldChar w:fldCharType="end"/>
      </w:r>
    </w:p>
    <w:p w:rsidR="00B7780C" w:rsidRDefault="00B7780C">
      <w:pPr>
        <w:pStyle w:val="TOC2"/>
        <w:rPr>
          <w:rFonts w:asciiTheme="minorHAnsi" w:eastAsiaTheme="minorEastAsia" w:hAnsiTheme="minorHAnsi" w:cstheme="minorBidi"/>
          <w:sz w:val="22"/>
          <w:szCs w:val="22"/>
        </w:rPr>
      </w:pPr>
      <w:r>
        <w:t>Table 1. 2016-2017 Income, Expenditure and Reserve and Working Capital Funds (RWCF)</w:t>
      </w:r>
      <w:r>
        <w:tab/>
      </w:r>
      <w:r>
        <w:fldChar w:fldCharType="begin"/>
      </w:r>
      <w:r>
        <w:instrText xml:space="preserve"> PAGEREF _Toc522808843 \h </w:instrText>
      </w:r>
      <w:r>
        <w:fldChar w:fldCharType="separate"/>
      </w:r>
      <w:r w:rsidR="00EC3A12">
        <w:t>2</w:t>
      </w:r>
      <w:r>
        <w:fldChar w:fldCharType="end"/>
      </w:r>
    </w:p>
    <w:p w:rsidR="00B7780C" w:rsidRDefault="00B7780C">
      <w:pPr>
        <w:pStyle w:val="TOC2"/>
        <w:rPr>
          <w:rFonts w:asciiTheme="minorHAnsi" w:eastAsiaTheme="minorEastAsia" w:hAnsiTheme="minorHAnsi" w:cstheme="minorBidi"/>
          <w:sz w:val="22"/>
          <w:szCs w:val="22"/>
        </w:rPr>
      </w:pPr>
      <w:r>
        <w:t>Table 2. 2016-2017 Budgeted and Actual Income by Source</w:t>
      </w:r>
      <w:r>
        <w:tab/>
      </w:r>
      <w:r>
        <w:fldChar w:fldCharType="begin"/>
      </w:r>
      <w:r>
        <w:instrText xml:space="preserve"> PAGEREF _Toc522808844 \h </w:instrText>
      </w:r>
      <w:r>
        <w:fldChar w:fldCharType="separate"/>
      </w:r>
      <w:r w:rsidR="00EC3A12">
        <w:t>3</w:t>
      </w:r>
      <w:r>
        <w:fldChar w:fldCharType="end"/>
      </w:r>
    </w:p>
    <w:p w:rsidR="00B7780C" w:rsidRDefault="00B7780C">
      <w:pPr>
        <w:pStyle w:val="TOC2"/>
        <w:rPr>
          <w:rFonts w:asciiTheme="minorHAnsi" w:eastAsiaTheme="minorEastAsia" w:hAnsiTheme="minorHAnsi" w:cstheme="minorBidi"/>
          <w:sz w:val="22"/>
          <w:szCs w:val="22"/>
        </w:rPr>
      </w:pPr>
      <w:r>
        <w:t>Table 3. 2016-2017 Approved Budget and Expenditure by Object of Expenditure</w:t>
      </w:r>
      <w:r>
        <w:tab/>
      </w:r>
      <w:r>
        <w:fldChar w:fldCharType="begin"/>
      </w:r>
      <w:r>
        <w:instrText xml:space="preserve"> PAGEREF _Toc522808845 \h </w:instrText>
      </w:r>
      <w:r>
        <w:fldChar w:fldCharType="separate"/>
      </w:r>
      <w:r w:rsidR="00EC3A12">
        <w:t>4</w:t>
      </w:r>
      <w:r>
        <w:fldChar w:fldCharType="end"/>
      </w:r>
    </w:p>
    <w:p w:rsidR="00B7780C" w:rsidRDefault="00B7780C">
      <w:pPr>
        <w:pStyle w:val="TOC2"/>
        <w:rPr>
          <w:rFonts w:asciiTheme="minorHAnsi" w:eastAsiaTheme="minorEastAsia" w:hAnsiTheme="minorHAnsi" w:cstheme="minorBidi"/>
          <w:sz w:val="22"/>
          <w:szCs w:val="22"/>
        </w:rPr>
      </w:pPr>
      <w:r>
        <w:t>Table 4. 2016-2017 Approved Budget and Expenditure by Sub-Programs</w:t>
      </w:r>
      <w:r>
        <w:tab/>
      </w:r>
      <w:r>
        <w:fldChar w:fldCharType="begin"/>
      </w:r>
      <w:r>
        <w:instrText xml:space="preserve"> PAGEREF _Toc522808846 \h </w:instrText>
      </w:r>
      <w:r>
        <w:fldChar w:fldCharType="separate"/>
      </w:r>
      <w:r w:rsidR="00EC3A12">
        <w:t>5</w:t>
      </w:r>
      <w:r>
        <w:fldChar w:fldCharType="end"/>
      </w:r>
    </w:p>
    <w:p w:rsidR="00B7780C" w:rsidRDefault="00B7780C">
      <w:pPr>
        <w:pStyle w:val="TOC2"/>
        <w:rPr>
          <w:rFonts w:asciiTheme="minorHAnsi" w:eastAsiaTheme="minorEastAsia" w:hAnsiTheme="minorHAnsi" w:cstheme="minorBidi"/>
          <w:sz w:val="22"/>
          <w:szCs w:val="22"/>
        </w:rPr>
      </w:pPr>
      <w:r>
        <w:t>Table 5. 2016-2017 Expenditure Details by Sub-Programs</w:t>
      </w:r>
      <w:r>
        <w:tab/>
      </w:r>
      <w:r>
        <w:fldChar w:fldCharType="begin"/>
      </w:r>
      <w:r>
        <w:instrText xml:space="preserve"> PAGEREF _Toc522808847 \h </w:instrText>
      </w:r>
      <w:r>
        <w:fldChar w:fldCharType="separate"/>
      </w:r>
      <w:r w:rsidR="00EC3A12">
        <w:t>6</w:t>
      </w:r>
      <w:r>
        <w:fldChar w:fldCharType="end"/>
      </w:r>
    </w:p>
    <w:p w:rsidR="00B7780C" w:rsidRDefault="00B7780C">
      <w:pPr>
        <w:pStyle w:val="TOC2"/>
        <w:rPr>
          <w:rFonts w:asciiTheme="minorHAnsi" w:eastAsiaTheme="minorEastAsia" w:hAnsiTheme="minorHAnsi" w:cstheme="minorBidi"/>
          <w:sz w:val="22"/>
          <w:szCs w:val="22"/>
        </w:rPr>
      </w:pPr>
      <w:r>
        <w:t>Table 6. 2016-2017 Budgeted and Actual Posts</w:t>
      </w:r>
      <w:r>
        <w:tab/>
      </w:r>
      <w:r>
        <w:fldChar w:fldCharType="begin"/>
      </w:r>
      <w:r>
        <w:instrText xml:space="preserve"> PAGEREF _Toc522808848 \h </w:instrText>
      </w:r>
      <w:r>
        <w:fldChar w:fldCharType="separate"/>
      </w:r>
      <w:r w:rsidR="00EC3A12">
        <w:t>7</w:t>
      </w:r>
      <w:r>
        <w:fldChar w:fldCharType="end"/>
      </w:r>
    </w:p>
    <w:p w:rsidR="00B7780C" w:rsidRDefault="00B7780C">
      <w:pPr>
        <w:pStyle w:val="TOC2"/>
        <w:rPr>
          <w:rFonts w:asciiTheme="minorHAnsi" w:eastAsiaTheme="minorEastAsia" w:hAnsiTheme="minorHAnsi" w:cstheme="minorBidi"/>
          <w:sz w:val="22"/>
          <w:szCs w:val="22"/>
        </w:rPr>
      </w:pPr>
      <w:r>
        <w:t>Table 7. Evolution of Actual Income and Expenditure during 2008-2017</w:t>
      </w:r>
      <w:r>
        <w:tab/>
      </w:r>
      <w:r>
        <w:fldChar w:fldCharType="begin"/>
      </w:r>
      <w:r>
        <w:instrText xml:space="preserve"> PAGEREF _Toc522808849 \h </w:instrText>
      </w:r>
      <w:r>
        <w:fldChar w:fldCharType="separate"/>
      </w:r>
      <w:r w:rsidR="00EC3A12">
        <w:t>7</w:t>
      </w:r>
      <w:r>
        <w:fldChar w:fldCharType="end"/>
      </w:r>
    </w:p>
    <w:p w:rsidR="00B7780C" w:rsidRDefault="00B7780C">
      <w:pPr>
        <w:pStyle w:val="TOC1"/>
        <w:rPr>
          <w:rFonts w:asciiTheme="minorHAnsi" w:eastAsiaTheme="minorEastAsia" w:hAnsiTheme="minorHAnsi" w:cstheme="minorBidi"/>
          <w:b w:val="0"/>
          <w:caps w:val="0"/>
          <w:sz w:val="22"/>
          <w:szCs w:val="22"/>
        </w:rPr>
      </w:pPr>
      <w:r w:rsidRPr="000577BB">
        <w:rPr>
          <w:rFonts w:cs="Arial"/>
        </w:rPr>
        <w:t>INVESTMENTS</w:t>
      </w:r>
      <w:r>
        <w:tab/>
      </w:r>
      <w:r>
        <w:fldChar w:fldCharType="begin"/>
      </w:r>
      <w:r>
        <w:instrText xml:space="preserve"> PAGEREF _Toc522808850 \h </w:instrText>
      </w:r>
      <w:r>
        <w:fldChar w:fldCharType="separate"/>
      </w:r>
      <w:r w:rsidR="00EC3A12">
        <w:t>8</w:t>
      </w:r>
      <w:r>
        <w:fldChar w:fldCharType="end"/>
      </w:r>
    </w:p>
    <w:p w:rsidR="00B7780C" w:rsidRDefault="00B7780C">
      <w:pPr>
        <w:pStyle w:val="TOC1"/>
        <w:rPr>
          <w:rFonts w:asciiTheme="minorHAnsi" w:eastAsiaTheme="minorEastAsia" w:hAnsiTheme="minorHAnsi" w:cstheme="minorBidi"/>
          <w:b w:val="0"/>
          <w:caps w:val="0"/>
          <w:sz w:val="22"/>
          <w:szCs w:val="22"/>
        </w:rPr>
      </w:pPr>
      <w:r w:rsidRPr="000577BB">
        <w:rPr>
          <w:rFonts w:cs="Arial"/>
        </w:rPr>
        <w:t>FINANCIAL STATEMENTS</w:t>
      </w:r>
      <w:r>
        <w:tab/>
      </w:r>
      <w:r>
        <w:fldChar w:fldCharType="begin"/>
      </w:r>
      <w:r>
        <w:instrText xml:space="preserve"> PAGEREF _Toc522808851 \h </w:instrText>
      </w:r>
      <w:r>
        <w:fldChar w:fldCharType="separate"/>
      </w:r>
      <w:r w:rsidR="00EC3A12">
        <w:t>9</w:t>
      </w:r>
      <w:r>
        <w:fldChar w:fldCharType="end"/>
      </w:r>
    </w:p>
    <w:p w:rsidR="00B7780C" w:rsidRDefault="00B7780C">
      <w:pPr>
        <w:pStyle w:val="TOC3"/>
        <w:rPr>
          <w:rFonts w:asciiTheme="minorHAnsi" w:eastAsiaTheme="minorEastAsia" w:hAnsiTheme="minorHAnsi" w:cstheme="minorBidi"/>
          <w:sz w:val="22"/>
          <w:szCs w:val="22"/>
          <w:lang w:val="en-US"/>
        </w:rPr>
      </w:pPr>
      <w:r w:rsidRPr="00B7780C">
        <w:rPr>
          <w:lang w:val="en-US"/>
        </w:rPr>
        <w:t>Statement I  Statement of Financial Position</w:t>
      </w:r>
      <w:r w:rsidRPr="00B7780C">
        <w:rPr>
          <w:lang w:val="en-US"/>
        </w:rPr>
        <w:tab/>
      </w:r>
      <w:r>
        <w:fldChar w:fldCharType="begin"/>
      </w:r>
      <w:r w:rsidRPr="00B7780C">
        <w:rPr>
          <w:lang w:val="en-US"/>
        </w:rPr>
        <w:instrText xml:space="preserve"> PAGEREF _Toc522808852 \h </w:instrText>
      </w:r>
      <w:r>
        <w:fldChar w:fldCharType="separate"/>
      </w:r>
      <w:r w:rsidR="00EC3A12">
        <w:rPr>
          <w:lang w:val="en-US"/>
        </w:rPr>
        <w:t>10</w:t>
      </w:r>
      <w:r>
        <w:fldChar w:fldCharType="end"/>
      </w:r>
    </w:p>
    <w:p w:rsidR="00B7780C" w:rsidRDefault="00B7780C">
      <w:pPr>
        <w:pStyle w:val="TOC3"/>
        <w:rPr>
          <w:rFonts w:asciiTheme="minorHAnsi" w:eastAsiaTheme="minorEastAsia" w:hAnsiTheme="minorHAnsi" w:cstheme="minorBidi"/>
          <w:sz w:val="22"/>
          <w:szCs w:val="22"/>
          <w:lang w:val="en-US"/>
        </w:rPr>
      </w:pPr>
      <w:r w:rsidRPr="00B7780C">
        <w:rPr>
          <w:lang w:val="en-US"/>
        </w:rPr>
        <w:t>Statement II  Statement of Financial Performance</w:t>
      </w:r>
      <w:r w:rsidRPr="00B7780C">
        <w:rPr>
          <w:lang w:val="en-US"/>
        </w:rPr>
        <w:tab/>
      </w:r>
      <w:r>
        <w:fldChar w:fldCharType="begin"/>
      </w:r>
      <w:r w:rsidRPr="00B7780C">
        <w:rPr>
          <w:lang w:val="en-US"/>
        </w:rPr>
        <w:instrText xml:space="preserve"> PAGEREF _Toc522808853 \h </w:instrText>
      </w:r>
      <w:r>
        <w:fldChar w:fldCharType="separate"/>
      </w:r>
      <w:r w:rsidR="00EC3A12">
        <w:rPr>
          <w:lang w:val="en-US"/>
        </w:rPr>
        <w:t>11</w:t>
      </w:r>
      <w:r>
        <w:fldChar w:fldCharType="end"/>
      </w:r>
    </w:p>
    <w:p w:rsidR="00B7780C" w:rsidRDefault="00B7780C">
      <w:pPr>
        <w:pStyle w:val="TOC3"/>
        <w:rPr>
          <w:rFonts w:asciiTheme="minorHAnsi" w:eastAsiaTheme="minorEastAsia" w:hAnsiTheme="minorHAnsi" w:cstheme="minorBidi"/>
          <w:sz w:val="22"/>
          <w:szCs w:val="22"/>
          <w:lang w:val="en-US"/>
        </w:rPr>
      </w:pPr>
      <w:r w:rsidRPr="00B7780C">
        <w:rPr>
          <w:lang w:val="en-US"/>
        </w:rPr>
        <w:t>Statement III  Statement of Changes in Net Assets</w:t>
      </w:r>
      <w:r w:rsidRPr="00B7780C">
        <w:rPr>
          <w:lang w:val="en-US"/>
        </w:rPr>
        <w:tab/>
      </w:r>
      <w:r>
        <w:fldChar w:fldCharType="begin"/>
      </w:r>
      <w:r w:rsidRPr="00B7780C">
        <w:rPr>
          <w:lang w:val="en-US"/>
        </w:rPr>
        <w:instrText xml:space="preserve"> PAGEREF _Toc522808854 \h </w:instrText>
      </w:r>
      <w:r>
        <w:fldChar w:fldCharType="separate"/>
      </w:r>
      <w:r w:rsidR="00EC3A12">
        <w:rPr>
          <w:lang w:val="en-US"/>
        </w:rPr>
        <w:t>12</w:t>
      </w:r>
      <w:r>
        <w:fldChar w:fldCharType="end"/>
      </w:r>
    </w:p>
    <w:p w:rsidR="00B7780C" w:rsidRDefault="00B7780C">
      <w:pPr>
        <w:pStyle w:val="TOC3"/>
        <w:rPr>
          <w:rFonts w:asciiTheme="minorHAnsi" w:eastAsiaTheme="minorEastAsia" w:hAnsiTheme="minorHAnsi" w:cstheme="minorBidi"/>
          <w:sz w:val="22"/>
          <w:szCs w:val="22"/>
          <w:lang w:val="en-US"/>
        </w:rPr>
      </w:pPr>
      <w:r w:rsidRPr="00B7780C">
        <w:rPr>
          <w:lang w:val="en-US"/>
        </w:rPr>
        <w:t>Statement IV  Statement of Cash Flow</w:t>
      </w:r>
      <w:r w:rsidRPr="00B7780C">
        <w:rPr>
          <w:lang w:val="en-US"/>
        </w:rPr>
        <w:tab/>
      </w:r>
      <w:r>
        <w:fldChar w:fldCharType="begin"/>
      </w:r>
      <w:r w:rsidRPr="00B7780C">
        <w:rPr>
          <w:lang w:val="en-US"/>
        </w:rPr>
        <w:instrText xml:space="preserve"> PAGEREF _Toc522808855 \h </w:instrText>
      </w:r>
      <w:r>
        <w:fldChar w:fldCharType="separate"/>
      </w:r>
      <w:r w:rsidR="00EC3A12">
        <w:rPr>
          <w:lang w:val="en-US"/>
        </w:rPr>
        <w:t>13</w:t>
      </w:r>
      <w:r>
        <w:fldChar w:fldCharType="end"/>
      </w:r>
    </w:p>
    <w:p w:rsidR="00B7780C" w:rsidRDefault="00B7780C">
      <w:pPr>
        <w:pStyle w:val="TOC3"/>
        <w:rPr>
          <w:rFonts w:asciiTheme="minorHAnsi" w:eastAsiaTheme="minorEastAsia" w:hAnsiTheme="minorHAnsi" w:cstheme="minorBidi"/>
          <w:sz w:val="22"/>
          <w:szCs w:val="22"/>
          <w:lang w:val="en-US"/>
        </w:rPr>
      </w:pPr>
      <w:r w:rsidRPr="00B7780C">
        <w:rPr>
          <w:lang w:val="en-US"/>
        </w:rPr>
        <w:t>Statement V  Statement of Comparison of Budget and Actual Amounts</w:t>
      </w:r>
      <w:r w:rsidRPr="00B7780C">
        <w:rPr>
          <w:lang w:val="en-US"/>
        </w:rPr>
        <w:tab/>
      </w:r>
      <w:r>
        <w:fldChar w:fldCharType="begin"/>
      </w:r>
      <w:r w:rsidRPr="00B7780C">
        <w:rPr>
          <w:lang w:val="en-US"/>
        </w:rPr>
        <w:instrText xml:space="preserve"> PAGEREF _Toc522808856 \h </w:instrText>
      </w:r>
      <w:r>
        <w:fldChar w:fldCharType="separate"/>
      </w:r>
      <w:r w:rsidR="00EC3A12">
        <w:rPr>
          <w:lang w:val="en-US"/>
        </w:rPr>
        <w:t>14</w:t>
      </w:r>
      <w:r>
        <w:fldChar w:fldCharType="end"/>
      </w:r>
    </w:p>
    <w:p w:rsidR="00B7780C" w:rsidRDefault="00B7780C">
      <w:pPr>
        <w:pStyle w:val="TOC3"/>
        <w:rPr>
          <w:rFonts w:asciiTheme="minorHAnsi" w:eastAsiaTheme="minorEastAsia" w:hAnsiTheme="minorHAnsi" w:cstheme="minorBidi"/>
          <w:sz w:val="22"/>
          <w:szCs w:val="22"/>
          <w:lang w:val="en-US"/>
        </w:rPr>
      </w:pPr>
      <w:r w:rsidRPr="00B7780C">
        <w:rPr>
          <w:lang w:val="en-US"/>
        </w:rPr>
        <w:t>Analysis of the Statement of Financial Position</w:t>
      </w:r>
      <w:r w:rsidRPr="00B7780C">
        <w:rPr>
          <w:lang w:val="en-US"/>
        </w:rPr>
        <w:tab/>
      </w:r>
      <w:r>
        <w:fldChar w:fldCharType="begin"/>
      </w:r>
      <w:r w:rsidRPr="00B7780C">
        <w:rPr>
          <w:lang w:val="en-US"/>
        </w:rPr>
        <w:instrText xml:space="preserve"> PAGEREF _Toc522808857 \h </w:instrText>
      </w:r>
      <w:r>
        <w:fldChar w:fldCharType="separate"/>
      </w:r>
      <w:r w:rsidR="00EC3A12">
        <w:rPr>
          <w:lang w:val="en-US"/>
        </w:rPr>
        <w:t>15</w:t>
      </w:r>
      <w:r>
        <w:fldChar w:fldCharType="end"/>
      </w:r>
    </w:p>
    <w:p w:rsidR="00B7780C" w:rsidRDefault="00B7780C">
      <w:pPr>
        <w:pStyle w:val="TOC3"/>
        <w:rPr>
          <w:rFonts w:asciiTheme="minorHAnsi" w:eastAsiaTheme="minorEastAsia" w:hAnsiTheme="minorHAnsi" w:cstheme="minorBidi"/>
          <w:sz w:val="22"/>
          <w:szCs w:val="22"/>
          <w:lang w:val="en-US"/>
        </w:rPr>
      </w:pPr>
      <w:r w:rsidRPr="00B7780C">
        <w:rPr>
          <w:lang w:val="en-US"/>
        </w:rPr>
        <w:t>Analysis of Statement of Financial Performance</w:t>
      </w:r>
      <w:r w:rsidRPr="00B7780C">
        <w:rPr>
          <w:lang w:val="en-US"/>
        </w:rPr>
        <w:tab/>
      </w:r>
      <w:r>
        <w:fldChar w:fldCharType="begin"/>
      </w:r>
      <w:r w:rsidRPr="00B7780C">
        <w:rPr>
          <w:lang w:val="en-US"/>
        </w:rPr>
        <w:instrText xml:space="preserve"> PAGEREF _Toc522808858 \h </w:instrText>
      </w:r>
      <w:r>
        <w:fldChar w:fldCharType="separate"/>
      </w:r>
      <w:r w:rsidR="00EC3A12">
        <w:rPr>
          <w:lang w:val="en-US"/>
        </w:rPr>
        <w:t>19</w:t>
      </w:r>
      <w:r>
        <w:fldChar w:fldCharType="end"/>
      </w:r>
    </w:p>
    <w:p w:rsidR="00B7780C" w:rsidRDefault="00B7780C">
      <w:pPr>
        <w:pStyle w:val="TOC1"/>
        <w:rPr>
          <w:rFonts w:asciiTheme="minorHAnsi" w:eastAsiaTheme="minorEastAsia" w:hAnsiTheme="minorHAnsi" w:cstheme="minorBidi"/>
          <w:b w:val="0"/>
          <w:caps w:val="0"/>
          <w:sz w:val="22"/>
          <w:szCs w:val="22"/>
        </w:rPr>
      </w:pPr>
      <w:r w:rsidRPr="000577BB">
        <w:rPr>
          <w:rFonts w:cs="Arial"/>
        </w:rPr>
        <w:t>WORKING CAPITAL FUND AND CONTRIBUTIONS</w:t>
      </w:r>
      <w:r>
        <w:tab/>
      </w:r>
      <w:r>
        <w:fldChar w:fldCharType="begin"/>
      </w:r>
      <w:r>
        <w:instrText xml:space="preserve"> PAGEREF _Toc522808859 \h </w:instrText>
      </w:r>
      <w:r>
        <w:fldChar w:fldCharType="separate"/>
      </w:r>
      <w:r w:rsidR="00EC3A12">
        <w:t>20</w:t>
      </w:r>
      <w:r>
        <w:fldChar w:fldCharType="end"/>
      </w:r>
    </w:p>
    <w:p w:rsidR="00B7780C" w:rsidRDefault="00B7780C">
      <w:pPr>
        <w:pStyle w:val="TOC2"/>
        <w:rPr>
          <w:rFonts w:asciiTheme="minorHAnsi" w:eastAsiaTheme="minorEastAsia" w:hAnsiTheme="minorHAnsi" w:cstheme="minorBidi"/>
          <w:sz w:val="22"/>
          <w:szCs w:val="22"/>
        </w:rPr>
      </w:pPr>
      <w:r>
        <w:t>Working Capital Fund as at December 31, 2017</w:t>
      </w:r>
      <w:r>
        <w:tab/>
      </w:r>
      <w:r>
        <w:fldChar w:fldCharType="begin"/>
      </w:r>
      <w:r>
        <w:instrText xml:space="preserve"> PAGEREF _Toc522808860 \h </w:instrText>
      </w:r>
      <w:r>
        <w:fldChar w:fldCharType="separate"/>
      </w:r>
      <w:r w:rsidR="00EC3A12">
        <w:t>20</w:t>
      </w:r>
      <w:r>
        <w:fldChar w:fldCharType="end"/>
      </w:r>
    </w:p>
    <w:p w:rsidR="00B7780C" w:rsidRDefault="00B7780C">
      <w:pPr>
        <w:pStyle w:val="TOC2"/>
        <w:rPr>
          <w:rFonts w:asciiTheme="minorHAnsi" w:eastAsiaTheme="minorEastAsia" w:hAnsiTheme="minorHAnsi" w:cstheme="minorBidi"/>
          <w:sz w:val="22"/>
          <w:szCs w:val="22"/>
        </w:rPr>
      </w:pPr>
      <w:r>
        <w:t>Contributions of Members of the Union</w:t>
      </w:r>
      <w:r>
        <w:tab/>
      </w:r>
      <w:r>
        <w:fldChar w:fldCharType="begin"/>
      </w:r>
      <w:r>
        <w:instrText xml:space="preserve"> PAGEREF _Toc522808861 \h </w:instrText>
      </w:r>
      <w:r>
        <w:fldChar w:fldCharType="separate"/>
      </w:r>
      <w:r w:rsidR="00EC3A12">
        <w:t>21</w:t>
      </w:r>
      <w:r>
        <w:fldChar w:fldCharType="end"/>
      </w:r>
    </w:p>
    <w:p w:rsidR="00B7780C" w:rsidRDefault="00B7780C">
      <w:pPr>
        <w:pStyle w:val="TOC2"/>
        <w:rPr>
          <w:rFonts w:asciiTheme="minorHAnsi" w:eastAsiaTheme="minorEastAsia" w:hAnsiTheme="minorHAnsi" w:cstheme="minorBidi"/>
          <w:sz w:val="22"/>
          <w:szCs w:val="22"/>
        </w:rPr>
      </w:pPr>
      <w:r>
        <w:t>Contribution Payments Received in Advance</w:t>
      </w:r>
      <w:r>
        <w:tab/>
      </w:r>
      <w:r>
        <w:fldChar w:fldCharType="begin"/>
      </w:r>
      <w:r>
        <w:instrText xml:space="preserve"> PAGEREF _Toc522808862 \h </w:instrText>
      </w:r>
      <w:r>
        <w:fldChar w:fldCharType="separate"/>
      </w:r>
      <w:r w:rsidR="00EC3A12">
        <w:t>23</w:t>
      </w:r>
      <w:r>
        <w:fldChar w:fldCharType="end"/>
      </w:r>
    </w:p>
    <w:p w:rsidR="00B7780C" w:rsidRDefault="00B7780C">
      <w:pPr>
        <w:pStyle w:val="TOC2"/>
        <w:rPr>
          <w:rFonts w:asciiTheme="minorHAnsi" w:eastAsiaTheme="minorEastAsia" w:hAnsiTheme="minorHAnsi" w:cstheme="minorBidi"/>
          <w:sz w:val="22"/>
          <w:szCs w:val="22"/>
        </w:rPr>
      </w:pPr>
      <w:r>
        <w:t>Amounts of the Contributions Due and Unpaid Working Capital as at December 31, 2017</w:t>
      </w:r>
      <w:r>
        <w:tab/>
      </w:r>
      <w:r>
        <w:fldChar w:fldCharType="begin"/>
      </w:r>
      <w:r>
        <w:instrText xml:space="preserve"> PAGEREF _Toc522808863 \h </w:instrText>
      </w:r>
      <w:r>
        <w:fldChar w:fldCharType="separate"/>
      </w:r>
      <w:r w:rsidR="00EC3A12">
        <w:t>24</w:t>
      </w:r>
      <w:r>
        <w:fldChar w:fldCharType="end"/>
      </w:r>
    </w:p>
    <w:p w:rsidR="00B7780C" w:rsidRDefault="00B7780C">
      <w:pPr>
        <w:pStyle w:val="TOC1"/>
        <w:rPr>
          <w:rFonts w:asciiTheme="minorHAnsi" w:eastAsiaTheme="minorEastAsia" w:hAnsiTheme="minorHAnsi" w:cstheme="minorBidi"/>
          <w:b w:val="0"/>
          <w:caps w:val="0"/>
          <w:sz w:val="22"/>
          <w:szCs w:val="22"/>
        </w:rPr>
      </w:pPr>
      <w:r w:rsidRPr="000577BB">
        <w:rPr>
          <w:rFonts w:cs="Arial"/>
        </w:rPr>
        <w:t>Extrabudgetary funds (funds in trust)</w:t>
      </w:r>
      <w:r>
        <w:tab/>
      </w:r>
      <w:r>
        <w:fldChar w:fldCharType="begin"/>
      </w:r>
      <w:r>
        <w:instrText xml:space="preserve"> PAGEREF _Toc522808864 \h </w:instrText>
      </w:r>
      <w:r>
        <w:fldChar w:fldCharType="separate"/>
      </w:r>
      <w:r w:rsidR="00EC3A12">
        <w:t>26</w:t>
      </w:r>
      <w:r>
        <w:fldChar w:fldCharType="end"/>
      </w:r>
    </w:p>
    <w:p w:rsidR="00060302" w:rsidRPr="00957875" w:rsidRDefault="00060302" w:rsidP="00D81BFB">
      <w:pPr>
        <w:rPr>
          <w:rFonts w:cs="Arial"/>
        </w:rPr>
      </w:pPr>
      <w:r>
        <w:rPr>
          <w:rFonts w:cs="Arial"/>
        </w:rPr>
        <w:fldChar w:fldCharType="end"/>
      </w:r>
    </w:p>
    <w:p w:rsidR="0018246F" w:rsidRPr="00957875" w:rsidRDefault="0018246F" w:rsidP="005C7018">
      <w:pPr>
        <w:rPr>
          <w:rFonts w:cs="Arial"/>
        </w:rPr>
      </w:pPr>
    </w:p>
    <w:p w:rsidR="007A5B7C" w:rsidRPr="00957875" w:rsidRDefault="007A5B7C" w:rsidP="005C7018">
      <w:pPr>
        <w:rPr>
          <w:rFonts w:cs="Arial"/>
        </w:rPr>
        <w:sectPr w:rsidR="007A5B7C" w:rsidRPr="00957875" w:rsidSect="00141316">
          <w:headerReference w:type="default" r:id="rId11"/>
          <w:headerReference w:type="first" r:id="rId12"/>
          <w:footerReference w:type="first" r:id="rId13"/>
          <w:pgSz w:w="11907" w:h="16840" w:code="9"/>
          <w:pgMar w:top="510" w:right="1134" w:bottom="1134" w:left="1134" w:header="510" w:footer="680" w:gutter="0"/>
          <w:pgNumType w:start="1"/>
          <w:cols w:space="720"/>
          <w:titlePg/>
        </w:sectPr>
      </w:pPr>
    </w:p>
    <w:p w:rsidR="00917841" w:rsidRPr="00AD0E42" w:rsidRDefault="003D5268" w:rsidP="00D81BFB">
      <w:pPr>
        <w:pStyle w:val="Heading1"/>
        <w:jc w:val="both"/>
        <w:rPr>
          <w:rFonts w:cs="Arial"/>
        </w:rPr>
      </w:pPr>
      <w:bookmarkStart w:id="5" w:name="_Toc460229911"/>
      <w:bookmarkStart w:id="6" w:name="_Toc522808842"/>
      <w:r w:rsidRPr="00AD0E42">
        <w:rPr>
          <w:rFonts w:cs="Arial"/>
        </w:rPr>
        <w:lastRenderedPageBreak/>
        <w:t>SUMMARY</w:t>
      </w:r>
      <w:r w:rsidR="00780E2C" w:rsidRPr="00AD0E42">
        <w:rPr>
          <w:rFonts w:cs="Arial"/>
        </w:rPr>
        <w:t xml:space="preserve"> and analysis</w:t>
      </w:r>
      <w:r w:rsidRPr="00AD0E42">
        <w:rPr>
          <w:rFonts w:cs="Arial"/>
        </w:rPr>
        <w:t xml:space="preserve"> OF </w:t>
      </w:r>
      <w:r w:rsidR="00B17732" w:rsidRPr="00AD0E42">
        <w:rPr>
          <w:rFonts w:cs="Arial"/>
        </w:rPr>
        <w:t xml:space="preserve">BUDGETARY </w:t>
      </w:r>
      <w:r w:rsidRPr="00AD0E42">
        <w:rPr>
          <w:rFonts w:cs="Arial"/>
        </w:rPr>
        <w:t>RESULT</w:t>
      </w:r>
      <w:bookmarkEnd w:id="5"/>
      <w:bookmarkEnd w:id="6"/>
    </w:p>
    <w:p w:rsidR="003D5268" w:rsidRPr="00AD0E42" w:rsidRDefault="003D5268" w:rsidP="006360C1">
      <w:pPr>
        <w:rPr>
          <w:rFonts w:cs="Arial"/>
        </w:rPr>
      </w:pPr>
    </w:p>
    <w:p w:rsidR="00311E74" w:rsidRDefault="00917841" w:rsidP="00CB3A9E">
      <w:pPr>
        <w:rPr>
          <w:rFonts w:cs="Arial"/>
        </w:rPr>
      </w:pPr>
      <w:r w:rsidRPr="00AD0E42">
        <w:rPr>
          <w:rFonts w:eastAsiaTheme="minorHAnsi" w:cs="Arial"/>
        </w:rPr>
        <w:t>Table 1</w:t>
      </w:r>
      <w:r w:rsidRPr="00AD0E42">
        <w:rPr>
          <w:rFonts w:eastAsiaTheme="minorHAnsi" w:cs="Arial"/>
          <w:sz w:val="22"/>
          <w:szCs w:val="22"/>
        </w:rPr>
        <w:t xml:space="preserve"> </w:t>
      </w:r>
      <w:r w:rsidR="006A090C" w:rsidRPr="00AD0E42">
        <w:rPr>
          <w:rFonts w:cs="Arial"/>
        </w:rPr>
        <w:t>below presents the overall budget</w:t>
      </w:r>
      <w:r w:rsidR="00BB72AB" w:rsidRPr="00AD0E42">
        <w:rPr>
          <w:rFonts w:cs="Arial"/>
        </w:rPr>
        <w:t>ary result for UPOV in the 201</w:t>
      </w:r>
      <w:r w:rsidR="00573D4F">
        <w:rPr>
          <w:rFonts w:cs="Arial"/>
        </w:rPr>
        <w:t>6</w:t>
      </w:r>
      <w:r w:rsidR="00BB72AB" w:rsidRPr="00AD0E42">
        <w:rPr>
          <w:rFonts w:cs="Arial"/>
        </w:rPr>
        <w:t>-201</w:t>
      </w:r>
      <w:r w:rsidR="00573D4F">
        <w:rPr>
          <w:rFonts w:cs="Arial"/>
        </w:rPr>
        <w:t>7</w:t>
      </w:r>
      <w:r w:rsidR="006A090C" w:rsidRPr="00AD0E42">
        <w:rPr>
          <w:rFonts w:cs="Arial"/>
        </w:rPr>
        <w:t xml:space="preserve"> Biennium as well as the Reserve and Wo</w:t>
      </w:r>
      <w:r w:rsidR="004D202D" w:rsidRPr="00AD0E42">
        <w:rPr>
          <w:rFonts w:cs="Arial"/>
        </w:rPr>
        <w:t>rking Capital Funds (RWCF) as at</w:t>
      </w:r>
      <w:r w:rsidR="006A090C" w:rsidRPr="00AD0E42">
        <w:rPr>
          <w:rFonts w:cs="Arial"/>
        </w:rPr>
        <w:t xml:space="preserve"> the end of 201</w:t>
      </w:r>
      <w:r w:rsidR="00573D4F">
        <w:rPr>
          <w:rFonts w:cs="Arial"/>
        </w:rPr>
        <w:t>7</w:t>
      </w:r>
      <w:r w:rsidR="006A090C" w:rsidRPr="00AD0E42">
        <w:rPr>
          <w:rFonts w:cs="Arial"/>
        </w:rPr>
        <w:t>.  The to</w:t>
      </w:r>
      <w:r w:rsidR="00544B41" w:rsidRPr="00AD0E42">
        <w:rPr>
          <w:rFonts w:cs="Arial"/>
        </w:rPr>
        <w:t>tal income (before IPSAS adjustments) amounted to 6.</w:t>
      </w:r>
      <w:r w:rsidR="0093390A">
        <w:rPr>
          <w:rFonts w:cs="Arial"/>
        </w:rPr>
        <w:t>85</w:t>
      </w:r>
      <w:r w:rsidR="006A090C" w:rsidRPr="00AD0E42">
        <w:rPr>
          <w:rFonts w:cs="Arial"/>
        </w:rPr>
        <w:t xml:space="preserve"> million Swiss francs, and the total budgeta</w:t>
      </w:r>
      <w:r w:rsidR="00544B41" w:rsidRPr="00AD0E42">
        <w:rPr>
          <w:rFonts w:cs="Arial"/>
        </w:rPr>
        <w:t xml:space="preserve">ry expenditure amounted to </w:t>
      </w:r>
      <w:r w:rsidR="00544B41" w:rsidRPr="006B621B">
        <w:rPr>
          <w:rFonts w:cs="Arial"/>
          <w:spacing w:val="-2"/>
        </w:rPr>
        <w:t>6.8</w:t>
      </w:r>
      <w:r w:rsidR="00736695" w:rsidRPr="006B621B">
        <w:rPr>
          <w:rFonts w:cs="Arial"/>
          <w:spacing w:val="-2"/>
        </w:rPr>
        <w:t>3</w:t>
      </w:r>
      <w:r w:rsidR="00CB3A9E" w:rsidRPr="006B621B">
        <w:rPr>
          <w:rFonts w:cs="Arial"/>
          <w:spacing w:val="-2"/>
        </w:rPr>
        <w:t> </w:t>
      </w:r>
      <w:r w:rsidR="004D202D" w:rsidRPr="006B621B">
        <w:rPr>
          <w:rFonts w:cs="Arial"/>
          <w:spacing w:val="-2"/>
        </w:rPr>
        <w:t>million Swiss francs, resulting in</w:t>
      </w:r>
      <w:r w:rsidR="006A090C" w:rsidRPr="006B621B">
        <w:rPr>
          <w:rFonts w:cs="Arial"/>
          <w:spacing w:val="-2"/>
        </w:rPr>
        <w:t xml:space="preserve"> a budgetary </w:t>
      </w:r>
      <w:r w:rsidR="0093390A" w:rsidRPr="006B621B">
        <w:rPr>
          <w:rFonts w:cs="Arial"/>
          <w:spacing w:val="-2"/>
        </w:rPr>
        <w:t xml:space="preserve">surplus </w:t>
      </w:r>
      <w:r w:rsidR="006A090C" w:rsidRPr="006B621B">
        <w:rPr>
          <w:rFonts w:cs="Arial"/>
          <w:spacing w:val="-2"/>
        </w:rPr>
        <w:t>o</w:t>
      </w:r>
      <w:r w:rsidR="00BB72AB" w:rsidRPr="006B621B">
        <w:rPr>
          <w:rFonts w:cs="Arial"/>
          <w:spacing w:val="-2"/>
        </w:rPr>
        <w:t xml:space="preserve">f </w:t>
      </w:r>
      <w:r w:rsidR="00573D4F" w:rsidRPr="006B621B">
        <w:rPr>
          <w:rFonts w:cs="Arial"/>
          <w:spacing w:val="-2"/>
        </w:rPr>
        <w:t xml:space="preserve">26,162 </w:t>
      </w:r>
      <w:r w:rsidR="00BB72AB" w:rsidRPr="006B621B">
        <w:rPr>
          <w:rFonts w:cs="Arial"/>
          <w:spacing w:val="-2"/>
        </w:rPr>
        <w:t>Swiss francs for the 201</w:t>
      </w:r>
      <w:r w:rsidR="00573D4F" w:rsidRPr="006B621B">
        <w:rPr>
          <w:rFonts w:cs="Arial"/>
          <w:spacing w:val="-2"/>
        </w:rPr>
        <w:t>6</w:t>
      </w:r>
      <w:r w:rsidR="00BB72AB" w:rsidRPr="006B621B">
        <w:rPr>
          <w:rFonts w:cs="Arial"/>
          <w:spacing w:val="-2"/>
        </w:rPr>
        <w:t>-20</w:t>
      </w:r>
      <w:r w:rsidR="006A090C" w:rsidRPr="006B621B">
        <w:rPr>
          <w:rFonts w:cs="Arial"/>
          <w:spacing w:val="-2"/>
        </w:rPr>
        <w:t>1</w:t>
      </w:r>
      <w:r w:rsidR="00573D4F" w:rsidRPr="006B621B">
        <w:rPr>
          <w:rFonts w:cs="Arial"/>
          <w:spacing w:val="-2"/>
        </w:rPr>
        <w:t>7</w:t>
      </w:r>
      <w:r w:rsidR="006B621B" w:rsidRPr="006B621B">
        <w:rPr>
          <w:rFonts w:cs="Arial"/>
          <w:spacing w:val="-2"/>
        </w:rPr>
        <w:t> </w:t>
      </w:r>
      <w:r w:rsidR="006A090C" w:rsidRPr="006B621B">
        <w:rPr>
          <w:rFonts w:cs="Arial"/>
          <w:spacing w:val="-2"/>
        </w:rPr>
        <w:t>Bienni</w:t>
      </w:r>
      <w:r w:rsidR="004D202D" w:rsidRPr="006B621B">
        <w:rPr>
          <w:rFonts w:cs="Arial"/>
          <w:spacing w:val="-2"/>
        </w:rPr>
        <w:t>um.</w:t>
      </w:r>
      <w:r w:rsidR="004D202D" w:rsidRPr="00AD0E42">
        <w:rPr>
          <w:rFonts w:cs="Arial"/>
        </w:rPr>
        <w:t xml:space="preserve">  </w:t>
      </w:r>
    </w:p>
    <w:p w:rsidR="00CB3A9E" w:rsidRPr="00AD0E42" w:rsidRDefault="00CB3A9E" w:rsidP="00CB3A9E">
      <w:pPr>
        <w:rPr>
          <w:rFonts w:eastAsiaTheme="minorHAnsi" w:cs="Arial"/>
        </w:rPr>
      </w:pPr>
    </w:p>
    <w:p w:rsidR="00917841" w:rsidRPr="00AD0E42" w:rsidRDefault="004D202D" w:rsidP="00CB3A9E">
      <w:pPr>
        <w:rPr>
          <w:rFonts w:eastAsiaTheme="minorHAnsi" w:cs="Arial"/>
        </w:rPr>
      </w:pPr>
      <w:r w:rsidRPr="00AD0E42">
        <w:rPr>
          <w:rFonts w:eastAsiaTheme="minorHAnsi" w:cs="Arial"/>
        </w:rPr>
        <w:t>At the end of 201</w:t>
      </w:r>
      <w:r w:rsidR="00573D4F">
        <w:rPr>
          <w:rFonts w:eastAsiaTheme="minorHAnsi" w:cs="Arial"/>
        </w:rPr>
        <w:t>7</w:t>
      </w:r>
      <w:r w:rsidRPr="00AD0E42">
        <w:rPr>
          <w:rFonts w:eastAsiaTheme="minorHAnsi" w:cs="Arial"/>
        </w:rPr>
        <w:t>, t</w:t>
      </w:r>
      <w:r w:rsidR="00917841" w:rsidRPr="00AD0E42">
        <w:rPr>
          <w:rFonts w:eastAsiaTheme="minorHAnsi" w:cs="Arial"/>
        </w:rPr>
        <w:t xml:space="preserve">he total </w:t>
      </w:r>
      <w:r w:rsidRPr="00AD0E42">
        <w:rPr>
          <w:rFonts w:cs="Arial"/>
        </w:rPr>
        <w:t xml:space="preserve">RWCF amounted to </w:t>
      </w:r>
      <w:r w:rsidR="00573D4F">
        <w:rPr>
          <w:rFonts w:cs="Arial"/>
        </w:rPr>
        <w:t>630</w:t>
      </w:r>
      <w:r w:rsidR="006A090C" w:rsidRPr="00AD0E42">
        <w:rPr>
          <w:rFonts w:cs="Arial"/>
        </w:rPr>
        <w:t xml:space="preserve"> </w:t>
      </w:r>
      <w:r w:rsidR="00573D4F">
        <w:rPr>
          <w:rFonts w:cs="Arial"/>
        </w:rPr>
        <w:t xml:space="preserve">thousand </w:t>
      </w:r>
      <w:r w:rsidRPr="00AD0E42">
        <w:rPr>
          <w:rFonts w:cs="Arial"/>
        </w:rPr>
        <w:t xml:space="preserve">Swiss francs, comprising </w:t>
      </w:r>
      <w:r w:rsidR="00573D4F">
        <w:rPr>
          <w:rFonts w:cs="Arial"/>
        </w:rPr>
        <w:t>970 thousand</w:t>
      </w:r>
      <w:r w:rsidRPr="00AD0E42">
        <w:rPr>
          <w:rFonts w:cs="Arial"/>
        </w:rPr>
        <w:t xml:space="preserve"> Swiss francs in the Reserve Fund, </w:t>
      </w:r>
      <w:r w:rsidR="00573D4F">
        <w:rPr>
          <w:rFonts w:cs="Arial"/>
        </w:rPr>
        <w:t>14</w:t>
      </w:r>
      <w:r w:rsidRPr="00AD0E42">
        <w:rPr>
          <w:rFonts w:cs="Arial"/>
        </w:rPr>
        <w:t xml:space="preserve"> thousand</w:t>
      </w:r>
      <w:r w:rsidR="006A090C" w:rsidRPr="00AD0E42">
        <w:rPr>
          <w:rFonts w:cs="Arial"/>
        </w:rPr>
        <w:t xml:space="preserve"> </w:t>
      </w:r>
      <w:r w:rsidRPr="00AD0E42">
        <w:rPr>
          <w:rFonts w:cs="Arial"/>
        </w:rPr>
        <w:t>Swiss francs in</w:t>
      </w:r>
      <w:r w:rsidR="006A090C" w:rsidRPr="00AD0E42">
        <w:rPr>
          <w:rFonts w:cs="Arial"/>
        </w:rPr>
        <w:t xml:space="preserve"> th</w:t>
      </w:r>
      <w:r w:rsidRPr="00AD0E42">
        <w:rPr>
          <w:rFonts w:cs="Arial"/>
        </w:rPr>
        <w:t>e Special Project Fund</w:t>
      </w:r>
      <w:r w:rsidR="00573D4F">
        <w:rPr>
          <w:rFonts w:cs="Arial"/>
        </w:rPr>
        <w:t>,</w:t>
      </w:r>
      <w:r w:rsidRPr="00AD0E42">
        <w:rPr>
          <w:rFonts w:cs="Arial"/>
        </w:rPr>
        <w:t xml:space="preserve"> </w:t>
      </w:r>
      <w:r w:rsidR="0093390A">
        <w:rPr>
          <w:rFonts w:cs="Arial"/>
        </w:rPr>
        <w:t>547 thousand</w:t>
      </w:r>
      <w:r w:rsidRPr="00AD0E42">
        <w:rPr>
          <w:rFonts w:cs="Arial"/>
        </w:rPr>
        <w:t xml:space="preserve"> Swiss francs in</w:t>
      </w:r>
      <w:r w:rsidR="006A090C" w:rsidRPr="00AD0E42">
        <w:rPr>
          <w:rFonts w:cs="Arial"/>
        </w:rPr>
        <w:t xml:space="preserve"> the Working Capital Fund</w:t>
      </w:r>
      <w:r w:rsidR="00573D4F">
        <w:rPr>
          <w:rFonts w:cs="Arial"/>
        </w:rPr>
        <w:t xml:space="preserve"> and Actuarial losses through Net Assets of 901 thousand Swiss francs</w:t>
      </w:r>
      <w:r w:rsidR="006A090C" w:rsidRPr="00AD0E42">
        <w:rPr>
          <w:rFonts w:eastAsiaTheme="minorHAnsi" w:cs="Arial"/>
        </w:rPr>
        <w:t xml:space="preserve">. </w:t>
      </w:r>
    </w:p>
    <w:p w:rsidR="00CB3A9E" w:rsidRPr="00D24576" w:rsidRDefault="00CB3A9E" w:rsidP="00CB3A9E">
      <w:pPr>
        <w:rPr>
          <w:rFonts w:eastAsiaTheme="minorHAnsi" w:cs="Arial"/>
          <w:highlight w:val="yellow"/>
        </w:rPr>
      </w:pPr>
    </w:p>
    <w:p w:rsidR="00917841" w:rsidRPr="00D03AEC" w:rsidRDefault="00D03AEC" w:rsidP="00683089">
      <w:pPr>
        <w:pStyle w:val="Heading2"/>
      </w:pPr>
      <w:bookmarkStart w:id="7" w:name="_Toc460229912"/>
      <w:bookmarkStart w:id="8" w:name="_Toc522808843"/>
      <w:r w:rsidRPr="00D03AEC">
        <w:t>Table 1. 2016</w:t>
      </w:r>
      <w:r w:rsidR="00ED20BB" w:rsidRPr="00D03AEC">
        <w:t>-20</w:t>
      </w:r>
      <w:r w:rsidRPr="00D03AEC">
        <w:t>17</w:t>
      </w:r>
      <w:r w:rsidR="00917841" w:rsidRPr="00D03AEC">
        <w:t xml:space="preserve"> Income, Expenditure and Reserve and Working Capital Funds (RWCF)</w:t>
      </w:r>
      <w:bookmarkEnd w:id="7"/>
      <w:bookmarkEnd w:id="8"/>
    </w:p>
    <w:p w:rsidR="00917841" w:rsidRPr="00D03AEC" w:rsidRDefault="00917841" w:rsidP="00917841">
      <w:pPr>
        <w:spacing w:after="200" w:line="276" w:lineRule="auto"/>
        <w:jc w:val="center"/>
        <w:rPr>
          <w:rFonts w:eastAsiaTheme="minorHAnsi" w:cs="Arial"/>
          <w:i/>
        </w:rPr>
      </w:pPr>
      <w:r w:rsidRPr="00D03AEC">
        <w:rPr>
          <w:rFonts w:eastAsiaTheme="minorHAnsi" w:cs="Arial"/>
          <w:i/>
        </w:rPr>
        <w:t>(in thousands of Swiss francs)</w:t>
      </w:r>
    </w:p>
    <w:p w:rsidR="004A4D0E" w:rsidRDefault="00541C9B" w:rsidP="006A090C">
      <w:pPr>
        <w:spacing w:line="276" w:lineRule="auto"/>
        <w:jc w:val="center"/>
        <w:rPr>
          <w:rFonts w:eastAsiaTheme="minorHAnsi" w:cs="Arial"/>
          <w:i/>
          <w:sz w:val="22"/>
          <w:szCs w:val="22"/>
          <w:highlight w:val="yellow"/>
        </w:rPr>
      </w:pPr>
      <w:r w:rsidRPr="00541C9B">
        <w:rPr>
          <w:rFonts w:eastAsiaTheme="minorHAnsi"/>
          <w:noProof/>
        </w:rPr>
        <w:drawing>
          <wp:inline distT="0" distB="0" distL="0" distR="0" wp14:anchorId="5156F760" wp14:editId="105D0CFF">
            <wp:extent cx="5495290" cy="27260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5290" cy="2726055"/>
                    </a:xfrm>
                    <a:prstGeom prst="rect">
                      <a:avLst/>
                    </a:prstGeom>
                    <a:noFill/>
                    <a:ln>
                      <a:noFill/>
                    </a:ln>
                  </pic:spPr>
                </pic:pic>
              </a:graphicData>
            </a:graphic>
          </wp:inline>
        </w:drawing>
      </w:r>
    </w:p>
    <w:p w:rsidR="005D01B0" w:rsidRPr="001F2AA5" w:rsidRDefault="005D01B0" w:rsidP="005D01B0">
      <w:pPr>
        <w:tabs>
          <w:tab w:val="left" w:pos="851"/>
        </w:tabs>
        <w:ind w:left="567" w:right="425"/>
        <w:rPr>
          <w:rFonts w:cs="Arial"/>
          <w:i/>
          <w:sz w:val="18"/>
          <w:szCs w:val="18"/>
        </w:rPr>
      </w:pPr>
      <w:r w:rsidRPr="001F2AA5">
        <w:rPr>
          <w:rFonts w:cs="Arial"/>
          <w:i/>
          <w:sz w:val="18"/>
          <w:szCs w:val="18"/>
        </w:rPr>
        <w:t>*</w:t>
      </w:r>
      <w:r>
        <w:rPr>
          <w:rFonts w:cs="Arial"/>
          <w:i/>
          <w:sz w:val="18"/>
          <w:szCs w:val="18"/>
        </w:rPr>
        <w:t xml:space="preserve"> </w:t>
      </w:r>
      <w:r w:rsidRPr="001F2AA5">
        <w:rPr>
          <w:rFonts w:cs="Arial"/>
          <w:i/>
          <w:sz w:val="18"/>
          <w:szCs w:val="18"/>
        </w:rPr>
        <w:t>In 2015, 183,824 Swiss francs, representing the amount of the reserve fund exceeding 15 per cent of the total income for the 2012-2013 Biennium, were transferred to a Special Project Fund for specific projects.  Of this amount, 114,151 Swiss francs</w:t>
      </w:r>
      <w:r>
        <w:rPr>
          <w:rFonts w:cs="Arial"/>
          <w:i/>
          <w:sz w:val="18"/>
          <w:szCs w:val="18"/>
        </w:rPr>
        <w:t xml:space="preserve"> and 55,716 Swiss francs</w:t>
      </w:r>
      <w:r w:rsidRPr="001F2AA5">
        <w:rPr>
          <w:rFonts w:cs="Arial"/>
          <w:i/>
          <w:sz w:val="18"/>
          <w:szCs w:val="18"/>
        </w:rPr>
        <w:t xml:space="preserve"> were expensed in 2015</w:t>
      </w:r>
      <w:r>
        <w:rPr>
          <w:rFonts w:cs="Arial"/>
          <w:i/>
          <w:sz w:val="18"/>
          <w:szCs w:val="18"/>
        </w:rPr>
        <w:t xml:space="preserve"> and respectively in 2016</w:t>
      </w:r>
      <w:r w:rsidRPr="001F2AA5">
        <w:rPr>
          <w:rFonts w:cs="Arial"/>
          <w:i/>
          <w:sz w:val="18"/>
          <w:szCs w:val="18"/>
        </w:rPr>
        <w:t xml:space="preserve">, leaving a balance of </w:t>
      </w:r>
      <w:r>
        <w:rPr>
          <w:rFonts w:cs="Arial"/>
          <w:i/>
          <w:sz w:val="18"/>
          <w:szCs w:val="18"/>
        </w:rPr>
        <w:t>13,957</w:t>
      </w:r>
      <w:r w:rsidRPr="001F2AA5">
        <w:rPr>
          <w:rFonts w:cs="Arial"/>
          <w:i/>
          <w:sz w:val="18"/>
          <w:szCs w:val="18"/>
        </w:rPr>
        <w:t xml:space="preserve"> Swiss francs as at December 31, 201</w:t>
      </w:r>
      <w:r>
        <w:rPr>
          <w:rFonts w:cs="Arial"/>
          <w:i/>
          <w:sz w:val="18"/>
          <w:szCs w:val="18"/>
        </w:rPr>
        <w:t>7</w:t>
      </w:r>
      <w:r w:rsidRPr="001F2AA5">
        <w:rPr>
          <w:rFonts w:cs="Arial"/>
          <w:i/>
          <w:sz w:val="18"/>
          <w:szCs w:val="18"/>
        </w:rPr>
        <w:t xml:space="preserve">.  </w:t>
      </w:r>
    </w:p>
    <w:p w:rsidR="00541C9B" w:rsidRDefault="00541C9B" w:rsidP="006A090C">
      <w:pPr>
        <w:spacing w:line="276" w:lineRule="auto"/>
        <w:jc w:val="center"/>
        <w:rPr>
          <w:rFonts w:eastAsiaTheme="minorHAnsi"/>
          <w:noProof/>
        </w:rPr>
      </w:pPr>
    </w:p>
    <w:p w:rsidR="006A562F" w:rsidRPr="00D24576" w:rsidRDefault="006A562F" w:rsidP="006A090C">
      <w:pPr>
        <w:spacing w:line="276" w:lineRule="auto"/>
        <w:jc w:val="center"/>
        <w:rPr>
          <w:rFonts w:eastAsiaTheme="minorHAnsi" w:cs="Arial"/>
          <w:i/>
          <w:sz w:val="22"/>
          <w:szCs w:val="22"/>
          <w:highlight w:val="yellow"/>
        </w:rPr>
      </w:pPr>
      <w:r w:rsidRPr="006A562F">
        <w:rPr>
          <w:rFonts w:eastAsiaTheme="minorHAnsi"/>
          <w:noProof/>
        </w:rPr>
        <w:drawing>
          <wp:inline distT="0" distB="0" distL="0" distR="0" wp14:anchorId="46ED4526" wp14:editId="17828CD6">
            <wp:extent cx="5170809" cy="276045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b="5882"/>
                    <a:stretch/>
                  </pic:blipFill>
                  <pic:spPr bwMode="auto">
                    <a:xfrm>
                      <a:off x="0" y="0"/>
                      <a:ext cx="5172075" cy="2761129"/>
                    </a:xfrm>
                    <a:prstGeom prst="rect">
                      <a:avLst/>
                    </a:prstGeom>
                    <a:noFill/>
                    <a:ln>
                      <a:noFill/>
                    </a:ln>
                    <a:extLst>
                      <a:ext uri="{53640926-AAD7-44D8-BBD7-CCE9431645EC}">
                        <a14:shadowObscured xmlns:a14="http://schemas.microsoft.com/office/drawing/2010/main"/>
                      </a:ext>
                    </a:extLst>
                  </pic:spPr>
                </pic:pic>
              </a:graphicData>
            </a:graphic>
          </wp:inline>
        </w:drawing>
      </w:r>
    </w:p>
    <w:p w:rsidR="0097434A" w:rsidRPr="00D24576" w:rsidRDefault="0097434A" w:rsidP="00CB3A9E">
      <w:pPr>
        <w:rPr>
          <w:rFonts w:eastAsiaTheme="minorHAnsi"/>
          <w:highlight w:val="yellow"/>
        </w:rPr>
      </w:pPr>
    </w:p>
    <w:p w:rsidR="0097434A" w:rsidRPr="00D24576" w:rsidRDefault="0097434A" w:rsidP="00CB3A9E">
      <w:pPr>
        <w:rPr>
          <w:highlight w:val="yellow"/>
        </w:rPr>
      </w:pPr>
    </w:p>
    <w:p w:rsidR="00F56DA2" w:rsidRDefault="00F56DA2" w:rsidP="00CB3A9E"/>
    <w:p w:rsidR="008402C8" w:rsidRPr="00AD0E42" w:rsidRDefault="008402C8" w:rsidP="00A8639B">
      <w:pPr>
        <w:keepLines/>
      </w:pPr>
      <w:r w:rsidRPr="00AD0E42">
        <w:lastRenderedPageBreak/>
        <w:t>The actual budgetary income amounted to 6</w:t>
      </w:r>
      <w:r w:rsidR="0093390A">
        <w:t>.85</w:t>
      </w:r>
      <w:r w:rsidRPr="00AD0E42">
        <w:t xml:space="preserve"> million Swiss francs in the 201</w:t>
      </w:r>
      <w:r w:rsidR="005E59FF">
        <w:t>6</w:t>
      </w:r>
      <w:r w:rsidRPr="00AD0E42">
        <w:t>-201</w:t>
      </w:r>
      <w:r w:rsidR="005E59FF">
        <w:t>7</w:t>
      </w:r>
      <w:r w:rsidRPr="00AD0E42">
        <w:t xml:space="preserve"> Biennium, </w:t>
      </w:r>
      <w:r w:rsidR="00CB3A9E" w:rsidRPr="00AD0E42">
        <w:t>i.e. </w:t>
      </w:r>
      <w:r w:rsidR="00EF3110">
        <w:t>28 </w:t>
      </w:r>
      <w:r w:rsidR="005E59FF">
        <w:t>thousand</w:t>
      </w:r>
      <w:r w:rsidR="005E59FF" w:rsidRPr="00AD0E42">
        <w:t> </w:t>
      </w:r>
      <w:r w:rsidRPr="00AD0E42">
        <w:t xml:space="preserve">Swiss francs </w:t>
      </w:r>
      <w:r w:rsidR="006D678D">
        <w:t>higher</w:t>
      </w:r>
      <w:r w:rsidR="006D678D" w:rsidRPr="00AD0E42">
        <w:t xml:space="preserve"> </w:t>
      </w:r>
      <w:r w:rsidRPr="00AD0E42">
        <w:t xml:space="preserve">than the budgeted target (Table 2 below).  Income from contributions continued to be the single largest source of income representing 98 per cent of the total income, in line with the approved </w:t>
      </w:r>
      <w:r w:rsidR="006727B5" w:rsidRPr="00AD0E42">
        <w:t>201</w:t>
      </w:r>
      <w:r w:rsidR="008D7320">
        <w:t>6</w:t>
      </w:r>
      <w:r w:rsidR="006727B5" w:rsidRPr="00AD0E42">
        <w:t>-20</w:t>
      </w:r>
      <w:r w:rsidRPr="00AD0E42">
        <w:t>1</w:t>
      </w:r>
      <w:r w:rsidR="008D7320">
        <w:t>7</w:t>
      </w:r>
      <w:r w:rsidRPr="00AD0E42">
        <w:t xml:space="preserve"> Program and Budget.</w:t>
      </w:r>
      <w:r w:rsidR="00311E74">
        <w:t xml:space="preserve">  </w:t>
      </w:r>
      <w:r w:rsidR="006B621B">
        <w:t>In the 2016-20</w:t>
      </w:r>
      <w:r w:rsidR="006D678D">
        <w:t xml:space="preserve">17 </w:t>
      </w:r>
      <w:r w:rsidR="006B621B">
        <w:t>Biennium</w:t>
      </w:r>
      <w:r w:rsidR="006D678D">
        <w:t xml:space="preserve">, </w:t>
      </w:r>
      <w:r w:rsidR="006D678D" w:rsidRPr="00B85860">
        <w:t xml:space="preserve">actual </w:t>
      </w:r>
      <w:r w:rsidR="006D678D" w:rsidRPr="008B4E67">
        <w:t xml:space="preserve">contributions </w:t>
      </w:r>
      <w:r w:rsidR="0093390A">
        <w:rPr>
          <w:color w:val="000000" w:themeColor="text1"/>
        </w:rPr>
        <w:t xml:space="preserve">were </w:t>
      </w:r>
      <w:r w:rsidR="006D678D" w:rsidRPr="00B85860">
        <w:rPr>
          <w:color w:val="000000" w:themeColor="text1"/>
        </w:rPr>
        <w:t>slightly higher</w:t>
      </w:r>
      <w:r w:rsidR="006D678D" w:rsidRPr="00B85860">
        <w:t xml:space="preserve"> than budget</w:t>
      </w:r>
      <w:r w:rsidR="006D678D">
        <w:t>ed</w:t>
      </w:r>
      <w:r w:rsidR="006D678D" w:rsidRPr="00B85860">
        <w:t xml:space="preserve">, corresponding to </w:t>
      </w:r>
      <w:r w:rsidR="006D678D">
        <w:t>two</w:t>
      </w:r>
      <w:r w:rsidR="006D678D" w:rsidRPr="00B85860">
        <w:t xml:space="preserve"> additional 0.2 contribution units</w:t>
      </w:r>
      <w:r w:rsidR="00CB3A9E" w:rsidRPr="00AD0E42">
        <w:t>.  No </w:t>
      </w:r>
      <w:r w:rsidRPr="00AD0E42">
        <w:t>income was generated from publications</w:t>
      </w:r>
      <w:r w:rsidR="006727B5" w:rsidRPr="00AD0E42">
        <w:t xml:space="preserve"> in the 201</w:t>
      </w:r>
      <w:r w:rsidR="008D7320">
        <w:t>6</w:t>
      </w:r>
      <w:r w:rsidR="006727B5" w:rsidRPr="00AD0E42">
        <w:t>-20</w:t>
      </w:r>
      <w:r w:rsidRPr="00AD0E42">
        <w:t>1</w:t>
      </w:r>
      <w:r w:rsidR="008D7320">
        <w:t>7</w:t>
      </w:r>
      <w:r w:rsidRPr="00AD0E42">
        <w:t xml:space="preserve"> </w:t>
      </w:r>
      <w:r w:rsidR="006B621B">
        <w:t>Biennium</w:t>
      </w:r>
      <w:r w:rsidRPr="00AD0E42">
        <w:t xml:space="preserve"> because all publications are available free of charge.  No interest was earned on funds placed with the Swiss Federal Finance Administration (AFF) due to the change in the interest rate policies of the AFF</w:t>
      </w:r>
      <w:r w:rsidR="0097434A" w:rsidRPr="00AD0E42">
        <w:t>.</w:t>
      </w:r>
      <w:r w:rsidR="00311E74">
        <w:t xml:space="preserve">  </w:t>
      </w:r>
      <w:r w:rsidR="00CB3A9E" w:rsidRPr="00AD0E42">
        <w:t>Other </w:t>
      </w:r>
      <w:r w:rsidRPr="00AD0E42">
        <w:t xml:space="preserve">income </w:t>
      </w:r>
      <w:r w:rsidR="0097434A" w:rsidRPr="00AD0E42">
        <w:t>amounted to 1</w:t>
      </w:r>
      <w:r w:rsidR="008D7320">
        <w:t>17</w:t>
      </w:r>
      <w:r w:rsidR="0097434A" w:rsidRPr="00AD0E42">
        <w:t xml:space="preserve"> thousand</w:t>
      </w:r>
      <w:r w:rsidRPr="00AD0E42">
        <w:t xml:space="preserve"> Swiss francs</w:t>
      </w:r>
      <w:r w:rsidR="0097434A" w:rsidRPr="00AD0E42">
        <w:t xml:space="preserve">, i.e. </w:t>
      </w:r>
      <w:r w:rsidR="00F4290B">
        <w:t>29 thousand</w:t>
      </w:r>
      <w:r w:rsidR="0097434A" w:rsidRPr="00AD0E42">
        <w:t> </w:t>
      </w:r>
      <w:r w:rsidRPr="00AD0E42">
        <w:t xml:space="preserve">Swiss francs more than the budgeted figure.  Other income included revenue generated from administrative support costs under </w:t>
      </w:r>
      <w:r w:rsidR="00CB3A9E" w:rsidRPr="00AD0E42">
        <w:t xml:space="preserve">the extra-budgetary funds </w:t>
      </w:r>
      <w:r w:rsidR="0093390A">
        <w:t xml:space="preserve">i.e. </w:t>
      </w:r>
      <w:r w:rsidRPr="00AD0E42">
        <w:t>Funds-in-Trusts</w:t>
      </w:r>
      <w:r w:rsidR="0093390A">
        <w:t xml:space="preserve"> (FITs</w:t>
      </w:r>
      <w:r w:rsidR="00311E74">
        <w:t>)</w:t>
      </w:r>
      <w:r w:rsidRPr="00AD0E42">
        <w:t xml:space="preserve">, fee income from participants in the UPOV distance learning program and accounting adjustments for previous years. </w:t>
      </w:r>
      <w:r w:rsidR="006D678D">
        <w:t xml:space="preserve"> Higher </w:t>
      </w:r>
      <w:r w:rsidR="0093390A">
        <w:t xml:space="preserve">than budgeted </w:t>
      </w:r>
      <w:r w:rsidR="006D678D">
        <w:t xml:space="preserve">contributions, </w:t>
      </w:r>
      <w:r w:rsidR="0093390A">
        <w:t>(</w:t>
      </w:r>
      <w:r w:rsidR="006D678D" w:rsidRPr="006D678D">
        <w:t>6,731,924 Swiss francs instead of 6,710,000 Swiss francs)</w:t>
      </w:r>
      <w:r w:rsidR="006D678D">
        <w:t>,</w:t>
      </w:r>
      <w:r w:rsidR="0093390A">
        <w:t xml:space="preserve"> higher </w:t>
      </w:r>
      <w:r w:rsidR="00E50F44">
        <w:t>income from</w:t>
      </w:r>
      <w:r w:rsidR="006D678D">
        <w:t xml:space="preserve"> </w:t>
      </w:r>
      <w:r w:rsidR="006D678D">
        <w:rPr>
          <w:color w:val="000000" w:themeColor="text1"/>
        </w:rPr>
        <w:t xml:space="preserve">administrative fees for </w:t>
      </w:r>
      <w:r w:rsidR="0093390A">
        <w:rPr>
          <w:color w:val="000000" w:themeColor="text1"/>
        </w:rPr>
        <w:t xml:space="preserve">FITs </w:t>
      </w:r>
      <w:r w:rsidR="006D678D">
        <w:rPr>
          <w:color w:val="000000" w:themeColor="text1"/>
        </w:rPr>
        <w:t>(75,361</w:t>
      </w:r>
      <w:r w:rsidR="006D678D" w:rsidRPr="00B85860">
        <w:rPr>
          <w:color w:val="000000" w:themeColor="text1"/>
        </w:rPr>
        <w:t xml:space="preserve"> Swiss francs</w:t>
      </w:r>
      <w:r w:rsidR="006D678D">
        <w:rPr>
          <w:color w:val="000000" w:themeColor="text1"/>
        </w:rPr>
        <w:t xml:space="preserve"> instead of 57</w:t>
      </w:r>
      <w:r w:rsidR="006D678D" w:rsidRPr="00B85860">
        <w:rPr>
          <w:color w:val="000000" w:themeColor="text1"/>
        </w:rPr>
        <w:t xml:space="preserve">,000 Swiss </w:t>
      </w:r>
      <w:r w:rsidR="006D678D" w:rsidRPr="008B4E67">
        <w:rPr>
          <w:color w:val="000000" w:themeColor="text1"/>
        </w:rPr>
        <w:t>francs) and a credit note for an overcharge for agency staff in 2016</w:t>
      </w:r>
      <w:r w:rsidR="006D678D">
        <w:rPr>
          <w:color w:val="000000" w:themeColor="text1"/>
        </w:rPr>
        <w:t xml:space="preserve"> (10</w:t>
      </w:r>
      <w:r w:rsidR="006D678D" w:rsidRPr="008B4E67">
        <w:rPr>
          <w:color w:val="000000" w:themeColor="text1"/>
        </w:rPr>
        <w:t>,773 Swiss francs) compensated for l</w:t>
      </w:r>
      <w:r w:rsidR="006D678D" w:rsidRPr="008B4E67">
        <w:t xml:space="preserve">ower than budgeted income from </w:t>
      </w:r>
      <w:r w:rsidR="006D678D" w:rsidRPr="008B4E67">
        <w:rPr>
          <w:rFonts w:cs="Arial"/>
        </w:rPr>
        <w:t>Electronic Application Form</w:t>
      </w:r>
      <w:r w:rsidR="006D678D" w:rsidRPr="008B4E67">
        <w:t xml:space="preserve"> fees (</w:t>
      </w:r>
      <w:r w:rsidR="006D678D" w:rsidRPr="008B4E67">
        <w:rPr>
          <w:color w:val="000000" w:themeColor="text1"/>
        </w:rPr>
        <w:t>1,841 Swiss francs instead of 25,000 Swiss francs).</w:t>
      </w:r>
    </w:p>
    <w:p w:rsidR="004D202D" w:rsidRPr="00D24576" w:rsidRDefault="004D202D" w:rsidP="008402C8">
      <w:pPr>
        <w:rPr>
          <w:rFonts w:eastAsiaTheme="minorHAnsi" w:cs="Arial"/>
          <w:b/>
          <w:highlight w:val="yellow"/>
          <w:u w:val="single"/>
        </w:rPr>
      </w:pPr>
    </w:p>
    <w:p w:rsidR="00917841" w:rsidRPr="007F2BCB" w:rsidRDefault="00917841" w:rsidP="00683089">
      <w:pPr>
        <w:pStyle w:val="Heading2"/>
      </w:pPr>
      <w:bookmarkStart w:id="9" w:name="_Toc460229913"/>
      <w:bookmarkStart w:id="10" w:name="_Toc522808844"/>
      <w:r w:rsidRPr="007F2BCB">
        <w:t>T</w:t>
      </w:r>
      <w:r w:rsidR="006A090C" w:rsidRPr="007F2BCB">
        <w:t>able 2.</w:t>
      </w:r>
      <w:r w:rsidR="007F2BCB" w:rsidRPr="007F2BCB">
        <w:t xml:space="preserve"> 2016</w:t>
      </w:r>
      <w:r w:rsidR="00ED20BB" w:rsidRPr="007F2BCB">
        <w:t>-20</w:t>
      </w:r>
      <w:r w:rsidR="007F2BCB" w:rsidRPr="007F2BCB">
        <w:t>17</w:t>
      </w:r>
      <w:r w:rsidRPr="007F2BCB">
        <w:t xml:space="preserve"> Budgeted and Actual Income by Source</w:t>
      </w:r>
      <w:bookmarkEnd w:id="9"/>
      <w:bookmarkEnd w:id="10"/>
    </w:p>
    <w:p w:rsidR="00917841" w:rsidRPr="007F2BCB" w:rsidRDefault="00917841" w:rsidP="00917841">
      <w:pPr>
        <w:spacing w:after="200" w:line="276" w:lineRule="auto"/>
        <w:jc w:val="center"/>
        <w:rPr>
          <w:rFonts w:eastAsiaTheme="minorHAnsi" w:cs="Arial"/>
          <w:i/>
        </w:rPr>
      </w:pPr>
      <w:r w:rsidRPr="007F2BCB">
        <w:rPr>
          <w:rFonts w:eastAsiaTheme="minorHAnsi" w:cs="Arial"/>
          <w:i/>
        </w:rPr>
        <w:t>(in thousands of Swiss francs)</w:t>
      </w:r>
    </w:p>
    <w:p w:rsidR="0097434A" w:rsidRPr="00D24576" w:rsidRDefault="007F2BCB" w:rsidP="00917841">
      <w:pPr>
        <w:spacing w:after="200" w:line="276" w:lineRule="auto"/>
        <w:jc w:val="center"/>
        <w:rPr>
          <w:rFonts w:eastAsiaTheme="minorHAnsi" w:cs="Arial"/>
          <w:b/>
          <w:sz w:val="22"/>
          <w:szCs w:val="22"/>
          <w:highlight w:val="yellow"/>
        </w:rPr>
      </w:pPr>
      <w:r w:rsidRPr="007F2BCB">
        <w:rPr>
          <w:rFonts w:eastAsiaTheme="minorHAnsi"/>
          <w:noProof/>
        </w:rPr>
        <w:drawing>
          <wp:inline distT="0" distB="0" distL="0" distR="0" wp14:anchorId="61BC2E4B" wp14:editId="0B48E6DD">
            <wp:extent cx="4714875" cy="1895475"/>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4875" cy="1895475"/>
                    </a:xfrm>
                    <a:prstGeom prst="rect">
                      <a:avLst/>
                    </a:prstGeom>
                    <a:noFill/>
                    <a:ln>
                      <a:noFill/>
                    </a:ln>
                  </pic:spPr>
                </pic:pic>
              </a:graphicData>
            </a:graphic>
          </wp:inline>
        </w:drawing>
      </w:r>
    </w:p>
    <w:p w:rsidR="00917841" w:rsidRPr="00D24576" w:rsidRDefault="007F2BCB" w:rsidP="00CB3A9E">
      <w:pPr>
        <w:jc w:val="center"/>
        <w:rPr>
          <w:rFonts w:eastAsiaTheme="minorHAnsi"/>
          <w:highlight w:val="yellow"/>
        </w:rPr>
      </w:pPr>
      <w:r>
        <w:rPr>
          <w:rFonts w:eastAsiaTheme="minorHAnsi"/>
          <w:noProof/>
        </w:rPr>
        <w:drawing>
          <wp:inline distT="0" distB="0" distL="0" distR="0" wp14:anchorId="06CD6A2E" wp14:editId="116F1B8A">
            <wp:extent cx="4572635" cy="2743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rsidR="00917841" w:rsidRPr="00D24576" w:rsidRDefault="00917841" w:rsidP="00CB3A9E">
      <w:pPr>
        <w:rPr>
          <w:rFonts w:eastAsiaTheme="minorHAnsi"/>
          <w:highlight w:val="yellow"/>
        </w:rPr>
      </w:pPr>
    </w:p>
    <w:p w:rsidR="0097434A" w:rsidRPr="00D24576" w:rsidRDefault="0097434A">
      <w:pPr>
        <w:rPr>
          <w:rFonts w:cs="Arial"/>
          <w:highlight w:val="yellow"/>
        </w:rPr>
      </w:pPr>
      <w:r w:rsidRPr="00D24576">
        <w:rPr>
          <w:rFonts w:cs="Arial"/>
          <w:highlight w:val="yellow"/>
        </w:rPr>
        <w:br w:type="page"/>
      </w:r>
    </w:p>
    <w:p w:rsidR="00EE7438" w:rsidRPr="00AD0E42" w:rsidRDefault="0097434A" w:rsidP="00CB3A9E">
      <w:pPr>
        <w:rPr>
          <w:rFonts w:eastAsiaTheme="minorHAnsi"/>
          <w:sz w:val="22"/>
          <w:szCs w:val="22"/>
        </w:rPr>
      </w:pPr>
      <w:r w:rsidRPr="00AD0E42">
        <w:lastRenderedPageBreak/>
        <w:t>Actual expenditure in 201</w:t>
      </w:r>
      <w:r w:rsidR="006D678D" w:rsidRPr="00AD0E42">
        <w:t>6</w:t>
      </w:r>
      <w:r w:rsidRPr="00AD0E42">
        <w:t>-201</w:t>
      </w:r>
      <w:r w:rsidR="006D678D" w:rsidRPr="00AD0E42">
        <w:t>7</w:t>
      </w:r>
      <w:r w:rsidRPr="00AD0E42">
        <w:t xml:space="preserve"> compared to the approved 201</w:t>
      </w:r>
      <w:r w:rsidR="006D678D" w:rsidRPr="00AD0E42">
        <w:t>6</w:t>
      </w:r>
      <w:r w:rsidRPr="00AD0E42">
        <w:t>-201</w:t>
      </w:r>
      <w:r w:rsidR="006D678D" w:rsidRPr="00AD0E42">
        <w:t>7</w:t>
      </w:r>
      <w:r w:rsidRPr="00AD0E42">
        <w:t xml:space="preserve"> Program and Budget is presented below by cost categories </w:t>
      </w:r>
      <w:r w:rsidR="00A74815" w:rsidRPr="00714343">
        <w:t xml:space="preserve">in Table 3 </w:t>
      </w:r>
      <w:r w:rsidRPr="00AD0E42">
        <w:t>and by sub-programs</w:t>
      </w:r>
      <w:r w:rsidR="00A74815" w:rsidRPr="00A74815">
        <w:t xml:space="preserve"> </w:t>
      </w:r>
      <w:r w:rsidR="00A74815" w:rsidRPr="009A2041">
        <w:t>in Table 4</w:t>
      </w:r>
      <w:r w:rsidRPr="00AD0E42">
        <w:t xml:space="preserve">.  </w:t>
      </w:r>
    </w:p>
    <w:p w:rsidR="0097434A" w:rsidRPr="00D24576" w:rsidRDefault="0097434A" w:rsidP="00CB3A9E">
      <w:pPr>
        <w:rPr>
          <w:rFonts w:eastAsiaTheme="minorHAnsi"/>
          <w:highlight w:val="yellow"/>
        </w:rPr>
      </w:pPr>
    </w:p>
    <w:p w:rsidR="00917841" w:rsidRPr="007F2BCB" w:rsidRDefault="00917841" w:rsidP="00683089">
      <w:pPr>
        <w:pStyle w:val="Heading2"/>
      </w:pPr>
      <w:bookmarkStart w:id="11" w:name="_Toc522808845"/>
      <w:r w:rsidRPr="007F2BCB">
        <w:t>Table 3.</w:t>
      </w:r>
      <w:r w:rsidR="000E15D4" w:rsidRPr="007F2BCB">
        <w:t xml:space="preserve"> </w:t>
      </w:r>
      <w:r w:rsidR="007F2BCB" w:rsidRPr="007F2BCB">
        <w:t>2016</w:t>
      </w:r>
      <w:r w:rsidR="00ED20BB" w:rsidRPr="007F2BCB">
        <w:t>-20</w:t>
      </w:r>
      <w:r w:rsidR="007F2BCB" w:rsidRPr="007F2BCB">
        <w:t>17</w:t>
      </w:r>
      <w:r w:rsidRPr="007F2BCB">
        <w:t xml:space="preserve"> Approved Budget and Expenditure by Object of Expenditure</w:t>
      </w:r>
      <w:bookmarkEnd w:id="11"/>
    </w:p>
    <w:p w:rsidR="00917841" w:rsidRPr="007F2BCB" w:rsidRDefault="00917841" w:rsidP="00917841">
      <w:pPr>
        <w:spacing w:after="200" w:line="276" w:lineRule="auto"/>
        <w:jc w:val="center"/>
        <w:rPr>
          <w:rFonts w:eastAsiaTheme="minorHAnsi" w:cs="Arial"/>
          <w:i/>
        </w:rPr>
      </w:pPr>
      <w:r w:rsidRPr="007F2BCB">
        <w:rPr>
          <w:rFonts w:eastAsiaTheme="minorHAnsi" w:cs="Arial"/>
          <w:i/>
        </w:rPr>
        <w:t>(in thousands of Swiss francs)</w:t>
      </w:r>
    </w:p>
    <w:p w:rsidR="00FC393E" w:rsidRPr="00D24576" w:rsidRDefault="007F2BCB" w:rsidP="00743C2D">
      <w:pPr>
        <w:spacing w:line="276" w:lineRule="auto"/>
        <w:jc w:val="center"/>
        <w:rPr>
          <w:rFonts w:eastAsiaTheme="minorHAnsi" w:cs="Arial"/>
          <w:sz w:val="22"/>
          <w:szCs w:val="22"/>
          <w:highlight w:val="yellow"/>
        </w:rPr>
      </w:pPr>
      <w:r w:rsidRPr="007F2BCB">
        <w:rPr>
          <w:rFonts w:eastAsiaTheme="minorHAnsi"/>
          <w:noProof/>
        </w:rPr>
        <w:drawing>
          <wp:inline distT="0" distB="0" distL="0" distR="0" wp14:anchorId="79048BD5" wp14:editId="3E755A19">
            <wp:extent cx="5838825" cy="5229225"/>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38825" cy="5229225"/>
                    </a:xfrm>
                    <a:prstGeom prst="rect">
                      <a:avLst/>
                    </a:prstGeom>
                    <a:noFill/>
                    <a:ln>
                      <a:noFill/>
                    </a:ln>
                  </pic:spPr>
                </pic:pic>
              </a:graphicData>
            </a:graphic>
          </wp:inline>
        </w:drawing>
      </w:r>
    </w:p>
    <w:p w:rsidR="00150B2B" w:rsidRPr="00AD0E42" w:rsidRDefault="00CB3A9E" w:rsidP="00CB3A9E">
      <w:pPr>
        <w:tabs>
          <w:tab w:val="left" w:pos="567"/>
        </w:tabs>
        <w:spacing w:line="276" w:lineRule="auto"/>
        <w:ind w:left="567" w:right="283" w:hanging="283"/>
        <w:rPr>
          <w:rFonts w:eastAsiaTheme="minorHAnsi" w:cs="Arial"/>
          <w:sz w:val="18"/>
          <w:szCs w:val="18"/>
        </w:rPr>
      </w:pPr>
      <w:r w:rsidRPr="00AD0E42">
        <w:rPr>
          <w:rFonts w:eastAsiaTheme="minorHAnsi" w:cs="Arial"/>
          <w:sz w:val="18"/>
          <w:szCs w:val="18"/>
        </w:rPr>
        <w:t>*</w:t>
      </w:r>
      <w:r w:rsidRPr="00AD0E42">
        <w:rPr>
          <w:rFonts w:eastAsiaTheme="minorHAnsi" w:cs="Arial"/>
          <w:sz w:val="18"/>
          <w:szCs w:val="18"/>
        </w:rPr>
        <w:tab/>
      </w:r>
      <w:r w:rsidR="00150B2B" w:rsidRPr="00AD0E42">
        <w:rPr>
          <w:rFonts w:cs="Arial"/>
          <w:sz w:val="18"/>
          <w:szCs w:val="18"/>
        </w:rPr>
        <w:t xml:space="preserve">Any differences in numbers between this table and subsequent tables from the </w:t>
      </w:r>
      <w:r w:rsidR="00164861" w:rsidRPr="00AD0E42">
        <w:rPr>
          <w:rFonts w:cs="Arial"/>
          <w:sz w:val="18"/>
          <w:szCs w:val="18"/>
        </w:rPr>
        <w:t xml:space="preserve">Financial Statements </w:t>
      </w:r>
      <w:r w:rsidR="00150B2B" w:rsidRPr="00AD0E42">
        <w:rPr>
          <w:rFonts w:cs="Arial"/>
          <w:sz w:val="18"/>
          <w:szCs w:val="18"/>
        </w:rPr>
        <w:t>are due to rounding.</w:t>
      </w:r>
    </w:p>
    <w:p w:rsidR="00235388" w:rsidRPr="00D24576" w:rsidRDefault="00235388" w:rsidP="00683089">
      <w:pPr>
        <w:pStyle w:val="Heading3"/>
        <w:rPr>
          <w:highlight w:val="yellow"/>
        </w:rPr>
      </w:pPr>
    </w:p>
    <w:p w:rsidR="00DC1903" w:rsidRPr="00D24576" w:rsidRDefault="00DC1903">
      <w:pPr>
        <w:rPr>
          <w:rFonts w:eastAsiaTheme="minorHAnsi" w:cs="Arial"/>
          <w:b/>
          <w:highlight w:val="yellow"/>
          <w:u w:val="single"/>
        </w:rPr>
      </w:pPr>
      <w:r w:rsidRPr="00D24576">
        <w:rPr>
          <w:rFonts w:cs="Arial"/>
          <w:highlight w:val="yellow"/>
        </w:rPr>
        <w:br w:type="page"/>
      </w:r>
    </w:p>
    <w:p w:rsidR="00917841" w:rsidRPr="00294E4B" w:rsidRDefault="00917841" w:rsidP="00683089">
      <w:pPr>
        <w:pStyle w:val="Heading2"/>
      </w:pPr>
      <w:bookmarkStart w:id="12" w:name="_Toc460229915"/>
      <w:bookmarkStart w:id="13" w:name="_Toc522808846"/>
      <w:r w:rsidRPr="00294E4B">
        <w:lastRenderedPageBreak/>
        <w:t>Table 4.</w:t>
      </w:r>
      <w:r w:rsidR="000E15D4" w:rsidRPr="00294E4B">
        <w:t xml:space="preserve"> </w:t>
      </w:r>
      <w:r w:rsidR="00294E4B">
        <w:t>2016</w:t>
      </w:r>
      <w:r w:rsidR="006B4C1F" w:rsidRPr="00294E4B">
        <w:t>-20</w:t>
      </w:r>
      <w:r w:rsidR="00294E4B">
        <w:t>17</w:t>
      </w:r>
      <w:r w:rsidRPr="00294E4B">
        <w:t xml:space="preserve"> Approved Budget and Expenditure by Sub-Programs</w:t>
      </w:r>
      <w:bookmarkEnd w:id="12"/>
      <w:bookmarkEnd w:id="13"/>
    </w:p>
    <w:p w:rsidR="00917841" w:rsidRPr="00294E4B" w:rsidRDefault="00917841" w:rsidP="00917841">
      <w:pPr>
        <w:spacing w:after="200" w:line="276" w:lineRule="auto"/>
        <w:jc w:val="center"/>
        <w:rPr>
          <w:rFonts w:eastAsiaTheme="minorHAnsi" w:cs="Arial"/>
          <w:i/>
        </w:rPr>
      </w:pPr>
      <w:r w:rsidRPr="00294E4B">
        <w:rPr>
          <w:rFonts w:eastAsiaTheme="minorHAnsi" w:cs="Arial"/>
          <w:i/>
        </w:rPr>
        <w:t>(in thousands of Swiss francs)</w:t>
      </w:r>
    </w:p>
    <w:p w:rsidR="00A36ABA" w:rsidRPr="00D24576" w:rsidRDefault="00294E4B" w:rsidP="000B34D5">
      <w:pPr>
        <w:jc w:val="center"/>
        <w:rPr>
          <w:rFonts w:eastAsiaTheme="minorHAnsi" w:cs="Arial"/>
          <w:b/>
          <w:sz w:val="22"/>
          <w:szCs w:val="22"/>
          <w:highlight w:val="yellow"/>
        </w:rPr>
      </w:pPr>
      <w:r w:rsidRPr="00294E4B">
        <w:rPr>
          <w:rFonts w:eastAsiaTheme="minorHAnsi"/>
          <w:noProof/>
        </w:rPr>
        <w:drawing>
          <wp:inline distT="0" distB="0" distL="0" distR="0" wp14:anchorId="72AEF709" wp14:editId="3D47F946">
            <wp:extent cx="6120765" cy="218012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2180123"/>
                    </a:xfrm>
                    <a:prstGeom prst="rect">
                      <a:avLst/>
                    </a:prstGeom>
                    <a:noFill/>
                    <a:ln>
                      <a:noFill/>
                    </a:ln>
                  </pic:spPr>
                </pic:pic>
              </a:graphicData>
            </a:graphic>
          </wp:inline>
        </w:drawing>
      </w:r>
    </w:p>
    <w:p w:rsidR="00917841" w:rsidRPr="00AD0E42" w:rsidRDefault="00917841" w:rsidP="00CB3A9E">
      <w:pPr>
        <w:rPr>
          <w:rFonts w:cs="Arial"/>
          <w:u w:val="single"/>
        </w:rPr>
      </w:pPr>
      <w:r w:rsidRPr="00AD0E42">
        <w:rPr>
          <w:rFonts w:cs="Arial"/>
          <w:u w:val="single"/>
        </w:rPr>
        <w:t>Personnel Resources</w:t>
      </w:r>
    </w:p>
    <w:p w:rsidR="00CB3A9E" w:rsidRPr="00AD0E42" w:rsidRDefault="00CB3A9E" w:rsidP="00CB3A9E">
      <w:pPr>
        <w:rPr>
          <w:rFonts w:cs="Arial"/>
        </w:rPr>
      </w:pPr>
    </w:p>
    <w:p w:rsidR="00DC1903" w:rsidRPr="00AD0E42" w:rsidRDefault="00DC1903" w:rsidP="00CB3A9E">
      <w:pPr>
        <w:rPr>
          <w:rFonts w:cs="Arial"/>
        </w:rPr>
      </w:pPr>
      <w:r w:rsidRPr="00AD0E42">
        <w:rPr>
          <w:rFonts w:cs="Arial"/>
        </w:rPr>
        <w:t>Personnel expenditure (before IPSAS adjustments) amounted to 4.</w:t>
      </w:r>
      <w:r w:rsidR="006C7505" w:rsidRPr="00AD0E42">
        <w:rPr>
          <w:rFonts w:cs="Arial"/>
        </w:rPr>
        <w:t>2</w:t>
      </w:r>
      <w:r w:rsidR="00736695">
        <w:rPr>
          <w:rFonts w:cs="Arial"/>
        </w:rPr>
        <w:t>5</w:t>
      </w:r>
      <w:r w:rsidRPr="00AD0E42">
        <w:rPr>
          <w:rFonts w:cs="Arial"/>
        </w:rPr>
        <w:t xml:space="preserve"> million Swiss francs in 201</w:t>
      </w:r>
      <w:r w:rsidR="006C7505" w:rsidRPr="00AD0E42">
        <w:rPr>
          <w:rFonts w:cs="Arial"/>
        </w:rPr>
        <w:t>6</w:t>
      </w:r>
      <w:r w:rsidRPr="00AD0E42">
        <w:rPr>
          <w:rFonts w:cs="Arial"/>
        </w:rPr>
        <w:t>-201</w:t>
      </w:r>
      <w:r w:rsidR="006C7505" w:rsidRPr="00AD0E42">
        <w:rPr>
          <w:rFonts w:cs="Arial"/>
        </w:rPr>
        <w:t>7</w:t>
      </w:r>
      <w:r w:rsidRPr="00AD0E42">
        <w:rPr>
          <w:rFonts w:cs="Arial"/>
        </w:rPr>
        <w:t xml:space="preserve">, </w:t>
      </w:r>
      <w:r w:rsidR="006C7505" w:rsidRPr="00AD0E42">
        <w:rPr>
          <w:rFonts w:cs="Arial"/>
        </w:rPr>
        <w:t>107,826</w:t>
      </w:r>
      <w:r w:rsidRPr="00AD0E42">
        <w:rPr>
          <w:rFonts w:cs="Arial"/>
        </w:rPr>
        <w:t xml:space="preserve"> Swiss francs less than the approved 201</w:t>
      </w:r>
      <w:r w:rsidR="009C320F" w:rsidRPr="00AD0E42">
        <w:rPr>
          <w:rFonts w:cs="Arial"/>
        </w:rPr>
        <w:t>6</w:t>
      </w:r>
      <w:r w:rsidRPr="00AD0E42">
        <w:rPr>
          <w:rFonts w:cs="Arial"/>
        </w:rPr>
        <w:t>-201</w:t>
      </w:r>
      <w:r w:rsidR="009C320F" w:rsidRPr="00AD0E42">
        <w:rPr>
          <w:rFonts w:cs="Arial"/>
        </w:rPr>
        <w:t>7</w:t>
      </w:r>
      <w:r w:rsidRPr="00AD0E42">
        <w:rPr>
          <w:rFonts w:cs="Arial"/>
        </w:rPr>
        <w:t xml:space="preserve"> Program and Budget. This reduction was due to lower expenditure under posts, offset partly by higher expenditure under temporary staff.  Expenditure on posts was lower than expected, due to </w:t>
      </w:r>
      <w:r w:rsidR="009C320F" w:rsidRPr="009C320F">
        <w:rPr>
          <w:rFonts w:cs="Arial"/>
        </w:rPr>
        <w:t xml:space="preserve">a post in the professional category being </w:t>
      </w:r>
      <w:r w:rsidR="00AE0717">
        <w:rPr>
          <w:rFonts w:cs="Arial"/>
        </w:rPr>
        <w:t>filled by a temporary staff in 2017</w:t>
      </w:r>
      <w:r w:rsidR="009C320F" w:rsidRPr="009C320F">
        <w:rPr>
          <w:rFonts w:cs="Arial"/>
        </w:rPr>
        <w:t xml:space="preserve"> and </w:t>
      </w:r>
      <w:r w:rsidRPr="00AD0E42">
        <w:rPr>
          <w:rFonts w:cs="Arial"/>
        </w:rPr>
        <w:t>one staff member work</w:t>
      </w:r>
      <w:r w:rsidR="009C320F" w:rsidRPr="00AD0E42">
        <w:rPr>
          <w:rFonts w:cs="Arial"/>
        </w:rPr>
        <w:t>ing</w:t>
      </w:r>
      <w:r w:rsidRPr="00AD0E42">
        <w:rPr>
          <w:rFonts w:cs="Arial"/>
        </w:rPr>
        <w:t xml:space="preserve"> on a part-time basis</w:t>
      </w:r>
      <w:r w:rsidR="00EB477F">
        <w:rPr>
          <w:rFonts w:cs="Arial"/>
        </w:rPr>
        <w:t>.</w:t>
      </w:r>
    </w:p>
    <w:p w:rsidR="00CB3A9E" w:rsidRPr="00D24576" w:rsidRDefault="00CB3A9E" w:rsidP="00CB3A9E">
      <w:pPr>
        <w:rPr>
          <w:rFonts w:cs="Arial"/>
          <w:highlight w:val="yellow"/>
        </w:rPr>
      </w:pPr>
    </w:p>
    <w:p w:rsidR="00917841" w:rsidRPr="00AD0E42" w:rsidRDefault="00917841" w:rsidP="00CB3A9E">
      <w:pPr>
        <w:rPr>
          <w:rFonts w:cs="Arial"/>
          <w:u w:val="single"/>
        </w:rPr>
      </w:pPr>
      <w:r w:rsidRPr="00AD0E42">
        <w:rPr>
          <w:rFonts w:cs="Arial"/>
          <w:u w:val="single"/>
        </w:rPr>
        <w:t>Non-Personnel Resources</w:t>
      </w:r>
    </w:p>
    <w:p w:rsidR="00CB3A9E" w:rsidRPr="00D24576" w:rsidRDefault="00CB3A9E" w:rsidP="00CB3A9E">
      <w:pPr>
        <w:rPr>
          <w:rFonts w:cs="Arial"/>
          <w:highlight w:val="yellow"/>
        </w:rPr>
      </w:pPr>
    </w:p>
    <w:p w:rsidR="00743C2D" w:rsidRPr="00AD0E42" w:rsidRDefault="00DC1903" w:rsidP="00CB3A9E">
      <w:pPr>
        <w:rPr>
          <w:rFonts w:cs="Arial"/>
        </w:rPr>
      </w:pPr>
      <w:r w:rsidRPr="00AD0E42">
        <w:rPr>
          <w:rFonts w:cs="Arial"/>
        </w:rPr>
        <w:t>Total non-personnel expenditure (before IPSAS adjustments) amounted to 2.</w:t>
      </w:r>
      <w:r w:rsidR="0063146F" w:rsidRPr="00AD0E42">
        <w:rPr>
          <w:rFonts w:cs="Arial"/>
        </w:rPr>
        <w:t>5</w:t>
      </w:r>
      <w:r w:rsidR="00736695">
        <w:rPr>
          <w:rFonts w:cs="Arial"/>
        </w:rPr>
        <w:t>8</w:t>
      </w:r>
      <w:r w:rsidR="0063146F" w:rsidRPr="00AD0E42">
        <w:rPr>
          <w:rFonts w:cs="Arial"/>
        </w:rPr>
        <w:t xml:space="preserve"> </w:t>
      </w:r>
      <w:r w:rsidRPr="00AD0E42">
        <w:rPr>
          <w:rFonts w:cs="Arial"/>
        </w:rPr>
        <w:t>million Swiss francs</w:t>
      </w:r>
      <w:r w:rsidR="00055459">
        <w:rPr>
          <w:rFonts w:cs="Arial"/>
        </w:rPr>
        <w:t xml:space="preserve"> in 2016-2017</w:t>
      </w:r>
      <w:r w:rsidRPr="00AD0E42">
        <w:rPr>
          <w:rFonts w:cs="Arial"/>
        </w:rPr>
        <w:t>,</w:t>
      </w:r>
      <w:r w:rsidR="00D53B3E">
        <w:rPr>
          <w:rFonts w:cs="Arial"/>
        </w:rPr>
        <w:t xml:space="preserve"> </w:t>
      </w:r>
      <w:r w:rsidR="0063146F" w:rsidRPr="00AD0E42">
        <w:rPr>
          <w:rFonts w:cs="Arial"/>
        </w:rPr>
        <w:t>109,371</w:t>
      </w:r>
      <w:r w:rsidRPr="00AD0E42">
        <w:rPr>
          <w:rFonts w:cs="Arial"/>
        </w:rPr>
        <w:t xml:space="preserve"> Swiss francs</w:t>
      </w:r>
      <w:r w:rsidR="0063146F" w:rsidRPr="00AD0E42">
        <w:rPr>
          <w:rFonts w:cs="Arial"/>
        </w:rPr>
        <w:t>,</w:t>
      </w:r>
      <w:r w:rsidRPr="00AD0E42">
        <w:rPr>
          <w:rFonts w:cs="Arial"/>
        </w:rPr>
        <w:t xml:space="preserve"> </w:t>
      </w:r>
      <w:r w:rsidR="0063146F" w:rsidRPr="00AD0E42">
        <w:rPr>
          <w:rFonts w:cs="Arial"/>
        </w:rPr>
        <w:t>or</w:t>
      </w:r>
      <w:r w:rsidRPr="00AD0E42">
        <w:rPr>
          <w:rFonts w:cs="Arial"/>
        </w:rPr>
        <w:t xml:space="preserve"> </w:t>
      </w:r>
      <w:r w:rsidR="0063146F" w:rsidRPr="00AD0E42">
        <w:rPr>
          <w:rFonts w:cs="Arial"/>
        </w:rPr>
        <w:t>four</w:t>
      </w:r>
      <w:r w:rsidRPr="00AD0E42">
        <w:rPr>
          <w:rFonts w:cs="Arial"/>
        </w:rPr>
        <w:t xml:space="preserve"> per cent higher than the budgeted target.  Explanations by cost categories are provided below.</w:t>
      </w:r>
    </w:p>
    <w:p w:rsidR="00DC1903" w:rsidRPr="00D24576" w:rsidRDefault="00DC1903" w:rsidP="00CB3A9E">
      <w:pPr>
        <w:rPr>
          <w:rFonts w:cs="Arial"/>
          <w:highlight w:val="yellow"/>
        </w:rPr>
      </w:pPr>
    </w:p>
    <w:p w:rsidR="00743C2D" w:rsidRPr="00AD0E42" w:rsidRDefault="00DC1903" w:rsidP="00CB3A9E">
      <w:pPr>
        <w:rPr>
          <w:rFonts w:cs="Arial"/>
          <w:i/>
        </w:rPr>
      </w:pPr>
      <w:r w:rsidRPr="00AD0E42">
        <w:rPr>
          <w:rFonts w:cs="Arial"/>
          <w:i/>
        </w:rPr>
        <w:t>Interns</w:t>
      </w:r>
    </w:p>
    <w:p w:rsidR="00743C2D" w:rsidRPr="00D24576" w:rsidRDefault="00743C2D" w:rsidP="00CB3A9E">
      <w:pPr>
        <w:rPr>
          <w:rFonts w:cs="Arial"/>
          <w:i/>
          <w:highlight w:val="yellow"/>
        </w:rPr>
      </w:pPr>
    </w:p>
    <w:p w:rsidR="00A36ABA" w:rsidRPr="00D24576" w:rsidRDefault="00EB477F" w:rsidP="00CB3A9E">
      <w:pPr>
        <w:rPr>
          <w:rFonts w:cs="Arial"/>
          <w:highlight w:val="yellow"/>
        </w:rPr>
      </w:pPr>
      <w:r>
        <w:rPr>
          <w:rFonts w:cs="Arial"/>
        </w:rPr>
        <w:t>For</w:t>
      </w:r>
      <w:r w:rsidR="006E496E" w:rsidRPr="006E496E">
        <w:rPr>
          <w:rFonts w:cs="Arial"/>
        </w:rPr>
        <w:t xml:space="preserve"> the </w:t>
      </w:r>
      <w:r w:rsidR="006B621B">
        <w:rPr>
          <w:rFonts w:cs="Arial"/>
        </w:rPr>
        <w:t>Biennium</w:t>
      </w:r>
      <w:r w:rsidR="006E496E" w:rsidRPr="006E496E">
        <w:rPr>
          <w:rFonts w:cs="Arial"/>
        </w:rPr>
        <w:t xml:space="preserve"> 2016-20</w:t>
      </w:r>
      <w:r w:rsidR="008F6B81">
        <w:rPr>
          <w:rFonts w:cs="Arial"/>
        </w:rPr>
        <w:t xml:space="preserve">17, expenditure on internships, </w:t>
      </w:r>
      <w:r>
        <w:rPr>
          <w:rFonts w:cs="Arial"/>
        </w:rPr>
        <w:t xml:space="preserve">of </w:t>
      </w:r>
      <w:r w:rsidR="006E496E" w:rsidRPr="006E496E">
        <w:rPr>
          <w:rFonts w:cs="Arial"/>
        </w:rPr>
        <w:t>12,343 Swiss francs</w:t>
      </w:r>
      <w:r w:rsidR="008F6B81">
        <w:rPr>
          <w:rFonts w:cs="Arial"/>
        </w:rPr>
        <w:t>,</w:t>
      </w:r>
      <w:r w:rsidR="006E496E" w:rsidRPr="006E496E">
        <w:rPr>
          <w:rFonts w:cs="Arial"/>
        </w:rPr>
        <w:t xml:space="preserve"> was significantly lower than </w:t>
      </w:r>
      <w:r w:rsidR="00164861">
        <w:rPr>
          <w:rFonts w:cs="Arial"/>
        </w:rPr>
        <w:t xml:space="preserve">the </w:t>
      </w:r>
      <w:r w:rsidR="006E496E" w:rsidRPr="006E496E">
        <w:rPr>
          <w:rFonts w:cs="Arial"/>
        </w:rPr>
        <w:t>budget</w:t>
      </w:r>
      <w:r w:rsidR="00FE7DFE">
        <w:rPr>
          <w:rFonts w:cs="Arial"/>
        </w:rPr>
        <w:t>ed</w:t>
      </w:r>
      <w:r w:rsidR="006E496E" w:rsidRPr="006E496E">
        <w:rPr>
          <w:rFonts w:cs="Arial"/>
        </w:rPr>
        <w:t xml:space="preserve"> </w:t>
      </w:r>
      <w:r>
        <w:rPr>
          <w:rFonts w:cs="Arial"/>
        </w:rPr>
        <w:t xml:space="preserve">amount </w:t>
      </w:r>
      <w:r w:rsidR="006E496E" w:rsidRPr="006E496E">
        <w:rPr>
          <w:rFonts w:cs="Arial"/>
        </w:rPr>
        <w:t>(38,000 Swiss francs)</w:t>
      </w:r>
      <w:r w:rsidR="006E496E">
        <w:rPr>
          <w:rFonts w:cs="Arial"/>
        </w:rPr>
        <w:t xml:space="preserve">. </w:t>
      </w:r>
      <w:r w:rsidR="006E496E" w:rsidRPr="006E496E">
        <w:rPr>
          <w:rFonts w:cs="Arial"/>
        </w:rPr>
        <w:t xml:space="preserve"> </w:t>
      </w:r>
      <w:r w:rsidR="006E496E">
        <w:rPr>
          <w:rFonts w:cs="Arial"/>
        </w:rPr>
        <w:t>T</w:t>
      </w:r>
      <w:r w:rsidR="006E496E" w:rsidRPr="006E496E">
        <w:rPr>
          <w:rFonts w:cs="Arial"/>
        </w:rPr>
        <w:t xml:space="preserve">he savings </w:t>
      </w:r>
      <w:r w:rsidR="006E496E">
        <w:rPr>
          <w:rFonts w:cs="Arial"/>
        </w:rPr>
        <w:t>were</w:t>
      </w:r>
      <w:r w:rsidR="006E496E" w:rsidRPr="006E496E">
        <w:rPr>
          <w:rFonts w:cs="Arial"/>
        </w:rPr>
        <w:t xml:space="preserve"> used </w:t>
      </w:r>
      <w:r w:rsidR="00E02CAF">
        <w:rPr>
          <w:rFonts w:cs="Arial"/>
        </w:rPr>
        <w:t xml:space="preserve">to fund </w:t>
      </w:r>
      <w:r>
        <w:rPr>
          <w:rFonts w:cs="Arial"/>
        </w:rPr>
        <w:t xml:space="preserve">an </w:t>
      </w:r>
      <w:r w:rsidR="00E02CAF">
        <w:rPr>
          <w:rFonts w:cs="Arial"/>
        </w:rPr>
        <w:t>additional agency staff</w:t>
      </w:r>
      <w:r w:rsidR="006E496E" w:rsidRPr="006E496E">
        <w:rPr>
          <w:rFonts w:cs="Arial"/>
        </w:rPr>
        <w:t>.</w:t>
      </w:r>
    </w:p>
    <w:p w:rsidR="006E496E" w:rsidRDefault="006E496E" w:rsidP="00CB3A9E">
      <w:pPr>
        <w:rPr>
          <w:rFonts w:cs="Arial"/>
          <w:i/>
          <w:highlight w:val="yellow"/>
        </w:rPr>
      </w:pPr>
    </w:p>
    <w:p w:rsidR="00743C2D" w:rsidRPr="00AD0E42" w:rsidRDefault="00743C2D" w:rsidP="00CB3A9E">
      <w:pPr>
        <w:rPr>
          <w:rFonts w:cs="Arial"/>
          <w:i/>
        </w:rPr>
      </w:pPr>
      <w:r w:rsidRPr="00AD0E42">
        <w:rPr>
          <w:rFonts w:cs="Arial"/>
          <w:i/>
        </w:rPr>
        <w:t>Travel</w:t>
      </w:r>
    </w:p>
    <w:p w:rsidR="00743C2D" w:rsidRPr="00D24576" w:rsidRDefault="00743C2D" w:rsidP="00CB3A9E">
      <w:pPr>
        <w:rPr>
          <w:rFonts w:cs="Arial"/>
          <w:i/>
          <w:highlight w:val="yellow"/>
        </w:rPr>
      </w:pPr>
    </w:p>
    <w:p w:rsidR="00743C2D" w:rsidRPr="00AD0E42" w:rsidRDefault="00A36ABA" w:rsidP="00CB3A9E">
      <w:pPr>
        <w:rPr>
          <w:rFonts w:cs="Arial"/>
        </w:rPr>
      </w:pPr>
      <w:r w:rsidRPr="00AD0E42">
        <w:rPr>
          <w:rFonts w:cs="Arial"/>
        </w:rPr>
        <w:t>Total expenditure on Travel amounted to 4</w:t>
      </w:r>
      <w:r w:rsidR="00463417" w:rsidRPr="00AD0E42">
        <w:rPr>
          <w:rFonts w:cs="Arial"/>
        </w:rPr>
        <w:t>91</w:t>
      </w:r>
      <w:r w:rsidR="008F6B81">
        <w:rPr>
          <w:rFonts w:cs="Arial"/>
        </w:rPr>
        <w:t>,226</w:t>
      </w:r>
      <w:r w:rsidRPr="00AD0E42">
        <w:rPr>
          <w:rFonts w:cs="Arial"/>
        </w:rPr>
        <w:t xml:space="preserve"> Swiss francs, i.e. </w:t>
      </w:r>
      <w:r w:rsidR="00463417" w:rsidRPr="00AD0E42">
        <w:rPr>
          <w:rFonts w:cs="Arial"/>
        </w:rPr>
        <w:t xml:space="preserve">41,226 </w:t>
      </w:r>
      <w:r w:rsidRPr="00AD0E42">
        <w:rPr>
          <w:rFonts w:cs="Arial"/>
        </w:rPr>
        <w:t xml:space="preserve">Swiss francs </w:t>
      </w:r>
      <w:r w:rsidR="00463417" w:rsidRPr="00AD0E42">
        <w:rPr>
          <w:rFonts w:cs="Arial"/>
        </w:rPr>
        <w:t xml:space="preserve">higher </w:t>
      </w:r>
      <w:r w:rsidRPr="00AD0E42">
        <w:rPr>
          <w:rFonts w:cs="Arial"/>
        </w:rPr>
        <w:t xml:space="preserve">than the budget. </w:t>
      </w:r>
      <w:r w:rsidR="00463417" w:rsidRPr="00AD0E42">
        <w:rPr>
          <w:rFonts w:cs="Arial"/>
        </w:rPr>
        <w:t xml:space="preserve"> </w:t>
      </w:r>
      <w:r w:rsidR="00463417" w:rsidRPr="00463417">
        <w:rPr>
          <w:rFonts w:cs="Arial"/>
        </w:rPr>
        <w:t>The higher expenditure was primarily due to the higher than budgeted income from FITs, which resulted in additional activities requiring travel by UPOV staff.</w:t>
      </w:r>
    </w:p>
    <w:p w:rsidR="00A36ABA" w:rsidRPr="00AD0E42" w:rsidRDefault="00A36ABA" w:rsidP="00CB3A9E">
      <w:pPr>
        <w:rPr>
          <w:rFonts w:cs="Arial"/>
          <w:i/>
        </w:rPr>
      </w:pPr>
    </w:p>
    <w:p w:rsidR="00743C2D" w:rsidRPr="00AD0E42" w:rsidRDefault="00743C2D" w:rsidP="00CB3A9E">
      <w:pPr>
        <w:rPr>
          <w:rFonts w:cs="Arial"/>
          <w:i/>
        </w:rPr>
      </w:pPr>
      <w:r w:rsidRPr="00AD0E42">
        <w:rPr>
          <w:rFonts w:cs="Arial"/>
          <w:i/>
        </w:rPr>
        <w:t>Contractual Services</w:t>
      </w:r>
    </w:p>
    <w:p w:rsidR="00743C2D" w:rsidRPr="00AD0E42" w:rsidRDefault="00743C2D" w:rsidP="00CB3A9E">
      <w:pPr>
        <w:rPr>
          <w:rFonts w:cs="Arial"/>
          <w:i/>
        </w:rPr>
      </w:pPr>
    </w:p>
    <w:p w:rsidR="00045B8A" w:rsidRPr="00045B8A" w:rsidRDefault="00A36ABA" w:rsidP="00045B8A">
      <w:pPr>
        <w:rPr>
          <w:rFonts w:cs="Arial"/>
        </w:rPr>
      </w:pPr>
      <w:r w:rsidRPr="00AD0E42">
        <w:rPr>
          <w:rFonts w:cs="Arial"/>
        </w:rPr>
        <w:t xml:space="preserve">Total Contractual Services amounted to </w:t>
      </w:r>
      <w:r w:rsidR="00045B8A">
        <w:rPr>
          <w:rFonts w:cs="Arial"/>
        </w:rPr>
        <w:t>834,714</w:t>
      </w:r>
      <w:r w:rsidRPr="00AD0E42">
        <w:rPr>
          <w:rFonts w:cs="Arial"/>
        </w:rPr>
        <w:t xml:space="preserve"> Swiss francs, i.e. </w:t>
      </w:r>
      <w:r w:rsidR="00045B8A">
        <w:rPr>
          <w:rFonts w:cs="Arial"/>
        </w:rPr>
        <w:t>142,714</w:t>
      </w:r>
      <w:r w:rsidRPr="00AD0E42">
        <w:rPr>
          <w:rFonts w:cs="Arial"/>
        </w:rPr>
        <w:t xml:space="preserve"> Swiss francs higher than the budget</w:t>
      </w:r>
      <w:r w:rsidR="002920B3">
        <w:rPr>
          <w:rFonts w:cs="Arial"/>
        </w:rPr>
        <w:t>, which is the net result of higher than budgeted expenditure under Other Contractual Services offset by lower expenditure under other objects of expenditure</w:t>
      </w:r>
      <w:r w:rsidRPr="00AD0E42">
        <w:rPr>
          <w:rFonts w:cs="Arial"/>
        </w:rPr>
        <w:t xml:space="preserve">.  </w:t>
      </w:r>
      <w:r w:rsidR="001F3C4A">
        <w:rPr>
          <w:rFonts w:cs="Arial"/>
        </w:rPr>
        <w:t>Higher expenditure on Other Contractual Services w</w:t>
      </w:r>
      <w:r w:rsidR="007674A0">
        <w:rPr>
          <w:rFonts w:cs="Arial"/>
        </w:rPr>
        <w:t>as</w:t>
      </w:r>
      <w:r w:rsidR="001F3C4A">
        <w:rPr>
          <w:rFonts w:cs="Arial"/>
        </w:rPr>
        <w:t xml:space="preserve"> primarily due to:  (i) </w:t>
      </w:r>
      <w:r w:rsidR="00045B8A" w:rsidRPr="00045B8A">
        <w:rPr>
          <w:rFonts w:cs="Arial"/>
        </w:rPr>
        <w:t>additional expenditure related to agency staff costs</w:t>
      </w:r>
      <w:r w:rsidR="001F3C4A">
        <w:rPr>
          <w:rFonts w:cs="Arial"/>
        </w:rPr>
        <w:t xml:space="preserve"> </w:t>
      </w:r>
      <w:r w:rsidR="00045B8A" w:rsidRPr="00045B8A">
        <w:rPr>
          <w:rFonts w:cs="Arial"/>
        </w:rPr>
        <w:t xml:space="preserve">to provide cover for the general service staff member </w:t>
      </w:r>
      <w:r w:rsidR="00FA5C75">
        <w:rPr>
          <w:rFonts w:cs="Arial"/>
        </w:rPr>
        <w:t>on a</w:t>
      </w:r>
      <w:r w:rsidR="00045B8A" w:rsidRPr="00045B8A">
        <w:rPr>
          <w:rFonts w:cs="Arial"/>
        </w:rPr>
        <w:t xml:space="preserve"> part-time</w:t>
      </w:r>
      <w:r w:rsidR="00FA5C75">
        <w:rPr>
          <w:rFonts w:cs="Arial"/>
        </w:rPr>
        <w:t xml:space="preserve"> working arrangement and for</w:t>
      </w:r>
      <w:r w:rsidR="00045B8A" w:rsidRPr="00045B8A">
        <w:rPr>
          <w:rFonts w:cs="Arial"/>
        </w:rPr>
        <w:t xml:space="preserve"> additional administrative work associated with new travel administration procedures</w:t>
      </w:r>
      <w:r w:rsidR="001F3C4A">
        <w:rPr>
          <w:rFonts w:cs="Arial"/>
        </w:rPr>
        <w:t>, (ii)</w:t>
      </w:r>
      <w:r w:rsidR="001F3C4A" w:rsidRPr="001F3C4A">
        <w:rPr>
          <w:rFonts w:cs="Arial"/>
        </w:rPr>
        <w:t xml:space="preserve"> </w:t>
      </w:r>
      <w:r w:rsidR="001F3C4A" w:rsidRPr="00045B8A">
        <w:rPr>
          <w:rFonts w:cs="Arial"/>
        </w:rPr>
        <w:t xml:space="preserve">expenses related to </w:t>
      </w:r>
      <w:r w:rsidR="0067797C">
        <w:rPr>
          <w:rFonts w:cs="Arial"/>
        </w:rPr>
        <w:t xml:space="preserve">a </w:t>
      </w:r>
      <w:r w:rsidR="001F3C4A" w:rsidRPr="00045B8A">
        <w:rPr>
          <w:rFonts w:cs="Arial"/>
        </w:rPr>
        <w:t>video production</w:t>
      </w:r>
      <w:r w:rsidR="001F3C4A">
        <w:rPr>
          <w:rFonts w:cs="Arial"/>
        </w:rPr>
        <w:t xml:space="preserve"> and (iii) staff training</w:t>
      </w:r>
      <w:r w:rsidR="00045B8A" w:rsidRPr="00045B8A">
        <w:rPr>
          <w:rFonts w:cs="Arial"/>
        </w:rPr>
        <w:t>.  IT development costs for the EAF and for the TG Template were broadly as anticipated.  Individual co</w:t>
      </w:r>
      <w:r w:rsidR="001F3C4A">
        <w:rPr>
          <w:rFonts w:cs="Arial"/>
        </w:rPr>
        <w:t xml:space="preserve">ntractual services amounted to </w:t>
      </w:r>
      <w:r w:rsidR="00045B8A" w:rsidRPr="00045B8A">
        <w:rPr>
          <w:rFonts w:cs="Arial"/>
        </w:rPr>
        <w:t xml:space="preserve">25,193 Swiss francs, which were significantly lower than anticipated (70,000 Swiss francs) mainly because the administrative work on distance learning courses was not out-sourced.  </w:t>
      </w:r>
    </w:p>
    <w:p w:rsidR="00A36ABA" w:rsidRPr="00D24576" w:rsidRDefault="00A36ABA" w:rsidP="00CB3A9E">
      <w:pPr>
        <w:rPr>
          <w:rFonts w:cs="Arial"/>
          <w:highlight w:val="yellow"/>
        </w:rPr>
      </w:pPr>
    </w:p>
    <w:p w:rsidR="00743C2D" w:rsidRPr="00AD0E42" w:rsidRDefault="00743C2D" w:rsidP="00CB3A9E">
      <w:pPr>
        <w:rPr>
          <w:rFonts w:cs="Arial"/>
          <w:i/>
        </w:rPr>
      </w:pPr>
      <w:r w:rsidRPr="00AD0E42">
        <w:rPr>
          <w:rFonts w:cs="Arial"/>
          <w:i/>
        </w:rPr>
        <w:t>Operating Expenses</w:t>
      </w:r>
    </w:p>
    <w:p w:rsidR="00120C41" w:rsidRPr="00AD0E42" w:rsidRDefault="00120C41" w:rsidP="00CB3A9E">
      <w:pPr>
        <w:rPr>
          <w:rFonts w:cs="Arial"/>
          <w:i/>
        </w:rPr>
      </w:pPr>
    </w:p>
    <w:p w:rsidR="0022511A" w:rsidRPr="00AD0E42" w:rsidRDefault="00743C2D" w:rsidP="00AD0E42">
      <w:pPr>
        <w:tabs>
          <w:tab w:val="left" w:pos="0"/>
        </w:tabs>
        <w:rPr>
          <w:rFonts w:cs="Arial"/>
        </w:rPr>
      </w:pPr>
      <w:r w:rsidRPr="00AD0E42">
        <w:rPr>
          <w:rFonts w:cs="Arial"/>
        </w:rPr>
        <w:t xml:space="preserve">Operating Expenses </w:t>
      </w:r>
      <w:r w:rsidR="00EB477F">
        <w:rPr>
          <w:rFonts w:cs="Arial"/>
        </w:rPr>
        <w:t xml:space="preserve">of </w:t>
      </w:r>
      <w:r w:rsidRPr="00AD0E42">
        <w:rPr>
          <w:rFonts w:cs="Arial"/>
        </w:rPr>
        <w:t>1.</w:t>
      </w:r>
      <w:r w:rsidR="00A81EC4" w:rsidRPr="00AD0E42">
        <w:rPr>
          <w:rFonts w:cs="Arial"/>
        </w:rPr>
        <w:t>2</w:t>
      </w:r>
      <w:r w:rsidR="000267A9">
        <w:rPr>
          <w:rFonts w:cs="Arial"/>
        </w:rPr>
        <w:t>4</w:t>
      </w:r>
      <w:r w:rsidR="00A81EC4" w:rsidRPr="00AD0E42">
        <w:rPr>
          <w:rFonts w:cs="Arial"/>
        </w:rPr>
        <w:t xml:space="preserve"> </w:t>
      </w:r>
      <w:r w:rsidRPr="00AD0E42">
        <w:rPr>
          <w:rFonts w:cs="Arial"/>
        </w:rPr>
        <w:t>million Swiss francs</w:t>
      </w:r>
      <w:r w:rsidR="00A81EC4">
        <w:rPr>
          <w:rFonts w:cs="Arial"/>
        </w:rPr>
        <w:t xml:space="preserve"> were</w:t>
      </w:r>
      <w:r w:rsidRPr="00AD0E42">
        <w:rPr>
          <w:rFonts w:cs="Arial"/>
        </w:rPr>
        <w:t xml:space="preserve"> slightl</w:t>
      </w:r>
      <w:r w:rsidR="00A36ABA" w:rsidRPr="00AD0E42">
        <w:rPr>
          <w:rFonts w:cs="Arial"/>
        </w:rPr>
        <w:t>y lower than the budget</w:t>
      </w:r>
      <w:r w:rsidR="003C145E">
        <w:rPr>
          <w:rFonts w:cs="Arial"/>
        </w:rPr>
        <w:t xml:space="preserve"> due to the</w:t>
      </w:r>
      <w:r w:rsidR="0022511A">
        <w:rPr>
          <w:rFonts w:cs="Arial"/>
        </w:rPr>
        <w:t xml:space="preserve"> containment of the costs </w:t>
      </w:r>
      <w:r w:rsidR="003C145E">
        <w:rPr>
          <w:rFonts w:cs="Arial"/>
        </w:rPr>
        <w:t xml:space="preserve">of </w:t>
      </w:r>
      <w:r w:rsidR="0022511A">
        <w:rPr>
          <w:rFonts w:cs="Arial"/>
        </w:rPr>
        <w:t>services provided by WIPO to UPOV.</w:t>
      </w:r>
    </w:p>
    <w:p w:rsidR="0022511A" w:rsidRPr="00AD0E42" w:rsidRDefault="0022511A" w:rsidP="00CB3A9E">
      <w:pPr>
        <w:rPr>
          <w:rFonts w:cs="Arial"/>
        </w:rPr>
      </w:pPr>
    </w:p>
    <w:p w:rsidR="00743C2D" w:rsidRPr="00AD0E42" w:rsidRDefault="00743C2D" w:rsidP="00CB3A9E">
      <w:pPr>
        <w:rPr>
          <w:rFonts w:cs="Arial"/>
        </w:rPr>
      </w:pPr>
    </w:p>
    <w:p w:rsidR="00743C2D" w:rsidRPr="00AD0E42" w:rsidRDefault="00743C2D" w:rsidP="002B045E">
      <w:pPr>
        <w:keepNext/>
        <w:rPr>
          <w:rFonts w:cs="Arial"/>
          <w:i/>
        </w:rPr>
      </w:pPr>
      <w:r w:rsidRPr="00AD0E42">
        <w:rPr>
          <w:rFonts w:cs="Arial"/>
          <w:i/>
        </w:rPr>
        <w:lastRenderedPageBreak/>
        <w:t>Equipment and Supplies</w:t>
      </w:r>
    </w:p>
    <w:p w:rsidR="00743C2D" w:rsidRPr="00AD0E42" w:rsidRDefault="00743C2D" w:rsidP="002B045E">
      <w:pPr>
        <w:keepNext/>
        <w:rPr>
          <w:rFonts w:cs="Arial"/>
          <w:i/>
        </w:rPr>
      </w:pPr>
    </w:p>
    <w:p w:rsidR="00EE7438" w:rsidRPr="00AD0E42" w:rsidRDefault="00743C2D" w:rsidP="002B045E">
      <w:pPr>
        <w:keepNext/>
        <w:rPr>
          <w:rFonts w:cs="Arial"/>
        </w:rPr>
      </w:pPr>
      <w:r w:rsidRPr="00AD0E42">
        <w:rPr>
          <w:rFonts w:cs="Arial"/>
        </w:rPr>
        <w:t>Equipment and Supplies amounted to</w:t>
      </w:r>
      <w:r w:rsidR="006B4C1F" w:rsidRPr="00AD0E42">
        <w:rPr>
          <w:rFonts w:cs="Arial"/>
        </w:rPr>
        <w:t xml:space="preserve"> </w:t>
      </w:r>
      <w:r w:rsidR="008F6B81" w:rsidRPr="00AD0E42">
        <w:rPr>
          <w:rFonts w:cs="Arial"/>
        </w:rPr>
        <w:t>1,814</w:t>
      </w:r>
      <w:r w:rsidR="00A36ABA" w:rsidRPr="00AD0E42">
        <w:rPr>
          <w:rFonts w:cs="Arial"/>
        </w:rPr>
        <w:t xml:space="preserve"> Swiss francs, i.e. </w:t>
      </w:r>
      <w:r w:rsidR="008F6B81" w:rsidRPr="00AD0E42">
        <w:rPr>
          <w:rFonts w:cs="Arial"/>
        </w:rPr>
        <w:t xml:space="preserve">18,186 </w:t>
      </w:r>
      <w:r w:rsidRPr="00AD0E42">
        <w:rPr>
          <w:rFonts w:cs="Arial"/>
        </w:rPr>
        <w:t>Swiss franc</w:t>
      </w:r>
      <w:r w:rsidR="00A36ABA" w:rsidRPr="00AD0E42">
        <w:rPr>
          <w:rFonts w:cs="Arial"/>
        </w:rPr>
        <w:t>s lower than the budget</w:t>
      </w:r>
      <w:r w:rsidRPr="00AD0E42">
        <w:rPr>
          <w:rFonts w:cs="Arial"/>
        </w:rPr>
        <w:t>.</w:t>
      </w:r>
    </w:p>
    <w:p w:rsidR="00CB3A9E" w:rsidRPr="00AD0E42" w:rsidRDefault="00CB3A9E" w:rsidP="002B045E">
      <w:pPr>
        <w:keepNext/>
        <w:rPr>
          <w:rFonts w:eastAsiaTheme="minorHAnsi" w:cs="Arial"/>
        </w:rPr>
      </w:pPr>
    </w:p>
    <w:p w:rsidR="00917841" w:rsidRPr="00AD0E42" w:rsidRDefault="006B4C1F" w:rsidP="00CB3A9E">
      <w:pPr>
        <w:rPr>
          <w:rFonts w:eastAsiaTheme="minorHAnsi" w:cs="Arial"/>
        </w:rPr>
      </w:pPr>
      <w:r w:rsidRPr="00AD0E42">
        <w:rPr>
          <w:rFonts w:eastAsiaTheme="minorHAnsi" w:cs="Arial"/>
        </w:rPr>
        <w:t>The breakdown of the 201</w:t>
      </w:r>
      <w:r w:rsidR="008F6B81" w:rsidRPr="00AD0E42">
        <w:rPr>
          <w:rFonts w:eastAsiaTheme="minorHAnsi" w:cs="Arial"/>
        </w:rPr>
        <w:t>6</w:t>
      </w:r>
      <w:r w:rsidRPr="00AD0E42">
        <w:rPr>
          <w:rFonts w:eastAsiaTheme="minorHAnsi" w:cs="Arial"/>
        </w:rPr>
        <w:t>-20</w:t>
      </w:r>
      <w:r w:rsidR="00743C2D" w:rsidRPr="00AD0E42">
        <w:rPr>
          <w:rFonts w:eastAsiaTheme="minorHAnsi" w:cs="Arial"/>
        </w:rPr>
        <w:t>1</w:t>
      </w:r>
      <w:r w:rsidR="008F6B81" w:rsidRPr="00AD0E42">
        <w:rPr>
          <w:rFonts w:eastAsiaTheme="minorHAnsi" w:cs="Arial"/>
        </w:rPr>
        <w:t>7</w:t>
      </w:r>
      <w:r w:rsidR="00A36ABA" w:rsidRPr="00AD0E42">
        <w:rPr>
          <w:rFonts w:eastAsiaTheme="minorHAnsi" w:cs="Arial"/>
        </w:rPr>
        <w:t xml:space="preserve"> expenditure by sub-programs and cost categories is shown</w:t>
      </w:r>
      <w:r w:rsidR="00CB3A9E" w:rsidRPr="00AD0E42">
        <w:rPr>
          <w:rFonts w:eastAsiaTheme="minorHAnsi" w:cs="Arial"/>
        </w:rPr>
        <w:t xml:space="preserve"> below in Table </w:t>
      </w:r>
      <w:r w:rsidR="00917841" w:rsidRPr="00AD0E42">
        <w:rPr>
          <w:rFonts w:eastAsiaTheme="minorHAnsi" w:cs="Arial"/>
        </w:rPr>
        <w:t xml:space="preserve">5.  </w:t>
      </w:r>
    </w:p>
    <w:p w:rsidR="00CB3A9E" w:rsidRPr="00D24576" w:rsidRDefault="00CB3A9E" w:rsidP="00CB3A9E">
      <w:pPr>
        <w:rPr>
          <w:rFonts w:eastAsiaTheme="minorHAnsi" w:cs="Arial"/>
          <w:highlight w:val="yellow"/>
        </w:rPr>
      </w:pPr>
    </w:p>
    <w:p w:rsidR="00917841" w:rsidRPr="00294E4B" w:rsidRDefault="00743C2D" w:rsidP="00683089">
      <w:pPr>
        <w:pStyle w:val="Heading2"/>
      </w:pPr>
      <w:bookmarkStart w:id="14" w:name="_Toc460229916"/>
      <w:bookmarkStart w:id="15" w:name="_Toc522808847"/>
      <w:r w:rsidRPr="00294E4B">
        <w:t>Table</w:t>
      </w:r>
      <w:r w:rsidR="00294E4B" w:rsidRPr="00294E4B">
        <w:t xml:space="preserve"> 5. 2016</w:t>
      </w:r>
      <w:r w:rsidR="006B4C1F" w:rsidRPr="00294E4B">
        <w:t>-20</w:t>
      </w:r>
      <w:r w:rsidR="00294E4B" w:rsidRPr="00294E4B">
        <w:t>17</w:t>
      </w:r>
      <w:r w:rsidR="00917841" w:rsidRPr="00294E4B">
        <w:t xml:space="preserve"> Expenditure Details by Sub-Programs</w:t>
      </w:r>
      <w:bookmarkEnd w:id="14"/>
      <w:bookmarkEnd w:id="15"/>
    </w:p>
    <w:p w:rsidR="00917841" w:rsidRPr="00294E4B" w:rsidRDefault="00917841" w:rsidP="00917841">
      <w:pPr>
        <w:spacing w:after="200" w:line="276" w:lineRule="auto"/>
        <w:jc w:val="center"/>
        <w:rPr>
          <w:rFonts w:eastAsiaTheme="minorHAnsi" w:cs="Arial"/>
          <w:i/>
        </w:rPr>
      </w:pPr>
      <w:r w:rsidRPr="00294E4B">
        <w:rPr>
          <w:rFonts w:eastAsiaTheme="minorHAnsi" w:cs="Arial"/>
          <w:i/>
        </w:rPr>
        <w:t>(in thousands of Swiss francs)</w:t>
      </w:r>
    </w:p>
    <w:p w:rsidR="00965A10" w:rsidRPr="00D24576" w:rsidRDefault="00294E4B" w:rsidP="00743C2D">
      <w:pPr>
        <w:spacing w:line="276" w:lineRule="auto"/>
        <w:rPr>
          <w:rFonts w:eastAsiaTheme="minorHAnsi" w:cs="Arial"/>
          <w:highlight w:val="yellow"/>
        </w:rPr>
      </w:pPr>
      <w:r w:rsidRPr="00294E4B">
        <w:rPr>
          <w:rFonts w:eastAsiaTheme="minorHAnsi"/>
          <w:noProof/>
        </w:rPr>
        <w:drawing>
          <wp:inline distT="0" distB="0" distL="0" distR="0" wp14:anchorId="35249506" wp14:editId="5775E7D6">
            <wp:extent cx="6120765" cy="485499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4854998"/>
                    </a:xfrm>
                    <a:prstGeom prst="rect">
                      <a:avLst/>
                    </a:prstGeom>
                    <a:noFill/>
                    <a:ln>
                      <a:noFill/>
                    </a:ln>
                  </pic:spPr>
                </pic:pic>
              </a:graphicData>
            </a:graphic>
          </wp:inline>
        </w:drawing>
      </w:r>
    </w:p>
    <w:p w:rsidR="00743C2D" w:rsidRPr="00D24576" w:rsidRDefault="00743C2D" w:rsidP="0061244A">
      <w:pPr>
        <w:spacing w:line="276" w:lineRule="auto"/>
        <w:ind w:left="284" w:hanging="284"/>
        <w:rPr>
          <w:rFonts w:eastAsiaTheme="minorHAnsi" w:cs="Arial"/>
          <w:sz w:val="18"/>
          <w:szCs w:val="18"/>
          <w:highlight w:val="yellow"/>
        </w:rPr>
      </w:pPr>
    </w:p>
    <w:p w:rsidR="00150B2B" w:rsidRPr="00AD0E42" w:rsidRDefault="0061244A" w:rsidP="0061244A">
      <w:pPr>
        <w:spacing w:line="276" w:lineRule="auto"/>
        <w:ind w:left="284" w:hanging="284"/>
        <w:rPr>
          <w:rFonts w:eastAsiaTheme="minorHAnsi" w:cs="Arial"/>
          <w:sz w:val="18"/>
          <w:szCs w:val="18"/>
        </w:rPr>
      </w:pPr>
      <w:r w:rsidRPr="00AD0E42">
        <w:rPr>
          <w:rFonts w:eastAsiaTheme="minorHAnsi" w:cs="Arial"/>
          <w:sz w:val="18"/>
          <w:szCs w:val="18"/>
        </w:rPr>
        <w:t>*</w:t>
      </w:r>
      <w:r w:rsidRPr="00AD0E42">
        <w:rPr>
          <w:rFonts w:eastAsiaTheme="minorHAnsi" w:cs="Arial"/>
          <w:sz w:val="18"/>
          <w:szCs w:val="18"/>
        </w:rPr>
        <w:tab/>
      </w:r>
      <w:r w:rsidR="00150B2B" w:rsidRPr="00AD0E42">
        <w:rPr>
          <w:rFonts w:cs="Arial"/>
          <w:sz w:val="18"/>
          <w:szCs w:val="18"/>
        </w:rPr>
        <w:t>Any differences in numbers between this table and subsequent tables from the financial statements are due to rounding</w:t>
      </w:r>
      <w:r w:rsidR="00FA4A51" w:rsidRPr="00AD0E42">
        <w:rPr>
          <w:rFonts w:cs="Arial"/>
          <w:sz w:val="18"/>
          <w:szCs w:val="18"/>
        </w:rPr>
        <w:t>.</w:t>
      </w:r>
    </w:p>
    <w:p w:rsidR="00150B2B" w:rsidRPr="00D24576" w:rsidRDefault="00150B2B" w:rsidP="00150B2B">
      <w:pPr>
        <w:spacing w:line="276" w:lineRule="auto"/>
        <w:rPr>
          <w:rFonts w:eastAsiaTheme="minorHAnsi" w:cs="Arial"/>
          <w:sz w:val="18"/>
          <w:szCs w:val="18"/>
          <w:highlight w:val="yellow"/>
        </w:rPr>
      </w:pPr>
    </w:p>
    <w:p w:rsidR="00A36ABA" w:rsidRPr="00D24576" w:rsidRDefault="00A36ABA">
      <w:pPr>
        <w:rPr>
          <w:rFonts w:eastAsiaTheme="minorHAnsi" w:cs="Arial"/>
          <w:highlight w:val="yellow"/>
        </w:rPr>
      </w:pPr>
      <w:r w:rsidRPr="00D24576">
        <w:rPr>
          <w:rFonts w:eastAsiaTheme="minorHAnsi" w:cs="Arial"/>
          <w:highlight w:val="yellow"/>
        </w:rPr>
        <w:br w:type="page"/>
      </w:r>
    </w:p>
    <w:p w:rsidR="00917841" w:rsidRPr="00AD0E42" w:rsidRDefault="00FA4A51" w:rsidP="0061244A">
      <w:pPr>
        <w:rPr>
          <w:rFonts w:eastAsiaTheme="minorHAnsi" w:cs="Arial"/>
        </w:rPr>
      </w:pPr>
      <w:r w:rsidRPr="00AD0E42">
        <w:rPr>
          <w:rFonts w:eastAsiaTheme="minorHAnsi" w:cs="Arial"/>
        </w:rPr>
        <w:lastRenderedPageBreak/>
        <w:t>Table 6 below provides a summary of the number of</w:t>
      </w:r>
      <w:r w:rsidR="00C02456" w:rsidRPr="00AD0E42">
        <w:rPr>
          <w:rFonts w:eastAsiaTheme="minorHAnsi" w:cs="Arial"/>
        </w:rPr>
        <w:t xml:space="preserve"> posts by category.</w:t>
      </w:r>
      <w:r w:rsidR="00917841" w:rsidRPr="00AD0E42">
        <w:rPr>
          <w:rFonts w:eastAsiaTheme="minorHAnsi" w:cs="Arial"/>
        </w:rPr>
        <w:t xml:space="preserve"> </w:t>
      </w:r>
    </w:p>
    <w:p w:rsidR="0061244A" w:rsidRPr="00D24576" w:rsidRDefault="0061244A" w:rsidP="0061244A">
      <w:pPr>
        <w:rPr>
          <w:rFonts w:eastAsiaTheme="minorHAnsi" w:cs="Arial"/>
          <w:highlight w:val="yellow"/>
        </w:rPr>
      </w:pPr>
    </w:p>
    <w:p w:rsidR="00917841" w:rsidRPr="00294E4B" w:rsidRDefault="00294E4B" w:rsidP="00683089">
      <w:pPr>
        <w:pStyle w:val="Heading2"/>
      </w:pPr>
      <w:bookmarkStart w:id="16" w:name="_Toc460229917"/>
      <w:bookmarkStart w:id="17" w:name="_Toc522808848"/>
      <w:r w:rsidRPr="00294E4B">
        <w:t>Table 6. 2016</w:t>
      </w:r>
      <w:r w:rsidR="006B4C1F" w:rsidRPr="00294E4B">
        <w:t>-20</w:t>
      </w:r>
      <w:r w:rsidRPr="00294E4B">
        <w:t>17</w:t>
      </w:r>
      <w:r w:rsidR="00917841" w:rsidRPr="00294E4B">
        <w:t xml:space="preserve"> Budgeted and Actual Posts</w:t>
      </w:r>
      <w:bookmarkEnd w:id="16"/>
      <w:bookmarkEnd w:id="17"/>
    </w:p>
    <w:p w:rsidR="00BA6252" w:rsidRPr="00D24576" w:rsidRDefault="00BA6252" w:rsidP="00BA6252">
      <w:pPr>
        <w:rPr>
          <w:rFonts w:eastAsiaTheme="minorHAnsi" w:cs="Arial"/>
          <w:highlight w:val="yellow"/>
        </w:rPr>
      </w:pPr>
    </w:p>
    <w:p w:rsidR="00965A10" w:rsidRPr="00D24576" w:rsidRDefault="00294E4B" w:rsidP="00965A10">
      <w:pPr>
        <w:spacing w:after="200" w:line="276" w:lineRule="auto"/>
        <w:jc w:val="center"/>
        <w:rPr>
          <w:rFonts w:eastAsiaTheme="minorHAnsi" w:cs="Arial"/>
          <w:highlight w:val="yellow"/>
        </w:rPr>
      </w:pPr>
      <w:r w:rsidRPr="00294E4B">
        <w:rPr>
          <w:rFonts w:eastAsiaTheme="minorHAnsi"/>
          <w:noProof/>
        </w:rPr>
        <w:drawing>
          <wp:inline distT="0" distB="0" distL="0" distR="0" wp14:anchorId="147544D7" wp14:editId="71DEB502">
            <wp:extent cx="3829050" cy="157162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29050" cy="1571625"/>
                    </a:xfrm>
                    <a:prstGeom prst="rect">
                      <a:avLst/>
                    </a:prstGeom>
                    <a:noFill/>
                    <a:ln>
                      <a:noFill/>
                    </a:ln>
                  </pic:spPr>
                </pic:pic>
              </a:graphicData>
            </a:graphic>
          </wp:inline>
        </w:drawing>
      </w:r>
    </w:p>
    <w:p w:rsidR="007B66B8" w:rsidRPr="00AD0E42" w:rsidRDefault="007B66B8" w:rsidP="0061244A">
      <w:pPr>
        <w:keepNext/>
        <w:rPr>
          <w:rFonts w:cs="Arial"/>
        </w:rPr>
      </w:pPr>
      <w:r w:rsidRPr="00AD0E42">
        <w:rPr>
          <w:rFonts w:cs="Arial"/>
        </w:rPr>
        <w:t>As indicated in Table 6, there was no change in the biennium in the total number of posts.  The 201</w:t>
      </w:r>
      <w:r w:rsidR="00551181" w:rsidRPr="00AD0E42">
        <w:rPr>
          <w:rFonts w:cs="Arial"/>
        </w:rPr>
        <w:t>6</w:t>
      </w:r>
      <w:r w:rsidRPr="00AD0E42">
        <w:rPr>
          <w:rFonts w:cs="Arial"/>
        </w:rPr>
        <w:t>-201</w:t>
      </w:r>
      <w:r w:rsidR="00551181" w:rsidRPr="00AD0E42">
        <w:rPr>
          <w:rFonts w:cs="Arial"/>
        </w:rPr>
        <w:t>7</w:t>
      </w:r>
      <w:r w:rsidRPr="00AD0E42">
        <w:rPr>
          <w:rFonts w:cs="Arial"/>
        </w:rPr>
        <w:t xml:space="preserve"> Program and Budget anticipated three posts in the Director category, four posts in the Professional category and four posts in the General Service category.  However, the actual number of posts was </w:t>
      </w:r>
      <w:r w:rsidR="00551181" w:rsidRPr="00AD0E42">
        <w:rPr>
          <w:rFonts w:cs="Arial"/>
        </w:rPr>
        <w:t xml:space="preserve">three </w:t>
      </w:r>
      <w:r w:rsidRPr="00AD0E42">
        <w:rPr>
          <w:rFonts w:cs="Arial"/>
        </w:rPr>
        <w:t xml:space="preserve">in the Director category, </w:t>
      </w:r>
      <w:r w:rsidR="00551181" w:rsidRPr="00AD0E42">
        <w:rPr>
          <w:rFonts w:cs="Arial"/>
        </w:rPr>
        <w:t xml:space="preserve">three </w:t>
      </w:r>
      <w:r w:rsidRPr="00AD0E42">
        <w:rPr>
          <w:rFonts w:cs="Arial"/>
        </w:rPr>
        <w:t xml:space="preserve">in the Professional category and five in the General Service category.  The higher number of posts in the General Service category </w:t>
      </w:r>
      <w:r w:rsidR="001A6540">
        <w:rPr>
          <w:rFonts w:cs="Arial"/>
        </w:rPr>
        <w:t>resulted from</w:t>
      </w:r>
      <w:r w:rsidR="001A6540" w:rsidRPr="00AD0E42">
        <w:rPr>
          <w:rFonts w:cs="Arial"/>
        </w:rPr>
        <w:t xml:space="preserve"> </w:t>
      </w:r>
      <w:r w:rsidRPr="00AD0E42">
        <w:rPr>
          <w:rFonts w:cs="Arial"/>
        </w:rPr>
        <w:t>the reclassification of a post from General Service to Professional not</w:t>
      </w:r>
      <w:r w:rsidR="001A6540">
        <w:rPr>
          <w:rFonts w:cs="Arial"/>
        </w:rPr>
        <w:t xml:space="preserve"> being</w:t>
      </w:r>
      <w:r w:rsidRPr="00AD0E42">
        <w:rPr>
          <w:rFonts w:cs="Arial"/>
        </w:rPr>
        <w:t xml:space="preserve"> completed </w:t>
      </w:r>
      <w:r w:rsidR="00551181" w:rsidRPr="00AD0E42">
        <w:rPr>
          <w:rFonts w:cs="Arial"/>
        </w:rPr>
        <w:t>during the biennium</w:t>
      </w:r>
      <w:r w:rsidRPr="00AD0E42">
        <w:rPr>
          <w:rFonts w:cs="Arial"/>
        </w:rPr>
        <w:t xml:space="preserve">. </w:t>
      </w:r>
      <w:r w:rsidR="00551181" w:rsidRPr="00AD0E42">
        <w:rPr>
          <w:rFonts w:cs="Arial"/>
        </w:rPr>
        <w:t xml:space="preserve"> </w:t>
      </w:r>
      <w:r w:rsidRPr="00AD0E42">
        <w:rPr>
          <w:rFonts w:cs="Arial"/>
        </w:rPr>
        <w:t xml:space="preserve">The post of the Secretary-General is included within the post count, but at no cost, because the current Director General of WIPO has declined any salary or allowance from his functions as Secretary-General of UPOV. </w:t>
      </w:r>
    </w:p>
    <w:p w:rsidR="0061244A" w:rsidRPr="00AD0E42" w:rsidRDefault="0061244A" w:rsidP="0061244A">
      <w:pPr>
        <w:keepNext/>
        <w:rPr>
          <w:rFonts w:eastAsiaTheme="minorHAnsi" w:cs="Arial"/>
        </w:rPr>
      </w:pPr>
    </w:p>
    <w:p w:rsidR="007B66B8" w:rsidRPr="00AD0E42" w:rsidRDefault="00917841" w:rsidP="0061244A">
      <w:pPr>
        <w:keepNext/>
        <w:rPr>
          <w:rFonts w:eastAsiaTheme="minorHAnsi" w:cs="Arial"/>
        </w:rPr>
      </w:pPr>
      <w:r w:rsidRPr="00AD0E42">
        <w:rPr>
          <w:rFonts w:eastAsiaTheme="minorHAnsi" w:cs="Arial"/>
        </w:rPr>
        <w:t>Finally, the overall evolution of actual inco</w:t>
      </w:r>
      <w:r w:rsidR="007B66B8" w:rsidRPr="00AD0E42">
        <w:rPr>
          <w:rFonts w:eastAsiaTheme="minorHAnsi" w:cs="Arial"/>
        </w:rPr>
        <w:t>me and expenditure (before IPSAS adjustments)</w:t>
      </w:r>
      <w:r w:rsidR="00FD7918" w:rsidRPr="00AD0E42">
        <w:rPr>
          <w:rFonts w:eastAsiaTheme="minorHAnsi" w:cs="Arial"/>
        </w:rPr>
        <w:t xml:space="preserve"> </w:t>
      </w:r>
      <w:r w:rsidR="00503A33" w:rsidRPr="004C358C">
        <w:rPr>
          <w:rFonts w:eastAsiaTheme="minorHAnsi" w:cs="Arial"/>
        </w:rPr>
        <w:t>for the period from 2008 to 2017</w:t>
      </w:r>
      <w:r w:rsidR="00503A33">
        <w:rPr>
          <w:rFonts w:eastAsiaTheme="minorHAnsi" w:cs="Arial"/>
        </w:rPr>
        <w:t xml:space="preserve"> </w:t>
      </w:r>
      <w:r w:rsidR="00FD7918" w:rsidRPr="00AD0E42">
        <w:rPr>
          <w:rFonts w:eastAsiaTheme="minorHAnsi" w:cs="Arial"/>
        </w:rPr>
        <w:t>is shown below in Table </w:t>
      </w:r>
      <w:r w:rsidRPr="00AD0E42">
        <w:rPr>
          <w:rFonts w:eastAsiaTheme="minorHAnsi" w:cs="Arial"/>
        </w:rPr>
        <w:t xml:space="preserve">7. </w:t>
      </w:r>
    </w:p>
    <w:p w:rsidR="0061244A" w:rsidRPr="00294E4B" w:rsidRDefault="0061244A" w:rsidP="0061244A">
      <w:pPr>
        <w:keepNext/>
        <w:rPr>
          <w:rFonts w:eastAsiaTheme="minorHAnsi" w:cs="Arial"/>
        </w:rPr>
      </w:pPr>
    </w:p>
    <w:p w:rsidR="00917841" w:rsidRPr="00294E4B" w:rsidRDefault="00917841" w:rsidP="00683089">
      <w:pPr>
        <w:pStyle w:val="Heading2"/>
      </w:pPr>
      <w:bookmarkStart w:id="18" w:name="_Toc460229918"/>
      <w:bookmarkStart w:id="19" w:name="_Toc522808849"/>
      <w:r w:rsidRPr="00294E4B">
        <w:t>Table 7. Evolution of Actual Income and Expenditure during 2008-201</w:t>
      </w:r>
      <w:bookmarkEnd w:id="18"/>
      <w:r w:rsidR="00294E4B" w:rsidRPr="00294E4B">
        <w:t>7</w:t>
      </w:r>
      <w:bookmarkEnd w:id="19"/>
    </w:p>
    <w:p w:rsidR="00917841" w:rsidRPr="00294E4B" w:rsidRDefault="00917841" w:rsidP="00917841">
      <w:pPr>
        <w:spacing w:after="200" w:line="276" w:lineRule="auto"/>
        <w:jc w:val="center"/>
        <w:rPr>
          <w:rFonts w:eastAsiaTheme="minorHAnsi" w:cs="Arial"/>
          <w:i/>
        </w:rPr>
      </w:pPr>
      <w:r w:rsidRPr="00294E4B">
        <w:rPr>
          <w:rFonts w:eastAsiaTheme="minorHAnsi" w:cs="Arial"/>
          <w:i/>
        </w:rPr>
        <w:t>(in thousands of Swiss francs)</w:t>
      </w:r>
    </w:p>
    <w:p w:rsidR="001377BE" w:rsidRPr="00957875" w:rsidRDefault="00294E4B" w:rsidP="00917841">
      <w:pPr>
        <w:spacing w:after="200" w:line="276" w:lineRule="auto"/>
        <w:jc w:val="center"/>
        <w:rPr>
          <w:rFonts w:eastAsiaTheme="minorHAnsi" w:cs="Arial"/>
          <w:b/>
          <w:sz w:val="22"/>
          <w:szCs w:val="22"/>
        </w:rPr>
      </w:pPr>
      <w:r w:rsidRPr="00294E4B">
        <w:rPr>
          <w:rFonts w:eastAsiaTheme="minorHAnsi"/>
          <w:noProof/>
        </w:rPr>
        <w:drawing>
          <wp:inline distT="0" distB="0" distL="0" distR="0" wp14:anchorId="223118EB" wp14:editId="5095AF95">
            <wp:extent cx="6120765" cy="100214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765" cy="1002140"/>
                    </a:xfrm>
                    <a:prstGeom prst="rect">
                      <a:avLst/>
                    </a:prstGeom>
                    <a:noFill/>
                    <a:ln>
                      <a:noFill/>
                    </a:ln>
                  </pic:spPr>
                </pic:pic>
              </a:graphicData>
            </a:graphic>
          </wp:inline>
        </w:drawing>
      </w:r>
    </w:p>
    <w:p w:rsidR="005C7018" w:rsidRPr="00957875" w:rsidRDefault="00294E4B" w:rsidP="00A36ABA">
      <w:pPr>
        <w:spacing w:after="200" w:line="276" w:lineRule="auto"/>
        <w:jc w:val="center"/>
        <w:rPr>
          <w:rFonts w:eastAsiaTheme="minorHAnsi" w:cs="Arial"/>
          <w:b/>
          <w:sz w:val="22"/>
          <w:szCs w:val="22"/>
        </w:rPr>
      </w:pPr>
      <w:r>
        <w:rPr>
          <w:rFonts w:cs="Arial"/>
          <w:noProof/>
        </w:rPr>
        <w:drawing>
          <wp:inline distT="0" distB="0" distL="0" distR="0" wp14:anchorId="197DDA85" wp14:editId="0C34EFAB">
            <wp:extent cx="6071870" cy="2804160"/>
            <wp:effectExtent l="0" t="0" r="508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71870" cy="2804160"/>
                    </a:xfrm>
                    <a:prstGeom prst="rect">
                      <a:avLst/>
                    </a:prstGeom>
                    <a:noFill/>
                  </pic:spPr>
                </pic:pic>
              </a:graphicData>
            </a:graphic>
          </wp:inline>
        </w:drawing>
      </w:r>
      <w:r w:rsidR="005C7018" w:rsidRPr="00957875">
        <w:rPr>
          <w:rFonts w:cs="Arial"/>
        </w:rPr>
        <w:br w:type="page"/>
      </w:r>
    </w:p>
    <w:p w:rsidR="00CE47DD" w:rsidRPr="00957875" w:rsidRDefault="00CE47DD" w:rsidP="00D81BFB">
      <w:pPr>
        <w:pStyle w:val="Heading1"/>
        <w:jc w:val="both"/>
        <w:rPr>
          <w:rFonts w:cs="Arial"/>
        </w:rPr>
      </w:pPr>
      <w:bookmarkStart w:id="20" w:name="_Toc460229919"/>
      <w:bookmarkStart w:id="21" w:name="_Toc522808850"/>
      <w:r w:rsidRPr="00957875">
        <w:rPr>
          <w:rFonts w:cs="Arial"/>
        </w:rPr>
        <w:lastRenderedPageBreak/>
        <w:t>INVESTMENTS</w:t>
      </w:r>
      <w:bookmarkEnd w:id="20"/>
      <w:bookmarkEnd w:id="21"/>
    </w:p>
    <w:p w:rsidR="00CE47DD" w:rsidRPr="00957875" w:rsidRDefault="00CE47DD" w:rsidP="006360C1">
      <w:pPr>
        <w:rPr>
          <w:rFonts w:cs="Arial"/>
        </w:rPr>
      </w:pPr>
    </w:p>
    <w:p w:rsidR="00FF2660" w:rsidRDefault="00B50CF4" w:rsidP="00FF2660">
      <w:r>
        <w:t>The authority, responsibility and policy for investments are detailed in</w:t>
      </w:r>
      <w:r w:rsidR="00FF2660" w:rsidRPr="0089380D">
        <w:t xml:space="preserve"> UPOV’s Financial Regulations and Rules</w:t>
      </w:r>
      <w:r>
        <w:t>.</w:t>
      </w:r>
      <w:r w:rsidR="00FF2660" w:rsidRPr="0089380D">
        <w:t xml:space="preserve"> </w:t>
      </w:r>
    </w:p>
    <w:p w:rsidR="00F065C2" w:rsidRPr="0089380D" w:rsidRDefault="00F065C2" w:rsidP="00FF2660"/>
    <w:p w:rsidR="00FF2660" w:rsidRDefault="00FF2660" w:rsidP="00FF2660">
      <w:r w:rsidRPr="0089380D">
        <w:t>During the 201</w:t>
      </w:r>
      <w:r>
        <w:t>6</w:t>
      </w:r>
      <w:r w:rsidRPr="0089380D">
        <w:t>-201</w:t>
      </w:r>
      <w:r>
        <w:t>7</w:t>
      </w:r>
      <w:r w:rsidRPr="0089380D">
        <w:t xml:space="preserve"> Biennium, UPOV continued to hold its investments in deposit accounts with the Swiss Federal Finance Administration (AFF). </w:t>
      </w:r>
      <w:r>
        <w:t>Despite a challenging Swiss franc investment environment following the expansionary monetary policy (sub-zero interest rates) introduced by the Swiss National bank in January 2015, the return on investments for UPOV remained at zero and</w:t>
      </w:r>
      <w:r w:rsidRPr="00A97BB0">
        <w:t xml:space="preserve"> </w:t>
      </w:r>
      <w:r>
        <w:t xml:space="preserve">outperformed the 3-month Swiss franc Libor benchmark by 75 and 73 basis points in 2016 and 2017 respectively.  </w:t>
      </w:r>
    </w:p>
    <w:p w:rsidR="00FF2660" w:rsidRDefault="00FF2660" w:rsidP="00FF2660"/>
    <w:p w:rsidR="00FF2660" w:rsidRDefault="00FF2660" w:rsidP="00FF2660">
      <w:r>
        <w:t xml:space="preserve">On December 14, 2017, UPOV withdrew all of its investment deposits before the expiry of the deposit arrangement with the AFF. The cash balances are held in bank accounts with Credit Suisse Bank and are currently protected from negative interest charges. </w:t>
      </w:r>
    </w:p>
    <w:p w:rsidR="00FF2660" w:rsidRDefault="00FF2660" w:rsidP="00FF2660"/>
    <w:p w:rsidR="00FF2660" w:rsidRPr="0089380D" w:rsidRDefault="00FF2660" w:rsidP="00FF2660">
      <w:r w:rsidRPr="0089380D">
        <w:t>The table below details investments h</w:t>
      </w:r>
      <w:r>
        <w:t>eld with the AFF during the 2016-2017</w:t>
      </w:r>
      <w:r w:rsidRPr="0089380D">
        <w:t xml:space="preserve"> Biennium.</w:t>
      </w:r>
    </w:p>
    <w:p w:rsidR="005E69CA" w:rsidRPr="00957875" w:rsidRDefault="005E69CA" w:rsidP="005E69CA">
      <w:pPr>
        <w:rPr>
          <w:rFonts w:cs="Arial"/>
        </w:rPr>
      </w:pPr>
      <w:r w:rsidRPr="00957875">
        <w:rPr>
          <w:rFonts w:cs="Arial"/>
        </w:rPr>
        <w:t xml:space="preserve"> </w:t>
      </w:r>
    </w:p>
    <w:p w:rsidR="00CE47DD" w:rsidRPr="00957875" w:rsidRDefault="00CE47DD" w:rsidP="006360C1">
      <w:pPr>
        <w:rPr>
          <w:rFonts w:cs="Arial"/>
        </w:rPr>
      </w:pPr>
    </w:p>
    <w:p w:rsidR="00AD0E42" w:rsidRDefault="00FF2660" w:rsidP="00612E92">
      <w:pPr>
        <w:jc w:val="center"/>
        <w:rPr>
          <w:rFonts w:cs="Arial"/>
        </w:rPr>
      </w:pPr>
      <w:r w:rsidRPr="00FF2660">
        <w:rPr>
          <w:noProof/>
        </w:rPr>
        <w:drawing>
          <wp:inline distT="0" distB="0" distL="0" distR="0" wp14:anchorId="65DB344F" wp14:editId="25729597">
            <wp:extent cx="4495800" cy="1019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95800" cy="1019175"/>
                    </a:xfrm>
                    <a:prstGeom prst="rect">
                      <a:avLst/>
                    </a:prstGeom>
                    <a:noFill/>
                    <a:ln>
                      <a:noFill/>
                    </a:ln>
                  </pic:spPr>
                </pic:pic>
              </a:graphicData>
            </a:graphic>
          </wp:inline>
        </w:drawing>
      </w:r>
    </w:p>
    <w:p w:rsidR="00AD0E42" w:rsidRDefault="00AD0E42" w:rsidP="00612E92">
      <w:pPr>
        <w:jc w:val="center"/>
        <w:rPr>
          <w:rFonts w:cs="Arial"/>
        </w:rPr>
      </w:pPr>
    </w:p>
    <w:p w:rsidR="00612E92" w:rsidRPr="00957875" w:rsidRDefault="00612E92" w:rsidP="00612E92">
      <w:pPr>
        <w:jc w:val="center"/>
        <w:rPr>
          <w:rFonts w:cs="Arial"/>
          <w:b/>
          <w:caps/>
        </w:rPr>
      </w:pPr>
      <w:r w:rsidRPr="00957875">
        <w:rPr>
          <w:rFonts w:cs="Arial"/>
        </w:rPr>
        <w:br w:type="page"/>
      </w:r>
    </w:p>
    <w:p w:rsidR="002F09F3" w:rsidRPr="00957875" w:rsidRDefault="002F09F3" w:rsidP="0061244A">
      <w:pPr>
        <w:pStyle w:val="Heading1"/>
        <w:jc w:val="both"/>
        <w:rPr>
          <w:rFonts w:cs="Arial"/>
        </w:rPr>
      </w:pPr>
      <w:bookmarkStart w:id="22" w:name="_Toc460229920"/>
      <w:bookmarkStart w:id="23" w:name="_Toc522808851"/>
      <w:r w:rsidRPr="00957875">
        <w:rPr>
          <w:rFonts w:cs="Arial"/>
        </w:rPr>
        <w:lastRenderedPageBreak/>
        <w:t>FINANCIAL STATEMENTS</w:t>
      </w:r>
      <w:bookmarkEnd w:id="22"/>
      <w:bookmarkEnd w:id="23"/>
    </w:p>
    <w:p w:rsidR="002F09F3" w:rsidRPr="00957875" w:rsidRDefault="002F09F3" w:rsidP="0061244A"/>
    <w:p w:rsidR="002F09F3" w:rsidRPr="00957875" w:rsidRDefault="002F09F3" w:rsidP="0061244A">
      <w:pPr>
        <w:rPr>
          <w:rFonts w:cs="Arial"/>
        </w:rPr>
      </w:pPr>
      <w:r w:rsidRPr="00957875">
        <w:rPr>
          <w:rFonts w:cs="Arial"/>
        </w:rPr>
        <w:t>For each of the two years of the 20</w:t>
      </w:r>
      <w:r w:rsidR="000B6848">
        <w:rPr>
          <w:rFonts w:cs="Arial"/>
        </w:rPr>
        <w:t>16</w:t>
      </w:r>
      <w:r w:rsidR="006B4C1F" w:rsidRPr="00957875">
        <w:rPr>
          <w:rFonts w:cs="Arial"/>
        </w:rPr>
        <w:t>-20</w:t>
      </w:r>
      <w:r w:rsidR="000B6848">
        <w:rPr>
          <w:rFonts w:cs="Arial"/>
        </w:rPr>
        <w:t>17</w:t>
      </w:r>
      <w:r w:rsidR="006B4C1F" w:rsidRPr="00957875">
        <w:rPr>
          <w:rFonts w:cs="Arial"/>
        </w:rPr>
        <w:t xml:space="preserve"> B</w:t>
      </w:r>
      <w:r w:rsidRPr="00957875">
        <w:rPr>
          <w:rFonts w:cs="Arial"/>
        </w:rPr>
        <w:t>iennium, the annual financial statements of UPOV have been prepared in accordance with</w:t>
      </w:r>
      <w:r w:rsidR="00EA1047" w:rsidRPr="00957875">
        <w:rPr>
          <w:rFonts w:cs="Arial"/>
        </w:rPr>
        <w:t xml:space="preserve"> the</w:t>
      </w:r>
      <w:r w:rsidRPr="00957875">
        <w:rPr>
          <w:rFonts w:cs="Arial"/>
        </w:rPr>
        <w:t xml:space="preserve"> International Public Sector Accounting Standards (IPSA</w:t>
      </w:r>
      <w:r w:rsidR="00EB0D97" w:rsidRPr="00957875">
        <w:rPr>
          <w:rFonts w:cs="Arial"/>
        </w:rPr>
        <w:t>S).</w:t>
      </w:r>
    </w:p>
    <w:p w:rsidR="0061244A" w:rsidRPr="00957875" w:rsidRDefault="0061244A" w:rsidP="0061244A">
      <w:pPr>
        <w:rPr>
          <w:rFonts w:cs="Arial"/>
        </w:rPr>
      </w:pPr>
    </w:p>
    <w:p w:rsidR="002F09F3" w:rsidRPr="00957875" w:rsidRDefault="00AB5C70" w:rsidP="0061244A">
      <w:pPr>
        <w:rPr>
          <w:rFonts w:cs="Arial"/>
          <w:b/>
        </w:rPr>
      </w:pPr>
      <w:r w:rsidRPr="00957875">
        <w:rPr>
          <w:rFonts w:cs="Arial"/>
          <w:b/>
        </w:rPr>
        <w:t>Accrual Accounting under IPSAS</w:t>
      </w:r>
    </w:p>
    <w:p w:rsidR="0061244A" w:rsidRPr="00957875" w:rsidRDefault="0061244A" w:rsidP="0061244A">
      <w:pPr>
        <w:autoSpaceDE w:val="0"/>
        <w:autoSpaceDN w:val="0"/>
        <w:adjustRightInd w:val="0"/>
        <w:rPr>
          <w:rFonts w:cs="Arial"/>
        </w:rPr>
      </w:pPr>
    </w:p>
    <w:p w:rsidR="0049138D" w:rsidRPr="00957875" w:rsidRDefault="0049138D" w:rsidP="0061244A">
      <w:pPr>
        <w:autoSpaceDE w:val="0"/>
        <w:autoSpaceDN w:val="0"/>
        <w:adjustRightInd w:val="0"/>
        <w:rPr>
          <w:rFonts w:cs="Arial"/>
          <w:szCs w:val="22"/>
        </w:rPr>
      </w:pPr>
      <w:r w:rsidRPr="00957875">
        <w:rPr>
          <w:rFonts w:cs="Arial"/>
        </w:rPr>
        <w:t>Under IPSAS the financial statements are prepared applying the full accrual basis of accounting. Accrual basis accounting means the recognition of transactions and events when they occur. As such they are recorded in the accounting records and reported in the financial statements of the financial periods to which they relate, and not only when cash or its equivalent is received or paid.</w:t>
      </w:r>
    </w:p>
    <w:p w:rsidR="0049138D" w:rsidRPr="00957875" w:rsidRDefault="0049138D" w:rsidP="0061244A">
      <w:pPr>
        <w:autoSpaceDE w:val="0"/>
        <w:autoSpaceDN w:val="0"/>
        <w:adjustRightInd w:val="0"/>
        <w:rPr>
          <w:rFonts w:cs="Arial"/>
          <w:szCs w:val="22"/>
        </w:rPr>
      </w:pPr>
    </w:p>
    <w:p w:rsidR="0049138D" w:rsidRPr="00957875" w:rsidRDefault="00214425" w:rsidP="0061244A">
      <w:pPr>
        <w:autoSpaceDE w:val="0"/>
        <w:autoSpaceDN w:val="0"/>
        <w:adjustRightInd w:val="0"/>
        <w:rPr>
          <w:rFonts w:cs="Arial"/>
          <w:szCs w:val="22"/>
        </w:rPr>
      </w:pPr>
      <w:r>
        <w:rPr>
          <w:rFonts w:cs="Arial"/>
        </w:rPr>
        <w:t>IPSAS requires that</w:t>
      </w:r>
      <w:r w:rsidR="0049138D" w:rsidRPr="00957875">
        <w:rPr>
          <w:rFonts w:cs="Arial"/>
        </w:rPr>
        <w:t xml:space="preserve"> revenue for both contributions and extrabudgetary funds (funds in trust) is recognized when UPOV has a right to receive the contribution. Where contributions are due to UPOV, a receivable balance</w:t>
      </w:r>
      <w:r w:rsidR="002B0D19" w:rsidRPr="00957875">
        <w:rPr>
          <w:rFonts w:cs="Arial"/>
        </w:rPr>
        <w:t xml:space="preserve"> is recognized.</w:t>
      </w:r>
      <w:r w:rsidR="0049138D" w:rsidRPr="00957875">
        <w:rPr>
          <w:rFonts w:cs="Arial"/>
        </w:rPr>
        <w:t xml:space="preserve"> Extrabudgetary fund arrangements are analyzed to see if UPOV needs to meet performance conditions, and if these are present, revenue is only recognized when the conditions are fulfilled. </w:t>
      </w:r>
    </w:p>
    <w:p w:rsidR="0049138D" w:rsidRPr="00957875" w:rsidRDefault="0049138D" w:rsidP="0061244A">
      <w:pPr>
        <w:rPr>
          <w:rFonts w:cs="Arial"/>
          <w:szCs w:val="22"/>
        </w:rPr>
      </w:pPr>
    </w:p>
    <w:p w:rsidR="0049138D" w:rsidRPr="00957875" w:rsidRDefault="0049138D" w:rsidP="0061244A">
      <w:pPr>
        <w:rPr>
          <w:rFonts w:cs="Arial"/>
        </w:rPr>
      </w:pPr>
      <w:r w:rsidRPr="00957875">
        <w:rPr>
          <w:rFonts w:cs="Arial"/>
          <w:szCs w:val="22"/>
        </w:rPr>
        <w:t>The value of future</w:t>
      </w:r>
      <w:r w:rsidR="002B0D19" w:rsidRPr="00957875">
        <w:rPr>
          <w:rFonts w:cs="Arial"/>
          <w:szCs w:val="22"/>
        </w:rPr>
        <w:t xml:space="preserve"> employee benefits (including</w:t>
      </w:r>
      <w:r w:rsidRPr="00957875">
        <w:rPr>
          <w:rFonts w:cs="Arial"/>
          <w:szCs w:val="22"/>
        </w:rPr>
        <w:t xml:space="preserve"> accumulated annual leave, repatriation grants and</w:t>
      </w:r>
      <w:r w:rsidR="006B4C1F" w:rsidRPr="00957875">
        <w:rPr>
          <w:rFonts w:cs="Arial"/>
          <w:szCs w:val="22"/>
        </w:rPr>
        <w:t xml:space="preserve"> After-</w:t>
      </w:r>
      <w:r w:rsidRPr="00957875">
        <w:rPr>
          <w:rFonts w:cs="Arial"/>
          <w:szCs w:val="22"/>
        </w:rPr>
        <w:t xml:space="preserve">Service Health Insurance (ASHI)) that UPOV staff have earned but not yet received is recorded to capture the full cost of </w:t>
      </w:r>
      <w:r w:rsidR="002B0D19" w:rsidRPr="00957875">
        <w:rPr>
          <w:rFonts w:cs="Arial"/>
          <w:szCs w:val="22"/>
        </w:rPr>
        <w:t>employing staff.</w:t>
      </w:r>
    </w:p>
    <w:p w:rsidR="0049138D" w:rsidRPr="00957875" w:rsidRDefault="0049138D" w:rsidP="0061244A">
      <w:pPr>
        <w:rPr>
          <w:rFonts w:cs="Arial"/>
          <w:szCs w:val="22"/>
        </w:rPr>
      </w:pPr>
    </w:p>
    <w:p w:rsidR="002F09F3" w:rsidRPr="00957875" w:rsidRDefault="002B0D19" w:rsidP="0061244A">
      <w:pPr>
        <w:rPr>
          <w:rFonts w:cs="Arial"/>
          <w:szCs w:val="22"/>
        </w:rPr>
      </w:pPr>
      <w:r w:rsidRPr="00957875">
        <w:rPr>
          <w:rFonts w:cs="Arial"/>
          <w:szCs w:val="22"/>
        </w:rPr>
        <w:t>The UPOV Program and Budget is established</w:t>
      </w:r>
      <w:r w:rsidR="0049138D" w:rsidRPr="00957875">
        <w:rPr>
          <w:rFonts w:cs="Arial"/>
          <w:szCs w:val="22"/>
        </w:rPr>
        <w:t xml:space="preserve"> on a</w:t>
      </w:r>
      <w:r w:rsidRPr="00957875">
        <w:rPr>
          <w:rFonts w:cs="Arial"/>
          <w:szCs w:val="22"/>
        </w:rPr>
        <w:t xml:space="preserve"> modified accrual basis, which</w:t>
      </w:r>
      <w:r w:rsidR="0049138D" w:rsidRPr="00957875">
        <w:rPr>
          <w:rFonts w:cs="Arial"/>
          <w:szCs w:val="22"/>
        </w:rPr>
        <w:t xml:space="preserve"> differs from the full accrual basis appl</w:t>
      </w:r>
      <w:r w:rsidRPr="00957875">
        <w:rPr>
          <w:rFonts w:cs="Arial"/>
          <w:szCs w:val="22"/>
        </w:rPr>
        <w:t xml:space="preserve">ied to the financial statements. Other differences between the budgetary result and the result per the financial statements are due to the inclusion in the financial statements of funds in trust and the Special Project Fund, which are not included in UPOV’s Program and Budget. </w:t>
      </w:r>
      <w:r w:rsidR="00EF6554" w:rsidRPr="00957875">
        <w:rPr>
          <w:rFonts w:cs="Arial"/>
          <w:szCs w:val="22"/>
        </w:rPr>
        <w:t>A</w:t>
      </w:r>
      <w:r w:rsidR="0049138D" w:rsidRPr="00957875">
        <w:rPr>
          <w:rFonts w:cs="Arial"/>
          <w:szCs w:val="22"/>
        </w:rPr>
        <w:t xml:space="preserve"> reconciliation between the budget</w:t>
      </w:r>
      <w:r w:rsidRPr="00957875">
        <w:rPr>
          <w:rFonts w:cs="Arial"/>
          <w:szCs w:val="22"/>
        </w:rPr>
        <w:t>ary result</w:t>
      </w:r>
      <w:r w:rsidR="0049138D" w:rsidRPr="00957875">
        <w:rPr>
          <w:rFonts w:cs="Arial"/>
          <w:szCs w:val="22"/>
        </w:rPr>
        <w:t xml:space="preserve"> and the principal financial statements is provided</w:t>
      </w:r>
      <w:r w:rsidRPr="00957875">
        <w:rPr>
          <w:rFonts w:cs="Arial"/>
          <w:szCs w:val="22"/>
        </w:rPr>
        <w:t xml:space="preserve"> in UPOV’s financial statements</w:t>
      </w:r>
      <w:r w:rsidR="0049138D" w:rsidRPr="00957875">
        <w:rPr>
          <w:rFonts w:cs="Arial"/>
          <w:szCs w:val="22"/>
        </w:rPr>
        <w:t xml:space="preserve"> in accordance with the requirements of IPSAS</w:t>
      </w:r>
      <w:r w:rsidRPr="00957875">
        <w:rPr>
          <w:rFonts w:cs="Arial"/>
          <w:szCs w:val="22"/>
        </w:rPr>
        <w:t>.</w:t>
      </w:r>
    </w:p>
    <w:p w:rsidR="0061244A" w:rsidRPr="00957875" w:rsidRDefault="0061244A" w:rsidP="0061244A">
      <w:pPr>
        <w:rPr>
          <w:rFonts w:cs="Arial"/>
          <w:szCs w:val="22"/>
        </w:rPr>
      </w:pPr>
    </w:p>
    <w:p w:rsidR="002F09F3" w:rsidRPr="00957875" w:rsidRDefault="002F09F3" w:rsidP="0061244A">
      <w:pPr>
        <w:rPr>
          <w:rFonts w:cs="Arial"/>
          <w:b/>
          <w:szCs w:val="22"/>
        </w:rPr>
      </w:pPr>
      <w:r w:rsidRPr="00957875">
        <w:rPr>
          <w:rFonts w:cs="Arial"/>
          <w:b/>
          <w:szCs w:val="22"/>
        </w:rPr>
        <w:t>Presentation of Financial Information under IPSAS</w:t>
      </w:r>
    </w:p>
    <w:p w:rsidR="0061244A" w:rsidRPr="00957875" w:rsidRDefault="0061244A" w:rsidP="0061244A">
      <w:pPr>
        <w:autoSpaceDE w:val="0"/>
        <w:autoSpaceDN w:val="0"/>
        <w:adjustRightInd w:val="0"/>
        <w:rPr>
          <w:rFonts w:cs="Arial"/>
          <w:lang w:val="en-GB" w:eastAsia="en-GB"/>
        </w:rPr>
      </w:pPr>
    </w:p>
    <w:p w:rsidR="00EB0D97" w:rsidRPr="00957875" w:rsidRDefault="002F09F3" w:rsidP="0061244A">
      <w:pPr>
        <w:autoSpaceDE w:val="0"/>
        <w:autoSpaceDN w:val="0"/>
        <w:adjustRightInd w:val="0"/>
        <w:rPr>
          <w:rFonts w:cs="Arial"/>
          <w:lang w:val="en-GB" w:eastAsia="en-GB"/>
        </w:rPr>
      </w:pPr>
      <w:r w:rsidRPr="00957875">
        <w:rPr>
          <w:rFonts w:cs="Arial"/>
          <w:lang w:val="en-GB" w:eastAsia="en-GB"/>
        </w:rPr>
        <w:t>As IPSAS requires the preparation of annual financial statements, UPOV</w:t>
      </w:r>
      <w:r w:rsidR="00EB0D97" w:rsidRPr="00957875">
        <w:rPr>
          <w:rFonts w:cs="Arial"/>
          <w:lang w:val="en-GB" w:eastAsia="en-GB"/>
        </w:rPr>
        <w:t xml:space="preserve"> financial statements are</w:t>
      </w:r>
      <w:r w:rsidRPr="00957875">
        <w:rPr>
          <w:rFonts w:cs="Arial"/>
          <w:lang w:val="en-GB" w:eastAsia="en-GB"/>
        </w:rPr>
        <w:t xml:space="preserve"> prepared individually for each calendar year of the biennium. These annual financial statements are presented separately from the Financi</w:t>
      </w:r>
      <w:r w:rsidR="00EB0D97" w:rsidRPr="00957875">
        <w:rPr>
          <w:rFonts w:cs="Arial"/>
          <w:lang w:val="en-GB" w:eastAsia="en-GB"/>
        </w:rPr>
        <w:t>al Management Report, and for</w:t>
      </w:r>
      <w:r w:rsidRPr="00957875">
        <w:rPr>
          <w:rFonts w:cs="Arial"/>
          <w:lang w:val="en-GB" w:eastAsia="en-GB"/>
        </w:rPr>
        <w:t xml:space="preserve"> complete financial information of UPOV prepared in accordance with IPSAS requirements, reference should be made to the UPOV annual financial statements. </w:t>
      </w:r>
    </w:p>
    <w:p w:rsidR="00EB0D97" w:rsidRPr="00957875" w:rsidRDefault="00EB0D97" w:rsidP="0061244A">
      <w:pPr>
        <w:autoSpaceDE w:val="0"/>
        <w:autoSpaceDN w:val="0"/>
        <w:adjustRightInd w:val="0"/>
        <w:rPr>
          <w:rFonts w:cs="Arial"/>
          <w:lang w:val="en-GB" w:eastAsia="en-GB"/>
        </w:rPr>
      </w:pPr>
    </w:p>
    <w:p w:rsidR="002F09F3" w:rsidRPr="00957875" w:rsidRDefault="002F09F3" w:rsidP="0061244A">
      <w:pPr>
        <w:autoSpaceDE w:val="0"/>
        <w:autoSpaceDN w:val="0"/>
        <w:adjustRightInd w:val="0"/>
        <w:rPr>
          <w:rFonts w:cs="Arial"/>
          <w:lang w:val="en-GB" w:eastAsia="en-GB"/>
        </w:rPr>
      </w:pPr>
      <w:r w:rsidRPr="00957875">
        <w:rPr>
          <w:rFonts w:cs="Arial"/>
          <w:lang w:val="en-GB" w:eastAsia="en-GB"/>
        </w:rPr>
        <w:t xml:space="preserve">Under IPSAS, the financial statements include the following elements: </w:t>
      </w:r>
    </w:p>
    <w:p w:rsidR="002F09F3" w:rsidRPr="00957875" w:rsidRDefault="002F09F3" w:rsidP="0061244A">
      <w:pPr>
        <w:autoSpaceDE w:val="0"/>
        <w:autoSpaceDN w:val="0"/>
        <w:adjustRightInd w:val="0"/>
        <w:rPr>
          <w:rFonts w:cs="Arial"/>
          <w:lang w:val="en-GB" w:eastAsia="en-GB"/>
        </w:rPr>
      </w:pPr>
    </w:p>
    <w:p w:rsidR="002F09F3" w:rsidRPr="00957875" w:rsidRDefault="002F09F3" w:rsidP="0061244A">
      <w:pPr>
        <w:numPr>
          <w:ilvl w:val="1"/>
          <w:numId w:val="24"/>
        </w:numPr>
        <w:autoSpaceDE w:val="0"/>
        <w:autoSpaceDN w:val="0"/>
        <w:adjustRightInd w:val="0"/>
        <w:rPr>
          <w:rFonts w:cs="Arial"/>
          <w:lang w:val="en-GB" w:eastAsia="en-GB"/>
        </w:rPr>
      </w:pPr>
      <w:r w:rsidRPr="00957875">
        <w:rPr>
          <w:rFonts w:cs="Arial"/>
          <w:lang w:val="en-GB" w:eastAsia="en-GB"/>
        </w:rPr>
        <w:t xml:space="preserve">Statement I - Statement of Financial Position </w:t>
      </w:r>
    </w:p>
    <w:p w:rsidR="002F09F3" w:rsidRPr="00957875" w:rsidRDefault="002F09F3" w:rsidP="0061244A">
      <w:pPr>
        <w:numPr>
          <w:ilvl w:val="1"/>
          <w:numId w:val="24"/>
        </w:numPr>
        <w:autoSpaceDE w:val="0"/>
        <w:autoSpaceDN w:val="0"/>
        <w:adjustRightInd w:val="0"/>
        <w:rPr>
          <w:rFonts w:cs="Arial"/>
          <w:lang w:val="en-GB" w:eastAsia="en-GB"/>
        </w:rPr>
      </w:pPr>
      <w:r w:rsidRPr="00957875">
        <w:rPr>
          <w:rFonts w:cs="Arial"/>
          <w:lang w:val="en-GB" w:eastAsia="en-GB"/>
        </w:rPr>
        <w:t xml:space="preserve">Statement II - Statement of Financial Performance </w:t>
      </w:r>
    </w:p>
    <w:p w:rsidR="002F09F3" w:rsidRPr="00957875" w:rsidRDefault="002F09F3" w:rsidP="0061244A">
      <w:pPr>
        <w:numPr>
          <w:ilvl w:val="1"/>
          <w:numId w:val="24"/>
        </w:numPr>
        <w:autoSpaceDE w:val="0"/>
        <w:autoSpaceDN w:val="0"/>
        <w:adjustRightInd w:val="0"/>
        <w:rPr>
          <w:rFonts w:cs="Arial"/>
          <w:lang w:val="en-GB" w:eastAsia="en-GB"/>
        </w:rPr>
      </w:pPr>
      <w:r w:rsidRPr="00957875">
        <w:rPr>
          <w:rFonts w:cs="Arial"/>
          <w:lang w:val="en-GB" w:eastAsia="en-GB"/>
        </w:rPr>
        <w:t xml:space="preserve">Statement III - Statement of Changes in Net Assets </w:t>
      </w:r>
    </w:p>
    <w:p w:rsidR="002F09F3" w:rsidRPr="00957875" w:rsidRDefault="002F09F3" w:rsidP="0061244A">
      <w:pPr>
        <w:numPr>
          <w:ilvl w:val="1"/>
          <w:numId w:val="24"/>
        </w:numPr>
        <w:autoSpaceDE w:val="0"/>
        <w:autoSpaceDN w:val="0"/>
        <w:adjustRightInd w:val="0"/>
        <w:rPr>
          <w:rFonts w:cs="Arial"/>
          <w:lang w:val="en-GB" w:eastAsia="en-GB"/>
        </w:rPr>
      </w:pPr>
      <w:r w:rsidRPr="00957875">
        <w:rPr>
          <w:rFonts w:cs="Arial"/>
          <w:lang w:val="en-GB" w:eastAsia="en-GB"/>
        </w:rPr>
        <w:t xml:space="preserve">Statement IV - Statement of Cash Flow </w:t>
      </w:r>
    </w:p>
    <w:p w:rsidR="002F09F3" w:rsidRPr="00957875" w:rsidRDefault="002F09F3" w:rsidP="0061244A">
      <w:pPr>
        <w:numPr>
          <w:ilvl w:val="1"/>
          <w:numId w:val="24"/>
        </w:numPr>
        <w:autoSpaceDE w:val="0"/>
        <w:autoSpaceDN w:val="0"/>
        <w:adjustRightInd w:val="0"/>
        <w:rPr>
          <w:rFonts w:cs="Arial"/>
          <w:lang w:val="en-GB" w:eastAsia="en-GB"/>
        </w:rPr>
      </w:pPr>
      <w:r w:rsidRPr="00957875">
        <w:rPr>
          <w:rFonts w:cs="Arial"/>
          <w:lang w:val="en-GB" w:eastAsia="en-GB"/>
        </w:rPr>
        <w:t xml:space="preserve">Statement V - Statement of Comparison of Budget and Actual Amounts </w:t>
      </w:r>
    </w:p>
    <w:p w:rsidR="002F09F3" w:rsidRPr="00957875" w:rsidRDefault="002F09F3" w:rsidP="0061244A">
      <w:pPr>
        <w:numPr>
          <w:ilvl w:val="1"/>
          <w:numId w:val="24"/>
        </w:numPr>
        <w:autoSpaceDE w:val="0"/>
        <w:autoSpaceDN w:val="0"/>
        <w:adjustRightInd w:val="0"/>
        <w:rPr>
          <w:rFonts w:cs="Arial"/>
          <w:lang w:val="en-GB" w:eastAsia="en-GB"/>
        </w:rPr>
      </w:pPr>
      <w:r w:rsidRPr="00957875">
        <w:rPr>
          <w:rFonts w:cs="Arial"/>
          <w:lang w:val="en-GB" w:eastAsia="en-GB"/>
        </w:rPr>
        <w:t xml:space="preserve">Notes to the Financial Statements </w:t>
      </w:r>
    </w:p>
    <w:p w:rsidR="002F09F3" w:rsidRPr="00957875" w:rsidRDefault="002F09F3" w:rsidP="0061244A">
      <w:pPr>
        <w:autoSpaceDE w:val="0"/>
        <w:autoSpaceDN w:val="0"/>
        <w:adjustRightInd w:val="0"/>
        <w:rPr>
          <w:rFonts w:cs="Arial"/>
          <w:lang w:val="en-GB" w:eastAsia="en-GB"/>
        </w:rPr>
      </w:pPr>
    </w:p>
    <w:p w:rsidR="002F09F3" w:rsidRDefault="002F09F3" w:rsidP="0061244A">
      <w:pPr>
        <w:autoSpaceDE w:val="0"/>
        <w:autoSpaceDN w:val="0"/>
        <w:adjustRightInd w:val="0"/>
        <w:rPr>
          <w:rFonts w:cs="Arial"/>
          <w:lang w:val="en-GB" w:eastAsia="en-GB"/>
        </w:rPr>
      </w:pPr>
      <w:r w:rsidRPr="00957875">
        <w:rPr>
          <w:rFonts w:cs="Arial"/>
          <w:lang w:val="en-GB" w:eastAsia="en-GB"/>
        </w:rPr>
        <w:t xml:space="preserve">In the Financial Management Report, </w:t>
      </w:r>
      <w:r w:rsidR="002B045E" w:rsidRPr="00957875">
        <w:rPr>
          <w:rFonts w:cs="Arial"/>
          <w:lang w:val="en-GB" w:eastAsia="en-GB"/>
        </w:rPr>
        <w:t xml:space="preserve">Statements </w:t>
      </w:r>
      <w:r w:rsidRPr="00957875">
        <w:rPr>
          <w:rFonts w:cs="Arial"/>
          <w:lang w:val="en-GB" w:eastAsia="en-GB"/>
        </w:rPr>
        <w:t>I-V are</w:t>
      </w:r>
      <w:r w:rsidR="000B6848">
        <w:rPr>
          <w:rFonts w:cs="Arial"/>
          <w:lang w:val="en-GB" w:eastAsia="en-GB"/>
        </w:rPr>
        <w:t xml:space="preserve"> presented for the 2016</w:t>
      </w:r>
      <w:r w:rsidR="006B4C1F" w:rsidRPr="00957875">
        <w:rPr>
          <w:rFonts w:cs="Arial"/>
          <w:lang w:val="en-GB" w:eastAsia="en-GB"/>
        </w:rPr>
        <w:t>-20</w:t>
      </w:r>
      <w:r w:rsidR="000B6848">
        <w:rPr>
          <w:rFonts w:cs="Arial"/>
          <w:lang w:val="en-GB" w:eastAsia="en-GB"/>
        </w:rPr>
        <w:t>17</w:t>
      </w:r>
      <w:r w:rsidR="006B4C1F" w:rsidRPr="00957875">
        <w:rPr>
          <w:rFonts w:cs="Arial"/>
          <w:lang w:val="en-GB" w:eastAsia="en-GB"/>
        </w:rPr>
        <w:t xml:space="preserve"> B</w:t>
      </w:r>
      <w:r w:rsidRPr="00957875">
        <w:rPr>
          <w:rFonts w:cs="Arial"/>
          <w:lang w:val="en-GB" w:eastAsia="en-GB"/>
        </w:rPr>
        <w:t>iennium. Financial information is provided to give an understanding of the differences between the result of UPOV on a budgetary basis and the result according to the IPSAS financial statements. Other extracts from the annual financial statements provide further details of</w:t>
      </w:r>
      <w:r w:rsidR="00214425">
        <w:rPr>
          <w:rFonts w:cs="Arial"/>
          <w:lang w:val="en-GB" w:eastAsia="en-GB"/>
        </w:rPr>
        <w:t xml:space="preserve"> UPOV’s assets and liabilities.</w:t>
      </w:r>
    </w:p>
    <w:p w:rsidR="00214425" w:rsidRDefault="00214425" w:rsidP="0061244A">
      <w:pPr>
        <w:autoSpaceDE w:val="0"/>
        <w:autoSpaceDN w:val="0"/>
        <w:adjustRightInd w:val="0"/>
        <w:rPr>
          <w:rFonts w:cs="Arial"/>
          <w:lang w:val="en-GB" w:eastAsia="en-GB"/>
        </w:rPr>
      </w:pPr>
    </w:p>
    <w:p w:rsidR="00214425" w:rsidRPr="00214425" w:rsidRDefault="006A0CF5" w:rsidP="00214425">
      <w:pPr>
        <w:pStyle w:val="Style3"/>
        <w:rPr>
          <w:rFonts w:cs="Arial"/>
          <w:sz w:val="20"/>
        </w:rPr>
      </w:pPr>
      <w:r>
        <w:rPr>
          <w:rFonts w:cs="Arial"/>
          <w:sz w:val="20"/>
          <w:lang w:val="en-GB" w:eastAsia="en-GB"/>
        </w:rPr>
        <w:t>Certain balances from 2016 and 2015 are presented as restated</w:t>
      </w:r>
      <w:r>
        <w:rPr>
          <w:sz w:val="20"/>
        </w:rPr>
        <w:t xml:space="preserve"> following</w:t>
      </w:r>
      <w:r w:rsidRPr="00214425">
        <w:rPr>
          <w:sz w:val="20"/>
        </w:rPr>
        <w:t xml:space="preserve"> the implementation of </w:t>
      </w:r>
      <w:r w:rsidRPr="00214425">
        <w:rPr>
          <w:i/>
          <w:sz w:val="20"/>
        </w:rPr>
        <w:t>IPSAS 39 Employee Benefits</w:t>
      </w:r>
      <w:r w:rsidRPr="00214425">
        <w:rPr>
          <w:sz w:val="20"/>
        </w:rPr>
        <w:t xml:space="preserve"> during 2017</w:t>
      </w:r>
      <w:r>
        <w:rPr>
          <w:rFonts w:cs="Arial"/>
          <w:sz w:val="20"/>
          <w:lang w:val="en-GB" w:eastAsia="en-GB"/>
        </w:rPr>
        <w:t>.</w:t>
      </w:r>
      <w:r w:rsidR="00C83D7C">
        <w:rPr>
          <w:rFonts w:cs="Arial"/>
          <w:sz w:val="20"/>
          <w:lang w:val="en-GB" w:eastAsia="en-GB"/>
        </w:rPr>
        <w:t xml:space="preserve"> </w:t>
      </w:r>
      <w:r w:rsidR="009C5BF1">
        <w:rPr>
          <w:rFonts w:cs="Arial"/>
          <w:sz w:val="20"/>
        </w:rPr>
        <w:t>Under IPSAS 39</w:t>
      </w:r>
      <w:r w:rsidR="009C5BF1" w:rsidRPr="00214425">
        <w:rPr>
          <w:rFonts w:cs="Arial"/>
          <w:sz w:val="20"/>
        </w:rPr>
        <w:t>, actu</w:t>
      </w:r>
      <w:r w:rsidR="0084344A">
        <w:rPr>
          <w:rFonts w:cs="Arial"/>
          <w:sz w:val="20"/>
        </w:rPr>
        <w:t xml:space="preserve">arial gains and losses for the </w:t>
      </w:r>
      <w:r w:rsidR="009C5BF1">
        <w:rPr>
          <w:rFonts w:cs="Arial"/>
          <w:sz w:val="20"/>
        </w:rPr>
        <w:t>A</w:t>
      </w:r>
      <w:r w:rsidR="009C5BF1" w:rsidRPr="00214425">
        <w:rPr>
          <w:rFonts w:cs="Arial"/>
          <w:sz w:val="20"/>
        </w:rPr>
        <w:t>SHI</w:t>
      </w:r>
      <w:r w:rsidR="009C5BF1">
        <w:rPr>
          <w:rFonts w:cs="Arial"/>
          <w:sz w:val="20"/>
        </w:rPr>
        <w:t xml:space="preserve"> liability</w:t>
      </w:r>
      <w:r w:rsidR="009C5BF1" w:rsidRPr="00214425">
        <w:rPr>
          <w:rFonts w:cs="Arial"/>
          <w:sz w:val="20"/>
        </w:rPr>
        <w:t>, which were previously unrecognized, have been accounted</w:t>
      </w:r>
      <w:r w:rsidR="0084344A">
        <w:rPr>
          <w:rFonts w:cs="Arial"/>
          <w:sz w:val="20"/>
        </w:rPr>
        <w:t xml:space="preserve"> for directly through</w:t>
      </w:r>
      <w:r w:rsidR="009C5BF1" w:rsidRPr="00214425">
        <w:rPr>
          <w:rFonts w:cs="Arial"/>
          <w:sz w:val="20"/>
        </w:rPr>
        <w:t xml:space="preserve"> net assets. Accumulated annual leave for fixed, continuing and permanent posts has been reclassified from short-term to other long-term employee benefits, requiring the remeasurement of this liability by an independent actuary utilizing the projected unit credit methodology of </w:t>
      </w:r>
      <w:r w:rsidR="009C5BF1">
        <w:rPr>
          <w:rFonts w:cs="Arial"/>
          <w:sz w:val="20"/>
        </w:rPr>
        <w:t xml:space="preserve">valuation. </w:t>
      </w:r>
      <w:r w:rsidR="0084344A">
        <w:rPr>
          <w:rFonts w:cs="Arial"/>
          <w:sz w:val="20"/>
          <w:lang w:val="en-GB" w:eastAsia="en-GB"/>
        </w:rPr>
        <w:t>The effect of these</w:t>
      </w:r>
      <w:r w:rsidR="00214425" w:rsidRPr="00214425">
        <w:rPr>
          <w:rFonts w:cs="Arial"/>
          <w:sz w:val="20"/>
          <w:lang w:val="en-GB" w:eastAsia="en-GB"/>
        </w:rPr>
        <w:t xml:space="preserve"> change</w:t>
      </w:r>
      <w:r w:rsidR="0084344A">
        <w:rPr>
          <w:rFonts w:cs="Arial"/>
          <w:sz w:val="20"/>
          <w:lang w:val="en-GB" w:eastAsia="en-GB"/>
        </w:rPr>
        <w:t>s</w:t>
      </w:r>
      <w:r w:rsidR="00214425" w:rsidRPr="00214425">
        <w:rPr>
          <w:rFonts w:cs="Arial"/>
          <w:sz w:val="20"/>
          <w:lang w:val="en-GB" w:eastAsia="en-GB"/>
        </w:rPr>
        <w:t xml:space="preserve"> in accounting policy was recognized retrospectively, requiring a restatement of the 2016</w:t>
      </w:r>
      <w:r>
        <w:rPr>
          <w:rFonts w:cs="Arial"/>
          <w:sz w:val="20"/>
          <w:lang w:val="en-GB" w:eastAsia="en-GB"/>
        </w:rPr>
        <w:t xml:space="preserve"> and 2015 </w:t>
      </w:r>
      <w:r w:rsidR="00214425" w:rsidRPr="00214425">
        <w:rPr>
          <w:rFonts w:cs="Arial"/>
          <w:sz w:val="20"/>
          <w:lang w:val="en-GB" w:eastAsia="en-GB"/>
        </w:rPr>
        <w:t>numbers</w:t>
      </w:r>
      <w:r>
        <w:rPr>
          <w:rFonts w:cs="Arial"/>
          <w:sz w:val="20"/>
          <w:lang w:val="en-GB" w:eastAsia="en-GB"/>
        </w:rPr>
        <w:t xml:space="preserve"> previously presented</w:t>
      </w:r>
      <w:r w:rsidR="00214425" w:rsidRPr="00214425">
        <w:rPr>
          <w:rFonts w:cs="Arial"/>
          <w:sz w:val="20"/>
          <w:lang w:val="en-GB" w:eastAsia="en-GB"/>
        </w:rPr>
        <w:t>.</w:t>
      </w:r>
      <w:r w:rsidR="00214425" w:rsidRPr="00214425">
        <w:rPr>
          <w:sz w:val="20"/>
        </w:rPr>
        <w:t xml:space="preserve"> </w:t>
      </w:r>
      <w:r w:rsidR="00214425" w:rsidRPr="00214425">
        <w:rPr>
          <w:rFonts w:cs="Arial"/>
          <w:sz w:val="20"/>
        </w:rPr>
        <w:t xml:space="preserve"> </w:t>
      </w:r>
    </w:p>
    <w:p w:rsidR="00214425" w:rsidRPr="00214425" w:rsidRDefault="00214425" w:rsidP="0061244A">
      <w:pPr>
        <w:autoSpaceDE w:val="0"/>
        <w:autoSpaceDN w:val="0"/>
        <w:adjustRightInd w:val="0"/>
        <w:rPr>
          <w:rFonts w:cs="Arial"/>
          <w:lang w:eastAsia="en-GB"/>
        </w:rPr>
      </w:pPr>
    </w:p>
    <w:p w:rsidR="002F09F3" w:rsidRPr="00957875" w:rsidRDefault="002F09F3" w:rsidP="0061244A">
      <w:pPr>
        <w:autoSpaceDE w:val="0"/>
        <w:autoSpaceDN w:val="0"/>
        <w:adjustRightInd w:val="0"/>
        <w:rPr>
          <w:rFonts w:cs="Arial"/>
          <w:lang w:val="en-GB" w:eastAsia="en-GB"/>
        </w:rPr>
      </w:pPr>
    </w:p>
    <w:p w:rsidR="009A0C8C" w:rsidRPr="00683089" w:rsidRDefault="002F09F3" w:rsidP="00683089">
      <w:pPr>
        <w:pStyle w:val="Heading3"/>
      </w:pPr>
      <w:r w:rsidRPr="00957875">
        <w:rPr>
          <w:lang w:val="en-GB" w:eastAsia="en-GB"/>
        </w:rPr>
        <w:br w:type="page"/>
      </w:r>
      <w:bookmarkStart w:id="24" w:name="_Toc522808852"/>
      <w:r w:rsidR="000409E8" w:rsidRPr="00683089">
        <w:lastRenderedPageBreak/>
        <w:t xml:space="preserve">Statement </w:t>
      </w:r>
      <w:r w:rsidRPr="00683089">
        <w:t>I</w:t>
      </w:r>
      <w:r w:rsidR="00E03131" w:rsidRPr="00683089">
        <w:br/>
      </w:r>
      <w:r w:rsidR="00E03131" w:rsidRPr="00683089">
        <w:br/>
      </w:r>
      <w:r w:rsidR="000409E8" w:rsidRPr="00683089">
        <w:t>Statement of Financial Position</w:t>
      </w:r>
      <w:bookmarkEnd w:id="24"/>
    </w:p>
    <w:p w:rsidR="000409E8" w:rsidRPr="000B6848" w:rsidRDefault="000409E8" w:rsidP="000409E8"/>
    <w:p w:rsidR="002F09F3" w:rsidRPr="00957875" w:rsidRDefault="002F09F3" w:rsidP="009A0C8C">
      <w:pPr>
        <w:jc w:val="center"/>
        <w:rPr>
          <w:rFonts w:cs="Arial"/>
          <w:b/>
          <w:lang w:val="en-GB" w:eastAsia="en-GB"/>
        </w:rPr>
      </w:pPr>
      <w:r w:rsidRPr="00957875">
        <w:rPr>
          <w:rFonts w:cs="Arial"/>
          <w:b/>
          <w:lang w:val="en-GB" w:eastAsia="en-GB"/>
        </w:rPr>
        <w:t>a</w:t>
      </w:r>
      <w:r w:rsidR="000B6848">
        <w:rPr>
          <w:rFonts w:cs="Arial"/>
          <w:b/>
          <w:lang w:val="en-GB" w:eastAsia="en-GB"/>
        </w:rPr>
        <w:t>s at December 31, 2017</w:t>
      </w:r>
    </w:p>
    <w:p w:rsidR="002F09F3" w:rsidRPr="00957875" w:rsidRDefault="002F09F3" w:rsidP="009A0C8C">
      <w:pPr>
        <w:jc w:val="center"/>
        <w:rPr>
          <w:rFonts w:cs="Arial"/>
          <w:i/>
        </w:rPr>
      </w:pPr>
      <w:r w:rsidRPr="00957875">
        <w:rPr>
          <w:rFonts w:cs="Arial"/>
          <w:i/>
        </w:rPr>
        <w:t xml:space="preserve">(in Swiss francs) </w:t>
      </w:r>
    </w:p>
    <w:p w:rsidR="002F09F3" w:rsidRPr="00957875" w:rsidRDefault="002F09F3" w:rsidP="00532F43">
      <w:pPr>
        <w:spacing w:line="276" w:lineRule="auto"/>
        <w:jc w:val="center"/>
        <w:rPr>
          <w:rFonts w:cs="Arial"/>
          <w:b/>
        </w:rPr>
      </w:pPr>
    </w:p>
    <w:p w:rsidR="002F09F3" w:rsidRPr="00957875" w:rsidRDefault="00FF1CF3" w:rsidP="00532F43">
      <w:pPr>
        <w:spacing w:line="276" w:lineRule="auto"/>
        <w:jc w:val="center"/>
        <w:rPr>
          <w:rFonts w:cs="Arial"/>
          <w:b/>
        </w:rPr>
      </w:pPr>
      <w:r w:rsidRPr="00FF1CF3">
        <w:rPr>
          <w:noProof/>
        </w:rPr>
        <w:drawing>
          <wp:inline distT="0" distB="0" distL="0" distR="0" wp14:anchorId="37E181FF" wp14:editId="6144D9B1">
            <wp:extent cx="6067425" cy="566737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67425" cy="5667375"/>
                    </a:xfrm>
                    <a:prstGeom prst="rect">
                      <a:avLst/>
                    </a:prstGeom>
                    <a:noFill/>
                    <a:ln>
                      <a:noFill/>
                    </a:ln>
                  </pic:spPr>
                </pic:pic>
              </a:graphicData>
            </a:graphic>
          </wp:inline>
        </w:drawing>
      </w:r>
    </w:p>
    <w:p w:rsidR="002F09F3" w:rsidRPr="00957875" w:rsidRDefault="002F09F3" w:rsidP="00532F43">
      <w:pPr>
        <w:spacing w:line="276" w:lineRule="auto"/>
        <w:jc w:val="center"/>
        <w:rPr>
          <w:rFonts w:cs="Arial"/>
          <w:b/>
        </w:rPr>
      </w:pPr>
    </w:p>
    <w:p w:rsidR="002F09F3" w:rsidRPr="00683089" w:rsidRDefault="002F09F3" w:rsidP="00683089">
      <w:pPr>
        <w:pStyle w:val="Heading3"/>
      </w:pPr>
      <w:r w:rsidRPr="00957875">
        <w:br w:type="page"/>
      </w:r>
      <w:bookmarkStart w:id="25" w:name="_Toc522808853"/>
      <w:r w:rsidR="00683089" w:rsidRPr="00683089">
        <w:lastRenderedPageBreak/>
        <w:t xml:space="preserve">Statement </w:t>
      </w:r>
      <w:r w:rsidRPr="00683089">
        <w:t>II</w:t>
      </w:r>
      <w:r w:rsidR="00683089" w:rsidRPr="00683089">
        <w:br/>
      </w:r>
      <w:r w:rsidR="00683089" w:rsidRPr="00683089">
        <w:br/>
        <w:t>Statement of Financial Performance</w:t>
      </w:r>
      <w:bookmarkEnd w:id="25"/>
    </w:p>
    <w:p w:rsidR="00683089" w:rsidRDefault="00683089" w:rsidP="009A0C8C">
      <w:pPr>
        <w:jc w:val="center"/>
        <w:rPr>
          <w:rFonts w:cs="Arial"/>
          <w:b/>
          <w:lang w:val="en-GB" w:eastAsia="en-GB"/>
        </w:rPr>
      </w:pPr>
    </w:p>
    <w:p w:rsidR="002F09F3" w:rsidRPr="00957875" w:rsidRDefault="00EF5AF4" w:rsidP="009A0C8C">
      <w:pPr>
        <w:jc w:val="center"/>
        <w:rPr>
          <w:rFonts w:cs="Arial"/>
          <w:b/>
          <w:lang w:val="en-GB" w:eastAsia="en-GB"/>
        </w:rPr>
      </w:pPr>
      <w:r w:rsidRPr="00957875">
        <w:rPr>
          <w:rFonts w:cs="Arial"/>
          <w:b/>
          <w:lang w:val="en-GB" w:eastAsia="en-GB"/>
        </w:rPr>
        <w:t>for the B</w:t>
      </w:r>
      <w:r w:rsidR="002F09F3" w:rsidRPr="00957875">
        <w:rPr>
          <w:rFonts w:cs="Arial"/>
          <w:b/>
          <w:lang w:val="en-GB" w:eastAsia="en-GB"/>
        </w:rPr>
        <w:t>iennium ended</w:t>
      </w:r>
      <w:r w:rsidR="00CE32FB">
        <w:rPr>
          <w:rFonts w:cs="Arial"/>
          <w:b/>
          <w:lang w:val="en-GB" w:eastAsia="en-GB"/>
        </w:rPr>
        <w:t xml:space="preserve"> December 31, 2017</w:t>
      </w:r>
    </w:p>
    <w:p w:rsidR="002F09F3" w:rsidRPr="00957875" w:rsidRDefault="002F09F3" w:rsidP="009A0C8C">
      <w:pPr>
        <w:jc w:val="center"/>
        <w:rPr>
          <w:rFonts w:cs="Arial"/>
          <w:i/>
        </w:rPr>
      </w:pPr>
      <w:r w:rsidRPr="00957875">
        <w:rPr>
          <w:rFonts w:cs="Arial"/>
          <w:i/>
        </w:rPr>
        <w:t xml:space="preserve">(in Swiss francs) </w:t>
      </w:r>
    </w:p>
    <w:p w:rsidR="00EC7731" w:rsidRPr="00957875" w:rsidRDefault="00EC7731" w:rsidP="009A0C8C">
      <w:pPr>
        <w:jc w:val="center"/>
        <w:rPr>
          <w:rFonts w:cs="Arial"/>
          <w:b/>
        </w:rPr>
      </w:pPr>
    </w:p>
    <w:p w:rsidR="002F09F3" w:rsidRPr="00957875" w:rsidRDefault="00851D2B" w:rsidP="00532F43">
      <w:pPr>
        <w:spacing w:line="276" w:lineRule="auto"/>
        <w:jc w:val="center"/>
        <w:rPr>
          <w:rFonts w:cs="Arial"/>
          <w:b/>
        </w:rPr>
      </w:pPr>
      <w:r w:rsidRPr="00851D2B">
        <w:rPr>
          <w:noProof/>
        </w:rPr>
        <w:drawing>
          <wp:inline distT="0" distB="0" distL="0" distR="0" wp14:anchorId="29605523" wp14:editId="6FAEE086">
            <wp:extent cx="5943600" cy="36671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3667125"/>
                    </a:xfrm>
                    <a:prstGeom prst="rect">
                      <a:avLst/>
                    </a:prstGeom>
                    <a:noFill/>
                    <a:ln>
                      <a:noFill/>
                    </a:ln>
                  </pic:spPr>
                </pic:pic>
              </a:graphicData>
            </a:graphic>
          </wp:inline>
        </w:drawing>
      </w:r>
    </w:p>
    <w:p w:rsidR="002F09F3" w:rsidRPr="00957875" w:rsidRDefault="002F09F3" w:rsidP="00532F43">
      <w:pPr>
        <w:spacing w:line="276" w:lineRule="auto"/>
        <w:jc w:val="center"/>
        <w:rPr>
          <w:rFonts w:cs="Arial"/>
          <w:b/>
        </w:rPr>
      </w:pPr>
    </w:p>
    <w:p w:rsidR="002F09F3" w:rsidRPr="00683089" w:rsidRDefault="002F09F3" w:rsidP="00683089">
      <w:pPr>
        <w:pStyle w:val="Heading3"/>
      </w:pPr>
      <w:r w:rsidRPr="00957875">
        <w:br w:type="page"/>
      </w:r>
      <w:bookmarkStart w:id="26" w:name="_Toc522808854"/>
      <w:r w:rsidR="00683089" w:rsidRPr="00683089">
        <w:lastRenderedPageBreak/>
        <w:t xml:space="preserve">Statement </w:t>
      </w:r>
      <w:r w:rsidRPr="00683089">
        <w:t>III</w:t>
      </w:r>
      <w:r w:rsidR="00683089">
        <w:br/>
      </w:r>
      <w:r w:rsidR="00683089">
        <w:br/>
      </w:r>
      <w:r w:rsidR="00683089" w:rsidRPr="00683089">
        <w:t>Statement of Changes in Net Assets</w:t>
      </w:r>
      <w:bookmarkEnd w:id="26"/>
    </w:p>
    <w:p w:rsidR="00683089" w:rsidRDefault="00683089" w:rsidP="009A0C8C">
      <w:pPr>
        <w:jc w:val="center"/>
        <w:rPr>
          <w:rFonts w:cs="Arial"/>
          <w:b/>
          <w:lang w:val="en-GB" w:eastAsia="en-GB"/>
        </w:rPr>
      </w:pPr>
    </w:p>
    <w:p w:rsidR="002F09F3" w:rsidRDefault="00EF5AF4" w:rsidP="009A0C8C">
      <w:pPr>
        <w:jc w:val="center"/>
        <w:rPr>
          <w:rFonts w:cs="Arial"/>
          <w:b/>
          <w:lang w:val="en-GB" w:eastAsia="en-GB"/>
        </w:rPr>
      </w:pPr>
      <w:r w:rsidRPr="00957875">
        <w:rPr>
          <w:rFonts w:cs="Arial"/>
          <w:b/>
          <w:lang w:val="en-GB" w:eastAsia="en-GB"/>
        </w:rPr>
        <w:t>for the B</w:t>
      </w:r>
      <w:r w:rsidR="002F09F3" w:rsidRPr="00957875">
        <w:rPr>
          <w:rFonts w:cs="Arial"/>
          <w:b/>
          <w:lang w:val="en-GB" w:eastAsia="en-GB"/>
        </w:rPr>
        <w:t>iennium ended December 31,</w:t>
      </w:r>
      <w:r w:rsidR="00FF1CF3">
        <w:rPr>
          <w:rFonts w:cs="Arial"/>
          <w:b/>
          <w:lang w:val="en-GB" w:eastAsia="en-GB"/>
        </w:rPr>
        <w:t xml:space="preserve"> 201</w:t>
      </w:r>
      <w:r w:rsidR="0001366F">
        <w:rPr>
          <w:rFonts w:cs="Arial"/>
          <w:b/>
          <w:lang w:val="en-GB" w:eastAsia="en-GB"/>
        </w:rPr>
        <w:t>7</w:t>
      </w:r>
    </w:p>
    <w:p w:rsidR="0001366F" w:rsidRPr="00957875" w:rsidRDefault="0001366F" w:rsidP="009A0C8C">
      <w:pPr>
        <w:jc w:val="center"/>
        <w:rPr>
          <w:rFonts w:cs="Arial"/>
          <w:b/>
          <w:lang w:val="en-GB" w:eastAsia="en-GB"/>
        </w:rPr>
      </w:pPr>
    </w:p>
    <w:p w:rsidR="002F09F3" w:rsidRPr="00957875" w:rsidRDefault="002F09F3" w:rsidP="009A0C8C">
      <w:pPr>
        <w:jc w:val="center"/>
        <w:rPr>
          <w:rFonts w:cs="Arial"/>
          <w:i/>
        </w:rPr>
      </w:pPr>
      <w:r w:rsidRPr="00957875">
        <w:rPr>
          <w:rFonts w:cs="Arial"/>
          <w:i/>
        </w:rPr>
        <w:t xml:space="preserve">(in Swiss francs) </w:t>
      </w:r>
    </w:p>
    <w:p w:rsidR="002F09F3" w:rsidRPr="00957875" w:rsidRDefault="002F09F3" w:rsidP="009A0C8C">
      <w:pPr>
        <w:jc w:val="center"/>
        <w:rPr>
          <w:rFonts w:cs="Arial"/>
          <w:b/>
        </w:rPr>
      </w:pPr>
    </w:p>
    <w:p w:rsidR="002F09F3" w:rsidRPr="00957875" w:rsidRDefault="0001366F" w:rsidP="00532F43">
      <w:pPr>
        <w:spacing w:line="276" w:lineRule="auto"/>
        <w:jc w:val="center"/>
        <w:rPr>
          <w:rFonts w:cs="Arial"/>
          <w:b/>
        </w:rPr>
      </w:pPr>
      <w:r w:rsidRPr="0001366F">
        <w:rPr>
          <w:noProof/>
        </w:rPr>
        <w:drawing>
          <wp:inline distT="0" distB="0" distL="0" distR="0" wp14:anchorId="22E87974" wp14:editId="4B882BE2">
            <wp:extent cx="6120765" cy="347374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765" cy="3473743"/>
                    </a:xfrm>
                    <a:prstGeom prst="rect">
                      <a:avLst/>
                    </a:prstGeom>
                    <a:noFill/>
                    <a:ln>
                      <a:noFill/>
                    </a:ln>
                  </pic:spPr>
                </pic:pic>
              </a:graphicData>
            </a:graphic>
          </wp:inline>
        </w:drawing>
      </w:r>
    </w:p>
    <w:p w:rsidR="002F09F3" w:rsidRPr="00957875" w:rsidRDefault="002F09F3" w:rsidP="00532F43">
      <w:pPr>
        <w:spacing w:line="276" w:lineRule="auto"/>
        <w:jc w:val="center"/>
        <w:rPr>
          <w:rFonts w:cs="Arial"/>
          <w:b/>
        </w:rPr>
      </w:pPr>
    </w:p>
    <w:p w:rsidR="002F09F3" w:rsidRPr="00957875" w:rsidRDefault="002F09F3" w:rsidP="00532F43">
      <w:pPr>
        <w:spacing w:line="276" w:lineRule="auto"/>
        <w:jc w:val="center"/>
        <w:rPr>
          <w:rFonts w:cs="Arial"/>
        </w:rPr>
      </w:pPr>
    </w:p>
    <w:p w:rsidR="002F09F3" w:rsidRPr="00683089" w:rsidRDefault="002F09F3" w:rsidP="00683089">
      <w:pPr>
        <w:pStyle w:val="Heading3"/>
      </w:pPr>
      <w:r w:rsidRPr="00957875">
        <w:br w:type="page"/>
      </w:r>
      <w:bookmarkStart w:id="27" w:name="_Toc522808855"/>
      <w:r w:rsidR="00683089" w:rsidRPr="00683089">
        <w:lastRenderedPageBreak/>
        <w:t xml:space="preserve">Statement </w:t>
      </w:r>
      <w:r w:rsidRPr="00683089">
        <w:t>IV</w:t>
      </w:r>
      <w:r w:rsidR="00683089">
        <w:br/>
      </w:r>
      <w:r w:rsidR="00683089">
        <w:br/>
      </w:r>
      <w:r w:rsidR="00683089" w:rsidRPr="00683089">
        <w:t>Statement of Cash Flow</w:t>
      </w:r>
      <w:bookmarkEnd w:id="27"/>
    </w:p>
    <w:p w:rsidR="00683089" w:rsidRDefault="00683089" w:rsidP="00532F43">
      <w:pPr>
        <w:spacing w:line="276" w:lineRule="auto"/>
        <w:jc w:val="center"/>
        <w:rPr>
          <w:rFonts w:cs="Arial"/>
          <w:b/>
          <w:lang w:val="en-GB" w:eastAsia="en-GB"/>
        </w:rPr>
      </w:pPr>
    </w:p>
    <w:p w:rsidR="002F09F3" w:rsidRPr="00957875" w:rsidRDefault="00EF5AF4" w:rsidP="00532F43">
      <w:pPr>
        <w:spacing w:line="276" w:lineRule="auto"/>
        <w:jc w:val="center"/>
        <w:rPr>
          <w:rFonts w:cs="Arial"/>
          <w:b/>
          <w:lang w:val="en-GB" w:eastAsia="en-GB"/>
        </w:rPr>
      </w:pPr>
      <w:r w:rsidRPr="00957875">
        <w:rPr>
          <w:rFonts w:cs="Arial"/>
          <w:b/>
          <w:lang w:val="en-GB" w:eastAsia="en-GB"/>
        </w:rPr>
        <w:t>for the B</w:t>
      </w:r>
      <w:r w:rsidR="002F09F3" w:rsidRPr="00957875">
        <w:rPr>
          <w:rFonts w:cs="Arial"/>
          <w:b/>
          <w:lang w:val="en-GB" w:eastAsia="en-GB"/>
        </w:rPr>
        <w:t>iennium ended</w:t>
      </w:r>
      <w:r w:rsidR="0001366F">
        <w:rPr>
          <w:rFonts w:cs="Arial"/>
          <w:b/>
          <w:lang w:val="en-GB" w:eastAsia="en-GB"/>
        </w:rPr>
        <w:t xml:space="preserve"> December 31, 2017</w:t>
      </w:r>
    </w:p>
    <w:p w:rsidR="002F09F3" w:rsidRPr="00957875" w:rsidRDefault="002F09F3" w:rsidP="00532F43">
      <w:pPr>
        <w:spacing w:line="276" w:lineRule="auto"/>
        <w:jc w:val="center"/>
        <w:rPr>
          <w:rFonts w:cs="Arial"/>
          <w:i/>
        </w:rPr>
      </w:pPr>
      <w:r w:rsidRPr="00957875">
        <w:rPr>
          <w:rFonts w:cs="Arial"/>
          <w:i/>
        </w:rPr>
        <w:t xml:space="preserve">(in Swiss francs) </w:t>
      </w:r>
    </w:p>
    <w:p w:rsidR="002F09F3" w:rsidRPr="00957875" w:rsidRDefault="002F09F3" w:rsidP="00532F43">
      <w:pPr>
        <w:spacing w:line="276" w:lineRule="auto"/>
        <w:jc w:val="center"/>
        <w:rPr>
          <w:rFonts w:cs="Arial"/>
          <w:b/>
        </w:rPr>
      </w:pPr>
    </w:p>
    <w:p w:rsidR="002F09F3" w:rsidRPr="00957875" w:rsidRDefault="005D69CE" w:rsidP="00532F43">
      <w:pPr>
        <w:spacing w:line="276" w:lineRule="auto"/>
        <w:jc w:val="center"/>
        <w:rPr>
          <w:rFonts w:cs="Arial"/>
          <w:b/>
        </w:rPr>
      </w:pPr>
      <w:r w:rsidRPr="005D69CE">
        <w:rPr>
          <w:noProof/>
        </w:rPr>
        <w:drawing>
          <wp:inline distT="0" distB="0" distL="0" distR="0" wp14:anchorId="420867A6" wp14:editId="577D3062">
            <wp:extent cx="6120765" cy="4317749"/>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765" cy="4317749"/>
                    </a:xfrm>
                    <a:prstGeom prst="rect">
                      <a:avLst/>
                    </a:prstGeom>
                    <a:noFill/>
                    <a:ln>
                      <a:noFill/>
                    </a:ln>
                  </pic:spPr>
                </pic:pic>
              </a:graphicData>
            </a:graphic>
          </wp:inline>
        </w:drawing>
      </w:r>
    </w:p>
    <w:p w:rsidR="002F09F3" w:rsidRPr="00957875" w:rsidRDefault="002F09F3" w:rsidP="00532F43">
      <w:pPr>
        <w:spacing w:line="276" w:lineRule="auto"/>
        <w:jc w:val="center"/>
        <w:rPr>
          <w:rFonts w:cs="Arial"/>
        </w:rPr>
      </w:pPr>
    </w:p>
    <w:p w:rsidR="002F09F3" w:rsidRPr="00957875" w:rsidRDefault="002F09F3" w:rsidP="00532F43">
      <w:pPr>
        <w:spacing w:line="276" w:lineRule="auto"/>
        <w:jc w:val="center"/>
        <w:rPr>
          <w:rFonts w:cs="Arial"/>
        </w:rPr>
      </w:pPr>
    </w:p>
    <w:p w:rsidR="002F09F3" w:rsidRPr="00683089" w:rsidRDefault="002F09F3" w:rsidP="00683089">
      <w:pPr>
        <w:pStyle w:val="Heading3"/>
      </w:pPr>
      <w:r w:rsidRPr="00957875">
        <w:br w:type="page"/>
      </w:r>
      <w:bookmarkStart w:id="28" w:name="_Toc522808856"/>
      <w:r w:rsidR="00683089" w:rsidRPr="00683089">
        <w:lastRenderedPageBreak/>
        <w:t xml:space="preserve">Statement </w:t>
      </w:r>
      <w:r w:rsidRPr="00683089">
        <w:t>V</w:t>
      </w:r>
      <w:r w:rsidR="00683089">
        <w:br/>
      </w:r>
      <w:r w:rsidR="00683089">
        <w:br/>
      </w:r>
      <w:r w:rsidR="00683089" w:rsidRPr="00683089">
        <w:t>Statement of Comparison of Budget and Actual Amounts</w:t>
      </w:r>
      <w:bookmarkEnd w:id="28"/>
    </w:p>
    <w:p w:rsidR="00683089" w:rsidRDefault="00683089" w:rsidP="009A0C8C">
      <w:pPr>
        <w:jc w:val="center"/>
        <w:rPr>
          <w:rFonts w:cs="Arial"/>
          <w:b/>
          <w:lang w:val="en-GB" w:eastAsia="en-GB"/>
        </w:rPr>
      </w:pPr>
    </w:p>
    <w:p w:rsidR="002F09F3" w:rsidRPr="00957875" w:rsidRDefault="00EF5AF4" w:rsidP="009A0C8C">
      <w:pPr>
        <w:jc w:val="center"/>
        <w:rPr>
          <w:rFonts w:cs="Arial"/>
          <w:b/>
          <w:lang w:val="en-GB" w:eastAsia="en-GB"/>
        </w:rPr>
      </w:pPr>
      <w:r w:rsidRPr="00957875">
        <w:rPr>
          <w:rFonts w:cs="Arial"/>
          <w:b/>
          <w:lang w:val="en-GB" w:eastAsia="en-GB"/>
        </w:rPr>
        <w:t>for the B</w:t>
      </w:r>
      <w:r w:rsidR="002F09F3" w:rsidRPr="00957875">
        <w:rPr>
          <w:rFonts w:cs="Arial"/>
          <w:b/>
          <w:lang w:val="en-GB" w:eastAsia="en-GB"/>
        </w:rPr>
        <w:t>iennium ended</w:t>
      </w:r>
      <w:r w:rsidR="00FF2660">
        <w:rPr>
          <w:rFonts w:cs="Arial"/>
          <w:b/>
          <w:lang w:val="en-GB" w:eastAsia="en-GB"/>
        </w:rPr>
        <w:t xml:space="preserve"> December 31, 2017</w:t>
      </w:r>
    </w:p>
    <w:p w:rsidR="002F09F3" w:rsidRPr="00957875" w:rsidRDefault="002F09F3" w:rsidP="00532F43">
      <w:pPr>
        <w:spacing w:line="276" w:lineRule="auto"/>
        <w:jc w:val="center"/>
        <w:rPr>
          <w:rFonts w:cs="Arial"/>
          <w:i/>
        </w:rPr>
      </w:pPr>
      <w:r w:rsidRPr="00957875">
        <w:rPr>
          <w:rFonts w:cs="Arial"/>
          <w:i/>
        </w:rPr>
        <w:t>(in thousands of Swiss francs)</w:t>
      </w:r>
    </w:p>
    <w:p w:rsidR="002F09F3" w:rsidRPr="00957875" w:rsidRDefault="002F09F3" w:rsidP="00532F43">
      <w:pPr>
        <w:spacing w:line="276" w:lineRule="auto"/>
        <w:jc w:val="center"/>
        <w:rPr>
          <w:rFonts w:cs="Arial"/>
        </w:rPr>
      </w:pPr>
    </w:p>
    <w:p w:rsidR="002F09F3" w:rsidRPr="00957875" w:rsidRDefault="00776F01" w:rsidP="00532F43">
      <w:pPr>
        <w:spacing w:line="276" w:lineRule="auto"/>
        <w:jc w:val="center"/>
        <w:rPr>
          <w:rFonts w:cs="Arial"/>
        </w:rPr>
      </w:pPr>
      <w:r w:rsidRPr="00776F01">
        <w:rPr>
          <w:noProof/>
        </w:rPr>
        <w:drawing>
          <wp:inline distT="0" distB="0" distL="0" distR="0" wp14:anchorId="78B5FAB6" wp14:editId="78601385">
            <wp:extent cx="5715000" cy="52101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0" cy="5210175"/>
                    </a:xfrm>
                    <a:prstGeom prst="rect">
                      <a:avLst/>
                    </a:prstGeom>
                    <a:noFill/>
                    <a:ln>
                      <a:noFill/>
                    </a:ln>
                  </pic:spPr>
                </pic:pic>
              </a:graphicData>
            </a:graphic>
          </wp:inline>
        </w:drawing>
      </w:r>
    </w:p>
    <w:p w:rsidR="002F09F3" w:rsidRPr="00957875" w:rsidRDefault="002F09F3" w:rsidP="00532F43">
      <w:pPr>
        <w:rPr>
          <w:rFonts w:cs="Arial"/>
        </w:rPr>
      </w:pPr>
    </w:p>
    <w:p w:rsidR="002F09F3" w:rsidRPr="00957875" w:rsidRDefault="002F09F3" w:rsidP="00D81BFB">
      <w:pPr>
        <w:numPr>
          <w:ilvl w:val="0"/>
          <w:numId w:val="23"/>
        </w:numPr>
        <w:rPr>
          <w:rFonts w:cs="Arial"/>
          <w:sz w:val="18"/>
          <w:szCs w:val="18"/>
        </w:rPr>
      </w:pPr>
      <w:r w:rsidRPr="00957875">
        <w:rPr>
          <w:rFonts w:cs="Arial"/>
          <w:sz w:val="18"/>
          <w:szCs w:val="18"/>
        </w:rPr>
        <w:t>represents the</w:t>
      </w:r>
      <w:r w:rsidR="00FF2660">
        <w:rPr>
          <w:rFonts w:cs="Arial"/>
          <w:sz w:val="18"/>
          <w:szCs w:val="18"/>
        </w:rPr>
        <w:t xml:space="preserve"> approved 2016-2017</w:t>
      </w:r>
      <w:r w:rsidRPr="00957875">
        <w:rPr>
          <w:rFonts w:cs="Arial"/>
          <w:sz w:val="18"/>
          <w:szCs w:val="18"/>
        </w:rPr>
        <w:t xml:space="preserve"> </w:t>
      </w:r>
      <w:r w:rsidR="002B045E">
        <w:rPr>
          <w:rFonts w:cs="Arial"/>
          <w:sz w:val="18"/>
          <w:szCs w:val="18"/>
        </w:rPr>
        <w:t xml:space="preserve">Program and </w:t>
      </w:r>
      <w:r w:rsidR="002B045E" w:rsidRPr="00957875">
        <w:rPr>
          <w:rFonts w:cs="Arial"/>
          <w:sz w:val="18"/>
          <w:szCs w:val="18"/>
        </w:rPr>
        <w:t>Budget</w:t>
      </w:r>
      <w:r w:rsidRPr="00957875">
        <w:rPr>
          <w:rFonts w:cs="Arial"/>
          <w:sz w:val="18"/>
          <w:szCs w:val="18"/>
        </w:rPr>
        <w:t>;</w:t>
      </w:r>
    </w:p>
    <w:p w:rsidR="002F09F3" w:rsidRPr="00957875" w:rsidRDefault="002F09F3" w:rsidP="00D81BFB">
      <w:pPr>
        <w:numPr>
          <w:ilvl w:val="0"/>
          <w:numId w:val="23"/>
        </w:numPr>
        <w:rPr>
          <w:rFonts w:cs="Arial"/>
          <w:sz w:val="18"/>
          <w:szCs w:val="18"/>
        </w:rPr>
      </w:pPr>
      <w:r w:rsidRPr="00957875">
        <w:rPr>
          <w:rFonts w:cs="Arial"/>
          <w:sz w:val="18"/>
          <w:szCs w:val="18"/>
        </w:rPr>
        <w:t>represents the difference between the final (revised) budget and actual expense on a comparable basis</w:t>
      </w:r>
      <w:r w:rsidR="00FF2660">
        <w:rPr>
          <w:rFonts w:cs="Arial"/>
          <w:sz w:val="18"/>
          <w:szCs w:val="18"/>
        </w:rPr>
        <w:t xml:space="preserve"> (before IPSAS adjustments).</w:t>
      </w:r>
    </w:p>
    <w:p w:rsidR="002F09F3" w:rsidRPr="00155678" w:rsidRDefault="002F09F3" w:rsidP="00155678">
      <w:pPr>
        <w:pStyle w:val="Heading3"/>
        <w:jc w:val="left"/>
      </w:pPr>
      <w:r w:rsidRPr="00957875">
        <w:br w:type="page"/>
      </w:r>
      <w:bookmarkStart w:id="29" w:name="_Toc522808857"/>
      <w:r w:rsidR="00155678" w:rsidRPr="00155678">
        <w:lastRenderedPageBreak/>
        <w:t>Analysis of the Statement of Financial Position</w:t>
      </w:r>
      <w:bookmarkEnd w:id="29"/>
    </w:p>
    <w:p w:rsidR="00683089" w:rsidRDefault="00683089" w:rsidP="0061244A">
      <w:pPr>
        <w:autoSpaceDE w:val="0"/>
        <w:autoSpaceDN w:val="0"/>
        <w:adjustRightInd w:val="0"/>
        <w:rPr>
          <w:rFonts w:cs="Arial"/>
          <w:b/>
          <w:bCs/>
          <w:lang w:val="en-GB" w:eastAsia="en-GB"/>
        </w:rPr>
      </w:pPr>
    </w:p>
    <w:p w:rsidR="002F09F3" w:rsidRPr="00957875" w:rsidRDefault="002F09F3" w:rsidP="0061244A">
      <w:pPr>
        <w:autoSpaceDE w:val="0"/>
        <w:autoSpaceDN w:val="0"/>
        <w:adjustRightInd w:val="0"/>
        <w:rPr>
          <w:rFonts w:cs="Arial"/>
          <w:lang w:val="en-GB" w:eastAsia="en-GB"/>
        </w:rPr>
      </w:pPr>
      <w:r w:rsidRPr="00957875">
        <w:rPr>
          <w:rFonts w:cs="Arial"/>
          <w:b/>
          <w:bCs/>
          <w:lang w:val="en-GB" w:eastAsia="en-GB"/>
        </w:rPr>
        <w:t>Movement in Net Assets</w:t>
      </w:r>
    </w:p>
    <w:p w:rsidR="002F09F3" w:rsidRPr="00957875" w:rsidRDefault="002F09F3" w:rsidP="0061244A">
      <w:pPr>
        <w:rPr>
          <w:rFonts w:cs="Arial"/>
          <w:lang w:val="en-GB" w:eastAsia="en-GB"/>
        </w:rPr>
      </w:pPr>
    </w:p>
    <w:p w:rsidR="00D75014" w:rsidRPr="00957875" w:rsidRDefault="002F09F3" w:rsidP="0061244A">
      <w:pPr>
        <w:rPr>
          <w:rFonts w:cs="Arial"/>
          <w:lang w:val="en-GB" w:eastAsia="en-GB"/>
        </w:rPr>
      </w:pPr>
      <w:r w:rsidRPr="00957875">
        <w:rPr>
          <w:rFonts w:cs="Arial"/>
          <w:lang w:val="en-GB" w:eastAsia="en-GB"/>
        </w:rPr>
        <w:t xml:space="preserve">As </w:t>
      </w:r>
      <w:r w:rsidR="00D074EE">
        <w:rPr>
          <w:rFonts w:cs="Arial"/>
          <w:lang w:val="en-GB" w:eastAsia="en-GB"/>
        </w:rPr>
        <w:t>at December 31, 2017</w:t>
      </w:r>
      <w:r w:rsidRPr="00957875">
        <w:rPr>
          <w:rFonts w:cs="Arial"/>
          <w:lang w:val="en-GB" w:eastAsia="en-GB"/>
        </w:rPr>
        <w:t>, UPOV has net a</w:t>
      </w:r>
      <w:r w:rsidR="00D074EE">
        <w:rPr>
          <w:rFonts w:cs="Arial"/>
          <w:lang w:val="en-GB" w:eastAsia="en-GB"/>
        </w:rPr>
        <w:t>ssets on an IPSAS basis of 629,830</w:t>
      </w:r>
      <w:r w:rsidRPr="00957875">
        <w:rPr>
          <w:rFonts w:cs="Arial"/>
          <w:lang w:val="en-GB" w:eastAsia="en-GB"/>
        </w:rPr>
        <w:t xml:space="preserve"> Swiss francs.</w:t>
      </w:r>
      <w:r w:rsidR="00D074EE">
        <w:rPr>
          <w:rFonts w:cs="Arial"/>
          <w:lang w:val="en-GB" w:eastAsia="en-GB"/>
        </w:rPr>
        <w:t xml:space="preserve"> Following the imp</w:t>
      </w:r>
      <w:r w:rsidR="003670DD">
        <w:rPr>
          <w:rFonts w:cs="Arial"/>
          <w:lang w:val="en-GB" w:eastAsia="en-GB"/>
        </w:rPr>
        <w:t>lementation in 2017 of IPSAS 39, which requires the recognition of actuarial gains and losses,</w:t>
      </w:r>
      <w:r w:rsidR="00D074EE">
        <w:rPr>
          <w:rFonts w:cs="Arial"/>
          <w:lang w:val="en-GB" w:eastAsia="en-GB"/>
        </w:rPr>
        <w:t xml:space="preserve"> the net assets of 2015 and 2016 were restated. The restated 2015 net assets total 1,215,453 Swiss francs, compared to the figure of 1,663,834 Swiss francs presented in the Financial Management Report for the 2014-2015 Biennium.</w:t>
      </w:r>
      <w:r w:rsidRPr="00957875">
        <w:rPr>
          <w:rFonts w:cs="Arial"/>
          <w:lang w:val="en-GB" w:eastAsia="en-GB"/>
        </w:rPr>
        <w:t xml:space="preserve">  </w:t>
      </w:r>
      <w:r w:rsidR="00D074EE">
        <w:rPr>
          <w:rFonts w:cs="Arial"/>
          <w:lang w:val="en-GB" w:eastAsia="en-GB"/>
        </w:rPr>
        <w:t>Betwee</w:t>
      </w:r>
      <w:r w:rsidR="00C83D7C">
        <w:rPr>
          <w:rFonts w:cs="Arial"/>
          <w:lang w:val="en-GB" w:eastAsia="en-GB"/>
        </w:rPr>
        <w:t>n 2015 and 2016, net assets decreased</w:t>
      </w:r>
      <w:r w:rsidR="00D074EE">
        <w:rPr>
          <w:rFonts w:cs="Arial"/>
          <w:lang w:val="en-GB" w:eastAsia="en-GB"/>
        </w:rPr>
        <w:t xml:space="preserve"> by 469,678 Swiss francs, due to the impact of actuarial losses from the ASHI valuation</w:t>
      </w:r>
      <w:r w:rsidR="00C83D7C">
        <w:rPr>
          <w:rFonts w:cs="Arial"/>
          <w:lang w:val="en-GB" w:eastAsia="en-GB"/>
        </w:rPr>
        <w:t>. In 2017, net assets fell again by 115,945 Swiss francs following the deficit of the year of 290,363 Swiss francs, partly offset by actuarial gains from the ASHI valuation. The table below summarizes the decrease in net assets during the 2016-2017 Biennium:</w:t>
      </w:r>
    </w:p>
    <w:p w:rsidR="002F09F3" w:rsidRPr="00957875" w:rsidRDefault="002F09F3" w:rsidP="0061244A">
      <w:pPr>
        <w:rPr>
          <w:rFonts w:cs="Arial"/>
          <w:lang w:val="en-GB" w:eastAsia="en-GB"/>
        </w:rPr>
      </w:pPr>
    </w:p>
    <w:p w:rsidR="008B0A4D" w:rsidRPr="00957875" w:rsidRDefault="000962D0" w:rsidP="008B0A4D">
      <w:pPr>
        <w:jc w:val="center"/>
        <w:rPr>
          <w:rFonts w:cs="Arial"/>
          <w:lang w:val="en-GB" w:eastAsia="en-GB"/>
        </w:rPr>
      </w:pPr>
      <w:r w:rsidRPr="00957875">
        <w:rPr>
          <w:rFonts w:cs="Arial"/>
          <w:lang w:val="en-GB" w:eastAsia="en-GB"/>
        </w:rPr>
        <w:t>Mo</w:t>
      </w:r>
      <w:r w:rsidR="00776F01">
        <w:rPr>
          <w:rFonts w:cs="Arial"/>
          <w:lang w:val="en-GB" w:eastAsia="en-GB"/>
        </w:rPr>
        <w:t xml:space="preserve">vement in Net Assets </w:t>
      </w:r>
      <w:r w:rsidR="008B0A4D">
        <w:rPr>
          <w:rFonts w:cs="Arial"/>
          <w:lang w:val="en-GB" w:eastAsia="en-GB"/>
        </w:rPr>
        <w:t>2016</w:t>
      </w:r>
      <w:r w:rsidRPr="00957875">
        <w:rPr>
          <w:rFonts w:cs="Arial"/>
          <w:lang w:val="en-GB" w:eastAsia="en-GB"/>
        </w:rPr>
        <w:t>-</w:t>
      </w:r>
      <w:r w:rsidR="00EF5AF4" w:rsidRPr="00957875">
        <w:rPr>
          <w:rFonts w:cs="Arial"/>
          <w:lang w:val="en-GB" w:eastAsia="en-GB"/>
        </w:rPr>
        <w:t>20</w:t>
      </w:r>
      <w:r w:rsidR="008B0A4D">
        <w:rPr>
          <w:rFonts w:cs="Arial"/>
          <w:lang w:val="en-GB" w:eastAsia="en-GB"/>
        </w:rPr>
        <w:t>17</w:t>
      </w:r>
    </w:p>
    <w:p w:rsidR="002F09F3" w:rsidRPr="00957875" w:rsidRDefault="00E91BF8" w:rsidP="00D75014">
      <w:pPr>
        <w:jc w:val="center"/>
        <w:rPr>
          <w:rFonts w:cs="Arial"/>
        </w:rPr>
      </w:pPr>
      <w:r w:rsidRPr="00E91BF8">
        <w:rPr>
          <w:noProof/>
        </w:rPr>
        <w:drawing>
          <wp:inline distT="0" distB="0" distL="0" distR="0" wp14:anchorId="18D9DBD1" wp14:editId="78D29632">
            <wp:extent cx="5838825" cy="26860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30">
                      <a:extLst>
                        <a:ext uri="{28A0092B-C50C-407E-A947-70E740481C1C}">
                          <a14:useLocalDpi xmlns:a14="http://schemas.microsoft.com/office/drawing/2010/main" val="0"/>
                        </a:ext>
                      </a:extLst>
                    </a:blip>
                    <a:srcRect t="4730"/>
                    <a:stretch/>
                  </pic:blipFill>
                  <pic:spPr bwMode="auto">
                    <a:xfrm>
                      <a:off x="0" y="0"/>
                      <a:ext cx="5838825" cy="2686050"/>
                    </a:xfrm>
                    <a:prstGeom prst="rect">
                      <a:avLst/>
                    </a:prstGeom>
                    <a:noFill/>
                    <a:ln>
                      <a:noFill/>
                    </a:ln>
                    <a:extLst>
                      <a:ext uri="{53640926-AAD7-44D8-BBD7-CCE9431645EC}">
                        <a14:shadowObscured xmlns:a14="http://schemas.microsoft.com/office/drawing/2010/main"/>
                      </a:ext>
                    </a:extLst>
                  </pic:spPr>
                </pic:pic>
              </a:graphicData>
            </a:graphic>
          </wp:inline>
        </w:drawing>
      </w:r>
    </w:p>
    <w:p w:rsidR="004B2B03" w:rsidRPr="00957875" w:rsidRDefault="004B2B03" w:rsidP="00D81BFB">
      <w:pPr>
        <w:rPr>
          <w:rFonts w:cs="Arial"/>
        </w:rPr>
      </w:pPr>
    </w:p>
    <w:p w:rsidR="002F09F3" w:rsidRPr="00957875" w:rsidRDefault="002F09F3" w:rsidP="0061244A"/>
    <w:p w:rsidR="002F09F3" w:rsidRPr="00957875" w:rsidRDefault="002F09F3" w:rsidP="00D81BFB">
      <w:pPr>
        <w:rPr>
          <w:rFonts w:cs="Arial"/>
          <w:b/>
          <w:sz w:val="18"/>
          <w:szCs w:val="18"/>
        </w:rPr>
      </w:pPr>
      <w:r w:rsidRPr="00957875">
        <w:rPr>
          <w:rFonts w:cs="Arial"/>
          <w:b/>
          <w:sz w:val="18"/>
          <w:szCs w:val="18"/>
        </w:rPr>
        <w:t>Summary of Assets and Liabilities</w:t>
      </w:r>
    </w:p>
    <w:p w:rsidR="002F09F3" w:rsidRPr="00957875" w:rsidRDefault="002F09F3" w:rsidP="0061244A"/>
    <w:p w:rsidR="002F09F3" w:rsidRPr="00957875" w:rsidRDefault="002F09F3" w:rsidP="00D81BFB">
      <w:pPr>
        <w:rPr>
          <w:rFonts w:cs="Arial"/>
        </w:rPr>
      </w:pPr>
      <w:r w:rsidRPr="00957875">
        <w:rPr>
          <w:rFonts w:cs="Arial"/>
        </w:rPr>
        <w:t>The chart below provides a summary of the Statement of Financial Position</w:t>
      </w:r>
      <w:r w:rsidR="008B0A4D">
        <w:rPr>
          <w:rFonts w:cs="Arial"/>
        </w:rPr>
        <w:t xml:space="preserve"> of UPOV as at December 31, 2017</w:t>
      </w:r>
      <w:r w:rsidRPr="00957875">
        <w:rPr>
          <w:rFonts w:cs="Arial"/>
        </w:rPr>
        <w:t>:</w:t>
      </w:r>
    </w:p>
    <w:p w:rsidR="002F09F3" w:rsidRPr="00957875" w:rsidRDefault="002F09F3" w:rsidP="00532F43">
      <w:pPr>
        <w:jc w:val="center"/>
        <w:rPr>
          <w:rFonts w:cs="Arial"/>
        </w:rPr>
      </w:pPr>
      <w:r w:rsidRPr="00957875">
        <w:rPr>
          <w:rFonts w:cs="Arial"/>
        </w:rPr>
        <w:t>Summary of Assets a</w:t>
      </w:r>
      <w:r w:rsidR="008B0A4D">
        <w:rPr>
          <w:rFonts w:cs="Arial"/>
        </w:rPr>
        <w:t>nd Liabilities December 31, 2017</w:t>
      </w:r>
      <w:bookmarkStart w:id="30" w:name="_GoBack"/>
      <w:bookmarkEnd w:id="30"/>
    </w:p>
    <w:p w:rsidR="002F09F3" w:rsidRPr="00957875" w:rsidRDefault="002F09F3" w:rsidP="00D81BFB">
      <w:pPr>
        <w:rPr>
          <w:rFonts w:cs="Arial"/>
        </w:rPr>
      </w:pPr>
    </w:p>
    <w:p w:rsidR="002F09F3" w:rsidRPr="00957875" w:rsidRDefault="00327054" w:rsidP="00C02456">
      <w:pPr>
        <w:jc w:val="center"/>
        <w:rPr>
          <w:rFonts w:cs="Arial"/>
        </w:rPr>
      </w:pPr>
      <w:r w:rsidRPr="00327054">
        <w:drawing>
          <wp:inline distT="0" distB="0" distL="0" distR="0">
            <wp:extent cx="5727940" cy="3240117"/>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3802" cy="3254747"/>
                    </a:xfrm>
                    <a:prstGeom prst="rect">
                      <a:avLst/>
                    </a:prstGeom>
                    <a:noFill/>
                    <a:ln>
                      <a:noFill/>
                    </a:ln>
                  </pic:spPr>
                </pic:pic>
              </a:graphicData>
            </a:graphic>
          </wp:inline>
        </w:drawing>
      </w:r>
    </w:p>
    <w:p w:rsidR="002F09F3" w:rsidRPr="00957875" w:rsidRDefault="002F09F3" w:rsidP="00532F43">
      <w:pPr>
        <w:spacing w:line="276" w:lineRule="auto"/>
        <w:jc w:val="center"/>
        <w:rPr>
          <w:rFonts w:cs="Arial"/>
        </w:rPr>
      </w:pPr>
    </w:p>
    <w:p w:rsidR="00E737E0" w:rsidRPr="00957875" w:rsidRDefault="009C5BF1" w:rsidP="0061244A">
      <w:pPr>
        <w:rPr>
          <w:rFonts w:cs="Arial"/>
        </w:rPr>
      </w:pPr>
      <w:r>
        <w:rPr>
          <w:rFonts w:cs="Arial"/>
        </w:rPr>
        <w:t xml:space="preserve">As at December 31, 2017, </w:t>
      </w:r>
      <w:r w:rsidR="002F09F3" w:rsidRPr="00957875">
        <w:rPr>
          <w:rFonts w:cs="Arial"/>
        </w:rPr>
        <w:t>UPO</w:t>
      </w:r>
      <w:r>
        <w:rPr>
          <w:rFonts w:cs="Arial"/>
        </w:rPr>
        <w:t>V has cash balances of 4,115,186 Swiss francs, representing 97.9</w:t>
      </w:r>
      <w:r w:rsidR="002F09F3" w:rsidRPr="00957875">
        <w:rPr>
          <w:rFonts w:cs="Arial"/>
        </w:rPr>
        <w:t xml:space="preserve"> per</w:t>
      </w:r>
      <w:r>
        <w:rPr>
          <w:rFonts w:cs="Arial"/>
        </w:rPr>
        <w:t xml:space="preserve"> cent of total assets. T</w:t>
      </w:r>
      <w:r w:rsidR="002F09F3" w:rsidRPr="00957875">
        <w:rPr>
          <w:rFonts w:cs="Arial"/>
        </w:rPr>
        <w:t>his</w:t>
      </w:r>
      <w:r>
        <w:rPr>
          <w:rFonts w:cs="Arial"/>
        </w:rPr>
        <w:t xml:space="preserve"> balance</w:t>
      </w:r>
      <w:r w:rsidR="002F09F3" w:rsidRPr="00957875">
        <w:rPr>
          <w:rFonts w:cs="Arial"/>
        </w:rPr>
        <w:t xml:space="preserve"> includes amounts classified</w:t>
      </w:r>
      <w:r w:rsidR="00AA74B6">
        <w:rPr>
          <w:rFonts w:cs="Arial"/>
        </w:rPr>
        <w:t xml:space="preserve"> as restricted under IPSAS,</w:t>
      </w:r>
      <w:r>
        <w:rPr>
          <w:rFonts w:cs="Arial"/>
        </w:rPr>
        <w:t xml:space="preserve"> and also strategic cash representing funds allocated for the future financing of UPOV’s ASHI liability</w:t>
      </w:r>
      <w:r w:rsidR="002F09F3" w:rsidRPr="00957875">
        <w:rPr>
          <w:rFonts w:cs="Arial"/>
        </w:rPr>
        <w:t xml:space="preserve">. The remaining assets are </w:t>
      </w:r>
      <w:r w:rsidR="000962D0" w:rsidRPr="00957875">
        <w:rPr>
          <w:rFonts w:cs="Arial"/>
        </w:rPr>
        <w:t>acco</w:t>
      </w:r>
      <w:r w:rsidR="00AA74B6">
        <w:rPr>
          <w:rFonts w:cs="Arial"/>
        </w:rPr>
        <w:t>unts receivable totaling 86,196</w:t>
      </w:r>
      <w:r w:rsidR="00E737E0" w:rsidRPr="00957875">
        <w:rPr>
          <w:rFonts w:cs="Arial"/>
        </w:rPr>
        <w:t xml:space="preserve"> Swiss francs. </w:t>
      </w:r>
    </w:p>
    <w:p w:rsidR="00E737E0" w:rsidRPr="00957875" w:rsidRDefault="00E737E0" w:rsidP="0061244A">
      <w:pPr>
        <w:rPr>
          <w:rFonts w:cs="Arial"/>
        </w:rPr>
      </w:pPr>
    </w:p>
    <w:p w:rsidR="002F09F3" w:rsidRPr="00957875" w:rsidRDefault="002F09F3" w:rsidP="0061244A">
      <w:pPr>
        <w:rPr>
          <w:rFonts w:cs="Arial"/>
        </w:rPr>
      </w:pPr>
      <w:r w:rsidRPr="00957875">
        <w:rPr>
          <w:rFonts w:cs="Arial"/>
        </w:rPr>
        <w:t>The most significant liability of UPOV i</w:t>
      </w:r>
      <w:r w:rsidR="00AA74B6">
        <w:rPr>
          <w:rFonts w:cs="Arial"/>
        </w:rPr>
        <w:t>s employee benefits of 2,456,705</w:t>
      </w:r>
      <w:r w:rsidRPr="00957875">
        <w:rPr>
          <w:rFonts w:cs="Arial"/>
        </w:rPr>
        <w:t xml:space="preserve"> Swiss francs, including primarily</w:t>
      </w:r>
      <w:r w:rsidR="00AA74B6">
        <w:rPr>
          <w:rFonts w:cs="Arial"/>
        </w:rPr>
        <w:t xml:space="preserve"> the ASHI liability of 2,209,461</w:t>
      </w:r>
      <w:r w:rsidRPr="00957875">
        <w:rPr>
          <w:rFonts w:cs="Arial"/>
        </w:rPr>
        <w:t xml:space="preserve"> Swiss</w:t>
      </w:r>
      <w:r w:rsidR="000962D0" w:rsidRPr="00957875">
        <w:rPr>
          <w:rFonts w:cs="Arial"/>
        </w:rPr>
        <w:t xml:space="preserve"> francs. Advance receipts </w:t>
      </w:r>
      <w:r w:rsidR="00AA74B6">
        <w:rPr>
          <w:rFonts w:cs="Arial"/>
        </w:rPr>
        <w:t>of 387,594</w:t>
      </w:r>
      <w:r w:rsidR="00D74017" w:rsidRPr="00957875">
        <w:rPr>
          <w:rFonts w:cs="Arial"/>
        </w:rPr>
        <w:t xml:space="preserve"> Swiss francs include</w:t>
      </w:r>
      <w:r w:rsidRPr="00957875">
        <w:rPr>
          <w:rFonts w:cs="Arial"/>
        </w:rPr>
        <w:t xml:space="preserve"> co</w:t>
      </w:r>
      <w:r w:rsidR="00AA74B6">
        <w:rPr>
          <w:rFonts w:cs="Arial"/>
        </w:rPr>
        <w:t>ntributions paid in advance (260,063</w:t>
      </w:r>
      <w:r w:rsidRPr="00957875">
        <w:rPr>
          <w:rFonts w:cs="Arial"/>
        </w:rPr>
        <w:t xml:space="preserve"> Swiss francs)</w:t>
      </w:r>
      <w:r w:rsidR="000962D0" w:rsidRPr="00957875">
        <w:rPr>
          <w:rFonts w:cs="Arial"/>
        </w:rPr>
        <w:t xml:space="preserve"> and deferred rev</w:t>
      </w:r>
      <w:r w:rsidR="00D74017" w:rsidRPr="00957875">
        <w:rPr>
          <w:rFonts w:cs="Arial"/>
        </w:rPr>
        <w:t>e</w:t>
      </w:r>
      <w:r w:rsidR="000962D0" w:rsidRPr="00957875">
        <w:rPr>
          <w:rFonts w:cs="Arial"/>
        </w:rPr>
        <w:t>nue from</w:t>
      </w:r>
      <w:r w:rsidR="00A22D2C" w:rsidRPr="00957875">
        <w:rPr>
          <w:rFonts w:cs="Arial"/>
        </w:rPr>
        <w:t xml:space="preserve"> extrabudgetary funds</w:t>
      </w:r>
      <w:r w:rsidR="00AA74B6">
        <w:rPr>
          <w:rFonts w:cs="Arial"/>
        </w:rPr>
        <w:t xml:space="preserve"> (127,531 Swiss francs). Payables and other liabilities (727,253</w:t>
      </w:r>
      <w:r w:rsidRPr="00957875">
        <w:rPr>
          <w:rFonts w:cs="Arial"/>
        </w:rPr>
        <w:t xml:space="preserve"> Swiss francs) </w:t>
      </w:r>
      <w:r w:rsidR="00AA74B6">
        <w:rPr>
          <w:rFonts w:cs="Arial"/>
        </w:rPr>
        <w:t xml:space="preserve">are almost entirely comprised of </w:t>
      </w:r>
      <w:r w:rsidRPr="00957875">
        <w:rPr>
          <w:rFonts w:cs="Arial"/>
        </w:rPr>
        <w:t>the amount payable to the World Intellectual Property Organiza</w:t>
      </w:r>
      <w:r w:rsidR="00776F01">
        <w:rPr>
          <w:rFonts w:cs="Arial"/>
        </w:rPr>
        <w:t>tion (WIPO)</w:t>
      </w:r>
      <w:r w:rsidRPr="00957875">
        <w:rPr>
          <w:rFonts w:cs="Arial"/>
        </w:rPr>
        <w:t>.</w:t>
      </w:r>
    </w:p>
    <w:p w:rsidR="002F09F3" w:rsidRPr="00957875" w:rsidRDefault="002F09F3" w:rsidP="0061244A">
      <w:pPr>
        <w:rPr>
          <w:rFonts w:cs="Arial"/>
        </w:rPr>
      </w:pPr>
    </w:p>
    <w:p w:rsidR="002F09F3" w:rsidRPr="00957875" w:rsidRDefault="002F09F3" w:rsidP="0061244A">
      <w:pPr>
        <w:rPr>
          <w:rFonts w:cs="Arial"/>
          <w:b/>
        </w:rPr>
      </w:pPr>
      <w:r w:rsidRPr="00957875">
        <w:rPr>
          <w:rFonts w:cs="Arial"/>
          <w:b/>
        </w:rPr>
        <w:t>Cash and Cash Equivalents</w:t>
      </w:r>
    </w:p>
    <w:p w:rsidR="002F09F3" w:rsidRPr="00957875" w:rsidRDefault="002F09F3" w:rsidP="0061244A">
      <w:pPr>
        <w:rPr>
          <w:rFonts w:cs="Arial"/>
          <w:b/>
        </w:rPr>
      </w:pPr>
    </w:p>
    <w:p w:rsidR="002F09F3" w:rsidRPr="00957875" w:rsidRDefault="0096531A" w:rsidP="00A22D2C">
      <w:pPr>
        <w:spacing w:line="276" w:lineRule="auto"/>
        <w:jc w:val="center"/>
        <w:rPr>
          <w:rFonts w:cs="Arial"/>
          <w:b/>
        </w:rPr>
      </w:pPr>
      <w:r w:rsidRPr="0096531A">
        <w:rPr>
          <w:noProof/>
        </w:rPr>
        <w:drawing>
          <wp:inline distT="0" distB="0" distL="0" distR="0" wp14:anchorId="2A471E7B" wp14:editId="056918A6">
            <wp:extent cx="6120765" cy="1641272"/>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765" cy="1641272"/>
                    </a:xfrm>
                    <a:prstGeom prst="rect">
                      <a:avLst/>
                    </a:prstGeom>
                    <a:noFill/>
                    <a:ln>
                      <a:noFill/>
                    </a:ln>
                  </pic:spPr>
                </pic:pic>
              </a:graphicData>
            </a:graphic>
          </wp:inline>
        </w:drawing>
      </w:r>
    </w:p>
    <w:p w:rsidR="002F09F3" w:rsidRPr="0083248D" w:rsidRDefault="002F09F3" w:rsidP="0083248D">
      <w:pPr>
        <w:pStyle w:val="Style3"/>
        <w:spacing w:after="0"/>
        <w:rPr>
          <w:sz w:val="20"/>
        </w:rPr>
      </w:pPr>
      <w:r w:rsidRPr="0083248D">
        <w:rPr>
          <w:rFonts w:cs="Arial"/>
          <w:sz w:val="20"/>
        </w:rPr>
        <w:t xml:space="preserve">Total cash and </w:t>
      </w:r>
      <w:r w:rsidR="00AA74B6" w:rsidRPr="0083248D">
        <w:rPr>
          <w:rFonts w:cs="Arial"/>
          <w:sz w:val="20"/>
        </w:rPr>
        <w:t>cash equivalent balances have de</w:t>
      </w:r>
      <w:r w:rsidRPr="0083248D">
        <w:rPr>
          <w:rFonts w:cs="Arial"/>
          <w:sz w:val="20"/>
        </w:rPr>
        <w:t xml:space="preserve">creased over the biennium </w:t>
      </w:r>
      <w:r w:rsidR="00AA74B6" w:rsidRPr="0083248D">
        <w:rPr>
          <w:rFonts w:cs="Arial"/>
          <w:sz w:val="20"/>
        </w:rPr>
        <w:t>by 8.6</w:t>
      </w:r>
      <w:r w:rsidR="009E57AB" w:rsidRPr="0083248D">
        <w:rPr>
          <w:rFonts w:cs="Arial"/>
          <w:sz w:val="20"/>
        </w:rPr>
        <w:t xml:space="preserve"> per cent between December</w:t>
      </w:r>
      <w:r w:rsidRPr="0083248D">
        <w:rPr>
          <w:rFonts w:cs="Arial"/>
          <w:sz w:val="20"/>
        </w:rPr>
        <w:t xml:space="preserve"> </w:t>
      </w:r>
      <w:r w:rsidR="00AA74B6" w:rsidRPr="0083248D">
        <w:rPr>
          <w:rFonts w:cs="Arial"/>
          <w:sz w:val="20"/>
        </w:rPr>
        <w:t>31, 2015</w:t>
      </w:r>
      <w:r w:rsidRPr="0083248D">
        <w:rPr>
          <w:rFonts w:cs="Arial"/>
          <w:sz w:val="20"/>
        </w:rPr>
        <w:t xml:space="preserve"> and Decem</w:t>
      </w:r>
      <w:r w:rsidR="00AA74B6" w:rsidRPr="0083248D">
        <w:rPr>
          <w:rFonts w:cs="Arial"/>
          <w:sz w:val="20"/>
        </w:rPr>
        <w:t>ber 31, 2017</w:t>
      </w:r>
      <w:r w:rsidRPr="0083248D">
        <w:rPr>
          <w:rFonts w:cs="Arial"/>
          <w:sz w:val="20"/>
        </w:rPr>
        <w:t>. For the purposes of IPSAS presentation, cash balances are</w:t>
      </w:r>
      <w:r w:rsidR="00AA74B6" w:rsidRPr="0083248D">
        <w:rPr>
          <w:rFonts w:cs="Arial"/>
          <w:sz w:val="20"/>
        </w:rPr>
        <w:t xml:space="preserve"> split between unrestricted, </w:t>
      </w:r>
      <w:r w:rsidRPr="0083248D">
        <w:rPr>
          <w:rFonts w:cs="Arial"/>
          <w:sz w:val="20"/>
        </w:rPr>
        <w:t>restricted</w:t>
      </w:r>
      <w:r w:rsidR="00AA74B6" w:rsidRPr="0083248D">
        <w:rPr>
          <w:rFonts w:cs="Arial"/>
          <w:sz w:val="20"/>
        </w:rPr>
        <w:t xml:space="preserve"> and strategic</w:t>
      </w:r>
      <w:r w:rsidRPr="0083248D">
        <w:rPr>
          <w:rFonts w:cs="Arial"/>
          <w:sz w:val="20"/>
        </w:rPr>
        <w:t>. Cash balances relating to the Working Capital Fund or extrabudgetary funds (funds in trust) are considered to be restricted.</w:t>
      </w:r>
      <w:r w:rsidR="00AA74B6" w:rsidRPr="0083248D">
        <w:rPr>
          <w:rFonts w:cs="Arial"/>
          <w:sz w:val="20"/>
        </w:rPr>
        <w:t xml:space="preserve"> </w:t>
      </w:r>
      <w:r w:rsidR="0083248D" w:rsidRPr="0083248D">
        <w:rPr>
          <w:sz w:val="20"/>
        </w:rPr>
        <w:t>At its thirty-third extraordinary session on March 17, 2016, the Council of UPOV decided to hold in a separate account the funds allocated for the future financing of UPOV’s ASHI liability</w:t>
      </w:r>
      <w:r w:rsidR="0083248D">
        <w:rPr>
          <w:sz w:val="20"/>
        </w:rPr>
        <w:t>, and these funds</w:t>
      </w:r>
      <w:r w:rsidR="0083248D" w:rsidRPr="0083248D">
        <w:rPr>
          <w:sz w:val="20"/>
        </w:rPr>
        <w:t xml:space="preserve"> are classified as strategic cash.</w:t>
      </w:r>
    </w:p>
    <w:p w:rsidR="002F09F3" w:rsidRPr="00957875" w:rsidRDefault="002F09F3" w:rsidP="0061244A">
      <w:pPr>
        <w:rPr>
          <w:rFonts w:cs="Arial"/>
          <w:b/>
        </w:rPr>
      </w:pPr>
    </w:p>
    <w:p w:rsidR="002F09F3" w:rsidRPr="00957875" w:rsidRDefault="00A22D2C" w:rsidP="00532F43">
      <w:pPr>
        <w:spacing w:line="276" w:lineRule="auto"/>
        <w:rPr>
          <w:rFonts w:cs="Arial"/>
          <w:b/>
        </w:rPr>
      </w:pPr>
      <w:r w:rsidRPr="00957875">
        <w:rPr>
          <w:rFonts w:cs="Arial"/>
          <w:b/>
        </w:rPr>
        <w:t>Accounts Receivable</w:t>
      </w:r>
    </w:p>
    <w:p w:rsidR="002F09F3" w:rsidRPr="00957875" w:rsidRDefault="002F09F3" w:rsidP="00532F43">
      <w:pPr>
        <w:spacing w:line="276" w:lineRule="auto"/>
        <w:rPr>
          <w:rFonts w:cs="Arial"/>
          <w:b/>
        </w:rPr>
      </w:pPr>
    </w:p>
    <w:p w:rsidR="002F09F3" w:rsidRPr="00957875" w:rsidRDefault="0096531A" w:rsidP="00532F43">
      <w:pPr>
        <w:spacing w:line="276" w:lineRule="auto"/>
        <w:rPr>
          <w:rFonts w:cs="Arial"/>
          <w:b/>
        </w:rPr>
      </w:pPr>
      <w:r w:rsidRPr="0096531A">
        <w:rPr>
          <w:noProof/>
        </w:rPr>
        <w:drawing>
          <wp:inline distT="0" distB="0" distL="0" distR="0" wp14:anchorId="2BE3421E" wp14:editId="486C3A03">
            <wp:extent cx="6120765" cy="21539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765" cy="2153935"/>
                    </a:xfrm>
                    <a:prstGeom prst="rect">
                      <a:avLst/>
                    </a:prstGeom>
                    <a:noFill/>
                    <a:ln>
                      <a:noFill/>
                    </a:ln>
                  </pic:spPr>
                </pic:pic>
              </a:graphicData>
            </a:graphic>
          </wp:inline>
        </w:drawing>
      </w:r>
    </w:p>
    <w:p w:rsidR="002F09F3" w:rsidRPr="00957875" w:rsidRDefault="002F09F3" w:rsidP="0061244A">
      <w:pPr>
        <w:rPr>
          <w:rFonts w:cs="Arial"/>
          <w:b/>
        </w:rPr>
      </w:pPr>
      <w:r w:rsidRPr="00957875">
        <w:rPr>
          <w:rFonts w:cs="Arial"/>
          <w:szCs w:val="22"/>
        </w:rPr>
        <w:t>Total accounts</w:t>
      </w:r>
      <w:r w:rsidR="0083248D">
        <w:rPr>
          <w:rFonts w:cs="Arial"/>
          <w:szCs w:val="22"/>
        </w:rPr>
        <w:t xml:space="preserve"> receivable at December 31, 2017</w:t>
      </w:r>
      <w:r w:rsidRPr="00957875">
        <w:rPr>
          <w:rFonts w:cs="Arial"/>
          <w:szCs w:val="22"/>
        </w:rPr>
        <w:t xml:space="preserve"> </w:t>
      </w:r>
      <w:r w:rsidR="00EF5AF4" w:rsidRPr="00957875">
        <w:rPr>
          <w:rFonts w:cs="Arial"/>
          <w:szCs w:val="22"/>
        </w:rPr>
        <w:t>are</w:t>
      </w:r>
      <w:r w:rsidR="0083248D">
        <w:rPr>
          <w:rFonts w:cs="Arial"/>
          <w:szCs w:val="22"/>
        </w:rPr>
        <w:t xml:space="preserve"> 86,196</w:t>
      </w:r>
      <w:r w:rsidRPr="00957875">
        <w:rPr>
          <w:rFonts w:cs="Arial"/>
          <w:szCs w:val="22"/>
        </w:rPr>
        <w:t xml:space="preserve"> Swiss francs, c</w:t>
      </w:r>
      <w:r w:rsidR="0083248D">
        <w:rPr>
          <w:rFonts w:cs="Arial"/>
          <w:szCs w:val="22"/>
        </w:rPr>
        <w:t>ompared to 195,399</w:t>
      </w:r>
      <w:r w:rsidR="00E260AD">
        <w:rPr>
          <w:rFonts w:cs="Arial"/>
          <w:szCs w:val="22"/>
        </w:rPr>
        <w:t xml:space="preserve"> Swiss francs</w:t>
      </w:r>
      <w:r w:rsidR="008D6641" w:rsidRPr="00957875">
        <w:rPr>
          <w:rFonts w:cs="Arial"/>
          <w:szCs w:val="22"/>
        </w:rPr>
        <w:t xml:space="preserve"> as at December</w:t>
      </w:r>
      <w:r w:rsidRPr="00957875">
        <w:rPr>
          <w:rFonts w:cs="Arial"/>
          <w:szCs w:val="22"/>
        </w:rPr>
        <w:t xml:space="preserve"> </w:t>
      </w:r>
      <w:r w:rsidR="0083248D">
        <w:rPr>
          <w:rFonts w:cs="Arial"/>
          <w:szCs w:val="22"/>
        </w:rPr>
        <w:t>31, 2015</w:t>
      </w:r>
      <w:r w:rsidRPr="00957875">
        <w:rPr>
          <w:rFonts w:cs="Arial"/>
          <w:szCs w:val="22"/>
        </w:rPr>
        <w:t>.</w:t>
      </w:r>
      <w:r w:rsidR="00C76EE9" w:rsidRPr="00957875">
        <w:rPr>
          <w:rFonts w:cs="Arial"/>
          <w:szCs w:val="22"/>
        </w:rPr>
        <w:t xml:space="preserve">  </w:t>
      </w:r>
      <w:r w:rsidR="0083248D">
        <w:rPr>
          <w:rFonts w:cs="Arial"/>
          <w:szCs w:val="22"/>
        </w:rPr>
        <w:t>The balance of</w:t>
      </w:r>
      <w:r w:rsidRPr="00957875">
        <w:rPr>
          <w:rFonts w:cs="Arial"/>
          <w:szCs w:val="22"/>
        </w:rPr>
        <w:t xml:space="preserve"> receivables from extrabudgetary funds (funds i</w:t>
      </w:r>
      <w:r w:rsidR="008D6641" w:rsidRPr="00957875">
        <w:rPr>
          <w:rFonts w:cs="Arial"/>
          <w:szCs w:val="22"/>
        </w:rPr>
        <w:t>n trust)</w:t>
      </w:r>
      <w:r w:rsidR="0083248D">
        <w:rPr>
          <w:rFonts w:cs="Arial"/>
          <w:szCs w:val="22"/>
        </w:rPr>
        <w:t xml:space="preserve"> at the end of 2015 totaled 148,955 Swiss francs, whereas at the end of 2017 there were no receivables from these funds</w:t>
      </w:r>
      <w:r w:rsidR="008D6641" w:rsidRPr="00957875">
        <w:rPr>
          <w:rFonts w:cs="Arial"/>
          <w:szCs w:val="22"/>
        </w:rPr>
        <w:t>.</w:t>
      </w:r>
    </w:p>
    <w:p w:rsidR="002F09F3" w:rsidRPr="00957875" w:rsidRDefault="002F09F3" w:rsidP="00532F43">
      <w:pPr>
        <w:spacing w:line="276" w:lineRule="auto"/>
        <w:rPr>
          <w:rFonts w:cs="Arial"/>
          <w:b/>
        </w:rPr>
      </w:pPr>
    </w:p>
    <w:p w:rsidR="00E737E0" w:rsidRPr="00957875" w:rsidRDefault="00E737E0">
      <w:pPr>
        <w:rPr>
          <w:rFonts w:cs="Arial"/>
          <w:b/>
        </w:rPr>
      </w:pPr>
      <w:r w:rsidRPr="00957875">
        <w:rPr>
          <w:rFonts w:cs="Arial"/>
          <w:b/>
        </w:rPr>
        <w:br w:type="page"/>
      </w:r>
    </w:p>
    <w:p w:rsidR="008D6641" w:rsidRPr="00957875" w:rsidRDefault="00E737E0" w:rsidP="0061244A">
      <w:pPr>
        <w:rPr>
          <w:rFonts w:cs="Arial"/>
          <w:b/>
        </w:rPr>
      </w:pPr>
      <w:r w:rsidRPr="00957875">
        <w:rPr>
          <w:rFonts w:cs="Arial"/>
          <w:b/>
        </w:rPr>
        <w:lastRenderedPageBreak/>
        <w:t>Employee Benefits</w:t>
      </w:r>
    </w:p>
    <w:p w:rsidR="00E737E0" w:rsidRPr="00957875" w:rsidRDefault="00E737E0" w:rsidP="0061244A">
      <w:pPr>
        <w:rPr>
          <w:rFonts w:cs="Arial"/>
          <w:b/>
        </w:rPr>
      </w:pPr>
    </w:p>
    <w:p w:rsidR="008D6641" w:rsidRPr="00957875" w:rsidRDefault="00E260AD" w:rsidP="00532F43">
      <w:pPr>
        <w:spacing w:line="276" w:lineRule="auto"/>
        <w:rPr>
          <w:rFonts w:cs="Arial"/>
          <w:b/>
        </w:rPr>
      </w:pPr>
      <w:r w:rsidRPr="00E260AD">
        <w:rPr>
          <w:noProof/>
        </w:rPr>
        <w:drawing>
          <wp:inline distT="0" distB="0" distL="0" distR="0" wp14:anchorId="7AFA5902" wp14:editId="71358C59">
            <wp:extent cx="6120765" cy="1575733"/>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765" cy="1575733"/>
                    </a:xfrm>
                    <a:prstGeom prst="rect">
                      <a:avLst/>
                    </a:prstGeom>
                    <a:noFill/>
                    <a:ln>
                      <a:noFill/>
                    </a:ln>
                  </pic:spPr>
                </pic:pic>
              </a:graphicData>
            </a:graphic>
          </wp:inline>
        </w:drawing>
      </w:r>
    </w:p>
    <w:p w:rsidR="00E737E0" w:rsidRPr="00957875" w:rsidRDefault="00E737E0" w:rsidP="0061244A">
      <w:pPr>
        <w:rPr>
          <w:rFonts w:cs="Arial"/>
        </w:rPr>
      </w:pPr>
      <w:r w:rsidRPr="00957875">
        <w:rPr>
          <w:rFonts w:cs="Arial"/>
        </w:rPr>
        <w:t>As can be seen from the table above, by far the most significant employee benefit liability for U</w:t>
      </w:r>
      <w:r w:rsidR="0083248D">
        <w:rPr>
          <w:rFonts w:cs="Arial"/>
        </w:rPr>
        <w:t>POV is ASHI, which represents 89.9</w:t>
      </w:r>
      <w:r w:rsidRPr="00957875">
        <w:rPr>
          <w:rFonts w:cs="Arial"/>
        </w:rPr>
        <w:t xml:space="preserve"> per cent of the total</w:t>
      </w:r>
      <w:r w:rsidR="004B0C0F" w:rsidRPr="00957875">
        <w:rPr>
          <w:rFonts w:cs="Arial"/>
        </w:rPr>
        <w:t xml:space="preserve"> employee benefit</w:t>
      </w:r>
      <w:r w:rsidRPr="00957875">
        <w:rPr>
          <w:rFonts w:cs="Arial"/>
        </w:rPr>
        <w:t xml:space="preserve"> l</w:t>
      </w:r>
      <w:r w:rsidR="0083248D">
        <w:rPr>
          <w:rFonts w:cs="Arial"/>
        </w:rPr>
        <w:t>iability as at December 31, 2017</w:t>
      </w:r>
      <w:r w:rsidRPr="00957875">
        <w:rPr>
          <w:rFonts w:cs="Arial"/>
        </w:rPr>
        <w:t>.</w:t>
      </w:r>
      <w:r w:rsidR="0083248D">
        <w:rPr>
          <w:rFonts w:cs="Arial"/>
        </w:rPr>
        <w:t xml:space="preserve"> Following the implementation of IPSAS 39, the ASHI liability at the end of 2015 was restated from </w:t>
      </w:r>
      <w:r w:rsidR="008304BE">
        <w:rPr>
          <w:rFonts w:cs="Arial"/>
        </w:rPr>
        <w:t>1,070,019 Swiss francs to 1,577,193 Swiss francs. Over the period of the 2016-2017 Biennium t</w:t>
      </w:r>
      <w:r w:rsidRPr="00957875">
        <w:rPr>
          <w:rFonts w:cs="Arial"/>
        </w:rPr>
        <w:t xml:space="preserve">he ASHI </w:t>
      </w:r>
      <w:r w:rsidR="0083248D">
        <w:rPr>
          <w:rFonts w:cs="Arial"/>
        </w:rPr>
        <w:t>liability increased by 632,268</w:t>
      </w:r>
      <w:r w:rsidR="008304BE">
        <w:rPr>
          <w:rFonts w:cs="Arial"/>
        </w:rPr>
        <w:t xml:space="preserve"> Swiss francs</w:t>
      </w:r>
      <w:r w:rsidRPr="00957875">
        <w:rPr>
          <w:rFonts w:cs="Arial"/>
        </w:rPr>
        <w:t>, and this movement is detailed in the table below:</w:t>
      </w:r>
    </w:p>
    <w:p w:rsidR="00E737E0" w:rsidRPr="00957875" w:rsidRDefault="00E737E0" w:rsidP="00E737E0">
      <w:pPr>
        <w:spacing w:line="276" w:lineRule="auto"/>
        <w:rPr>
          <w:rFonts w:cs="Arial"/>
        </w:rPr>
      </w:pPr>
    </w:p>
    <w:p w:rsidR="00E737E0" w:rsidRPr="00957875" w:rsidRDefault="002C36E5" w:rsidP="00E737E0">
      <w:pPr>
        <w:spacing w:line="276" w:lineRule="auto"/>
        <w:jc w:val="center"/>
        <w:rPr>
          <w:rFonts w:cs="Arial"/>
        </w:rPr>
      </w:pPr>
      <w:r w:rsidRPr="002C36E5">
        <w:rPr>
          <w:noProof/>
        </w:rPr>
        <w:drawing>
          <wp:inline distT="0" distB="0" distL="0" distR="0" wp14:anchorId="2E561E74" wp14:editId="38DB262D">
            <wp:extent cx="4695825" cy="165735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695825" cy="1657350"/>
                    </a:xfrm>
                    <a:prstGeom prst="rect">
                      <a:avLst/>
                    </a:prstGeom>
                    <a:noFill/>
                    <a:ln>
                      <a:noFill/>
                    </a:ln>
                  </pic:spPr>
                </pic:pic>
              </a:graphicData>
            </a:graphic>
          </wp:inline>
        </w:drawing>
      </w:r>
    </w:p>
    <w:p w:rsidR="00E737E0" w:rsidRPr="00957875" w:rsidRDefault="00895722" w:rsidP="0061244A">
      <w:pPr>
        <w:rPr>
          <w:rFonts w:cs="Arial"/>
          <w:b/>
        </w:rPr>
      </w:pPr>
      <w:r w:rsidRPr="00957875">
        <w:rPr>
          <w:rFonts w:eastAsia="SimSun" w:cs="Arial"/>
          <w:lang w:eastAsia="zh-CN"/>
        </w:rPr>
        <w:t xml:space="preserve">The liability is calculated by an independent actuary, and reflects the total future cost of UPOV’s share of collective medical insurance premiums for both existing UPOV retirees and the projected number of active UPOV staff who will retire in the future. </w:t>
      </w:r>
      <w:r w:rsidRPr="00957875">
        <w:rPr>
          <w:rFonts w:cs="Arial"/>
          <w:szCs w:val="22"/>
        </w:rPr>
        <w:t>The current service cost in the table above is the net impact of employee service performed for the</w:t>
      </w:r>
      <w:r w:rsidR="008304BE">
        <w:rPr>
          <w:rFonts w:cs="Arial"/>
          <w:szCs w:val="22"/>
        </w:rPr>
        <w:t xml:space="preserve"> 2016-2017</w:t>
      </w:r>
      <w:r w:rsidR="004B0C0F" w:rsidRPr="00957875">
        <w:rPr>
          <w:rFonts w:cs="Arial"/>
          <w:szCs w:val="22"/>
        </w:rPr>
        <w:t xml:space="preserve"> B</w:t>
      </w:r>
      <w:r w:rsidRPr="00957875">
        <w:rPr>
          <w:rFonts w:cs="Arial"/>
          <w:szCs w:val="22"/>
        </w:rPr>
        <w:t xml:space="preserve">iennium. The interest cost is the result of each member of the active staff moving closer to the age of eligibility for ASHI participation. The benefits paid out by UPOV during the biennium are the monthly contributions (currently 65.0 per cent of premiums) that UPOV makes for retirees participating in ASHI. </w:t>
      </w:r>
      <w:r w:rsidR="008304BE">
        <w:rPr>
          <w:rFonts w:cs="Arial"/>
          <w:szCs w:val="22"/>
        </w:rPr>
        <w:t>Actuarial gains and losses result from changes to actuarial assumptions, including the discount rate, medical cost trend rates, staff turnover rates and mortality rates.</w:t>
      </w:r>
      <w:r w:rsidRPr="00957875">
        <w:rPr>
          <w:rFonts w:eastAsia="SimSun" w:cs="Arial"/>
          <w:lang w:eastAsia="zh-CN"/>
        </w:rPr>
        <w:t xml:space="preserve"> </w:t>
      </w:r>
    </w:p>
    <w:p w:rsidR="00E737E0" w:rsidRPr="00957875" w:rsidRDefault="00E737E0" w:rsidP="0061244A">
      <w:pPr>
        <w:rPr>
          <w:rFonts w:cs="Arial"/>
          <w:b/>
        </w:rPr>
      </w:pPr>
    </w:p>
    <w:p w:rsidR="002F09F3" w:rsidRPr="00957875" w:rsidRDefault="002F09F3" w:rsidP="00532F43">
      <w:pPr>
        <w:spacing w:line="276" w:lineRule="auto"/>
        <w:rPr>
          <w:rFonts w:cs="Arial"/>
          <w:b/>
        </w:rPr>
      </w:pPr>
      <w:r w:rsidRPr="00957875">
        <w:rPr>
          <w:rFonts w:cs="Arial"/>
          <w:b/>
        </w:rPr>
        <w:t>Advance Receipts</w:t>
      </w:r>
    </w:p>
    <w:p w:rsidR="002F09F3" w:rsidRPr="00957875" w:rsidRDefault="002F09F3" w:rsidP="0061244A">
      <w:pPr>
        <w:rPr>
          <w:rFonts w:cs="Arial"/>
          <w:b/>
        </w:rPr>
      </w:pPr>
    </w:p>
    <w:p w:rsidR="002F09F3" w:rsidRPr="00957875" w:rsidRDefault="008D7C25" w:rsidP="00532F43">
      <w:pPr>
        <w:spacing w:line="276" w:lineRule="auto"/>
        <w:rPr>
          <w:rFonts w:cs="Arial"/>
          <w:b/>
        </w:rPr>
      </w:pPr>
      <w:r w:rsidRPr="008D7C25">
        <w:rPr>
          <w:noProof/>
        </w:rPr>
        <w:drawing>
          <wp:inline distT="0" distB="0" distL="0" distR="0" wp14:anchorId="4A54649D" wp14:editId="22A4B3D4">
            <wp:extent cx="6120765" cy="132826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765" cy="1328260"/>
                    </a:xfrm>
                    <a:prstGeom prst="rect">
                      <a:avLst/>
                    </a:prstGeom>
                    <a:noFill/>
                    <a:ln>
                      <a:noFill/>
                    </a:ln>
                  </pic:spPr>
                </pic:pic>
              </a:graphicData>
            </a:graphic>
          </wp:inline>
        </w:drawing>
      </w:r>
    </w:p>
    <w:p w:rsidR="002F09F3" w:rsidRPr="00957875" w:rsidRDefault="002F09F3" w:rsidP="0061244A">
      <w:pPr>
        <w:pStyle w:val="Style3"/>
        <w:spacing w:after="0"/>
        <w:rPr>
          <w:rFonts w:cs="Arial"/>
        </w:rPr>
      </w:pPr>
      <w:r w:rsidRPr="00957875">
        <w:rPr>
          <w:rFonts w:cs="Arial"/>
          <w:sz w:val="20"/>
        </w:rPr>
        <w:t>Contributions received in advance are recorded as advance receipt liabilities and are recognized as revenue in the year to which they relate. Extra</w:t>
      </w:r>
      <w:r w:rsidR="00E737E0" w:rsidRPr="00957875">
        <w:rPr>
          <w:rFonts w:cs="Arial"/>
          <w:sz w:val="20"/>
        </w:rPr>
        <w:t>budgetary funds from donors to funds in t</w:t>
      </w:r>
      <w:r w:rsidRPr="00957875">
        <w:rPr>
          <w:rFonts w:cs="Arial"/>
          <w:sz w:val="20"/>
        </w:rPr>
        <w:t xml:space="preserve">rust containing conditions </w:t>
      </w:r>
      <w:r w:rsidR="00895722" w:rsidRPr="00957875">
        <w:rPr>
          <w:rFonts w:cs="Arial"/>
          <w:sz w:val="20"/>
        </w:rPr>
        <w:t xml:space="preserve">related to </w:t>
      </w:r>
      <w:r w:rsidR="0021173E" w:rsidRPr="00957875">
        <w:rPr>
          <w:rFonts w:cs="Arial"/>
          <w:sz w:val="20"/>
        </w:rPr>
        <w:t>performance</w:t>
      </w:r>
      <w:r w:rsidRPr="00957875">
        <w:rPr>
          <w:rFonts w:cs="Arial"/>
          <w:sz w:val="20"/>
        </w:rPr>
        <w:t xml:space="preserve"> are treated as deferr</w:t>
      </w:r>
      <w:r w:rsidR="00AF2134" w:rsidRPr="00957875">
        <w:rPr>
          <w:rFonts w:cs="Arial"/>
          <w:sz w:val="20"/>
        </w:rPr>
        <w:t xml:space="preserve">ed revenue until </w:t>
      </w:r>
      <w:r w:rsidR="00895722" w:rsidRPr="00957875">
        <w:rPr>
          <w:rFonts w:cs="Arial"/>
          <w:sz w:val="20"/>
        </w:rPr>
        <w:t>the conditio</w:t>
      </w:r>
      <w:r w:rsidR="00AF2134" w:rsidRPr="00957875">
        <w:rPr>
          <w:rFonts w:cs="Arial"/>
          <w:sz w:val="20"/>
        </w:rPr>
        <w:t>ns are fulfilled</w:t>
      </w:r>
      <w:r w:rsidRPr="00957875">
        <w:rPr>
          <w:rFonts w:cs="Arial"/>
          <w:sz w:val="20"/>
        </w:rPr>
        <w:t>, whereupon revenue is recognized</w:t>
      </w:r>
      <w:r w:rsidRPr="00957875">
        <w:rPr>
          <w:rFonts w:cs="Arial"/>
        </w:rPr>
        <w:t>.</w:t>
      </w:r>
    </w:p>
    <w:p w:rsidR="002F09F3" w:rsidRPr="00957875" w:rsidRDefault="002F09F3" w:rsidP="00532F43">
      <w:pPr>
        <w:spacing w:line="276" w:lineRule="auto"/>
        <w:rPr>
          <w:rFonts w:cs="Arial"/>
          <w:b/>
        </w:rPr>
      </w:pPr>
    </w:p>
    <w:p w:rsidR="00895722" w:rsidRPr="00957875" w:rsidRDefault="00895722">
      <w:pPr>
        <w:rPr>
          <w:rFonts w:cs="Arial"/>
          <w:b/>
        </w:rPr>
      </w:pPr>
      <w:r w:rsidRPr="00957875">
        <w:rPr>
          <w:rFonts w:cs="Arial"/>
          <w:b/>
        </w:rPr>
        <w:br w:type="page"/>
      </w:r>
    </w:p>
    <w:p w:rsidR="002F09F3" w:rsidRPr="00957875" w:rsidRDefault="008D7C25" w:rsidP="00532F43">
      <w:pPr>
        <w:spacing w:line="276" w:lineRule="auto"/>
        <w:rPr>
          <w:rFonts w:cs="Arial"/>
          <w:b/>
        </w:rPr>
      </w:pPr>
      <w:r>
        <w:rPr>
          <w:rFonts w:cs="Arial"/>
          <w:b/>
        </w:rPr>
        <w:lastRenderedPageBreak/>
        <w:t xml:space="preserve">Payables and </w:t>
      </w:r>
      <w:r w:rsidR="00E737E0" w:rsidRPr="00957875">
        <w:rPr>
          <w:rFonts w:cs="Arial"/>
          <w:b/>
        </w:rPr>
        <w:t>Other Liabilities</w:t>
      </w:r>
    </w:p>
    <w:p w:rsidR="002F09F3" w:rsidRPr="00957875" w:rsidRDefault="002F09F3" w:rsidP="00532F43">
      <w:pPr>
        <w:spacing w:line="276" w:lineRule="auto"/>
        <w:rPr>
          <w:rFonts w:cs="Arial"/>
          <w:b/>
        </w:rPr>
      </w:pPr>
    </w:p>
    <w:p w:rsidR="002F09F3" w:rsidRPr="00957875" w:rsidRDefault="00A8589B" w:rsidP="00532F43">
      <w:pPr>
        <w:spacing w:line="276" w:lineRule="auto"/>
        <w:rPr>
          <w:rFonts w:cs="Arial"/>
          <w:b/>
        </w:rPr>
      </w:pPr>
      <w:r w:rsidRPr="00A8589B">
        <w:rPr>
          <w:noProof/>
        </w:rPr>
        <w:drawing>
          <wp:inline distT="0" distB="0" distL="0" distR="0" wp14:anchorId="239388DC" wp14:editId="6DF62647">
            <wp:extent cx="6120765" cy="132826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765" cy="1328260"/>
                    </a:xfrm>
                    <a:prstGeom prst="rect">
                      <a:avLst/>
                    </a:prstGeom>
                    <a:noFill/>
                    <a:ln>
                      <a:noFill/>
                    </a:ln>
                  </pic:spPr>
                </pic:pic>
              </a:graphicData>
            </a:graphic>
          </wp:inline>
        </w:drawing>
      </w:r>
    </w:p>
    <w:p w:rsidR="00A32192" w:rsidRPr="00957875" w:rsidRDefault="0083248D" w:rsidP="0061244A">
      <w:pPr>
        <w:rPr>
          <w:rFonts w:cs="Arial"/>
        </w:rPr>
      </w:pPr>
      <w:r>
        <w:rPr>
          <w:rFonts w:cs="Arial"/>
        </w:rPr>
        <w:t>Payables and o</w:t>
      </w:r>
      <w:r w:rsidR="00A32192" w:rsidRPr="00957875">
        <w:rPr>
          <w:rFonts w:cs="Arial"/>
        </w:rPr>
        <w:t>ther liabilities</w:t>
      </w:r>
      <w:r>
        <w:rPr>
          <w:rFonts w:cs="Arial"/>
        </w:rPr>
        <w:t xml:space="preserve"> totaled 727,253</w:t>
      </w:r>
      <w:r w:rsidR="008304BE">
        <w:rPr>
          <w:rFonts w:cs="Arial"/>
        </w:rPr>
        <w:t xml:space="preserve"> Swiss francs as at December 31, 2017.</w:t>
      </w:r>
      <w:r w:rsidR="00A32192" w:rsidRPr="00957875">
        <w:rPr>
          <w:rFonts w:cs="Arial"/>
        </w:rPr>
        <w:t xml:space="preserve"> </w:t>
      </w:r>
      <w:r w:rsidR="008304BE">
        <w:rPr>
          <w:rFonts w:cs="Arial"/>
        </w:rPr>
        <w:t>These are almost entirely comprised of</w:t>
      </w:r>
      <w:r w:rsidR="00A32192" w:rsidRPr="00957875">
        <w:rPr>
          <w:rFonts w:cs="Arial"/>
        </w:rPr>
        <w:t xml:space="preserve"> amounts payable to WIP</w:t>
      </w:r>
      <w:r w:rsidR="008304BE">
        <w:rPr>
          <w:rFonts w:cs="Arial"/>
        </w:rPr>
        <w:t>O.</w:t>
      </w:r>
    </w:p>
    <w:p w:rsidR="00A32192" w:rsidRPr="00957875" w:rsidRDefault="00A32192" w:rsidP="00532F43">
      <w:pPr>
        <w:spacing w:line="276" w:lineRule="auto"/>
        <w:rPr>
          <w:rFonts w:cs="Arial"/>
          <w:b/>
        </w:rPr>
      </w:pPr>
    </w:p>
    <w:p w:rsidR="002F09F3" w:rsidRPr="00957875" w:rsidRDefault="002F09F3" w:rsidP="00532F43">
      <w:pPr>
        <w:spacing w:line="276" w:lineRule="auto"/>
        <w:rPr>
          <w:rFonts w:cs="Arial"/>
          <w:b/>
        </w:rPr>
      </w:pPr>
      <w:r w:rsidRPr="00957875">
        <w:rPr>
          <w:rFonts w:cs="Arial"/>
          <w:b/>
        </w:rPr>
        <w:t>Financial Position by Segment</w:t>
      </w:r>
    </w:p>
    <w:p w:rsidR="002F09F3" w:rsidRPr="00957875" w:rsidRDefault="002F09F3" w:rsidP="0061244A">
      <w:pPr>
        <w:rPr>
          <w:rFonts w:cs="Arial"/>
          <w:b/>
        </w:rPr>
      </w:pPr>
    </w:p>
    <w:p w:rsidR="002F09F3" w:rsidRPr="00957875" w:rsidRDefault="00CD1297" w:rsidP="00532F43">
      <w:pPr>
        <w:spacing w:line="276" w:lineRule="auto"/>
        <w:rPr>
          <w:rFonts w:cs="Arial"/>
        </w:rPr>
      </w:pPr>
      <w:r w:rsidRPr="00CD1297">
        <w:rPr>
          <w:noProof/>
        </w:rPr>
        <w:drawing>
          <wp:inline distT="0" distB="0" distL="0" distR="0" wp14:anchorId="17276124" wp14:editId="5CC65268">
            <wp:extent cx="6120765" cy="5136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765" cy="5136086"/>
                    </a:xfrm>
                    <a:prstGeom prst="rect">
                      <a:avLst/>
                    </a:prstGeom>
                    <a:noFill/>
                    <a:ln>
                      <a:noFill/>
                    </a:ln>
                  </pic:spPr>
                </pic:pic>
              </a:graphicData>
            </a:graphic>
          </wp:inline>
        </w:drawing>
      </w:r>
    </w:p>
    <w:p w:rsidR="002F09F3" w:rsidRPr="00957875" w:rsidRDefault="00415843" w:rsidP="0061244A">
      <w:pPr>
        <w:pStyle w:val="Styletexte"/>
        <w:spacing w:after="0"/>
        <w:rPr>
          <w:rFonts w:cs="Arial"/>
          <w:sz w:val="20"/>
        </w:rPr>
      </w:pPr>
      <w:r>
        <w:rPr>
          <w:rFonts w:cs="Arial"/>
          <w:sz w:val="20"/>
        </w:rPr>
        <w:t xml:space="preserve">In accordance with IPSAS, UPOV </w:t>
      </w:r>
      <w:r w:rsidR="00A32192" w:rsidRPr="00957875">
        <w:rPr>
          <w:rFonts w:cs="Arial"/>
          <w:sz w:val="20"/>
        </w:rPr>
        <w:t>disclose</w:t>
      </w:r>
      <w:r>
        <w:rPr>
          <w:rFonts w:cs="Arial"/>
          <w:sz w:val="20"/>
        </w:rPr>
        <w:t>s</w:t>
      </w:r>
      <w:r w:rsidR="00A32192" w:rsidRPr="00957875">
        <w:rPr>
          <w:rFonts w:cs="Arial"/>
          <w:sz w:val="20"/>
        </w:rPr>
        <w:t xml:space="preserve"> its assets and liabilities by each of the segments of which it is comprised.</w:t>
      </w:r>
      <w:r w:rsidR="00A32192" w:rsidRPr="00957875">
        <w:rPr>
          <w:rFonts w:cs="Arial"/>
          <w:b/>
          <w:sz w:val="20"/>
        </w:rPr>
        <w:t xml:space="preserve"> </w:t>
      </w:r>
      <w:r w:rsidR="00AB5C70" w:rsidRPr="00957875">
        <w:rPr>
          <w:rFonts w:cs="Arial"/>
          <w:sz w:val="20"/>
        </w:rPr>
        <w:t>Segment information is based on the principal activities and sources of financing of UPOV. UPOV reports separate financial information for three segments: t</w:t>
      </w:r>
      <w:r w:rsidR="00EF6554" w:rsidRPr="00957875">
        <w:rPr>
          <w:rFonts w:cs="Arial"/>
          <w:sz w:val="20"/>
        </w:rPr>
        <w:t>he Program and Budget, funds in t</w:t>
      </w:r>
      <w:r w:rsidR="00AB5C70" w:rsidRPr="00957875">
        <w:rPr>
          <w:rFonts w:cs="Arial"/>
          <w:sz w:val="20"/>
        </w:rPr>
        <w:t xml:space="preserve">rust (extrabudgetary funds) and the </w:t>
      </w:r>
      <w:r w:rsidR="00EF6554" w:rsidRPr="00957875">
        <w:rPr>
          <w:rFonts w:cs="Arial"/>
          <w:sz w:val="20"/>
        </w:rPr>
        <w:t>Special Project Fund. Funds in t</w:t>
      </w:r>
      <w:r w:rsidR="00AB5C70" w:rsidRPr="00957875">
        <w:rPr>
          <w:rFonts w:cs="Arial"/>
          <w:sz w:val="20"/>
        </w:rPr>
        <w:t>rust represent amounts administered by UPOV on behalf of individual donors to carry out programs consistent with the policies, aims and activities of UPOV. The</w:t>
      </w:r>
      <w:r w:rsidR="00155773">
        <w:rPr>
          <w:rFonts w:cs="Arial"/>
          <w:sz w:val="20"/>
        </w:rPr>
        <w:t xml:space="preserve"> Special Project Fund was established to complete specific projects, following the transfer of the amount of the reserve fund exceeding 15 per cent of the total income for the 2012-2013 Biennium</w:t>
      </w:r>
      <w:r w:rsidR="00AB5C70" w:rsidRPr="00957875">
        <w:rPr>
          <w:rFonts w:cs="Arial"/>
          <w:sz w:val="20"/>
        </w:rPr>
        <w:t>. T</w:t>
      </w:r>
      <w:r w:rsidR="00AF2134" w:rsidRPr="00957875">
        <w:rPr>
          <w:rFonts w:cs="Arial"/>
          <w:sz w:val="20"/>
        </w:rPr>
        <w:t>he Program and Budget, funds in t</w:t>
      </w:r>
      <w:r w:rsidR="00AB5C70" w:rsidRPr="00957875">
        <w:rPr>
          <w:rFonts w:cs="Arial"/>
          <w:sz w:val="20"/>
        </w:rPr>
        <w:t>rust and the Special Project Fund are accounted for separately in the financial accounting system.</w:t>
      </w:r>
    </w:p>
    <w:p w:rsidR="002F09F3" w:rsidRPr="00957875" w:rsidRDefault="00155678" w:rsidP="00155678">
      <w:pPr>
        <w:pStyle w:val="Heading3"/>
        <w:jc w:val="left"/>
      </w:pPr>
      <w:bookmarkStart w:id="31" w:name="_Toc522808858"/>
      <w:r w:rsidRPr="00957875">
        <w:lastRenderedPageBreak/>
        <w:t>Analysis of Statement of Financial Performance</w:t>
      </w:r>
      <w:bookmarkEnd w:id="31"/>
    </w:p>
    <w:p w:rsidR="00683089" w:rsidRDefault="00683089" w:rsidP="002F09F3">
      <w:pPr>
        <w:keepNext/>
        <w:spacing w:line="276" w:lineRule="auto"/>
        <w:rPr>
          <w:rFonts w:cs="Arial"/>
          <w:b/>
        </w:rPr>
      </w:pPr>
    </w:p>
    <w:p w:rsidR="002F09F3" w:rsidRPr="00957875" w:rsidRDefault="002F09F3" w:rsidP="002F09F3">
      <w:pPr>
        <w:keepNext/>
        <w:spacing w:line="276" w:lineRule="auto"/>
        <w:rPr>
          <w:rFonts w:cs="Arial"/>
          <w:b/>
        </w:rPr>
      </w:pPr>
      <w:r w:rsidRPr="00957875">
        <w:rPr>
          <w:rFonts w:cs="Arial"/>
          <w:b/>
        </w:rPr>
        <w:t>Revenue</w:t>
      </w:r>
    </w:p>
    <w:p w:rsidR="002F09F3" w:rsidRPr="00957875" w:rsidRDefault="002F09F3" w:rsidP="002F09F3">
      <w:pPr>
        <w:keepNext/>
        <w:spacing w:line="276" w:lineRule="auto"/>
        <w:rPr>
          <w:rFonts w:cs="Arial"/>
          <w:b/>
        </w:rPr>
      </w:pPr>
    </w:p>
    <w:p w:rsidR="002F09F3" w:rsidRPr="00957875" w:rsidRDefault="006F7172" w:rsidP="00532F43">
      <w:pPr>
        <w:spacing w:line="276" w:lineRule="auto"/>
        <w:jc w:val="center"/>
        <w:rPr>
          <w:rFonts w:cs="Arial"/>
          <w:b/>
        </w:rPr>
      </w:pPr>
      <w:r w:rsidRPr="006F7172">
        <w:rPr>
          <w:noProof/>
        </w:rPr>
        <w:drawing>
          <wp:inline distT="0" distB="0" distL="0" distR="0" wp14:anchorId="3F543FB1" wp14:editId="1E1C2FF6">
            <wp:extent cx="6120765" cy="2236433"/>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765" cy="2236433"/>
                    </a:xfrm>
                    <a:prstGeom prst="rect">
                      <a:avLst/>
                    </a:prstGeom>
                    <a:noFill/>
                    <a:ln>
                      <a:noFill/>
                    </a:ln>
                  </pic:spPr>
                </pic:pic>
              </a:graphicData>
            </a:graphic>
          </wp:inline>
        </w:drawing>
      </w:r>
    </w:p>
    <w:p w:rsidR="002F09F3" w:rsidRPr="00957875" w:rsidRDefault="002F09F3" w:rsidP="0061244A">
      <w:pPr>
        <w:rPr>
          <w:rFonts w:cs="Arial"/>
          <w:b/>
        </w:rPr>
      </w:pPr>
      <w:r w:rsidRPr="00957875">
        <w:rPr>
          <w:rFonts w:cs="Arial"/>
          <w:szCs w:val="22"/>
        </w:rPr>
        <w:t xml:space="preserve">Contributions under the Program and Budget represent amounts payable at the start of each year of the biennium. Extrabudgetary funds </w:t>
      </w:r>
      <w:r w:rsidR="00EF6554" w:rsidRPr="00957875">
        <w:rPr>
          <w:rFonts w:cs="Arial"/>
          <w:szCs w:val="22"/>
        </w:rPr>
        <w:t>under funds in t</w:t>
      </w:r>
      <w:r w:rsidRPr="00957875">
        <w:rPr>
          <w:rFonts w:cs="Arial"/>
          <w:szCs w:val="22"/>
        </w:rPr>
        <w:t>rust represent revenue received in connection with contributions made by donors to individual projects not included in the Program and Budget. Revenue from extrabudgetary funds (funds in trust) is deferred u</w:t>
      </w:r>
      <w:r w:rsidR="00EF6554" w:rsidRPr="00957875">
        <w:rPr>
          <w:rFonts w:cs="Arial"/>
          <w:szCs w:val="22"/>
        </w:rPr>
        <w:t>ntil earned through the fulfillment</w:t>
      </w:r>
      <w:r w:rsidRPr="00957875">
        <w:rPr>
          <w:rFonts w:cs="Arial"/>
          <w:szCs w:val="22"/>
        </w:rPr>
        <w:t xml:space="preserve"> o</w:t>
      </w:r>
      <w:r w:rsidR="00EF6554" w:rsidRPr="00957875">
        <w:rPr>
          <w:rFonts w:cs="Arial"/>
          <w:szCs w:val="22"/>
        </w:rPr>
        <w:t>f the performance conditions included in</w:t>
      </w:r>
      <w:r w:rsidRPr="00957875">
        <w:rPr>
          <w:rFonts w:cs="Arial"/>
          <w:szCs w:val="22"/>
        </w:rPr>
        <w:t xml:space="preserve"> the donor</w:t>
      </w:r>
      <w:r w:rsidR="00EF6554" w:rsidRPr="00957875">
        <w:rPr>
          <w:rFonts w:cs="Arial"/>
          <w:szCs w:val="22"/>
        </w:rPr>
        <w:t xml:space="preserve"> agreement</w:t>
      </w:r>
      <w:r w:rsidRPr="00957875">
        <w:rPr>
          <w:rFonts w:cs="Arial"/>
          <w:szCs w:val="22"/>
        </w:rPr>
        <w:t>.</w:t>
      </w:r>
      <w:r w:rsidR="00EF6554" w:rsidRPr="00957875">
        <w:rPr>
          <w:rFonts w:cs="Arial"/>
        </w:rPr>
        <w:t xml:space="preserve"> </w:t>
      </w:r>
      <w:r w:rsidR="00433F1A">
        <w:rPr>
          <w:rFonts w:cs="Arial"/>
        </w:rPr>
        <w:t xml:space="preserve">During 2017, UPOV launched the UPOV PRISMA PBR online application tool, and </w:t>
      </w:r>
      <w:r w:rsidR="001C468E">
        <w:rPr>
          <w:rFonts w:cs="Arial"/>
        </w:rPr>
        <w:t>this generated revenue of 1,841 Swiss francs from fees.</w:t>
      </w:r>
    </w:p>
    <w:p w:rsidR="002F09F3" w:rsidRPr="00957875" w:rsidRDefault="002F09F3" w:rsidP="0061244A">
      <w:pPr>
        <w:rPr>
          <w:rFonts w:cs="Arial"/>
          <w:b/>
        </w:rPr>
      </w:pPr>
    </w:p>
    <w:p w:rsidR="002F09F3" w:rsidRPr="00957875" w:rsidRDefault="002F09F3" w:rsidP="00532F43">
      <w:pPr>
        <w:spacing w:line="276" w:lineRule="auto"/>
        <w:rPr>
          <w:rFonts w:cs="Arial"/>
          <w:b/>
        </w:rPr>
      </w:pPr>
      <w:r w:rsidRPr="00957875">
        <w:rPr>
          <w:rFonts w:cs="Arial"/>
          <w:b/>
        </w:rPr>
        <w:t>Expenses</w:t>
      </w:r>
    </w:p>
    <w:p w:rsidR="002F09F3" w:rsidRPr="00957875" w:rsidRDefault="002F09F3" w:rsidP="0061244A">
      <w:pPr>
        <w:rPr>
          <w:rFonts w:cs="Arial"/>
          <w:b/>
        </w:rPr>
      </w:pPr>
    </w:p>
    <w:p w:rsidR="00EF6554" w:rsidRPr="00957875" w:rsidRDefault="00B72D78" w:rsidP="00EF6554">
      <w:pPr>
        <w:spacing w:line="276" w:lineRule="auto"/>
        <w:rPr>
          <w:rFonts w:cs="Arial"/>
        </w:rPr>
      </w:pPr>
      <w:r w:rsidRPr="00B72D78">
        <w:rPr>
          <w:noProof/>
        </w:rPr>
        <w:drawing>
          <wp:inline distT="0" distB="0" distL="0" distR="0" wp14:anchorId="6C18F2CC" wp14:editId="14276E14">
            <wp:extent cx="6120765" cy="24265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0765" cy="2426575"/>
                    </a:xfrm>
                    <a:prstGeom prst="rect">
                      <a:avLst/>
                    </a:prstGeom>
                    <a:noFill/>
                    <a:ln>
                      <a:noFill/>
                    </a:ln>
                  </pic:spPr>
                </pic:pic>
              </a:graphicData>
            </a:graphic>
          </wp:inline>
        </w:drawing>
      </w:r>
    </w:p>
    <w:p w:rsidR="002F09F3" w:rsidRPr="00957875" w:rsidRDefault="002F09F3" w:rsidP="0061244A">
      <w:pPr>
        <w:pStyle w:val="Styletexte"/>
        <w:spacing w:after="0"/>
        <w:rPr>
          <w:rFonts w:cs="Arial"/>
          <w:sz w:val="20"/>
        </w:rPr>
      </w:pPr>
      <w:r w:rsidRPr="00957875">
        <w:rPr>
          <w:rFonts w:cs="Arial"/>
          <w:sz w:val="20"/>
        </w:rPr>
        <w:t xml:space="preserve">Personnel expenditure </w:t>
      </w:r>
      <w:r w:rsidR="001C468E">
        <w:rPr>
          <w:rFonts w:cs="Arial"/>
          <w:sz w:val="20"/>
        </w:rPr>
        <w:t xml:space="preserve">includes </w:t>
      </w:r>
      <w:r w:rsidRPr="00957875">
        <w:rPr>
          <w:rFonts w:cs="Arial"/>
          <w:sz w:val="20"/>
        </w:rPr>
        <w:t>employee benefits such as base salary, post adjustment, dependents’ allowance, pension contribution</w:t>
      </w:r>
      <w:r w:rsidR="00AF2134" w:rsidRPr="00957875">
        <w:rPr>
          <w:rFonts w:cs="Arial"/>
          <w:sz w:val="20"/>
        </w:rPr>
        <w:t>s</w:t>
      </w:r>
      <w:r w:rsidRPr="00957875">
        <w:rPr>
          <w:rFonts w:cs="Arial"/>
          <w:sz w:val="20"/>
        </w:rPr>
        <w:t>, health and other insurance contributions, home le</w:t>
      </w:r>
      <w:r w:rsidR="001C468E">
        <w:rPr>
          <w:rFonts w:cs="Arial"/>
          <w:sz w:val="20"/>
        </w:rPr>
        <w:t>ave and other entitlements. Under</w:t>
      </w:r>
      <w:r w:rsidRPr="00957875">
        <w:rPr>
          <w:rFonts w:cs="Arial"/>
          <w:sz w:val="20"/>
        </w:rPr>
        <w:t xml:space="preserve"> IPSAS, personnel expenditure also includes</w:t>
      </w:r>
      <w:r w:rsidR="001C468E">
        <w:rPr>
          <w:rFonts w:cs="Arial"/>
          <w:sz w:val="20"/>
        </w:rPr>
        <w:t xml:space="preserve"> certain</w:t>
      </w:r>
      <w:r w:rsidRPr="00957875">
        <w:rPr>
          <w:rFonts w:cs="Arial"/>
          <w:sz w:val="20"/>
        </w:rPr>
        <w:t xml:space="preserve"> amounts f</w:t>
      </w:r>
      <w:r w:rsidR="00AF2134" w:rsidRPr="00957875">
        <w:rPr>
          <w:rFonts w:cs="Arial"/>
          <w:sz w:val="20"/>
        </w:rPr>
        <w:t>or the movements in</w:t>
      </w:r>
      <w:r w:rsidR="00B23EDB">
        <w:rPr>
          <w:rFonts w:cs="Arial"/>
          <w:sz w:val="20"/>
        </w:rPr>
        <w:t xml:space="preserve"> after-service</w:t>
      </w:r>
      <w:r w:rsidRPr="00957875">
        <w:rPr>
          <w:rFonts w:cs="Arial"/>
          <w:sz w:val="20"/>
        </w:rPr>
        <w:t xml:space="preserve"> employee benefit liabilities.</w:t>
      </w:r>
    </w:p>
    <w:p w:rsidR="002F09F3" w:rsidRPr="00957875" w:rsidRDefault="002F09F3" w:rsidP="00C02456">
      <w:pPr>
        <w:pStyle w:val="Styletexte"/>
        <w:spacing w:after="0"/>
        <w:rPr>
          <w:rFonts w:cs="Arial"/>
          <w:sz w:val="20"/>
        </w:rPr>
      </w:pPr>
    </w:p>
    <w:p w:rsidR="0061244A" w:rsidRDefault="002F09F3" w:rsidP="0061244A">
      <w:pPr>
        <w:rPr>
          <w:rFonts w:cs="Arial"/>
        </w:rPr>
      </w:pPr>
      <w:r w:rsidRPr="00957875">
        <w:rPr>
          <w:rFonts w:cs="Arial"/>
        </w:rPr>
        <w:t>Travel and fellowships includes the costs of airfare, daily subsistence allowances, terminal allowances and other travel costs for staff on official business and travel for participants, lecturers and fellows in connection with training activities. Contractual services include translators, interpreters and other non-staff service agreements.</w:t>
      </w:r>
      <w:r w:rsidR="000F4CF2">
        <w:rPr>
          <w:rFonts w:cs="Arial"/>
        </w:rPr>
        <w:t xml:space="preserve"> </w:t>
      </w:r>
      <w:r w:rsidRPr="00957875">
        <w:rPr>
          <w:rFonts w:cs="Arial"/>
        </w:rPr>
        <w:t>Operating expenses include items such as premises rent, maintenance and bank charges.</w:t>
      </w:r>
    </w:p>
    <w:p w:rsidR="00B23EDB" w:rsidRDefault="00B23EDB" w:rsidP="0061244A">
      <w:pPr>
        <w:rPr>
          <w:rFonts w:cs="Arial"/>
        </w:rPr>
      </w:pPr>
    </w:p>
    <w:p w:rsidR="00B23EDB" w:rsidRPr="00957875" w:rsidRDefault="00B23EDB" w:rsidP="0061244A">
      <w:pPr>
        <w:rPr>
          <w:rFonts w:cs="Arial"/>
        </w:rPr>
      </w:pPr>
      <w:r>
        <w:rPr>
          <w:rFonts w:cs="Arial"/>
        </w:rPr>
        <w:t xml:space="preserve">Expenses for the Special Project Fund were incurred in </w:t>
      </w:r>
      <w:r w:rsidR="007A7648">
        <w:rPr>
          <w:rFonts w:cs="Arial"/>
        </w:rPr>
        <w:t>2016, and correspond to travel expenditure for participants and lecturers for two training events and agency worker expenditures.</w:t>
      </w:r>
    </w:p>
    <w:p w:rsidR="002F09F3" w:rsidRPr="00957875" w:rsidRDefault="002F09F3" w:rsidP="0061244A">
      <w:pPr>
        <w:rPr>
          <w:rFonts w:cs="Arial"/>
        </w:rPr>
      </w:pPr>
      <w:r w:rsidRPr="00957875">
        <w:rPr>
          <w:rFonts w:cs="Arial"/>
          <w:u w:val="single"/>
        </w:rPr>
        <w:br w:type="page"/>
      </w:r>
    </w:p>
    <w:p w:rsidR="00140793" w:rsidRPr="00957875" w:rsidRDefault="00140793" w:rsidP="00D81BFB">
      <w:pPr>
        <w:pStyle w:val="Heading1"/>
        <w:jc w:val="both"/>
        <w:rPr>
          <w:rFonts w:cs="Arial"/>
        </w:rPr>
      </w:pPr>
      <w:bookmarkStart w:id="32" w:name="_Toc460229927"/>
      <w:bookmarkStart w:id="33" w:name="_Toc522808859"/>
      <w:r w:rsidRPr="00957875">
        <w:rPr>
          <w:rFonts w:cs="Arial"/>
        </w:rPr>
        <w:lastRenderedPageBreak/>
        <w:t>WORKING CAPITAL FUND</w:t>
      </w:r>
      <w:r w:rsidR="00C76EE9" w:rsidRPr="00957875">
        <w:rPr>
          <w:rFonts w:cs="Arial"/>
        </w:rPr>
        <w:t xml:space="preserve"> AND CONTRIBUTIONS</w:t>
      </w:r>
      <w:bookmarkEnd w:id="32"/>
      <w:bookmarkEnd w:id="33"/>
    </w:p>
    <w:p w:rsidR="008518D2" w:rsidRPr="00957875" w:rsidRDefault="008518D2" w:rsidP="008518D2">
      <w:pPr>
        <w:rPr>
          <w:rFonts w:cs="Arial"/>
        </w:rPr>
      </w:pPr>
    </w:p>
    <w:p w:rsidR="002F09F3" w:rsidRPr="00957875" w:rsidRDefault="002F09F3" w:rsidP="00683089">
      <w:pPr>
        <w:pStyle w:val="Heading2"/>
      </w:pPr>
      <w:bookmarkStart w:id="34" w:name="_Toc460229928"/>
      <w:bookmarkStart w:id="35" w:name="_Toc522808860"/>
      <w:r w:rsidRPr="00957875">
        <w:t>Working Capital Fund</w:t>
      </w:r>
      <w:r w:rsidR="00140793" w:rsidRPr="00957875">
        <w:t xml:space="preserve"> as at December 31, 201</w:t>
      </w:r>
      <w:bookmarkEnd w:id="34"/>
      <w:r w:rsidR="00544092">
        <w:t>7</w:t>
      </w:r>
      <w:bookmarkEnd w:id="35"/>
    </w:p>
    <w:p w:rsidR="002F09F3" w:rsidRPr="00957875" w:rsidRDefault="002F09F3" w:rsidP="008B6109">
      <w:pPr>
        <w:pStyle w:val="Heading2"/>
        <w:rPr>
          <w:rFonts w:ascii="Arial" w:hAnsi="Arial"/>
          <w:snapToGrid w:val="0"/>
        </w:rPr>
      </w:pPr>
    </w:p>
    <w:p w:rsidR="00544092" w:rsidRPr="00957875" w:rsidRDefault="00544092" w:rsidP="00544092">
      <w:pPr>
        <w:rPr>
          <w:rFonts w:cs="Arial"/>
          <w:snapToGrid w:val="0"/>
        </w:rPr>
      </w:pPr>
      <w:r w:rsidRPr="00957875">
        <w:rPr>
          <w:rFonts w:cs="Arial"/>
          <w:snapToGrid w:val="0"/>
        </w:rPr>
        <w:t>Under Regulation 4.2 of the Financial Regulations, UPOV has a Working Capital Fund (see document UPOV/INF/4/4). According to the Statement of Financial Position as at December 31, 20</w:t>
      </w:r>
      <w:r>
        <w:rPr>
          <w:rFonts w:cs="Arial"/>
          <w:snapToGrid w:val="0"/>
        </w:rPr>
        <w:t>17</w:t>
      </w:r>
      <w:r w:rsidRPr="00957875">
        <w:rPr>
          <w:rFonts w:cs="Arial"/>
          <w:snapToGrid w:val="0"/>
        </w:rPr>
        <w:t>, the Working Capital Fund stands at 54</w:t>
      </w:r>
      <w:r>
        <w:rPr>
          <w:rFonts w:cs="Arial"/>
          <w:snapToGrid w:val="0"/>
        </w:rPr>
        <w:t>6</w:t>
      </w:r>
      <w:r w:rsidRPr="00957875">
        <w:rPr>
          <w:rFonts w:cs="Arial"/>
          <w:snapToGrid w:val="0"/>
        </w:rPr>
        <w:t>,</w:t>
      </w:r>
      <w:r>
        <w:rPr>
          <w:rFonts w:cs="Arial"/>
          <w:snapToGrid w:val="0"/>
        </w:rPr>
        <w:t>679</w:t>
      </w:r>
      <w:r w:rsidRPr="00957875">
        <w:rPr>
          <w:rFonts w:cs="Arial"/>
          <w:snapToGrid w:val="0"/>
        </w:rPr>
        <w:t> Swiss francs.  The share of each member of the Union, calculated in accordance with the decisions taken by the Council at its sessions in November 1972 (document UPOV/C/VI/12, paragraph 57), October 1992 (document C/26/15, paragraph 14) and April 2006 (document C(Extr.)/23/4, paragraph 10), and document UPOV/INF/13/1, Annex, is as follows:</w:t>
      </w:r>
    </w:p>
    <w:p w:rsidR="00F83AB5" w:rsidRPr="00957875" w:rsidRDefault="00F83AB5" w:rsidP="0061244A">
      <w:pPr>
        <w:rPr>
          <w:rFonts w:cs="Arial"/>
          <w:snapToGrid w:val="0"/>
        </w:rPr>
      </w:pPr>
    </w:p>
    <w:p w:rsidR="002F09F3" w:rsidRPr="00957875" w:rsidRDefault="003670DD" w:rsidP="00F83AB5">
      <w:pPr>
        <w:jc w:val="center"/>
        <w:rPr>
          <w:rFonts w:cs="Arial"/>
        </w:rPr>
      </w:pPr>
      <w:r w:rsidRPr="003670DD">
        <w:rPr>
          <w:noProof/>
        </w:rPr>
        <w:drawing>
          <wp:inline distT="0" distB="0" distL="0" distR="0" wp14:anchorId="47B6B362" wp14:editId="470C8055">
            <wp:extent cx="5600700" cy="6657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00700" cy="6657975"/>
                    </a:xfrm>
                    <a:prstGeom prst="rect">
                      <a:avLst/>
                    </a:prstGeom>
                    <a:noFill/>
                    <a:ln>
                      <a:noFill/>
                    </a:ln>
                  </pic:spPr>
                </pic:pic>
              </a:graphicData>
            </a:graphic>
          </wp:inline>
        </w:drawing>
      </w:r>
    </w:p>
    <w:p w:rsidR="002F09F3" w:rsidRPr="00957875" w:rsidRDefault="002F09F3" w:rsidP="00532F43">
      <w:pPr>
        <w:rPr>
          <w:rFonts w:cs="Arial"/>
        </w:rPr>
      </w:pPr>
    </w:p>
    <w:p w:rsidR="002F09F3" w:rsidRPr="00957875" w:rsidRDefault="002F09F3" w:rsidP="00532F43">
      <w:pPr>
        <w:jc w:val="center"/>
        <w:rPr>
          <w:rFonts w:cs="Arial"/>
          <w:sz w:val="18"/>
        </w:rPr>
      </w:pPr>
    </w:p>
    <w:p w:rsidR="002F09F3" w:rsidRPr="00957875" w:rsidRDefault="002F09F3" w:rsidP="00532F43">
      <w:pPr>
        <w:jc w:val="center"/>
        <w:rPr>
          <w:rFonts w:cs="Arial"/>
          <w:sz w:val="18"/>
        </w:rPr>
      </w:pPr>
    </w:p>
    <w:p w:rsidR="002F09F3" w:rsidRPr="00957875" w:rsidRDefault="002F09F3" w:rsidP="00532F43">
      <w:pPr>
        <w:jc w:val="center"/>
        <w:rPr>
          <w:rFonts w:cs="Arial"/>
          <w:sz w:val="18"/>
        </w:rPr>
      </w:pPr>
    </w:p>
    <w:p w:rsidR="00683089" w:rsidRPr="00683089" w:rsidRDefault="00BB72AB" w:rsidP="00683089">
      <w:pPr>
        <w:pStyle w:val="Heading2"/>
      </w:pPr>
      <w:bookmarkStart w:id="36" w:name="_Toc460229929"/>
      <w:bookmarkStart w:id="37" w:name="_Toc522808861"/>
      <w:r w:rsidRPr="00683089">
        <w:lastRenderedPageBreak/>
        <w:t>Contributions of M</w:t>
      </w:r>
      <w:r w:rsidR="002F09F3" w:rsidRPr="00683089">
        <w:t>embers of the Union</w:t>
      </w:r>
      <w:bookmarkEnd w:id="36"/>
      <w:bookmarkEnd w:id="37"/>
    </w:p>
    <w:p w:rsidR="002F09F3" w:rsidRPr="00957875" w:rsidRDefault="002F09F3" w:rsidP="002F09F3">
      <w:pPr>
        <w:keepNext/>
        <w:jc w:val="center"/>
        <w:rPr>
          <w:rFonts w:cs="Arial"/>
        </w:rPr>
      </w:pPr>
      <w:r w:rsidRPr="00957875">
        <w:rPr>
          <w:rFonts w:cs="Arial"/>
          <w:i/>
        </w:rPr>
        <w:t>(Swiss francs)</w:t>
      </w:r>
    </w:p>
    <w:p w:rsidR="002F09F3" w:rsidRPr="00957875" w:rsidRDefault="002F09F3" w:rsidP="002F09F3">
      <w:pPr>
        <w:keepNext/>
        <w:jc w:val="center"/>
        <w:rPr>
          <w:rFonts w:cs="Arial"/>
        </w:rPr>
      </w:pPr>
    </w:p>
    <w:p w:rsidR="00643221" w:rsidRPr="00957875" w:rsidRDefault="00643221" w:rsidP="002F09F3">
      <w:pPr>
        <w:keepNext/>
        <w:jc w:val="center"/>
        <w:rPr>
          <w:rFonts w:cs="Arial"/>
        </w:rPr>
      </w:pPr>
    </w:p>
    <w:p w:rsidR="006345A5" w:rsidRPr="00957875" w:rsidRDefault="003670DD" w:rsidP="006345A5">
      <w:pPr>
        <w:jc w:val="center"/>
        <w:rPr>
          <w:rFonts w:cs="Arial"/>
        </w:rPr>
      </w:pPr>
      <w:r w:rsidRPr="003670DD">
        <w:rPr>
          <w:noProof/>
        </w:rPr>
        <w:drawing>
          <wp:inline distT="0" distB="0" distL="0" distR="0" wp14:anchorId="45A40C87" wp14:editId="4181741B">
            <wp:extent cx="4714875" cy="76200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714875" cy="7620000"/>
                    </a:xfrm>
                    <a:prstGeom prst="rect">
                      <a:avLst/>
                    </a:prstGeom>
                    <a:noFill/>
                    <a:ln>
                      <a:noFill/>
                    </a:ln>
                  </pic:spPr>
                </pic:pic>
              </a:graphicData>
            </a:graphic>
          </wp:inline>
        </w:drawing>
      </w:r>
    </w:p>
    <w:p w:rsidR="006345A5" w:rsidRPr="00957875" w:rsidRDefault="006345A5">
      <w:pPr>
        <w:rPr>
          <w:rFonts w:cs="Arial"/>
        </w:rPr>
      </w:pPr>
      <w:r w:rsidRPr="00957875">
        <w:rPr>
          <w:rFonts w:cs="Arial"/>
        </w:rPr>
        <w:br w:type="page"/>
      </w:r>
    </w:p>
    <w:p w:rsidR="00643221" w:rsidRPr="00957875" w:rsidRDefault="00643221">
      <w:pPr>
        <w:rPr>
          <w:rFonts w:cs="Arial"/>
        </w:rPr>
      </w:pPr>
    </w:p>
    <w:p w:rsidR="00643221" w:rsidRPr="00957875" w:rsidRDefault="00643221">
      <w:pPr>
        <w:rPr>
          <w:rFonts w:cs="Arial"/>
        </w:rPr>
      </w:pPr>
    </w:p>
    <w:p w:rsidR="002F09F3" w:rsidRPr="00957875" w:rsidRDefault="003670DD" w:rsidP="006345A5">
      <w:pPr>
        <w:jc w:val="center"/>
        <w:rPr>
          <w:rFonts w:cs="Arial"/>
        </w:rPr>
      </w:pPr>
      <w:r w:rsidRPr="003670DD">
        <w:rPr>
          <w:noProof/>
        </w:rPr>
        <w:drawing>
          <wp:inline distT="0" distB="0" distL="0" distR="0" wp14:anchorId="1E4FFA37" wp14:editId="7D3ED19D">
            <wp:extent cx="4714875" cy="61626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714875" cy="6162675"/>
                    </a:xfrm>
                    <a:prstGeom prst="rect">
                      <a:avLst/>
                    </a:prstGeom>
                    <a:noFill/>
                    <a:ln>
                      <a:noFill/>
                    </a:ln>
                  </pic:spPr>
                </pic:pic>
              </a:graphicData>
            </a:graphic>
          </wp:inline>
        </w:drawing>
      </w:r>
    </w:p>
    <w:p w:rsidR="002F09F3" w:rsidRPr="00957875" w:rsidRDefault="002F09F3" w:rsidP="00683089">
      <w:pPr>
        <w:pStyle w:val="Heading2"/>
      </w:pPr>
      <w:r w:rsidRPr="00957875">
        <w:br w:type="page"/>
      </w:r>
      <w:bookmarkStart w:id="38" w:name="_Toc460229930"/>
      <w:bookmarkStart w:id="39" w:name="_Toc522808862"/>
      <w:r w:rsidR="00BB72AB" w:rsidRPr="00957875">
        <w:lastRenderedPageBreak/>
        <w:t>Contribution Payments Received in A</w:t>
      </w:r>
      <w:r w:rsidRPr="00957875">
        <w:t>dvance</w:t>
      </w:r>
      <w:bookmarkEnd w:id="38"/>
      <w:bookmarkEnd w:id="39"/>
    </w:p>
    <w:p w:rsidR="002F09F3" w:rsidRPr="00957875" w:rsidRDefault="002F09F3" w:rsidP="00532F43">
      <w:pPr>
        <w:jc w:val="center"/>
        <w:rPr>
          <w:rFonts w:cs="Arial"/>
        </w:rPr>
      </w:pPr>
    </w:p>
    <w:p w:rsidR="002F09F3" w:rsidRPr="00957875" w:rsidRDefault="002F09F3" w:rsidP="00532F43">
      <w:pPr>
        <w:rPr>
          <w:rFonts w:cs="Arial"/>
        </w:rPr>
      </w:pPr>
    </w:p>
    <w:p w:rsidR="006C4E45" w:rsidRPr="00957875" w:rsidRDefault="003670DD" w:rsidP="00B17732">
      <w:pPr>
        <w:jc w:val="center"/>
        <w:rPr>
          <w:rFonts w:cs="Arial"/>
          <w:u w:val="single"/>
        </w:rPr>
      </w:pPr>
      <w:r w:rsidRPr="003670DD">
        <w:rPr>
          <w:noProof/>
        </w:rPr>
        <w:drawing>
          <wp:inline distT="0" distB="0" distL="0" distR="0" wp14:anchorId="6DFC78BB" wp14:editId="09B09227">
            <wp:extent cx="3971925" cy="55340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971925" cy="5534025"/>
                    </a:xfrm>
                    <a:prstGeom prst="rect">
                      <a:avLst/>
                    </a:prstGeom>
                    <a:noFill/>
                    <a:ln>
                      <a:noFill/>
                    </a:ln>
                  </pic:spPr>
                </pic:pic>
              </a:graphicData>
            </a:graphic>
          </wp:inline>
        </w:drawing>
      </w:r>
    </w:p>
    <w:p w:rsidR="00B17732" w:rsidRPr="00957875" w:rsidRDefault="00B17732" w:rsidP="00B17732">
      <w:pPr>
        <w:jc w:val="center"/>
        <w:rPr>
          <w:rFonts w:cs="Arial"/>
          <w:u w:val="single"/>
        </w:rPr>
      </w:pPr>
    </w:p>
    <w:p w:rsidR="00B17732" w:rsidRPr="00957875" w:rsidRDefault="00B17732" w:rsidP="00B17732">
      <w:pPr>
        <w:jc w:val="center"/>
        <w:rPr>
          <w:rFonts w:cs="Arial"/>
          <w:u w:val="single"/>
        </w:rPr>
      </w:pPr>
    </w:p>
    <w:p w:rsidR="00B17732" w:rsidRPr="00957875" w:rsidRDefault="00B17732">
      <w:pPr>
        <w:rPr>
          <w:rFonts w:cs="Arial"/>
          <w:u w:val="single"/>
        </w:rPr>
      </w:pPr>
      <w:r w:rsidRPr="00957875">
        <w:rPr>
          <w:rFonts w:cs="Arial"/>
        </w:rPr>
        <w:br w:type="page"/>
      </w:r>
    </w:p>
    <w:p w:rsidR="002F09F3" w:rsidRPr="00957875" w:rsidRDefault="00BB72AB" w:rsidP="00683089">
      <w:pPr>
        <w:pStyle w:val="Heading2"/>
      </w:pPr>
      <w:bookmarkStart w:id="40" w:name="_Toc460229931"/>
      <w:bookmarkStart w:id="41" w:name="_Toc522808863"/>
      <w:r w:rsidRPr="00957875">
        <w:lastRenderedPageBreak/>
        <w:t>Amounts of the Contributions Due and Unpaid W</w:t>
      </w:r>
      <w:r w:rsidR="002F09F3" w:rsidRPr="00957875">
        <w:t>orking</w:t>
      </w:r>
      <w:r w:rsidRPr="00957875">
        <w:t xml:space="preserve"> C</w:t>
      </w:r>
      <w:r w:rsidR="002F09F3" w:rsidRPr="00957875">
        <w:t>apital as at December 31, 201</w:t>
      </w:r>
      <w:bookmarkEnd w:id="40"/>
      <w:r w:rsidR="00544092">
        <w:t>7</w:t>
      </w:r>
      <w:bookmarkEnd w:id="41"/>
    </w:p>
    <w:p w:rsidR="002F09F3" w:rsidRPr="00957875" w:rsidRDefault="002F09F3" w:rsidP="00532F43">
      <w:pPr>
        <w:jc w:val="center"/>
        <w:rPr>
          <w:rFonts w:cs="Arial"/>
        </w:rPr>
      </w:pPr>
    </w:p>
    <w:p w:rsidR="00643221" w:rsidRPr="00957875" w:rsidRDefault="00643221" w:rsidP="00532F43">
      <w:pPr>
        <w:jc w:val="center"/>
        <w:rPr>
          <w:rFonts w:cs="Arial"/>
        </w:rPr>
      </w:pPr>
    </w:p>
    <w:p w:rsidR="00643221" w:rsidRPr="00957875" w:rsidRDefault="00544092" w:rsidP="00CD0F0A">
      <w:pPr>
        <w:jc w:val="center"/>
        <w:rPr>
          <w:rFonts w:cs="Arial"/>
          <w:b/>
          <w:caps/>
          <w:u w:val="single"/>
        </w:rPr>
      </w:pPr>
      <w:r w:rsidRPr="00544092">
        <w:rPr>
          <w:noProof/>
        </w:rPr>
        <w:drawing>
          <wp:inline distT="0" distB="0" distL="0" distR="0" wp14:anchorId="55E38B27" wp14:editId="155E3EB9">
            <wp:extent cx="5010150" cy="7467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010150" cy="7467600"/>
                    </a:xfrm>
                    <a:prstGeom prst="rect">
                      <a:avLst/>
                    </a:prstGeom>
                    <a:noFill/>
                    <a:ln>
                      <a:noFill/>
                    </a:ln>
                  </pic:spPr>
                </pic:pic>
              </a:graphicData>
            </a:graphic>
          </wp:inline>
        </w:drawing>
      </w:r>
      <w:r w:rsidR="00233293" w:rsidRPr="00957875">
        <w:rPr>
          <w:rFonts w:cs="Arial"/>
        </w:rPr>
        <w:t xml:space="preserve"> </w:t>
      </w:r>
      <w:r w:rsidR="00643221" w:rsidRPr="00957875">
        <w:rPr>
          <w:rFonts w:cs="Arial"/>
        </w:rPr>
        <w:br w:type="page"/>
      </w:r>
    </w:p>
    <w:p w:rsidR="00643221" w:rsidRPr="00957875" w:rsidRDefault="00643221" w:rsidP="00643221">
      <w:pPr>
        <w:rPr>
          <w:rFonts w:cs="Arial"/>
        </w:rPr>
      </w:pPr>
    </w:p>
    <w:p w:rsidR="00233293" w:rsidRPr="00957875" w:rsidRDefault="00233293" w:rsidP="00643221">
      <w:pPr>
        <w:rPr>
          <w:rFonts w:cs="Arial"/>
        </w:rPr>
      </w:pPr>
    </w:p>
    <w:p w:rsidR="00233293" w:rsidRPr="00957875" w:rsidRDefault="00233293" w:rsidP="00643221">
      <w:pPr>
        <w:rPr>
          <w:rFonts w:cs="Arial"/>
        </w:rPr>
      </w:pPr>
    </w:p>
    <w:p w:rsidR="002F09F3" w:rsidRPr="00957875" w:rsidRDefault="00D24576" w:rsidP="00643221">
      <w:pPr>
        <w:jc w:val="center"/>
        <w:rPr>
          <w:rFonts w:cs="Arial"/>
        </w:rPr>
      </w:pPr>
      <w:r w:rsidRPr="00D24576">
        <w:rPr>
          <w:noProof/>
        </w:rPr>
        <w:drawing>
          <wp:inline distT="0" distB="0" distL="0" distR="0" wp14:anchorId="5B98F3BB" wp14:editId="15CB3370">
            <wp:extent cx="5010150" cy="69818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10150" cy="6981825"/>
                    </a:xfrm>
                    <a:prstGeom prst="rect">
                      <a:avLst/>
                    </a:prstGeom>
                    <a:noFill/>
                    <a:ln>
                      <a:noFill/>
                    </a:ln>
                  </pic:spPr>
                </pic:pic>
              </a:graphicData>
            </a:graphic>
          </wp:inline>
        </w:drawing>
      </w:r>
    </w:p>
    <w:p w:rsidR="002F09F3" w:rsidRPr="00957875" w:rsidRDefault="002F09F3" w:rsidP="00D81BFB">
      <w:pPr>
        <w:rPr>
          <w:rFonts w:cs="Arial"/>
          <w:b/>
          <w:u w:val="single"/>
        </w:rPr>
      </w:pPr>
      <w:r w:rsidRPr="00957875">
        <w:rPr>
          <w:rFonts w:cs="Arial"/>
          <w:b/>
        </w:rPr>
        <w:br w:type="page"/>
      </w:r>
    </w:p>
    <w:p w:rsidR="002F09F3" w:rsidRPr="00957875" w:rsidRDefault="002F09F3" w:rsidP="00D81BFB">
      <w:pPr>
        <w:pStyle w:val="Heading1"/>
        <w:jc w:val="both"/>
        <w:rPr>
          <w:rFonts w:cs="Arial"/>
        </w:rPr>
      </w:pPr>
      <w:bookmarkStart w:id="42" w:name="_Toc460229932"/>
      <w:bookmarkStart w:id="43" w:name="_Toc522808864"/>
      <w:r w:rsidRPr="00957875">
        <w:rPr>
          <w:rFonts w:cs="Arial"/>
        </w:rPr>
        <w:lastRenderedPageBreak/>
        <w:t>Extrabudgetary funds (funds in trust)</w:t>
      </w:r>
      <w:bookmarkEnd w:id="42"/>
      <w:bookmarkEnd w:id="43"/>
    </w:p>
    <w:p w:rsidR="002F09F3" w:rsidRPr="00957875" w:rsidRDefault="002F09F3" w:rsidP="00D81BFB">
      <w:pPr>
        <w:pStyle w:val="Heading1"/>
        <w:jc w:val="both"/>
        <w:rPr>
          <w:rFonts w:cs="Arial"/>
        </w:rPr>
      </w:pPr>
    </w:p>
    <w:p w:rsidR="00DA2888" w:rsidRPr="00957875" w:rsidRDefault="00DA2888" w:rsidP="00DA2888">
      <w:pPr>
        <w:keepNext/>
        <w:rPr>
          <w:rFonts w:cs="Arial"/>
        </w:rPr>
      </w:pPr>
      <w:r w:rsidRPr="00957875">
        <w:rPr>
          <w:rFonts w:cs="Arial"/>
        </w:rPr>
        <w:t xml:space="preserve">The extrabudgetary funds (including funds in trust) allocated by </w:t>
      </w:r>
      <w:r>
        <w:rPr>
          <w:rFonts w:cs="Arial"/>
        </w:rPr>
        <w:t xml:space="preserve">donor </w:t>
      </w:r>
      <w:r w:rsidRPr="00957875">
        <w:rPr>
          <w:rFonts w:cs="Arial"/>
        </w:rPr>
        <w:t>are presented below as independent accounts.</w:t>
      </w:r>
    </w:p>
    <w:p w:rsidR="002F09F3" w:rsidRPr="00957875" w:rsidRDefault="002F09F3" w:rsidP="002F09F3">
      <w:pPr>
        <w:keepNext/>
        <w:rPr>
          <w:rFonts w:cs="Arial"/>
        </w:rPr>
      </w:pPr>
    </w:p>
    <w:p w:rsidR="002F09F3" w:rsidRPr="00957875" w:rsidRDefault="00CE2987" w:rsidP="00532F43">
      <w:pPr>
        <w:rPr>
          <w:rFonts w:cs="Arial"/>
        </w:rPr>
      </w:pPr>
      <w:r w:rsidRPr="00CE2987">
        <w:rPr>
          <w:noProof/>
        </w:rPr>
        <w:drawing>
          <wp:inline distT="0" distB="0" distL="0" distR="0" wp14:anchorId="2F8115BF" wp14:editId="062C13DC">
            <wp:extent cx="6120765" cy="109111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20765" cy="1091118"/>
                    </a:xfrm>
                    <a:prstGeom prst="rect">
                      <a:avLst/>
                    </a:prstGeom>
                    <a:noFill/>
                    <a:ln>
                      <a:noFill/>
                    </a:ln>
                  </pic:spPr>
                </pic:pic>
              </a:graphicData>
            </a:graphic>
          </wp:inline>
        </w:drawing>
      </w:r>
    </w:p>
    <w:p w:rsidR="002F09F3" w:rsidRPr="00957875" w:rsidRDefault="002F09F3" w:rsidP="00532F43">
      <w:pPr>
        <w:rPr>
          <w:rFonts w:cs="Arial"/>
        </w:rPr>
      </w:pPr>
    </w:p>
    <w:p w:rsidR="00E37BC2" w:rsidRPr="00957875" w:rsidRDefault="00E37BC2" w:rsidP="00E37BC2">
      <w:pPr>
        <w:rPr>
          <w:rFonts w:cs="Arial"/>
          <w:b/>
        </w:rPr>
      </w:pPr>
      <w:r w:rsidRPr="00957875">
        <w:rPr>
          <w:rFonts w:cs="Arial"/>
          <w:b/>
        </w:rPr>
        <w:t>Inc</w:t>
      </w:r>
      <w:r w:rsidR="00DA2888">
        <w:rPr>
          <w:rFonts w:cs="Arial"/>
          <w:b/>
        </w:rPr>
        <w:t>ome and expenditure for the 2016-2017</w:t>
      </w:r>
      <w:r w:rsidRPr="00957875">
        <w:rPr>
          <w:rFonts w:cs="Arial"/>
          <w:b/>
        </w:rPr>
        <w:t xml:space="preserve"> Biennium</w:t>
      </w:r>
    </w:p>
    <w:p w:rsidR="00E37BC2" w:rsidRPr="00957875" w:rsidRDefault="00E37BC2" w:rsidP="00E37BC2">
      <w:pPr>
        <w:rPr>
          <w:rFonts w:cs="Arial"/>
          <w:b/>
        </w:rPr>
      </w:pPr>
    </w:p>
    <w:p w:rsidR="00E37BC2" w:rsidRPr="00957875" w:rsidRDefault="00CE2987" w:rsidP="00E37BC2">
      <w:pPr>
        <w:jc w:val="center"/>
        <w:rPr>
          <w:rFonts w:cs="Arial"/>
          <w:b/>
        </w:rPr>
      </w:pPr>
      <w:r w:rsidRPr="00CE2987">
        <w:rPr>
          <w:noProof/>
        </w:rPr>
        <w:drawing>
          <wp:inline distT="0" distB="0" distL="0" distR="0" wp14:anchorId="64029FBC" wp14:editId="53B6CDB5">
            <wp:extent cx="5810250" cy="2438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810250" cy="2438400"/>
                    </a:xfrm>
                    <a:prstGeom prst="rect">
                      <a:avLst/>
                    </a:prstGeom>
                    <a:noFill/>
                    <a:ln>
                      <a:noFill/>
                    </a:ln>
                  </pic:spPr>
                </pic:pic>
              </a:graphicData>
            </a:graphic>
          </wp:inline>
        </w:drawing>
      </w:r>
    </w:p>
    <w:p w:rsidR="00E37BC2" w:rsidRPr="00957875" w:rsidRDefault="00E37BC2" w:rsidP="0061244A">
      <w:pPr>
        <w:ind w:left="851" w:right="283" w:hanging="567"/>
        <w:rPr>
          <w:rFonts w:cs="Arial"/>
          <w:sz w:val="18"/>
          <w:szCs w:val="18"/>
        </w:rPr>
      </w:pPr>
      <w:r w:rsidRPr="00957875">
        <w:rPr>
          <w:rFonts w:cs="Arial"/>
          <w:i/>
          <w:sz w:val="18"/>
          <w:szCs w:val="18"/>
        </w:rPr>
        <w:t>Note</w:t>
      </w:r>
      <w:r w:rsidRPr="00957875">
        <w:rPr>
          <w:rFonts w:cs="Arial"/>
          <w:sz w:val="18"/>
          <w:szCs w:val="18"/>
        </w:rPr>
        <w:t>:</w:t>
      </w:r>
      <w:r w:rsidRPr="00957875">
        <w:rPr>
          <w:rFonts w:cs="Arial"/>
          <w:sz w:val="18"/>
          <w:szCs w:val="18"/>
        </w:rPr>
        <w:tab/>
        <w:t xml:space="preserve">Funds in trust in </w:t>
      </w:r>
      <w:r w:rsidR="00EA5967" w:rsidRPr="00957875">
        <w:rPr>
          <w:rFonts w:cs="Arial"/>
          <w:sz w:val="18"/>
          <w:szCs w:val="18"/>
        </w:rPr>
        <w:t>the form of an extra</w:t>
      </w:r>
      <w:r w:rsidRPr="00957875">
        <w:rPr>
          <w:rFonts w:cs="Arial"/>
          <w:sz w:val="18"/>
          <w:szCs w:val="18"/>
        </w:rPr>
        <w:t>budgetary fund from the Government of Japan intended for regional seminars and workshops on the protection of new plant varieties in the Asian region.</w:t>
      </w:r>
    </w:p>
    <w:p w:rsidR="00813B45" w:rsidRPr="00957875" w:rsidRDefault="00813B45" w:rsidP="00E37BC2">
      <w:pPr>
        <w:ind w:left="567" w:hanging="567"/>
        <w:rPr>
          <w:rFonts w:cs="Arial"/>
          <w:sz w:val="18"/>
          <w:szCs w:val="18"/>
        </w:rPr>
      </w:pPr>
    </w:p>
    <w:p w:rsidR="00E37BC2" w:rsidRPr="00957875" w:rsidRDefault="00E37BC2" w:rsidP="00E37BC2">
      <w:pPr>
        <w:ind w:left="567" w:hanging="567"/>
        <w:rPr>
          <w:rFonts w:cs="Arial"/>
          <w:sz w:val="18"/>
          <w:szCs w:val="18"/>
        </w:rPr>
      </w:pPr>
    </w:p>
    <w:p w:rsidR="00E37BC2" w:rsidRPr="00957875" w:rsidRDefault="00DA2888" w:rsidP="00E37BC2">
      <w:pPr>
        <w:ind w:left="567" w:hanging="567"/>
        <w:jc w:val="center"/>
        <w:rPr>
          <w:rFonts w:cs="Arial"/>
          <w:sz w:val="18"/>
          <w:szCs w:val="18"/>
        </w:rPr>
      </w:pPr>
      <w:r w:rsidRPr="00DA2888">
        <w:rPr>
          <w:noProof/>
        </w:rPr>
        <w:drawing>
          <wp:inline distT="0" distB="0" distL="0" distR="0" wp14:anchorId="26FE6D80" wp14:editId="09BB8BB0">
            <wp:extent cx="5810250" cy="22764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810250" cy="2276475"/>
                    </a:xfrm>
                    <a:prstGeom prst="rect">
                      <a:avLst/>
                    </a:prstGeom>
                    <a:noFill/>
                    <a:ln>
                      <a:noFill/>
                    </a:ln>
                  </pic:spPr>
                </pic:pic>
              </a:graphicData>
            </a:graphic>
          </wp:inline>
        </w:drawing>
      </w:r>
    </w:p>
    <w:p w:rsidR="00813B45" w:rsidRPr="00957875" w:rsidRDefault="00813B45" w:rsidP="0061244A">
      <w:pPr>
        <w:ind w:left="851" w:right="283" w:hanging="567"/>
        <w:rPr>
          <w:rFonts w:cs="Arial"/>
          <w:sz w:val="18"/>
          <w:szCs w:val="18"/>
        </w:rPr>
      </w:pPr>
      <w:r w:rsidRPr="00957875">
        <w:rPr>
          <w:rFonts w:cs="Arial"/>
          <w:i/>
          <w:sz w:val="18"/>
          <w:szCs w:val="18"/>
        </w:rPr>
        <w:t>Note</w:t>
      </w:r>
      <w:r w:rsidR="00EA5967" w:rsidRPr="00957875">
        <w:rPr>
          <w:rFonts w:cs="Arial"/>
          <w:sz w:val="18"/>
          <w:szCs w:val="18"/>
        </w:rPr>
        <w:t>:</w:t>
      </w:r>
      <w:r w:rsidR="0061244A" w:rsidRPr="00957875">
        <w:rPr>
          <w:rFonts w:cs="Arial"/>
          <w:sz w:val="18"/>
          <w:szCs w:val="18"/>
        </w:rPr>
        <w:tab/>
      </w:r>
      <w:r w:rsidR="00EA5967" w:rsidRPr="00957875">
        <w:rPr>
          <w:rFonts w:cs="Arial"/>
          <w:sz w:val="18"/>
          <w:szCs w:val="18"/>
        </w:rPr>
        <w:t>Extra</w:t>
      </w:r>
      <w:r w:rsidRPr="00957875">
        <w:rPr>
          <w:rFonts w:cs="Arial"/>
          <w:sz w:val="18"/>
          <w:szCs w:val="18"/>
        </w:rPr>
        <w:t xml:space="preserve">budgetary fund from the Government of the United States of America, intended for education in intellectual property protection in the area of plant variety protection. </w:t>
      </w:r>
      <w:r w:rsidR="00AF6801">
        <w:rPr>
          <w:rFonts w:cs="Arial"/>
          <w:sz w:val="18"/>
          <w:szCs w:val="18"/>
        </w:rPr>
        <w:t xml:space="preserve"> </w:t>
      </w:r>
      <w:r w:rsidRPr="00957875">
        <w:rPr>
          <w:rFonts w:cs="Arial"/>
          <w:sz w:val="18"/>
          <w:szCs w:val="18"/>
        </w:rPr>
        <w:t>The accounts and financial reports for this trust fund are kept in US dollars.</w:t>
      </w:r>
    </w:p>
    <w:p w:rsidR="00813B45" w:rsidRPr="00957875" w:rsidRDefault="00813B45">
      <w:pPr>
        <w:rPr>
          <w:rFonts w:cs="Arial"/>
          <w:sz w:val="18"/>
          <w:szCs w:val="18"/>
        </w:rPr>
      </w:pPr>
      <w:r w:rsidRPr="00957875">
        <w:rPr>
          <w:rFonts w:cs="Arial"/>
          <w:sz w:val="18"/>
          <w:szCs w:val="18"/>
        </w:rPr>
        <w:br w:type="page"/>
      </w:r>
    </w:p>
    <w:p w:rsidR="00813B45" w:rsidRPr="00957875" w:rsidRDefault="00B72D78" w:rsidP="00813B45">
      <w:pPr>
        <w:ind w:left="567" w:hanging="567"/>
        <w:jc w:val="center"/>
        <w:rPr>
          <w:rFonts w:cs="Arial"/>
          <w:sz w:val="18"/>
          <w:szCs w:val="18"/>
        </w:rPr>
      </w:pPr>
      <w:r w:rsidRPr="00B72D78">
        <w:rPr>
          <w:noProof/>
        </w:rPr>
        <w:lastRenderedPageBreak/>
        <w:drawing>
          <wp:inline distT="0" distB="0" distL="0" distR="0" wp14:anchorId="7AEA9DA6" wp14:editId="15AEEAC9">
            <wp:extent cx="5810250" cy="22764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810250" cy="2276475"/>
                    </a:xfrm>
                    <a:prstGeom prst="rect">
                      <a:avLst/>
                    </a:prstGeom>
                    <a:noFill/>
                    <a:ln>
                      <a:noFill/>
                    </a:ln>
                  </pic:spPr>
                </pic:pic>
              </a:graphicData>
            </a:graphic>
          </wp:inline>
        </w:drawing>
      </w:r>
    </w:p>
    <w:p w:rsidR="00813B45" w:rsidRDefault="00813B45" w:rsidP="0061244A">
      <w:pPr>
        <w:ind w:left="851" w:right="283" w:hanging="567"/>
        <w:rPr>
          <w:rFonts w:cs="Arial"/>
          <w:sz w:val="18"/>
          <w:szCs w:val="18"/>
        </w:rPr>
      </w:pPr>
      <w:r w:rsidRPr="00957875">
        <w:rPr>
          <w:rFonts w:cs="Arial"/>
          <w:i/>
          <w:sz w:val="18"/>
          <w:szCs w:val="18"/>
        </w:rPr>
        <w:t>Note</w:t>
      </w:r>
      <w:r w:rsidR="00EA5967" w:rsidRPr="00957875">
        <w:rPr>
          <w:rFonts w:cs="Arial"/>
          <w:sz w:val="18"/>
          <w:szCs w:val="18"/>
        </w:rPr>
        <w:t>:</w:t>
      </w:r>
      <w:r w:rsidR="00EA5967" w:rsidRPr="00957875">
        <w:rPr>
          <w:rFonts w:cs="Arial"/>
          <w:sz w:val="18"/>
          <w:szCs w:val="18"/>
        </w:rPr>
        <w:tab/>
        <w:t>Extra</w:t>
      </w:r>
      <w:r w:rsidRPr="00957875">
        <w:rPr>
          <w:rFonts w:cs="Arial"/>
          <w:sz w:val="18"/>
          <w:szCs w:val="18"/>
        </w:rPr>
        <w:t>bud</w:t>
      </w:r>
      <w:r w:rsidR="00EA5967" w:rsidRPr="00957875">
        <w:rPr>
          <w:rFonts w:cs="Arial"/>
          <w:sz w:val="18"/>
          <w:szCs w:val="18"/>
        </w:rPr>
        <w:t xml:space="preserve">getary fund from </w:t>
      </w:r>
      <w:r w:rsidRPr="00957875">
        <w:rPr>
          <w:rFonts w:cs="Arial"/>
          <w:sz w:val="18"/>
          <w:szCs w:val="18"/>
        </w:rPr>
        <w:t>the Netherlands intended to provide and promote the UPOV system of plant variety protection.</w:t>
      </w:r>
    </w:p>
    <w:p w:rsidR="00B72D78" w:rsidRDefault="00B72D78" w:rsidP="0061244A">
      <w:pPr>
        <w:ind w:left="851" w:right="283" w:hanging="567"/>
        <w:rPr>
          <w:rFonts w:cs="Arial"/>
          <w:sz w:val="18"/>
          <w:szCs w:val="18"/>
        </w:rPr>
      </w:pPr>
    </w:p>
    <w:p w:rsidR="00094897" w:rsidRDefault="00094897" w:rsidP="0061244A">
      <w:pPr>
        <w:ind w:left="851" w:right="283" w:hanging="567"/>
        <w:rPr>
          <w:rFonts w:cs="Arial"/>
          <w:sz w:val="18"/>
          <w:szCs w:val="18"/>
        </w:rPr>
      </w:pPr>
    </w:p>
    <w:p w:rsidR="00EC18E1" w:rsidRDefault="00EC18E1" w:rsidP="0061244A">
      <w:pPr>
        <w:ind w:left="851" w:right="283" w:hanging="567"/>
        <w:rPr>
          <w:rFonts w:cs="Arial"/>
          <w:sz w:val="18"/>
          <w:szCs w:val="18"/>
        </w:rPr>
      </w:pPr>
      <w:r w:rsidRPr="00EC18E1">
        <w:rPr>
          <w:noProof/>
        </w:rPr>
        <w:drawing>
          <wp:inline distT="0" distB="0" distL="0" distR="0" wp14:anchorId="7271CFB2" wp14:editId="1339E617">
            <wp:extent cx="5814060" cy="14662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814060" cy="1466215"/>
                    </a:xfrm>
                    <a:prstGeom prst="rect">
                      <a:avLst/>
                    </a:prstGeom>
                    <a:noFill/>
                    <a:ln>
                      <a:noFill/>
                    </a:ln>
                  </pic:spPr>
                </pic:pic>
              </a:graphicData>
            </a:graphic>
          </wp:inline>
        </w:drawing>
      </w:r>
    </w:p>
    <w:p w:rsidR="00B72D78" w:rsidRPr="00957875" w:rsidRDefault="00B72D78" w:rsidP="00B72D78">
      <w:pPr>
        <w:ind w:left="851" w:right="283" w:hanging="567"/>
        <w:rPr>
          <w:rFonts w:cs="Arial"/>
          <w:sz w:val="18"/>
          <w:szCs w:val="18"/>
        </w:rPr>
      </w:pPr>
      <w:r w:rsidRPr="00957875">
        <w:rPr>
          <w:rFonts w:cs="Arial"/>
          <w:i/>
          <w:sz w:val="18"/>
          <w:szCs w:val="18"/>
        </w:rPr>
        <w:t>Note</w:t>
      </w:r>
      <w:r w:rsidRPr="00957875">
        <w:rPr>
          <w:rFonts w:cs="Arial"/>
          <w:sz w:val="18"/>
          <w:szCs w:val="18"/>
        </w:rPr>
        <w:t>:</w:t>
      </w:r>
      <w:r w:rsidRPr="00957875">
        <w:rPr>
          <w:rFonts w:cs="Arial"/>
          <w:sz w:val="18"/>
          <w:szCs w:val="18"/>
        </w:rPr>
        <w:tab/>
        <w:t>Extrabud</w:t>
      </w:r>
      <w:r>
        <w:rPr>
          <w:rFonts w:cs="Arial"/>
          <w:sz w:val="18"/>
          <w:szCs w:val="18"/>
        </w:rPr>
        <w:t xml:space="preserve">getary fund from various organizations, communities and federations to promote the </w:t>
      </w:r>
      <w:r w:rsidRPr="0072209B">
        <w:rPr>
          <w:rFonts w:cs="Arial"/>
          <w:sz w:val="18"/>
          <w:szCs w:val="18"/>
        </w:rPr>
        <w:t>UPOV PRISMA PBR application tool</w:t>
      </w:r>
      <w:r>
        <w:rPr>
          <w:rFonts w:cs="Arial"/>
          <w:sz w:val="18"/>
          <w:szCs w:val="18"/>
        </w:rPr>
        <w:t xml:space="preserve">. </w:t>
      </w:r>
      <w:r w:rsidR="00AF6801">
        <w:rPr>
          <w:rFonts w:cs="Arial"/>
          <w:sz w:val="18"/>
          <w:szCs w:val="18"/>
        </w:rPr>
        <w:t xml:space="preserve"> </w:t>
      </w:r>
      <w:r w:rsidRPr="0072209B">
        <w:rPr>
          <w:rFonts w:cs="Arial"/>
          <w:sz w:val="18"/>
          <w:szCs w:val="18"/>
        </w:rPr>
        <w:t>This online application tool enables applicants to submit application data to participating Plant Variety Protection Offices around the world.</w:t>
      </w:r>
    </w:p>
    <w:p w:rsidR="00E37BC2" w:rsidRPr="00957875" w:rsidRDefault="00E37BC2" w:rsidP="00B72D78">
      <w:pPr>
        <w:ind w:left="567" w:hanging="297"/>
        <w:rPr>
          <w:rFonts w:cs="Arial"/>
          <w:sz w:val="18"/>
          <w:szCs w:val="18"/>
        </w:rPr>
      </w:pPr>
    </w:p>
    <w:p w:rsidR="001E0EF9" w:rsidRPr="00957875" w:rsidRDefault="001E0EF9" w:rsidP="00E37BC2">
      <w:pPr>
        <w:rPr>
          <w:rFonts w:cs="Arial"/>
          <w:sz w:val="16"/>
          <w:szCs w:val="16"/>
        </w:rPr>
      </w:pPr>
    </w:p>
    <w:p w:rsidR="00E37BC2" w:rsidRPr="00957875" w:rsidRDefault="00E37BC2" w:rsidP="002F09F3">
      <w:pPr>
        <w:jc w:val="right"/>
        <w:rPr>
          <w:rFonts w:cs="Arial"/>
        </w:rPr>
      </w:pPr>
    </w:p>
    <w:p w:rsidR="00FD7918" w:rsidRPr="00957875" w:rsidRDefault="00FD7918" w:rsidP="002F09F3">
      <w:pPr>
        <w:jc w:val="right"/>
        <w:rPr>
          <w:rFonts w:cs="Arial"/>
        </w:rPr>
      </w:pPr>
    </w:p>
    <w:p w:rsidR="00FD7918" w:rsidRPr="00957875" w:rsidRDefault="00FD7918" w:rsidP="002F09F3">
      <w:pPr>
        <w:jc w:val="right"/>
        <w:rPr>
          <w:rFonts w:cs="Arial"/>
        </w:rPr>
      </w:pPr>
    </w:p>
    <w:p w:rsidR="002F09F3" w:rsidRPr="00957875" w:rsidRDefault="002F09F3" w:rsidP="00BE02C7">
      <w:pPr>
        <w:jc w:val="right"/>
        <w:rPr>
          <w:rFonts w:cs="Arial"/>
        </w:rPr>
      </w:pPr>
      <w:r w:rsidRPr="00957875">
        <w:rPr>
          <w:rFonts w:cs="Arial"/>
        </w:rPr>
        <w:t>[End of Annex and of document]</w:t>
      </w:r>
    </w:p>
    <w:sectPr w:rsidR="002F09F3" w:rsidRPr="00957875" w:rsidSect="00141316">
      <w:headerReference w:type="first" r:id="rId5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549" w:rsidRDefault="009F4549" w:rsidP="006655D3">
      <w:r>
        <w:separator/>
      </w:r>
    </w:p>
    <w:p w:rsidR="009F4549" w:rsidRDefault="009F4549" w:rsidP="006655D3"/>
    <w:p w:rsidR="009F4549" w:rsidRDefault="009F4549" w:rsidP="006655D3"/>
  </w:endnote>
  <w:endnote w:type="continuationSeparator" w:id="0">
    <w:p w:rsidR="009F4549" w:rsidRDefault="009F4549" w:rsidP="006655D3">
      <w:r>
        <w:separator/>
      </w:r>
    </w:p>
    <w:p w:rsidR="009F4549" w:rsidRPr="00560A6D" w:rsidRDefault="009F4549">
      <w:pPr>
        <w:pStyle w:val="Footer"/>
        <w:spacing w:after="60"/>
        <w:rPr>
          <w:sz w:val="18"/>
          <w:lang w:val="fr-FR"/>
        </w:rPr>
      </w:pPr>
      <w:r w:rsidRPr="00560A6D">
        <w:rPr>
          <w:sz w:val="18"/>
          <w:lang w:val="fr-FR"/>
        </w:rPr>
        <w:t>[Suite de la note de la page précédente]</w:t>
      </w:r>
    </w:p>
    <w:p w:rsidR="009F4549" w:rsidRPr="00560A6D" w:rsidRDefault="009F4549" w:rsidP="006655D3">
      <w:pPr>
        <w:rPr>
          <w:lang w:val="fr-FR"/>
        </w:rPr>
      </w:pPr>
    </w:p>
    <w:p w:rsidR="009F4549" w:rsidRPr="00560A6D" w:rsidRDefault="009F4549" w:rsidP="006655D3">
      <w:pPr>
        <w:rPr>
          <w:lang w:val="fr-FR"/>
        </w:rPr>
      </w:pPr>
    </w:p>
  </w:endnote>
  <w:endnote w:type="continuationNotice" w:id="1">
    <w:p w:rsidR="009F4549" w:rsidRPr="00560A6D" w:rsidRDefault="009F4549" w:rsidP="006655D3">
      <w:pPr>
        <w:rPr>
          <w:lang w:val="fr-FR"/>
        </w:rPr>
      </w:pPr>
      <w:r w:rsidRPr="00560A6D">
        <w:rPr>
          <w:lang w:val="fr-FR"/>
        </w:rPr>
        <w:t>[Suite de la note page suivante]</w:t>
      </w:r>
    </w:p>
    <w:p w:rsidR="009F4549" w:rsidRPr="00560A6D" w:rsidRDefault="009F4549" w:rsidP="006655D3">
      <w:pPr>
        <w:rPr>
          <w:lang w:val="fr-FR"/>
        </w:rPr>
      </w:pPr>
    </w:p>
    <w:p w:rsidR="009F4549" w:rsidRPr="00560A6D" w:rsidRDefault="009F454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DA2" w:rsidRDefault="00F56DA2">
    <w:pPr>
      <w:pStyle w:val="Footer"/>
      <w:jc w:val="right"/>
    </w:pPr>
  </w:p>
  <w:p w:rsidR="00F56DA2" w:rsidRDefault="00F56D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DA2" w:rsidRDefault="00F56DA2" w:rsidP="001921EF">
    <w:pPr>
      <w:pStyle w:val="Footer"/>
      <w:jc w:val="center"/>
    </w:pPr>
  </w:p>
  <w:p w:rsidR="00F56DA2" w:rsidRDefault="00F56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549" w:rsidRDefault="009F4549" w:rsidP="00C95616">
      <w:pPr>
        <w:spacing w:before="120"/>
      </w:pPr>
      <w:r>
        <w:separator/>
      </w:r>
    </w:p>
  </w:footnote>
  <w:footnote w:type="continuationSeparator" w:id="0">
    <w:p w:rsidR="009F4549" w:rsidRDefault="009F4549" w:rsidP="006655D3">
      <w:r>
        <w:separator/>
      </w:r>
    </w:p>
  </w:footnote>
  <w:footnote w:type="continuationNotice" w:id="1">
    <w:p w:rsidR="009F4549" w:rsidRPr="00A56FAA" w:rsidRDefault="009F4549" w:rsidP="00A56FAA">
      <w:pPr>
        <w:pStyle w:val="Footer"/>
        <w:rPr>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DA2" w:rsidRPr="00C5280D" w:rsidRDefault="00F56DA2" w:rsidP="002F09F3">
    <w:pPr>
      <w:pStyle w:val="Header"/>
      <w:rPr>
        <w:rStyle w:val="PageNumber"/>
        <w:lang w:val="en-US"/>
      </w:rPr>
    </w:pPr>
    <w:r>
      <w:rPr>
        <w:rStyle w:val="PageNumber"/>
        <w:lang w:val="en-US"/>
      </w:rPr>
      <w:t>C/48/4</w:t>
    </w:r>
  </w:p>
  <w:p w:rsidR="00F56DA2" w:rsidRPr="00C5280D" w:rsidRDefault="00F56DA2" w:rsidP="002F09F3">
    <w:pPr>
      <w:pStyle w:val="Header"/>
    </w:pPr>
    <w:r w:rsidRPr="00C5280D">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238B3">
      <w:rPr>
        <w:rStyle w:val="PageNumber"/>
        <w:noProof/>
        <w:lang w:val="en-US"/>
      </w:rPr>
      <w:t>2</w:t>
    </w:r>
    <w:r w:rsidRPr="00C5280D">
      <w:rPr>
        <w:rStyle w:val="PageNumber"/>
        <w:lang w:val="en-US"/>
      </w:rPr>
      <w:fldChar w:fldCharType="end"/>
    </w:r>
  </w:p>
  <w:p w:rsidR="00F56DA2" w:rsidRPr="00C5280D" w:rsidRDefault="00F56DA2"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DA2" w:rsidRPr="002F09F3" w:rsidRDefault="00F56DA2" w:rsidP="005C7018">
    <w:pPr>
      <w:pStyle w:val="Header"/>
      <w:rPr>
        <w:lang w:val="en-US"/>
      </w:rPr>
    </w:pPr>
    <w:r>
      <w:rPr>
        <w:lang w:val="en-US"/>
      </w:rPr>
      <w:t>C/52/4</w:t>
    </w:r>
  </w:p>
  <w:p w:rsidR="00F56DA2" w:rsidRPr="002F09F3" w:rsidRDefault="00F56DA2" w:rsidP="005C7018">
    <w:pPr>
      <w:pStyle w:val="Header"/>
      <w:rPr>
        <w:noProof/>
        <w:lang w:val="en-US"/>
      </w:rPr>
    </w:pPr>
    <w:r>
      <w:rPr>
        <w:lang w:val="en-US"/>
      </w:rPr>
      <w:t>Annex,</w:t>
    </w:r>
    <w:r w:rsidRPr="002F09F3">
      <w:rPr>
        <w:lang w:val="en-US"/>
      </w:rPr>
      <w:t xml:space="preserve"> page </w:t>
    </w:r>
    <w:r w:rsidRPr="002F09F3">
      <w:rPr>
        <w:lang w:val="en-US"/>
      </w:rPr>
      <w:fldChar w:fldCharType="begin"/>
    </w:r>
    <w:r w:rsidRPr="002F09F3">
      <w:rPr>
        <w:lang w:val="en-US"/>
      </w:rPr>
      <w:instrText xml:space="preserve"> PAGE   \* MERGEFORMAT </w:instrText>
    </w:r>
    <w:r w:rsidRPr="002F09F3">
      <w:rPr>
        <w:lang w:val="en-US"/>
      </w:rPr>
      <w:fldChar w:fldCharType="separate"/>
    </w:r>
    <w:r w:rsidR="00327054">
      <w:rPr>
        <w:noProof/>
        <w:lang w:val="en-US"/>
      </w:rPr>
      <w:t>17</w:t>
    </w:r>
    <w:r w:rsidRPr="002F09F3">
      <w:rPr>
        <w:noProof/>
        <w:lang w:val="en-US"/>
      </w:rPr>
      <w:fldChar w:fldCharType="end"/>
    </w:r>
  </w:p>
  <w:p w:rsidR="00F56DA2" w:rsidRPr="002F09F3" w:rsidRDefault="00F56DA2" w:rsidP="00C76EE9">
    <w:pPr>
      <w:pStyle w:val="Header"/>
      <w:jc w:val="righ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DA2" w:rsidRDefault="00F56DA2" w:rsidP="005C7018">
    <w:pPr>
      <w:pStyle w:val="Header"/>
      <w:rPr>
        <w:lang w:val="en-US"/>
      </w:rPr>
    </w:pPr>
    <w:r>
      <w:rPr>
        <w:lang w:val="en-US"/>
      </w:rPr>
      <w:t>C/52/4</w:t>
    </w:r>
  </w:p>
  <w:p w:rsidR="00F56DA2" w:rsidRDefault="00F56DA2" w:rsidP="005C7018">
    <w:pPr>
      <w:pStyle w:val="Header"/>
      <w:rPr>
        <w:lang w:val="en-US"/>
      </w:rPr>
    </w:pPr>
  </w:p>
  <w:p w:rsidR="00F56DA2" w:rsidRDefault="00F56DA2" w:rsidP="005C7018">
    <w:pPr>
      <w:pStyle w:val="Header"/>
      <w:rPr>
        <w:lang w:val="en-US"/>
      </w:rPr>
    </w:pPr>
    <w:r>
      <w:rPr>
        <w:lang w:val="en-US"/>
      </w:rPr>
      <w:t>ANNEX</w:t>
    </w:r>
  </w:p>
  <w:p w:rsidR="00F56DA2" w:rsidRDefault="00F56DA2" w:rsidP="005C7018">
    <w:pPr>
      <w:pStyle w:val="Header"/>
      <w:rPr>
        <w:lang w:val="en-US"/>
      </w:rPr>
    </w:pPr>
  </w:p>
  <w:p w:rsidR="00F56DA2" w:rsidRDefault="00F56DA2" w:rsidP="005C70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650095"/>
      <w:docPartObj>
        <w:docPartGallery w:val="Page Numbers (Top of Page)"/>
        <w:docPartUnique/>
      </w:docPartObj>
    </w:sdtPr>
    <w:sdtEndPr>
      <w:rPr>
        <w:noProof/>
      </w:rPr>
    </w:sdtEndPr>
    <w:sdtContent>
      <w:p w:rsidR="00F56DA2" w:rsidRPr="002F09F3" w:rsidRDefault="00F56DA2" w:rsidP="005C7018">
        <w:pPr>
          <w:pStyle w:val="Header"/>
          <w:rPr>
            <w:lang w:val="en-US"/>
          </w:rPr>
        </w:pPr>
        <w:r>
          <w:rPr>
            <w:lang w:val="en-US"/>
          </w:rPr>
          <w:t>C/52/4</w:t>
        </w:r>
      </w:p>
      <w:p w:rsidR="00F56DA2" w:rsidRDefault="00F56DA2" w:rsidP="005C7018">
        <w:pPr>
          <w:pStyle w:val="Header"/>
        </w:pPr>
        <w:r>
          <w:rPr>
            <w:lang w:val="en-US"/>
          </w:rPr>
          <w:t>Annex,</w:t>
        </w:r>
        <w:r w:rsidRPr="002F09F3">
          <w:rPr>
            <w:lang w:val="en-US"/>
          </w:rPr>
          <w:t xml:space="preserve"> page</w:t>
        </w:r>
        <w:r>
          <w:t xml:space="preserve"> </w:t>
        </w:r>
        <w:r>
          <w:fldChar w:fldCharType="begin"/>
        </w:r>
        <w:r>
          <w:instrText xml:space="preserve"> PAGE   \* MERGEFORMAT </w:instrText>
        </w:r>
        <w:r>
          <w:fldChar w:fldCharType="separate"/>
        </w:r>
        <w:r w:rsidR="00327054">
          <w:rPr>
            <w:noProof/>
          </w:rPr>
          <w:t>2</w:t>
        </w:r>
        <w:r>
          <w:rPr>
            <w:noProof/>
          </w:rPr>
          <w:fldChar w:fldCharType="end"/>
        </w:r>
      </w:p>
    </w:sdtContent>
  </w:sdt>
  <w:p w:rsidR="00F56DA2" w:rsidRDefault="00F56D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DAB716"/>
    <w:multiLevelType w:val="hybridMultilevel"/>
    <w:tmpl w:val="4F8C11C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1AF4456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A98E09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74A27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A2AD4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428A47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278A26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546FB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528D6A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2B6CE8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5EA10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22D4D5"/>
    <w:multiLevelType w:val="singleLevel"/>
    <w:tmpl w:val="71D275D6"/>
    <w:lvl w:ilvl="0">
      <w:start w:val="16"/>
      <w:numFmt w:val="decimal"/>
      <w:lvlText w:val="%1."/>
      <w:lvlJc w:val="left"/>
      <w:pPr>
        <w:tabs>
          <w:tab w:val="num" w:pos="504"/>
        </w:tabs>
        <w:ind w:left="504" w:hanging="504"/>
      </w:pPr>
      <w:rPr>
        <w:rFonts w:cs="Times New Roman"/>
        <w:snapToGrid/>
        <w:spacing w:val="4"/>
        <w:sz w:val="22"/>
        <w:szCs w:val="22"/>
      </w:rPr>
    </w:lvl>
  </w:abstractNum>
  <w:abstractNum w:abstractNumId="12" w15:restartNumberingAfterBreak="0">
    <w:nsid w:val="0406210A"/>
    <w:multiLevelType w:val="singleLevel"/>
    <w:tmpl w:val="1CF2E3BA"/>
    <w:lvl w:ilvl="0">
      <w:start w:val="12"/>
      <w:numFmt w:val="decimal"/>
      <w:lvlText w:val="%1."/>
      <w:lvlJc w:val="left"/>
      <w:pPr>
        <w:tabs>
          <w:tab w:val="num" w:pos="576"/>
        </w:tabs>
        <w:ind w:left="576" w:hanging="576"/>
      </w:pPr>
      <w:rPr>
        <w:rFonts w:cs="Times New Roman"/>
        <w:snapToGrid/>
        <w:sz w:val="22"/>
        <w:szCs w:val="22"/>
      </w:rPr>
    </w:lvl>
  </w:abstractNum>
  <w:abstractNum w:abstractNumId="13" w15:restartNumberingAfterBreak="0">
    <w:nsid w:val="04E7704C"/>
    <w:multiLevelType w:val="singleLevel"/>
    <w:tmpl w:val="3CC816F0"/>
    <w:lvl w:ilvl="0">
      <w:start w:val="9"/>
      <w:numFmt w:val="decimal"/>
      <w:lvlText w:val="%1."/>
      <w:lvlJc w:val="left"/>
      <w:pPr>
        <w:tabs>
          <w:tab w:val="num" w:pos="648"/>
        </w:tabs>
        <w:ind w:left="864" w:hanging="648"/>
      </w:pPr>
      <w:rPr>
        <w:rFonts w:cs="Times New Roman"/>
        <w:snapToGrid/>
        <w:spacing w:val="4"/>
        <w:sz w:val="22"/>
        <w:szCs w:val="22"/>
      </w:rPr>
    </w:lvl>
  </w:abstractNum>
  <w:abstractNum w:abstractNumId="14" w15:restartNumberingAfterBreak="0">
    <w:nsid w:val="064AA93B"/>
    <w:multiLevelType w:val="singleLevel"/>
    <w:tmpl w:val="4AAE3083"/>
    <w:lvl w:ilvl="0">
      <w:start w:val="22"/>
      <w:numFmt w:val="decimal"/>
      <w:lvlText w:val="%1."/>
      <w:lvlJc w:val="left"/>
      <w:pPr>
        <w:tabs>
          <w:tab w:val="num" w:pos="576"/>
        </w:tabs>
        <w:ind w:left="720" w:hanging="576"/>
      </w:pPr>
      <w:rPr>
        <w:rFonts w:cs="Times New Roman"/>
        <w:snapToGrid/>
        <w:spacing w:val="4"/>
        <w:sz w:val="22"/>
        <w:szCs w:val="22"/>
      </w:rPr>
    </w:lvl>
  </w:abstractNum>
  <w:abstractNum w:abstractNumId="15" w15:restartNumberingAfterBreak="0">
    <w:nsid w:val="06EDDC85"/>
    <w:multiLevelType w:val="singleLevel"/>
    <w:tmpl w:val="17E10399"/>
    <w:lvl w:ilvl="0">
      <w:start w:val="1"/>
      <w:numFmt w:val="decimal"/>
      <w:lvlText w:val="%1."/>
      <w:lvlJc w:val="left"/>
      <w:pPr>
        <w:tabs>
          <w:tab w:val="num" w:pos="576"/>
        </w:tabs>
        <w:ind w:left="792" w:hanging="576"/>
      </w:pPr>
      <w:rPr>
        <w:rFonts w:cs="Times New Roman"/>
        <w:snapToGrid/>
        <w:spacing w:val="4"/>
        <w:sz w:val="22"/>
        <w:szCs w:val="22"/>
      </w:rPr>
    </w:lvl>
  </w:abstractNum>
  <w:abstractNum w:abstractNumId="16" w15:restartNumberingAfterBreak="0">
    <w:nsid w:val="14B46568"/>
    <w:multiLevelType w:val="multilevel"/>
    <w:tmpl w:val="774864BE"/>
    <w:lvl w:ilvl="0">
      <w:start w:val="1"/>
      <w:numFmt w:val="bullet"/>
      <w:pStyle w:val="StyleStyle1Left163cmFirstline0cm"/>
      <w:lvlText w:val=""/>
      <w:lvlJc w:val="left"/>
      <w:pPr>
        <w:tabs>
          <w:tab w:val="num" w:pos="1134"/>
        </w:tabs>
        <w:ind w:left="1134" w:hanging="510"/>
      </w:pPr>
      <w:rPr>
        <w:rFonts w:ascii="Symbol" w:hAnsi="Symbol"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1758"/>
        </w:tabs>
        <w:ind w:left="624" w:firstLine="567"/>
      </w:pPr>
      <w:rPr>
        <w:rFonts w:ascii="Symbol" w:hAnsi="Symbol" w:hint="default"/>
      </w:rPr>
    </w:lvl>
    <w:lvl w:ilvl="2">
      <w:start w:val="1"/>
      <w:numFmt w:val="bullet"/>
      <w:lvlText w:val="-"/>
      <w:lvlJc w:val="left"/>
      <w:pPr>
        <w:tabs>
          <w:tab w:val="num" w:pos="2325"/>
        </w:tabs>
        <w:ind w:left="624" w:firstLine="1134"/>
      </w:pPr>
      <w:rPr>
        <w:rFonts w:ascii="Symbol" w:hAnsi="Symbol" w:hint="default"/>
      </w:rPr>
    </w:lvl>
    <w:lvl w:ilvl="3">
      <w:start w:val="1"/>
      <w:numFmt w:val="bullet"/>
      <w:lvlText w:val="-"/>
      <w:lvlJc w:val="left"/>
      <w:pPr>
        <w:tabs>
          <w:tab w:val="num" w:pos="2892"/>
        </w:tabs>
        <w:ind w:left="624" w:firstLine="1701"/>
      </w:pPr>
      <w:rPr>
        <w:rFonts w:ascii="Symbol" w:hAnsi="Symbol" w:hint="default"/>
      </w:rPr>
    </w:lvl>
    <w:lvl w:ilvl="4">
      <w:start w:val="1"/>
      <w:numFmt w:val="bullet"/>
      <w:lvlText w:val="-"/>
      <w:lvlJc w:val="left"/>
      <w:pPr>
        <w:tabs>
          <w:tab w:val="num" w:pos="3459"/>
        </w:tabs>
        <w:ind w:left="624" w:firstLine="2268"/>
      </w:pPr>
      <w:rPr>
        <w:rFonts w:ascii="Symbol" w:hAnsi="Symbol" w:hint="default"/>
      </w:rPr>
    </w:lvl>
    <w:lvl w:ilvl="5">
      <w:start w:val="1"/>
      <w:numFmt w:val="bullet"/>
      <w:lvlText w:val="-"/>
      <w:lvlJc w:val="left"/>
      <w:pPr>
        <w:tabs>
          <w:tab w:val="num" w:pos="4026"/>
        </w:tabs>
        <w:ind w:left="624" w:firstLine="2835"/>
      </w:pPr>
      <w:rPr>
        <w:rFonts w:ascii="Symbol" w:hAnsi="Symbol" w:hint="default"/>
      </w:rPr>
    </w:lvl>
    <w:lvl w:ilvl="6">
      <w:start w:val="1"/>
      <w:numFmt w:val="bullet"/>
      <w:lvlText w:val="-"/>
      <w:lvlJc w:val="left"/>
      <w:pPr>
        <w:tabs>
          <w:tab w:val="num" w:pos="4593"/>
        </w:tabs>
        <w:ind w:left="624" w:firstLine="3402"/>
      </w:pPr>
      <w:rPr>
        <w:rFonts w:ascii="Symbol" w:hAnsi="Symbol" w:hint="default"/>
      </w:rPr>
    </w:lvl>
    <w:lvl w:ilvl="7">
      <w:start w:val="1"/>
      <w:numFmt w:val="bullet"/>
      <w:lvlText w:val="-"/>
      <w:lvlJc w:val="left"/>
      <w:pPr>
        <w:tabs>
          <w:tab w:val="num" w:pos="5159"/>
        </w:tabs>
        <w:ind w:left="624" w:firstLine="3969"/>
      </w:pPr>
      <w:rPr>
        <w:rFonts w:ascii="Symbol" w:hAnsi="Symbol" w:hint="default"/>
      </w:rPr>
    </w:lvl>
    <w:lvl w:ilvl="8">
      <w:start w:val="1"/>
      <w:numFmt w:val="bullet"/>
      <w:lvlText w:val="-"/>
      <w:lvlJc w:val="left"/>
      <w:pPr>
        <w:tabs>
          <w:tab w:val="num" w:pos="5726"/>
        </w:tabs>
        <w:ind w:left="624" w:firstLine="4535"/>
      </w:pPr>
      <w:rPr>
        <w:rFonts w:ascii="Symbol" w:hAnsi="Symbol" w:hint="default"/>
      </w:rPr>
    </w:lvl>
  </w:abstractNum>
  <w:abstractNum w:abstractNumId="17" w15:restartNumberingAfterBreak="0">
    <w:nsid w:val="16060C28"/>
    <w:multiLevelType w:val="hybridMultilevel"/>
    <w:tmpl w:val="A0AC54F0"/>
    <w:lvl w:ilvl="0" w:tplc="475887C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D1A5F"/>
    <w:multiLevelType w:val="hybridMultilevel"/>
    <w:tmpl w:val="75B64376"/>
    <w:lvl w:ilvl="0" w:tplc="44F03FE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0B1E30"/>
    <w:multiLevelType w:val="multilevel"/>
    <w:tmpl w:val="3924904E"/>
    <w:lvl w:ilvl="0">
      <w:start w:val="1"/>
      <w:numFmt w:val="none"/>
      <w:lvlText w:val=""/>
      <w:legacy w:legacy="1" w:legacySpace="120" w:legacyIndent="360"/>
      <w:lvlJc w:val="left"/>
      <w:rPr>
        <w:rFonts w:ascii="Symbol" w:hAnsi="Symbol"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0" w15:restartNumberingAfterBreak="0">
    <w:nsid w:val="487869D3"/>
    <w:multiLevelType w:val="hybridMultilevel"/>
    <w:tmpl w:val="3E1C366A"/>
    <w:lvl w:ilvl="0" w:tplc="04090001">
      <w:start w:val="1"/>
      <w:numFmt w:val="bullet"/>
      <w:lvlText w:val=""/>
      <w:lvlJc w:val="left"/>
      <w:rPr>
        <w:rFonts w:ascii="Symbol" w:hAnsi="Symbol" w:hint="default"/>
      </w:rPr>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C7B488B"/>
    <w:multiLevelType w:val="hybridMultilevel"/>
    <w:tmpl w:val="41D6134A"/>
    <w:lvl w:ilvl="0" w:tplc="D9D8C64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6C45B33"/>
    <w:multiLevelType w:val="hybridMultilevel"/>
    <w:tmpl w:val="5002AB08"/>
    <w:lvl w:ilvl="0" w:tplc="72D00A28">
      <w:start w:val="4"/>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6"/>
  </w:num>
  <w:num w:numId="3">
    <w:abstractNumId w:val="15"/>
  </w:num>
  <w:num w:numId="4">
    <w:abstractNumId w:val="15"/>
    <w:lvlOverride w:ilvl="0">
      <w:lvl w:ilvl="0">
        <w:numFmt w:val="decimal"/>
        <w:lvlText w:val="%1."/>
        <w:lvlJc w:val="left"/>
        <w:pPr>
          <w:tabs>
            <w:tab w:val="num" w:pos="648"/>
          </w:tabs>
          <w:ind w:left="864" w:hanging="648"/>
        </w:pPr>
        <w:rPr>
          <w:rFonts w:cs="Times New Roman"/>
          <w:snapToGrid/>
          <w:sz w:val="22"/>
          <w:szCs w:val="22"/>
        </w:rPr>
      </w:lvl>
    </w:lvlOverride>
  </w:num>
  <w:num w:numId="5">
    <w:abstractNumId w:val="13"/>
  </w:num>
  <w:num w:numId="6">
    <w:abstractNumId w:val="13"/>
    <w:lvlOverride w:ilvl="0">
      <w:lvl w:ilvl="0">
        <w:numFmt w:val="decimal"/>
        <w:lvlText w:val="%1."/>
        <w:lvlJc w:val="left"/>
        <w:pPr>
          <w:tabs>
            <w:tab w:val="num" w:pos="576"/>
          </w:tabs>
          <w:ind w:left="792" w:hanging="576"/>
        </w:pPr>
        <w:rPr>
          <w:rFonts w:cs="Times New Roman"/>
          <w:snapToGrid/>
          <w:spacing w:val="4"/>
          <w:sz w:val="22"/>
          <w:szCs w:val="22"/>
        </w:rPr>
      </w:lvl>
    </w:lvlOverride>
  </w:num>
  <w:num w:numId="7">
    <w:abstractNumId w:val="12"/>
  </w:num>
  <w:num w:numId="8">
    <w:abstractNumId w:val="12"/>
    <w:lvlOverride w:ilvl="0">
      <w:lvl w:ilvl="0">
        <w:numFmt w:val="decimal"/>
        <w:lvlText w:val="%1."/>
        <w:lvlJc w:val="left"/>
        <w:pPr>
          <w:tabs>
            <w:tab w:val="num" w:pos="504"/>
          </w:tabs>
          <w:ind w:left="504" w:hanging="504"/>
        </w:pPr>
        <w:rPr>
          <w:rFonts w:cs="Times New Roman"/>
          <w:snapToGrid/>
          <w:spacing w:val="4"/>
          <w:sz w:val="22"/>
          <w:szCs w:val="22"/>
        </w:rPr>
      </w:lvl>
    </w:lvlOverride>
  </w:num>
  <w:num w:numId="9">
    <w:abstractNumId w:val="11"/>
  </w:num>
  <w:num w:numId="10">
    <w:abstractNumId w:val="14"/>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22"/>
  </w:num>
  <w:num w:numId="22">
    <w:abstractNumId w:val="0"/>
  </w:num>
  <w:num w:numId="23">
    <w:abstractNumId w:val="21"/>
  </w:num>
  <w:num w:numId="24">
    <w:abstractNumId w:val="20"/>
  </w:num>
  <w:num w:numId="25">
    <w:abstractNumId w:val="1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1BE"/>
    <w:rsid w:val="00010CF3"/>
    <w:rsid w:val="00011E27"/>
    <w:rsid w:val="0001366F"/>
    <w:rsid w:val="000148BC"/>
    <w:rsid w:val="000238B3"/>
    <w:rsid w:val="00024AB8"/>
    <w:rsid w:val="000267A9"/>
    <w:rsid w:val="00030854"/>
    <w:rsid w:val="00035FF3"/>
    <w:rsid w:val="00036028"/>
    <w:rsid w:val="000409E8"/>
    <w:rsid w:val="00040F79"/>
    <w:rsid w:val="00044642"/>
    <w:rsid w:val="000446B9"/>
    <w:rsid w:val="000451E7"/>
    <w:rsid w:val="00045B8A"/>
    <w:rsid w:val="000478F6"/>
    <w:rsid w:val="00047E21"/>
    <w:rsid w:val="00055459"/>
    <w:rsid w:val="00060302"/>
    <w:rsid w:val="00072089"/>
    <w:rsid w:val="00073668"/>
    <w:rsid w:val="00085505"/>
    <w:rsid w:val="00092EDA"/>
    <w:rsid w:val="00094897"/>
    <w:rsid w:val="00094F48"/>
    <w:rsid w:val="000962D0"/>
    <w:rsid w:val="000A310B"/>
    <w:rsid w:val="000A68B4"/>
    <w:rsid w:val="000B34D5"/>
    <w:rsid w:val="000B6848"/>
    <w:rsid w:val="000C7021"/>
    <w:rsid w:val="000D6BBC"/>
    <w:rsid w:val="000D7780"/>
    <w:rsid w:val="000E15D4"/>
    <w:rsid w:val="000E7048"/>
    <w:rsid w:val="000F209C"/>
    <w:rsid w:val="000F305E"/>
    <w:rsid w:val="000F4CF2"/>
    <w:rsid w:val="000F71F8"/>
    <w:rsid w:val="00105929"/>
    <w:rsid w:val="00106C61"/>
    <w:rsid w:val="001076E1"/>
    <w:rsid w:val="001131D5"/>
    <w:rsid w:val="00113D73"/>
    <w:rsid w:val="00120C41"/>
    <w:rsid w:val="00132877"/>
    <w:rsid w:val="001377BE"/>
    <w:rsid w:val="00140793"/>
    <w:rsid w:val="00141316"/>
    <w:rsid w:val="00141DB8"/>
    <w:rsid w:val="0014584B"/>
    <w:rsid w:val="00150B2B"/>
    <w:rsid w:val="00155678"/>
    <w:rsid w:val="00155773"/>
    <w:rsid w:val="00160F78"/>
    <w:rsid w:val="0016415C"/>
    <w:rsid w:val="00164861"/>
    <w:rsid w:val="0017474A"/>
    <w:rsid w:val="001758C6"/>
    <w:rsid w:val="00180DE0"/>
    <w:rsid w:val="0018246F"/>
    <w:rsid w:val="00182B99"/>
    <w:rsid w:val="0018373F"/>
    <w:rsid w:val="00191B7D"/>
    <w:rsid w:val="001921EF"/>
    <w:rsid w:val="001A0080"/>
    <w:rsid w:val="001A6540"/>
    <w:rsid w:val="001A792E"/>
    <w:rsid w:val="001C468E"/>
    <w:rsid w:val="001D6CED"/>
    <w:rsid w:val="001E0CF9"/>
    <w:rsid w:val="001E0EF9"/>
    <w:rsid w:val="001F3C4A"/>
    <w:rsid w:val="001F6ACF"/>
    <w:rsid w:val="00204EE5"/>
    <w:rsid w:val="0021173E"/>
    <w:rsid w:val="0021332C"/>
    <w:rsid w:val="00213982"/>
    <w:rsid w:val="00214425"/>
    <w:rsid w:val="00217BF9"/>
    <w:rsid w:val="0022511A"/>
    <w:rsid w:val="00233293"/>
    <w:rsid w:val="0023499A"/>
    <w:rsid w:val="00235388"/>
    <w:rsid w:val="00242E11"/>
    <w:rsid w:val="0024416D"/>
    <w:rsid w:val="002800A0"/>
    <w:rsid w:val="002801B3"/>
    <w:rsid w:val="0028098F"/>
    <w:rsid w:val="00281060"/>
    <w:rsid w:val="002920B3"/>
    <w:rsid w:val="0029346E"/>
    <w:rsid w:val="002940E8"/>
    <w:rsid w:val="00294E4B"/>
    <w:rsid w:val="00296935"/>
    <w:rsid w:val="002A3FBE"/>
    <w:rsid w:val="002A6E50"/>
    <w:rsid w:val="002B045E"/>
    <w:rsid w:val="002B0D19"/>
    <w:rsid w:val="002B1132"/>
    <w:rsid w:val="002C256A"/>
    <w:rsid w:val="002C2BB0"/>
    <w:rsid w:val="002C36E5"/>
    <w:rsid w:val="002C53A4"/>
    <w:rsid w:val="002C71C3"/>
    <w:rsid w:val="002D7DB5"/>
    <w:rsid w:val="002F09F3"/>
    <w:rsid w:val="002F4B84"/>
    <w:rsid w:val="00305A7F"/>
    <w:rsid w:val="0031098C"/>
    <w:rsid w:val="00311E74"/>
    <w:rsid w:val="00315280"/>
    <w:rsid w:val="003152FE"/>
    <w:rsid w:val="00327054"/>
    <w:rsid w:val="00327436"/>
    <w:rsid w:val="0033062F"/>
    <w:rsid w:val="0033507D"/>
    <w:rsid w:val="00344BD6"/>
    <w:rsid w:val="0035528D"/>
    <w:rsid w:val="0035627A"/>
    <w:rsid w:val="00361821"/>
    <w:rsid w:val="003670DD"/>
    <w:rsid w:val="00371404"/>
    <w:rsid w:val="00374E52"/>
    <w:rsid w:val="003C145E"/>
    <w:rsid w:val="003C3E3A"/>
    <w:rsid w:val="003D16DC"/>
    <w:rsid w:val="003D227C"/>
    <w:rsid w:val="003D2B4D"/>
    <w:rsid w:val="003D5268"/>
    <w:rsid w:val="003E2861"/>
    <w:rsid w:val="003E322A"/>
    <w:rsid w:val="003E4EAC"/>
    <w:rsid w:val="003F0534"/>
    <w:rsid w:val="003F525C"/>
    <w:rsid w:val="00415843"/>
    <w:rsid w:val="00433F1A"/>
    <w:rsid w:val="00444A88"/>
    <w:rsid w:val="004622E4"/>
    <w:rsid w:val="00463417"/>
    <w:rsid w:val="00474DA4"/>
    <w:rsid w:val="00476B4D"/>
    <w:rsid w:val="00480587"/>
    <w:rsid w:val="004805FA"/>
    <w:rsid w:val="0049138D"/>
    <w:rsid w:val="00495129"/>
    <w:rsid w:val="004A3AC6"/>
    <w:rsid w:val="004A4D0E"/>
    <w:rsid w:val="004B0C0F"/>
    <w:rsid w:val="004B2B03"/>
    <w:rsid w:val="004B4DF2"/>
    <w:rsid w:val="004C25C1"/>
    <w:rsid w:val="004C2612"/>
    <w:rsid w:val="004D047D"/>
    <w:rsid w:val="004D202D"/>
    <w:rsid w:val="004E7F34"/>
    <w:rsid w:val="004F305A"/>
    <w:rsid w:val="00503A33"/>
    <w:rsid w:val="00503B4C"/>
    <w:rsid w:val="00504419"/>
    <w:rsid w:val="0051068B"/>
    <w:rsid w:val="00512164"/>
    <w:rsid w:val="005172E9"/>
    <w:rsid w:val="00520297"/>
    <w:rsid w:val="00532F43"/>
    <w:rsid w:val="005338F9"/>
    <w:rsid w:val="005353CC"/>
    <w:rsid w:val="00541C9B"/>
    <w:rsid w:val="0054281C"/>
    <w:rsid w:val="00543FC1"/>
    <w:rsid w:val="00544092"/>
    <w:rsid w:val="00544B41"/>
    <w:rsid w:val="00551181"/>
    <w:rsid w:val="0055268D"/>
    <w:rsid w:val="00560A6D"/>
    <w:rsid w:val="00561097"/>
    <w:rsid w:val="00573D4F"/>
    <w:rsid w:val="00576BE4"/>
    <w:rsid w:val="005A00CA"/>
    <w:rsid w:val="005A400A"/>
    <w:rsid w:val="005B7D72"/>
    <w:rsid w:val="005C7018"/>
    <w:rsid w:val="005D01B0"/>
    <w:rsid w:val="005D256E"/>
    <w:rsid w:val="005D69CE"/>
    <w:rsid w:val="005E25AA"/>
    <w:rsid w:val="005E59FF"/>
    <w:rsid w:val="005E69CA"/>
    <w:rsid w:val="005F05B6"/>
    <w:rsid w:val="00612379"/>
    <w:rsid w:val="0061244A"/>
    <w:rsid w:val="006128CD"/>
    <w:rsid w:val="00612E92"/>
    <w:rsid w:val="0061555F"/>
    <w:rsid w:val="0063146F"/>
    <w:rsid w:val="006345A5"/>
    <w:rsid w:val="006360C1"/>
    <w:rsid w:val="00641200"/>
    <w:rsid w:val="00643221"/>
    <w:rsid w:val="0065196F"/>
    <w:rsid w:val="006603C1"/>
    <w:rsid w:val="00663239"/>
    <w:rsid w:val="006655D3"/>
    <w:rsid w:val="00667C2C"/>
    <w:rsid w:val="006706D0"/>
    <w:rsid w:val="0067078A"/>
    <w:rsid w:val="006727B5"/>
    <w:rsid w:val="0067797C"/>
    <w:rsid w:val="00683089"/>
    <w:rsid w:val="00687EB4"/>
    <w:rsid w:val="006975A9"/>
    <w:rsid w:val="006A0356"/>
    <w:rsid w:val="006A090C"/>
    <w:rsid w:val="006A0CF5"/>
    <w:rsid w:val="006A10B0"/>
    <w:rsid w:val="006A562F"/>
    <w:rsid w:val="006A5CA1"/>
    <w:rsid w:val="006A634C"/>
    <w:rsid w:val="006B17D2"/>
    <w:rsid w:val="006B4C1F"/>
    <w:rsid w:val="006B621B"/>
    <w:rsid w:val="006B6A21"/>
    <w:rsid w:val="006C224E"/>
    <w:rsid w:val="006C4E45"/>
    <w:rsid w:val="006C7505"/>
    <w:rsid w:val="006D678D"/>
    <w:rsid w:val="006D780A"/>
    <w:rsid w:val="006E0773"/>
    <w:rsid w:val="006E1CEA"/>
    <w:rsid w:val="006E4721"/>
    <w:rsid w:val="006E496E"/>
    <w:rsid w:val="006E514C"/>
    <w:rsid w:val="006F7172"/>
    <w:rsid w:val="007137EB"/>
    <w:rsid w:val="00732DEC"/>
    <w:rsid w:val="00735BD5"/>
    <w:rsid w:val="00736695"/>
    <w:rsid w:val="00742545"/>
    <w:rsid w:val="00743C2D"/>
    <w:rsid w:val="00743DC1"/>
    <w:rsid w:val="00744BB5"/>
    <w:rsid w:val="007475FE"/>
    <w:rsid w:val="0075412F"/>
    <w:rsid w:val="007556F6"/>
    <w:rsid w:val="00760EEF"/>
    <w:rsid w:val="00766B27"/>
    <w:rsid w:val="007674A0"/>
    <w:rsid w:val="007676EC"/>
    <w:rsid w:val="00774D1F"/>
    <w:rsid w:val="00776633"/>
    <w:rsid w:val="00776F01"/>
    <w:rsid w:val="00777EE5"/>
    <w:rsid w:val="00780E2C"/>
    <w:rsid w:val="00784836"/>
    <w:rsid w:val="0079023E"/>
    <w:rsid w:val="007940CC"/>
    <w:rsid w:val="007A2854"/>
    <w:rsid w:val="007A4CA1"/>
    <w:rsid w:val="007A4E51"/>
    <w:rsid w:val="007A5B7C"/>
    <w:rsid w:val="007A7648"/>
    <w:rsid w:val="007B5A4C"/>
    <w:rsid w:val="007B66B8"/>
    <w:rsid w:val="007D0B9D"/>
    <w:rsid w:val="007D19B0"/>
    <w:rsid w:val="007D59A9"/>
    <w:rsid w:val="007F1F20"/>
    <w:rsid w:val="007F2BCB"/>
    <w:rsid w:val="007F498F"/>
    <w:rsid w:val="007F6E11"/>
    <w:rsid w:val="00801518"/>
    <w:rsid w:val="008023D3"/>
    <w:rsid w:val="008048B7"/>
    <w:rsid w:val="0080599F"/>
    <w:rsid w:val="00805D63"/>
    <w:rsid w:val="00805E9A"/>
    <w:rsid w:val="0080679D"/>
    <w:rsid w:val="008108B0"/>
    <w:rsid w:val="00811B20"/>
    <w:rsid w:val="00812680"/>
    <w:rsid w:val="0081278C"/>
    <w:rsid w:val="00813B45"/>
    <w:rsid w:val="0082296E"/>
    <w:rsid w:val="00824099"/>
    <w:rsid w:val="00825887"/>
    <w:rsid w:val="008304BE"/>
    <w:rsid w:val="0083248D"/>
    <w:rsid w:val="00833A89"/>
    <w:rsid w:val="008359FE"/>
    <w:rsid w:val="008402C8"/>
    <w:rsid w:val="0084344A"/>
    <w:rsid w:val="008518D2"/>
    <w:rsid w:val="00851D2B"/>
    <w:rsid w:val="00864138"/>
    <w:rsid w:val="00867AC1"/>
    <w:rsid w:val="00895722"/>
    <w:rsid w:val="008A3C6D"/>
    <w:rsid w:val="008A743F"/>
    <w:rsid w:val="008B0A4D"/>
    <w:rsid w:val="008B6109"/>
    <w:rsid w:val="008C0970"/>
    <w:rsid w:val="008D2CF7"/>
    <w:rsid w:val="008D34BA"/>
    <w:rsid w:val="008D6641"/>
    <w:rsid w:val="008D7320"/>
    <w:rsid w:val="008D7C25"/>
    <w:rsid w:val="008E16E3"/>
    <w:rsid w:val="008E31F3"/>
    <w:rsid w:val="008E4604"/>
    <w:rsid w:val="008F5C72"/>
    <w:rsid w:val="008F6B81"/>
    <w:rsid w:val="00900C26"/>
    <w:rsid w:val="0090197F"/>
    <w:rsid w:val="00901A3F"/>
    <w:rsid w:val="00906DDC"/>
    <w:rsid w:val="00907041"/>
    <w:rsid w:val="00917841"/>
    <w:rsid w:val="009316C4"/>
    <w:rsid w:val="0093390A"/>
    <w:rsid w:val="00934E09"/>
    <w:rsid w:val="00936253"/>
    <w:rsid w:val="00947760"/>
    <w:rsid w:val="00952DD4"/>
    <w:rsid w:val="00957875"/>
    <w:rsid w:val="0096531A"/>
    <w:rsid w:val="00965A10"/>
    <w:rsid w:val="00970EB5"/>
    <w:rsid w:val="00970FED"/>
    <w:rsid w:val="009725E1"/>
    <w:rsid w:val="00973EFC"/>
    <w:rsid w:val="0097434A"/>
    <w:rsid w:val="00990657"/>
    <w:rsid w:val="0099091B"/>
    <w:rsid w:val="00997029"/>
    <w:rsid w:val="009A0C8C"/>
    <w:rsid w:val="009A3538"/>
    <w:rsid w:val="009B4AEC"/>
    <w:rsid w:val="009C320F"/>
    <w:rsid w:val="009C3CE3"/>
    <w:rsid w:val="009C5BF1"/>
    <w:rsid w:val="009D690D"/>
    <w:rsid w:val="009E57AB"/>
    <w:rsid w:val="009E65B6"/>
    <w:rsid w:val="009F4549"/>
    <w:rsid w:val="009F7D0F"/>
    <w:rsid w:val="00A07606"/>
    <w:rsid w:val="00A204DF"/>
    <w:rsid w:val="00A22D2C"/>
    <w:rsid w:val="00A26C22"/>
    <w:rsid w:val="00A32192"/>
    <w:rsid w:val="00A36ABA"/>
    <w:rsid w:val="00A42AC3"/>
    <w:rsid w:val="00A430CF"/>
    <w:rsid w:val="00A4653A"/>
    <w:rsid w:val="00A46DE9"/>
    <w:rsid w:val="00A54309"/>
    <w:rsid w:val="00A56FAA"/>
    <w:rsid w:val="00A74815"/>
    <w:rsid w:val="00A81EC4"/>
    <w:rsid w:val="00A8589B"/>
    <w:rsid w:val="00A8639B"/>
    <w:rsid w:val="00AA74B6"/>
    <w:rsid w:val="00AB2B93"/>
    <w:rsid w:val="00AB5C70"/>
    <w:rsid w:val="00AB7E5B"/>
    <w:rsid w:val="00AC0177"/>
    <w:rsid w:val="00AD0E42"/>
    <w:rsid w:val="00AE0717"/>
    <w:rsid w:val="00AE0EF1"/>
    <w:rsid w:val="00AE2937"/>
    <w:rsid w:val="00AE793E"/>
    <w:rsid w:val="00AF081B"/>
    <w:rsid w:val="00AF112F"/>
    <w:rsid w:val="00AF2134"/>
    <w:rsid w:val="00AF398A"/>
    <w:rsid w:val="00AF6801"/>
    <w:rsid w:val="00B07301"/>
    <w:rsid w:val="00B14A1B"/>
    <w:rsid w:val="00B17732"/>
    <w:rsid w:val="00B224DE"/>
    <w:rsid w:val="00B23EDB"/>
    <w:rsid w:val="00B328DB"/>
    <w:rsid w:val="00B46575"/>
    <w:rsid w:val="00B50CF4"/>
    <w:rsid w:val="00B571DC"/>
    <w:rsid w:val="00B72D78"/>
    <w:rsid w:val="00B7780C"/>
    <w:rsid w:val="00B84BBD"/>
    <w:rsid w:val="00B85BA2"/>
    <w:rsid w:val="00B93720"/>
    <w:rsid w:val="00BA43FB"/>
    <w:rsid w:val="00BA6252"/>
    <w:rsid w:val="00BB23C2"/>
    <w:rsid w:val="00BB2BD6"/>
    <w:rsid w:val="00BB5A73"/>
    <w:rsid w:val="00BB72AB"/>
    <w:rsid w:val="00BC127D"/>
    <w:rsid w:val="00BC1FE6"/>
    <w:rsid w:val="00BC64A8"/>
    <w:rsid w:val="00BD5E7F"/>
    <w:rsid w:val="00BE02C7"/>
    <w:rsid w:val="00BF69E8"/>
    <w:rsid w:val="00BF7AE6"/>
    <w:rsid w:val="00C02456"/>
    <w:rsid w:val="00C061B6"/>
    <w:rsid w:val="00C125F5"/>
    <w:rsid w:val="00C2446C"/>
    <w:rsid w:val="00C36AE5"/>
    <w:rsid w:val="00C40EA5"/>
    <w:rsid w:val="00C41F17"/>
    <w:rsid w:val="00C431BE"/>
    <w:rsid w:val="00C51D44"/>
    <w:rsid w:val="00C5280D"/>
    <w:rsid w:val="00C5791C"/>
    <w:rsid w:val="00C623D0"/>
    <w:rsid w:val="00C62D2D"/>
    <w:rsid w:val="00C651CE"/>
    <w:rsid w:val="00C658C2"/>
    <w:rsid w:val="00C66290"/>
    <w:rsid w:val="00C72B7A"/>
    <w:rsid w:val="00C76EE9"/>
    <w:rsid w:val="00C83D7C"/>
    <w:rsid w:val="00C95616"/>
    <w:rsid w:val="00C973F2"/>
    <w:rsid w:val="00CA0410"/>
    <w:rsid w:val="00CA2F62"/>
    <w:rsid w:val="00CA304C"/>
    <w:rsid w:val="00CA774A"/>
    <w:rsid w:val="00CB14FD"/>
    <w:rsid w:val="00CB3A9E"/>
    <w:rsid w:val="00CC11B0"/>
    <w:rsid w:val="00CD0F0A"/>
    <w:rsid w:val="00CD1297"/>
    <w:rsid w:val="00CD178F"/>
    <w:rsid w:val="00CD71E9"/>
    <w:rsid w:val="00CE2987"/>
    <w:rsid w:val="00CE32FB"/>
    <w:rsid w:val="00CE47DD"/>
    <w:rsid w:val="00CF798B"/>
    <w:rsid w:val="00CF7E36"/>
    <w:rsid w:val="00D00D30"/>
    <w:rsid w:val="00D03AEC"/>
    <w:rsid w:val="00D03C1F"/>
    <w:rsid w:val="00D074EE"/>
    <w:rsid w:val="00D12306"/>
    <w:rsid w:val="00D12AAF"/>
    <w:rsid w:val="00D24319"/>
    <w:rsid w:val="00D24576"/>
    <w:rsid w:val="00D260A0"/>
    <w:rsid w:val="00D32DEA"/>
    <w:rsid w:val="00D36F87"/>
    <w:rsid w:val="00D3708D"/>
    <w:rsid w:val="00D40426"/>
    <w:rsid w:val="00D4237F"/>
    <w:rsid w:val="00D53B3E"/>
    <w:rsid w:val="00D57C96"/>
    <w:rsid w:val="00D66E1C"/>
    <w:rsid w:val="00D74017"/>
    <w:rsid w:val="00D75014"/>
    <w:rsid w:val="00D81BFB"/>
    <w:rsid w:val="00D91203"/>
    <w:rsid w:val="00D95174"/>
    <w:rsid w:val="00D975E2"/>
    <w:rsid w:val="00DA1A1B"/>
    <w:rsid w:val="00DA2888"/>
    <w:rsid w:val="00DA6F36"/>
    <w:rsid w:val="00DA7E69"/>
    <w:rsid w:val="00DB33AE"/>
    <w:rsid w:val="00DB3D83"/>
    <w:rsid w:val="00DB596E"/>
    <w:rsid w:val="00DC00EA"/>
    <w:rsid w:val="00DC0CD8"/>
    <w:rsid w:val="00DC1903"/>
    <w:rsid w:val="00DD03DF"/>
    <w:rsid w:val="00DF70DA"/>
    <w:rsid w:val="00E02CAF"/>
    <w:rsid w:val="00E03131"/>
    <w:rsid w:val="00E06D78"/>
    <w:rsid w:val="00E260AD"/>
    <w:rsid w:val="00E32F7E"/>
    <w:rsid w:val="00E37BC2"/>
    <w:rsid w:val="00E44689"/>
    <w:rsid w:val="00E50F44"/>
    <w:rsid w:val="00E53D70"/>
    <w:rsid w:val="00E54141"/>
    <w:rsid w:val="00E72815"/>
    <w:rsid w:val="00E72D49"/>
    <w:rsid w:val="00E737E0"/>
    <w:rsid w:val="00E7593C"/>
    <w:rsid w:val="00E7678A"/>
    <w:rsid w:val="00E84C93"/>
    <w:rsid w:val="00E91BF8"/>
    <w:rsid w:val="00E935F1"/>
    <w:rsid w:val="00E93B7E"/>
    <w:rsid w:val="00E94A81"/>
    <w:rsid w:val="00EA1047"/>
    <w:rsid w:val="00EA1FFB"/>
    <w:rsid w:val="00EA5967"/>
    <w:rsid w:val="00EA78F1"/>
    <w:rsid w:val="00EB048E"/>
    <w:rsid w:val="00EB0D97"/>
    <w:rsid w:val="00EB477F"/>
    <w:rsid w:val="00EC18E1"/>
    <w:rsid w:val="00EC3A12"/>
    <w:rsid w:val="00EC7731"/>
    <w:rsid w:val="00ED20BB"/>
    <w:rsid w:val="00EE34DF"/>
    <w:rsid w:val="00EE7438"/>
    <w:rsid w:val="00EE750B"/>
    <w:rsid w:val="00EF2F89"/>
    <w:rsid w:val="00EF3110"/>
    <w:rsid w:val="00EF5AF4"/>
    <w:rsid w:val="00EF6554"/>
    <w:rsid w:val="00F04020"/>
    <w:rsid w:val="00F065C2"/>
    <w:rsid w:val="00F079A4"/>
    <w:rsid w:val="00F1237A"/>
    <w:rsid w:val="00F22CBD"/>
    <w:rsid w:val="00F4290B"/>
    <w:rsid w:val="00F45372"/>
    <w:rsid w:val="00F560F7"/>
    <w:rsid w:val="00F56C99"/>
    <w:rsid w:val="00F56DA2"/>
    <w:rsid w:val="00F62C90"/>
    <w:rsid w:val="00F6334D"/>
    <w:rsid w:val="00F80602"/>
    <w:rsid w:val="00F83AB5"/>
    <w:rsid w:val="00F92D69"/>
    <w:rsid w:val="00F96353"/>
    <w:rsid w:val="00FA49AB"/>
    <w:rsid w:val="00FA4A51"/>
    <w:rsid w:val="00FA5C75"/>
    <w:rsid w:val="00FC393E"/>
    <w:rsid w:val="00FC723C"/>
    <w:rsid w:val="00FC7BEE"/>
    <w:rsid w:val="00FD7918"/>
    <w:rsid w:val="00FE39C7"/>
    <w:rsid w:val="00FE7DFE"/>
    <w:rsid w:val="00FF1CF3"/>
    <w:rsid w:val="00FF2660"/>
    <w:rsid w:val="00FF45AD"/>
    <w:rsid w:val="00FF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A62DCF1"/>
  <w15:docId w15:val="{EDC1DE93-F6AD-4079-AAB6-5A4CB644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8B3"/>
    <w:pPr>
      <w:jc w:val="both"/>
    </w:pPr>
    <w:rPr>
      <w:rFonts w:ascii="Arial" w:hAnsi="Arial"/>
    </w:rPr>
  </w:style>
  <w:style w:type="paragraph" w:styleId="Heading1">
    <w:name w:val="heading 1"/>
    <w:next w:val="Normal"/>
    <w:link w:val="Heading1Char"/>
    <w:autoRedefine/>
    <w:qFormat/>
    <w:rsid w:val="00140793"/>
    <w:pPr>
      <w:keepNext/>
      <w:outlineLvl w:val="0"/>
    </w:pPr>
    <w:rPr>
      <w:rFonts w:ascii="Arial" w:hAnsi="Arial"/>
      <w:b/>
      <w:caps/>
    </w:rPr>
  </w:style>
  <w:style w:type="paragraph" w:styleId="Heading2">
    <w:name w:val="heading 2"/>
    <w:next w:val="Normal"/>
    <w:link w:val="Heading2Char"/>
    <w:autoRedefine/>
    <w:qFormat/>
    <w:rsid w:val="00683089"/>
    <w:pPr>
      <w:keepNext/>
      <w:jc w:val="center"/>
      <w:outlineLvl w:val="1"/>
    </w:pPr>
    <w:rPr>
      <w:rFonts w:ascii="Arial Bold" w:hAnsi="Arial Bold" w:cs="Arial"/>
      <w:b/>
      <w:u w:val="single"/>
    </w:rPr>
  </w:style>
  <w:style w:type="paragraph" w:styleId="Heading3">
    <w:name w:val="heading 3"/>
    <w:next w:val="Normal"/>
    <w:link w:val="Heading3Char"/>
    <w:qFormat/>
    <w:rsid w:val="00683089"/>
    <w:pPr>
      <w:keepNext/>
      <w:jc w:val="center"/>
      <w:outlineLvl w:val="2"/>
    </w:pPr>
    <w:rPr>
      <w:rFonts w:ascii="Arial" w:eastAsiaTheme="minorHAnsi" w:hAnsi="Arial"/>
      <w:b/>
      <w:caps/>
    </w:rPr>
  </w:style>
  <w:style w:type="paragraph" w:styleId="Heading4">
    <w:name w:val="heading 4"/>
    <w:next w:val="Normal"/>
    <w:link w:val="Heading4Char"/>
    <w:autoRedefine/>
    <w:qFormat/>
    <w:rsid w:val="009A0C8C"/>
    <w:pPr>
      <w:keepNext/>
      <w:ind w:left="567"/>
      <w:jc w:val="both"/>
      <w:outlineLvl w:val="3"/>
    </w:pPr>
    <w:rPr>
      <w:rFonts w:ascii="Arial Bold" w:hAnsi="Arial Bold"/>
      <w:b/>
      <w:color w:val="FFFFFF" w:themeColor="background1"/>
      <w:sz w:val="16"/>
      <w:lang w:val="fr-FR"/>
    </w:rPr>
  </w:style>
  <w:style w:type="paragraph" w:styleId="Heading5">
    <w:name w:val="heading 5"/>
    <w:next w:val="Normal"/>
    <w:link w:val="Heading5Char"/>
    <w:autoRedefine/>
    <w:qFormat/>
    <w:rsid w:val="00B17732"/>
    <w:pPr>
      <w:keepNext/>
      <w:jc w:val="center"/>
      <w:outlineLvl w:val="4"/>
    </w:pPr>
    <w:rPr>
      <w:rFonts w:ascii="Arial" w:hAnsi="Arial"/>
      <w:b/>
      <w:u w:val="single"/>
    </w:rPr>
  </w:style>
  <w:style w:type="paragraph" w:styleId="Heading6">
    <w:name w:val="heading 6"/>
    <w:basedOn w:val="Normal"/>
    <w:next w:val="Normal"/>
    <w:link w:val="Heading6Char"/>
    <w:qFormat/>
    <w:rsid w:val="002F09F3"/>
    <w:pPr>
      <w:keepNext/>
      <w:jc w:val="center"/>
      <w:outlineLvl w:val="5"/>
    </w:pPr>
    <w:rPr>
      <w:rFonts w:ascii="Times New Roman" w:hAnsi="Times New Roman"/>
      <w:sz w:val="24"/>
      <w:u w:val="single"/>
      <w:lang w:val="fr-FR"/>
    </w:rPr>
  </w:style>
  <w:style w:type="paragraph" w:styleId="Heading7">
    <w:name w:val="heading 7"/>
    <w:basedOn w:val="Normal"/>
    <w:next w:val="Normal"/>
    <w:link w:val="Heading7Char"/>
    <w:qFormat/>
    <w:rsid w:val="002F09F3"/>
    <w:pPr>
      <w:keepNext/>
      <w:keepLines/>
      <w:spacing w:before="200"/>
      <w:outlineLvl w:val="6"/>
    </w:pPr>
    <w:rPr>
      <w:rFonts w:ascii="Cambria" w:hAnsi="Cambria"/>
      <w:i/>
      <w:iCs/>
      <w:color w:val="404040"/>
    </w:rPr>
  </w:style>
  <w:style w:type="paragraph" w:styleId="Heading9">
    <w:name w:val="heading 9"/>
    <w:basedOn w:val="Normal"/>
    <w:next w:val="Normal"/>
    <w:link w:val="Heading9Char"/>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2F09F3"/>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link w:val="TitleChar"/>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0238B3"/>
    <w:pPr>
      <w:spacing w:before="240" w:line="240" w:lineRule="exact"/>
      <w:ind w:left="0"/>
      <w:contextualSpacing/>
      <w:jc w:val="left"/>
    </w:pPr>
    <w:rPr>
      <w:sz w:val="18"/>
      <w:lang w:val="fr-FR"/>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33507D"/>
    <w:rPr>
      <w:vertAlign w:val="superscript"/>
    </w:rPr>
  </w:style>
  <w:style w:type="paragraph" w:styleId="Closing">
    <w:name w:val="Closing"/>
    <w:basedOn w:val="Normal"/>
    <w:link w:val="ClosingChar"/>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link w:val="MacroTextChar"/>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33507D"/>
    <w:pPr>
      <w:ind w:left="4536"/>
      <w:jc w:val="center"/>
    </w:pPr>
  </w:style>
  <w:style w:type="character" w:customStyle="1" w:styleId="Doclang">
    <w:name w:val="Doc_lang"/>
    <w:basedOn w:val="DefaultParagraphFont"/>
    <w:rsid w:val="000238B3"/>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pPr>
  </w:style>
  <w:style w:type="paragraph" w:customStyle="1" w:styleId="upove">
    <w:name w:val="upov_e"/>
    <w:basedOn w:val="Normal"/>
    <w:rsid w:val="000238B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link w:val="EndnoteTextChar"/>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link w:val="DateChar"/>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0238B3"/>
    <w:pPr>
      <w:spacing w:line="340" w:lineRule="atLeast"/>
      <w:jc w:val="right"/>
    </w:pPr>
    <w:rPr>
      <w:b/>
      <w:bCs/>
      <w:sz w:val="3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0238B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pPr>
    <w:rPr>
      <w:caps/>
      <w:noProof/>
      <w:snapToGrid w:val="0"/>
      <w:u w:val="single"/>
    </w:rPr>
  </w:style>
  <w:style w:type="paragraph" w:customStyle="1" w:styleId="pldetails">
    <w:name w:val="pldetails"/>
    <w:basedOn w:val="Normal"/>
    <w:rsid w:val="0033507D"/>
    <w:pPr>
      <w:keepLines/>
      <w:spacing w:before="60" w:after="60"/>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0238B3"/>
    <w:pPr>
      <w:spacing w:before="240"/>
      <w:contextualSpacing/>
      <w:jc w:val="left"/>
    </w:pPr>
    <w:rPr>
      <w:sz w:val="20"/>
    </w:r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CodeChar"/>
    <w:link w:val="Docoriginal"/>
    <w:rsid w:val="000238B3"/>
    <w:rPr>
      <w:rFonts w:ascii="Arial" w:hAnsi="Arial"/>
      <w:b/>
      <w:bCs/>
      <w:spacing w:val="10"/>
      <w:sz w:val="18"/>
      <w:lang w:val="fr-FR"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sz w:val="18"/>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sz w:val="18"/>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sz w:val="18"/>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683089"/>
    <w:pPr>
      <w:tabs>
        <w:tab w:val="right" w:leader="dot" w:pos="9639"/>
      </w:tabs>
      <w:spacing w:before="120" w:after="120" w:line="360" w:lineRule="auto"/>
      <w:ind w:left="284"/>
      <w:contextualSpacing/>
      <w:jc w:val="center"/>
    </w:pPr>
    <w:rPr>
      <w:rFonts w:ascii="Arial" w:hAnsi="Arial"/>
      <w:noProof/>
    </w:rPr>
  </w:style>
  <w:style w:type="paragraph" w:styleId="TOC3">
    <w:name w:val="toc 3"/>
    <w:next w:val="Normal"/>
    <w:autoRedefine/>
    <w:uiPriority w:val="39"/>
    <w:rsid w:val="00683089"/>
    <w:pPr>
      <w:tabs>
        <w:tab w:val="right" w:leader="dot" w:pos="9639"/>
      </w:tabs>
      <w:spacing w:before="120" w:line="360" w:lineRule="auto"/>
      <w:ind w:left="851" w:right="851" w:hanging="567"/>
      <w:contextualSpacing/>
      <w:jc w:val="center"/>
    </w:pPr>
    <w:rPr>
      <w:rFonts w:ascii="Arial" w:hAnsi="Arial"/>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683089"/>
    <w:pPr>
      <w:tabs>
        <w:tab w:val="right" w:leader="dot" w:pos="9639"/>
      </w:tabs>
      <w:spacing w:before="120" w:after="120" w:line="480" w:lineRule="auto"/>
      <w:ind w:left="284" w:right="284" w:hanging="284"/>
      <w:contextualSpacing/>
      <w:jc w:val="both"/>
    </w:pPr>
    <w:rPr>
      <w:rFonts w:ascii="Arial" w:hAnsi="Arial"/>
      <w:b/>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customStyle="1" w:styleId="Inf4Normal">
    <w:name w:val="Inf_4_Normal"/>
    <w:basedOn w:val="Normal"/>
    <w:rsid w:val="00BD5E7F"/>
    <w:pPr>
      <w:spacing w:before="108"/>
    </w:pPr>
  </w:style>
  <w:style w:type="paragraph" w:customStyle="1" w:styleId="Inf4Heading4">
    <w:name w:val="Inf_4_Heading_4"/>
    <w:basedOn w:val="Heading4"/>
    <w:next w:val="Normal"/>
    <w:rsid w:val="00BD5E7F"/>
    <w:pPr>
      <w:spacing w:before="120"/>
      <w:ind w:left="0"/>
    </w:pPr>
    <w:rPr>
      <w:b w:val="0"/>
      <w:bCs/>
      <w:i/>
    </w:rPr>
  </w:style>
  <w:style w:type="paragraph" w:customStyle="1" w:styleId="Inf4Heading6">
    <w:name w:val="Inf_4_Heading_6"/>
    <w:basedOn w:val="Normal"/>
    <w:rsid w:val="00BD5E7F"/>
    <w:pPr>
      <w:keepNext/>
      <w:spacing w:before="108"/>
      <w:ind w:left="567"/>
      <w:outlineLvl w:val="5"/>
    </w:pPr>
    <w:rPr>
      <w:b/>
      <w:bCs/>
      <w:szCs w:val="24"/>
    </w:rPr>
  </w:style>
  <w:style w:type="paragraph" w:styleId="ListContinue4">
    <w:name w:val="List Continue 4"/>
    <w:basedOn w:val="Normal"/>
    <w:rsid w:val="00E93B7E"/>
    <w:pPr>
      <w:spacing w:after="120"/>
      <w:ind w:left="1440"/>
    </w:pPr>
  </w:style>
  <w:style w:type="paragraph" w:styleId="ListParagraph">
    <w:name w:val="List Paragraph"/>
    <w:basedOn w:val="Normal"/>
    <w:uiPriority w:val="34"/>
    <w:qFormat/>
    <w:rsid w:val="00E93B7E"/>
    <w:pPr>
      <w:ind w:left="720"/>
      <w:contextualSpacing/>
    </w:pPr>
  </w:style>
  <w:style w:type="character" w:customStyle="1" w:styleId="Heading6Char">
    <w:name w:val="Heading 6 Char"/>
    <w:basedOn w:val="DefaultParagraphFont"/>
    <w:link w:val="Heading6"/>
    <w:rsid w:val="002F09F3"/>
    <w:rPr>
      <w:sz w:val="24"/>
      <w:u w:val="single"/>
      <w:lang w:val="fr-FR"/>
    </w:rPr>
  </w:style>
  <w:style w:type="character" w:customStyle="1" w:styleId="Heading7Char">
    <w:name w:val="Heading 7 Char"/>
    <w:basedOn w:val="DefaultParagraphFont"/>
    <w:link w:val="Heading7"/>
    <w:rsid w:val="002F09F3"/>
    <w:rPr>
      <w:rFonts w:ascii="Cambria" w:hAnsi="Cambria"/>
      <w:i/>
      <w:iCs/>
      <w:color w:val="404040"/>
    </w:rPr>
  </w:style>
  <w:style w:type="character" w:customStyle="1" w:styleId="Heading2Char">
    <w:name w:val="Heading 2 Char"/>
    <w:link w:val="Heading2"/>
    <w:rsid w:val="00683089"/>
    <w:rPr>
      <w:rFonts w:ascii="Arial Bold" w:hAnsi="Arial Bold" w:cs="Arial"/>
      <w:b/>
      <w:u w:val="single"/>
    </w:rPr>
  </w:style>
  <w:style w:type="character" w:customStyle="1" w:styleId="Heading1Char">
    <w:name w:val="Heading 1 Char"/>
    <w:link w:val="Heading1"/>
    <w:rsid w:val="00140793"/>
    <w:rPr>
      <w:rFonts w:ascii="Arial" w:hAnsi="Arial"/>
      <w:b/>
      <w:caps/>
    </w:rPr>
  </w:style>
  <w:style w:type="character" w:customStyle="1" w:styleId="Heading3Char">
    <w:name w:val="Heading 3 Char"/>
    <w:link w:val="Heading3"/>
    <w:rsid w:val="00683089"/>
    <w:rPr>
      <w:rFonts w:ascii="Arial" w:eastAsiaTheme="minorHAnsi" w:hAnsi="Arial"/>
      <w:b/>
      <w:caps/>
    </w:rPr>
  </w:style>
  <w:style w:type="character" w:customStyle="1" w:styleId="Heading4Char">
    <w:name w:val="Heading 4 Char"/>
    <w:link w:val="Heading4"/>
    <w:rsid w:val="009A0C8C"/>
    <w:rPr>
      <w:rFonts w:ascii="Arial Bold" w:hAnsi="Arial Bold"/>
      <w:b/>
      <w:color w:val="FFFFFF" w:themeColor="background1"/>
      <w:sz w:val="16"/>
      <w:lang w:val="fr-FR"/>
    </w:rPr>
  </w:style>
  <w:style w:type="character" w:customStyle="1" w:styleId="Heading5Char">
    <w:name w:val="Heading 5 Char"/>
    <w:link w:val="Heading5"/>
    <w:rsid w:val="00B17732"/>
    <w:rPr>
      <w:rFonts w:ascii="Arial" w:hAnsi="Arial"/>
      <w:b/>
      <w:u w:val="single"/>
    </w:rPr>
  </w:style>
  <w:style w:type="character" w:customStyle="1" w:styleId="Heading9Char">
    <w:name w:val="Heading 9 Char"/>
    <w:link w:val="Heading9"/>
    <w:rsid w:val="002F09F3"/>
    <w:rPr>
      <w:rFonts w:ascii="Arial" w:hAnsi="Arial"/>
      <w:i/>
      <w:sz w:val="18"/>
    </w:rPr>
  </w:style>
  <w:style w:type="character" w:customStyle="1" w:styleId="HeaderChar">
    <w:name w:val="Header Char"/>
    <w:link w:val="Header"/>
    <w:uiPriority w:val="99"/>
    <w:rsid w:val="002F09F3"/>
    <w:rPr>
      <w:rFonts w:ascii="Arial" w:hAnsi="Arial"/>
      <w:lang w:val="fr-FR"/>
    </w:rPr>
  </w:style>
  <w:style w:type="character" w:customStyle="1" w:styleId="FooterChar">
    <w:name w:val="Footer Char"/>
    <w:aliases w:val="doc_path_name Char"/>
    <w:link w:val="Footer"/>
    <w:uiPriority w:val="99"/>
    <w:rsid w:val="002F09F3"/>
    <w:rPr>
      <w:rFonts w:ascii="Arial" w:hAnsi="Arial"/>
      <w:sz w:val="14"/>
    </w:rPr>
  </w:style>
  <w:style w:type="character" w:customStyle="1" w:styleId="TitleChar">
    <w:name w:val="Title Char"/>
    <w:link w:val="Title"/>
    <w:rsid w:val="002F09F3"/>
    <w:rPr>
      <w:rFonts w:ascii="Arial" w:hAnsi="Arial"/>
      <w:b/>
      <w:caps/>
      <w:kern w:val="28"/>
      <w:sz w:val="30"/>
    </w:rPr>
  </w:style>
  <w:style w:type="character" w:customStyle="1" w:styleId="FootnoteTextChar">
    <w:name w:val="Footnote Text Char"/>
    <w:link w:val="FootnoteText"/>
    <w:rsid w:val="002F09F3"/>
    <w:rPr>
      <w:rFonts w:ascii="Arial" w:hAnsi="Arial"/>
      <w:sz w:val="16"/>
    </w:rPr>
  </w:style>
  <w:style w:type="character" w:customStyle="1" w:styleId="ClosingChar">
    <w:name w:val="Closing Char"/>
    <w:link w:val="Closing"/>
    <w:rsid w:val="002F09F3"/>
    <w:rPr>
      <w:rFonts w:ascii="Arial" w:hAnsi="Arial"/>
    </w:rPr>
  </w:style>
  <w:style w:type="character" w:customStyle="1" w:styleId="MacroTextChar">
    <w:name w:val="Macro Text Char"/>
    <w:link w:val="MacroText"/>
    <w:semiHidden/>
    <w:rsid w:val="002F09F3"/>
    <w:rPr>
      <w:rFonts w:ascii="Courier New" w:hAnsi="Courier New"/>
      <w:sz w:val="16"/>
    </w:rPr>
  </w:style>
  <w:style w:type="character" w:customStyle="1" w:styleId="SignatureChar">
    <w:name w:val="Signature Char"/>
    <w:link w:val="Signature"/>
    <w:rsid w:val="002F09F3"/>
    <w:rPr>
      <w:rFonts w:ascii="Arial" w:hAnsi="Arial"/>
    </w:rPr>
  </w:style>
  <w:style w:type="character" w:customStyle="1" w:styleId="BodyTextChar">
    <w:name w:val="Body Text Char"/>
    <w:link w:val="BodyText"/>
    <w:rsid w:val="002F09F3"/>
    <w:rPr>
      <w:rFonts w:ascii="Arial" w:hAnsi="Arial"/>
    </w:rPr>
  </w:style>
  <w:style w:type="character" w:customStyle="1" w:styleId="EndnoteTextChar">
    <w:name w:val="Endnote Text Char"/>
    <w:link w:val="EndnoteText"/>
    <w:semiHidden/>
    <w:rsid w:val="002F09F3"/>
    <w:rPr>
      <w:rFonts w:ascii="Arial" w:hAnsi="Arial"/>
    </w:rPr>
  </w:style>
  <w:style w:type="character" w:customStyle="1" w:styleId="DateChar">
    <w:name w:val="Date Char"/>
    <w:link w:val="Date"/>
    <w:semiHidden/>
    <w:rsid w:val="002F09F3"/>
    <w:rPr>
      <w:rFonts w:ascii="Arial" w:hAnsi="Arial"/>
      <w:b/>
      <w:sz w:val="22"/>
    </w:rPr>
  </w:style>
  <w:style w:type="paragraph" w:customStyle="1" w:styleId="n">
    <w:name w:val="n"/>
    <w:basedOn w:val="Header"/>
    <w:rsid w:val="002F09F3"/>
    <w:rPr>
      <w:rFonts w:ascii="Times New Roman" w:hAnsi="Times New Roman"/>
      <w:sz w:val="24"/>
    </w:rPr>
  </w:style>
  <w:style w:type="paragraph" w:styleId="BodyTextIndent3">
    <w:name w:val="Body Text Indent 3"/>
    <w:basedOn w:val="Normal"/>
    <w:link w:val="BodyTextIndent3Char"/>
    <w:rsid w:val="002F09F3"/>
    <w:pPr>
      <w:tabs>
        <w:tab w:val="right" w:pos="284"/>
        <w:tab w:val="right" w:pos="6804"/>
        <w:tab w:val="right" w:pos="9356"/>
      </w:tabs>
      <w:spacing w:line="240" w:lineRule="exact"/>
      <w:ind w:left="709"/>
    </w:pPr>
    <w:rPr>
      <w:rFonts w:ascii="Times New Roman" w:hAnsi="Times New Roman"/>
      <w:sz w:val="24"/>
      <w:lang w:val="fr-FR"/>
    </w:rPr>
  </w:style>
  <w:style w:type="character" w:customStyle="1" w:styleId="BodyTextIndent3Char">
    <w:name w:val="Body Text Indent 3 Char"/>
    <w:basedOn w:val="DefaultParagraphFont"/>
    <w:link w:val="BodyTextIndent3"/>
    <w:rsid w:val="002F09F3"/>
    <w:rPr>
      <w:sz w:val="24"/>
      <w:lang w:val="fr-FR"/>
    </w:rPr>
  </w:style>
  <w:style w:type="paragraph" w:customStyle="1" w:styleId="DecisionInvitingPara">
    <w:name w:val="Decision Inviting Para."/>
    <w:basedOn w:val="Normal"/>
    <w:rsid w:val="002F09F3"/>
    <w:pPr>
      <w:ind w:left="4536"/>
    </w:pPr>
    <w:rPr>
      <w:rFonts w:ascii="Times New Roman" w:hAnsi="Times New Roman"/>
      <w:i/>
      <w:sz w:val="24"/>
      <w:lang w:val="fr-FR"/>
    </w:rPr>
  </w:style>
  <w:style w:type="paragraph" w:customStyle="1" w:styleId="T1">
    <w:name w:val="T1"/>
    <w:basedOn w:val="BodyText"/>
    <w:rsid w:val="002F09F3"/>
    <w:rPr>
      <w:rFonts w:ascii="Times New Roman" w:hAnsi="Times New Roman"/>
      <w:b/>
      <w:sz w:val="24"/>
      <w:lang w:val="fr-FR"/>
    </w:rPr>
  </w:style>
  <w:style w:type="paragraph" w:customStyle="1" w:styleId="Titre">
    <w:name w:val="Titre"/>
    <w:basedOn w:val="Normal"/>
    <w:rsid w:val="002F09F3"/>
    <w:pPr>
      <w:tabs>
        <w:tab w:val="left" w:pos="567"/>
        <w:tab w:val="left" w:pos="993"/>
        <w:tab w:val="right" w:pos="6237"/>
        <w:tab w:val="right" w:pos="7938"/>
      </w:tabs>
      <w:spacing w:line="240" w:lineRule="exact"/>
    </w:pPr>
    <w:rPr>
      <w:rFonts w:ascii="Times New Roman" w:hAnsi="Times New Roman"/>
      <w:b/>
      <w:caps/>
      <w:lang w:val="fr-FR"/>
    </w:rPr>
  </w:style>
  <w:style w:type="paragraph" w:styleId="BodyTextIndent2">
    <w:name w:val="Body Text Indent 2"/>
    <w:basedOn w:val="Normal"/>
    <w:link w:val="BodyTextIndent2Char"/>
    <w:rsid w:val="002F09F3"/>
    <w:pPr>
      <w:tabs>
        <w:tab w:val="right" w:pos="3119"/>
        <w:tab w:val="right" w:pos="5103"/>
        <w:tab w:val="right" w:pos="7371"/>
        <w:tab w:val="right" w:pos="9356"/>
      </w:tabs>
      <w:ind w:left="284"/>
    </w:pPr>
    <w:rPr>
      <w:rFonts w:ascii="Times New Roman" w:hAnsi="Times New Roman"/>
      <w:lang w:val="fr-FR"/>
    </w:rPr>
  </w:style>
  <w:style w:type="character" w:customStyle="1" w:styleId="BodyTextIndent2Char">
    <w:name w:val="Body Text Indent 2 Char"/>
    <w:basedOn w:val="DefaultParagraphFont"/>
    <w:link w:val="BodyTextIndent2"/>
    <w:rsid w:val="002F09F3"/>
    <w:rPr>
      <w:lang w:val="fr-FR"/>
    </w:rPr>
  </w:style>
  <w:style w:type="table" w:styleId="TableGrid">
    <w:name w:val="Table Grid"/>
    <w:basedOn w:val="TableNormal"/>
    <w:rsid w:val="002F09F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2F09F3"/>
    <w:pPr>
      <w:jc w:val="center"/>
    </w:pPr>
    <w:rPr>
      <w:rFonts w:ascii="Times New Roman" w:hAnsi="Times New Roman"/>
      <w:sz w:val="24"/>
      <w:u w:val="single"/>
      <w:lang w:val="fr-FR"/>
    </w:rPr>
  </w:style>
  <w:style w:type="character" w:customStyle="1" w:styleId="BodyText3Char">
    <w:name w:val="Body Text 3 Char"/>
    <w:basedOn w:val="DefaultParagraphFont"/>
    <w:link w:val="BodyText3"/>
    <w:rsid w:val="002F09F3"/>
    <w:rPr>
      <w:sz w:val="24"/>
      <w:u w:val="single"/>
      <w:lang w:val="fr-FR"/>
    </w:rPr>
  </w:style>
  <w:style w:type="paragraph" w:customStyle="1" w:styleId="Partie">
    <w:name w:val="Partie"/>
    <w:basedOn w:val="Normal"/>
    <w:rsid w:val="002F09F3"/>
    <w:pPr>
      <w:tabs>
        <w:tab w:val="left" w:pos="567"/>
        <w:tab w:val="left" w:pos="993"/>
        <w:tab w:val="right" w:pos="6237"/>
        <w:tab w:val="right" w:pos="7938"/>
      </w:tabs>
      <w:spacing w:line="240" w:lineRule="exact"/>
      <w:jc w:val="center"/>
    </w:pPr>
    <w:rPr>
      <w:rFonts w:ascii="Times New Roman" w:hAnsi="Times New Roman"/>
      <w:b/>
      <w:sz w:val="22"/>
      <w:u w:val="single"/>
      <w:lang w:val="fr-FR"/>
    </w:rPr>
  </w:style>
  <w:style w:type="paragraph" w:customStyle="1" w:styleId="Chapitre">
    <w:name w:val="Chapitre"/>
    <w:basedOn w:val="Normal"/>
    <w:rsid w:val="002F09F3"/>
    <w:pPr>
      <w:tabs>
        <w:tab w:val="left" w:pos="567"/>
        <w:tab w:val="left" w:pos="993"/>
        <w:tab w:val="right" w:pos="6237"/>
        <w:tab w:val="right" w:pos="7938"/>
      </w:tabs>
      <w:spacing w:line="240" w:lineRule="exact"/>
      <w:jc w:val="center"/>
    </w:pPr>
    <w:rPr>
      <w:rFonts w:ascii="Times New Roman" w:hAnsi="Times New Roman"/>
      <w:b/>
      <w:lang w:val="fr-FR"/>
    </w:rPr>
  </w:style>
  <w:style w:type="paragraph" w:styleId="BodyText2">
    <w:name w:val="Body Text 2"/>
    <w:basedOn w:val="Normal"/>
    <w:link w:val="BodyText2Char"/>
    <w:rsid w:val="002F09F3"/>
    <w:pPr>
      <w:tabs>
        <w:tab w:val="left" w:pos="567"/>
      </w:tabs>
    </w:pPr>
    <w:rPr>
      <w:rFonts w:ascii="Times New Roman" w:hAnsi="Times New Roman"/>
      <w:sz w:val="24"/>
      <w:lang w:val="fr-FR"/>
    </w:rPr>
  </w:style>
  <w:style w:type="character" w:customStyle="1" w:styleId="BodyText2Char">
    <w:name w:val="Body Text 2 Char"/>
    <w:basedOn w:val="DefaultParagraphFont"/>
    <w:link w:val="BodyText2"/>
    <w:rsid w:val="002F09F3"/>
    <w:rPr>
      <w:sz w:val="24"/>
      <w:lang w:val="fr-FR"/>
    </w:rPr>
  </w:style>
  <w:style w:type="paragraph" w:customStyle="1" w:styleId="StyleStyle1Left163cmFirstline0cm">
    <w:name w:val="Style Style1 + Left:  1.63 cm First line:  0 cm"/>
    <w:basedOn w:val="Normal"/>
    <w:rsid w:val="002F09F3"/>
    <w:pPr>
      <w:numPr>
        <w:numId w:val="2"/>
      </w:numPr>
      <w:tabs>
        <w:tab w:val="left" w:pos="567"/>
      </w:tabs>
    </w:pPr>
    <w:rPr>
      <w:rFonts w:ascii="Times New Roman" w:hAnsi="Times New Roman"/>
      <w:sz w:val="24"/>
    </w:rPr>
  </w:style>
  <w:style w:type="paragraph" w:customStyle="1" w:styleId="Default">
    <w:name w:val="Default"/>
    <w:rsid w:val="002F09F3"/>
    <w:pPr>
      <w:autoSpaceDE w:val="0"/>
      <w:autoSpaceDN w:val="0"/>
      <w:adjustRightInd w:val="0"/>
    </w:pPr>
    <w:rPr>
      <w:rFonts w:ascii="Arial" w:hAnsi="Arial" w:cs="Arial"/>
      <w:color w:val="000000"/>
      <w:sz w:val="24"/>
      <w:szCs w:val="24"/>
      <w:lang w:val="en-GB" w:eastAsia="en-GB"/>
    </w:rPr>
  </w:style>
  <w:style w:type="paragraph" w:customStyle="1" w:styleId="Styletexte">
    <w:name w:val="Style texte"/>
    <w:basedOn w:val="Normal"/>
    <w:link w:val="StyletexteChar"/>
    <w:rsid w:val="002F09F3"/>
    <w:pPr>
      <w:spacing w:after="120"/>
    </w:pPr>
    <w:rPr>
      <w:sz w:val="22"/>
    </w:rPr>
  </w:style>
  <w:style w:type="character" w:customStyle="1" w:styleId="StyletexteChar">
    <w:name w:val="Style texte Char"/>
    <w:link w:val="Styletexte"/>
    <w:locked/>
    <w:rsid w:val="002F09F3"/>
    <w:rPr>
      <w:rFonts w:ascii="Arial" w:hAnsi="Arial"/>
      <w:sz w:val="22"/>
    </w:rPr>
  </w:style>
  <w:style w:type="paragraph" w:customStyle="1" w:styleId="Style3">
    <w:name w:val="Style3"/>
    <w:basedOn w:val="Normal"/>
    <w:link w:val="Style3Char"/>
    <w:rsid w:val="002F09F3"/>
    <w:pPr>
      <w:spacing w:after="120"/>
    </w:pPr>
    <w:rPr>
      <w:sz w:val="22"/>
    </w:rPr>
  </w:style>
  <w:style w:type="character" w:customStyle="1" w:styleId="Style3Char">
    <w:name w:val="Style3 Char"/>
    <w:link w:val="Style3"/>
    <w:locked/>
    <w:rsid w:val="002F09F3"/>
    <w:rPr>
      <w:rFonts w:ascii="Arial" w:hAnsi="Arial"/>
      <w:sz w:val="22"/>
    </w:rPr>
  </w:style>
  <w:style w:type="paragraph" w:customStyle="1" w:styleId="Disclaimer">
    <w:name w:val="Disclaimer"/>
    <w:next w:val="Normal"/>
    <w:qFormat/>
    <w:rsid w:val="000B6848"/>
    <w:pPr>
      <w:spacing w:after="600"/>
    </w:pPr>
    <w:rPr>
      <w:rFonts w:ascii="Arial" w:hAnsi="Arial"/>
      <w:i/>
      <w:iCs/>
      <w:color w:val="A6A6A6" w:themeColor="background1" w:themeShade="A6"/>
    </w:rPr>
  </w:style>
  <w:style w:type="paragraph" w:customStyle="1" w:styleId="Doccode">
    <w:name w:val="Doc_code"/>
    <w:qFormat/>
    <w:rsid w:val="000238B3"/>
    <w:rPr>
      <w:rFonts w:ascii="Arial" w:hAnsi="Arial"/>
      <w:b/>
      <w:bCs/>
      <w:spacing w:val="10"/>
      <w:sz w:val="18"/>
    </w:rPr>
  </w:style>
  <w:style w:type="character" w:styleId="CommentReference">
    <w:name w:val="annotation reference"/>
    <w:basedOn w:val="DefaultParagraphFont"/>
    <w:rsid w:val="00573D4F"/>
    <w:rPr>
      <w:sz w:val="16"/>
      <w:szCs w:val="16"/>
    </w:rPr>
  </w:style>
  <w:style w:type="paragraph" w:styleId="CommentText">
    <w:name w:val="annotation text"/>
    <w:basedOn w:val="Normal"/>
    <w:link w:val="CommentTextChar"/>
    <w:rsid w:val="00573D4F"/>
  </w:style>
  <w:style w:type="character" w:customStyle="1" w:styleId="CommentTextChar">
    <w:name w:val="Comment Text Char"/>
    <w:basedOn w:val="DefaultParagraphFont"/>
    <w:link w:val="CommentText"/>
    <w:rsid w:val="00573D4F"/>
    <w:rPr>
      <w:rFonts w:ascii="Arial" w:hAnsi="Arial"/>
    </w:rPr>
  </w:style>
  <w:style w:type="paragraph" w:styleId="CommentSubject">
    <w:name w:val="annotation subject"/>
    <w:basedOn w:val="CommentText"/>
    <w:next w:val="CommentText"/>
    <w:link w:val="CommentSubjectChar"/>
    <w:rsid w:val="00573D4F"/>
    <w:rPr>
      <w:b/>
      <w:bCs/>
    </w:rPr>
  </w:style>
  <w:style w:type="character" w:customStyle="1" w:styleId="CommentSubjectChar">
    <w:name w:val="Comment Subject Char"/>
    <w:basedOn w:val="CommentTextChar"/>
    <w:link w:val="CommentSubject"/>
    <w:rsid w:val="00573D4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818410">
      <w:bodyDiv w:val="1"/>
      <w:marLeft w:val="0"/>
      <w:marRight w:val="0"/>
      <w:marTop w:val="0"/>
      <w:marBottom w:val="0"/>
      <w:divBdr>
        <w:top w:val="none" w:sz="0" w:space="0" w:color="auto"/>
        <w:left w:val="none" w:sz="0" w:space="0" w:color="auto"/>
        <w:bottom w:val="none" w:sz="0" w:space="0" w:color="auto"/>
        <w:right w:val="none" w:sz="0" w:space="0" w:color="auto"/>
      </w:divBdr>
    </w:div>
    <w:div w:id="1170801676">
      <w:bodyDiv w:val="1"/>
      <w:marLeft w:val="0"/>
      <w:marRight w:val="0"/>
      <w:marTop w:val="0"/>
      <w:marBottom w:val="0"/>
      <w:divBdr>
        <w:top w:val="none" w:sz="0" w:space="0" w:color="auto"/>
        <w:left w:val="none" w:sz="0" w:space="0" w:color="auto"/>
        <w:bottom w:val="none" w:sz="0" w:space="0" w:color="auto"/>
        <w:right w:val="none" w:sz="0" w:space="0" w:color="auto"/>
      </w:divBdr>
    </w:div>
    <w:div w:id="1417097660">
      <w:bodyDiv w:val="1"/>
      <w:marLeft w:val="0"/>
      <w:marRight w:val="0"/>
      <w:marTop w:val="0"/>
      <w:marBottom w:val="0"/>
      <w:divBdr>
        <w:top w:val="none" w:sz="0" w:space="0" w:color="auto"/>
        <w:left w:val="none" w:sz="0" w:space="0" w:color="auto"/>
        <w:bottom w:val="none" w:sz="0" w:space="0" w:color="auto"/>
        <w:right w:val="none" w:sz="0" w:space="0" w:color="auto"/>
      </w:divBdr>
    </w:div>
    <w:div w:id="174399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image" Target="media/image27.emf"/><Relationship Id="rId21" Type="http://schemas.openxmlformats.org/officeDocument/2006/relationships/image" Target="media/image9.emf"/><Relationship Id="rId34" Type="http://schemas.openxmlformats.org/officeDocument/2006/relationships/image" Target="media/image22.emf"/><Relationship Id="rId42" Type="http://schemas.openxmlformats.org/officeDocument/2006/relationships/image" Target="media/image30.emf"/><Relationship Id="rId47" Type="http://schemas.openxmlformats.org/officeDocument/2006/relationships/image" Target="media/image35.emf"/><Relationship Id="rId50" Type="http://schemas.openxmlformats.org/officeDocument/2006/relationships/image" Target="media/image38.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image" Target="media/image17.emf"/><Relationship Id="rId11" Type="http://schemas.openxmlformats.org/officeDocument/2006/relationships/header" Target="header2.xml"/><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image" Target="media/image28.emf"/><Relationship Id="rId45" Type="http://schemas.openxmlformats.org/officeDocument/2006/relationships/image" Target="media/image33.emf"/><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image" Target="media/image7.emf"/><Relationship Id="rId31" Type="http://schemas.openxmlformats.org/officeDocument/2006/relationships/image" Target="media/image19.emf"/><Relationship Id="rId44" Type="http://schemas.openxmlformats.org/officeDocument/2006/relationships/image" Target="media/image32.emf"/><Relationship Id="rId52"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image" Target="media/image31.emf"/><Relationship Id="rId48" Type="http://schemas.openxmlformats.org/officeDocument/2006/relationships/image" Target="media/image36.emf"/><Relationship Id="rId8" Type="http://schemas.openxmlformats.org/officeDocument/2006/relationships/image" Target="media/image1.png"/><Relationship Id="rId51" Type="http://schemas.openxmlformats.org/officeDocument/2006/relationships/image" Target="media/image39.emf"/><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image" Target="media/image26.emf"/><Relationship Id="rId46" Type="http://schemas.openxmlformats.org/officeDocument/2006/relationships/image" Target="media/image34.emf"/><Relationship Id="rId20" Type="http://schemas.openxmlformats.org/officeDocument/2006/relationships/image" Target="media/image8.emf"/><Relationship Id="rId41" Type="http://schemas.openxmlformats.org/officeDocument/2006/relationships/image" Target="media/image29.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11.png"/><Relationship Id="rId28" Type="http://schemas.openxmlformats.org/officeDocument/2006/relationships/image" Target="media/image16.emf"/><Relationship Id="rId36" Type="http://schemas.openxmlformats.org/officeDocument/2006/relationships/image" Target="media/image24.emf"/><Relationship Id="rId49" Type="http://schemas.openxmlformats.org/officeDocument/2006/relationships/image" Target="media/image3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BBF9D-5282-4D60-9F69-E32446E7B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28</Pages>
  <Words>3982</Words>
  <Characters>22140</Characters>
  <Application>Microsoft Office Word</Application>
  <DocSecurity>0</DocSecurity>
  <Lines>351</Lines>
  <Paragraphs>97</Paragraphs>
  <ScaleCrop>false</ScaleCrop>
  <HeadingPairs>
    <vt:vector size="2" baseType="variant">
      <vt:variant>
        <vt:lpstr>Title</vt:lpstr>
      </vt:variant>
      <vt:variant>
        <vt:i4>1</vt:i4>
      </vt:variant>
    </vt:vector>
  </HeadingPairs>
  <TitlesOfParts>
    <vt:vector size="1" baseType="lpstr">
      <vt:lpstr>C/48/</vt:lpstr>
    </vt:vector>
  </TitlesOfParts>
  <Company>UPOV</Company>
  <LinksUpToDate>false</LinksUpToDate>
  <CharactersWithSpaces>26025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dc:title>
  <dc:creator>MAY Jessica</dc:creator>
  <cp:lastModifiedBy>SANCHEZ VIZCAINO GOMEZ Rosa Maria</cp:lastModifiedBy>
  <cp:revision>28</cp:revision>
  <cp:lastPrinted>2018-08-29T14:17:00Z</cp:lastPrinted>
  <dcterms:created xsi:type="dcterms:W3CDTF">2018-08-14T12:29:00Z</dcterms:created>
  <dcterms:modified xsi:type="dcterms:W3CDTF">2018-08-31T17:54:00Z</dcterms:modified>
</cp:coreProperties>
</file>