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57427741"/>
        <w:docPartObj>
          <w:docPartGallery w:val="Cover Pages"/>
          <w:docPartUnique/>
        </w:docPartObj>
      </w:sdtPr>
      <w:sdtEndPr/>
      <w:sdtContent>
        <w:p w:rsidR="005C1E3A" w:rsidRPr="00C71725" w:rsidRDefault="005C1E3A"/>
        <w:tbl>
          <w:tblPr>
            <w:tblW w:w="5000" w:type="pct"/>
            <w:tblLayout w:type="fixed"/>
            <w:tblCellMar>
              <w:left w:w="0" w:type="dxa"/>
              <w:right w:w="0" w:type="dxa"/>
            </w:tblCellMar>
            <w:tblLook w:val="0000" w:firstRow="0" w:lastRow="0" w:firstColumn="0" w:lastColumn="0" w:noHBand="0" w:noVBand="0"/>
          </w:tblPr>
          <w:tblGrid>
            <w:gridCol w:w="6522"/>
            <w:gridCol w:w="3117"/>
          </w:tblGrid>
          <w:tr w:rsidR="00C33FC2" w:rsidRPr="00C71725" w:rsidTr="00FC6E6D">
            <w:tc>
              <w:tcPr>
                <w:tcW w:w="6522" w:type="dxa"/>
              </w:tcPr>
              <w:p w:rsidR="00C33FC2" w:rsidRPr="00C71725" w:rsidRDefault="00C33FC2" w:rsidP="00FC6E6D">
                <w:r w:rsidRPr="00C71725">
                  <w:rPr>
                    <w:noProof/>
                  </w:rPr>
                  <w:drawing>
                    <wp:inline distT="0" distB="0" distL="0" distR="0" wp14:anchorId="6ED06647" wp14:editId="4BF0B19F">
                      <wp:extent cx="952031" cy="244054"/>
                      <wp:effectExtent l="0" t="0" r="635"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C33FC2" w:rsidRPr="00C71725" w:rsidRDefault="00C33FC2" w:rsidP="00FC6E6D">
                <w:pPr>
                  <w:pStyle w:val="Lettrine"/>
                </w:pPr>
                <w:r w:rsidRPr="00C71725">
                  <w:t>E</w:t>
                </w:r>
              </w:p>
            </w:tc>
          </w:tr>
          <w:tr w:rsidR="00C33FC2" w:rsidRPr="00C71725" w:rsidTr="00FC6E6D">
            <w:trPr>
              <w:trHeight w:val="219"/>
            </w:trPr>
            <w:tc>
              <w:tcPr>
                <w:tcW w:w="6522" w:type="dxa"/>
              </w:tcPr>
              <w:p w:rsidR="00C33FC2" w:rsidRPr="00C71725" w:rsidRDefault="00C33FC2" w:rsidP="00FC6E6D">
                <w:pPr>
                  <w:rPr>
                    <w:sz w:val="16"/>
                    <w:szCs w:val="16"/>
                  </w:rPr>
                </w:pPr>
              </w:p>
              <w:p w:rsidR="00C33FC2" w:rsidRPr="00C71725" w:rsidRDefault="00C33FC2" w:rsidP="00FC6E6D">
                <w:pPr>
                  <w:rPr>
                    <w:sz w:val="16"/>
                    <w:szCs w:val="16"/>
                  </w:rPr>
                </w:pPr>
                <w:r w:rsidRPr="00C71725">
                  <w:rPr>
                    <w:sz w:val="16"/>
                    <w:szCs w:val="16"/>
                  </w:rPr>
                  <w:t xml:space="preserve">International </w:t>
                </w:r>
                <w:r w:rsidR="0062323D" w:rsidRPr="00C71725">
                  <w:rPr>
                    <w:sz w:val="16"/>
                    <w:szCs w:val="16"/>
                  </w:rPr>
                  <w:t>U</w:t>
                </w:r>
                <w:r w:rsidRPr="00C71725">
                  <w:rPr>
                    <w:sz w:val="16"/>
                    <w:szCs w:val="16"/>
                  </w:rPr>
                  <w:t xml:space="preserve">nion for the </w:t>
                </w:r>
                <w:r w:rsidR="0062323D" w:rsidRPr="00C71725">
                  <w:rPr>
                    <w:sz w:val="16"/>
                    <w:szCs w:val="16"/>
                  </w:rPr>
                  <w:t>P</w:t>
                </w:r>
                <w:r w:rsidRPr="00C71725">
                  <w:rPr>
                    <w:sz w:val="16"/>
                    <w:szCs w:val="16"/>
                  </w:rPr>
                  <w:t xml:space="preserve">rotection of </w:t>
                </w:r>
                <w:r w:rsidR="0062323D" w:rsidRPr="00C71725">
                  <w:rPr>
                    <w:sz w:val="16"/>
                    <w:szCs w:val="16"/>
                  </w:rPr>
                  <w:t>N</w:t>
                </w:r>
                <w:r w:rsidRPr="00C71725">
                  <w:rPr>
                    <w:sz w:val="16"/>
                    <w:szCs w:val="16"/>
                  </w:rPr>
                  <w:t xml:space="preserve">ew </w:t>
                </w:r>
                <w:r w:rsidR="0062323D" w:rsidRPr="00C71725">
                  <w:rPr>
                    <w:sz w:val="16"/>
                    <w:szCs w:val="16"/>
                  </w:rPr>
                  <w:t>V</w:t>
                </w:r>
                <w:r w:rsidRPr="00C71725">
                  <w:rPr>
                    <w:sz w:val="16"/>
                    <w:szCs w:val="16"/>
                  </w:rPr>
                  <w:t xml:space="preserve">arieties of </w:t>
                </w:r>
                <w:r w:rsidR="0062323D" w:rsidRPr="00C71725">
                  <w:rPr>
                    <w:sz w:val="16"/>
                    <w:szCs w:val="16"/>
                  </w:rPr>
                  <w:t>P</w:t>
                </w:r>
                <w:r w:rsidRPr="00C71725">
                  <w:rPr>
                    <w:sz w:val="16"/>
                    <w:szCs w:val="16"/>
                  </w:rPr>
                  <w:t>lants</w:t>
                </w:r>
              </w:p>
            </w:tc>
            <w:tc>
              <w:tcPr>
                <w:tcW w:w="3117" w:type="dxa"/>
              </w:tcPr>
              <w:p w:rsidR="00C33FC2" w:rsidRPr="00C71725" w:rsidRDefault="00C33FC2" w:rsidP="00FC6E6D"/>
            </w:tc>
          </w:tr>
        </w:tbl>
        <w:p w:rsidR="00C33FC2" w:rsidRPr="00C71725" w:rsidRDefault="00C33FC2" w:rsidP="00C33FC2"/>
        <w:p w:rsidR="00C33FC2" w:rsidRPr="00C71725" w:rsidRDefault="00C33FC2" w:rsidP="00C33FC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33FC2" w:rsidRPr="00C71725" w:rsidTr="00FC6E6D">
            <w:tc>
              <w:tcPr>
                <w:tcW w:w="6512" w:type="dxa"/>
              </w:tcPr>
              <w:p w:rsidR="00C33FC2" w:rsidRPr="002C0903" w:rsidRDefault="00C33FC2" w:rsidP="00FC6E6D">
                <w:pPr>
                  <w:pStyle w:val="Sessiontc"/>
                  <w:spacing w:line="240" w:lineRule="auto"/>
                </w:pPr>
                <w:r w:rsidRPr="002C0903">
                  <w:t>Council</w:t>
                </w:r>
              </w:p>
              <w:p w:rsidR="00C33FC2" w:rsidRPr="002C0903" w:rsidRDefault="00C33FC2" w:rsidP="00FC6E6D">
                <w:pPr>
                  <w:pStyle w:val="Sessiontcplacedate"/>
                  <w:rPr>
                    <w:sz w:val="22"/>
                  </w:rPr>
                </w:pPr>
                <w:r w:rsidRPr="002C0903">
                  <w:t>Fifty-Second Ordinary Session</w:t>
                </w:r>
                <w:r w:rsidRPr="002C0903">
                  <w:br/>
                  <w:t>Geneva, November 2, 2018</w:t>
                </w:r>
              </w:p>
            </w:tc>
            <w:tc>
              <w:tcPr>
                <w:tcW w:w="3127" w:type="dxa"/>
              </w:tcPr>
              <w:p w:rsidR="00C33FC2" w:rsidRPr="002C0903" w:rsidRDefault="00C33FC2" w:rsidP="00FC6E6D">
                <w:pPr>
                  <w:pStyle w:val="Doccode"/>
                </w:pPr>
                <w:r w:rsidRPr="002C0903">
                  <w:t>C/52/13</w:t>
                </w:r>
              </w:p>
              <w:p w:rsidR="00C33FC2" w:rsidRPr="002C0903" w:rsidRDefault="00C33FC2" w:rsidP="00FC6E6D">
                <w:pPr>
                  <w:pStyle w:val="Docoriginal"/>
                </w:pPr>
                <w:r w:rsidRPr="002C0903">
                  <w:t>Original:</w:t>
                </w:r>
                <w:r w:rsidR="009A4759" w:rsidRPr="002C0903">
                  <w:t xml:space="preserve"> </w:t>
                </w:r>
                <w:r w:rsidR="00962787">
                  <w:rPr>
                    <w:b w:val="0"/>
                    <w:spacing w:val="0"/>
                  </w:rPr>
                  <w:t xml:space="preserve"> French </w:t>
                </w:r>
              </w:p>
              <w:p w:rsidR="00C33FC2" w:rsidRPr="00C71725" w:rsidRDefault="00C33FC2" w:rsidP="002C0903">
                <w:pPr>
                  <w:pStyle w:val="Docoriginal"/>
                </w:pPr>
                <w:r w:rsidRPr="002C0903">
                  <w:t>Date:</w:t>
                </w:r>
                <w:r w:rsidRPr="002C0903">
                  <w:rPr>
                    <w:b w:val="0"/>
                    <w:spacing w:val="0"/>
                  </w:rPr>
                  <w:t xml:space="preserve"> </w:t>
                </w:r>
                <w:r w:rsidR="009A4759" w:rsidRPr="002C0903">
                  <w:rPr>
                    <w:b w:val="0"/>
                    <w:spacing w:val="0"/>
                  </w:rPr>
                  <w:t xml:space="preserve"> </w:t>
                </w:r>
                <w:r w:rsidR="00C71725" w:rsidRPr="002C0903">
                  <w:rPr>
                    <w:b w:val="0"/>
                    <w:spacing w:val="0"/>
                  </w:rPr>
                  <w:t>August 2</w:t>
                </w:r>
                <w:r w:rsidR="002C0903" w:rsidRPr="002C0903">
                  <w:rPr>
                    <w:b w:val="0"/>
                    <w:spacing w:val="0"/>
                  </w:rPr>
                  <w:t>9</w:t>
                </w:r>
                <w:r w:rsidRPr="002C0903">
                  <w:rPr>
                    <w:b w:val="0"/>
                    <w:spacing w:val="0"/>
                  </w:rPr>
                  <w:t>, 2018</w:t>
                </w:r>
              </w:p>
            </w:tc>
          </w:tr>
        </w:tbl>
        <w:p w:rsidR="00C33FC2" w:rsidRPr="00C71725" w:rsidRDefault="00C33FC2" w:rsidP="00C33FC2">
          <w:pPr>
            <w:pStyle w:val="Titleofdoc0"/>
          </w:pPr>
          <w:r w:rsidRPr="00C71725">
            <w:t>REPORT OF THE EXTERNAL AUDITOR</w:t>
          </w:r>
          <w:bookmarkStart w:id="0" w:name="_GoBack"/>
          <w:bookmarkEnd w:id="0"/>
        </w:p>
        <w:p w:rsidR="00C33FC2" w:rsidRPr="00C71725" w:rsidRDefault="00C33FC2" w:rsidP="00C33FC2">
          <w:pPr>
            <w:pStyle w:val="preparedby1"/>
            <w:jc w:val="left"/>
          </w:pPr>
          <w:r w:rsidRPr="00C71725">
            <w:t>Document prepared by the Office of the Union</w:t>
          </w:r>
        </w:p>
        <w:p w:rsidR="00C33FC2" w:rsidRPr="00C71725" w:rsidRDefault="00C33FC2" w:rsidP="00C33FC2">
          <w:pPr>
            <w:rPr>
              <w:i/>
              <w:iCs/>
              <w:color w:val="A6A6A6" w:themeColor="background1" w:themeShade="A6"/>
            </w:rPr>
          </w:pPr>
          <w:r w:rsidRPr="00C71725">
            <w:rPr>
              <w:i/>
              <w:iCs/>
              <w:color w:val="A6A6A6" w:themeColor="background1" w:themeShade="A6"/>
            </w:rPr>
            <w:t>Disclaimer:  this document does not represent UPOV policies or guidance</w:t>
          </w:r>
        </w:p>
        <w:p w:rsidR="00C33FC2" w:rsidRPr="00C71725" w:rsidRDefault="00C33FC2" w:rsidP="00C33FC2">
          <w:pPr>
            <w:rPr>
              <w:i/>
              <w:iCs/>
              <w:color w:val="A6A6A6" w:themeColor="background1" w:themeShade="A6"/>
            </w:rPr>
          </w:pPr>
        </w:p>
        <w:p w:rsidR="00C33FC2" w:rsidRPr="00C71725" w:rsidRDefault="00C33FC2" w:rsidP="00C33FC2">
          <w:pPr>
            <w:rPr>
              <w:i/>
              <w:iCs/>
              <w:color w:val="A6A6A6" w:themeColor="background1" w:themeShade="A6"/>
            </w:rPr>
          </w:pPr>
        </w:p>
        <w:p w:rsidR="00C33FC2" w:rsidRPr="00C71725" w:rsidRDefault="00C33FC2" w:rsidP="00C71725">
          <w:r w:rsidRPr="00C71725">
            <w:fldChar w:fldCharType="begin"/>
          </w:r>
          <w:r w:rsidRPr="00C71725">
            <w:instrText xml:space="preserve"> AUTONUM  </w:instrText>
          </w:r>
          <w:r w:rsidRPr="00C71725">
            <w:fldChar w:fldCharType="end"/>
          </w:r>
          <w:r w:rsidRPr="00C71725">
            <w:tab/>
            <w:t>The Financial Statements of the International Union for the Protection of New Varieties of Plants (UPOV) for the year ended December 31, 2017, together with the audit report of the External Auditor, are transmitted to the Council in accordance with Regulation 6.5 of the Financial Regulations and Rules of UPOV (document UPOV/INF/4/4), which requires that the Council examine and approve the financial statements.  The Financial Statements for 2017 are presented in document C/52/12.  The Annex to this document contains the audit report of the External Auditor.</w:t>
          </w:r>
        </w:p>
        <w:p w:rsidR="00C33FC2" w:rsidRPr="00C71725" w:rsidRDefault="00C33FC2" w:rsidP="00C33FC2">
          <w:pPr>
            <w:pStyle w:val="DecisionParagraphs"/>
          </w:pPr>
        </w:p>
        <w:p w:rsidR="00C33FC2" w:rsidRPr="00C71725" w:rsidRDefault="00C33FC2" w:rsidP="00C33FC2">
          <w:pPr>
            <w:pStyle w:val="DecisionParagraphs"/>
            <w:rPr>
              <w:rFonts w:cs="Arial"/>
            </w:rPr>
          </w:pPr>
          <w:r w:rsidRPr="00C71725">
            <w:rPr>
              <w:rFonts w:cs="Arial"/>
            </w:rPr>
            <w:fldChar w:fldCharType="begin"/>
          </w:r>
          <w:r w:rsidRPr="00C71725">
            <w:rPr>
              <w:rFonts w:cs="Arial"/>
            </w:rPr>
            <w:instrText xml:space="preserve"> AUTONUM  </w:instrText>
          </w:r>
          <w:r w:rsidRPr="00C71725">
            <w:rPr>
              <w:rFonts w:cs="Arial"/>
            </w:rPr>
            <w:fldChar w:fldCharType="end"/>
          </w:r>
          <w:r w:rsidRPr="00C71725">
            <w:rPr>
              <w:rFonts w:cs="Arial"/>
            </w:rPr>
            <w:tab/>
            <w:t>The Council is invited to take note of the present document.</w:t>
          </w:r>
        </w:p>
        <w:p w:rsidR="00C33FC2" w:rsidRPr="00C71725" w:rsidRDefault="00C33FC2" w:rsidP="00C33FC2">
          <w:pPr>
            <w:jc w:val="left"/>
          </w:pPr>
        </w:p>
        <w:p w:rsidR="00C33FC2" w:rsidRPr="00C71725" w:rsidRDefault="00C33FC2" w:rsidP="00C33FC2"/>
        <w:p w:rsidR="00C33FC2" w:rsidRPr="00C71725" w:rsidRDefault="00C33FC2" w:rsidP="00C33FC2"/>
        <w:p w:rsidR="00C33FC2" w:rsidRPr="00C71725" w:rsidRDefault="00C33FC2" w:rsidP="00C33FC2">
          <w:pPr>
            <w:jc w:val="right"/>
          </w:pPr>
          <w:r w:rsidRPr="00C71725">
            <w:t>[Annex follows]</w:t>
          </w:r>
        </w:p>
        <w:p w:rsidR="00C33FC2" w:rsidRPr="00C71725" w:rsidRDefault="00C33FC2" w:rsidP="00C33FC2"/>
        <w:p w:rsidR="00430B0A" w:rsidRPr="00C71725" w:rsidRDefault="005C1E3A">
          <w:pPr>
            <w:jc w:val="left"/>
            <w:sectPr w:rsidR="00430B0A" w:rsidRPr="00C71725" w:rsidSect="005C1E3A">
              <w:headerReference w:type="default" r:id="rId9"/>
              <w:footerReference w:type="default" r:id="rId10"/>
              <w:pgSz w:w="11907" w:h="16840" w:code="9"/>
              <w:pgMar w:top="510" w:right="1134" w:bottom="1134" w:left="1134" w:header="510" w:footer="680" w:gutter="0"/>
              <w:pgNumType w:start="0"/>
              <w:cols w:space="720"/>
              <w:titlePg/>
              <w:docGrid w:linePitch="272"/>
            </w:sectPr>
          </w:pPr>
          <w:r w:rsidRPr="00C71725">
            <w:br w:type="page"/>
          </w:r>
        </w:p>
      </w:sdtContent>
    </w:sdt>
    <w:p w:rsidR="00430B0A" w:rsidRPr="00C71725" w:rsidRDefault="00430B0A">
      <w:pPr>
        <w:jc w:val="left"/>
      </w:pPr>
    </w:p>
    <w:p w:rsidR="00430B0A" w:rsidRDefault="00430B0A">
      <w:pPr>
        <w:jc w:val="left"/>
      </w:pPr>
    </w:p>
    <w:p w:rsidR="0024574F" w:rsidRDefault="0024574F">
      <w:pPr>
        <w:jc w:val="left"/>
      </w:pPr>
    </w:p>
    <w:p w:rsidR="0024574F" w:rsidRDefault="0024574F">
      <w:pPr>
        <w:jc w:val="left"/>
      </w:pPr>
    </w:p>
    <w:p w:rsidR="0024574F" w:rsidRDefault="0024574F">
      <w:pPr>
        <w:jc w:val="left"/>
      </w:pPr>
    </w:p>
    <w:p w:rsidR="0024574F" w:rsidRDefault="0024574F">
      <w:pPr>
        <w:jc w:val="left"/>
      </w:pPr>
    </w:p>
    <w:p w:rsidR="0024574F" w:rsidRDefault="0024574F">
      <w:pPr>
        <w:jc w:val="left"/>
      </w:pPr>
    </w:p>
    <w:p w:rsidR="0024574F" w:rsidRDefault="0024574F">
      <w:pPr>
        <w:jc w:val="left"/>
      </w:pPr>
    </w:p>
    <w:p w:rsidR="0024574F" w:rsidRDefault="0024574F">
      <w:pPr>
        <w:jc w:val="left"/>
      </w:pPr>
    </w:p>
    <w:p w:rsidR="0024574F" w:rsidRDefault="0024574F">
      <w:pPr>
        <w:jc w:val="left"/>
      </w:pPr>
    </w:p>
    <w:p w:rsidR="0024574F" w:rsidRDefault="0024574F">
      <w:pPr>
        <w:jc w:val="left"/>
      </w:pPr>
    </w:p>
    <w:p w:rsidR="0024574F" w:rsidRDefault="0024574F">
      <w:pPr>
        <w:jc w:val="left"/>
      </w:pPr>
    </w:p>
    <w:p w:rsidR="0024574F" w:rsidRDefault="0024574F">
      <w:pPr>
        <w:jc w:val="left"/>
      </w:pPr>
    </w:p>
    <w:p w:rsidR="0024574F" w:rsidRDefault="0024574F">
      <w:pPr>
        <w:jc w:val="left"/>
      </w:pPr>
      <w:r>
        <w:rPr>
          <w:noProof/>
        </w:rPr>
        <w:drawing>
          <wp:anchor distT="0" distB="0" distL="114300" distR="114300" simplePos="0" relativeHeight="251688448" behindDoc="0" locked="0" layoutInCell="1" allowOverlap="1" wp14:anchorId="116E2FC7" wp14:editId="4B2B9CF7">
            <wp:simplePos x="0" y="0"/>
            <wp:positionH relativeFrom="page">
              <wp:posOffset>3738856</wp:posOffset>
            </wp:positionH>
            <wp:positionV relativeFrom="page">
              <wp:posOffset>2917142</wp:posOffset>
            </wp:positionV>
            <wp:extent cx="2691441" cy="822947"/>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1217.cdf_logo.o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1441" cy="822947"/>
                    </a:xfrm>
                    <a:prstGeom prst="rect">
                      <a:avLst/>
                    </a:prstGeom>
                  </pic:spPr>
                </pic:pic>
              </a:graphicData>
            </a:graphic>
            <wp14:sizeRelH relativeFrom="page">
              <wp14:pctWidth>0</wp14:pctWidth>
            </wp14:sizeRelH>
            <wp14:sizeRelV relativeFrom="page">
              <wp14:pctHeight>0</wp14:pctHeight>
            </wp14:sizeRelV>
          </wp:anchor>
        </w:drawing>
      </w:r>
    </w:p>
    <w:p w:rsidR="0024574F" w:rsidRDefault="0024574F">
      <w:pPr>
        <w:jc w:val="left"/>
      </w:pPr>
    </w:p>
    <w:p w:rsidR="0024574F" w:rsidRDefault="0024574F">
      <w:pPr>
        <w:jc w:val="left"/>
      </w:pPr>
    </w:p>
    <w:p w:rsidR="0024574F" w:rsidRDefault="0024574F">
      <w:pPr>
        <w:jc w:val="left"/>
      </w:pPr>
    </w:p>
    <w:p w:rsidR="0024574F" w:rsidRDefault="0024574F">
      <w:pPr>
        <w:jc w:val="left"/>
      </w:pPr>
    </w:p>
    <w:p w:rsidR="0024574F" w:rsidRDefault="0024574F">
      <w:pPr>
        <w:jc w:val="left"/>
      </w:pPr>
    </w:p>
    <w:p w:rsidR="0024574F" w:rsidRDefault="0024574F">
      <w:pPr>
        <w:jc w:val="left"/>
      </w:pPr>
    </w:p>
    <w:p w:rsidR="0024574F" w:rsidRDefault="0024574F">
      <w:pPr>
        <w:jc w:val="left"/>
      </w:pPr>
    </w:p>
    <w:p w:rsidR="0024574F" w:rsidRDefault="0024574F">
      <w:pPr>
        <w:jc w:val="left"/>
      </w:pPr>
    </w:p>
    <w:p w:rsidR="0024574F" w:rsidRDefault="0024574F">
      <w:pPr>
        <w:jc w:val="left"/>
      </w:pPr>
    </w:p>
    <w:p w:rsidR="0024574F" w:rsidRDefault="0024574F">
      <w:pPr>
        <w:jc w:val="left"/>
      </w:pPr>
    </w:p>
    <w:tbl>
      <w:tblPr>
        <w:tblStyle w:val="TableGrid"/>
        <w:tblW w:w="0" w:type="auto"/>
        <w:jc w:val="center"/>
        <w:shd w:val="clear" w:color="auto" w:fill="D9D9D9" w:themeFill="background1" w:themeFillShade="D9"/>
        <w:tblLook w:val="04A0" w:firstRow="1" w:lastRow="0" w:firstColumn="1" w:lastColumn="0" w:noHBand="0" w:noVBand="1"/>
      </w:tblPr>
      <w:tblGrid>
        <w:gridCol w:w="6138"/>
      </w:tblGrid>
      <w:tr w:rsidR="0024574F" w:rsidRPr="0024574F" w:rsidTr="0024574F">
        <w:trPr>
          <w:jc w:val="center"/>
        </w:trPr>
        <w:tc>
          <w:tcPr>
            <w:tcW w:w="6138" w:type="dxa"/>
            <w:shd w:val="clear" w:color="auto" w:fill="D9D9D9" w:themeFill="background1" w:themeFillShade="D9"/>
          </w:tcPr>
          <w:p w:rsidR="0024574F" w:rsidRPr="0024574F" w:rsidRDefault="0024574F" w:rsidP="00FC6E6D">
            <w:pPr>
              <w:jc w:val="left"/>
              <w:rPr>
                <w:rFonts w:asciiTheme="minorHAnsi" w:hAnsiTheme="minorHAnsi" w:cstheme="minorHAnsi"/>
                <w:sz w:val="40"/>
              </w:rPr>
            </w:pPr>
            <w:r w:rsidRPr="0024574F">
              <w:rPr>
                <w:rFonts w:asciiTheme="minorHAnsi" w:hAnsiTheme="minorHAnsi" w:cstheme="minorHAnsi"/>
                <w:sz w:val="40"/>
              </w:rPr>
              <w:t>Audit of 2017 financial statements</w:t>
            </w:r>
          </w:p>
          <w:p w:rsidR="0024574F" w:rsidRPr="0024574F" w:rsidRDefault="0024574F" w:rsidP="00FC6E6D">
            <w:pPr>
              <w:jc w:val="left"/>
              <w:rPr>
                <w:rFonts w:asciiTheme="minorHAnsi" w:hAnsiTheme="minorHAnsi" w:cstheme="minorHAnsi"/>
                <w:sz w:val="28"/>
              </w:rPr>
            </w:pPr>
          </w:p>
          <w:p w:rsidR="0024574F" w:rsidRPr="0024574F" w:rsidRDefault="0024574F" w:rsidP="00FC6E6D">
            <w:pPr>
              <w:jc w:val="left"/>
              <w:rPr>
                <w:rFonts w:asciiTheme="minorHAnsi" w:hAnsiTheme="minorHAnsi" w:cstheme="minorHAnsi"/>
              </w:rPr>
            </w:pPr>
            <w:r w:rsidRPr="0024574F">
              <w:rPr>
                <w:rFonts w:asciiTheme="minorHAnsi" w:hAnsiTheme="minorHAnsi" w:cstheme="minorHAnsi"/>
                <w:sz w:val="28"/>
              </w:rPr>
              <w:t xml:space="preserve">International Union for the Protection of </w:t>
            </w:r>
            <w:r w:rsidRPr="0024574F">
              <w:rPr>
                <w:rFonts w:asciiTheme="minorHAnsi" w:hAnsiTheme="minorHAnsi" w:cstheme="minorHAnsi"/>
                <w:sz w:val="28"/>
              </w:rPr>
              <w:br/>
              <w:t>New Varieties of Plants (UPOV)</w:t>
            </w:r>
          </w:p>
        </w:tc>
      </w:tr>
    </w:tbl>
    <w:p w:rsidR="0024574F" w:rsidRDefault="0024574F">
      <w:pPr>
        <w:jc w:val="left"/>
      </w:pPr>
    </w:p>
    <w:p w:rsidR="0024574F" w:rsidRDefault="0024574F">
      <w:pPr>
        <w:jc w:val="left"/>
      </w:pPr>
    </w:p>
    <w:p w:rsidR="0024574F" w:rsidRDefault="0024574F">
      <w:pPr>
        <w:jc w:val="left"/>
      </w:pPr>
      <w:r>
        <w:br w:type="page"/>
      </w:r>
    </w:p>
    <w:tbl>
      <w:tblPr>
        <w:tblStyle w:val="TableGrid"/>
        <w:tblpPr w:leftFromText="142" w:rightFromText="142" w:vertAnchor="page" w:horzAnchor="margin" w:tblpY="93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1"/>
        <w:gridCol w:w="5462"/>
      </w:tblGrid>
      <w:tr w:rsidR="0024574F" w:rsidRPr="00B24EB4" w:rsidTr="00FC6E6D">
        <w:trPr>
          <w:cantSplit/>
          <w:trHeight w:val="340"/>
        </w:trPr>
        <w:tc>
          <w:tcPr>
            <w:tcW w:w="3541" w:type="dxa"/>
            <w:shd w:val="clear" w:color="auto" w:fill="F2F2F2" w:themeFill="background1" w:themeFillShade="F2"/>
            <w:vAlign w:val="bottom"/>
            <w:hideMark/>
          </w:tcPr>
          <w:p w:rsidR="0024574F" w:rsidRPr="00D66B83" w:rsidRDefault="0024574F" w:rsidP="00FC6E6D">
            <w:pPr>
              <w:pStyle w:val="TexteTableauEFK"/>
              <w:spacing w:after="0"/>
              <w:rPr>
                <w:sz w:val="20"/>
              </w:rPr>
            </w:pPr>
            <w:r w:rsidRPr="00D66B83">
              <w:rPr>
                <w:sz w:val="20"/>
              </w:rPr>
              <w:lastRenderedPageBreak/>
              <w:t>Bestelladresse</w:t>
            </w:r>
          </w:p>
        </w:tc>
        <w:tc>
          <w:tcPr>
            <w:tcW w:w="5462" w:type="dxa"/>
            <w:shd w:val="clear" w:color="auto" w:fill="F2F2F2" w:themeFill="background1" w:themeFillShade="F2"/>
            <w:vAlign w:val="bottom"/>
            <w:hideMark/>
          </w:tcPr>
          <w:p w:rsidR="0024574F" w:rsidRPr="00D66B83" w:rsidRDefault="0024574F" w:rsidP="00FC6E6D">
            <w:pPr>
              <w:pStyle w:val="TexteTableauEFK"/>
              <w:spacing w:after="0"/>
              <w:rPr>
                <w:rFonts w:ascii="Arial" w:hAnsi="Arial" w:cs="Times New Roman"/>
                <w:sz w:val="20"/>
              </w:rPr>
            </w:pPr>
            <w:r w:rsidRPr="00D66B83">
              <w:rPr>
                <w:sz w:val="20"/>
              </w:rPr>
              <w:t>Swiss Federal Audit Office (SFAO)</w:t>
            </w:r>
          </w:p>
        </w:tc>
      </w:tr>
      <w:tr w:rsidR="0024574F" w:rsidRPr="00B24EB4" w:rsidTr="00FC6E6D">
        <w:trPr>
          <w:cantSplit/>
          <w:trHeight w:val="340"/>
        </w:trPr>
        <w:tc>
          <w:tcPr>
            <w:tcW w:w="3541" w:type="dxa"/>
            <w:shd w:val="clear" w:color="auto" w:fill="F2F2F2" w:themeFill="background1" w:themeFillShade="F2"/>
            <w:vAlign w:val="bottom"/>
            <w:hideMark/>
          </w:tcPr>
          <w:p w:rsidR="0024574F" w:rsidRPr="00D66B83" w:rsidRDefault="0024574F" w:rsidP="00FC6E6D">
            <w:pPr>
              <w:pStyle w:val="TexteTableauEFK"/>
              <w:spacing w:after="0"/>
              <w:rPr>
                <w:sz w:val="20"/>
              </w:rPr>
            </w:pPr>
            <w:r w:rsidRPr="00D66B83">
              <w:rPr>
                <w:sz w:val="20"/>
              </w:rPr>
              <w:t>Adresse de commande</w:t>
            </w:r>
          </w:p>
        </w:tc>
        <w:tc>
          <w:tcPr>
            <w:tcW w:w="5462" w:type="dxa"/>
            <w:shd w:val="clear" w:color="auto" w:fill="F2F2F2" w:themeFill="background1" w:themeFillShade="F2"/>
            <w:vAlign w:val="bottom"/>
            <w:hideMark/>
          </w:tcPr>
          <w:p w:rsidR="0024574F" w:rsidRPr="00D66B83" w:rsidRDefault="0024574F" w:rsidP="00FC6E6D">
            <w:pPr>
              <w:pStyle w:val="TexteTableauEFK"/>
              <w:spacing w:after="0"/>
              <w:rPr>
                <w:rFonts w:ascii="Arial" w:hAnsi="Arial" w:cs="Times New Roman"/>
                <w:sz w:val="20"/>
              </w:rPr>
            </w:pPr>
            <w:r w:rsidRPr="00D66B83">
              <w:rPr>
                <w:sz w:val="20"/>
              </w:rPr>
              <w:t xml:space="preserve">Monbijoustrasse 45 </w:t>
            </w:r>
          </w:p>
        </w:tc>
      </w:tr>
      <w:tr w:rsidR="0024574F" w:rsidRPr="00B24EB4" w:rsidTr="00FC6E6D">
        <w:trPr>
          <w:cantSplit/>
          <w:trHeight w:val="340"/>
        </w:trPr>
        <w:tc>
          <w:tcPr>
            <w:tcW w:w="3541" w:type="dxa"/>
            <w:shd w:val="clear" w:color="auto" w:fill="F2F2F2" w:themeFill="background1" w:themeFillShade="F2"/>
            <w:vAlign w:val="bottom"/>
            <w:hideMark/>
          </w:tcPr>
          <w:p w:rsidR="0024574F" w:rsidRPr="00D66B83" w:rsidRDefault="0024574F" w:rsidP="00FC6E6D">
            <w:pPr>
              <w:pStyle w:val="TexteTableauEFK"/>
              <w:spacing w:after="0"/>
              <w:rPr>
                <w:sz w:val="20"/>
              </w:rPr>
            </w:pPr>
            <w:r w:rsidRPr="00D66B83">
              <w:rPr>
                <w:sz w:val="20"/>
              </w:rPr>
              <w:t>Indirizzo di ordinazione</w:t>
            </w:r>
          </w:p>
        </w:tc>
        <w:tc>
          <w:tcPr>
            <w:tcW w:w="5462" w:type="dxa"/>
            <w:shd w:val="clear" w:color="auto" w:fill="F2F2F2" w:themeFill="background1" w:themeFillShade="F2"/>
            <w:vAlign w:val="bottom"/>
            <w:hideMark/>
          </w:tcPr>
          <w:p w:rsidR="0024574F" w:rsidRPr="00D66B83" w:rsidRDefault="0024574F" w:rsidP="00FC6E6D">
            <w:pPr>
              <w:pStyle w:val="TexteTableauEFK"/>
              <w:spacing w:after="0"/>
              <w:rPr>
                <w:rFonts w:ascii="Arial" w:hAnsi="Arial" w:cs="Times New Roman"/>
                <w:sz w:val="20"/>
              </w:rPr>
            </w:pPr>
            <w:r w:rsidRPr="00D66B83">
              <w:rPr>
                <w:sz w:val="20"/>
              </w:rPr>
              <w:t>3003 Berne</w:t>
            </w:r>
          </w:p>
        </w:tc>
      </w:tr>
      <w:tr w:rsidR="0024574F" w:rsidRPr="00B24EB4" w:rsidTr="00FC6E6D">
        <w:trPr>
          <w:cantSplit/>
          <w:trHeight w:val="340"/>
        </w:trPr>
        <w:tc>
          <w:tcPr>
            <w:tcW w:w="3541" w:type="dxa"/>
            <w:shd w:val="clear" w:color="auto" w:fill="F2F2F2" w:themeFill="background1" w:themeFillShade="F2"/>
            <w:vAlign w:val="bottom"/>
            <w:hideMark/>
          </w:tcPr>
          <w:p w:rsidR="0024574F" w:rsidRPr="00D66B83" w:rsidRDefault="0024574F" w:rsidP="00FC6E6D">
            <w:pPr>
              <w:pStyle w:val="TexteTableauEFK"/>
              <w:spacing w:after="0"/>
              <w:rPr>
                <w:sz w:val="20"/>
              </w:rPr>
            </w:pPr>
            <w:r w:rsidRPr="00D66B83">
              <w:rPr>
                <w:sz w:val="20"/>
              </w:rPr>
              <w:t xml:space="preserve">Ordering address </w:t>
            </w:r>
          </w:p>
        </w:tc>
        <w:tc>
          <w:tcPr>
            <w:tcW w:w="5462" w:type="dxa"/>
            <w:shd w:val="clear" w:color="auto" w:fill="F2F2F2" w:themeFill="background1" w:themeFillShade="F2"/>
            <w:vAlign w:val="bottom"/>
            <w:hideMark/>
          </w:tcPr>
          <w:p w:rsidR="0024574F" w:rsidRPr="00D66B83" w:rsidRDefault="0024574F" w:rsidP="00FC6E6D">
            <w:pPr>
              <w:pStyle w:val="TexteTableauEFK"/>
              <w:spacing w:after="0"/>
              <w:rPr>
                <w:rFonts w:ascii="Arial" w:hAnsi="Arial" w:cs="Times New Roman"/>
                <w:sz w:val="20"/>
              </w:rPr>
            </w:pPr>
            <w:r w:rsidRPr="00D66B83">
              <w:rPr>
                <w:sz w:val="20"/>
              </w:rPr>
              <w:t>Switzerland</w:t>
            </w:r>
          </w:p>
        </w:tc>
      </w:tr>
      <w:tr w:rsidR="0024574F" w:rsidRPr="00563DE6" w:rsidTr="00FC6E6D">
        <w:trPr>
          <w:cantSplit/>
          <w:trHeight w:val="340"/>
        </w:trPr>
        <w:tc>
          <w:tcPr>
            <w:tcW w:w="3541" w:type="dxa"/>
            <w:shd w:val="clear" w:color="auto" w:fill="FFFFFF" w:themeFill="background1"/>
            <w:vAlign w:val="bottom"/>
            <w:hideMark/>
          </w:tcPr>
          <w:p w:rsidR="0024574F" w:rsidRPr="00D66B83" w:rsidRDefault="0024574F" w:rsidP="00FC6E6D">
            <w:pPr>
              <w:pStyle w:val="TexteTableauEFK"/>
              <w:spacing w:after="0"/>
              <w:rPr>
                <w:sz w:val="20"/>
              </w:rPr>
            </w:pPr>
            <w:r w:rsidRPr="00D66B83">
              <w:rPr>
                <w:sz w:val="20"/>
              </w:rPr>
              <w:t>Bestellnummer</w:t>
            </w:r>
          </w:p>
        </w:tc>
        <w:tc>
          <w:tcPr>
            <w:tcW w:w="5462" w:type="dxa"/>
            <w:shd w:val="clear" w:color="auto" w:fill="FFFFFF" w:themeFill="background1"/>
            <w:vAlign w:val="bottom"/>
            <w:hideMark/>
          </w:tcPr>
          <w:p w:rsidR="0024574F" w:rsidRPr="00D66B83" w:rsidRDefault="00962787" w:rsidP="00FC6E6D">
            <w:pPr>
              <w:pStyle w:val="TexteTableauEFK"/>
              <w:spacing w:after="0"/>
              <w:rPr>
                <w:rFonts w:ascii="Arial" w:hAnsi="Arial" w:cs="Times New Roman"/>
                <w:sz w:val="20"/>
              </w:rPr>
            </w:pPr>
            <w:sdt>
              <w:sdtPr>
                <w:rPr>
                  <w:sz w:val="20"/>
                </w:rPr>
                <w:alias w:val="BestellNr"/>
                <w:tag w:val="BestellNr"/>
                <w:id w:val="36700661"/>
                <w:placeholder>
                  <w:docPart w:val="94A9BB84DB0E45D281DF1E8B6A495944"/>
                </w:placeholder>
              </w:sdtPr>
              <w:sdtEndPr/>
              <w:sdtContent>
                <w:sdt>
                  <w:sdtPr>
                    <w:rPr>
                      <w:sz w:val="20"/>
                    </w:rPr>
                    <w:alias w:val="BestellNr"/>
                    <w:tag w:val="BestellNr"/>
                    <w:id w:val="26412514"/>
                    <w:placeholder>
                      <w:docPart w:val="0D8F23C5DE1D49EA83769670C34A1171"/>
                    </w:placeholder>
                  </w:sdtPr>
                  <w:sdtEndPr/>
                  <w:sdtContent>
                    <w:r w:rsidR="0024574F" w:rsidRPr="00D66B83">
                      <w:rPr>
                        <w:sz w:val="20"/>
                      </w:rPr>
                      <w:t xml:space="preserve">1.18063.946.00335.002 </w:t>
                    </w:r>
                  </w:sdtContent>
                </w:sdt>
              </w:sdtContent>
            </w:sdt>
          </w:p>
        </w:tc>
      </w:tr>
      <w:tr w:rsidR="0024574F" w:rsidRPr="00563DE6" w:rsidTr="00FC6E6D">
        <w:trPr>
          <w:cantSplit/>
          <w:trHeight w:val="340"/>
        </w:trPr>
        <w:tc>
          <w:tcPr>
            <w:tcW w:w="3541" w:type="dxa"/>
            <w:shd w:val="clear" w:color="auto" w:fill="FFFFFF" w:themeFill="background1"/>
            <w:vAlign w:val="bottom"/>
            <w:hideMark/>
          </w:tcPr>
          <w:p w:rsidR="0024574F" w:rsidRPr="00D66B83" w:rsidRDefault="0024574F" w:rsidP="00FC6E6D">
            <w:pPr>
              <w:pStyle w:val="TexteTableauEFK"/>
              <w:spacing w:after="0"/>
              <w:rPr>
                <w:rFonts w:ascii="Arial" w:hAnsi="Arial" w:cs="Times New Roman"/>
                <w:sz w:val="20"/>
              </w:rPr>
            </w:pPr>
            <w:r w:rsidRPr="00D66B83">
              <w:rPr>
                <w:sz w:val="20"/>
              </w:rPr>
              <w:t>Numéro de commande</w:t>
            </w:r>
          </w:p>
        </w:tc>
        <w:tc>
          <w:tcPr>
            <w:tcW w:w="5462" w:type="dxa"/>
            <w:shd w:val="clear" w:color="auto" w:fill="FFFFFF" w:themeFill="background1"/>
            <w:vAlign w:val="bottom"/>
          </w:tcPr>
          <w:p w:rsidR="0024574F" w:rsidRPr="00D66B83" w:rsidRDefault="0024574F" w:rsidP="00FC6E6D">
            <w:pPr>
              <w:pStyle w:val="TexteTableauEFK"/>
              <w:spacing w:after="0"/>
              <w:rPr>
                <w:sz w:val="20"/>
                <w:lang w:val="it-CH"/>
              </w:rPr>
            </w:pPr>
          </w:p>
        </w:tc>
      </w:tr>
      <w:tr w:rsidR="0024574F" w:rsidRPr="00563DE6" w:rsidTr="00FC6E6D">
        <w:trPr>
          <w:cantSplit/>
          <w:trHeight w:val="340"/>
        </w:trPr>
        <w:tc>
          <w:tcPr>
            <w:tcW w:w="3541" w:type="dxa"/>
            <w:shd w:val="clear" w:color="auto" w:fill="FFFFFF" w:themeFill="background1"/>
            <w:vAlign w:val="bottom"/>
            <w:hideMark/>
          </w:tcPr>
          <w:p w:rsidR="0024574F" w:rsidRPr="00D66B83" w:rsidRDefault="0024574F" w:rsidP="00FC6E6D">
            <w:pPr>
              <w:pStyle w:val="TexteTableauEFK"/>
              <w:spacing w:after="0"/>
              <w:rPr>
                <w:rFonts w:ascii="Arial" w:hAnsi="Arial" w:cs="Times New Roman"/>
                <w:sz w:val="20"/>
              </w:rPr>
            </w:pPr>
            <w:r w:rsidRPr="00D66B83">
              <w:rPr>
                <w:sz w:val="20"/>
              </w:rPr>
              <w:t>Numero di ordinazione</w:t>
            </w:r>
          </w:p>
        </w:tc>
        <w:tc>
          <w:tcPr>
            <w:tcW w:w="5462" w:type="dxa"/>
            <w:shd w:val="clear" w:color="auto" w:fill="FFFFFF" w:themeFill="background1"/>
            <w:vAlign w:val="bottom"/>
          </w:tcPr>
          <w:p w:rsidR="0024574F" w:rsidRPr="00D66B83" w:rsidRDefault="0024574F" w:rsidP="00FC6E6D">
            <w:pPr>
              <w:pStyle w:val="TexteTableauEFK"/>
              <w:spacing w:after="0"/>
              <w:rPr>
                <w:sz w:val="20"/>
                <w:lang w:val="it-CH"/>
              </w:rPr>
            </w:pPr>
          </w:p>
        </w:tc>
      </w:tr>
      <w:tr w:rsidR="0024574F" w:rsidRPr="00563DE6" w:rsidTr="00FC6E6D">
        <w:trPr>
          <w:cantSplit/>
          <w:trHeight w:val="340"/>
        </w:trPr>
        <w:tc>
          <w:tcPr>
            <w:tcW w:w="3541" w:type="dxa"/>
            <w:shd w:val="clear" w:color="auto" w:fill="FFFFFF" w:themeFill="background1"/>
            <w:vAlign w:val="bottom"/>
            <w:hideMark/>
          </w:tcPr>
          <w:p w:rsidR="0024574F" w:rsidRPr="00D66B83" w:rsidRDefault="0024574F" w:rsidP="00FC6E6D">
            <w:pPr>
              <w:pStyle w:val="TexteTableauEFK"/>
              <w:spacing w:after="0"/>
              <w:rPr>
                <w:rFonts w:ascii="Arial" w:hAnsi="Arial" w:cs="Times New Roman"/>
                <w:sz w:val="20"/>
              </w:rPr>
            </w:pPr>
            <w:r w:rsidRPr="00D66B83">
              <w:rPr>
                <w:sz w:val="20"/>
              </w:rPr>
              <w:t>Ordering number</w:t>
            </w:r>
          </w:p>
        </w:tc>
        <w:tc>
          <w:tcPr>
            <w:tcW w:w="5462" w:type="dxa"/>
            <w:shd w:val="clear" w:color="auto" w:fill="FFFFFF" w:themeFill="background1"/>
            <w:vAlign w:val="bottom"/>
          </w:tcPr>
          <w:p w:rsidR="0024574F" w:rsidRPr="00D66B83" w:rsidRDefault="0024574F" w:rsidP="00FC6E6D">
            <w:pPr>
              <w:pStyle w:val="TexteTableauEFK"/>
              <w:spacing w:after="0"/>
              <w:rPr>
                <w:sz w:val="20"/>
                <w:lang w:val="it-CH"/>
              </w:rPr>
            </w:pPr>
          </w:p>
        </w:tc>
      </w:tr>
      <w:tr w:rsidR="0024574F" w:rsidRPr="00563DE6" w:rsidTr="00FC6E6D">
        <w:trPr>
          <w:cantSplit/>
          <w:trHeight w:val="340"/>
        </w:trPr>
        <w:tc>
          <w:tcPr>
            <w:tcW w:w="3541" w:type="dxa"/>
            <w:shd w:val="clear" w:color="auto" w:fill="F2F2F2" w:themeFill="background1" w:themeFillShade="F2"/>
            <w:vAlign w:val="bottom"/>
            <w:hideMark/>
          </w:tcPr>
          <w:p w:rsidR="0024574F" w:rsidRPr="00D66B83" w:rsidRDefault="0024574F" w:rsidP="00FC6E6D">
            <w:pPr>
              <w:pStyle w:val="TexteTableauEFK"/>
              <w:spacing w:after="0"/>
              <w:rPr>
                <w:sz w:val="20"/>
              </w:rPr>
            </w:pPr>
            <w:r w:rsidRPr="00D66B83">
              <w:rPr>
                <w:sz w:val="20"/>
              </w:rPr>
              <w:t>Zusätzliche Informationen</w:t>
            </w:r>
          </w:p>
        </w:tc>
        <w:tc>
          <w:tcPr>
            <w:tcW w:w="5462" w:type="dxa"/>
            <w:shd w:val="clear" w:color="auto" w:fill="F2F2F2" w:themeFill="background1" w:themeFillShade="F2"/>
            <w:vAlign w:val="bottom"/>
            <w:hideMark/>
          </w:tcPr>
          <w:p w:rsidR="0024574F" w:rsidRPr="00D66B83" w:rsidRDefault="0024574F" w:rsidP="00FC6E6D">
            <w:pPr>
              <w:pStyle w:val="TexteTableauEFK"/>
              <w:spacing w:after="0"/>
              <w:rPr>
                <w:rFonts w:ascii="Arial" w:hAnsi="Arial" w:cs="Times New Roman"/>
                <w:sz w:val="20"/>
              </w:rPr>
            </w:pPr>
            <w:r w:rsidRPr="00D66B83">
              <w:rPr>
                <w:sz w:val="20"/>
              </w:rPr>
              <w:t>www.efk.admin.ch</w:t>
            </w:r>
          </w:p>
        </w:tc>
      </w:tr>
      <w:tr w:rsidR="0024574F" w:rsidRPr="00B24EB4" w:rsidTr="00FC6E6D">
        <w:trPr>
          <w:cantSplit/>
          <w:trHeight w:val="340"/>
        </w:trPr>
        <w:tc>
          <w:tcPr>
            <w:tcW w:w="3541" w:type="dxa"/>
            <w:shd w:val="clear" w:color="auto" w:fill="F2F2F2" w:themeFill="background1" w:themeFillShade="F2"/>
            <w:vAlign w:val="bottom"/>
            <w:hideMark/>
          </w:tcPr>
          <w:p w:rsidR="0024574F" w:rsidRPr="00D66B83" w:rsidRDefault="0024574F" w:rsidP="00FC6E6D">
            <w:pPr>
              <w:pStyle w:val="TexteTableauEFK"/>
              <w:spacing w:after="0"/>
              <w:rPr>
                <w:sz w:val="20"/>
              </w:rPr>
            </w:pPr>
            <w:r w:rsidRPr="00D66B83">
              <w:rPr>
                <w:sz w:val="20"/>
              </w:rPr>
              <w:t>Complément d’informations</w:t>
            </w:r>
          </w:p>
        </w:tc>
        <w:tc>
          <w:tcPr>
            <w:tcW w:w="5462" w:type="dxa"/>
            <w:shd w:val="clear" w:color="auto" w:fill="F2F2F2" w:themeFill="background1" w:themeFillShade="F2"/>
            <w:vAlign w:val="bottom"/>
            <w:hideMark/>
          </w:tcPr>
          <w:p w:rsidR="0024574F" w:rsidRPr="00D66B83" w:rsidRDefault="0024574F" w:rsidP="00FC6E6D">
            <w:pPr>
              <w:pStyle w:val="TexteTableauEFK"/>
              <w:spacing w:after="0"/>
              <w:rPr>
                <w:rFonts w:ascii="Arial" w:hAnsi="Arial" w:cs="Times New Roman"/>
                <w:sz w:val="20"/>
              </w:rPr>
            </w:pPr>
            <w:r w:rsidRPr="00D66B83">
              <w:rPr>
                <w:sz w:val="20"/>
              </w:rPr>
              <w:t>info@efk.admin.ch</w:t>
            </w:r>
          </w:p>
        </w:tc>
      </w:tr>
      <w:tr w:rsidR="0024574F" w:rsidRPr="00B24EB4" w:rsidTr="00FC6E6D">
        <w:trPr>
          <w:cantSplit/>
          <w:trHeight w:val="340"/>
        </w:trPr>
        <w:tc>
          <w:tcPr>
            <w:tcW w:w="3541" w:type="dxa"/>
            <w:shd w:val="clear" w:color="auto" w:fill="F2F2F2" w:themeFill="background1" w:themeFillShade="F2"/>
            <w:vAlign w:val="bottom"/>
            <w:hideMark/>
          </w:tcPr>
          <w:p w:rsidR="0024574F" w:rsidRPr="00D66B83" w:rsidRDefault="0024574F" w:rsidP="00FC6E6D">
            <w:pPr>
              <w:pStyle w:val="TexteTableauEFK"/>
              <w:spacing w:after="0"/>
              <w:rPr>
                <w:sz w:val="20"/>
              </w:rPr>
            </w:pPr>
            <w:r w:rsidRPr="00D66B83">
              <w:rPr>
                <w:sz w:val="20"/>
              </w:rPr>
              <w:t>Informazioni complementari</w:t>
            </w:r>
          </w:p>
        </w:tc>
        <w:tc>
          <w:tcPr>
            <w:tcW w:w="5462" w:type="dxa"/>
            <w:shd w:val="clear" w:color="auto" w:fill="F2F2F2" w:themeFill="background1" w:themeFillShade="F2"/>
            <w:vAlign w:val="bottom"/>
            <w:hideMark/>
          </w:tcPr>
          <w:p w:rsidR="0024574F" w:rsidRPr="00D66B83" w:rsidRDefault="0024574F" w:rsidP="00FC6E6D">
            <w:pPr>
              <w:pStyle w:val="TexteTableauEFK"/>
              <w:spacing w:after="0"/>
              <w:rPr>
                <w:rFonts w:ascii="Arial" w:hAnsi="Arial" w:cs="Times New Roman"/>
                <w:sz w:val="20"/>
              </w:rPr>
            </w:pPr>
            <w:r w:rsidRPr="00D66B83">
              <w:rPr>
                <w:sz w:val="20"/>
              </w:rPr>
              <w:t>twitter:  @EFK_CDF_SFAO</w:t>
            </w:r>
          </w:p>
        </w:tc>
      </w:tr>
      <w:tr w:rsidR="0024574F" w:rsidRPr="00B24EB4" w:rsidTr="00FC6E6D">
        <w:trPr>
          <w:cantSplit/>
          <w:trHeight w:val="340"/>
        </w:trPr>
        <w:tc>
          <w:tcPr>
            <w:tcW w:w="3541" w:type="dxa"/>
            <w:shd w:val="clear" w:color="auto" w:fill="F2F2F2" w:themeFill="background1" w:themeFillShade="F2"/>
            <w:vAlign w:val="bottom"/>
            <w:hideMark/>
          </w:tcPr>
          <w:p w:rsidR="0024574F" w:rsidRPr="00D66B83" w:rsidRDefault="0024574F" w:rsidP="00FC6E6D">
            <w:pPr>
              <w:pStyle w:val="TexteTableauEFK"/>
              <w:spacing w:after="0"/>
              <w:rPr>
                <w:sz w:val="20"/>
              </w:rPr>
            </w:pPr>
            <w:r w:rsidRPr="00D66B83">
              <w:rPr>
                <w:sz w:val="20"/>
              </w:rPr>
              <w:t xml:space="preserve">Additional information </w:t>
            </w:r>
          </w:p>
        </w:tc>
        <w:tc>
          <w:tcPr>
            <w:tcW w:w="5462" w:type="dxa"/>
            <w:shd w:val="clear" w:color="auto" w:fill="F2F2F2" w:themeFill="background1" w:themeFillShade="F2"/>
            <w:vAlign w:val="bottom"/>
            <w:hideMark/>
          </w:tcPr>
          <w:p w:rsidR="0024574F" w:rsidRPr="00D66B83" w:rsidRDefault="0024574F" w:rsidP="00FC6E6D">
            <w:pPr>
              <w:pStyle w:val="TexteTableauEFK"/>
              <w:spacing w:after="0"/>
              <w:rPr>
                <w:rFonts w:ascii="Arial" w:hAnsi="Arial" w:cs="Times New Roman"/>
                <w:sz w:val="20"/>
              </w:rPr>
            </w:pPr>
            <w:r w:rsidRPr="00D66B83">
              <w:rPr>
                <w:sz w:val="20"/>
              </w:rPr>
              <w:t>+ 41 58 463 11 11</w:t>
            </w:r>
          </w:p>
        </w:tc>
      </w:tr>
      <w:tr w:rsidR="0024574F" w:rsidRPr="00B24EB4" w:rsidTr="00FC6E6D">
        <w:trPr>
          <w:cantSplit/>
          <w:trHeight w:val="340"/>
        </w:trPr>
        <w:tc>
          <w:tcPr>
            <w:tcW w:w="3541" w:type="dxa"/>
            <w:shd w:val="clear" w:color="auto" w:fill="FFFFFF" w:themeFill="background1"/>
            <w:vAlign w:val="bottom"/>
            <w:hideMark/>
          </w:tcPr>
          <w:p w:rsidR="0024574F" w:rsidRPr="00D66B83" w:rsidRDefault="0024574F" w:rsidP="00FC6E6D">
            <w:pPr>
              <w:pStyle w:val="TexteTableauEFK"/>
              <w:spacing w:after="0"/>
              <w:rPr>
                <w:sz w:val="20"/>
              </w:rPr>
            </w:pPr>
            <w:r w:rsidRPr="00D66B83">
              <w:rPr>
                <w:sz w:val="20"/>
              </w:rPr>
              <w:t>Abdruck</w:t>
            </w:r>
          </w:p>
        </w:tc>
        <w:tc>
          <w:tcPr>
            <w:tcW w:w="5462" w:type="dxa"/>
            <w:shd w:val="clear" w:color="auto" w:fill="FFFFFF" w:themeFill="background1"/>
            <w:vAlign w:val="bottom"/>
            <w:hideMark/>
          </w:tcPr>
          <w:p w:rsidR="0024574F" w:rsidRPr="00D66B83" w:rsidRDefault="0024574F" w:rsidP="00FC6E6D">
            <w:pPr>
              <w:pStyle w:val="TexteTableauEFK"/>
              <w:spacing w:after="0"/>
              <w:rPr>
                <w:rFonts w:ascii="Arial" w:hAnsi="Arial"/>
                <w:sz w:val="20"/>
              </w:rPr>
            </w:pPr>
            <w:r w:rsidRPr="00D66B83">
              <w:rPr>
                <w:sz w:val="20"/>
              </w:rPr>
              <w:t>Gestattet (mit Quellenvermerk)</w:t>
            </w:r>
          </w:p>
        </w:tc>
      </w:tr>
      <w:tr w:rsidR="0024574F" w:rsidRPr="00962787" w:rsidTr="00FC6E6D">
        <w:trPr>
          <w:cantSplit/>
          <w:trHeight w:val="340"/>
        </w:trPr>
        <w:tc>
          <w:tcPr>
            <w:tcW w:w="3541" w:type="dxa"/>
            <w:shd w:val="clear" w:color="auto" w:fill="FFFFFF" w:themeFill="background1"/>
            <w:vAlign w:val="bottom"/>
            <w:hideMark/>
          </w:tcPr>
          <w:p w:rsidR="0024574F" w:rsidRPr="00D66B83" w:rsidRDefault="0024574F" w:rsidP="00FC6E6D">
            <w:pPr>
              <w:pStyle w:val="TexteTableauEFK"/>
              <w:spacing w:after="0"/>
              <w:rPr>
                <w:sz w:val="20"/>
              </w:rPr>
            </w:pPr>
            <w:r w:rsidRPr="00D66B83">
              <w:rPr>
                <w:sz w:val="20"/>
              </w:rPr>
              <w:t>Reproduction</w:t>
            </w:r>
          </w:p>
        </w:tc>
        <w:tc>
          <w:tcPr>
            <w:tcW w:w="5462" w:type="dxa"/>
            <w:shd w:val="clear" w:color="auto" w:fill="FFFFFF" w:themeFill="background1"/>
            <w:vAlign w:val="bottom"/>
            <w:hideMark/>
          </w:tcPr>
          <w:p w:rsidR="0024574F" w:rsidRPr="00D66B83" w:rsidRDefault="0024574F" w:rsidP="00FC6E6D">
            <w:pPr>
              <w:pStyle w:val="TexteTableauEFK"/>
              <w:spacing w:after="0"/>
              <w:rPr>
                <w:rFonts w:ascii="Arial" w:hAnsi="Arial"/>
                <w:sz w:val="20"/>
                <w:lang w:val="fr-FR"/>
              </w:rPr>
            </w:pPr>
            <w:r w:rsidRPr="00D66B83">
              <w:rPr>
                <w:sz w:val="20"/>
                <w:lang w:val="fr-FR"/>
              </w:rPr>
              <w:t>Autorisée (merci de mentionner la source)</w:t>
            </w:r>
          </w:p>
        </w:tc>
      </w:tr>
      <w:tr w:rsidR="0024574F" w:rsidRPr="00B24EB4" w:rsidTr="00FC6E6D">
        <w:trPr>
          <w:cantSplit/>
          <w:trHeight w:val="340"/>
        </w:trPr>
        <w:tc>
          <w:tcPr>
            <w:tcW w:w="3541" w:type="dxa"/>
            <w:shd w:val="clear" w:color="auto" w:fill="FFFFFF" w:themeFill="background1"/>
            <w:vAlign w:val="bottom"/>
            <w:hideMark/>
          </w:tcPr>
          <w:p w:rsidR="0024574F" w:rsidRPr="00D66B83" w:rsidRDefault="0024574F" w:rsidP="00FC6E6D">
            <w:pPr>
              <w:pStyle w:val="TexteTableauEFK"/>
              <w:spacing w:after="0"/>
              <w:rPr>
                <w:sz w:val="20"/>
              </w:rPr>
            </w:pPr>
            <w:r w:rsidRPr="00D66B83">
              <w:rPr>
                <w:sz w:val="20"/>
              </w:rPr>
              <w:t>Riproduzione</w:t>
            </w:r>
          </w:p>
        </w:tc>
        <w:tc>
          <w:tcPr>
            <w:tcW w:w="5462" w:type="dxa"/>
            <w:shd w:val="clear" w:color="auto" w:fill="FFFFFF" w:themeFill="background1"/>
            <w:vAlign w:val="bottom"/>
            <w:hideMark/>
          </w:tcPr>
          <w:p w:rsidR="0024574F" w:rsidRPr="00D66B83" w:rsidRDefault="0024574F" w:rsidP="00FC6E6D">
            <w:pPr>
              <w:pStyle w:val="TexteTableauEFK"/>
              <w:spacing w:after="0"/>
              <w:rPr>
                <w:rFonts w:ascii="Arial" w:hAnsi="Arial"/>
                <w:sz w:val="20"/>
              </w:rPr>
            </w:pPr>
            <w:r w:rsidRPr="00D66B83">
              <w:rPr>
                <w:sz w:val="20"/>
              </w:rPr>
              <w:t>Autorizzata (indicare la fonte)</w:t>
            </w:r>
          </w:p>
        </w:tc>
      </w:tr>
      <w:tr w:rsidR="0024574F" w:rsidRPr="00DB6464" w:rsidTr="00FC6E6D">
        <w:trPr>
          <w:cantSplit/>
          <w:trHeight w:val="340"/>
        </w:trPr>
        <w:tc>
          <w:tcPr>
            <w:tcW w:w="3541" w:type="dxa"/>
            <w:shd w:val="clear" w:color="auto" w:fill="FFFFFF" w:themeFill="background1"/>
            <w:vAlign w:val="bottom"/>
            <w:hideMark/>
          </w:tcPr>
          <w:p w:rsidR="0024574F" w:rsidRPr="00D66B83" w:rsidRDefault="0024574F" w:rsidP="00FC6E6D">
            <w:pPr>
              <w:pStyle w:val="TexteTableauEFK"/>
              <w:spacing w:after="0"/>
              <w:rPr>
                <w:sz w:val="20"/>
              </w:rPr>
            </w:pPr>
            <w:r w:rsidRPr="00D66B83">
              <w:rPr>
                <w:sz w:val="20"/>
              </w:rPr>
              <w:t>Reprint</w:t>
            </w:r>
          </w:p>
        </w:tc>
        <w:tc>
          <w:tcPr>
            <w:tcW w:w="5462" w:type="dxa"/>
            <w:shd w:val="clear" w:color="auto" w:fill="FFFFFF" w:themeFill="background1"/>
            <w:vAlign w:val="bottom"/>
            <w:hideMark/>
          </w:tcPr>
          <w:p w:rsidR="0024574F" w:rsidRPr="00D66B83" w:rsidRDefault="0024574F" w:rsidP="00FC6E6D">
            <w:pPr>
              <w:pStyle w:val="TexteTableauEFK"/>
              <w:spacing w:after="0"/>
              <w:rPr>
                <w:rFonts w:ascii="Arial" w:hAnsi="Arial" w:cs="Times New Roman"/>
                <w:sz w:val="20"/>
              </w:rPr>
            </w:pPr>
            <w:r w:rsidRPr="00D66B83">
              <w:rPr>
                <w:sz w:val="20"/>
              </w:rPr>
              <w:t>Authorized (please mention source)</w:t>
            </w:r>
          </w:p>
        </w:tc>
      </w:tr>
    </w:tbl>
    <w:p w:rsidR="00430B0A" w:rsidRPr="00C71725" w:rsidRDefault="00430B0A">
      <w:pPr>
        <w:jc w:val="left"/>
      </w:pPr>
      <w:r w:rsidRPr="00C71725">
        <w:br w:type="page"/>
      </w:r>
    </w:p>
    <w:p w:rsidR="00FC6E6D" w:rsidRPr="00DB0547" w:rsidRDefault="00FC6E6D" w:rsidP="00FC6E6D">
      <w:pPr>
        <w:pStyle w:val="Titre1EFK"/>
      </w:pPr>
      <w:r>
        <w:lastRenderedPageBreak/>
        <w:t xml:space="preserve">Table of Contents </w:t>
      </w:r>
    </w:p>
    <w:p w:rsidR="00FC6E6D" w:rsidRPr="00DB0547" w:rsidRDefault="00FC6E6D" w:rsidP="00FC6E6D">
      <w:pPr>
        <w:pStyle w:val="TexteEFK"/>
        <w:tabs>
          <w:tab w:val="right" w:leader="dot" w:pos="8787"/>
        </w:tabs>
        <w:ind w:left="0"/>
        <w:rPr>
          <w:b/>
        </w:rPr>
      </w:pPr>
      <w:r>
        <w:rPr>
          <w:b/>
        </w:rPr>
        <w:t xml:space="preserve">Audit summary </w:t>
      </w:r>
      <w:r>
        <w:rPr>
          <w:b/>
        </w:rPr>
        <w:tab/>
        <w:t xml:space="preserve"> Paragraphs    1  -  3</w:t>
      </w:r>
    </w:p>
    <w:p w:rsidR="00FC6E6D" w:rsidRPr="00DB0547" w:rsidRDefault="00FC6E6D" w:rsidP="00FC6E6D">
      <w:pPr>
        <w:pStyle w:val="TexteEFK"/>
        <w:tabs>
          <w:tab w:val="right" w:leader="dot" w:pos="8787"/>
        </w:tabs>
        <w:ind w:left="0"/>
        <w:rPr>
          <w:b/>
        </w:rPr>
      </w:pPr>
      <w:r>
        <w:rPr>
          <w:b/>
        </w:rPr>
        <w:t xml:space="preserve">Regulations, standards and information </w:t>
      </w:r>
      <w:r>
        <w:rPr>
          <w:b/>
        </w:rPr>
        <w:tab/>
        <w:t xml:space="preserve"> Paragraphs   4 - 13</w:t>
      </w:r>
    </w:p>
    <w:p w:rsidR="00FC6E6D" w:rsidRPr="00DB0547" w:rsidRDefault="00FC6E6D" w:rsidP="00FC6E6D">
      <w:pPr>
        <w:pStyle w:val="TexteEFK"/>
        <w:tabs>
          <w:tab w:val="right" w:leader="dot" w:pos="8787"/>
        </w:tabs>
        <w:ind w:left="0"/>
        <w:rPr>
          <w:b/>
        </w:rPr>
      </w:pPr>
      <w:r>
        <w:rPr>
          <w:b/>
        </w:rPr>
        <w:t xml:space="preserve">Follow-up of recommendations and internal control system </w:t>
      </w:r>
      <w:r>
        <w:rPr>
          <w:b/>
        </w:rPr>
        <w:tab/>
        <w:t xml:space="preserve"> Paragraphs 14 - 20</w:t>
      </w:r>
    </w:p>
    <w:p w:rsidR="00FC6E6D" w:rsidRPr="00DB0547" w:rsidRDefault="00FC6E6D" w:rsidP="00FC6E6D">
      <w:pPr>
        <w:pStyle w:val="TexteEFK"/>
        <w:tabs>
          <w:tab w:val="right" w:leader="dot" w:pos="8787"/>
        </w:tabs>
        <w:ind w:left="0"/>
        <w:rPr>
          <w:b/>
        </w:rPr>
      </w:pPr>
      <w:r>
        <w:rPr>
          <w:b/>
        </w:rPr>
        <w:t>Production of financial statements according to IPSAS</w:t>
      </w:r>
    </w:p>
    <w:p w:rsidR="00FC6E6D" w:rsidRPr="00DB0547" w:rsidRDefault="00FC6E6D" w:rsidP="00FC6E6D">
      <w:pPr>
        <w:pStyle w:val="TexteEFK"/>
        <w:tabs>
          <w:tab w:val="right" w:leader="dot" w:pos="8787"/>
        </w:tabs>
        <w:ind w:left="0"/>
        <w:rPr>
          <w:b/>
        </w:rPr>
      </w:pPr>
      <w:r>
        <w:rPr>
          <w:b/>
        </w:rPr>
        <w:t>Audit of budget performance</w:t>
      </w:r>
      <w:r>
        <w:rPr>
          <w:b/>
        </w:rPr>
        <w:tab/>
        <w:t>Paragraphs 23 - 24</w:t>
      </w:r>
    </w:p>
    <w:p w:rsidR="00FC6E6D" w:rsidRPr="00DB0547" w:rsidRDefault="00FC6E6D" w:rsidP="00FC6E6D">
      <w:pPr>
        <w:pStyle w:val="TexteEFK"/>
        <w:tabs>
          <w:tab w:val="right" w:leader="dot" w:pos="8787"/>
        </w:tabs>
        <w:ind w:left="0"/>
        <w:rPr>
          <w:b/>
        </w:rPr>
      </w:pPr>
      <w:r>
        <w:rPr>
          <w:b/>
        </w:rPr>
        <w:t xml:space="preserve">Audit of 2017 budget performance </w:t>
      </w:r>
      <w:r>
        <w:rPr>
          <w:b/>
        </w:rPr>
        <w:tab/>
        <w:t xml:space="preserve"> Paragraphs 25 - 54</w:t>
      </w:r>
    </w:p>
    <w:p w:rsidR="00FC6E6D" w:rsidRPr="00DB0547" w:rsidRDefault="00FC6E6D" w:rsidP="00FC6E6D">
      <w:pPr>
        <w:pStyle w:val="TexteEFK"/>
        <w:tabs>
          <w:tab w:val="right" w:leader="dot" w:pos="8787"/>
        </w:tabs>
        <w:ind w:left="0"/>
        <w:rPr>
          <w:b/>
        </w:rPr>
      </w:pPr>
      <w:r>
        <w:rPr>
          <w:b/>
        </w:rPr>
        <w:t xml:space="preserve">Conclusion </w:t>
      </w:r>
      <w:r>
        <w:rPr>
          <w:b/>
        </w:rPr>
        <w:tab/>
        <w:t>Paragraph          55</w:t>
      </w:r>
    </w:p>
    <w:p w:rsidR="00FC6E6D" w:rsidRDefault="00FC6E6D" w:rsidP="00FC6E6D">
      <w:pPr>
        <w:pStyle w:val="TexteEFK"/>
        <w:tabs>
          <w:tab w:val="right" w:leader="dot" w:pos="8787"/>
        </w:tabs>
        <w:ind w:left="0"/>
        <w:rPr>
          <w:b/>
        </w:rPr>
      </w:pPr>
      <w:r>
        <w:rPr>
          <w:b/>
        </w:rPr>
        <w:t>Annex 1:  Report of the External Auditor</w:t>
      </w:r>
    </w:p>
    <w:p w:rsidR="00FC6E6D" w:rsidRPr="003A7A03" w:rsidRDefault="00FC6E6D" w:rsidP="00FC6E6D">
      <w:pPr>
        <w:pStyle w:val="TexteEFK"/>
        <w:tabs>
          <w:tab w:val="right" w:leader="dot" w:pos="8787"/>
        </w:tabs>
        <w:ind w:left="0"/>
        <w:rPr>
          <w:b/>
        </w:rPr>
      </w:pPr>
    </w:p>
    <w:p w:rsidR="00FC6E6D" w:rsidRPr="00912E13" w:rsidRDefault="00FC6E6D" w:rsidP="00FC6E6D">
      <w:pPr>
        <w:pStyle w:val="ApprciationEtRecommandationEFK"/>
        <w:ind w:left="0" w:right="-2"/>
        <w:rPr>
          <w:rFonts w:cstheme="minorHAnsi"/>
          <w:sz w:val="20"/>
          <w:szCs w:val="20"/>
        </w:rPr>
      </w:pPr>
      <w:r>
        <w:rPr>
          <w:i/>
          <w:sz w:val="20"/>
          <w:szCs w:val="20"/>
        </w:rPr>
        <w:t>The mandate of external auditor of the financial statements of the International Union for the Protection of New Varieties of Plants (UPOV) is traditionally carried out by members of the highest authority of public financial auditing of the selected country.  On the strength of this provision and in accordance with Article 25 of the International Convention of December 2, 1961, as revised in 1978, and Article 29(6) of the 1991 Act, the UPOV Council, at its Forty</w:t>
      </w:r>
      <w:r>
        <w:rPr>
          <w:i/>
          <w:sz w:val="20"/>
          <w:szCs w:val="20"/>
        </w:rPr>
        <w:noBreakHyphen/>
        <w:t>Fifth Ordinary Session held in Geneva on October 20, 2011, renewed Switzerland’s mandate as Auditor, which is performed by the Director of the Swiss Federal Audit Office (“my Office”), until the year 2017 inclusive.</w:t>
      </w:r>
    </w:p>
    <w:p w:rsidR="00FC6E6D" w:rsidRPr="00912E13" w:rsidRDefault="00FC6E6D" w:rsidP="00FC6E6D">
      <w:pPr>
        <w:pStyle w:val="ApprciationEtRecommandationEFK"/>
        <w:ind w:left="0" w:right="-2"/>
        <w:rPr>
          <w:rFonts w:cstheme="minorHAnsi"/>
          <w:sz w:val="20"/>
          <w:szCs w:val="20"/>
        </w:rPr>
      </w:pPr>
      <w:r>
        <w:rPr>
          <w:i/>
          <w:sz w:val="20"/>
          <w:szCs w:val="20"/>
        </w:rPr>
        <w:t>The mandate is set out in Annex II of the Financial Regulations and Rules of UPOV.  The arrangements for the audit were also set out in the letter of May 13, 2013 confirming the mandate and UPOV accepted these terms in its response of May 28, 2013.  The members of my Office responsible for this mandate carry out their duties autonomously and independently with the help of their colleagues.</w:t>
      </w:r>
    </w:p>
    <w:p w:rsidR="00FC6E6D" w:rsidRDefault="00FC6E6D" w:rsidP="00FC6E6D">
      <w:pPr>
        <w:pStyle w:val="ApprciationEtRecommandationEFK"/>
        <w:ind w:left="0" w:right="-2"/>
        <w:rPr>
          <w:rFonts w:cs="Tahoma"/>
          <w:i/>
          <w:sz w:val="20"/>
          <w:szCs w:val="20"/>
        </w:rPr>
      </w:pPr>
      <w:r>
        <w:rPr>
          <w:i/>
          <w:sz w:val="20"/>
          <w:szCs w:val="20"/>
        </w:rPr>
        <w:t>My Office carries out external audits of the accounts of UPOV in a completely independent manner from its role as the supreme organ of financial supervision of the Swiss Confederation.  My Office employs a team of highly-qualified professionals with broad experience of audits in international organizations.</w:t>
      </w:r>
    </w:p>
    <w:p w:rsidR="00FC6E6D" w:rsidRPr="0021538E" w:rsidRDefault="00FC6E6D" w:rsidP="00FC6E6D">
      <w:pPr>
        <w:pStyle w:val="RecommandationTitreEFK"/>
        <w:ind w:left="0" w:right="-2"/>
        <w:rPr>
          <w:sz w:val="20"/>
          <w:szCs w:val="20"/>
        </w:rPr>
      </w:pPr>
      <w:r>
        <w:rPr>
          <w:i/>
          <w:sz w:val="20"/>
          <w:szCs w:val="20"/>
        </w:rPr>
        <w:t>For more information, please contact:</w:t>
      </w:r>
    </w:p>
    <w:p w:rsidR="00FC6E6D" w:rsidRPr="007C2826" w:rsidRDefault="00FC6E6D" w:rsidP="00FC6E6D">
      <w:pPr>
        <w:pStyle w:val="ApprciationEtRecommandationEFK"/>
        <w:ind w:left="0" w:right="-2"/>
        <w:rPr>
          <w:rFonts w:cstheme="minorHAnsi"/>
          <w:i/>
          <w:sz w:val="20"/>
          <w:szCs w:val="20"/>
        </w:rPr>
      </w:pPr>
      <w:r>
        <w:rPr>
          <w:i/>
          <w:sz w:val="20"/>
          <w:szCs w:val="20"/>
        </w:rPr>
        <w:t>Mr. Eric-Serge Jeannet, Vice Director, Tel. +41 58 463 10 39, eric-serge.jeannet@efk.admin.ch</w:t>
      </w:r>
    </w:p>
    <w:p w:rsidR="00FC6E6D" w:rsidRPr="00FC6E6D" w:rsidRDefault="00FC6E6D" w:rsidP="00FC6E6D">
      <w:pPr>
        <w:pStyle w:val="ApprciationEtRecommandationEFK"/>
        <w:ind w:left="0" w:right="-2"/>
        <w:rPr>
          <w:i/>
          <w:sz w:val="20"/>
          <w:szCs w:val="20"/>
        </w:rPr>
      </w:pPr>
      <w:r>
        <w:rPr>
          <w:i/>
          <w:sz w:val="20"/>
          <w:szCs w:val="20"/>
        </w:rPr>
        <w:t xml:space="preserve">Mr. Didier Monnot, Officer in charge of mandates, Tel. +41 58 463 10 </w:t>
      </w:r>
      <w:r w:rsidRPr="00FC6E6D">
        <w:rPr>
          <w:i/>
          <w:sz w:val="20"/>
          <w:szCs w:val="20"/>
        </w:rPr>
        <w:t>48, didier.monnot@efk.admin.ch</w:t>
      </w:r>
    </w:p>
    <w:p w:rsidR="00FC6E6D" w:rsidRPr="003A7A03" w:rsidRDefault="00FC6E6D" w:rsidP="00FC6E6D">
      <w:pPr>
        <w:pStyle w:val="TexteEFK"/>
        <w:ind w:left="0" w:right="-144"/>
      </w:pPr>
    </w:p>
    <w:p w:rsidR="00FC6E6D" w:rsidRPr="003A7A03" w:rsidRDefault="00FC6E6D" w:rsidP="00FC6E6D">
      <w:pPr>
        <w:pStyle w:val="TexteEFK"/>
      </w:pPr>
    </w:p>
    <w:p w:rsidR="00FC6E6D" w:rsidRDefault="00FC6E6D">
      <w:pPr>
        <w:jc w:val="left"/>
      </w:pPr>
      <w:bookmarkStart w:id="1" w:name="_Toc141244004"/>
      <w:r>
        <w:br w:type="page"/>
      </w:r>
    </w:p>
    <w:p w:rsidR="00FC6E6D" w:rsidRPr="005638F1" w:rsidRDefault="00FC6E6D" w:rsidP="00FC6E6D">
      <w:pPr>
        <w:pStyle w:val="AnnexeTitreEFK"/>
        <w:pageBreakBefore w:val="0"/>
        <w:spacing w:after="120"/>
        <w:ind w:left="0"/>
        <w:rPr>
          <w:rFonts w:cstheme="minorHAnsi"/>
        </w:rPr>
      </w:pPr>
      <w:r w:rsidRPr="005638F1">
        <w:rPr>
          <w:rFonts w:cstheme="minorHAnsi"/>
        </w:rPr>
        <w:lastRenderedPageBreak/>
        <w:t>Audit of 2017 financial statements</w:t>
      </w:r>
    </w:p>
    <w:p w:rsidR="00FC6E6D" w:rsidRPr="005638F1" w:rsidRDefault="00FC6E6D" w:rsidP="00FC6E6D">
      <w:pPr>
        <w:pStyle w:val="AnnexeTitreEFK"/>
        <w:pageBreakBefore w:val="0"/>
        <w:ind w:left="0"/>
        <w:rPr>
          <w:rFonts w:cstheme="minorHAnsi"/>
          <w:sz w:val="32"/>
        </w:rPr>
      </w:pPr>
      <w:r w:rsidRPr="005638F1">
        <w:rPr>
          <w:rFonts w:cstheme="minorHAnsi"/>
          <w:sz w:val="32"/>
        </w:rPr>
        <w:t>International Union for the Protection of New Varieties of Plants (UPOV)</w:t>
      </w:r>
    </w:p>
    <w:p w:rsidR="00FC6E6D" w:rsidRPr="005638F1" w:rsidRDefault="00FC6E6D" w:rsidP="000A2023">
      <w:pPr>
        <w:pStyle w:val="Titre2EFK"/>
        <w:pBdr>
          <w:bottom w:val="single" w:sz="4" w:space="1" w:color="C00000"/>
        </w:pBdr>
        <w:rPr>
          <w:rFonts w:cstheme="minorHAnsi"/>
        </w:rPr>
      </w:pPr>
      <w:bookmarkStart w:id="2" w:name="_Toc487026913"/>
      <w:r w:rsidRPr="005638F1">
        <w:rPr>
          <w:rFonts w:cstheme="minorHAnsi"/>
        </w:rPr>
        <w:t>Audit summary</w:t>
      </w:r>
      <w:bookmarkEnd w:id="2"/>
    </w:p>
    <w:p w:rsidR="00FC6E6D" w:rsidRPr="005638F1" w:rsidRDefault="00FC6E6D" w:rsidP="00FC6E6D">
      <w:pPr>
        <w:pStyle w:val="TexteNumroEFK"/>
        <w:ind w:left="502"/>
        <w:rPr>
          <w:rFonts w:cstheme="minorHAnsi"/>
        </w:rPr>
      </w:pPr>
      <w:r w:rsidRPr="005638F1">
        <w:rPr>
          <w:rFonts w:cstheme="minorHAnsi"/>
        </w:rPr>
        <w:t>The Swiss Federal Audit Office (SFAO) would like to start by stating that this audit coincides with its latest mission to the International Union for the Protection of New Varieties of Plants (UPOV).  On this occasion, the SFAO wishes to reiterate its thanks to UPOV for all these long years of fruitful collaboration and presents its best wishes for the future.</w:t>
      </w:r>
    </w:p>
    <w:p w:rsidR="00FC6E6D" w:rsidRPr="005638F1" w:rsidRDefault="00FC6E6D" w:rsidP="00FC6E6D">
      <w:pPr>
        <w:pStyle w:val="TexteNumroEFK"/>
        <w:ind w:left="502"/>
        <w:rPr>
          <w:rFonts w:cstheme="minorHAnsi"/>
        </w:rPr>
      </w:pPr>
      <w:r w:rsidRPr="005638F1">
        <w:rPr>
          <w:rFonts w:cstheme="minorHAnsi"/>
        </w:rPr>
        <w:t>The 2017 financial statements of UPOV have been presented in accordance with the International Public Sector Accounting Standards (IPSAS).  The auditing of these statements yielded a good result overall and SFAO is in a position to issue an audit opinion without any reservations.  Audit tests on the accounts enabled SFAO to establish that the accounting records are properly maintained and the quality of the 2017 financial statements is good.</w:t>
      </w:r>
    </w:p>
    <w:p w:rsidR="00FC6E6D" w:rsidRPr="005638F1" w:rsidRDefault="00FC6E6D" w:rsidP="00FC6E6D">
      <w:pPr>
        <w:spacing w:after="120"/>
        <w:rPr>
          <w:rFonts w:asciiTheme="minorHAnsi" w:hAnsiTheme="minorHAnsi" w:cstheme="minorHAnsi"/>
          <w:b/>
          <w:sz w:val="22"/>
          <w:szCs w:val="22"/>
        </w:rPr>
      </w:pPr>
      <w:r w:rsidRPr="005638F1">
        <w:rPr>
          <w:rFonts w:asciiTheme="minorHAnsi" w:hAnsiTheme="minorHAnsi" w:cstheme="minorHAnsi"/>
          <w:b/>
          <w:sz w:val="22"/>
          <w:szCs w:val="22"/>
        </w:rPr>
        <w:t>Successful early implementation of IPSAS 39</w:t>
      </w:r>
    </w:p>
    <w:p w:rsidR="00FC6E6D" w:rsidRPr="005638F1" w:rsidRDefault="00FC6E6D" w:rsidP="00FC6E6D">
      <w:pPr>
        <w:pStyle w:val="TexteNumroEFK"/>
        <w:ind w:left="502"/>
        <w:rPr>
          <w:rFonts w:cstheme="minorHAnsi"/>
        </w:rPr>
      </w:pPr>
      <w:r w:rsidRPr="005638F1">
        <w:rPr>
          <w:rFonts w:cstheme="minorHAnsi"/>
        </w:rPr>
        <w:t>During the year under review, UPOV decided to implement IPSAS 39 on employee benefits early.  Indeed, since the 2016 financial statements had to be readjusted in any case, to ensure their compliance with the new standard, UPOV took advantage of the end of the 2016-2017 biennium to do this.  The readjustments were made thanks to the actuarial expertise of the specialized firm Mercer SA.  The result was a significant decrease of over 993,000 Swiss francs in net assets, mainly due to discontinuation of the “corridor method” previously applied under IPSAS 25.</w:t>
      </w:r>
    </w:p>
    <w:p w:rsidR="00FC6E6D" w:rsidRPr="005638F1" w:rsidRDefault="00FC6E6D" w:rsidP="00FC6E6D">
      <w:pPr>
        <w:pStyle w:val="TexteNumroEFK"/>
        <w:numPr>
          <w:ilvl w:val="0"/>
          <w:numId w:val="0"/>
        </w:numPr>
        <w:ind w:left="502"/>
        <w:rPr>
          <w:rFonts w:cstheme="minorHAnsi"/>
        </w:rPr>
      </w:pPr>
      <w:r w:rsidRPr="005638F1">
        <w:rPr>
          <w:rFonts w:cstheme="minorHAnsi"/>
        </w:rPr>
        <w:br w:type="page"/>
      </w:r>
    </w:p>
    <w:p w:rsidR="00FC6E6D" w:rsidRPr="005638F1" w:rsidRDefault="00FC6E6D" w:rsidP="00FC6E6D">
      <w:pPr>
        <w:pStyle w:val="AnnexeTitreEFK"/>
        <w:rPr>
          <w:rFonts w:cstheme="minorHAnsi"/>
        </w:rPr>
      </w:pPr>
      <w:bookmarkStart w:id="3" w:name="_Toc487026914"/>
      <w:bookmarkStart w:id="4" w:name="_Toc431994993"/>
      <w:bookmarkStart w:id="5" w:name="_Toc463938609"/>
      <w:r w:rsidRPr="005638F1">
        <w:rPr>
          <w:rFonts w:cstheme="minorHAnsi"/>
        </w:rPr>
        <w:lastRenderedPageBreak/>
        <w:t>Regulations, standards and information</w:t>
      </w:r>
      <w:bookmarkEnd w:id="3"/>
      <w:r w:rsidRPr="005638F1">
        <w:rPr>
          <w:rFonts w:cstheme="minorHAnsi"/>
        </w:rPr>
        <w:t xml:space="preserve"> </w:t>
      </w:r>
    </w:p>
    <w:p w:rsidR="00FC6E6D" w:rsidRPr="005638F1" w:rsidRDefault="00FC6E6D" w:rsidP="00FC6E6D">
      <w:pPr>
        <w:pStyle w:val="Titre2NoEFK"/>
        <w:rPr>
          <w:rFonts w:cstheme="minorHAnsi"/>
        </w:rPr>
      </w:pPr>
      <w:bookmarkStart w:id="6" w:name="_Toc487026915"/>
      <w:r w:rsidRPr="005638F1">
        <w:rPr>
          <w:rFonts w:cstheme="minorHAnsi"/>
        </w:rPr>
        <w:t>Financial regulations and subject of audit</w:t>
      </w:r>
      <w:bookmarkEnd w:id="6"/>
    </w:p>
    <w:p w:rsidR="00FC6E6D" w:rsidRPr="005638F1" w:rsidRDefault="00FC6E6D" w:rsidP="00FC6E6D">
      <w:pPr>
        <w:pStyle w:val="TexteNumroEFK"/>
        <w:ind w:left="502"/>
        <w:rPr>
          <w:rFonts w:cstheme="minorHAnsi"/>
        </w:rPr>
      </w:pPr>
      <w:r w:rsidRPr="005638F1">
        <w:rPr>
          <w:rFonts w:cstheme="minorHAnsi"/>
        </w:rPr>
        <w:t>The Union’s financial years are governed by the relevant provisions of the various Conventions, and by the Financial Regulations and Rules of UPOV</w:t>
      </w:r>
      <w:r w:rsidRPr="005638F1">
        <w:rPr>
          <w:rStyle w:val="FootnoteReference"/>
          <w:rFonts w:cstheme="minorHAnsi"/>
        </w:rPr>
        <w:footnoteReference w:id="2"/>
      </w:r>
      <w:r w:rsidRPr="005638F1">
        <w:rPr>
          <w:rFonts w:cstheme="minorHAnsi"/>
        </w:rPr>
        <w:t xml:space="preserve"> in accordance with IPSAS.</w:t>
      </w:r>
    </w:p>
    <w:p w:rsidR="00FC6E6D" w:rsidRPr="005638F1" w:rsidRDefault="00FC6E6D" w:rsidP="00FC6E6D">
      <w:pPr>
        <w:pStyle w:val="TexteNumroEFK"/>
        <w:ind w:left="502"/>
        <w:rPr>
          <w:rFonts w:cstheme="minorHAnsi"/>
        </w:rPr>
      </w:pPr>
      <w:r w:rsidRPr="005638F1">
        <w:rPr>
          <w:rFonts w:cstheme="minorHAnsi"/>
        </w:rPr>
        <w:t>The audit related to the financial statements of the Union as at December 31, 2017, including the Statement of Financial Position (Statement I), the Statement of Financial Performance (Statement II), the Statement of Changes in Net Assets (Statement III), the Statement of Cash Flow (Statement IV) and the Statement of Comparison of Budget and Actual Amounts (Statement V).  A summary of the significant accounting policies and other explanatory notes are attached to the statements.</w:t>
      </w:r>
    </w:p>
    <w:p w:rsidR="00FC6E6D" w:rsidRPr="005638F1" w:rsidRDefault="00FC6E6D" w:rsidP="00FC6E6D">
      <w:pPr>
        <w:pStyle w:val="Titre2NoEFK"/>
        <w:rPr>
          <w:rFonts w:cstheme="minorHAnsi"/>
        </w:rPr>
      </w:pPr>
      <w:r w:rsidRPr="005638F1">
        <w:rPr>
          <w:rFonts w:cstheme="minorHAnsi"/>
        </w:rPr>
        <w:t>Auditing standards, information and acknowledgements</w:t>
      </w:r>
    </w:p>
    <w:p w:rsidR="00FC6E6D" w:rsidRPr="005638F1" w:rsidRDefault="00FC6E6D" w:rsidP="00FC6E6D">
      <w:pPr>
        <w:pStyle w:val="TexteNumroEFK"/>
        <w:ind w:left="502"/>
        <w:rPr>
          <w:rFonts w:cstheme="minorHAnsi"/>
        </w:rPr>
      </w:pPr>
      <w:r w:rsidRPr="005638F1">
        <w:rPr>
          <w:rFonts w:cstheme="minorHAnsi"/>
        </w:rPr>
        <w:t>The audit was carried out in accordance with the International Standards on Auditing (ISA),</w:t>
      </w:r>
      <w:r w:rsidRPr="005638F1">
        <w:rPr>
          <w:rStyle w:val="FootnoteReference"/>
          <w:rFonts w:cstheme="minorHAnsi"/>
        </w:rPr>
        <w:footnoteReference w:id="3"/>
      </w:r>
      <w:r w:rsidRPr="005638F1">
        <w:rPr>
          <w:rFonts w:cstheme="minorHAnsi"/>
        </w:rPr>
        <w:t xml:space="preserve"> while also observing the additional Terms of Reference forming an integral part of the Financial Regulations and Rules of UPOV.</w:t>
      </w:r>
    </w:p>
    <w:p w:rsidR="00FC6E6D" w:rsidRPr="005638F1" w:rsidRDefault="00FC6E6D" w:rsidP="00FC6E6D">
      <w:pPr>
        <w:pStyle w:val="TexteNumroEFK"/>
        <w:ind w:left="502"/>
        <w:rPr>
          <w:rFonts w:cstheme="minorHAnsi"/>
        </w:rPr>
      </w:pPr>
      <w:r w:rsidRPr="005638F1">
        <w:rPr>
          <w:rFonts w:cstheme="minorHAnsi"/>
        </w:rPr>
        <w:t>The International Standards on Auditing set out the role of the auditor with regard to the risk of anomalies in financial statements that might arise from fraud or errors (ISA 240).  Accordingly, the External Auditor performed specific procedures in this area.</w:t>
      </w:r>
    </w:p>
    <w:p w:rsidR="00FC6E6D" w:rsidRPr="005638F1" w:rsidRDefault="00FC6E6D" w:rsidP="00FC6E6D">
      <w:pPr>
        <w:pStyle w:val="TexteNumroEFK"/>
        <w:ind w:left="502"/>
        <w:rPr>
          <w:rFonts w:cstheme="minorHAnsi"/>
        </w:rPr>
      </w:pPr>
      <w:r w:rsidRPr="005638F1">
        <w:rPr>
          <w:rFonts w:cstheme="minorHAnsi"/>
        </w:rPr>
        <w:t>Where audits by means of random sampling were carried out, my colleagues selected the samples based on the risks or relative size of the amounts recorded under the headings examined.</w:t>
      </w:r>
    </w:p>
    <w:p w:rsidR="00FC6E6D" w:rsidRPr="005638F1" w:rsidRDefault="00FC6E6D" w:rsidP="00FC6E6D">
      <w:pPr>
        <w:pStyle w:val="TexteNumroEFK"/>
        <w:ind w:left="502"/>
        <w:rPr>
          <w:rFonts w:cstheme="minorHAnsi"/>
        </w:rPr>
      </w:pPr>
      <w:r w:rsidRPr="005638F1">
        <w:rPr>
          <w:rFonts w:cstheme="minorHAnsi"/>
        </w:rPr>
        <w:t>Matters of minor importance that were clarified and discussed with those responsible during the audit are not included in this report.</w:t>
      </w:r>
    </w:p>
    <w:p w:rsidR="00FC6E6D" w:rsidRPr="005638F1" w:rsidRDefault="00FC6E6D" w:rsidP="00FC6E6D">
      <w:pPr>
        <w:pStyle w:val="TexteNumroEFK"/>
        <w:ind w:left="502"/>
        <w:rPr>
          <w:rFonts w:cstheme="minorHAnsi"/>
        </w:rPr>
      </w:pPr>
      <w:r w:rsidRPr="005638F1">
        <w:rPr>
          <w:rFonts w:cstheme="minorHAnsi"/>
        </w:rPr>
        <w:t xml:space="preserve">The CDF wishes to highlight the excellent cooperation and the openness that characterized the audit process and to convey its thanks for the readiness with which documents and information were provided by all staff of UPOV and WIPO who were contacted. </w:t>
      </w:r>
    </w:p>
    <w:p w:rsidR="00FC6E6D" w:rsidRPr="005638F1" w:rsidRDefault="00FC6E6D" w:rsidP="00FC6E6D">
      <w:pPr>
        <w:pStyle w:val="TexteNumroEFK"/>
        <w:ind w:left="502"/>
        <w:rPr>
          <w:rFonts w:cstheme="minorHAnsi"/>
        </w:rPr>
      </w:pPr>
      <w:r w:rsidRPr="005638F1">
        <w:rPr>
          <w:rFonts w:cstheme="minorHAnsi"/>
        </w:rPr>
        <w:t>During our audit, Ms. Virginie Bugnon and Mr. Ariel Decrauzat, auditors at SFAO, regularly met with various staff from UPOV and WIPO.  All the information and documents required to complete our work were provided to them.  The results of the audit were provided to the Vice-Secretary-General of UPOV, during the final discussion on Friday, May 25, 2018.</w:t>
      </w:r>
    </w:p>
    <w:p w:rsidR="00FC6E6D" w:rsidRPr="005638F1" w:rsidRDefault="00FC6E6D" w:rsidP="00075B25">
      <w:pPr>
        <w:pStyle w:val="TexteNumroEFK"/>
        <w:ind w:left="502"/>
        <w:rPr>
          <w:rFonts w:cstheme="minorHAnsi"/>
        </w:rPr>
      </w:pPr>
      <w:r w:rsidRPr="005638F1">
        <w:rPr>
          <w:rFonts w:cstheme="minorHAnsi"/>
        </w:rPr>
        <w:t>In accordance with item 11 of the Additional Terms of Reference Governing External Audit concerning the comments of the Secretary-General to be included in the present report, we received confirmation by e-mail on May 25, 2018, from his staff that there were no additional comments.</w:t>
      </w:r>
    </w:p>
    <w:p w:rsidR="00FC6E6D" w:rsidRPr="005638F1" w:rsidRDefault="00FC6E6D" w:rsidP="00FC6E6D">
      <w:pPr>
        <w:pStyle w:val="TexteNumroEFK"/>
        <w:ind w:left="502"/>
        <w:rPr>
          <w:rFonts w:cstheme="minorHAnsi"/>
        </w:rPr>
      </w:pPr>
      <w:r w:rsidRPr="005638F1">
        <w:rPr>
          <w:rFonts w:cstheme="minorHAnsi"/>
        </w:rPr>
        <w:t>The original drafting language of this report is French and we note that the French version is the authoritative text.</w:t>
      </w:r>
    </w:p>
    <w:p w:rsidR="00FC6E6D" w:rsidRPr="005638F1" w:rsidRDefault="00FC6E6D" w:rsidP="00FC6E6D">
      <w:pPr>
        <w:pStyle w:val="AnnexeTitreEFK"/>
        <w:rPr>
          <w:rFonts w:cstheme="minorHAnsi"/>
        </w:rPr>
      </w:pPr>
      <w:bookmarkStart w:id="7" w:name="_Toc487026918"/>
      <w:r w:rsidRPr="005638F1">
        <w:rPr>
          <w:rFonts w:cstheme="minorHAnsi"/>
        </w:rPr>
        <w:lastRenderedPageBreak/>
        <w:t>Follow-up of recommendations</w:t>
      </w:r>
      <w:bookmarkEnd w:id="7"/>
      <w:r w:rsidRPr="005638F1">
        <w:rPr>
          <w:rFonts w:cstheme="minorHAnsi"/>
        </w:rPr>
        <w:t xml:space="preserve"> and internal control system</w:t>
      </w:r>
    </w:p>
    <w:p w:rsidR="00FC6E6D" w:rsidRPr="005638F1" w:rsidRDefault="00FC6E6D" w:rsidP="00FC6E6D">
      <w:pPr>
        <w:pStyle w:val="TexteNumroEFK"/>
        <w:ind w:left="502"/>
        <w:rPr>
          <w:rFonts w:cstheme="minorHAnsi"/>
        </w:rPr>
      </w:pPr>
      <w:r w:rsidRPr="005638F1">
        <w:rPr>
          <w:rFonts w:cstheme="minorHAnsi"/>
        </w:rPr>
        <w:t>It was not necessary to follow up recommendations because there are no outstanding recommendations for the previous financial years.</w:t>
      </w:r>
    </w:p>
    <w:p w:rsidR="00FC6E6D" w:rsidRPr="005638F1" w:rsidRDefault="00FC6E6D" w:rsidP="00FC6E6D">
      <w:pPr>
        <w:pStyle w:val="Titre2NoEFK"/>
        <w:rPr>
          <w:rFonts w:cstheme="minorHAnsi"/>
        </w:rPr>
      </w:pPr>
      <w:r w:rsidRPr="005638F1">
        <w:rPr>
          <w:rFonts w:cstheme="minorHAnsi"/>
        </w:rPr>
        <w:t>An internal control system relying on the control system in place in the administrative services of WIPO</w:t>
      </w:r>
    </w:p>
    <w:p w:rsidR="00FC6E6D" w:rsidRPr="005638F1" w:rsidRDefault="00FC6E6D" w:rsidP="00FC6E6D">
      <w:pPr>
        <w:pStyle w:val="TexteNumroEFK"/>
        <w:ind w:left="502"/>
        <w:rPr>
          <w:rFonts w:cstheme="minorHAnsi"/>
        </w:rPr>
      </w:pPr>
      <w:r w:rsidRPr="005638F1">
        <w:rPr>
          <w:rFonts w:cstheme="minorHAnsi"/>
        </w:rPr>
        <w:t xml:space="preserve">Pursuant to the specific agreement between WIPO and UPOV, WIPO’s financial services manage the accounts of UPOV.  Hence, the existence and quality of the ICS of UPOV is dependent mainly on what is found within these services. </w:t>
      </w:r>
    </w:p>
    <w:p w:rsidR="00FC6E6D" w:rsidRPr="005638F1" w:rsidRDefault="00FC6E6D" w:rsidP="00FC6E6D">
      <w:pPr>
        <w:pStyle w:val="TexteNumroEFK"/>
        <w:ind w:left="502"/>
        <w:rPr>
          <w:rFonts w:cstheme="minorHAnsi"/>
        </w:rPr>
      </w:pPr>
      <w:r w:rsidRPr="005638F1">
        <w:rPr>
          <w:rFonts w:cstheme="minorHAnsi"/>
        </w:rPr>
        <w:t>The SFAO noted that the Office of the Controller has strengthened its team by creating the post of risk management and internal control specialist.  Moreover, WIPO still has its Internal Oversight Division as an independent internal oversight body.  These two bodies contribute to the proper functioning of WIPO, and implicitly of UPOV, particularly in the area of finance.</w:t>
      </w:r>
    </w:p>
    <w:p w:rsidR="00FC6E6D" w:rsidRPr="005638F1" w:rsidRDefault="00FC6E6D" w:rsidP="00FC6E6D">
      <w:pPr>
        <w:pStyle w:val="TexteNumroEFK"/>
        <w:ind w:left="502"/>
        <w:rPr>
          <w:rFonts w:cstheme="minorHAnsi"/>
        </w:rPr>
      </w:pPr>
      <w:r w:rsidRPr="005638F1">
        <w:rPr>
          <w:rFonts w:cstheme="minorHAnsi"/>
        </w:rPr>
        <w:t>The examinations conducted during the audit, the additional information obtained from WIPO and UPOV staff respectively and the analysis of documents enable us to consider that the ICS is effective.  Thus, UPOV is able to present its financial statements without significant anomalies.</w:t>
      </w:r>
    </w:p>
    <w:p w:rsidR="00FC6E6D" w:rsidRPr="005638F1" w:rsidRDefault="00FC6E6D" w:rsidP="00FC6E6D">
      <w:pPr>
        <w:pStyle w:val="TexteNumroEFK"/>
        <w:ind w:left="502"/>
        <w:rPr>
          <w:rFonts w:cstheme="minorHAnsi"/>
        </w:rPr>
      </w:pPr>
      <w:r w:rsidRPr="005638F1">
        <w:rPr>
          <w:rFonts w:cstheme="minorHAnsi"/>
        </w:rPr>
        <w:t>The principle of joint signatures of two persons is applied for banking relationships and disbursements.  Signature rights are up to date for all bank accounts and other payment authorizations.</w:t>
      </w:r>
    </w:p>
    <w:p w:rsidR="00FC6E6D" w:rsidRPr="005638F1" w:rsidRDefault="00FC6E6D" w:rsidP="00FC6E6D">
      <w:pPr>
        <w:pStyle w:val="TexteNumroEFK"/>
        <w:ind w:left="502"/>
        <w:rPr>
          <w:rFonts w:cstheme="minorHAnsi"/>
        </w:rPr>
      </w:pPr>
      <w:r w:rsidRPr="005638F1">
        <w:rPr>
          <w:rFonts w:cstheme="minorHAnsi"/>
        </w:rPr>
        <w:t>As regards general information technology controls, WIPO ensures that access rights for the information technology system are regulated.  The strength of passwords is appropriately determined.</w:t>
      </w:r>
    </w:p>
    <w:p w:rsidR="00FC6E6D" w:rsidRPr="005638F1" w:rsidRDefault="00FC6E6D" w:rsidP="00FC6E6D">
      <w:pPr>
        <w:pStyle w:val="TexteNumroEFK"/>
        <w:ind w:left="502"/>
        <w:rPr>
          <w:rFonts w:cstheme="minorHAnsi"/>
        </w:rPr>
      </w:pPr>
      <w:r w:rsidRPr="005638F1">
        <w:rPr>
          <w:rFonts w:cstheme="minorHAnsi"/>
        </w:rPr>
        <w:t>It should be noted that the audit opinion relies on assessment as to the existence of formal processes and key controls in light of the risks.  The auditor does not provide an opinion on their durability and effectiveness.</w:t>
      </w:r>
    </w:p>
    <w:p w:rsidR="00FC6E6D" w:rsidRPr="005638F1" w:rsidRDefault="00FC6E6D" w:rsidP="00FC6E6D">
      <w:pPr>
        <w:pStyle w:val="AnnexeTitreEFK"/>
        <w:rPr>
          <w:rFonts w:cstheme="minorHAnsi"/>
        </w:rPr>
      </w:pPr>
      <w:bookmarkStart w:id="8" w:name="_Toc487026922"/>
      <w:r w:rsidRPr="005638F1">
        <w:rPr>
          <w:rFonts w:cstheme="minorHAnsi"/>
        </w:rPr>
        <w:lastRenderedPageBreak/>
        <w:t xml:space="preserve">Production of financial statements according to IPSAS </w:t>
      </w:r>
      <w:bookmarkEnd w:id="8"/>
    </w:p>
    <w:p w:rsidR="00FC6E6D" w:rsidRPr="005638F1" w:rsidRDefault="00FC6E6D" w:rsidP="00FC6E6D">
      <w:pPr>
        <w:pStyle w:val="Titre2NoEFK"/>
        <w:rPr>
          <w:rFonts w:cstheme="minorHAnsi"/>
        </w:rPr>
      </w:pPr>
      <w:bookmarkStart w:id="9" w:name="_Toc487026923"/>
      <w:r w:rsidRPr="005638F1">
        <w:rPr>
          <w:rFonts w:cstheme="minorHAnsi"/>
        </w:rPr>
        <w:t>The presentation of the 2017 financial statements is IPSAS-compliant</w:t>
      </w:r>
    </w:p>
    <w:p w:rsidR="00FC6E6D" w:rsidRPr="005638F1" w:rsidRDefault="00FC6E6D" w:rsidP="00FC6E6D">
      <w:pPr>
        <w:pStyle w:val="TexteNumroEFK"/>
        <w:ind w:left="502"/>
        <w:rPr>
          <w:rFonts w:cstheme="minorHAnsi"/>
        </w:rPr>
      </w:pPr>
      <w:r w:rsidRPr="005638F1">
        <w:rPr>
          <w:rFonts w:cstheme="minorHAnsi"/>
        </w:rPr>
        <w:t>UPOV’s 2017 financial statements were prepared according to IPSAS standards.  The WIPO document “POLICY GUIDANCE MANUAL FOR INTERNATIONAL PUBLIC SECTOR ACCOUNTING STANDARDS” (2015 version) sets out the key points of preparing the financial statements.  WIPO has not updated this manual since then.  The WIPO Finance Service is aware that the manual should be updated in light of the new standards that are now applicable.</w:t>
      </w:r>
    </w:p>
    <w:p w:rsidR="00FC6E6D" w:rsidRPr="005638F1" w:rsidRDefault="00FC6E6D" w:rsidP="00FC6E6D">
      <w:pPr>
        <w:pStyle w:val="TexteNumroEFK"/>
        <w:ind w:left="502"/>
        <w:rPr>
          <w:rFonts w:cstheme="minorHAnsi"/>
        </w:rPr>
      </w:pPr>
      <w:r w:rsidRPr="005638F1">
        <w:rPr>
          <w:rFonts w:cstheme="minorHAnsi"/>
        </w:rPr>
        <w:t>UPOV's 2017 financial year was closed in accordance with IPSAS.  These standards are a rapidly evolving accounting framework that requires continuous updating of the knowledge and presentation items included in the financial statements.  UPOV took advantage of the end of the 2016-2017 biennium to implement IPSAS 39 “Employee benefits” as from January 2017;  i.e., one year in advance.  It will replace the erstwhile IPSAS 25.  It was noted that a new standard, namely “Public Sector Combinations (IPSAS 40)”, will become applicable from January 1, 2019.</w:t>
      </w:r>
    </w:p>
    <w:p w:rsidR="00FC6E6D" w:rsidRDefault="00FC6E6D" w:rsidP="00C22A36">
      <w:pPr>
        <w:pStyle w:val="AnnexeTitreEFK"/>
        <w:pageBreakBefore w:val="0"/>
        <w:spacing w:before="360"/>
      </w:pPr>
      <w:r>
        <w:t>Audit of 2017 budget performance</w:t>
      </w:r>
    </w:p>
    <w:p w:rsidR="00FC6E6D" w:rsidRPr="00843EDF" w:rsidRDefault="00FC6E6D" w:rsidP="00FC6E6D">
      <w:pPr>
        <w:pStyle w:val="Titre2NoEFK"/>
      </w:pPr>
      <w:r>
        <w:t>Budget performance in 2017 shows a deficit</w:t>
      </w:r>
    </w:p>
    <w:p w:rsidR="00FC6E6D" w:rsidRDefault="00FC6E6D" w:rsidP="00FC6E6D">
      <w:pPr>
        <w:pStyle w:val="TexteNumroEFK"/>
        <w:spacing w:after="240"/>
        <w:ind w:left="499" w:hanging="357"/>
      </w:pPr>
      <w:r>
        <w:t>The 2017 budget is an integral part of the 2016-2017 biennium budget.  It was adopted by the Council at its forty-ninth ordinary session on October 29, 2015 and forecast a balance between income and expenditure for 2017 in the amount of 3,412 million Swiss francs.  The financial year under review shows an income deficit of 166,000 Swiss francs.  This does not take account of adjustments, including the treatment of extra-budgetary resources.  A comparison between the budget and financial statements for 2017 can be summarized as follows:</w:t>
      </w:r>
    </w:p>
    <w:tbl>
      <w:tblPr>
        <w:tblW w:w="9023" w:type="dxa"/>
        <w:jc w:val="center"/>
        <w:tblLook w:val="04A0" w:firstRow="1" w:lastRow="0" w:firstColumn="1" w:lastColumn="0" w:noHBand="0" w:noVBand="1"/>
      </w:tblPr>
      <w:tblGrid>
        <w:gridCol w:w="3441"/>
        <w:gridCol w:w="1099"/>
        <w:gridCol w:w="1237"/>
        <w:gridCol w:w="2061"/>
        <w:gridCol w:w="1185"/>
      </w:tblGrid>
      <w:tr w:rsidR="00FC6E6D" w:rsidRPr="009023F8" w:rsidTr="00541706">
        <w:trPr>
          <w:trHeight w:val="240"/>
          <w:jc w:val="center"/>
        </w:trPr>
        <w:tc>
          <w:tcPr>
            <w:tcW w:w="3441" w:type="dxa"/>
            <w:vMerge w:val="restart"/>
            <w:tcBorders>
              <w:top w:val="single" w:sz="4" w:space="0" w:color="auto"/>
              <w:left w:val="single" w:sz="4" w:space="0" w:color="auto"/>
              <w:right w:val="single" w:sz="4" w:space="0" w:color="auto"/>
            </w:tcBorders>
            <w:shd w:val="clear" w:color="000000" w:fill="D9D9D9"/>
            <w:vAlign w:val="center"/>
            <w:hideMark/>
          </w:tcPr>
          <w:p w:rsidR="00FC6E6D" w:rsidRPr="009023F8" w:rsidRDefault="00FC6E6D" w:rsidP="00FC6E6D">
            <w:pPr>
              <w:jc w:val="center"/>
              <w:rPr>
                <w:rFonts w:ascii="Tahoma" w:hAnsi="Tahoma" w:cs="Tahoma"/>
                <w:b/>
                <w:bCs/>
                <w:i/>
                <w:iCs/>
                <w:sz w:val="18"/>
                <w:szCs w:val="18"/>
              </w:rPr>
            </w:pPr>
            <w:r>
              <w:rPr>
                <w:rFonts w:ascii="Tahoma" w:hAnsi="Tahoma" w:cs="Tahoma"/>
                <w:b/>
                <w:bCs/>
                <w:i/>
                <w:iCs/>
                <w:sz w:val="18"/>
                <w:szCs w:val="18"/>
              </w:rPr>
              <w:t>Item</w:t>
            </w:r>
          </w:p>
        </w:tc>
        <w:tc>
          <w:tcPr>
            <w:tcW w:w="1099" w:type="dxa"/>
            <w:vMerge w:val="restart"/>
            <w:tcBorders>
              <w:top w:val="single" w:sz="4" w:space="0" w:color="auto"/>
              <w:left w:val="single" w:sz="4" w:space="0" w:color="auto"/>
              <w:right w:val="single" w:sz="4" w:space="0" w:color="auto"/>
            </w:tcBorders>
            <w:shd w:val="clear" w:color="000000" w:fill="D9D9D9"/>
            <w:vAlign w:val="center"/>
            <w:hideMark/>
          </w:tcPr>
          <w:p w:rsidR="00FC6E6D" w:rsidRPr="009023F8" w:rsidRDefault="00FC6E6D" w:rsidP="00FC6E6D">
            <w:pPr>
              <w:jc w:val="center"/>
              <w:rPr>
                <w:rFonts w:ascii="Tahoma" w:hAnsi="Tahoma" w:cs="Tahoma"/>
                <w:b/>
                <w:bCs/>
                <w:i/>
                <w:iCs/>
                <w:sz w:val="18"/>
                <w:szCs w:val="18"/>
              </w:rPr>
            </w:pPr>
            <w:r w:rsidRPr="009023F8">
              <w:rPr>
                <w:rFonts w:ascii="Tahoma" w:hAnsi="Tahoma" w:cs="Tahoma"/>
                <w:b/>
                <w:bCs/>
                <w:i/>
                <w:iCs/>
                <w:sz w:val="18"/>
                <w:szCs w:val="18"/>
              </w:rPr>
              <w:t>Budget (CHF)</w:t>
            </w:r>
          </w:p>
        </w:tc>
        <w:tc>
          <w:tcPr>
            <w:tcW w:w="1237" w:type="dxa"/>
            <w:vMerge w:val="restart"/>
            <w:tcBorders>
              <w:top w:val="single" w:sz="4" w:space="0" w:color="auto"/>
              <w:left w:val="single" w:sz="4" w:space="0" w:color="auto"/>
              <w:right w:val="single" w:sz="4" w:space="0" w:color="auto"/>
            </w:tcBorders>
            <w:shd w:val="clear" w:color="000000" w:fill="D9D9D9"/>
            <w:vAlign w:val="center"/>
            <w:hideMark/>
          </w:tcPr>
          <w:p w:rsidR="00FC6E6D" w:rsidRPr="009023F8" w:rsidRDefault="00FC6E6D" w:rsidP="00FC6E6D">
            <w:pPr>
              <w:jc w:val="center"/>
              <w:rPr>
                <w:rFonts w:ascii="Tahoma" w:hAnsi="Tahoma" w:cs="Tahoma"/>
                <w:b/>
                <w:bCs/>
                <w:i/>
                <w:iCs/>
                <w:sz w:val="18"/>
                <w:szCs w:val="18"/>
              </w:rPr>
            </w:pPr>
            <w:r w:rsidRPr="009023F8">
              <w:rPr>
                <w:rFonts w:ascii="Tahoma" w:hAnsi="Tahoma" w:cs="Tahoma"/>
                <w:b/>
                <w:bCs/>
                <w:i/>
                <w:iCs/>
                <w:sz w:val="18"/>
                <w:szCs w:val="18"/>
              </w:rPr>
              <w:t>Accounts (CHF)</w:t>
            </w:r>
          </w:p>
        </w:tc>
        <w:tc>
          <w:tcPr>
            <w:tcW w:w="3246" w:type="dxa"/>
            <w:gridSpan w:val="2"/>
            <w:tcBorders>
              <w:top w:val="single" w:sz="4" w:space="0" w:color="auto"/>
              <w:left w:val="nil"/>
              <w:right w:val="single" w:sz="4" w:space="0" w:color="auto"/>
            </w:tcBorders>
            <w:shd w:val="clear" w:color="000000" w:fill="D9D9D9"/>
            <w:vAlign w:val="center"/>
            <w:hideMark/>
          </w:tcPr>
          <w:p w:rsidR="00FC6E6D" w:rsidRPr="009023F8" w:rsidRDefault="00FC6E6D" w:rsidP="00FC6E6D">
            <w:pPr>
              <w:jc w:val="center"/>
              <w:rPr>
                <w:rFonts w:ascii="Tahoma" w:hAnsi="Tahoma" w:cs="Tahoma"/>
                <w:b/>
                <w:bCs/>
                <w:i/>
                <w:iCs/>
                <w:sz w:val="18"/>
                <w:szCs w:val="18"/>
              </w:rPr>
            </w:pPr>
            <w:r>
              <w:rPr>
                <w:rFonts w:ascii="Tahoma" w:hAnsi="Tahoma" w:cs="Tahoma"/>
                <w:b/>
                <w:bCs/>
                <w:i/>
                <w:iCs/>
                <w:sz w:val="18"/>
                <w:szCs w:val="18"/>
              </w:rPr>
              <w:t>Difference accounts</w:t>
            </w:r>
            <w:r w:rsidRPr="009023F8">
              <w:rPr>
                <w:rFonts w:ascii="Tahoma" w:hAnsi="Tahoma" w:cs="Tahoma"/>
                <w:b/>
                <w:bCs/>
                <w:i/>
                <w:iCs/>
                <w:sz w:val="18"/>
                <w:szCs w:val="18"/>
              </w:rPr>
              <w:t xml:space="preserve"> vs</w:t>
            </w:r>
            <w:r>
              <w:rPr>
                <w:rFonts w:ascii="Tahoma" w:hAnsi="Tahoma" w:cs="Tahoma"/>
                <w:b/>
                <w:bCs/>
                <w:i/>
                <w:iCs/>
                <w:sz w:val="18"/>
                <w:szCs w:val="18"/>
              </w:rPr>
              <w:t>.</w:t>
            </w:r>
            <w:r w:rsidRPr="009023F8">
              <w:rPr>
                <w:rFonts w:ascii="Tahoma" w:hAnsi="Tahoma" w:cs="Tahoma"/>
                <w:b/>
                <w:bCs/>
                <w:i/>
                <w:iCs/>
                <w:sz w:val="18"/>
                <w:szCs w:val="18"/>
              </w:rPr>
              <w:t xml:space="preserve"> budget</w:t>
            </w:r>
          </w:p>
        </w:tc>
      </w:tr>
      <w:tr w:rsidR="00FC6E6D" w:rsidRPr="009023F8" w:rsidTr="00541706">
        <w:trPr>
          <w:trHeight w:hRule="exact" w:val="437"/>
          <w:jc w:val="center"/>
        </w:trPr>
        <w:tc>
          <w:tcPr>
            <w:tcW w:w="3441" w:type="dxa"/>
            <w:vMerge/>
            <w:tcBorders>
              <w:left w:val="single" w:sz="4" w:space="0" w:color="auto"/>
              <w:bottom w:val="single" w:sz="4" w:space="0" w:color="auto"/>
              <w:right w:val="single" w:sz="4" w:space="0" w:color="auto"/>
            </w:tcBorders>
            <w:shd w:val="clear" w:color="000000" w:fill="D9D9D9"/>
            <w:vAlign w:val="center"/>
          </w:tcPr>
          <w:p w:rsidR="00FC6E6D" w:rsidRDefault="00FC6E6D" w:rsidP="00FC6E6D">
            <w:pPr>
              <w:jc w:val="center"/>
              <w:rPr>
                <w:rFonts w:ascii="Tahoma" w:hAnsi="Tahoma" w:cs="Tahoma"/>
                <w:b/>
                <w:bCs/>
                <w:i/>
                <w:iCs/>
                <w:sz w:val="18"/>
                <w:szCs w:val="18"/>
              </w:rPr>
            </w:pPr>
          </w:p>
        </w:tc>
        <w:tc>
          <w:tcPr>
            <w:tcW w:w="1099" w:type="dxa"/>
            <w:vMerge/>
            <w:tcBorders>
              <w:left w:val="single" w:sz="4" w:space="0" w:color="auto"/>
              <w:bottom w:val="single" w:sz="4" w:space="0" w:color="auto"/>
              <w:right w:val="single" w:sz="4" w:space="0" w:color="auto"/>
            </w:tcBorders>
            <w:shd w:val="clear" w:color="000000" w:fill="D9D9D9"/>
            <w:vAlign w:val="center"/>
          </w:tcPr>
          <w:p w:rsidR="00FC6E6D" w:rsidRPr="009023F8" w:rsidRDefault="00FC6E6D" w:rsidP="00FC6E6D">
            <w:pPr>
              <w:jc w:val="center"/>
              <w:rPr>
                <w:rFonts w:ascii="Tahoma" w:hAnsi="Tahoma" w:cs="Tahoma"/>
                <w:b/>
                <w:bCs/>
                <w:i/>
                <w:iCs/>
                <w:sz w:val="18"/>
                <w:szCs w:val="18"/>
              </w:rPr>
            </w:pPr>
          </w:p>
        </w:tc>
        <w:tc>
          <w:tcPr>
            <w:tcW w:w="1237" w:type="dxa"/>
            <w:vMerge/>
            <w:tcBorders>
              <w:left w:val="single" w:sz="4" w:space="0" w:color="auto"/>
              <w:bottom w:val="single" w:sz="4" w:space="0" w:color="auto"/>
              <w:right w:val="single" w:sz="4" w:space="0" w:color="auto"/>
            </w:tcBorders>
            <w:shd w:val="clear" w:color="000000" w:fill="D9D9D9"/>
            <w:vAlign w:val="center"/>
          </w:tcPr>
          <w:p w:rsidR="00FC6E6D" w:rsidRPr="009023F8" w:rsidRDefault="00FC6E6D" w:rsidP="00FC6E6D">
            <w:pPr>
              <w:jc w:val="center"/>
              <w:rPr>
                <w:rFonts w:ascii="Tahoma" w:hAnsi="Tahoma" w:cs="Tahoma"/>
                <w:b/>
                <w:bCs/>
                <w:i/>
                <w:iCs/>
                <w:sz w:val="18"/>
                <w:szCs w:val="18"/>
              </w:rPr>
            </w:pPr>
          </w:p>
        </w:tc>
        <w:tc>
          <w:tcPr>
            <w:tcW w:w="3246" w:type="dxa"/>
            <w:gridSpan w:val="2"/>
            <w:tcBorders>
              <w:top w:val="single" w:sz="4" w:space="0" w:color="auto"/>
              <w:left w:val="nil"/>
              <w:bottom w:val="single" w:sz="4" w:space="0" w:color="auto"/>
              <w:right w:val="single" w:sz="4" w:space="0" w:color="auto"/>
            </w:tcBorders>
            <w:shd w:val="clear" w:color="000000" w:fill="D9D9D9"/>
            <w:vAlign w:val="center"/>
          </w:tcPr>
          <w:p w:rsidR="00FC6E6D" w:rsidRDefault="00FC6E6D" w:rsidP="00FC6E6D">
            <w:pPr>
              <w:jc w:val="center"/>
              <w:rPr>
                <w:rFonts w:ascii="Tahoma" w:hAnsi="Tahoma" w:cs="Tahoma"/>
                <w:b/>
                <w:bCs/>
                <w:i/>
                <w:iCs/>
                <w:sz w:val="18"/>
                <w:szCs w:val="18"/>
              </w:rPr>
            </w:pPr>
            <w:r w:rsidRPr="009023F8">
              <w:rPr>
                <w:rFonts w:ascii="Tahoma" w:hAnsi="Tahoma" w:cs="Tahoma"/>
                <w:b/>
                <w:bCs/>
                <w:i/>
                <w:iCs/>
                <w:sz w:val="18"/>
                <w:szCs w:val="18"/>
              </w:rPr>
              <w:t>(CHF and %)</w:t>
            </w:r>
          </w:p>
        </w:tc>
      </w:tr>
      <w:tr w:rsidR="00FC6E6D" w:rsidRPr="009023F8" w:rsidTr="00541706">
        <w:trPr>
          <w:trHeight w:val="353"/>
          <w:jc w:val="center"/>
        </w:trPr>
        <w:tc>
          <w:tcPr>
            <w:tcW w:w="34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6E6D" w:rsidRPr="009023F8" w:rsidRDefault="00FC6E6D" w:rsidP="00FC6E6D">
            <w:pPr>
              <w:rPr>
                <w:rFonts w:ascii="Tahoma" w:hAnsi="Tahoma" w:cs="Tahoma"/>
                <w:sz w:val="18"/>
                <w:szCs w:val="18"/>
              </w:rPr>
            </w:pPr>
            <w:r>
              <w:rPr>
                <w:rFonts w:ascii="Tahoma" w:hAnsi="Tahoma" w:cs="Tahoma"/>
                <w:sz w:val="18"/>
                <w:szCs w:val="18"/>
              </w:rPr>
              <w:t>Income 2017</w:t>
            </w:r>
          </w:p>
        </w:tc>
        <w:tc>
          <w:tcPr>
            <w:tcW w:w="1099" w:type="dxa"/>
            <w:tcBorders>
              <w:top w:val="single" w:sz="4" w:space="0" w:color="auto"/>
              <w:left w:val="nil"/>
              <w:bottom w:val="single" w:sz="4" w:space="0" w:color="auto"/>
              <w:right w:val="single" w:sz="4" w:space="0" w:color="auto"/>
            </w:tcBorders>
            <w:shd w:val="clear" w:color="000000" w:fill="FFFFFF"/>
            <w:noWrap/>
            <w:vAlign w:val="center"/>
            <w:hideMark/>
          </w:tcPr>
          <w:p w:rsidR="00FC6E6D" w:rsidRPr="009023F8" w:rsidRDefault="00FC6E6D" w:rsidP="00FC6E6D">
            <w:pPr>
              <w:jc w:val="right"/>
              <w:rPr>
                <w:rFonts w:ascii="Tahoma" w:hAnsi="Tahoma" w:cs="Tahoma"/>
                <w:sz w:val="18"/>
                <w:szCs w:val="18"/>
              </w:rPr>
            </w:pPr>
            <w:r w:rsidRPr="009023F8">
              <w:rPr>
                <w:rFonts w:ascii="Tahoma" w:hAnsi="Tahoma" w:cs="Tahoma"/>
                <w:sz w:val="18"/>
                <w:szCs w:val="18"/>
              </w:rPr>
              <w:t>-3,412,000</w:t>
            </w:r>
          </w:p>
        </w:tc>
        <w:tc>
          <w:tcPr>
            <w:tcW w:w="1237" w:type="dxa"/>
            <w:tcBorders>
              <w:top w:val="single" w:sz="4" w:space="0" w:color="auto"/>
              <w:left w:val="nil"/>
              <w:bottom w:val="single" w:sz="4" w:space="0" w:color="auto"/>
              <w:right w:val="single" w:sz="4" w:space="0" w:color="auto"/>
            </w:tcBorders>
            <w:shd w:val="clear" w:color="000000" w:fill="FFFFFF"/>
            <w:noWrap/>
            <w:vAlign w:val="center"/>
            <w:hideMark/>
          </w:tcPr>
          <w:p w:rsidR="00FC6E6D" w:rsidRPr="009023F8" w:rsidRDefault="00FC6E6D" w:rsidP="00FC6E6D">
            <w:pPr>
              <w:jc w:val="right"/>
              <w:rPr>
                <w:rFonts w:ascii="Tahoma" w:hAnsi="Tahoma" w:cs="Tahoma"/>
                <w:sz w:val="18"/>
                <w:szCs w:val="18"/>
              </w:rPr>
            </w:pPr>
            <w:r w:rsidRPr="009023F8">
              <w:rPr>
                <w:rFonts w:ascii="Tahoma" w:hAnsi="Tahoma" w:cs="Tahoma"/>
                <w:sz w:val="18"/>
                <w:szCs w:val="18"/>
              </w:rPr>
              <w:t>-3,</w:t>
            </w:r>
            <w:r>
              <w:rPr>
                <w:rFonts w:ascii="Tahoma" w:hAnsi="Tahoma" w:cs="Tahoma"/>
                <w:sz w:val="18"/>
                <w:szCs w:val="18"/>
              </w:rPr>
              <w:t>420</w:t>
            </w:r>
            <w:r w:rsidRPr="009023F8">
              <w:rPr>
                <w:rFonts w:ascii="Tahoma" w:hAnsi="Tahoma" w:cs="Tahoma"/>
                <w:sz w:val="18"/>
                <w:szCs w:val="18"/>
              </w:rPr>
              <w:t>,000</w:t>
            </w:r>
          </w:p>
        </w:tc>
        <w:tc>
          <w:tcPr>
            <w:tcW w:w="2061" w:type="dxa"/>
            <w:tcBorders>
              <w:top w:val="single" w:sz="4" w:space="0" w:color="auto"/>
              <w:left w:val="nil"/>
              <w:bottom w:val="single" w:sz="4" w:space="0" w:color="auto"/>
              <w:right w:val="single" w:sz="4" w:space="0" w:color="auto"/>
            </w:tcBorders>
            <w:shd w:val="clear" w:color="000000" w:fill="FFFFFF"/>
            <w:noWrap/>
            <w:vAlign w:val="center"/>
            <w:hideMark/>
          </w:tcPr>
          <w:p w:rsidR="00FC6E6D" w:rsidRPr="009023F8" w:rsidRDefault="00FC6E6D" w:rsidP="00FC6E6D">
            <w:pPr>
              <w:jc w:val="right"/>
              <w:rPr>
                <w:rFonts w:ascii="Tahoma" w:hAnsi="Tahoma" w:cs="Tahoma"/>
                <w:sz w:val="18"/>
                <w:szCs w:val="18"/>
              </w:rPr>
            </w:pPr>
            <w:r>
              <w:rPr>
                <w:rFonts w:ascii="Tahoma" w:hAnsi="Tahoma" w:cs="Tahoma"/>
                <w:sz w:val="18"/>
                <w:szCs w:val="18"/>
              </w:rPr>
              <w:t>8</w:t>
            </w:r>
            <w:r w:rsidRPr="009023F8">
              <w:rPr>
                <w:rFonts w:ascii="Tahoma" w:hAnsi="Tahoma" w:cs="Tahoma"/>
                <w:sz w:val="18"/>
                <w:szCs w:val="18"/>
              </w:rPr>
              <w:t>,000</w:t>
            </w:r>
          </w:p>
        </w:tc>
        <w:tc>
          <w:tcPr>
            <w:tcW w:w="1185" w:type="dxa"/>
            <w:tcBorders>
              <w:top w:val="single" w:sz="4" w:space="0" w:color="auto"/>
              <w:left w:val="nil"/>
              <w:bottom w:val="single" w:sz="4" w:space="0" w:color="auto"/>
              <w:right w:val="single" w:sz="4" w:space="0" w:color="auto"/>
            </w:tcBorders>
            <w:shd w:val="clear" w:color="000000" w:fill="FFFFFF"/>
            <w:noWrap/>
            <w:vAlign w:val="center"/>
            <w:hideMark/>
          </w:tcPr>
          <w:p w:rsidR="00FC6E6D" w:rsidRPr="009023F8" w:rsidRDefault="00FC6E6D" w:rsidP="00FC6E6D">
            <w:pPr>
              <w:jc w:val="right"/>
              <w:rPr>
                <w:rFonts w:ascii="Tahoma" w:hAnsi="Tahoma" w:cs="Tahoma"/>
                <w:sz w:val="18"/>
                <w:szCs w:val="18"/>
              </w:rPr>
            </w:pPr>
            <w:r>
              <w:rPr>
                <w:rFonts w:ascii="Tahoma" w:hAnsi="Tahoma" w:cs="Tahoma"/>
                <w:sz w:val="18"/>
                <w:szCs w:val="18"/>
              </w:rPr>
              <w:t>-0.23</w:t>
            </w:r>
            <w:r w:rsidRPr="009023F8">
              <w:rPr>
                <w:rFonts w:ascii="Tahoma" w:hAnsi="Tahoma" w:cs="Tahoma"/>
                <w:sz w:val="18"/>
                <w:szCs w:val="18"/>
              </w:rPr>
              <w:t>%</w:t>
            </w:r>
          </w:p>
        </w:tc>
      </w:tr>
      <w:tr w:rsidR="00FC6E6D" w:rsidRPr="009023F8" w:rsidTr="00541706">
        <w:trPr>
          <w:trHeight w:val="264"/>
          <w:jc w:val="center"/>
        </w:trPr>
        <w:tc>
          <w:tcPr>
            <w:tcW w:w="3441" w:type="dxa"/>
            <w:tcBorders>
              <w:top w:val="nil"/>
              <w:left w:val="single" w:sz="4" w:space="0" w:color="auto"/>
              <w:bottom w:val="single" w:sz="4" w:space="0" w:color="auto"/>
              <w:right w:val="single" w:sz="4" w:space="0" w:color="auto"/>
            </w:tcBorders>
            <w:shd w:val="clear" w:color="000000" w:fill="FFFFFF"/>
            <w:noWrap/>
            <w:vAlign w:val="center"/>
            <w:hideMark/>
          </w:tcPr>
          <w:p w:rsidR="00FC6E6D" w:rsidRPr="009023F8" w:rsidRDefault="00FC6E6D" w:rsidP="00FC6E6D">
            <w:pPr>
              <w:rPr>
                <w:rFonts w:ascii="Tahoma" w:hAnsi="Tahoma" w:cs="Tahoma"/>
                <w:sz w:val="18"/>
                <w:szCs w:val="18"/>
              </w:rPr>
            </w:pPr>
            <w:r>
              <w:rPr>
                <w:rFonts w:ascii="Tahoma" w:hAnsi="Tahoma" w:cs="Tahoma"/>
                <w:sz w:val="18"/>
                <w:szCs w:val="18"/>
              </w:rPr>
              <w:t>Expenditure 2017</w:t>
            </w:r>
          </w:p>
        </w:tc>
        <w:tc>
          <w:tcPr>
            <w:tcW w:w="1099" w:type="dxa"/>
            <w:tcBorders>
              <w:top w:val="nil"/>
              <w:left w:val="nil"/>
              <w:bottom w:val="single" w:sz="4" w:space="0" w:color="auto"/>
              <w:right w:val="single" w:sz="4" w:space="0" w:color="auto"/>
            </w:tcBorders>
            <w:shd w:val="clear" w:color="000000" w:fill="FFFFFF"/>
            <w:noWrap/>
            <w:vAlign w:val="center"/>
            <w:hideMark/>
          </w:tcPr>
          <w:p w:rsidR="00FC6E6D" w:rsidRPr="009023F8" w:rsidRDefault="00FC6E6D" w:rsidP="00FC6E6D">
            <w:pPr>
              <w:jc w:val="right"/>
              <w:rPr>
                <w:rFonts w:ascii="Tahoma" w:hAnsi="Tahoma" w:cs="Tahoma"/>
                <w:sz w:val="18"/>
                <w:szCs w:val="18"/>
              </w:rPr>
            </w:pPr>
            <w:r w:rsidRPr="009023F8">
              <w:rPr>
                <w:rFonts w:ascii="Tahoma" w:hAnsi="Tahoma" w:cs="Tahoma"/>
                <w:sz w:val="18"/>
                <w:szCs w:val="18"/>
              </w:rPr>
              <w:t>3,412,000</w:t>
            </w:r>
          </w:p>
        </w:tc>
        <w:tc>
          <w:tcPr>
            <w:tcW w:w="1237" w:type="dxa"/>
            <w:tcBorders>
              <w:top w:val="nil"/>
              <w:left w:val="nil"/>
              <w:bottom w:val="single" w:sz="4" w:space="0" w:color="auto"/>
              <w:right w:val="single" w:sz="4" w:space="0" w:color="auto"/>
            </w:tcBorders>
            <w:shd w:val="clear" w:color="000000" w:fill="FFFFFF"/>
            <w:noWrap/>
            <w:vAlign w:val="center"/>
            <w:hideMark/>
          </w:tcPr>
          <w:p w:rsidR="00FC6E6D" w:rsidRPr="009023F8" w:rsidRDefault="00FC6E6D" w:rsidP="00FC6E6D">
            <w:pPr>
              <w:jc w:val="right"/>
              <w:rPr>
                <w:rFonts w:ascii="Tahoma" w:hAnsi="Tahoma" w:cs="Tahoma"/>
                <w:sz w:val="18"/>
                <w:szCs w:val="18"/>
              </w:rPr>
            </w:pPr>
            <w:r w:rsidRPr="009023F8">
              <w:rPr>
                <w:rFonts w:ascii="Tahoma" w:hAnsi="Tahoma" w:cs="Tahoma"/>
                <w:sz w:val="18"/>
                <w:szCs w:val="18"/>
              </w:rPr>
              <w:t>3,</w:t>
            </w:r>
            <w:r>
              <w:rPr>
                <w:rFonts w:ascii="Tahoma" w:hAnsi="Tahoma" w:cs="Tahoma"/>
                <w:sz w:val="18"/>
                <w:szCs w:val="18"/>
              </w:rPr>
              <w:t>586</w:t>
            </w:r>
            <w:r w:rsidRPr="009023F8">
              <w:rPr>
                <w:rFonts w:ascii="Tahoma" w:hAnsi="Tahoma" w:cs="Tahoma"/>
                <w:sz w:val="18"/>
                <w:szCs w:val="18"/>
              </w:rPr>
              <w:t>,000</w:t>
            </w:r>
          </w:p>
        </w:tc>
        <w:tc>
          <w:tcPr>
            <w:tcW w:w="2061" w:type="dxa"/>
            <w:tcBorders>
              <w:top w:val="nil"/>
              <w:left w:val="nil"/>
              <w:bottom w:val="single" w:sz="4" w:space="0" w:color="auto"/>
              <w:right w:val="single" w:sz="4" w:space="0" w:color="auto"/>
            </w:tcBorders>
            <w:shd w:val="clear" w:color="000000" w:fill="FFFFFF"/>
            <w:noWrap/>
            <w:vAlign w:val="center"/>
            <w:hideMark/>
          </w:tcPr>
          <w:p w:rsidR="00FC6E6D" w:rsidRPr="009023F8" w:rsidRDefault="00FC6E6D" w:rsidP="00FC6E6D">
            <w:pPr>
              <w:jc w:val="right"/>
              <w:rPr>
                <w:rFonts w:ascii="Tahoma" w:hAnsi="Tahoma" w:cs="Tahoma"/>
                <w:sz w:val="18"/>
                <w:szCs w:val="18"/>
              </w:rPr>
            </w:pPr>
            <w:r>
              <w:rPr>
                <w:rFonts w:ascii="Tahoma" w:hAnsi="Tahoma" w:cs="Tahoma"/>
                <w:sz w:val="18"/>
                <w:szCs w:val="18"/>
              </w:rPr>
              <w:t>-174</w:t>
            </w:r>
            <w:r w:rsidRPr="009023F8">
              <w:rPr>
                <w:rFonts w:ascii="Tahoma" w:hAnsi="Tahoma" w:cs="Tahoma"/>
                <w:sz w:val="18"/>
                <w:szCs w:val="18"/>
              </w:rPr>
              <w:t>,000</w:t>
            </w:r>
          </w:p>
        </w:tc>
        <w:tc>
          <w:tcPr>
            <w:tcW w:w="1185" w:type="dxa"/>
            <w:tcBorders>
              <w:top w:val="nil"/>
              <w:left w:val="nil"/>
              <w:bottom w:val="single" w:sz="4" w:space="0" w:color="auto"/>
              <w:right w:val="single" w:sz="4" w:space="0" w:color="auto"/>
            </w:tcBorders>
            <w:shd w:val="clear" w:color="000000" w:fill="FFFFFF"/>
            <w:noWrap/>
            <w:vAlign w:val="center"/>
            <w:hideMark/>
          </w:tcPr>
          <w:p w:rsidR="00FC6E6D" w:rsidRPr="009023F8" w:rsidRDefault="00FC6E6D" w:rsidP="00FC6E6D">
            <w:pPr>
              <w:jc w:val="right"/>
              <w:rPr>
                <w:rFonts w:ascii="Tahoma" w:hAnsi="Tahoma" w:cs="Tahoma"/>
                <w:sz w:val="18"/>
                <w:szCs w:val="18"/>
              </w:rPr>
            </w:pPr>
            <w:r>
              <w:rPr>
                <w:rFonts w:ascii="Tahoma" w:hAnsi="Tahoma" w:cs="Tahoma"/>
                <w:sz w:val="18"/>
                <w:szCs w:val="18"/>
              </w:rPr>
              <w:t>-5.10</w:t>
            </w:r>
            <w:r w:rsidRPr="009023F8">
              <w:rPr>
                <w:rFonts w:ascii="Tahoma" w:hAnsi="Tahoma" w:cs="Tahoma"/>
                <w:sz w:val="18"/>
                <w:szCs w:val="18"/>
              </w:rPr>
              <w:t>%</w:t>
            </w:r>
          </w:p>
        </w:tc>
      </w:tr>
      <w:tr w:rsidR="00FC6E6D" w:rsidRPr="009023F8" w:rsidTr="00541706">
        <w:trPr>
          <w:trHeight w:val="264"/>
          <w:jc w:val="center"/>
        </w:trPr>
        <w:tc>
          <w:tcPr>
            <w:tcW w:w="3441" w:type="dxa"/>
            <w:tcBorders>
              <w:top w:val="nil"/>
              <w:left w:val="single" w:sz="4" w:space="0" w:color="auto"/>
              <w:bottom w:val="single" w:sz="4" w:space="0" w:color="auto"/>
              <w:right w:val="single" w:sz="4" w:space="0" w:color="auto"/>
            </w:tcBorders>
            <w:shd w:val="clear" w:color="000000" w:fill="FFC000"/>
            <w:noWrap/>
            <w:vAlign w:val="center"/>
            <w:hideMark/>
          </w:tcPr>
          <w:p w:rsidR="00FC6E6D" w:rsidRPr="009023F8" w:rsidRDefault="00FC6E6D" w:rsidP="00FC6E6D">
            <w:pPr>
              <w:rPr>
                <w:rFonts w:ascii="Tahoma" w:hAnsi="Tahoma" w:cs="Tahoma"/>
                <w:b/>
                <w:bCs/>
                <w:sz w:val="18"/>
                <w:szCs w:val="18"/>
              </w:rPr>
            </w:pPr>
            <w:r>
              <w:rPr>
                <w:rFonts w:ascii="Tahoma" w:hAnsi="Tahoma" w:cs="Tahoma"/>
                <w:b/>
                <w:bCs/>
                <w:sz w:val="18"/>
                <w:szCs w:val="18"/>
              </w:rPr>
              <w:t>Result 2017</w:t>
            </w:r>
            <w:r w:rsidRPr="009023F8">
              <w:rPr>
                <w:rFonts w:ascii="Tahoma" w:hAnsi="Tahoma" w:cs="Tahoma"/>
                <w:b/>
                <w:bCs/>
                <w:sz w:val="18"/>
                <w:szCs w:val="18"/>
              </w:rPr>
              <w:t xml:space="preserve"> </w:t>
            </w:r>
            <w:r>
              <w:rPr>
                <w:rFonts w:ascii="Tahoma" w:hAnsi="Tahoma" w:cs="Tahoma"/>
                <w:b/>
                <w:bCs/>
                <w:sz w:val="18"/>
                <w:szCs w:val="18"/>
              </w:rPr>
              <w:t>(expenditure surplus)</w:t>
            </w:r>
          </w:p>
        </w:tc>
        <w:tc>
          <w:tcPr>
            <w:tcW w:w="1099" w:type="dxa"/>
            <w:tcBorders>
              <w:top w:val="nil"/>
              <w:left w:val="nil"/>
              <w:bottom w:val="single" w:sz="4" w:space="0" w:color="auto"/>
              <w:right w:val="single" w:sz="4" w:space="0" w:color="auto"/>
            </w:tcBorders>
            <w:shd w:val="clear" w:color="000000" w:fill="FFC000"/>
            <w:noWrap/>
            <w:vAlign w:val="center"/>
            <w:hideMark/>
          </w:tcPr>
          <w:p w:rsidR="00FC6E6D" w:rsidRPr="009023F8" w:rsidRDefault="00FC6E6D" w:rsidP="00FC6E6D">
            <w:pPr>
              <w:jc w:val="right"/>
              <w:rPr>
                <w:rFonts w:ascii="Tahoma" w:hAnsi="Tahoma" w:cs="Tahoma"/>
                <w:b/>
                <w:bCs/>
                <w:sz w:val="18"/>
                <w:szCs w:val="18"/>
              </w:rPr>
            </w:pPr>
            <w:r w:rsidRPr="009023F8">
              <w:rPr>
                <w:rFonts w:ascii="Tahoma" w:hAnsi="Tahoma" w:cs="Tahoma"/>
                <w:b/>
                <w:bCs/>
                <w:sz w:val="18"/>
                <w:szCs w:val="18"/>
              </w:rPr>
              <w:t>0</w:t>
            </w:r>
          </w:p>
        </w:tc>
        <w:tc>
          <w:tcPr>
            <w:tcW w:w="1237" w:type="dxa"/>
            <w:tcBorders>
              <w:top w:val="nil"/>
              <w:left w:val="nil"/>
              <w:bottom w:val="single" w:sz="4" w:space="0" w:color="auto"/>
              <w:right w:val="single" w:sz="4" w:space="0" w:color="auto"/>
            </w:tcBorders>
            <w:shd w:val="clear" w:color="000000" w:fill="FFC000"/>
            <w:noWrap/>
            <w:vAlign w:val="center"/>
            <w:hideMark/>
          </w:tcPr>
          <w:p w:rsidR="00FC6E6D" w:rsidRPr="009023F8" w:rsidRDefault="00FC6E6D" w:rsidP="00FC6E6D">
            <w:pPr>
              <w:jc w:val="right"/>
              <w:rPr>
                <w:rFonts w:ascii="Tahoma" w:hAnsi="Tahoma" w:cs="Tahoma"/>
                <w:b/>
                <w:bCs/>
                <w:sz w:val="18"/>
                <w:szCs w:val="18"/>
              </w:rPr>
            </w:pPr>
            <w:r>
              <w:rPr>
                <w:rFonts w:ascii="Tahoma" w:hAnsi="Tahoma" w:cs="Tahoma"/>
                <w:b/>
                <w:bCs/>
                <w:sz w:val="18"/>
                <w:szCs w:val="18"/>
              </w:rPr>
              <w:t>166</w:t>
            </w:r>
            <w:r w:rsidRPr="009023F8">
              <w:rPr>
                <w:rFonts w:ascii="Tahoma" w:hAnsi="Tahoma" w:cs="Tahoma"/>
                <w:b/>
                <w:bCs/>
                <w:sz w:val="18"/>
                <w:szCs w:val="18"/>
              </w:rPr>
              <w:t>,000</w:t>
            </w:r>
          </w:p>
        </w:tc>
        <w:tc>
          <w:tcPr>
            <w:tcW w:w="2061" w:type="dxa"/>
            <w:tcBorders>
              <w:top w:val="nil"/>
              <w:left w:val="nil"/>
              <w:bottom w:val="single" w:sz="4" w:space="0" w:color="auto"/>
              <w:right w:val="single" w:sz="4" w:space="0" w:color="auto"/>
            </w:tcBorders>
            <w:shd w:val="clear" w:color="000000" w:fill="FFC000"/>
            <w:noWrap/>
            <w:vAlign w:val="center"/>
            <w:hideMark/>
          </w:tcPr>
          <w:p w:rsidR="00FC6E6D" w:rsidRPr="009023F8" w:rsidRDefault="00FC6E6D" w:rsidP="00FC6E6D">
            <w:pPr>
              <w:jc w:val="right"/>
              <w:rPr>
                <w:rFonts w:ascii="Tahoma" w:hAnsi="Tahoma" w:cs="Tahoma"/>
                <w:b/>
                <w:bCs/>
                <w:sz w:val="18"/>
                <w:szCs w:val="18"/>
              </w:rPr>
            </w:pPr>
            <w:r>
              <w:rPr>
                <w:rFonts w:ascii="Tahoma" w:hAnsi="Tahoma" w:cs="Tahoma"/>
                <w:b/>
                <w:bCs/>
                <w:sz w:val="18"/>
                <w:szCs w:val="18"/>
              </w:rPr>
              <w:t>-166</w:t>
            </w:r>
            <w:r w:rsidRPr="009023F8">
              <w:rPr>
                <w:rFonts w:ascii="Tahoma" w:hAnsi="Tahoma" w:cs="Tahoma"/>
                <w:b/>
                <w:bCs/>
                <w:sz w:val="18"/>
                <w:szCs w:val="18"/>
              </w:rPr>
              <w:t>,000</w:t>
            </w:r>
          </w:p>
        </w:tc>
        <w:tc>
          <w:tcPr>
            <w:tcW w:w="1185" w:type="dxa"/>
            <w:tcBorders>
              <w:top w:val="nil"/>
              <w:left w:val="nil"/>
              <w:bottom w:val="nil"/>
              <w:right w:val="nil"/>
            </w:tcBorders>
            <w:shd w:val="clear" w:color="000000" w:fill="FFFFFF"/>
            <w:noWrap/>
            <w:hideMark/>
          </w:tcPr>
          <w:p w:rsidR="00FC6E6D" w:rsidRPr="009023F8" w:rsidRDefault="00FC6E6D" w:rsidP="00FC6E6D">
            <w:pPr>
              <w:rPr>
                <w:rFonts w:ascii="Tahoma" w:hAnsi="Tahoma" w:cs="Tahoma"/>
                <w:sz w:val="18"/>
                <w:szCs w:val="18"/>
              </w:rPr>
            </w:pPr>
            <w:r w:rsidRPr="009023F8">
              <w:rPr>
                <w:rFonts w:ascii="Tahoma" w:hAnsi="Tahoma" w:cs="Tahoma"/>
                <w:sz w:val="18"/>
                <w:szCs w:val="18"/>
              </w:rPr>
              <w:t> </w:t>
            </w:r>
          </w:p>
        </w:tc>
      </w:tr>
    </w:tbl>
    <w:p w:rsidR="00FC6E6D" w:rsidRPr="00734347" w:rsidRDefault="00FC6E6D" w:rsidP="00541706">
      <w:pPr>
        <w:tabs>
          <w:tab w:val="left" w:pos="737"/>
          <w:tab w:val="left" w:pos="993"/>
          <w:tab w:val="left" w:pos="1985"/>
          <w:tab w:val="right" w:pos="9356"/>
        </w:tabs>
        <w:overflowPunct w:val="0"/>
        <w:autoSpaceDE w:val="0"/>
        <w:autoSpaceDN w:val="0"/>
        <w:adjustRightInd w:val="0"/>
        <w:spacing w:before="240" w:after="240"/>
        <w:ind w:right="284"/>
        <w:jc w:val="center"/>
        <w:textAlignment w:val="baseline"/>
        <w:rPr>
          <w:rFonts w:ascii="Calibri" w:hAnsi="Calibri" w:cs="Calibri"/>
          <w:b/>
        </w:rPr>
      </w:pPr>
      <w:r>
        <w:rPr>
          <w:rFonts w:ascii="Calibri" w:hAnsi="Calibri"/>
          <w:b/>
        </w:rPr>
        <w:t>Table 1:  2017 budget compared to 2017 financial statements</w:t>
      </w:r>
    </w:p>
    <w:p w:rsidR="00FC6E6D" w:rsidRPr="00FE7311" w:rsidRDefault="00FC6E6D" w:rsidP="00FC6E6D">
      <w:pPr>
        <w:pStyle w:val="TexteNumroEFK"/>
        <w:ind w:left="502"/>
      </w:pPr>
      <w:r>
        <w:t>We have decided not to explain the budget performance, given that the Secretary-General’s comments on this aspect are set out in a special section of the financial management report for 2017.  Statement V (Statement of Comparison of 2017 Budget and Actual Amounts as at 31 December 2017) shows the main variations in the accounting items between the budget and the actual figures for the year.  The second financial statement V incorporated in that document further presents the values for the 2016-2017 biennium.</w:t>
      </w:r>
    </w:p>
    <w:p w:rsidR="00FC6E6D" w:rsidRPr="00F65694" w:rsidRDefault="00FC6E6D" w:rsidP="00FC6E6D">
      <w:pPr>
        <w:pStyle w:val="TexteNumroEFK"/>
        <w:numPr>
          <w:ilvl w:val="0"/>
          <w:numId w:val="0"/>
        </w:numPr>
        <w:ind w:left="502"/>
      </w:pPr>
    </w:p>
    <w:p w:rsidR="00FC6E6D" w:rsidRDefault="00FC6E6D" w:rsidP="00FC6E6D">
      <w:pPr>
        <w:pStyle w:val="AnnexeTitreEFK"/>
        <w:ind w:left="1060"/>
      </w:pPr>
      <w:r>
        <w:lastRenderedPageBreak/>
        <w:t>Audit of 2017 financial statements</w:t>
      </w:r>
      <w:bookmarkEnd w:id="9"/>
    </w:p>
    <w:p w:rsidR="00FC6E6D" w:rsidRPr="0019231E" w:rsidRDefault="00FC6E6D" w:rsidP="00FC6E6D">
      <w:pPr>
        <w:pStyle w:val="Titre2NoEFK"/>
      </w:pPr>
      <w:r>
        <w:t xml:space="preserve">Readjustment of the 2016 accounts </w:t>
      </w:r>
    </w:p>
    <w:p w:rsidR="00FC6E6D" w:rsidRDefault="00FC6E6D" w:rsidP="00FC6E6D">
      <w:pPr>
        <w:pStyle w:val="TexteNumroEFK"/>
        <w:spacing w:after="240"/>
        <w:ind w:left="502"/>
      </w:pPr>
      <w:r>
        <w:t>The 2016 accounts presented in the 2017 financial statements had to be readjusted following the early adoption of IPSAS 39 on employee benefits.  The table of readjusted operations is as follows:</w:t>
      </w:r>
    </w:p>
    <w:tbl>
      <w:tblPr>
        <w:tblStyle w:val="TableGrid"/>
        <w:tblW w:w="0" w:type="auto"/>
        <w:tblInd w:w="817" w:type="dxa"/>
        <w:tblLook w:val="04A0" w:firstRow="1" w:lastRow="0" w:firstColumn="1" w:lastColumn="0" w:noHBand="0" w:noVBand="1"/>
      </w:tblPr>
      <w:tblGrid>
        <w:gridCol w:w="3815"/>
        <w:gridCol w:w="1521"/>
        <w:gridCol w:w="1496"/>
        <w:gridCol w:w="1354"/>
      </w:tblGrid>
      <w:tr w:rsidR="00FC6E6D" w:rsidTr="00FC6E6D">
        <w:tc>
          <w:tcPr>
            <w:tcW w:w="3815" w:type="dxa"/>
            <w:shd w:val="clear" w:color="auto" w:fill="BFBFBF" w:themeFill="background1" w:themeFillShade="BF"/>
          </w:tcPr>
          <w:p w:rsidR="00FC6E6D" w:rsidRPr="00216000" w:rsidRDefault="00FC6E6D" w:rsidP="00FC6E6D">
            <w:pPr>
              <w:pStyle w:val="TexteNumroEFK"/>
              <w:numPr>
                <w:ilvl w:val="0"/>
                <w:numId w:val="0"/>
              </w:numPr>
              <w:spacing w:after="0"/>
              <w:jc w:val="left"/>
              <w:rPr>
                <w:rFonts w:ascii="Tahoma" w:hAnsi="Tahoma" w:cs="Tahoma"/>
                <w:b/>
                <w:sz w:val="18"/>
                <w:szCs w:val="18"/>
              </w:rPr>
            </w:pPr>
            <w:r w:rsidRPr="00216000">
              <w:rPr>
                <w:rFonts w:ascii="Tahoma" w:hAnsi="Tahoma" w:cs="Tahoma"/>
                <w:b/>
                <w:sz w:val="18"/>
                <w:szCs w:val="18"/>
              </w:rPr>
              <w:t>Items</w:t>
            </w:r>
          </w:p>
        </w:tc>
        <w:tc>
          <w:tcPr>
            <w:tcW w:w="1521" w:type="dxa"/>
            <w:shd w:val="clear" w:color="auto" w:fill="BFBFBF" w:themeFill="background1" w:themeFillShade="BF"/>
          </w:tcPr>
          <w:p w:rsidR="00FC6E6D" w:rsidRPr="00216000" w:rsidRDefault="00FC6E6D" w:rsidP="00FC6E6D">
            <w:pPr>
              <w:pStyle w:val="TexteNumroEFK"/>
              <w:numPr>
                <w:ilvl w:val="0"/>
                <w:numId w:val="0"/>
              </w:numPr>
              <w:spacing w:after="0"/>
              <w:jc w:val="left"/>
              <w:rPr>
                <w:rFonts w:ascii="Tahoma" w:hAnsi="Tahoma" w:cs="Tahoma"/>
                <w:b/>
                <w:sz w:val="18"/>
                <w:szCs w:val="18"/>
              </w:rPr>
            </w:pPr>
            <w:r w:rsidRPr="00216000">
              <w:rPr>
                <w:rFonts w:ascii="Tahoma" w:hAnsi="Tahoma" w:cs="Tahoma"/>
                <w:b/>
                <w:sz w:val="18"/>
                <w:szCs w:val="18"/>
              </w:rPr>
              <w:t>2016 (before readjustment)</w:t>
            </w:r>
          </w:p>
        </w:tc>
        <w:tc>
          <w:tcPr>
            <w:tcW w:w="1496" w:type="dxa"/>
            <w:shd w:val="clear" w:color="auto" w:fill="BFBFBF" w:themeFill="background1" w:themeFillShade="BF"/>
          </w:tcPr>
          <w:p w:rsidR="00FC6E6D" w:rsidRPr="00216000" w:rsidRDefault="00FC6E6D" w:rsidP="00FC6E6D">
            <w:pPr>
              <w:pStyle w:val="TexteNumroEFK"/>
              <w:numPr>
                <w:ilvl w:val="0"/>
                <w:numId w:val="0"/>
              </w:numPr>
              <w:spacing w:after="0"/>
              <w:jc w:val="left"/>
              <w:rPr>
                <w:rFonts w:ascii="Tahoma" w:hAnsi="Tahoma" w:cs="Tahoma"/>
                <w:b/>
                <w:sz w:val="18"/>
                <w:szCs w:val="18"/>
              </w:rPr>
            </w:pPr>
            <w:r w:rsidRPr="00216000">
              <w:rPr>
                <w:rFonts w:ascii="Tahoma" w:hAnsi="Tahoma" w:cs="Tahoma"/>
                <w:b/>
                <w:sz w:val="18"/>
                <w:szCs w:val="18"/>
              </w:rPr>
              <w:t>Readjusted in accordance with IPSAS 39</w:t>
            </w:r>
          </w:p>
        </w:tc>
        <w:tc>
          <w:tcPr>
            <w:tcW w:w="1354" w:type="dxa"/>
            <w:shd w:val="clear" w:color="auto" w:fill="BFBFBF" w:themeFill="background1" w:themeFillShade="BF"/>
          </w:tcPr>
          <w:p w:rsidR="00FC6E6D" w:rsidRPr="00216000" w:rsidRDefault="00FC6E6D" w:rsidP="00FC6E6D">
            <w:pPr>
              <w:pStyle w:val="TexteNumroEFK"/>
              <w:numPr>
                <w:ilvl w:val="0"/>
                <w:numId w:val="0"/>
              </w:numPr>
              <w:spacing w:after="0"/>
              <w:jc w:val="left"/>
              <w:rPr>
                <w:rFonts w:ascii="Tahoma" w:hAnsi="Tahoma" w:cs="Tahoma"/>
                <w:b/>
                <w:sz w:val="18"/>
                <w:szCs w:val="18"/>
              </w:rPr>
            </w:pPr>
            <w:r w:rsidRPr="00216000">
              <w:rPr>
                <w:rFonts w:ascii="Tahoma" w:hAnsi="Tahoma" w:cs="Tahoma"/>
                <w:b/>
                <w:sz w:val="18"/>
                <w:szCs w:val="18"/>
              </w:rPr>
              <w:t>2016 (readjusted)</w:t>
            </w:r>
          </w:p>
        </w:tc>
      </w:tr>
      <w:tr w:rsidR="00FC6E6D" w:rsidTr="00FC6E6D">
        <w:tc>
          <w:tcPr>
            <w:tcW w:w="8186" w:type="dxa"/>
            <w:gridSpan w:val="4"/>
          </w:tcPr>
          <w:p w:rsidR="00FC6E6D" w:rsidRPr="00216000" w:rsidRDefault="00FC6E6D" w:rsidP="00FC6E6D">
            <w:pPr>
              <w:pStyle w:val="TexteNumroEFK"/>
              <w:numPr>
                <w:ilvl w:val="0"/>
                <w:numId w:val="0"/>
              </w:numPr>
              <w:spacing w:after="0"/>
              <w:jc w:val="right"/>
              <w:rPr>
                <w:rFonts w:ascii="Tahoma" w:hAnsi="Tahoma" w:cs="Tahoma"/>
                <w:sz w:val="18"/>
                <w:szCs w:val="18"/>
              </w:rPr>
            </w:pPr>
            <w:r w:rsidRPr="00216000">
              <w:rPr>
                <w:rFonts w:ascii="Tahoma" w:hAnsi="Tahoma" w:cs="Tahoma"/>
                <w:sz w:val="18"/>
                <w:szCs w:val="18"/>
              </w:rPr>
              <w:t>(Amounts in Swiss francs)</w:t>
            </w:r>
          </w:p>
        </w:tc>
      </w:tr>
      <w:tr w:rsidR="00FC6E6D" w:rsidTr="009E37F3">
        <w:tc>
          <w:tcPr>
            <w:tcW w:w="8186" w:type="dxa"/>
            <w:gridSpan w:val="4"/>
            <w:tcBorders>
              <w:bottom w:val="single" w:sz="4" w:space="0" w:color="auto"/>
            </w:tcBorders>
            <w:shd w:val="clear" w:color="auto" w:fill="BFBFBF" w:themeFill="background1" w:themeFillShade="BF"/>
          </w:tcPr>
          <w:p w:rsidR="00FC6E6D" w:rsidRPr="00216000" w:rsidRDefault="00FC6E6D" w:rsidP="00FC6E6D">
            <w:pPr>
              <w:pStyle w:val="TexteNumroEFK"/>
              <w:numPr>
                <w:ilvl w:val="0"/>
                <w:numId w:val="0"/>
              </w:numPr>
              <w:spacing w:after="0"/>
              <w:rPr>
                <w:rFonts w:ascii="Tahoma" w:hAnsi="Tahoma" w:cs="Tahoma"/>
                <w:b/>
                <w:sz w:val="18"/>
                <w:szCs w:val="18"/>
              </w:rPr>
            </w:pPr>
            <w:r w:rsidRPr="00216000">
              <w:rPr>
                <w:rFonts w:ascii="Tahoma" w:hAnsi="Tahoma" w:cs="Tahoma"/>
                <w:b/>
                <w:sz w:val="18"/>
                <w:szCs w:val="18"/>
              </w:rPr>
              <w:t>BALANCE SHEET</w:t>
            </w:r>
          </w:p>
        </w:tc>
      </w:tr>
      <w:tr w:rsidR="00FC6E6D" w:rsidTr="009E37F3">
        <w:tc>
          <w:tcPr>
            <w:tcW w:w="3815" w:type="dxa"/>
            <w:shd w:val="clear" w:color="auto" w:fill="FFFFCC"/>
          </w:tcPr>
          <w:p w:rsidR="00FC6E6D" w:rsidRPr="00216000" w:rsidRDefault="00FC6E6D" w:rsidP="00FC6E6D">
            <w:pPr>
              <w:pStyle w:val="TexteNumroEFK"/>
              <w:numPr>
                <w:ilvl w:val="0"/>
                <w:numId w:val="0"/>
              </w:numPr>
              <w:spacing w:after="0"/>
              <w:rPr>
                <w:rFonts w:ascii="Tahoma" w:hAnsi="Tahoma" w:cs="Tahoma"/>
                <w:b/>
                <w:sz w:val="18"/>
                <w:szCs w:val="18"/>
              </w:rPr>
            </w:pPr>
            <w:r w:rsidRPr="00216000">
              <w:rPr>
                <w:rFonts w:ascii="Tahoma" w:hAnsi="Tahoma" w:cs="Tahoma"/>
                <w:b/>
                <w:sz w:val="18"/>
                <w:szCs w:val="18"/>
              </w:rPr>
              <w:t>Total assets</w:t>
            </w:r>
          </w:p>
        </w:tc>
        <w:tc>
          <w:tcPr>
            <w:tcW w:w="1521" w:type="dxa"/>
            <w:shd w:val="clear" w:color="auto" w:fill="FFFFCC"/>
          </w:tcPr>
          <w:p w:rsidR="00FC6E6D" w:rsidRPr="00216000" w:rsidRDefault="00FC6E6D" w:rsidP="00FC6E6D">
            <w:pPr>
              <w:pStyle w:val="TexteNumroEFK"/>
              <w:numPr>
                <w:ilvl w:val="0"/>
                <w:numId w:val="0"/>
              </w:numPr>
              <w:spacing w:after="0"/>
              <w:jc w:val="right"/>
              <w:rPr>
                <w:rFonts w:ascii="Tahoma" w:hAnsi="Tahoma" w:cs="Tahoma"/>
                <w:b/>
                <w:sz w:val="18"/>
                <w:szCs w:val="18"/>
              </w:rPr>
            </w:pPr>
            <w:r w:rsidRPr="00216000">
              <w:rPr>
                <w:rFonts w:ascii="Tahoma" w:hAnsi="Tahoma" w:cs="Tahoma"/>
                <w:b/>
                <w:sz w:val="18"/>
                <w:szCs w:val="18"/>
              </w:rPr>
              <w:t>5,405,813</w:t>
            </w:r>
          </w:p>
        </w:tc>
        <w:tc>
          <w:tcPr>
            <w:tcW w:w="1496" w:type="dxa"/>
            <w:shd w:val="clear" w:color="auto" w:fill="FFFFCC"/>
          </w:tcPr>
          <w:p w:rsidR="00FC6E6D" w:rsidRPr="00216000" w:rsidRDefault="00FC6E6D" w:rsidP="00FC6E6D">
            <w:pPr>
              <w:pStyle w:val="TexteNumroEFK"/>
              <w:numPr>
                <w:ilvl w:val="0"/>
                <w:numId w:val="0"/>
              </w:numPr>
              <w:spacing w:after="0"/>
              <w:jc w:val="center"/>
              <w:rPr>
                <w:rFonts w:ascii="Tahoma" w:hAnsi="Tahoma" w:cs="Tahoma"/>
                <w:b/>
                <w:sz w:val="18"/>
                <w:szCs w:val="18"/>
              </w:rPr>
            </w:pPr>
            <w:r w:rsidRPr="00216000">
              <w:rPr>
                <w:rFonts w:ascii="Tahoma" w:hAnsi="Tahoma" w:cs="Tahoma"/>
                <w:b/>
                <w:sz w:val="18"/>
                <w:szCs w:val="18"/>
              </w:rPr>
              <w:t>-</w:t>
            </w:r>
          </w:p>
        </w:tc>
        <w:tc>
          <w:tcPr>
            <w:tcW w:w="1354" w:type="dxa"/>
            <w:shd w:val="clear" w:color="auto" w:fill="FFFFCC"/>
          </w:tcPr>
          <w:p w:rsidR="00FC6E6D" w:rsidRPr="00216000" w:rsidRDefault="00FC6E6D" w:rsidP="00FC6E6D">
            <w:pPr>
              <w:pStyle w:val="TexteNumroEFK"/>
              <w:numPr>
                <w:ilvl w:val="0"/>
                <w:numId w:val="0"/>
              </w:numPr>
              <w:spacing w:after="0"/>
              <w:jc w:val="right"/>
              <w:rPr>
                <w:rFonts w:ascii="Tahoma" w:hAnsi="Tahoma" w:cs="Tahoma"/>
                <w:b/>
                <w:sz w:val="18"/>
                <w:szCs w:val="18"/>
              </w:rPr>
            </w:pPr>
            <w:r w:rsidRPr="00216000">
              <w:rPr>
                <w:rFonts w:ascii="Tahoma" w:hAnsi="Tahoma" w:cs="Tahoma"/>
                <w:b/>
                <w:sz w:val="18"/>
                <w:szCs w:val="18"/>
              </w:rPr>
              <w:t>5,405,813</w:t>
            </w:r>
          </w:p>
        </w:tc>
      </w:tr>
      <w:tr w:rsidR="00FC6E6D" w:rsidTr="00FC6E6D">
        <w:tc>
          <w:tcPr>
            <w:tcW w:w="3815" w:type="dxa"/>
          </w:tcPr>
          <w:p w:rsidR="00FC6E6D" w:rsidRPr="00216000" w:rsidRDefault="00FC6E6D" w:rsidP="00FC6E6D">
            <w:pPr>
              <w:pStyle w:val="TexteNumroEFK"/>
              <w:numPr>
                <w:ilvl w:val="0"/>
                <w:numId w:val="0"/>
              </w:numPr>
              <w:spacing w:after="0"/>
              <w:rPr>
                <w:rFonts w:ascii="Tahoma" w:hAnsi="Tahoma" w:cs="Tahoma"/>
                <w:sz w:val="18"/>
                <w:szCs w:val="18"/>
              </w:rPr>
            </w:pPr>
            <w:r w:rsidRPr="00216000">
              <w:rPr>
                <w:rFonts w:ascii="Tahoma" w:hAnsi="Tahoma" w:cs="Tahoma"/>
                <w:sz w:val="18"/>
                <w:szCs w:val="18"/>
              </w:rPr>
              <w:t>Health insurance after termination of service</w:t>
            </w:r>
          </w:p>
        </w:tc>
        <w:tc>
          <w:tcPr>
            <w:tcW w:w="1521" w:type="dxa"/>
          </w:tcPr>
          <w:p w:rsidR="00FC6E6D" w:rsidRPr="00216000" w:rsidRDefault="00FC6E6D" w:rsidP="00FC6E6D">
            <w:pPr>
              <w:pStyle w:val="TexteNumroEFK"/>
              <w:numPr>
                <w:ilvl w:val="0"/>
                <w:numId w:val="0"/>
              </w:numPr>
              <w:spacing w:after="0"/>
              <w:jc w:val="right"/>
              <w:rPr>
                <w:rFonts w:ascii="Tahoma" w:hAnsi="Tahoma" w:cs="Tahoma"/>
                <w:sz w:val="18"/>
                <w:szCs w:val="18"/>
              </w:rPr>
            </w:pPr>
            <w:r w:rsidRPr="00216000">
              <w:rPr>
                <w:rFonts w:ascii="Tahoma" w:hAnsi="Tahoma" w:cs="Tahoma"/>
                <w:sz w:val="18"/>
                <w:szCs w:val="18"/>
              </w:rPr>
              <w:t>1,183,628</w:t>
            </w:r>
          </w:p>
        </w:tc>
        <w:tc>
          <w:tcPr>
            <w:tcW w:w="1496" w:type="dxa"/>
          </w:tcPr>
          <w:p w:rsidR="00FC6E6D" w:rsidRPr="00216000" w:rsidRDefault="00FC6E6D" w:rsidP="00FC6E6D">
            <w:pPr>
              <w:pStyle w:val="TexteNumroEFK"/>
              <w:numPr>
                <w:ilvl w:val="0"/>
                <w:numId w:val="0"/>
              </w:numPr>
              <w:spacing w:after="0"/>
              <w:jc w:val="right"/>
              <w:rPr>
                <w:rFonts w:ascii="Tahoma" w:hAnsi="Tahoma" w:cs="Tahoma"/>
                <w:sz w:val="18"/>
                <w:szCs w:val="18"/>
              </w:rPr>
            </w:pPr>
            <w:r>
              <w:rPr>
                <w:rFonts w:ascii="Tahoma" w:hAnsi="Tahoma" w:cs="Tahoma"/>
                <w:sz w:val="18"/>
                <w:szCs w:val="18"/>
              </w:rPr>
              <w:t>1,050,665</w:t>
            </w:r>
          </w:p>
        </w:tc>
        <w:tc>
          <w:tcPr>
            <w:tcW w:w="1354" w:type="dxa"/>
          </w:tcPr>
          <w:p w:rsidR="00FC6E6D" w:rsidRPr="00216000" w:rsidRDefault="00FC6E6D" w:rsidP="00FC6E6D">
            <w:pPr>
              <w:pStyle w:val="TexteNumroEFK"/>
              <w:numPr>
                <w:ilvl w:val="0"/>
                <w:numId w:val="0"/>
              </w:numPr>
              <w:spacing w:after="0"/>
              <w:jc w:val="right"/>
              <w:rPr>
                <w:rFonts w:ascii="Tahoma" w:hAnsi="Tahoma" w:cs="Tahoma"/>
                <w:sz w:val="18"/>
                <w:szCs w:val="18"/>
              </w:rPr>
            </w:pPr>
            <w:r>
              <w:rPr>
                <w:rFonts w:ascii="Tahoma" w:hAnsi="Tahoma" w:cs="Tahoma"/>
                <w:sz w:val="18"/>
                <w:szCs w:val="18"/>
              </w:rPr>
              <w:t>2,234,293</w:t>
            </w:r>
          </w:p>
        </w:tc>
      </w:tr>
      <w:tr w:rsidR="00FC6E6D" w:rsidTr="00FC6E6D">
        <w:tc>
          <w:tcPr>
            <w:tcW w:w="3815" w:type="dxa"/>
          </w:tcPr>
          <w:p w:rsidR="00FC6E6D" w:rsidRPr="00216000" w:rsidRDefault="00FC6E6D" w:rsidP="00FC6E6D">
            <w:pPr>
              <w:pStyle w:val="TexteNumroEFK"/>
              <w:numPr>
                <w:ilvl w:val="0"/>
                <w:numId w:val="0"/>
              </w:numPr>
              <w:spacing w:after="0"/>
              <w:rPr>
                <w:rFonts w:ascii="Tahoma" w:hAnsi="Tahoma" w:cs="Tahoma"/>
                <w:sz w:val="18"/>
                <w:szCs w:val="18"/>
              </w:rPr>
            </w:pPr>
            <w:r w:rsidRPr="00216000">
              <w:rPr>
                <w:rFonts w:ascii="Tahoma" w:hAnsi="Tahoma" w:cs="Tahoma"/>
                <w:sz w:val="18"/>
                <w:szCs w:val="18"/>
              </w:rPr>
              <w:t>Accumulated leave</w:t>
            </w:r>
          </w:p>
        </w:tc>
        <w:tc>
          <w:tcPr>
            <w:tcW w:w="1521" w:type="dxa"/>
          </w:tcPr>
          <w:p w:rsidR="00FC6E6D" w:rsidRPr="00216000" w:rsidRDefault="00FC6E6D" w:rsidP="00FC6E6D">
            <w:pPr>
              <w:pStyle w:val="TexteNumroEFK"/>
              <w:numPr>
                <w:ilvl w:val="0"/>
                <w:numId w:val="0"/>
              </w:numPr>
              <w:spacing w:after="0"/>
              <w:jc w:val="right"/>
              <w:rPr>
                <w:rFonts w:ascii="Tahoma" w:hAnsi="Tahoma" w:cs="Tahoma"/>
                <w:sz w:val="18"/>
                <w:szCs w:val="18"/>
              </w:rPr>
            </w:pPr>
            <w:r w:rsidRPr="00216000">
              <w:rPr>
                <w:rFonts w:ascii="Tahoma" w:hAnsi="Tahoma" w:cs="Tahoma"/>
                <w:sz w:val="18"/>
                <w:szCs w:val="18"/>
              </w:rPr>
              <w:t>125,293</w:t>
            </w:r>
          </w:p>
        </w:tc>
        <w:tc>
          <w:tcPr>
            <w:tcW w:w="1496" w:type="dxa"/>
          </w:tcPr>
          <w:p w:rsidR="00FC6E6D" w:rsidRPr="00216000" w:rsidRDefault="00FC6E6D" w:rsidP="00FC6E6D">
            <w:pPr>
              <w:pStyle w:val="TexteNumroEFK"/>
              <w:numPr>
                <w:ilvl w:val="0"/>
                <w:numId w:val="0"/>
              </w:numPr>
              <w:spacing w:after="0"/>
              <w:jc w:val="right"/>
              <w:rPr>
                <w:rFonts w:ascii="Tahoma" w:hAnsi="Tahoma" w:cs="Tahoma"/>
                <w:sz w:val="18"/>
                <w:szCs w:val="18"/>
              </w:rPr>
            </w:pPr>
            <w:r>
              <w:rPr>
                <w:rFonts w:ascii="Tahoma" w:hAnsi="Tahoma" w:cs="Tahoma"/>
                <w:sz w:val="18"/>
                <w:szCs w:val="18"/>
              </w:rPr>
              <w:t>(57,573)</w:t>
            </w:r>
          </w:p>
        </w:tc>
        <w:tc>
          <w:tcPr>
            <w:tcW w:w="1354" w:type="dxa"/>
          </w:tcPr>
          <w:p w:rsidR="00FC6E6D" w:rsidRPr="00216000" w:rsidRDefault="00FC6E6D" w:rsidP="00FC6E6D">
            <w:pPr>
              <w:pStyle w:val="TexteNumroEFK"/>
              <w:numPr>
                <w:ilvl w:val="0"/>
                <w:numId w:val="0"/>
              </w:numPr>
              <w:spacing w:after="0"/>
              <w:jc w:val="right"/>
              <w:rPr>
                <w:rFonts w:ascii="Tahoma" w:hAnsi="Tahoma" w:cs="Tahoma"/>
                <w:sz w:val="18"/>
                <w:szCs w:val="18"/>
              </w:rPr>
            </w:pPr>
            <w:r>
              <w:rPr>
                <w:rFonts w:ascii="Tahoma" w:hAnsi="Tahoma" w:cs="Tahoma"/>
                <w:sz w:val="18"/>
                <w:szCs w:val="18"/>
              </w:rPr>
              <w:t>67,720</w:t>
            </w:r>
          </w:p>
        </w:tc>
      </w:tr>
      <w:tr w:rsidR="00FC6E6D" w:rsidTr="009E37F3">
        <w:tc>
          <w:tcPr>
            <w:tcW w:w="3815" w:type="dxa"/>
            <w:tcBorders>
              <w:bottom w:val="single" w:sz="4" w:space="0" w:color="auto"/>
            </w:tcBorders>
            <w:shd w:val="clear" w:color="auto" w:fill="FFFFFF" w:themeFill="background1"/>
          </w:tcPr>
          <w:p w:rsidR="00FC6E6D" w:rsidRPr="00216000" w:rsidRDefault="00FC6E6D" w:rsidP="00FC6E6D">
            <w:pPr>
              <w:pStyle w:val="TexteNumroEFK"/>
              <w:numPr>
                <w:ilvl w:val="0"/>
                <w:numId w:val="0"/>
              </w:numPr>
              <w:spacing w:after="0"/>
              <w:rPr>
                <w:rFonts w:ascii="Tahoma" w:hAnsi="Tahoma" w:cs="Tahoma"/>
                <w:sz w:val="18"/>
                <w:szCs w:val="18"/>
              </w:rPr>
            </w:pPr>
            <w:r w:rsidRPr="00216000">
              <w:rPr>
                <w:rFonts w:ascii="Tahoma" w:hAnsi="Tahoma" w:cs="Tahoma"/>
                <w:sz w:val="18"/>
                <w:szCs w:val="18"/>
              </w:rPr>
              <w:t>Other debts</w:t>
            </w:r>
          </w:p>
        </w:tc>
        <w:tc>
          <w:tcPr>
            <w:tcW w:w="1521" w:type="dxa"/>
            <w:tcBorders>
              <w:bottom w:val="single" w:sz="4" w:space="0" w:color="auto"/>
            </w:tcBorders>
            <w:shd w:val="clear" w:color="auto" w:fill="FFFFFF" w:themeFill="background1"/>
          </w:tcPr>
          <w:p w:rsidR="00FC6E6D" w:rsidRPr="00216000" w:rsidRDefault="00FC6E6D" w:rsidP="00FC6E6D">
            <w:pPr>
              <w:pStyle w:val="TexteNumroEFK"/>
              <w:numPr>
                <w:ilvl w:val="0"/>
                <w:numId w:val="0"/>
              </w:numPr>
              <w:spacing w:after="0"/>
              <w:jc w:val="right"/>
              <w:rPr>
                <w:rFonts w:ascii="Tahoma" w:hAnsi="Tahoma" w:cs="Tahoma"/>
                <w:sz w:val="18"/>
                <w:szCs w:val="18"/>
              </w:rPr>
            </w:pPr>
            <w:r w:rsidRPr="00216000">
              <w:rPr>
                <w:rFonts w:ascii="Tahoma" w:hAnsi="Tahoma" w:cs="Tahoma"/>
                <w:sz w:val="18"/>
                <w:szCs w:val="18"/>
              </w:rPr>
              <w:t>2,358,025</w:t>
            </w:r>
          </w:p>
        </w:tc>
        <w:tc>
          <w:tcPr>
            <w:tcW w:w="1496" w:type="dxa"/>
            <w:tcBorders>
              <w:bottom w:val="single" w:sz="4" w:space="0" w:color="auto"/>
            </w:tcBorders>
            <w:shd w:val="clear" w:color="auto" w:fill="FFFFFF" w:themeFill="background1"/>
          </w:tcPr>
          <w:p w:rsidR="00FC6E6D" w:rsidRPr="00216000" w:rsidRDefault="00FC6E6D" w:rsidP="00FC6E6D">
            <w:pPr>
              <w:pStyle w:val="TexteNumroEFK"/>
              <w:numPr>
                <w:ilvl w:val="0"/>
                <w:numId w:val="0"/>
              </w:numPr>
              <w:spacing w:after="0"/>
              <w:jc w:val="center"/>
              <w:rPr>
                <w:rFonts w:ascii="Tahoma" w:hAnsi="Tahoma" w:cs="Tahoma"/>
                <w:sz w:val="18"/>
                <w:szCs w:val="18"/>
              </w:rPr>
            </w:pPr>
            <w:r>
              <w:rPr>
                <w:rFonts w:ascii="Tahoma" w:hAnsi="Tahoma" w:cs="Tahoma"/>
                <w:sz w:val="18"/>
                <w:szCs w:val="18"/>
              </w:rPr>
              <w:t>-</w:t>
            </w:r>
          </w:p>
        </w:tc>
        <w:tc>
          <w:tcPr>
            <w:tcW w:w="1354" w:type="dxa"/>
            <w:tcBorders>
              <w:bottom w:val="single" w:sz="4" w:space="0" w:color="auto"/>
            </w:tcBorders>
            <w:shd w:val="clear" w:color="auto" w:fill="FFFFFF" w:themeFill="background1"/>
          </w:tcPr>
          <w:p w:rsidR="00FC6E6D" w:rsidRPr="00216000" w:rsidRDefault="00FC6E6D" w:rsidP="00FC6E6D">
            <w:pPr>
              <w:pStyle w:val="TexteNumroEFK"/>
              <w:numPr>
                <w:ilvl w:val="0"/>
                <w:numId w:val="0"/>
              </w:numPr>
              <w:spacing w:after="0"/>
              <w:jc w:val="right"/>
              <w:rPr>
                <w:rFonts w:ascii="Tahoma" w:hAnsi="Tahoma" w:cs="Tahoma"/>
                <w:sz w:val="18"/>
                <w:szCs w:val="18"/>
              </w:rPr>
            </w:pPr>
            <w:r>
              <w:rPr>
                <w:rFonts w:ascii="Tahoma" w:hAnsi="Tahoma" w:cs="Tahoma"/>
                <w:sz w:val="18"/>
                <w:szCs w:val="18"/>
              </w:rPr>
              <w:t>2,358,025</w:t>
            </w:r>
          </w:p>
        </w:tc>
      </w:tr>
      <w:tr w:rsidR="00FC6E6D" w:rsidTr="009E37F3">
        <w:tc>
          <w:tcPr>
            <w:tcW w:w="3815" w:type="dxa"/>
            <w:shd w:val="clear" w:color="auto" w:fill="FFFFCC"/>
          </w:tcPr>
          <w:p w:rsidR="00FC6E6D" w:rsidRPr="00216000" w:rsidRDefault="00FC6E6D" w:rsidP="00FC6E6D">
            <w:pPr>
              <w:pStyle w:val="TexteNumroEFK"/>
              <w:numPr>
                <w:ilvl w:val="0"/>
                <w:numId w:val="0"/>
              </w:numPr>
              <w:spacing w:after="0"/>
              <w:rPr>
                <w:rFonts w:ascii="Tahoma" w:hAnsi="Tahoma" w:cs="Tahoma"/>
                <w:b/>
                <w:sz w:val="18"/>
                <w:szCs w:val="18"/>
              </w:rPr>
            </w:pPr>
            <w:r w:rsidRPr="00216000">
              <w:rPr>
                <w:rFonts w:ascii="Tahoma" w:hAnsi="Tahoma" w:cs="Tahoma"/>
                <w:b/>
                <w:sz w:val="18"/>
                <w:szCs w:val="18"/>
              </w:rPr>
              <w:t>Total liabilities</w:t>
            </w:r>
          </w:p>
        </w:tc>
        <w:tc>
          <w:tcPr>
            <w:tcW w:w="1521" w:type="dxa"/>
            <w:shd w:val="clear" w:color="auto" w:fill="FFFFCC"/>
          </w:tcPr>
          <w:p w:rsidR="00FC6E6D" w:rsidRPr="00216000" w:rsidRDefault="00FC6E6D" w:rsidP="00FC6E6D">
            <w:pPr>
              <w:pStyle w:val="TexteNumroEFK"/>
              <w:numPr>
                <w:ilvl w:val="0"/>
                <w:numId w:val="0"/>
              </w:numPr>
              <w:spacing w:after="0"/>
              <w:jc w:val="right"/>
              <w:rPr>
                <w:rFonts w:ascii="Tahoma" w:hAnsi="Tahoma" w:cs="Tahoma"/>
                <w:b/>
                <w:sz w:val="18"/>
                <w:szCs w:val="18"/>
              </w:rPr>
            </w:pPr>
            <w:r w:rsidRPr="00216000">
              <w:rPr>
                <w:rFonts w:ascii="Tahoma" w:hAnsi="Tahoma" w:cs="Tahoma"/>
                <w:b/>
                <w:sz w:val="18"/>
                <w:szCs w:val="18"/>
              </w:rPr>
              <w:t>3,666,946</w:t>
            </w:r>
          </w:p>
        </w:tc>
        <w:tc>
          <w:tcPr>
            <w:tcW w:w="1496" w:type="dxa"/>
            <w:shd w:val="clear" w:color="auto" w:fill="FFFFCC"/>
          </w:tcPr>
          <w:p w:rsidR="00FC6E6D" w:rsidRPr="00216000" w:rsidRDefault="00FC6E6D" w:rsidP="00FC6E6D">
            <w:pPr>
              <w:pStyle w:val="TexteNumroEFK"/>
              <w:numPr>
                <w:ilvl w:val="0"/>
                <w:numId w:val="0"/>
              </w:numPr>
              <w:spacing w:after="0"/>
              <w:jc w:val="right"/>
              <w:rPr>
                <w:rFonts w:ascii="Tahoma" w:hAnsi="Tahoma" w:cs="Tahoma"/>
                <w:b/>
                <w:sz w:val="18"/>
                <w:szCs w:val="18"/>
              </w:rPr>
            </w:pPr>
            <w:r>
              <w:rPr>
                <w:rFonts w:ascii="Tahoma" w:hAnsi="Tahoma" w:cs="Tahoma"/>
                <w:b/>
                <w:sz w:val="18"/>
                <w:szCs w:val="18"/>
              </w:rPr>
              <w:t>993,092</w:t>
            </w:r>
          </w:p>
        </w:tc>
        <w:tc>
          <w:tcPr>
            <w:tcW w:w="1354" w:type="dxa"/>
            <w:shd w:val="clear" w:color="auto" w:fill="FFFFCC"/>
          </w:tcPr>
          <w:p w:rsidR="00FC6E6D" w:rsidRPr="00216000" w:rsidRDefault="00FC6E6D" w:rsidP="00FC6E6D">
            <w:pPr>
              <w:pStyle w:val="TexteNumroEFK"/>
              <w:numPr>
                <w:ilvl w:val="0"/>
                <w:numId w:val="0"/>
              </w:numPr>
              <w:spacing w:after="0"/>
              <w:jc w:val="right"/>
              <w:rPr>
                <w:rFonts w:ascii="Tahoma" w:hAnsi="Tahoma" w:cs="Tahoma"/>
                <w:b/>
                <w:sz w:val="18"/>
                <w:szCs w:val="18"/>
              </w:rPr>
            </w:pPr>
            <w:r>
              <w:rPr>
                <w:rFonts w:ascii="Tahoma" w:hAnsi="Tahoma" w:cs="Tahoma"/>
                <w:b/>
                <w:sz w:val="18"/>
                <w:szCs w:val="18"/>
              </w:rPr>
              <w:t>4,660,038</w:t>
            </w:r>
          </w:p>
        </w:tc>
      </w:tr>
      <w:tr w:rsidR="00FC6E6D" w:rsidTr="00FC6E6D">
        <w:tc>
          <w:tcPr>
            <w:tcW w:w="3815" w:type="dxa"/>
          </w:tcPr>
          <w:p w:rsidR="00FC6E6D" w:rsidRPr="00216000" w:rsidRDefault="00FC6E6D" w:rsidP="00FC6E6D">
            <w:pPr>
              <w:pStyle w:val="TexteNumroEFK"/>
              <w:numPr>
                <w:ilvl w:val="0"/>
                <w:numId w:val="0"/>
              </w:numPr>
              <w:spacing w:after="0"/>
              <w:rPr>
                <w:rFonts w:ascii="Tahoma" w:hAnsi="Tahoma" w:cs="Tahoma"/>
                <w:sz w:val="18"/>
                <w:szCs w:val="18"/>
              </w:rPr>
            </w:pPr>
            <w:r w:rsidRPr="00216000">
              <w:rPr>
                <w:rFonts w:ascii="Tahoma" w:hAnsi="Tahoma" w:cs="Tahoma"/>
                <w:sz w:val="18"/>
                <w:szCs w:val="18"/>
              </w:rPr>
              <w:t>Accumulated surplus</w:t>
            </w:r>
          </w:p>
        </w:tc>
        <w:tc>
          <w:tcPr>
            <w:tcW w:w="1521" w:type="dxa"/>
          </w:tcPr>
          <w:p w:rsidR="00FC6E6D" w:rsidRPr="00216000" w:rsidRDefault="00FC6E6D" w:rsidP="00FC6E6D">
            <w:pPr>
              <w:pStyle w:val="TexteNumroEFK"/>
              <w:numPr>
                <w:ilvl w:val="0"/>
                <w:numId w:val="0"/>
              </w:numPr>
              <w:spacing w:after="0"/>
              <w:jc w:val="right"/>
              <w:rPr>
                <w:rFonts w:ascii="Tahoma" w:hAnsi="Tahoma" w:cs="Tahoma"/>
                <w:sz w:val="18"/>
                <w:szCs w:val="18"/>
              </w:rPr>
            </w:pPr>
            <w:r>
              <w:rPr>
                <w:rFonts w:ascii="Tahoma" w:hAnsi="Tahoma" w:cs="Tahoma"/>
                <w:sz w:val="18"/>
                <w:szCs w:val="18"/>
              </w:rPr>
              <w:t>1,178,231</w:t>
            </w:r>
          </w:p>
        </w:tc>
        <w:tc>
          <w:tcPr>
            <w:tcW w:w="1496" w:type="dxa"/>
          </w:tcPr>
          <w:p w:rsidR="00FC6E6D" w:rsidRPr="00216000" w:rsidRDefault="00FC6E6D" w:rsidP="00FC6E6D">
            <w:pPr>
              <w:pStyle w:val="TexteNumroEFK"/>
              <w:numPr>
                <w:ilvl w:val="0"/>
                <w:numId w:val="0"/>
              </w:numPr>
              <w:spacing w:after="0"/>
              <w:jc w:val="right"/>
              <w:rPr>
                <w:rFonts w:ascii="Tahoma" w:hAnsi="Tahoma" w:cs="Tahoma"/>
                <w:sz w:val="18"/>
                <w:szCs w:val="18"/>
              </w:rPr>
            </w:pPr>
            <w:r>
              <w:rPr>
                <w:rFonts w:ascii="Tahoma" w:hAnsi="Tahoma" w:cs="Tahoma"/>
                <w:sz w:val="18"/>
                <w:szCs w:val="18"/>
              </w:rPr>
              <w:t>82,602</w:t>
            </w:r>
          </w:p>
        </w:tc>
        <w:tc>
          <w:tcPr>
            <w:tcW w:w="1354" w:type="dxa"/>
          </w:tcPr>
          <w:p w:rsidR="00FC6E6D" w:rsidRPr="00216000" w:rsidRDefault="00FC6E6D" w:rsidP="00FC6E6D">
            <w:pPr>
              <w:pStyle w:val="TexteNumroEFK"/>
              <w:numPr>
                <w:ilvl w:val="0"/>
                <w:numId w:val="0"/>
              </w:numPr>
              <w:spacing w:after="0"/>
              <w:jc w:val="right"/>
              <w:rPr>
                <w:rFonts w:ascii="Tahoma" w:hAnsi="Tahoma" w:cs="Tahoma"/>
                <w:sz w:val="18"/>
                <w:szCs w:val="18"/>
              </w:rPr>
            </w:pPr>
            <w:r>
              <w:rPr>
                <w:rFonts w:ascii="Tahoma" w:hAnsi="Tahoma" w:cs="Tahoma"/>
                <w:sz w:val="18"/>
                <w:szCs w:val="18"/>
              </w:rPr>
              <w:t>1,260,833</w:t>
            </w:r>
          </w:p>
        </w:tc>
      </w:tr>
      <w:tr w:rsidR="00FC6E6D" w:rsidTr="00FC6E6D">
        <w:tc>
          <w:tcPr>
            <w:tcW w:w="3815" w:type="dxa"/>
          </w:tcPr>
          <w:p w:rsidR="00FC6E6D" w:rsidRPr="00216000" w:rsidRDefault="00FC6E6D" w:rsidP="00FC6E6D">
            <w:pPr>
              <w:pStyle w:val="TexteNumroEFK"/>
              <w:numPr>
                <w:ilvl w:val="0"/>
                <w:numId w:val="0"/>
              </w:numPr>
              <w:spacing w:after="0"/>
              <w:rPr>
                <w:rFonts w:ascii="Tahoma" w:hAnsi="Tahoma" w:cs="Tahoma"/>
                <w:sz w:val="18"/>
                <w:szCs w:val="18"/>
              </w:rPr>
            </w:pPr>
            <w:r w:rsidRPr="00216000">
              <w:rPr>
                <w:rFonts w:ascii="Tahoma" w:hAnsi="Tahoma" w:cs="Tahoma"/>
                <w:sz w:val="18"/>
                <w:szCs w:val="18"/>
              </w:rPr>
              <w:t>Miscellaneous</w:t>
            </w:r>
          </w:p>
        </w:tc>
        <w:tc>
          <w:tcPr>
            <w:tcW w:w="1521" w:type="dxa"/>
          </w:tcPr>
          <w:p w:rsidR="00FC6E6D" w:rsidRPr="00216000" w:rsidRDefault="00FC6E6D" w:rsidP="00FC6E6D">
            <w:pPr>
              <w:pStyle w:val="TexteNumroEFK"/>
              <w:numPr>
                <w:ilvl w:val="0"/>
                <w:numId w:val="0"/>
              </w:numPr>
              <w:spacing w:after="0"/>
              <w:jc w:val="right"/>
              <w:rPr>
                <w:rFonts w:ascii="Tahoma" w:hAnsi="Tahoma" w:cs="Tahoma"/>
                <w:sz w:val="18"/>
                <w:szCs w:val="18"/>
              </w:rPr>
            </w:pPr>
            <w:r>
              <w:rPr>
                <w:rFonts w:ascii="Tahoma" w:hAnsi="Tahoma" w:cs="Tahoma"/>
                <w:sz w:val="18"/>
                <w:szCs w:val="18"/>
              </w:rPr>
              <w:t>560,636</w:t>
            </w:r>
          </w:p>
        </w:tc>
        <w:tc>
          <w:tcPr>
            <w:tcW w:w="1496" w:type="dxa"/>
          </w:tcPr>
          <w:p w:rsidR="00FC6E6D" w:rsidRPr="00216000" w:rsidRDefault="00FC6E6D" w:rsidP="00FC6E6D">
            <w:pPr>
              <w:pStyle w:val="TexteNumroEFK"/>
              <w:numPr>
                <w:ilvl w:val="0"/>
                <w:numId w:val="0"/>
              </w:numPr>
              <w:spacing w:after="0"/>
              <w:jc w:val="center"/>
              <w:rPr>
                <w:rFonts w:ascii="Tahoma" w:hAnsi="Tahoma" w:cs="Tahoma"/>
                <w:sz w:val="18"/>
                <w:szCs w:val="18"/>
              </w:rPr>
            </w:pPr>
            <w:r>
              <w:rPr>
                <w:rFonts w:ascii="Tahoma" w:hAnsi="Tahoma" w:cs="Tahoma"/>
                <w:sz w:val="18"/>
                <w:szCs w:val="18"/>
              </w:rPr>
              <w:t>-</w:t>
            </w:r>
          </w:p>
        </w:tc>
        <w:tc>
          <w:tcPr>
            <w:tcW w:w="1354" w:type="dxa"/>
          </w:tcPr>
          <w:p w:rsidR="00FC6E6D" w:rsidRPr="00216000" w:rsidRDefault="00FC6E6D" w:rsidP="00FC6E6D">
            <w:pPr>
              <w:pStyle w:val="TexteNumroEFK"/>
              <w:numPr>
                <w:ilvl w:val="0"/>
                <w:numId w:val="0"/>
              </w:numPr>
              <w:spacing w:after="0"/>
              <w:jc w:val="right"/>
              <w:rPr>
                <w:rFonts w:ascii="Tahoma" w:hAnsi="Tahoma" w:cs="Tahoma"/>
                <w:sz w:val="18"/>
                <w:szCs w:val="18"/>
              </w:rPr>
            </w:pPr>
            <w:r>
              <w:rPr>
                <w:rFonts w:ascii="Tahoma" w:hAnsi="Tahoma" w:cs="Tahoma"/>
                <w:sz w:val="18"/>
                <w:szCs w:val="18"/>
              </w:rPr>
              <w:t>560,636</w:t>
            </w:r>
          </w:p>
        </w:tc>
      </w:tr>
      <w:tr w:rsidR="00FC6E6D" w:rsidTr="00FC6E6D">
        <w:tc>
          <w:tcPr>
            <w:tcW w:w="3815" w:type="dxa"/>
          </w:tcPr>
          <w:p w:rsidR="00FC6E6D" w:rsidRPr="00216000" w:rsidRDefault="00FC6E6D" w:rsidP="00FC6E6D">
            <w:pPr>
              <w:pStyle w:val="TexteNumroEFK"/>
              <w:numPr>
                <w:ilvl w:val="0"/>
                <w:numId w:val="0"/>
              </w:numPr>
              <w:spacing w:after="0"/>
              <w:rPr>
                <w:rFonts w:ascii="Tahoma" w:hAnsi="Tahoma" w:cs="Tahoma"/>
                <w:sz w:val="18"/>
                <w:szCs w:val="18"/>
              </w:rPr>
            </w:pPr>
            <w:r w:rsidRPr="00216000">
              <w:rPr>
                <w:rFonts w:ascii="Tahoma" w:hAnsi="Tahoma" w:cs="Tahoma"/>
                <w:sz w:val="18"/>
                <w:szCs w:val="18"/>
              </w:rPr>
              <w:t>Actuarial gains/(losses) per net asset</w:t>
            </w:r>
          </w:p>
        </w:tc>
        <w:tc>
          <w:tcPr>
            <w:tcW w:w="1521" w:type="dxa"/>
          </w:tcPr>
          <w:p w:rsidR="00FC6E6D" w:rsidRPr="00216000" w:rsidRDefault="00FC6E6D" w:rsidP="00FC6E6D">
            <w:pPr>
              <w:pStyle w:val="TexteNumroEFK"/>
              <w:numPr>
                <w:ilvl w:val="0"/>
                <w:numId w:val="0"/>
              </w:numPr>
              <w:spacing w:after="0"/>
              <w:jc w:val="center"/>
              <w:rPr>
                <w:rFonts w:ascii="Tahoma" w:hAnsi="Tahoma" w:cs="Tahoma"/>
                <w:sz w:val="18"/>
                <w:szCs w:val="18"/>
              </w:rPr>
            </w:pPr>
            <w:r>
              <w:rPr>
                <w:rFonts w:ascii="Tahoma" w:hAnsi="Tahoma" w:cs="Tahoma"/>
                <w:sz w:val="18"/>
                <w:szCs w:val="18"/>
              </w:rPr>
              <w:t>-</w:t>
            </w:r>
          </w:p>
        </w:tc>
        <w:tc>
          <w:tcPr>
            <w:tcW w:w="1496" w:type="dxa"/>
          </w:tcPr>
          <w:p w:rsidR="00FC6E6D" w:rsidRPr="00216000" w:rsidRDefault="00FC6E6D" w:rsidP="00FC6E6D">
            <w:pPr>
              <w:pStyle w:val="TexteNumroEFK"/>
              <w:numPr>
                <w:ilvl w:val="0"/>
                <w:numId w:val="0"/>
              </w:numPr>
              <w:spacing w:after="0"/>
              <w:jc w:val="right"/>
              <w:rPr>
                <w:rFonts w:ascii="Tahoma" w:hAnsi="Tahoma" w:cs="Tahoma"/>
                <w:sz w:val="18"/>
                <w:szCs w:val="18"/>
              </w:rPr>
            </w:pPr>
            <w:r>
              <w:rPr>
                <w:rFonts w:ascii="Tahoma" w:hAnsi="Tahoma" w:cs="Tahoma"/>
                <w:sz w:val="18"/>
                <w:szCs w:val="18"/>
              </w:rPr>
              <w:t>(1,075,694)</w:t>
            </w:r>
          </w:p>
        </w:tc>
        <w:tc>
          <w:tcPr>
            <w:tcW w:w="1354" w:type="dxa"/>
          </w:tcPr>
          <w:p w:rsidR="00FC6E6D" w:rsidRPr="00216000" w:rsidRDefault="00FC6E6D" w:rsidP="00FC6E6D">
            <w:pPr>
              <w:pStyle w:val="TexteNumroEFK"/>
              <w:numPr>
                <w:ilvl w:val="0"/>
                <w:numId w:val="0"/>
              </w:numPr>
              <w:spacing w:after="0"/>
              <w:jc w:val="right"/>
              <w:rPr>
                <w:rFonts w:ascii="Tahoma" w:hAnsi="Tahoma" w:cs="Tahoma"/>
                <w:sz w:val="18"/>
                <w:szCs w:val="18"/>
              </w:rPr>
            </w:pPr>
            <w:r>
              <w:rPr>
                <w:rFonts w:ascii="Tahoma" w:hAnsi="Tahoma" w:cs="Tahoma"/>
                <w:sz w:val="18"/>
                <w:szCs w:val="18"/>
              </w:rPr>
              <w:t>(1,075,694)</w:t>
            </w:r>
          </w:p>
        </w:tc>
      </w:tr>
      <w:tr w:rsidR="00FC6E6D" w:rsidTr="00FC6E6D">
        <w:tc>
          <w:tcPr>
            <w:tcW w:w="3815" w:type="dxa"/>
            <w:shd w:val="clear" w:color="auto" w:fill="FFC000"/>
          </w:tcPr>
          <w:p w:rsidR="00FC6E6D" w:rsidRPr="00216000" w:rsidRDefault="00FC6E6D" w:rsidP="00FC6E6D">
            <w:pPr>
              <w:pStyle w:val="TexteNumroEFK"/>
              <w:numPr>
                <w:ilvl w:val="0"/>
                <w:numId w:val="0"/>
              </w:numPr>
              <w:spacing w:after="0"/>
              <w:rPr>
                <w:rFonts w:ascii="Tahoma" w:hAnsi="Tahoma" w:cs="Tahoma"/>
                <w:b/>
                <w:sz w:val="18"/>
                <w:szCs w:val="18"/>
              </w:rPr>
            </w:pPr>
            <w:r w:rsidRPr="00216000">
              <w:rPr>
                <w:rFonts w:ascii="Tahoma" w:hAnsi="Tahoma" w:cs="Tahoma"/>
                <w:b/>
                <w:sz w:val="18"/>
                <w:szCs w:val="18"/>
              </w:rPr>
              <w:t>NET ASSETS</w:t>
            </w:r>
          </w:p>
        </w:tc>
        <w:tc>
          <w:tcPr>
            <w:tcW w:w="1521" w:type="dxa"/>
            <w:shd w:val="clear" w:color="auto" w:fill="FFC000"/>
          </w:tcPr>
          <w:p w:rsidR="00FC6E6D" w:rsidRPr="00216000" w:rsidRDefault="00FC6E6D" w:rsidP="00FC6E6D">
            <w:pPr>
              <w:pStyle w:val="TexteNumroEFK"/>
              <w:numPr>
                <w:ilvl w:val="0"/>
                <w:numId w:val="0"/>
              </w:numPr>
              <w:spacing w:after="0"/>
              <w:jc w:val="right"/>
              <w:rPr>
                <w:rFonts w:ascii="Tahoma" w:hAnsi="Tahoma" w:cs="Tahoma"/>
                <w:b/>
                <w:sz w:val="18"/>
                <w:szCs w:val="18"/>
              </w:rPr>
            </w:pPr>
            <w:r w:rsidRPr="00216000">
              <w:rPr>
                <w:rFonts w:ascii="Tahoma" w:hAnsi="Tahoma" w:cs="Tahoma"/>
                <w:b/>
                <w:sz w:val="18"/>
                <w:szCs w:val="18"/>
              </w:rPr>
              <w:t>1,738,867</w:t>
            </w:r>
          </w:p>
        </w:tc>
        <w:tc>
          <w:tcPr>
            <w:tcW w:w="1496" w:type="dxa"/>
            <w:shd w:val="clear" w:color="auto" w:fill="FFC000"/>
          </w:tcPr>
          <w:p w:rsidR="00FC6E6D" w:rsidRPr="00216000" w:rsidRDefault="00FC6E6D" w:rsidP="00FC6E6D">
            <w:pPr>
              <w:pStyle w:val="TexteNumroEFK"/>
              <w:numPr>
                <w:ilvl w:val="0"/>
                <w:numId w:val="0"/>
              </w:numPr>
              <w:spacing w:after="0"/>
              <w:jc w:val="right"/>
              <w:rPr>
                <w:rFonts w:ascii="Tahoma" w:hAnsi="Tahoma" w:cs="Tahoma"/>
                <w:b/>
                <w:sz w:val="18"/>
                <w:szCs w:val="18"/>
              </w:rPr>
            </w:pPr>
            <w:r>
              <w:rPr>
                <w:rFonts w:ascii="Tahoma" w:hAnsi="Tahoma" w:cs="Tahoma"/>
                <w:b/>
                <w:sz w:val="18"/>
                <w:szCs w:val="18"/>
              </w:rPr>
              <w:t>(993,092)</w:t>
            </w:r>
          </w:p>
        </w:tc>
        <w:tc>
          <w:tcPr>
            <w:tcW w:w="1354" w:type="dxa"/>
            <w:shd w:val="clear" w:color="auto" w:fill="FFC000"/>
          </w:tcPr>
          <w:p w:rsidR="00FC6E6D" w:rsidRPr="00216000" w:rsidRDefault="00FC6E6D" w:rsidP="00FC6E6D">
            <w:pPr>
              <w:pStyle w:val="TexteNumroEFK"/>
              <w:numPr>
                <w:ilvl w:val="0"/>
                <w:numId w:val="0"/>
              </w:numPr>
              <w:spacing w:after="0"/>
              <w:jc w:val="right"/>
              <w:rPr>
                <w:rFonts w:ascii="Tahoma" w:hAnsi="Tahoma" w:cs="Tahoma"/>
                <w:b/>
                <w:sz w:val="18"/>
                <w:szCs w:val="18"/>
              </w:rPr>
            </w:pPr>
            <w:r>
              <w:rPr>
                <w:rFonts w:ascii="Tahoma" w:hAnsi="Tahoma" w:cs="Tahoma"/>
                <w:b/>
                <w:sz w:val="18"/>
                <w:szCs w:val="18"/>
              </w:rPr>
              <w:t>745,775</w:t>
            </w:r>
          </w:p>
        </w:tc>
      </w:tr>
      <w:tr w:rsidR="00FC6E6D" w:rsidTr="00FC6E6D">
        <w:tc>
          <w:tcPr>
            <w:tcW w:w="3815" w:type="dxa"/>
          </w:tcPr>
          <w:p w:rsidR="00FC6E6D" w:rsidRPr="00216000" w:rsidRDefault="00FC6E6D" w:rsidP="00FC6E6D">
            <w:pPr>
              <w:pStyle w:val="TexteNumroEFK"/>
              <w:numPr>
                <w:ilvl w:val="0"/>
                <w:numId w:val="0"/>
              </w:numPr>
              <w:spacing w:after="0"/>
              <w:rPr>
                <w:rFonts w:ascii="Tahoma" w:hAnsi="Tahoma" w:cs="Tahoma"/>
                <w:b/>
                <w:sz w:val="18"/>
                <w:szCs w:val="18"/>
              </w:rPr>
            </w:pPr>
          </w:p>
        </w:tc>
        <w:tc>
          <w:tcPr>
            <w:tcW w:w="1521" w:type="dxa"/>
          </w:tcPr>
          <w:p w:rsidR="00FC6E6D" w:rsidRPr="00216000" w:rsidRDefault="00FC6E6D" w:rsidP="00FC6E6D">
            <w:pPr>
              <w:pStyle w:val="TexteNumroEFK"/>
              <w:numPr>
                <w:ilvl w:val="0"/>
                <w:numId w:val="0"/>
              </w:numPr>
              <w:spacing w:after="0"/>
              <w:jc w:val="right"/>
              <w:rPr>
                <w:rFonts w:ascii="Tahoma" w:hAnsi="Tahoma" w:cs="Tahoma"/>
                <w:sz w:val="18"/>
                <w:szCs w:val="18"/>
              </w:rPr>
            </w:pPr>
          </w:p>
        </w:tc>
        <w:tc>
          <w:tcPr>
            <w:tcW w:w="1496" w:type="dxa"/>
          </w:tcPr>
          <w:p w:rsidR="00FC6E6D" w:rsidRPr="00216000" w:rsidRDefault="00FC6E6D" w:rsidP="00FC6E6D">
            <w:pPr>
              <w:pStyle w:val="TexteNumroEFK"/>
              <w:numPr>
                <w:ilvl w:val="0"/>
                <w:numId w:val="0"/>
              </w:numPr>
              <w:spacing w:after="0"/>
              <w:jc w:val="right"/>
              <w:rPr>
                <w:rFonts w:ascii="Tahoma" w:hAnsi="Tahoma" w:cs="Tahoma"/>
                <w:sz w:val="18"/>
                <w:szCs w:val="18"/>
              </w:rPr>
            </w:pPr>
          </w:p>
        </w:tc>
        <w:tc>
          <w:tcPr>
            <w:tcW w:w="1354" w:type="dxa"/>
          </w:tcPr>
          <w:p w:rsidR="00FC6E6D" w:rsidRPr="00216000" w:rsidRDefault="00FC6E6D" w:rsidP="00FC6E6D">
            <w:pPr>
              <w:pStyle w:val="TexteNumroEFK"/>
              <w:numPr>
                <w:ilvl w:val="0"/>
                <w:numId w:val="0"/>
              </w:numPr>
              <w:spacing w:after="0"/>
              <w:jc w:val="right"/>
              <w:rPr>
                <w:rFonts w:ascii="Tahoma" w:hAnsi="Tahoma" w:cs="Tahoma"/>
                <w:sz w:val="18"/>
                <w:szCs w:val="18"/>
              </w:rPr>
            </w:pPr>
          </w:p>
        </w:tc>
      </w:tr>
      <w:tr w:rsidR="00FC6E6D" w:rsidTr="009E37F3">
        <w:tc>
          <w:tcPr>
            <w:tcW w:w="3815" w:type="dxa"/>
            <w:tcBorders>
              <w:bottom w:val="single" w:sz="4" w:space="0" w:color="auto"/>
            </w:tcBorders>
            <w:shd w:val="clear" w:color="auto" w:fill="B2B2B2"/>
          </w:tcPr>
          <w:p w:rsidR="00FC6E6D" w:rsidRPr="00216000" w:rsidRDefault="00FC6E6D" w:rsidP="00FC6E6D">
            <w:pPr>
              <w:pStyle w:val="TexteNumroEFK"/>
              <w:numPr>
                <w:ilvl w:val="0"/>
                <w:numId w:val="0"/>
              </w:numPr>
              <w:spacing w:after="0"/>
              <w:rPr>
                <w:rFonts w:ascii="Tahoma" w:hAnsi="Tahoma" w:cs="Tahoma"/>
                <w:b/>
                <w:sz w:val="18"/>
                <w:szCs w:val="18"/>
              </w:rPr>
            </w:pPr>
            <w:r w:rsidRPr="00216000">
              <w:rPr>
                <w:rFonts w:ascii="Tahoma" w:hAnsi="Tahoma" w:cs="Tahoma"/>
                <w:b/>
                <w:sz w:val="18"/>
                <w:szCs w:val="18"/>
              </w:rPr>
              <w:t>OPERATING ACCOUNT</w:t>
            </w:r>
          </w:p>
        </w:tc>
        <w:tc>
          <w:tcPr>
            <w:tcW w:w="1521" w:type="dxa"/>
            <w:tcBorders>
              <w:bottom w:val="single" w:sz="4" w:space="0" w:color="auto"/>
            </w:tcBorders>
            <w:shd w:val="clear" w:color="auto" w:fill="B2B2B2"/>
          </w:tcPr>
          <w:p w:rsidR="00FC6E6D" w:rsidRPr="00216000" w:rsidRDefault="00FC6E6D" w:rsidP="00FC6E6D">
            <w:pPr>
              <w:pStyle w:val="TexteNumroEFK"/>
              <w:numPr>
                <w:ilvl w:val="0"/>
                <w:numId w:val="0"/>
              </w:numPr>
              <w:spacing w:after="0"/>
              <w:jc w:val="right"/>
              <w:rPr>
                <w:rFonts w:ascii="Tahoma" w:hAnsi="Tahoma" w:cs="Tahoma"/>
                <w:b/>
                <w:sz w:val="18"/>
                <w:szCs w:val="18"/>
              </w:rPr>
            </w:pPr>
          </w:p>
        </w:tc>
        <w:tc>
          <w:tcPr>
            <w:tcW w:w="1496" w:type="dxa"/>
            <w:tcBorders>
              <w:bottom w:val="single" w:sz="4" w:space="0" w:color="auto"/>
            </w:tcBorders>
            <w:shd w:val="clear" w:color="auto" w:fill="B2B2B2"/>
          </w:tcPr>
          <w:p w:rsidR="00FC6E6D" w:rsidRPr="00216000" w:rsidRDefault="00FC6E6D" w:rsidP="00FC6E6D">
            <w:pPr>
              <w:pStyle w:val="TexteNumroEFK"/>
              <w:numPr>
                <w:ilvl w:val="0"/>
                <w:numId w:val="0"/>
              </w:numPr>
              <w:spacing w:after="0"/>
              <w:jc w:val="right"/>
              <w:rPr>
                <w:rFonts w:ascii="Tahoma" w:hAnsi="Tahoma" w:cs="Tahoma"/>
                <w:b/>
                <w:sz w:val="18"/>
                <w:szCs w:val="18"/>
              </w:rPr>
            </w:pPr>
          </w:p>
        </w:tc>
        <w:tc>
          <w:tcPr>
            <w:tcW w:w="1354" w:type="dxa"/>
            <w:tcBorders>
              <w:bottom w:val="single" w:sz="4" w:space="0" w:color="auto"/>
            </w:tcBorders>
            <w:shd w:val="clear" w:color="auto" w:fill="B2B2B2"/>
          </w:tcPr>
          <w:p w:rsidR="00FC6E6D" w:rsidRPr="00216000" w:rsidRDefault="00FC6E6D" w:rsidP="00FC6E6D">
            <w:pPr>
              <w:pStyle w:val="TexteNumroEFK"/>
              <w:numPr>
                <w:ilvl w:val="0"/>
                <w:numId w:val="0"/>
              </w:numPr>
              <w:spacing w:after="0"/>
              <w:jc w:val="right"/>
              <w:rPr>
                <w:rFonts w:ascii="Tahoma" w:hAnsi="Tahoma" w:cs="Tahoma"/>
                <w:b/>
                <w:sz w:val="18"/>
                <w:szCs w:val="18"/>
              </w:rPr>
            </w:pPr>
          </w:p>
        </w:tc>
      </w:tr>
      <w:tr w:rsidR="00FC6E6D" w:rsidTr="009E37F3">
        <w:tc>
          <w:tcPr>
            <w:tcW w:w="3815" w:type="dxa"/>
            <w:shd w:val="clear" w:color="auto" w:fill="FABF8F" w:themeFill="accent6" w:themeFillTint="99"/>
          </w:tcPr>
          <w:p w:rsidR="00FC6E6D" w:rsidRPr="00216000" w:rsidRDefault="00FC6E6D" w:rsidP="00FC6E6D">
            <w:pPr>
              <w:pStyle w:val="TexteNumroEFK"/>
              <w:numPr>
                <w:ilvl w:val="0"/>
                <w:numId w:val="0"/>
              </w:numPr>
              <w:spacing w:after="0"/>
              <w:rPr>
                <w:rFonts w:ascii="Tahoma" w:hAnsi="Tahoma" w:cs="Tahoma"/>
                <w:b/>
                <w:sz w:val="18"/>
                <w:szCs w:val="18"/>
              </w:rPr>
            </w:pPr>
            <w:r w:rsidRPr="00216000">
              <w:rPr>
                <w:rFonts w:ascii="Tahoma" w:hAnsi="Tahoma" w:cs="Tahoma"/>
                <w:b/>
                <w:sz w:val="18"/>
                <w:szCs w:val="18"/>
              </w:rPr>
              <w:t>Total income</w:t>
            </w:r>
          </w:p>
        </w:tc>
        <w:tc>
          <w:tcPr>
            <w:tcW w:w="1521" w:type="dxa"/>
            <w:shd w:val="clear" w:color="auto" w:fill="FABF8F" w:themeFill="accent6" w:themeFillTint="99"/>
          </w:tcPr>
          <w:p w:rsidR="00FC6E6D" w:rsidRPr="00216000" w:rsidRDefault="00FC6E6D" w:rsidP="00FC6E6D">
            <w:pPr>
              <w:pStyle w:val="TexteNumroEFK"/>
              <w:numPr>
                <w:ilvl w:val="0"/>
                <w:numId w:val="0"/>
              </w:numPr>
              <w:spacing w:after="0"/>
              <w:jc w:val="right"/>
              <w:rPr>
                <w:rFonts w:ascii="Tahoma" w:hAnsi="Tahoma" w:cs="Tahoma"/>
                <w:b/>
                <w:sz w:val="18"/>
                <w:szCs w:val="18"/>
              </w:rPr>
            </w:pPr>
            <w:r>
              <w:rPr>
                <w:rFonts w:ascii="Tahoma" w:hAnsi="Tahoma" w:cs="Tahoma"/>
                <w:b/>
                <w:sz w:val="18"/>
                <w:szCs w:val="18"/>
              </w:rPr>
              <w:t>3,746,320</w:t>
            </w:r>
          </w:p>
        </w:tc>
        <w:tc>
          <w:tcPr>
            <w:tcW w:w="1496" w:type="dxa"/>
            <w:shd w:val="clear" w:color="auto" w:fill="FABF8F" w:themeFill="accent6" w:themeFillTint="99"/>
          </w:tcPr>
          <w:p w:rsidR="00FC6E6D" w:rsidRPr="00216000" w:rsidRDefault="00FC6E6D" w:rsidP="00FC6E6D">
            <w:pPr>
              <w:pStyle w:val="TexteNumroEFK"/>
              <w:numPr>
                <w:ilvl w:val="0"/>
                <w:numId w:val="0"/>
              </w:numPr>
              <w:spacing w:after="0"/>
              <w:jc w:val="right"/>
              <w:rPr>
                <w:rFonts w:ascii="Tahoma" w:hAnsi="Tahoma" w:cs="Tahoma"/>
                <w:b/>
                <w:sz w:val="18"/>
                <w:szCs w:val="18"/>
              </w:rPr>
            </w:pPr>
            <w:r>
              <w:rPr>
                <w:rFonts w:ascii="Tahoma" w:hAnsi="Tahoma" w:cs="Tahoma"/>
                <w:b/>
                <w:sz w:val="18"/>
                <w:szCs w:val="18"/>
              </w:rPr>
              <w:t>-</w:t>
            </w:r>
          </w:p>
        </w:tc>
        <w:tc>
          <w:tcPr>
            <w:tcW w:w="1354" w:type="dxa"/>
            <w:shd w:val="clear" w:color="auto" w:fill="FABF8F" w:themeFill="accent6" w:themeFillTint="99"/>
          </w:tcPr>
          <w:p w:rsidR="00FC6E6D" w:rsidRPr="00216000" w:rsidRDefault="00FC6E6D" w:rsidP="00FC6E6D">
            <w:pPr>
              <w:pStyle w:val="TexteNumroEFK"/>
              <w:numPr>
                <w:ilvl w:val="0"/>
                <w:numId w:val="0"/>
              </w:numPr>
              <w:spacing w:after="0"/>
              <w:jc w:val="right"/>
              <w:rPr>
                <w:rFonts w:ascii="Tahoma" w:hAnsi="Tahoma" w:cs="Tahoma"/>
                <w:b/>
                <w:sz w:val="18"/>
                <w:szCs w:val="18"/>
              </w:rPr>
            </w:pPr>
            <w:r>
              <w:rPr>
                <w:rFonts w:ascii="Tahoma" w:hAnsi="Tahoma" w:cs="Tahoma"/>
                <w:b/>
                <w:sz w:val="18"/>
                <w:szCs w:val="18"/>
              </w:rPr>
              <w:t>3,746,320</w:t>
            </w:r>
          </w:p>
        </w:tc>
      </w:tr>
      <w:tr w:rsidR="00FC6E6D" w:rsidTr="00FC6E6D">
        <w:tc>
          <w:tcPr>
            <w:tcW w:w="3815" w:type="dxa"/>
          </w:tcPr>
          <w:p w:rsidR="00FC6E6D" w:rsidRPr="00216000" w:rsidRDefault="00FC6E6D" w:rsidP="00FC6E6D">
            <w:pPr>
              <w:pStyle w:val="TexteNumroEFK"/>
              <w:numPr>
                <w:ilvl w:val="0"/>
                <w:numId w:val="0"/>
              </w:numPr>
              <w:spacing w:after="0"/>
              <w:jc w:val="left"/>
              <w:rPr>
                <w:rFonts w:ascii="Tahoma" w:hAnsi="Tahoma" w:cs="Tahoma"/>
                <w:sz w:val="18"/>
                <w:szCs w:val="18"/>
              </w:rPr>
            </w:pPr>
            <w:r w:rsidRPr="00216000">
              <w:rPr>
                <w:rFonts w:ascii="Tahoma" w:hAnsi="Tahoma" w:cs="Tahoma"/>
                <w:sz w:val="18"/>
                <w:szCs w:val="18"/>
              </w:rPr>
              <w:t>Expenditure on health insurance after termination of service</w:t>
            </w:r>
          </w:p>
        </w:tc>
        <w:tc>
          <w:tcPr>
            <w:tcW w:w="1521" w:type="dxa"/>
          </w:tcPr>
          <w:p w:rsidR="00FC6E6D" w:rsidRPr="00216000" w:rsidRDefault="00FC6E6D" w:rsidP="00FC6E6D">
            <w:pPr>
              <w:pStyle w:val="TexteNumroEFK"/>
              <w:numPr>
                <w:ilvl w:val="0"/>
                <w:numId w:val="0"/>
              </w:numPr>
              <w:spacing w:after="0"/>
              <w:jc w:val="right"/>
              <w:rPr>
                <w:rFonts w:ascii="Tahoma" w:hAnsi="Tahoma" w:cs="Tahoma"/>
                <w:sz w:val="18"/>
                <w:szCs w:val="18"/>
              </w:rPr>
            </w:pPr>
            <w:r>
              <w:rPr>
                <w:rFonts w:ascii="Tahoma" w:hAnsi="Tahoma" w:cs="Tahoma"/>
                <w:sz w:val="18"/>
                <w:szCs w:val="18"/>
              </w:rPr>
              <w:t>148,054</w:t>
            </w:r>
          </w:p>
        </w:tc>
        <w:tc>
          <w:tcPr>
            <w:tcW w:w="1496" w:type="dxa"/>
          </w:tcPr>
          <w:p w:rsidR="00FC6E6D" w:rsidRPr="00216000" w:rsidRDefault="00FC6E6D" w:rsidP="00FC6E6D">
            <w:pPr>
              <w:pStyle w:val="TexteNumroEFK"/>
              <w:numPr>
                <w:ilvl w:val="0"/>
                <w:numId w:val="0"/>
              </w:numPr>
              <w:spacing w:after="0"/>
              <w:jc w:val="right"/>
              <w:rPr>
                <w:rFonts w:ascii="Tahoma" w:hAnsi="Tahoma" w:cs="Tahoma"/>
                <w:sz w:val="18"/>
                <w:szCs w:val="18"/>
              </w:rPr>
            </w:pPr>
            <w:r>
              <w:rPr>
                <w:rFonts w:ascii="Tahoma" w:hAnsi="Tahoma" w:cs="Tahoma"/>
                <w:sz w:val="18"/>
                <w:szCs w:val="18"/>
              </w:rPr>
              <w:t>(23,097)</w:t>
            </w:r>
          </w:p>
        </w:tc>
        <w:tc>
          <w:tcPr>
            <w:tcW w:w="1354" w:type="dxa"/>
          </w:tcPr>
          <w:p w:rsidR="00FC6E6D" w:rsidRPr="00216000" w:rsidRDefault="00FC6E6D" w:rsidP="00FC6E6D">
            <w:pPr>
              <w:pStyle w:val="TexteNumroEFK"/>
              <w:numPr>
                <w:ilvl w:val="0"/>
                <w:numId w:val="0"/>
              </w:numPr>
              <w:spacing w:after="0"/>
              <w:jc w:val="right"/>
              <w:rPr>
                <w:rFonts w:ascii="Tahoma" w:hAnsi="Tahoma" w:cs="Tahoma"/>
                <w:sz w:val="18"/>
                <w:szCs w:val="18"/>
              </w:rPr>
            </w:pPr>
            <w:r>
              <w:rPr>
                <w:rFonts w:ascii="Tahoma" w:hAnsi="Tahoma" w:cs="Tahoma"/>
                <w:sz w:val="18"/>
                <w:szCs w:val="18"/>
              </w:rPr>
              <w:t>124,957</w:t>
            </w:r>
          </w:p>
        </w:tc>
      </w:tr>
      <w:tr w:rsidR="00FC6E6D" w:rsidTr="00FC6E6D">
        <w:tc>
          <w:tcPr>
            <w:tcW w:w="3815" w:type="dxa"/>
          </w:tcPr>
          <w:p w:rsidR="00FC6E6D" w:rsidRPr="00216000" w:rsidRDefault="00FC6E6D" w:rsidP="00FC6E6D">
            <w:pPr>
              <w:pStyle w:val="TexteNumroEFK"/>
              <w:numPr>
                <w:ilvl w:val="0"/>
                <w:numId w:val="0"/>
              </w:numPr>
              <w:spacing w:after="0"/>
              <w:rPr>
                <w:rFonts w:ascii="Tahoma" w:hAnsi="Tahoma" w:cs="Tahoma"/>
                <w:sz w:val="18"/>
                <w:szCs w:val="18"/>
              </w:rPr>
            </w:pPr>
            <w:r w:rsidRPr="00216000">
              <w:rPr>
                <w:rFonts w:ascii="Tahoma" w:hAnsi="Tahoma" w:cs="Tahoma"/>
                <w:sz w:val="18"/>
                <w:szCs w:val="18"/>
              </w:rPr>
              <w:t>Expenditure on accumulated leave</w:t>
            </w:r>
          </w:p>
        </w:tc>
        <w:tc>
          <w:tcPr>
            <w:tcW w:w="1521" w:type="dxa"/>
          </w:tcPr>
          <w:p w:rsidR="00FC6E6D" w:rsidRPr="00216000" w:rsidRDefault="00FC6E6D" w:rsidP="00FC6E6D">
            <w:pPr>
              <w:pStyle w:val="TexteNumroEFK"/>
              <w:numPr>
                <w:ilvl w:val="0"/>
                <w:numId w:val="0"/>
              </w:numPr>
              <w:spacing w:after="0"/>
              <w:jc w:val="right"/>
              <w:rPr>
                <w:rFonts w:ascii="Tahoma" w:hAnsi="Tahoma" w:cs="Tahoma"/>
                <w:sz w:val="18"/>
                <w:szCs w:val="18"/>
              </w:rPr>
            </w:pPr>
            <w:r>
              <w:rPr>
                <w:rFonts w:ascii="Tahoma" w:hAnsi="Tahoma" w:cs="Tahoma"/>
                <w:sz w:val="18"/>
                <w:szCs w:val="18"/>
              </w:rPr>
              <w:t>2,833</w:t>
            </w:r>
          </w:p>
        </w:tc>
        <w:tc>
          <w:tcPr>
            <w:tcW w:w="1496" w:type="dxa"/>
          </w:tcPr>
          <w:p w:rsidR="00FC6E6D" w:rsidRPr="00216000" w:rsidRDefault="00FC6E6D" w:rsidP="00FC6E6D">
            <w:pPr>
              <w:pStyle w:val="TexteNumroEFK"/>
              <w:numPr>
                <w:ilvl w:val="0"/>
                <w:numId w:val="0"/>
              </w:numPr>
              <w:spacing w:after="0"/>
              <w:jc w:val="right"/>
              <w:rPr>
                <w:rFonts w:ascii="Tahoma" w:hAnsi="Tahoma" w:cs="Tahoma"/>
                <w:sz w:val="18"/>
                <w:szCs w:val="18"/>
              </w:rPr>
            </w:pPr>
            <w:r>
              <w:rPr>
                <w:rFonts w:ascii="Tahoma" w:hAnsi="Tahoma" w:cs="Tahoma"/>
                <w:sz w:val="18"/>
                <w:szCs w:val="18"/>
              </w:rPr>
              <w:t>1,220</w:t>
            </w:r>
          </w:p>
        </w:tc>
        <w:tc>
          <w:tcPr>
            <w:tcW w:w="1354" w:type="dxa"/>
          </w:tcPr>
          <w:p w:rsidR="00FC6E6D" w:rsidRPr="00216000" w:rsidRDefault="00FC6E6D" w:rsidP="00FC6E6D">
            <w:pPr>
              <w:pStyle w:val="TexteNumroEFK"/>
              <w:numPr>
                <w:ilvl w:val="0"/>
                <w:numId w:val="0"/>
              </w:numPr>
              <w:spacing w:after="0"/>
              <w:jc w:val="right"/>
              <w:rPr>
                <w:rFonts w:ascii="Tahoma" w:hAnsi="Tahoma" w:cs="Tahoma"/>
                <w:sz w:val="18"/>
                <w:szCs w:val="18"/>
              </w:rPr>
            </w:pPr>
            <w:r>
              <w:rPr>
                <w:rFonts w:ascii="Tahoma" w:hAnsi="Tahoma" w:cs="Tahoma"/>
                <w:sz w:val="18"/>
                <w:szCs w:val="18"/>
              </w:rPr>
              <w:t>4,053</w:t>
            </w:r>
          </w:p>
        </w:tc>
      </w:tr>
      <w:tr w:rsidR="00FC6E6D" w:rsidTr="009E37F3">
        <w:tc>
          <w:tcPr>
            <w:tcW w:w="3815" w:type="dxa"/>
            <w:tcBorders>
              <w:bottom w:val="single" w:sz="4" w:space="0" w:color="auto"/>
            </w:tcBorders>
          </w:tcPr>
          <w:p w:rsidR="00FC6E6D" w:rsidRPr="00216000" w:rsidRDefault="00FC6E6D" w:rsidP="00FC6E6D">
            <w:pPr>
              <w:pStyle w:val="TexteNumroEFK"/>
              <w:numPr>
                <w:ilvl w:val="0"/>
                <w:numId w:val="0"/>
              </w:numPr>
              <w:spacing w:after="0"/>
              <w:rPr>
                <w:rFonts w:ascii="Tahoma" w:hAnsi="Tahoma" w:cs="Tahoma"/>
                <w:sz w:val="18"/>
                <w:szCs w:val="18"/>
              </w:rPr>
            </w:pPr>
            <w:r w:rsidRPr="00216000">
              <w:rPr>
                <w:rFonts w:ascii="Tahoma" w:hAnsi="Tahoma" w:cs="Tahoma"/>
                <w:sz w:val="18"/>
                <w:szCs w:val="18"/>
              </w:rPr>
              <w:t>Other expenditure</w:t>
            </w:r>
          </w:p>
        </w:tc>
        <w:tc>
          <w:tcPr>
            <w:tcW w:w="1521" w:type="dxa"/>
            <w:tcBorders>
              <w:bottom w:val="single" w:sz="4" w:space="0" w:color="auto"/>
            </w:tcBorders>
          </w:tcPr>
          <w:p w:rsidR="00FC6E6D" w:rsidRPr="00216000" w:rsidRDefault="00FC6E6D" w:rsidP="00FC6E6D">
            <w:pPr>
              <w:pStyle w:val="TexteNumroEFK"/>
              <w:numPr>
                <w:ilvl w:val="0"/>
                <w:numId w:val="0"/>
              </w:numPr>
              <w:spacing w:after="0"/>
              <w:jc w:val="right"/>
              <w:rPr>
                <w:rFonts w:ascii="Tahoma" w:hAnsi="Tahoma" w:cs="Tahoma"/>
                <w:sz w:val="18"/>
                <w:szCs w:val="18"/>
              </w:rPr>
            </w:pPr>
            <w:r>
              <w:rPr>
                <w:rFonts w:ascii="Tahoma" w:hAnsi="Tahoma" w:cs="Tahoma"/>
                <w:sz w:val="18"/>
                <w:szCs w:val="18"/>
              </w:rPr>
              <w:t>3,523,734</w:t>
            </w:r>
          </w:p>
        </w:tc>
        <w:tc>
          <w:tcPr>
            <w:tcW w:w="1496" w:type="dxa"/>
            <w:tcBorders>
              <w:bottom w:val="single" w:sz="4" w:space="0" w:color="auto"/>
            </w:tcBorders>
          </w:tcPr>
          <w:p w:rsidR="00FC6E6D" w:rsidRPr="00216000" w:rsidRDefault="00FC6E6D" w:rsidP="00FC6E6D">
            <w:pPr>
              <w:pStyle w:val="TexteNumroEFK"/>
              <w:numPr>
                <w:ilvl w:val="0"/>
                <w:numId w:val="0"/>
              </w:numPr>
              <w:spacing w:after="0"/>
              <w:jc w:val="right"/>
              <w:rPr>
                <w:rFonts w:ascii="Tahoma" w:hAnsi="Tahoma" w:cs="Tahoma"/>
                <w:sz w:val="18"/>
                <w:szCs w:val="18"/>
              </w:rPr>
            </w:pPr>
            <w:r>
              <w:rPr>
                <w:rFonts w:ascii="Tahoma" w:hAnsi="Tahoma" w:cs="Tahoma"/>
                <w:sz w:val="18"/>
                <w:szCs w:val="18"/>
              </w:rPr>
              <w:t>-</w:t>
            </w:r>
          </w:p>
        </w:tc>
        <w:tc>
          <w:tcPr>
            <w:tcW w:w="1354" w:type="dxa"/>
            <w:tcBorders>
              <w:bottom w:val="single" w:sz="4" w:space="0" w:color="auto"/>
            </w:tcBorders>
          </w:tcPr>
          <w:p w:rsidR="00FC6E6D" w:rsidRPr="00216000" w:rsidRDefault="00FC6E6D" w:rsidP="00FC6E6D">
            <w:pPr>
              <w:pStyle w:val="TexteNumroEFK"/>
              <w:numPr>
                <w:ilvl w:val="0"/>
                <w:numId w:val="0"/>
              </w:numPr>
              <w:spacing w:after="0"/>
              <w:jc w:val="right"/>
              <w:rPr>
                <w:rFonts w:ascii="Tahoma" w:hAnsi="Tahoma" w:cs="Tahoma"/>
                <w:sz w:val="18"/>
                <w:szCs w:val="18"/>
              </w:rPr>
            </w:pPr>
            <w:r>
              <w:rPr>
                <w:rFonts w:ascii="Tahoma" w:hAnsi="Tahoma" w:cs="Tahoma"/>
                <w:sz w:val="18"/>
                <w:szCs w:val="18"/>
              </w:rPr>
              <w:t>3,523,734</w:t>
            </w:r>
          </w:p>
        </w:tc>
      </w:tr>
      <w:tr w:rsidR="00FC6E6D" w:rsidTr="009E37F3">
        <w:tc>
          <w:tcPr>
            <w:tcW w:w="3815" w:type="dxa"/>
            <w:shd w:val="clear" w:color="auto" w:fill="FABF8F" w:themeFill="accent6" w:themeFillTint="99"/>
          </w:tcPr>
          <w:p w:rsidR="00FC6E6D" w:rsidRPr="00216000" w:rsidRDefault="00FC6E6D" w:rsidP="00FC6E6D">
            <w:pPr>
              <w:pStyle w:val="TexteNumroEFK"/>
              <w:numPr>
                <w:ilvl w:val="0"/>
                <w:numId w:val="0"/>
              </w:numPr>
              <w:spacing w:after="0"/>
              <w:rPr>
                <w:rFonts w:ascii="Tahoma" w:hAnsi="Tahoma" w:cs="Tahoma"/>
                <w:b/>
                <w:sz w:val="18"/>
                <w:szCs w:val="18"/>
              </w:rPr>
            </w:pPr>
            <w:r w:rsidRPr="00216000">
              <w:rPr>
                <w:rFonts w:ascii="Tahoma" w:hAnsi="Tahoma" w:cs="Tahoma"/>
                <w:b/>
                <w:sz w:val="18"/>
                <w:szCs w:val="18"/>
              </w:rPr>
              <w:t>Total expenditure</w:t>
            </w:r>
          </w:p>
        </w:tc>
        <w:tc>
          <w:tcPr>
            <w:tcW w:w="1521" w:type="dxa"/>
            <w:shd w:val="clear" w:color="auto" w:fill="FABF8F" w:themeFill="accent6" w:themeFillTint="99"/>
          </w:tcPr>
          <w:p w:rsidR="00FC6E6D" w:rsidRPr="00216000" w:rsidRDefault="00FC6E6D" w:rsidP="00FC6E6D">
            <w:pPr>
              <w:pStyle w:val="TexteNumroEFK"/>
              <w:numPr>
                <w:ilvl w:val="0"/>
                <w:numId w:val="0"/>
              </w:numPr>
              <w:spacing w:after="0"/>
              <w:jc w:val="right"/>
              <w:rPr>
                <w:rFonts w:ascii="Tahoma" w:hAnsi="Tahoma" w:cs="Tahoma"/>
                <w:b/>
                <w:sz w:val="18"/>
                <w:szCs w:val="18"/>
              </w:rPr>
            </w:pPr>
            <w:r>
              <w:rPr>
                <w:rFonts w:ascii="Tahoma" w:hAnsi="Tahoma" w:cs="Tahoma"/>
                <w:b/>
                <w:sz w:val="18"/>
                <w:szCs w:val="18"/>
              </w:rPr>
              <w:t>3,674,621</w:t>
            </w:r>
          </w:p>
        </w:tc>
        <w:tc>
          <w:tcPr>
            <w:tcW w:w="1496" w:type="dxa"/>
            <w:shd w:val="clear" w:color="auto" w:fill="FABF8F" w:themeFill="accent6" w:themeFillTint="99"/>
          </w:tcPr>
          <w:p w:rsidR="00FC6E6D" w:rsidRPr="00216000" w:rsidRDefault="00FC6E6D" w:rsidP="00FC6E6D">
            <w:pPr>
              <w:pStyle w:val="TexteNumroEFK"/>
              <w:numPr>
                <w:ilvl w:val="0"/>
                <w:numId w:val="0"/>
              </w:numPr>
              <w:spacing w:after="0"/>
              <w:jc w:val="right"/>
              <w:rPr>
                <w:rFonts w:ascii="Tahoma" w:hAnsi="Tahoma" w:cs="Tahoma"/>
                <w:b/>
                <w:sz w:val="18"/>
                <w:szCs w:val="18"/>
              </w:rPr>
            </w:pPr>
            <w:r>
              <w:rPr>
                <w:rFonts w:ascii="Tahoma" w:hAnsi="Tahoma" w:cs="Tahoma"/>
                <w:b/>
                <w:sz w:val="18"/>
                <w:szCs w:val="18"/>
              </w:rPr>
              <w:t>(21,877)</w:t>
            </w:r>
          </w:p>
        </w:tc>
        <w:tc>
          <w:tcPr>
            <w:tcW w:w="1354" w:type="dxa"/>
            <w:shd w:val="clear" w:color="auto" w:fill="FABF8F" w:themeFill="accent6" w:themeFillTint="99"/>
          </w:tcPr>
          <w:p w:rsidR="00FC6E6D" w:rsidRPr="00216000" w:rsidRDefault="00FC6E6D" w:rsidP="00FC6E6D">
            <w:pPr>
              <w:pStyle w:val="TexteNumroEFK"/>
              <w:numPr>
                <w:ilvl w:val="0"/>
                <w:numId w:val="0"/>
              </w:numPr>
              <w:spacing w:after="0"/>
              <w:jc w:val="right"/>
              <w:rPr>
                <w:rFonts w:ascii="Tahoma" w:hAnsi="Tahoma" w:cs="Tahoma"/>
                <w:b/>
                <w:sz w:val="18"/>
                <w:szCs w:val="18"/>
              </w:rPr>
            </w:pPr>
            <w:r>
              <w:rPr>
                <w:rFonts w:ascii="Tahoma" w:hAnsi="Tahoma" w:cs="Tahoma"/>
                <w:b/>
                <w:sz w:val="18"/>
                <w:szCs w:val="18"/>
              </w:rPr>
              <w:t>3,652,744</w:t>
            </w:r>
          </w:p>
        </w:tc>
      </w:tr>
      <w:tr w:rsidR="00FC6E6D" w:rsidTr="00FC6E6D">
        <w:tc>
          <w:tcPr>
            <w:tcW w:w="3815" w:type="dxa"/>
            <w:shd w:val="clear" w:color="auto" w:fill="00FF00"/>
          </w:tcPr>
          <w:p w:rsidR="00FC6E6D" w:rsidRPr="00216000" w:rsidRDefault="00FC6E6D" w:rsidP="00FC6E6D">
            <w:pPr>
              <w:pStyle w:val="TexteNumroEFK"/>
              <w:numPr>
                <w:ilvl w:val="0"/>
                <w:numId w:val="0"/>
              </w:numPr>
              <w:spacing w:after="0"/>
              <w:rPr>
                <w:rFonts w:ascii="Tahoma" w:hAnsi="Tahoma" w:cs="Tahoma"/>
                <w:b/>
                <w:sz w:val="18"/>
                <w:szCs w:val="18"/>
              </w:rPr>
            </w:pPr>
            <w:r w:rsidRPr="00216000">
              <w:rPr>
                <w:rFonts w:ascii="Tahoma" w:hAnsi="Tahoma" w:cs="Tahoma"/>
                <w:b/>
                <w:sz w:val="18"/>
                <w:szCs w:val="18"/>
              </w:rPr>
              <w:t>SURPLUS FOR THE YEAR</w:t>
            </w:r>
          </w:p>
        </w:tc>
        <w:tc>
          <w:tcPr>
            <w:tcW w:w="1521" w:type="dxa"/>
            <w:shd w:val="clear" w:color="auto" w:fill="00FF00"/>
          </w:tcPr>
          <w:p w:rsidR="00FC6E6D" w:rsidRPr="00216000" w:rsidRDefault="00FC6E6D" w:rsidP="00FC6E6D">
            <w:pPr>
              <w:pStyle w:val="TexteNumroEFK"/>
              <w:numPr>
                <w:ilvl w:val="0"/>
                <w:numId w:val="0"/>
              </w:numPr>
              <w:spacing w:after="0"/>
              <w:jc w:val="right"/>
              <w:rPr>
                <w:rFonts w:ascii="Tahoma" w:hAnsi="Tahoma" w:cs="Tahoma"/>
                <w:b/>
                <w:sz w:val="18"/>
                <w:szCs w:val="18"/>
              </w:rPr>
            </w:pPr>
            <w:r>
              <w:rPr>
                <w:rFonts w:ascii="Tahoma" w:hAnsi="Tahoma" w:cs="Tahoma"/>
                <w:b/>
                <w:sz w:val="18"/>
                <w:szCs w:val="18"/>
              </w:rPr>
              <w:t>71,699</w:t>
            </w:r>
          </w:p>
        </w:tc>
        <w:tc>
          <w:tcPr>
            <w:tcW w:w="1496" w:type="dxa"/>
            <w:shd w:val="clear" w:color="auto" w:fill="00FF00"/>
          </w:tcPr>
          <w:p w:rsidR="00FC6E6D" w:rsidRPr="00216000" w:rsidRDefault="00FC6E6D" w:rsidP="00FC6E6D">
            <w:pPr>
              <w:pStyle w:val="TexteNumroEFK"/>
              <w:numPr>
                <w:ilvl w:val="0"/>
                <w:numId w:val="0"/>
              </w:numPr>
              <w:spacing w:after="0"/>
              <w:jc w:val="right"/>
              <w:rPr>
                <w:rFonts w:ascii="Tahoma" w:hAnsi="Tahoma" w:cs="Tahoma"/>
                <w:b/>
                <w:sz w:val="18"/>
                <w:szCs w:val="18"/>
              </w:rPr>
            </w:pPr>
            <w:r>
              <w:rPr>
                <w:rFonts w:ascii="Tahoma" w:hAnsi="Tahoma" w:cs="Tahoma"/>
                <w:b/>
                <w:sz w:val="18"/>
                <w:szCs w:val="18"/>
              </w:rPr>
              <w:t>21,877</w:t>
            </w:r>
          </w:p>
        </w:tc>
        <w:tc>
          <w:tcPr>
            <w:tcW w:w="1354" w:type="dxa"/>
            <w:shd w:val="clear" w:color="auto" w:fill="00FF00"/>
          </w:tcPr>
          <w:p w:rsidR="00FC6E6D" w:rsidRPr="00216000" w:rsidRDefault="00FC6E6D" w:rsidP="00FC6E6D">
            <w:pPr>
              <w:pStyle w:val="TexteNumroEFK"/>
              <w:numPr>
                <w:ilvl w:val="0"/>
                <w:numId w:val="0"/>
              </w:numPr>
              <w:spacing w:after="0"/>
              <w:jc w:val="right"/>
              <w:rPr>
                <w:rFonts w:ascii="Tahoma" w:hAnsi="Tahoma" w:cs="Tahoma"/>
                <w:b/>
                <w:sz w:val="18"/>
                <w:szCs w:val="18"/>
              </w:rPr>
            </w:pPr>
            <w:r>
              <w:rPr>
                <w:rFonts w:ascii="Tahoma" w:hAnsi="Tahoma" w:cs="Tahoma"/>
                <w:b/>
                <w:sz w:val="18"/>
                <w:szCs w:val="18"/>
              </w:rPr>
              <w:t>93,576</w:t>
            </w:r>
          </w:p>
        </w:tc>
      </w:tr>
    </w:tbl>
    <w:p w:rsidR="00FC6E6D" w:rsidRPr="00734347" w:rsidRDefault="00FC6E6D" w:rsidP="009E37F3">
      <w:pPr>
        <w:tabs>
          <w:tab w:val="left" w:pos="737"/>
          <w:tab w:val="left" w:pos="993"/>
          <w:tab w:val="left" w:pos="1985"/>
          <w:tab w:val="right" w:pos="9356"/>
        </w:tabs>
        <w:overflowPunct w:val="0"/>
        <w:autoSpaceDE w:val="0"/>
        <w:autoSpaceDN w:val="0"/>
        <w:adjustRightInd w:val="0"/>
        <w:spacing w:before="240" w:after="240"/>
        <w:ind w:right="284"/>
        <w:jc w:val="center"/>
        <w:textAlignment w:val="baseline"/>
        <w:rPr>
          <w:rFonts w:ascii="Calibri" w:hAnsi="Calibri" w:cs="Calibri"/>
          <w:b/>
        </w:rPr>
      </w:pPr>
      <w:r>
        <w:rPr>
          <w:rFonts w:ascii="Calibri" w:hAnsi="Calibri"/>
          <w:b/>
        </w:rPr>
        <w:t xml:space="preserve">Table 2:  Readjustments due to the adoption of IPSAS 39 </w:t>
      </w:r>
    </w:p>
    <w:p w:rsidR="00FC6E6D" w:rsidRPr="00E3693A" w:rsidRDefault="00FC6E6D" w:rsidP="00FC6E6D">
      <w:pPr>
        <w:pStyle w:val="TexteNumroEFK"/>
        <w:ind w:left="502"/>
        <w:rPr>
          <w:rFonts w:eastAsiaTheme="minorHAnsi" w:cstheme="minorBidi"/>
          <w:color w:val="auto"/>
        </w:rPr>
      </w:pPr>
      <w:r>
        <w:t>Explanations on the readjustment of the 2016 accounts are p</w:t>
      </w:r>
      <w:r w:rsidR="009E37F3">
        <w:t>resented on page 16 of the 2017 </w:t>
      </w:r>
      <w:r>
        <w:t>financial statements.  The accounting for these adjustments was verified during the audit under review and found to be in order.</w:t>
      </w:r>
    </w:p>
    <w:p w:rsidR="00FC6E6D" w:rsidRDefault="00FC6E6D" w:rsidP="00FC6E6D">
      <w:pPr>
        <w:rPr>
          <w:rFonts w:eastAsiaTheme="minorHAnsi" w:cstheme="minorBidi"/>
          <w:sz w:val="32"/>
          <w:szCs w:val="32"/>
        </w:rPr>
      </w:pPr>
      <w:r>
        <w:br w:type="page"/>
      </w:r>
    </w:p>
    <w:p w:rsidR="00FC6E6D" w:rsidRPr="0019231E" w:rsidRDefault="00FC6E6D" w:rsidP="00FC6E6D">
      <w:pPr>
        <w:pStyle w:val="Titre2NoEFK"/>
      </w:pPr>
      <w:r>
        <w:lastRenderedPageBreak/>
        <w:t xml:space="preserve">Changes in UPOV's financial situation in 2017 relative to 2016 </w:t>
      </w:r>
    </w:p>
    <w:p w:rsidR="00FC6E6D" w:rsidRDefault="00FC6E6D" w:rsidP="00FC6E6D">
      <w:pPr>
        <w:pStyle w:val="TexteNumroEFK"/>
        <w:ind w:left="502"/>
      </w:pPr>
      <w:r>
        <w:t>A comparison of the balance sheets for 2017 and 2016 is provided below.  Our comments on significant balances from the 2017 accounts appear in subsequent paragraphs.</w:t>
      </w:r>
    </w:p>
    <w:p w:rsidR="00FC6E6D" w:rsidRDefault="00FC6E6D" w:rsidP="00FC6E6D">
      <w:pPr>
        <w:pStyle w:val="TexteNumroEFK"/>
        <w:numPr>
          <w:ilvl w:val="0"/>
          <w:numId w:val="0"/>
        </w:numPr>
        <w:spacing w:after="0"/>
        <w:ind w:left="502"/>
      </w:pPr>
    </w:p>
    <w:tbl>
      <w:tblPr>
        <w:tblW w:w="8717" w:type="dxa"/>
        <w:tblInd w:w="567" w:type="dxa"/>
        <w:tblCellMar>
          <w:left w:w="70" w:type="dxa"/>
          <w:right w:w="70" w:type="dxa"/>
        </w:tblCellMar>
        <w:tblLook w:val="04A0" w:firstRow="1" w:lastRow="0" w:firstColumn="1" w:lastColumn="0" w:noHBand="0" w:noVBand="1"/>
      </w:tblPr>
      <w:tblGrid>
        <w:gridCol w:w="4815"/>
        <w:gridCol w:w="1134"/>
        <w:gridCol w:w="1134"/>
        <w:gridCol w:w="1634"/>
      </w:tblGrid>
      <w:tr w:rsidR="00FC6E6D" w:rsidRPr="00E11E7F" w:rsidTr="00075B25">
        <w:trPr>
          <w:trHeight w:val="315"/>
        </w:trPr>
        <w:tc>
          <w:tcPr>
            <w:tcW w:w="4815" w:type="dxa"/>
            <w:tcBorders>
              <w:top w:val="single" w:sz="4" w:space="0" w:color="auto"/>
              <w:left w:val="single" w:sz="4" w:space="0" w:color="auto"/>
              <w:bottom w:val="nil"/>
              <w:right w:val="nil"/>
            </w:tcBorders>
            <w:shd w:val="clear" w:color="auto" w:fill="auto"/>
            <w:noWrap/>
            <w:hideMark/>
          </w:tcPr>
          <w:p w:rsidR="00FC6E6D" w:rsidRPr="00BA59E6" w:rsidRDefault="00FC6E6D" w:rsidP="00FC6E6D">
            <w:pPr>
              <w:rPr>
                <w:rFonts w:ascii="Times New Roman" w:hAnsi="Times New Roman"/>
                <w:sz w:val="24"/>
                <w:szCs w:val="24"/>
                <w:lang w:eastAsia="de-CH"/>
              </w:rPr>
            </w:pPr>
          </w:p>
        </w:tc>
        <w:tc>
          <w:tcPr>
            <w:tcW w:w="3902" w:type="dxa"/>
            <w:gridSpan w:val="3"/>
            <w:tcBorders>
              <w:top w:val="single" w:sz="4" w:space="0" w:color="auto"/>
              <w:left w:val="single" w:sz="8" w:space="0" w:color="auto"/>
              <w:bottom w:val="single" w:sz="8" w:space="0" w:color="auto"/>
              <w:right w:val="single" w:sz="4" w:space="0" w:color="auto"/>
            </w:tcBorders>
            <w:shd w:val="clear" w:color="000000" w:fill="D9D9D9"/>
            <w:noWrap/>
            <w:vAlign w:val="center"/>
            <w:hideMark/>
          </w:tcPr>
          <w:p w:rsidR="00FC6E6D" w:rsidRPr="00E11E7F" w:rsidRDefault="00FC6E6D" w:rsidP="00FC6E6D">
            <w:pPr>
              <w:jc w:val="center"/>
              <w:rPr>
                <w:rFonts w:ascii="Calibri" w:hAnsi="Calibri" w:cs="Calibri"/>
                <w:b/>
                <w:bCs/>
                <w:color w:val="000000"/>
                <w:sz w:val="22"/>
                <w:szCs w:val="22"/>
              </w:rPr>
            </w:pPr>
            <w:r>
              <w:rPr>
                <w:rFonts w:ascii="Calibri" w:hAnsi="Calibri"/>
                <w:b/>
                <w:bCs/>
                <w:color w:val="000000"/>
                <w:sz w:val="22"/>
                <w:szCs w:val="22"/>
              </w:rPr>
              <w:t>Amounts in CHF</w:t>
            </w:r>
          </w:p>
        </w:tc>
      </w:tr>
      <w:tr w:rsidR="00FC6E6D" w:rsidRPr="00E11E7F" w:rsidTr="00075B25">
        <w:trPr>
          <w:trHeight w:val="915"/>
        </w:trPr>
        <w:tc>
          <w:tcPr>
            <w:tcW w:w="4815" w:type="dxa"/>
            <w:tcBorders>
              <w:top w:val="single" w:sz="8" w:space="0" w:color="auto"/>
              <w:left w:val="single" w:sz="4" w:space="0" w:color="auto"/>
              <w:bottom w:val="nil"/>
              <w:right w:val="single" w:sz="8" w:space="0" w:color="auto"/>
            </w:tcBorders>
            <w:shd w:val="clear" w:color="000000" w:fill="D9D9D9"/>
            <w:noWrap/>
            <w:vAlign w:val="center"/>
            <w:hideMark/>
          </w:tcPr>
          <w:p w:rsidR="00FC6E6D" w:rsidRPr="00E11E7F" w:rsidRDefault="00FC6E6D" w:rsidP="00FC6E6D">
            <w:pPr>
              <w:rPr>
                <w:rFonts w:ascii="Calibri" w:hAnsi="Calibri" w:cs="Calibri"/>
                <w:b/>
                <w:bCs/>
                <w:color w:val="000000"/>
                <w:sz w:val="22"/>
                <w:szCs w:val="22"/>
              </w:rPr>
            </w:pPr>
            <w:r>
              <w:rPr>
                <w:rFonts w:ascii="Calibri" w:hAnsi="Calibri"/>
                <w:b/>
                <w:bCs/>
                <w:color w:val="000000"/>
                <w:sz w:val="22"/>
                <w:szCs w:val="22"/>
              </w:rPr>
              <w:t>References</w:t>
            </w:r>
          </w:p>
        </w:tc>
        <w:tc>
          <w:tcPr>
            <w:tcW w:w="1134" w:type="dxa"/>
            <w:tcBorders>
              <w:top w:val="nil"/>
              <w:left w:val="nil"/>
              <w:bottom w:val="nil"/>
              <w:right w:val="single" w:sz="8" w:space="0" w:color="auto"/>
            </w:tcBorders>
            <w:shd w:val="clear" w:color="000000" w:fill="D9D9D9"/>
            <w:noWrap/>
            <w:vAlign w:val="center"/>
            <w:hideMark/>
          </w:tcPr>
          <w:p w:rsidR="00FC6E6D" w:rsidRPr="00E11E7F" w:rsidRDefault="00FC6E6D" w:rsidP="00FC6E6D">
            <w:pPr>
              <w:jc w:val="center"/>
              <w:rPr>
                <w:rFonts w:ascii="Calibri" w:hAnsi="Calibri" w:cs="Calibri"/>
                <w:b/>
                <w:bCs/>
                <w:color w:val="000000"/>
                <w:sz w:val="22"/>
                <w:szCs w:val="22"/>
              </w:rPr>
            </w:pPr>
            <w:r>
              <w:rPr>
                <w:rFonts w:ascii="Calibri" w:hAnsi="Calibri"/>
                <w:b/>
                <w:bCs/>
                <w:color w:val="000000"/>
                <w:sz w:val="22"/>
                <w:szCs w:val="22"/>
              </w:rPr>
              <w:t>2017</w:t>
            </w:r>
          </w:p>
        </w:tc>
        <w:tc>
          <w:tcPr>
            <w:tcW w:w="1134" w:type="dxa"/>
            <w:tcBorders>
              <w:top w:val="nil"/>
              <w:left w:val="nil"/>
              <w:bottom w:val="nil"/>
              <w:right w:val="single" w:sz="8" w:space="0" w:color="auto"/>
            </w:tcBorders>
            <w:shd w:val="clear" w:color="000000" w:fill="D9D9D9"/>
            <w:vAlign w:val="center"/>
            <w:hideMark/>
          </w:tcPr>
          <w:p w:rsidR="00FC6E6D" w:rsidRPr="00E11E7F" w:rsidRDefault="00FC6E6D" w:rsidP="00FC6E6D">
            <w:pPr>
              <w:jc w:val="center"/>
              <w:rPr>
                <w:rFonts w:ascii="Calibri" w:hAnsi="Calibri" w:cs="Calibri"/>
                <w:b/>
                <w:bCs/>
                <w:color w:val="000000"/>
                <w:sz w:val="22"/>
                <w:szCs w:val="22"/>
              </w:rPr>
            </w:pPr>
            <w:r>
              <w:rPr>
                <w:rFonts w:ascii="Calibri" w:hAnsi="Calibri"/>
                <w:b/>
                <w:bCs/>
                <w:color w:val="000000"/>
                <w:sz w:val="22"/>
                <w:szCs w:val="22"/>
              </w:rPr>
              <w:t>2016</w:t>
            </w:r>
            <w:r>
              <w:rPr>
                <w:rFonts w:ascii="Calibri" w:hAnsi="Calibri"/>
                <w:b/>
                <w:bCs/>
                <w:color w:val="000000"/>
                <w:sz w:val="22"/>
                <w:szCs w:val="22"/>
              </w:rPr>
              <w:br/>
              <w:t>readjusted</w:t>
            </w:r>
          </w:p>
        </w:tc>
        <w:tc>
          <w:tcPr>
            <w:tcW w:w="1634" w:type="dxa"/>
            <w:tcBorders>
              <w:top w:val="nil"/>
              <w:left w:val="nil"/>
              <w:bottom w:val="nil"/>
              <w:right w:val="single" w:sz="4" w:space="0" w:color="auto"/>
            </w:tcBorders>
            <w:shd w:val="clear" w:color="000000" w:fill="D9D9D9"/>
            <w:vAlign w:val="center"/>
            <w:hideMark/>
          </w:tcPr>
          <w:p w:rsidR="00FC6E6D" w:rsidRPr="00E11E7F" w:rsidRDefault="00075B25" w:rsidP="00075B25">
            <w:pPr>
              <w:jc w:val="center"/>
              <w:rPr>
                <w:rFonts w:ascii="Calibri" w:hAnsi="Calibri" w:cs="Calibri"/>
                <w:b/>
                <w:bCs/>
                <w:color w:val="000000"/>
                <w:sz w:val="22"/>
                <w:szCs w:val="22"/>
              </w:rPr>
            </w:pPr>
            <w:r>
              <w:rPr>
                <w:rFonts w:ascii="Calibri" w:hAnsi="Calibri"/>
                <w:b/>
                <w:bCs/>
                <w:color w:val="000000"/>
                <w:sz w:val="22"/>
                <w:szCs w:val="22"/>
              </w:rPr>
              <w:t>Variation</w:t>
            </w:r>
            <w:r>
              <w:rPr>
                <w:rFonts w:ascii="Calibri" w:hAnsi="Calibri"/>
                <w:b/>
                <w:bCs/>
                <w:color w:val="000000"/>
                <w:sz w:val="22"/>
                <w:szCs w:val="22"/>
              </w:rPr>
              <w:br/>
            </w:r>
            <w:r w:rsidR="00FC6E6D">
              <w:rPr>
                <w:rFonts w:ascii="Calibri" w:hAnsi="Calibri"/>
                <w:b/>
                <w:bCs/>
                <w:color w:val="000000"/>
                <w:sz w:val="22"/>
                <w:szCs w:val="22"/>
              </w:rPr>
              <w:t xml:space="preserve">2017 vs. </w:t>
            </w:r>
            <w:r>
              <w:rPr>
                <w:rFonts w:ascii="Calibri" w:hAnsi="Calibri"/>
                <w:b/>
                <w:bCs/>
                <w:color w:val="000000"/>
                <w:sz w:val="22"/>
                <w:szCs w:val="22"/>
              </w:rPr>
              <w:br/>
            </w:r>
            <w:r w:rsidR="00FC6E6D">
              <w:rPr>
                <w:rFonts w:ascii="Calibri" w:hAnsi="Calibri"/>
                <w:b/>
                <w:bCs/>
                <w:color w:val="000000"/>
                <w:sz w:val="22"/>
                <w:szCs w:val="22"/>
              </w:rPr>
              <w:t>2016</w:t>
            </w:r>
            <w:r w:rsidR="009E37F3">
              <w:rPr>
                <w:rFonts w:ascii="Calibri" w:hAnsi="Calibri"/>
                <w:b/>
                <w:bCs/>
                <w:color w:val="000000"/>
                <w:sz w:val="22"/>
                <w:szCs w:val="22"/>
              </w:rPr>
              <w:t xml:space="preserve"> readjusted</w:t>
            </w:r>
          </w:p>
        </w:tc>
      </w:tr>
      <w:tr w:rsidR="00FC6E6D" w:rsidRPr="00E11E7F" w:rsidTr="00075B25">
        <w:trPr>
          <w:trHeight w:val="315"/>
        </w:trPr>
        <w:tc>
          <w:tcPr>
            <w:tcW w:w="4815"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C6E6D" w:rsidRPr="00E11E7F" w:rsidRDefault="00FC6E6D" w:rsidP="00FC6E6D">
            <w:pPr>
              <w:rPr>
                <w:rFonts w:ascii="Calibri" w:hAnsi="Calibri" w:cs="Calibri"/>
                <w:color w:val="000000"/>
                <w:sz w:val="22"/>
                <w:szCs w:val="22"/>
              </w:rPr>
            </w:pPr>
            <w:r>
              <w:rPr>
                <w:rFonts w:ascii="Calibri" w:hAnsi="Calibri"/>
                <w:color w:val="000000"/>
                <w:sz w:val="22"/>
                <w:szCs w:val="22"/>
              </w:rPr>
              <w:t>Balance sheet total</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rsidR="00FC6E6D" w:rsidRPr="00E11E7F" w:rsidRDefault="00FC6E6D" w:rsidP="00FC6E6D">
            <w:pPr>
              <w:jc w:val="right"/>
              <w:rPr>
                <w:rFonts w:ascii="Calibri" w:hAnsi="Calibri" w:cs="Calibri"/>
                <w:color w:val="000000"/>
                <w:sz w:val="22"/>
                <w:szCs w:val="22"/>
              </w:rPr>
            </w:pPr>
            <w:r>
              <w:rPr>
                <w:rFonts w:ascii="Calibri" w:hAnsi="Calibri"/>
                <w:color w:val="000000"/>
                <w:sz w:val="22"/>
                <w:szCs w:val="22"/>
              </w:rPr>
              <w:t>4,201,382</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FC6E6D" w:rsidRPr="00E11E7F" w:rsidRDefault="00FC6E6D" w:rsidP="00FC6E6D">
            <w:pPr>
              <w:jc w:val="right"/>
              <w:rPr>
                <w:rFonts w:ascii="Calibri" w:hAnsi="Calibri" w:cs="Calibri"/>
                <w:color w:val="000000"/>
                <w:sz w:val="22"/>
                <w:szCs w:val="22"/>
              </w:rPr>
            </w:pPr>
            <w:r>
              <w:rPr>
                <w:rFonts w:ascii="Calibri" w:hAnsi="Calibri"/>
                <w:color w:val="000000"/>
                <w:sz w:val="22"/>
                <w:szCs w:val="22"/>
              </w:rPr>
              <w:t>5,405,813</w:t>
            </w:r>
          </w:p>
        </w:tc>
        <w:tc>
          <w:tcPr>
            <w:tcW w:w="1634" w:type="dxa"/>
            <w:tcBorders>
              <w:top w:val="single" w:sz="8" w:space="0" w:color="auto"/>
              <w:left w:val="nil"/>
              <w:bottom w:val="single" w:sz="8" w:space="0" w:color="auto"/>
              <w:right w:val="single" w:sz="4" w:space="0" w:color="auto"/>
            </w:tcBorders>
            <w:shd w:val="clear" w:color="auto" w:fill="auto"/>
            <w:noWrap/>
            <w:vAlign w:val="center"/>
            <w:hideMark/>
          </w:tcPr>
          <w:p w:rsidR="00FC6E6D" w:rsidRPr="00E11E7F" w:rsidRDefault="00FC6E6D" w:rsidP="00FC6E6D">
            <w:pPr>
              <w:jc w:val="right"/>
              <w:rPr>
                <w:rFonts w:ascii="Calibri" w:hAnsi="Calibri" w:cs="Calibri"/>
                <w:sz w:val="22"/>
                <w:szCs w:val="22"/>
              </w:rPr>
            </w:pPr>
            <w:r>
              <w:rPr>
                <w:rFonts w:ascii="Calibri" w:hAnsi="Calibri"/>
                <w:sz w:val="22"/>
                <w:szCs w:val="22"/>
              </w:rPr>
              <w:t>-1,204,431</w:t>
            </w:r>
          </w:p>
        </w:tc>
      </w:tr>
      <w:tr w:rsidR="00FC6E6D" w:rsidRPr="00E11E7F" w:rsidTr="00075B25">
        <w:trPr>
          <w:trHeight w:val="315"/>
        </w:trPr>
        <w:tc>
          <w:tcPr>
            <w:tcW w:w="4815" w:type="dxa"/>
            <w:tcBorders>
              <w:top w:val="nil"/>
              <w:left w:val="single" w:sz="4" w:space="0" w:color="auto"/>
              <w:bottom w:val="single" w:sz="8" w:space="0" w:color="auto"/>
              <w:right w:val="single" w:sz="8" w:space="0" w:color="auto"/>
            </w:tcBorders>
            <w:shd w:val="clear" w:color="auto" w:fill="auto"/>
            <w:noWrap/>
            <w:vAlign w:val="center"/>
            <w:hideMark/>
          </w:tcPr>
          <w:p w:rsidR="00FC6E6D" w:rsidRPr="00E11E7F" w:rsidRDefault="00FC6E6D" w:rsidP="00FC6E6D">
            <w:pPr>
              <w:rPr>
                <w:rFonts w:ascii="Calibri" w:hAnsi="Calibri" w:cs="Calibri"/>
                <w:color w:val="000000"/>
                <w:sz w:val="22"/>
                <w:szCs w:val="22"/>
              </w:rPr>
            </w:pPr>
            <w:r>
              <w:rPr>
                <w:rFonts w:ascii="Calibri" w:hAnsi="Calibri"/>
                <w:color w:val="000000"/>
                <w:sz w:val="22"/>
                <w:szCs w:val="22"/>
              </w:rPr>
              <w:t>Liquid assets</w:t>
            </w:r>
          </w:p>
        </w:tc>
        <w:tc>
          <w:tcPr>
            <w:tcW w:w="1134" w:type="dxa"/>
            <w:tcBorders>
              <w:top w:val="nil"/>
              <w:left w:val="nil"/>
              <w:bottom w:val="single" w:sz="8" w:space="0" w:color="auto"/>
              <w:right w:val="single" w:sz="8" w:space="0" w:color="auto"/>
            </w:tcBorders>
            <w:shd w:val="clear" w:color="000000" w:fill="FFFFFF"/>
            <w:noWrap/>
            <w:vAlign w:val="center"/>
            <w:hideMark/>
          </w:tcPr>
          <w:p w:rsidR="00FC6E6D" w:rsidRPr="00E11E7F" w:rsidRDefault="00FC6E6D" w:rsidP="00FC6E6D">
            <w:pPr>
              <w:jc w:val="right"/>
              <w:rPr>
                <w:rFonts w:ascii="Calibri" w:hAnsi="Calibri" w:cs="Calibri"/>
                <w:color w:val="000000"/>
                <w:sz w:val="22"/>
                <w:szCs w:val="22"/>
              </w:rPr>
            </w:pPr>
            <w:r>
              <w:rPr>
                <w:rFonts w:ascii="Calibri" w:hAnsi="Calibri"/>
                <w:color w:val="000000"/>
                <w:sz w:val="22"/>
                <w:szCs w:val="22"/>
              </w:rPr>
              <w:t>4,115,186</w:t>
            </w:r>
          </w:p>
        </w:tc>
        <w:tc>
          <w:tcPr>
            <w:tcW w:w="1134" w:type="dxa"/>
            <w:tcBorders>
              <w:top w:val="nil"/>
              <w:left w:val="nil"/>
              <w:bottom w:val="single" w:sz="8" w:space="0" w:color="auto"/>
              <w:right w:val="single" w:sz="8" w:space="0" w:color="auto"/>
            </w:tcBorders>
            <w:shd w:val="clear" w:color="auto" w:fill="auto"/>
            <w:noWrap/>
            <w:vAlign w:val="center"/>
            <w:hideMark/>
          </w:tcPr>
          <w:p w:rsidR="00FC6E6D" w:rsidRPr="00E11E7F" w:rsidRDefault="00FC6E6D" w:rsidP="00FC6E6D">
            <w:pPr>
              <w:jc w:val="right"/>
              <w:rPr>
                <w:rFonts w:ascii="Calibri" w:hAnsi="Calibri" w:cs="Calibri"/>
                <w:color w:val="000000"/>
                <w:sz w:val="22"/>
                <w:szCs w:val="22"/>
              </w:rPr>
            </w:pPr>
            <w:r>
              <w:rPr>
                <w:rFonts w:ascii="Calibri" w:hAnsi="Calibri"/>
                <w:color w:val="000000"/>
                <w:sz w:val="22"/>
                <w:szCs w:val="22"/>
              </w:rPr>
              <w:t>5,275,496</w:t>
            </w:r>
          </w:p>
        </w:tc>
        <w:tc>
          <w:tcPr>
            <w:tcW w:w="1634" w:type="dxa"/>
            <w:tcBorders>
              <w:top w:val="nil"/>
              <w:left w:val="nil"/>
              <w:bottom w:val="single" w:sz="8" w:space="0" w:color="auto"/>
              <w:right w:val="single" w:sz="4" w:space="0" w:color="auto"/>
            </w:tcBorders>
            <w:shd w:val="clear" w:color="auto" w:fill="auto"/>
            <w:noWrap/>
            <w:vAlign w:val="center"/>
            <w:hideMark/>
          </w:tcPr>
          <w:p w:rsidR="00FC6E6D" w:rsidRPr="00E11E7F" w:rsidRDefault="00FC6E6D" w:rsidP="00FC6E6D">
            <w:pPr>
              <w:jc w:val="right"/>
              <w:rPr>
                <w:rFonts w:ascii="Calibri" w:hAnsi="Calibri" w:cs="Calibri"/>
                <w:sz w:val="22"/>
                <w:szCs w:val="22"/>
              </w:rPr>
            </w:pPr>
            <w:r>
              <w:rPr>
                <w:rFonts w:ascii="Calibri" w:hAnsi="Calibri"/>
                <w:sz w:val="22"/>
                <w:szCs w:val="22"/>
              </w:rPr>
              <w:t>-1,160,310</w:t>
            </w:r>
          </w:p>
        </w:tc>
      </w:tr>
      <w:tr w:rsidR="00FC6E6D" w:rsidRPr="00E11E7F" w:rsidTr="00075B25">
        <w:trPr>
          <w:trHeight w:val="240"/>
        </w:trPr>
        <w:tc>
          <w:tcPr>
            <w:tcW w:w="4815" w:type="dxa"/>
            <w:tcBorders>
              <w:top w:val="nil"/>
              <w:left w:val="single" w:sz="4" w:space="0" w:color="auto"/>
              <w:bottom w:val="single" w:sz="8" w:space="0" w:color="auto"/>
              <w:right w:val="single" w:sz="8" w:space="0" w:color="auto"/>
            </w:tcBorders>
            <w:shd w:val="clear" w:color="auto" w:fill="auto"/>
            <w:noWrap/>
            <w:vAlign w:val="center"/>
            <w:hideMark/>
          </w:tcPr>
          <w:p w:rsidR="00FC6E6D" w:rsidRPr="00E11E7F" w:rsidRDefault="00FC6E6D" w:rsidP="00FC6E6D">
            <w:pPr>
              <w:rPr>
                <w:rFonts w:ascii="Calibri" w:hAnsi="Calibri" w:cs="Calibri"/>
                <w:color w:val="000000"/>
                <w:sz w:val="22"/>
                <w:szCs w:val="22"/>
              </w:rPr>
            </w:pPr>
            <w:r>
              <w:rPr>
                <w:rFonts w:ascii="Calibri" w:hAnsi="Calibri"/>
                <w:color w:val="000000"/>
                <w:sz w:val="22"/>
                <w:szCs w:val="22"/>
              </w:rPr>
              <w:t>Short-term liabilities</w:t>
            </w:r>
          </w:p>
        </w:tc>
        <w:tc>
          <w:tcPr>
            <w:tcW w:w="1134" w:type="dxa"/>
            <w:tcBorders>
              <w:top w:val="nil"/>
              <w:left w:val="nil"/>
              <w:bottom w:val="single" w:sz="8" w:space="0" w:color="auto"/>
              <w:right w:val="single" w:sz="8" w:space="0" w:color="auto"/>
            </w:tcBorders>
            <w:shd w:val="clear" w:color="000000" w:fill="FFFFFF"/>
            <w:noWrap/>
            <w:vAlign w:val="center"/>
            <w:hideMark/>
          </w:tcPr>
          <w:p w:rsidR="00FC6E6D" w:rsidRPr="00E11E7F" w:rsidRDefault="00FC6E6D" w:rsidP="00FC6E6D">
            <w:pPr>
              <w:jc w:val="right"/>
              <w:rPr>
                <w:rFonts w:ascii="Calibri" w:hAnsi="Calibri" w:cs="Calibri"/>
                <w:color w:val="000000"/>
                <w:sz w:val="22"/>
                <w:szCs w:val="22"/>
              </w:rPr>
            </w:pPr>
            <w:r>
              <w:rPr>
                <w:rFonts w:ascii="Calibri" w:hAnsi="Calibri"/>
                <w:color w:val="000000"/>
                <w:sz w:val="22"/>
                <w:szCs w:val="22"/>
              </w:rPr>
              <w:t>1,315,607</w:t>
            </w:r>
          </w:p>
        </w:tc>
        <w:tc>
          <w:tcPr>
            <w:tcW w:w="1134" w:type="dxa"/>
            <w:tcBorders>
              <w:top w:val="nil"/>
              <w:left w:val="nil"/>
              <w:bottom w:val="single" w:sz="8" w:space="0" w:color="auto"/>
              <w:right w:val="single" w:sz="8" w:space="0" w:color="auto"/>
            </w:tcBorders>
            <w:shd w:val="clear" w:color="auto" w:fill="auto"/>
            <w:noWrap/>
            <w:vAlign w:val="center"/>
            <w:hideMark/>
          </w:tcPr>
          <w:p w:rsidR="00FC6E6D" w:rsidRPr="00E11E7F" w:rsidRDefault="00FC6E6D" w:rsidP="00FC6E6D">
            <w:pPr>
              <w:jc w:val="right"/>
              <w:rPr>
                <w:rFonts w:ascii="Calibri" w:hAnsi="Calibri" w:cs="Calibri"/>
                <w:color w:val="000000"/>
                <w:sz w:val="22"/>
                <w:szCs w:val="22"/>
              </w:rPr>
            </w:pPr>
            <w:r>
              <w:rPr>
                <w:rFonts w:ascii="Calibri" w:hAnsi="Calibri"/>
                <w:color w:val="000000"/>
                <w:sz w:val="22"/>
                <w:szCs w:val="22"/>
              </w:rPr>
              <w:t>2,410,591</w:t>
            </w:r>
          </w:p>
        </w:tc>
        <w:tc>
          <w:tcPr>
            <w:tcW w:w="1634" w:type="dxa"/>
            <w:tcBorders>
              <w:top w:val="nil"/>
              <w:left w:val="nil"/>
              <w:bottom w:val="single" w:sz="8" w:space="0" w:color="auto"/>
              <w:right w:val="single" w:sz="4" w:space="0" w:color="auto"/>
            </w:tcBorders>
            <w:shd w:val="clear" w:color="auto" w:fill="auto"/>
            <w:noWrap/>
            <w:vAlign w:val="center"/>
            <w:hideMark/>
          </w:tcPr>
          <w:p w:rsidR="00FC6E6D" w:rsidRPr="00E11E7F" w:rsidRDefault="00FC6E6D" w:rsidP="00FC6E6D">
            <w:pPr>
              <w:jc w:val="right"/>
              <w:rPr>
                <w:rFonts w:ascii="Calibri" w:hAnsi="Calibri" w:cs="Calibri"/>
                <w:sz w:val="22"/>
                <w:szCs w:val="22"/>
              </w:rPr>
            </w:pPr>
            <w:r>
              <w:rPr>
                <w:rFonts w:ascii="Calibri" w:hAnsi="Calibri"/>
                <w:sz w:val="22"/>
                <w:szCs w:val="22"/>
              </w:rPr>
              <w:t>-1,094,984</w:t>
            </w:r>
          </w:p>
        </w:tc>
      </w:tr>
      <w:tr w:rsidR="00FC6E6D" w:rsidRPr="00E11E7F" w:rsidTr="00075B25">
        <w:trPr>
          <w:trHeight w:val="315"/>
        </w:trPr>
        <w:tc>
          <w:tcPr>
            <w:tcW w:w="4815" w:type="dxa"/>
            <w:tcBorders>
              <w:top w:val="nil"/>
              <w:left w:val="single" w:sz="4" w:space="0" w:color="auto"/>
              <w:bottom w:val="single" w:sz="8" w:space="0" w:color="auto"/>
              <w:right w:val="single" w:sz="8" w:space="0" w:color="auto"/>
            </w:tcBorders>
            <w:shd w:val="clear" w:color="auto" w:fill="auto"/>
            <w:noWrap/>
            <w:vAlign w:val="center"/>
            <w:hideMark/>
          </w:tcPr>
          <w:p w:rsidR="00FC6E6D" w:rsidRPr="00E11E7F" w:rsidRDefault="00FC6E6D" w:rsidP="00FC6E6D">
            <w:pPr>
              <w:rPr>
                <w:rFonts w:ascii="Calibri" w:hAnsi="Calibri" w:cs="Calibri"/>
                <w:color w:val="000000"/>
                <w:sz w:val="22"/>
                <w:szCs w:val="22"/>
              </w:rPr>
            </w:pPr>
            <w:r>
              <w:rPr>
                <w:rFonts w:ascii="Calibri" w:hAnsi="Calibri"/>
                <w:color w:val="000000"/>
                <w:sz w:val="22"/>
                <w:szCs w:val="22"/>
              </w:rPr>
              <w:t>Provisions for employee benefits</w:t>
            </w:r>
          </w:p>
        </w:tc>
        <w:tc>
          <w:tcPr>
            <w:tcW w:w="1134" w:type="dxa"/>
            <w:tcBorders>
              <w:top w:val="nil"/>
              <w:left w:val="nil"/>
              <w:bottom w:val="single" w:sz="8" w:space="0" w:color="auto"/>
              <w:right w:val="single" w:sz="8" w:space="0" w:color="auto"/>
            </w:tcBorders>
            <w:shd w:val="clear" w:color="000000" w:fill="FFFFFF"/>
            <w:noWrap/>
            <w:vAlign w:val="center"/>
            <w:hideMark/>
          </w:tcPr>
          <w:p w:rsidR="00FC6E6D" w:rsidRPr="00E11E7F" w:rsidRDefault="00FC6E6D" w:rsidP="00FC6E6D">
            <w:pPr>
              <w:jc w:val="right"/>
              <w:rPr>
                <w:rFonts w:ascii="Calibri" w:hAnsi="Calibri" w:cs="Calibri"/>
                <w:color w:val="000000"/>
                <w:sz w:val="22"/>
                <w:szCs w:val="22"/>
              </w:rPr>
            </w:pPr>
            <w:r>
              <w:rPr>
                <w:rFonts w:ascii="Calibri" w:hAnsi="Calibri"/>
                <w:color w:val="000000"/>
                <w:sz w:val="22"/>
                <w:szCs w:val="22"/>
              </w:rPr>
              <w:t>2,255,945</w:t>
            </w:r>
          </w:p>
        </w:tc>
        <w:tc>
          <w:tcPr>
            <w:tcW w:w="1134" w:type="dxa"/>
            <w:tcBorders>
              <w:top w:val="nil"/>
              <w:left w:val="nil"/>
              <w:bottom w:val="single" w:sz="8" w:space="0" w:color="auto"/>
              <w:right w:val="single" w:sz="8" w:space="0" w:color="auto"/>
            </w:tcBorders>
            <w:shd w:val="clear" w:color="auto" w:fill="auto"/>
            <w:noWrap/>
            <w:vAlign w:val="center"/>
            <w:hideMark/>
          </w:tcPr>
          <w:p w:rsidR="00FC6E6D" w:rsidRPr="00E11E7F" w:rsidRDefault="00FC6E6D" w:rsidP="00FC6E6D">
            <w:pPr>
              <w:jc w:val="right"/>
              <w:rPr>
                <w:rFonts w:ascii="Calibri" w:hAnsi="Calibri" w:cs="Calibri"/>
                <w:color w:val="000000"/>
                <w:sz w:val="22"/>
                <w:szCs w:val="22"/>
              </w:rPr>
            </w:pPr>
            <w:r>
              <w:rPr>
                <w:rFonts w:ascii="Calibri" w:hAnsi="Calibri"/>
                <w:color w:val="000000"/>
                <w:sz w:val="22"/>
                <w:szCs w:val="22"/>
              </w:rPr>
              <w:t>2,249,447</w:t>
            </w:r>
          </w:p>
        </w:tc>
        <w:tc>
          <w:tcPr>
            <w:tcW w:w="1634" w:type="dxa"/>
            <w:tcBorders>
              <w:top w:val="nil"/>
              <w:left w:val="nil"/>
              <w:bottom w:val="single" w:sz="8" w:space="0" w:color="auto"/>
              <w:right w:val="single" w:sz="4" w:space="0" w:color="auto"/>
            </w:tcBorders>
            <w:shd w:val="clear" w:color="auto" w:fill="auto"/>
            <w:noWrap/>
            <w:vAlign w:val="center"/>
            <w:hideMark/>
          </w:tcPr>
          <w:p w:rsidR="00FC6E6D" w:rsidRPr="00E11E7F" w:rsidRDefault="00FC6E6D" w:rsidP="00FC6E6D">
            <w:pPr>
              <w:jc w:val="right"/>
              <w:rPr>
                <w:rFonts w:ascii="Calibri" w:hAnsi="Calibri" w:cs="Calibri"/>
                <w:sz w:val="22"/>
                <w:szCs w:val="22"/>
              </w:rPr>
            </w:pPr>
            <w:r>
              <w:rPr>
                <w:rFonts w:ascii="Calibri" w:hAnsi="Calibri"/>
                <w:sz w:val="22"/>
                <w:szCs w:val="22"/>
              </w:rPr>
              <w:t>6,498</w:t>
            </w:r>
          </w:p>
        </w:tc>
      </w:tr>
      <w:tr w:rsidR="00FC6E6D" w:rsidRPr="00E11E7F" w:rsidTr="00075B25">
        <w:trPr>
          <w:trHeight w:val="315"/>
        </w:trPr>
        <w:tc>
          <w:tcPr>
            <w:tcW w:w="4815" w:type="dxa"/>
            <w:tcBorders>
              <w:top w:val="nil"/>
              <w:left w:val="single" w:sz="4" w:space="0" w:color="auto"/>
              <w:bottom w:val="single" w:sz="8" w:space="0" w:color="auto"/>
              <w:right w:val="single" w:sz="8" w:space="0" w:color="auto"/>
            </w:tcBorders>
            <w:shd w:val="clear" w:color="auto" w:fill="auto"/>
            <w:noWrap/>
            <w:vAlign w:val="center"/>
            <w:hideMark/>
          </w:tcPr>
          <w:p w:rsidR="00FC6E6D" w:rsidRPr="00E11E7F" w:rsidRDefault="00FC6E6D" w:rsidP="00FC6E6D">
            <w:pPr>
              <w:rPr>
                <w:rFonts w:ascii="Calibri" w:hAnsi="Calibri" w:cs="Calibri"/>
                <w:color w:val="000000"/>
                <w:sz w:val="22"/>
                <w:szCs w:val="22"/>
              </w:rPr>
            </w:pPr>
            <w:r>
              <w:rPr>
                <w:rFonts w:ascii="Calibri" w:hAnsi="Calibri"/>
                <w:color w:val="000000"/>
                <w:sz w:val="22"/>
                <w:szCs w:val="22"/>
              </w:rPr>
              <w:t>Reserve fund</w:t>
            </w:r>
          </w:p>
        </w:tc>
        <w:tc>
          <w:tcPr>
            <w:tcW w:w="1134" w:type="dxa"/>
            <w:tcBorders>
              <w:top w:val="nil"/>
              <w:left w:val="nil"/>
              <w:bottom w:val="single" w:sz="8" w:space="0" w:color="auto"/>
              <w:right w:val="single" w:sz="8" w:space="0" w:color="auto"/>
            </w:tcBorders>
            <w:shd w:val="clear" w:color="000000" w:fill="FFFFFF"/>
            <w:noWrap/>
            <w:vAlign w:val="center"/>
            <w:hideMark/>
          </w:tcPr>
          <w:p w:rsidR="00FC6E6D" w:rsidRPr="00E11E7F" w:rsidRDefault="00FC6E6D" w:rsidP="00FC6E6D">
            <w:pPr>
              <w:jc w:val="right"/>
              <w:rPr>
                <w:rFonts w:ascii="Calibri" w:hAnsi="Calibri" w:cs="Calibri"/>
                <w:color w:val="000000"/>
                <w:sz w:val="22"/>
                <w:szCs w:val="22"/>
              </w:rPr>
            </w:pPr>
            <w:r>
              <w:rPr>
                <w:rFonts w:ascii="Calibri" w:hAnsi="Calibri"/>
                <w:color w:val="000000"/>
                <w:sz w:val="22"/>
                <w:szCs w:val="22"/>
              </w:rPr>
              <w:t>970,470</w:t>
            </w:r>
          </w:p>
        </w:tc>
        <w:tc>
          <w:tcPr>
            <w:tcW w:w="1134" w:type="dxa"/>
            <w:tcBorders>
              <w:top w:val="nil"/>
              <w:left w:val="nil"/>
              <w:bottom w:val="single" w:sz="8" w:space="0" w:color="auto"/>
              <w:right w:val="single" w:sz="8" w:space="0" w:color="auto"/>
            </w:tcBorders>
            <w:shd w:val="clear" w:color="auto" w:fill="auto"/>
            <w:noWrap/>
            <w:vAlign w:val="center"/>
            <w:hideMark/>
          </w:tcPr>
          <w:p w:rsidR="00FC6E6D" w:rsidRPr="00E11E7F" w:rsidRDefault="00FC6E6D" w:rsidP="00FC6E6D">
            <w:pPr>
              <w:jc w:val="right"/>
              <w:rPr>
                <w:rFonts w:ascii="Calibri" w:hAnsi="Calibri" w:cs="Calibri"/>
                <w:color w:val="000000"/>
                <w:sz w:val="22"/>
                <w:szCs w:val="22"/>
              </w:rPr>
            </w:pPr>
            <w:r>
              <w:rPr>
                <w:rFonts w:ascii="Calibri" w:hAnsi="Calibri"/>
                <w:color w:val="000000"/>
                <w:sz w:val="22"/>
                <w:szCs w:val="22"/>
              </w:rPr>
              <w:t>1,260,833</w:t>
            </w:r>
          </w:p>
        </w:tc>
        <w:tc>
          <w:tcPr>
            <w:tcW w:w="1634" w:type="dxa"/>
            <w:tcBorders>
              <w:top w:val="nil"/>
              <w:left w:val="nil"/>
              <w:bottom w:val="single" w:sz="8" w:space="0" w:color="auto"/>
              <w:right w:val="single" w:sz="4" w:space="0" w:color="auto"/>
            </w:tcBorders>
            <w:shd w:val="clear" w:color="auto" w:fill="auto"/>
            <w:noWrap/>
            <w:vAlign w:val="center"/>
            <w:hideMark/>
          </w:tcPr>
          <w:p w:rsidR="00FC6E6D" w:rsidRPr="00E11E7F" w:rsidRDefault="00FC6E6D" w:rsidP="00FC6E6D">
            <w:pPr>
              <w:jc w:val="right"/>
              <w:rPr>
                <w:rFonts w:ascii="Calibri" w:hAnsi="Calibri" w:cs="Calibri"/>
                <w:sz w:val="22"/>
                <w:szCs w:val="22"/>
              </w:rPr>
            </w:pPr>
            <w:r>
              <w:rPr>
                <w:rFonts w:ascii="Calibri" w:hAnsi="Calibri"/>
                <w:sz w:val="22"/>
                <w:szCs w:val="22"/>
              </w:rPr>
              <w:t>-290,363</w:t>
            </w:r>
          </w:p>
        </w:tc>
      </w:tr>
      <w:tr w:rsidR="00FC6E6D" w:rsidRPr="00E11E7F" w:rsidTr="00075B25">
        <w:trPr>
          <w:trHeight w:val="315"/>
        </w:trPr>
        <w:tc>
          <w:tcPr>
            <w:tcW w:w="4815" w:type="dxa"/>
            <w:tcBorders>
              <w:top w:val="nil"/>
              <w:left w:val="single" w:sz="4" w:space="0" w:color="auto"/>
              <w:bottom w:val="single" w:sz="8" w:space="0" w:color="auto"/>
              <w:right w:val="single" w:sz="8" w:space="0" w:color="auto"/>
            </w:tcBorders>
            <w:shd w:val="clear" w:color="auto" w:fill="auto"/>
            <w:noWrap/>
            <w:vAlign w:val="center"/>
            <w:hideMark/>
          </w:tcPr>
          <w:p w:rsidR="00FC6E6D" w:rsidRPr="00E11E7F" w:rsidRDefault="00FC6E6D" w:rsidP="00FC6E6D">
            <w:pPr>
              <w:rPr>
                <w:rFonts w:ascii="Calibri" w:hAnsi="Calibri" w:cs="Calibri"/>
                <w:color w:val="000000"/>
                <w:sz w:val="22"/>
                <w:szCs w:val="22"/>
              </w:rPr>
            </w:pPr>
            <w:r>
              <w:rPr>
                <w:rFonts w:ascii="Calibri" w:hAnsi="Calibri"/>
                <w:color w:val="000000"/>
                <w:sz w:val="22"/>
                <w:szCs w:val="22"/>
              </w:rPr>
              <w:t>Actuarial gains (losses) through net assets</w:t>
            </w:r>
          </w:p>
        </w:tc>
        <w:tc>
          <w:tcPr>
            <w:tcW w:w="1134" w:type="dxa"/>
            <w:tcBorders>
              <w:top w:val="nil"/>
              <w:left w:val="nil"/>
              <w:bottom w:val="single" w:sz="8" w:space="0" w:color="auto"/>
              <w:right w:val="single" w:sz="8" w:space="0" w:color="auto"/>
            </w:tcBorders>
            <w:shd w:val="clear" w:color="000000" w:fill="FFFFFF"/>
            <w:noWrap/>
            <w:vAlign w:val="center"/>
            <w:hideMark/>
          </w:tcPr>
          <w:p w:rsidR="00FC6E6D" w:rsidRPr="00E11E7F" w:rsidRDefault="00FC6E6D" w:rsidP="00FC6E6D">
            <w:pPr>
              <w:jc w:val="right"/>
              <w:rPr>
                <w:rFonts w:ascii="Calibri" w:hAnsi="Calibri" w:cs="Calibri"/>
                <w:color w:val="000000"/>
                <w:sz w:val="22"/>
                <w:szCs w:val="22"/>
              </w:rPr>
            </w:pPr>
            <w:r>
              <w:rPr>
                <w:rFonts w:ascii="Calibri" w:hAnsi="Calibri"/>
                <w:color w:val="000000"/>
                <w:sz w:val="22"/>
                <w:szCs w:val="22"/>
              </w:rPr>
              <w:t>-901,276</w:t>
            </w:r>
          </w:p>
        </w:tc>
        <w:tc>
          <w:tcPr>
            <w:tcW w:w="1134" w:type="dxa"/>
            <w:tcBorders>
              <w:top w:val="nil"/>
              <w:left w:val="nil"/>
              <w:bottom w:val="single" w:sz="8" w:space="0" w:color="auto"/>
              <w:right w:val="single" w:sz="8" w:space="0" w:color="auto"/>
            </w:tcBorders>
            <w:shd w:val="clear" w:color="auto" w:fill="auto"/>
            <w:noWrap/>
            <w:vAlign w:val="center"/>
            <w:hideMark/>
          </w:tcPr>
          <w:p w:rsidR="00FC6E6D" w:rsidRPr="00E11E7F" w:rsidRDefault="00FC6E6D" w:rsidP="00FC6E6D">
            <w:pPr>
              <w:jc w:val="right"/>
              <w:rPr>
                <w:rFonts w:ascii="Calibri" w:hAnsi="Calibri" w:cs="Calibri"/>
                <w:color w:val="000000"/>
                <w:sz w:val="22"/>
                <w:szCs w:val="22"/>
              </w:rPr>
            </w:pPr>
            <w:r>
              <w:rPr>
                <w:rFonts w:ascii="Calibri" w:hAnsi="Calibri"/>
                <w:color w:val="000000"/>
                <w:sz w:val="22"/>
                <w:szCs w:val="22"/>
              </w:rPr>
              <w:t>-1,075,694</w:t>
            </w:r>
          </w:p>
        </w:tc>
        <w:tc>
          <w:tcPr>
            <w:tcW w:w="1634" w:type="dxa"/>
            <w:tcBorders>
              <w:top w:val="nil"/>
              <w:left w:val="nil"/>
              <w:bottom w:val="single" w:sz="8" w:space="0" w:color="auto"/>
              <w:right w:val="single" w:sz="4" w:space="0" w:color="auto"/>
            </w:tcBorders>
            <w:shd w:val="clear" w:color="auto" w:fill="auto"/>
            <w:noWrap/>
            <w:vAlign w:val="center"/>
            <w:hideMark/>
          </w:tcPr>
          <w:p w:rsidR="00FC6E6D" w:rsidRPr="00E11E7F" w:rsidRDefault="00FC6E6D" w:rsidP="00FC6E6D">
            <w:pPr>
              <w:jc w:val="right"/>
              <w:rPr>
                <w:rFonts w:ascii="Calibri" w:hAnsi="Calibri" w:cs="Calibri"/>
                <w:sz w:val="22"/>
                <w:szCs w:val="22"/>
              </w:rPr>
            </w:pPr>
            <w:r>
              <w:rPr>
                <w:rFonts w:ascii="Calibri" w:hAnsi="Calibri"/>
                <w:sz w:val="22"/>
                <w:szCs w:val="22"/>
              </w:rPr>
              <w:t>174,418</w:t>
            </w:r>
          </w:p>
        </w:tc>
      </w:tr>
      <w:tr w:rsidR="00FC6E6D" w:rsidRPr="00E11E7F" w:rsidTr="00075B25">
        <w:trPr>
          <w:trHeight w:val="315"/>
        </w:trPr>
        <w:tc>
          <w:tcPr>
            <w:tcW w:w="4815" w:type="dxa"/>
            <w:tcBorders>
              <w:top w:val="nil"/>
              <w:left w:val="single" w:sz="4" w:space="0" w:color="auto"/>
              <w:bottom w:val="single" w:sz="8" w:space="0" w:color="auto"/>
              <w:right w:val="single" w:sz="8" w:space="0" w:color="auto"/>
            </w:tcBorders>
            <w:shd w:val="clear" w:color="auto" w:fill="auto"/>
            <w:noWrap/>
            <w:vAlign w:val="center"/>
            <w:hideMark/>
          </w:tcPr>
          <w:p w:rsidR="00FC6E6D" w:rsidRPr="00E11E7F" w:rsidRDefault="00FC6E6D" w:rsidP="00FC6E6D">
            <w:pPr>
              <w:rPr>
                <w:rFonts w:ascii="Calibri" w:hAnsi="Calibri" w:cs="Calibri"/>
                <w:color w:val="000000"/>
                <w:sz w:val="22"/>
                <w:szCs w:val="22"/>
              </w:rPr>
            </w:pPr>
            <w:r>
              <w:rPr>
                <w:rFonts w:ascii="Calibri" w:hAnsi="Calibri"/>
                <w:color w:val="000000"/>
                <w:sz w:val="22"/>
                <w:szCs w:val="22"/>
              </w:rPr>
              <w:t>Special projects fund</w:t>
            </w:r>
          </w:p>
        </w:tc>
        <w:tc>
          <w:tcPr>
            <w:tcW w:w="1134" w:type="dxa"/>
            <w:tcBorders>
              <w:top w:val="nil"/>
              <w:left w:val="nil"/>
              <w:bottom w:val="single" w:sz="8" w:space="0" w:color="auto"/>
              <w:right w:val="single" w:sz="8" w:space="0" w:color="auto"/>
            </w:tcBorders>
            <w:shd w:val="clear" w:color="auto" w:fill="auto"/>
            <w:noWrap/>
            <w:vAlign w:val="center"/>
            <w:hideMark/>
          </w:tcPr>
          <w:p w:rsidR="00FC6E6D" w:rsidRPr="00E11E7F" w:rsidRDefault="00FC6E6D" w:rsidP="00FC6E6D">
            <w:pPr>
              <w:jc w:val="right"/>
              <w:rPr>
                <w:rFonts w:ascii="Calibri" w:hAnsi="Calibri" w:cs="Calibri"/>
                <w:color w:val="000000"/>
                <w:sz w:val="22"/>
                <w:szCs w:val="22"/>
              </w:rPr>
            </w:pPr>
            <w:r>
              <w:rPr>
                <w:rFonts w:ascii="Calibri" w:hAnsi="Calibri"/>
                <w:color w:val="000000"/>
                <w:sz w:val="22"/>
                <w:szCs w:val="22"/>
              </w:rPr>
              <w:t>13,957</w:t>
            </w:r>
          </w:p>
        </w:tc>
        <w:tc>
          <w:tcPr>
            <w:tcW w:w="1134" w:type="dxa"/>
            <w:tcBorders>
              <w:top w:val="nil"/>
              <w:left w:val="nil"/>
              <w:bottom w:val="single" w:sz="8" w:space="0" w:color="auto"/>
              <w:right w:val="single" w:sz="8" w:space="0" w:color="auto"/>
            </w:tcBorders>
            <w:shd w:val="clear" w:color="auto" w:fill="auto"/>
            <w:noWrap/>
            <w:vAlign w:val="center"/>
            <w:hideMark/>
          </w:tcPr>
          <w:p w:rsidR="00FC6E6D" w:rsidRPr="00E11E7F" w:rsidRDefault="00FC6E6D" w:rsidP="00FC6E6D">
            <w:pPr>
              <w:jc w:val="right"/>
              <w:rPr>
                <w:rFonts w:ascii="Calibri" w:hAnsi="Calibri" w:cs="Calibri"/>
                <w:color w:val="000000"/>
                <w:sz w:val="22"/>
                <w:szCs w:val="22"/>
              </w:rPr>
            </w:pPr>
            <w:r>
              <w:rPr>
                <w:rFonts w:ascii="Calibri" w:hAnsi="Calibri"/>
                <w:color w:val="000000"/>
                <w:sz w:val="22"/>
                <w:szCs w:val="22"/>
              </w:rPr>
              <w:t>13,957</w:t>
            </w:r>
          </w:p>
        </w:tc>
        <w:tc>
          <w:tcPr>
            <w:tcW w:w="1634" w:type="dxa"/>
            <w:tcBorders>
              <w:top w:val="nil"/>
              <w:left w:val="nil"/>
              <w:bottom w:val="single" w:sz="8" w:space="0" w:color="auto"/>
              <w:right w:val="single" w:sz="4" w:space="0" w:color="auto"/>
            </w:tcBorders>
            <w:shd w:val="clear" w:color="auto" w:fill="auto"/>
            <w:noWrap/>
            <w:vAlign w:val="center"/>
            <w:hideMark/>
          </w:tcPr>
          <w:p w:rsidR="00FC6E6D" w:rsidRPr="00E11E7F" w:rsidRDefault="00FC6E6D" w:rsidP="00FC6E6D">
            <w:pPr>
              <w:jc w:val="right"/>
              <w:rPr>
                <w:rFonts w:ascii="Calibri" w:hAnsi="Calibri" w:cs="Calibri"/>
                <w:sz w:val="22"/>
                <w:szCs w:val="22"/>
              </w:rPr>
            </w:pPr>
            <w:r>
              <w:rPr>
                <w:rFonts w:ascii="Calibri" w:hAnsi="Calibri"/>
                <w:sz w:val="22"/>
                <w:szCs w:val="22"/>
              </w:rPr>
              <w:t>0</w:t>
            </w:r>
          </w:p>
        </w:tc>
      </w:tr>
      <w:tr w:rsidR="00FC6E6D" w:rsidRPr="00E11E7F" w:rsidTr="00075B25">
        <w:trPr>
          <w:trHeight w:val="315"/>
        </w:trPr>
        <w:tc>
          <w:tcPr>
            <w:tcW w:w="4815" w:type="dxa"/>
            <w:tcBorders>
              <w:top w:val="nil"/>
              <w:left w:val="single" w:sz="4" w:space="0" w:color="auto"/>
              <w:bottom w:val="single" w:sz="4" w:space="0" w:color="auto"/>
              <w:right w:val="single" w:sz="8" w:space="0" w:color="auto"/>
            </w:tcBorders>
            <w:shd w:val="clear" w:color="auto" w:fill="auto"/>
            <w:noWrap/>
            <w:vAlign w:val="center"/>
            <w:hideMark/>
          </w:tcPr>
          <w:p w:rsidR="00FC6E6D" w:rsidRPr="00E11E7F" w:rsidRDefault="00FC6E6D" w:rsidP="00FC6E6D">
            <w:pPr>
              <w:rPr>
                <w:rFonts w:ascii="Calibri" w:hAnsi="Calibri" w:cs="Calibri"/>
                <w:color w:val="000000"/>
                <w:sz w:val="22"/>
                <w:szCs w:val="22"/>
              </w:rPr>
            </w:pPr>
            <w:r>
              <w:rPr>
                <w:rFonts w:ascii="Calibri" w:hAnsi="Calibri"/>
                <w:color w:val="000000"/>
                <w:sz w:val="22"/>
                <w:szCs w:val="22"/>
              </w:rPr>
              <w:t>Working capital</w:t>
            </w:r>
          </w:p>
        </w:tc>
        <w:tc>
          <w:tcPr>
            <w:tcW w:w="1134" w:type="dxa"/>
            <w:tcBorders>
              <w:top w:val="nil"/>
              <w:left w:val="nil"/>
              <w:bottom w:val="single" w:sz="4" w:space="0" w:color="auto"/>
              <w:right w:val="single" w:sz="8" w:space="0" w:color="auto"/>
            </w:tcBorders>
            <w:shd w:val="clear" w:color="auto" w:fill="auto"/>
            <w:noWrap/>
            <w:vAlign w:val="center"/>
            <w:hideMark/>
          </w:tcPr>
          <w:p w:rsidR="00FC6E6D" w:rsidRPr="00E11E7F" w:rsidRDefault="00FC6E6D" w:rsidP="00FC6E6D">
            <w:pPr>
              <w:jc w:val="right"/>
              <w:rPr>
                <w:rFonts w:ascii="Calibri" w:hAnsi="Calibri" w:cs="Calibri"/>
                <w:color w:val="000000"/>
                <w:sz w:val="22"/>
                <w:szCs w:val="22"/>
              </w:rPr>
            </w:pPr>
            <w:r>
              <w:rPr>
                <w:rFonts w:ascii="Calibri" w:hAnsi="Calibri"/>
                <w:color w:val="000000"/>
                <w:sz w:val="22"/>
                <w:szCs w:val="22"/>
              </w:rPr>
              <w:t>546,679</w:t>
            </w:r>
          </w:p>
        </w:tc>
        <w:tc>
          <w:tcPr>
            <w:tcW w:w="1134" w:type="dxa"/>
            <w:tcBorders>
              <w:top w:val="nil"/>
              <w:left w:val="nil"/>
              <w:bottom w:val="single" w:sz="4" w:space="0" w:color="auto"/>
              <w:right w:val="single" w:sz="8" w:space="0" w:color="auto"/>
            </w:tcBorders>
            <w:shd w:val="clear" w:color="auto" w:fill="auto"/>
            <w:noWrap/>
            <w:vAlign w:val="center"/>
            <w:hideMark/>
          </w:tcPr>
          <w:p w:rsidR="00FC6E6D" w:rsidRPr="00E11E7F" w:rsidRDefault="00FC6E6D" w:rsidP="00FC6E6D">
            <w:pPr>
              <w:jc w:val="right"/>
              <w:rPr>
                <w:rFonts w:ascii="Calibri" w:hAnsi="Calibri" w:cs="Calibri"/>
                <w:color w:val="000000"/>
                <w:sz w:val="22"/>
                <w:szCs w:val="22"/>
              </w:rPr>
            </w:pPr>
            <w:r>
              <w:rPr>
                <w:rFonts w:ascii="Calibri" w:hAnsi="Calibri"/>
                <w:color w:val="000000"/>
                <w:sz w:val="22"/>
                <w:szCs w:val="22"/>
              </w:rPr>
              <w:t>546,679</w:t>
            </w:r>
          </w:p>
        </w:tc>
        <w:tc>
          <w:tcPr>
            <w:tcW w:w="1634" w:type="dxa"/>
            <w:tcBorders>
              <w:top w:val="nil"/>
              <w:left w:val="nil"/>
              <w:bottom w:val="single" w:sz="4" w:space="0" w:color="auto"/>
              <w:right w:val="single" w:sz="4" w:space="0" w:color="auto"/>
            </w:tcBorders>
            <w:shd w:val="clear" w:color="auto" w:fill="auto"/>
            <w:noWrap/>
            <w:vAlign w:val="center"/>
            <w:hideMark/>
          </w:tcPr>
          <w:p w:rsidR="00FC6E6D" w:rsidRPr="00E11E7F" w:rsidRDefault="00FC6E6D" w:rsidP="00FC6E6D">
            <w:pPr>
              <w:jc w:val="right"/>
              <w:rPr>
                <w:rFonts w:ascii="Calibri" w:hAnsi="Calibri" w:cs="Calibri"/>
                <w:sz w:val="22"/>
                <w:szCs w:val="22"/>
              </w:rPr>
            </w:pPr>
            <w:r>
              <w:rPr>
                <w:rFonts w:ascii="Calibri" w:hAnsi="Calibri"/>
                <w:sz w:val="22"/>
                <w:szCs w:val="22"/>
              </w:rPr>
              <w:t>0</w:t>
            </w:r>
          </w:p>
        </w:tc>
      </w:tr>
    </w:tbl>
    <w:p w:rsidR="00FC6E6D" w:rsidRPr="00734347" w:rsidRDefault="00FC6E6D" w:rsidP="009E37F3">
      <w:pPr>
        <w:tabs>
          <w:tab w:val="left" w:pos="737"/>
          <w:tab w:val="left" w:pos="993"/>
          <w:tab w:val="left" w:pos="1985"/>
          <w:tab w:val="right" w:pos="9356"/>
        </w:tabs>
        <w:overflowPunct w:val="0"/>
        <w:autoSpaceDE w:val="0"/>
        <w:autoSpaceDN w:val="0"/>
        <w:adjustRightInd w:val="0"/>
        <w:spacing w:before="240" w:after="240"/>
        <w:ind w:right="284"/>
        <w:jc w:val="center"/>
        <w:textAlignment w:val="baseline"/>
        <w:rPr>
          <w:rFonts w:ascii="Calibri" w:hAnsi="Calibri" w:cs="Calibri"/>
          <w:b/>
        </w:rPr>
      </w:pPr>
      <w:r>
        <w:rPr>
          <w:rFonts w:ascii="Calibri" w:hAnsi="Calibri"/>
          <w:b/>
        </w:rPr>
        <w:t xml:space="preserve">Table 3:  Comparison of key values for 2017 and 2016 </w:t>
      </w:r>
    </w:p>
    <w:p w:rsidR="00FC6E6D" w:rsidRPr="0019231E" w:rsidRDefault="00FC6E6D" w:rsidP="00FC6E6D">
      <w:pPr>
        <w:pStyle w:val="Titre2NoEFK"/>
      </w:pPr>
      <w:r>
        <w:t>A justified decline in liquidity</w:t>
      </w:r>
    </w:p>
    <w:p w:rsidR="00FC6E6D" w:rsidRPr="00E55303" w:rsidRDefault="00FC6E6D" w:rsidP="00FC6E6D">
      <w:pPr>
        <w:pStyle w:val="TexteNumroEFK"/>
        <w:ind w:left="502"/>
      </w:pPr>
      <w:r>
        <w:t>UPOV funds held at UBS amount to approximately 2,448 million Swiss francs.  This liquidity was confirmed to us through an attestation of the Bank's business relations.</w:t>
      </w:r>
    </w:p>
    <w:p w:rsidR="00FC6E6D" w:rsidRPr="006C0721" w:rsidRDefault="00FC6E6D" w:rsidP="00FC6E6D">
      <w:pPr>
        <w:pStyle w:val="TexteNumroEFK"/>
        <w:ind w:left="502"/>
      </w:pPr>
      <w:r>
        <w:t>The account held with the Federal Finance Administration (FFA) had to be closed in 2017.  Liquidity was transferred to accounts opened with Credit Suisse in various currencies (Swiss franc, New Zealand dollar, United States dollar and Euro).  The balances of these new accounts are validated on the bank's business relationship certificate and amounted to 1.666 million Swiss francs as at December 31, 2017.</w:t>
      </w:r>
    </w:p>
    <w:p w:rsidR="00FC6E6D" w:rsidRPr="006C0721" w:rsidRDefault="00FC6E6D" w:rsidP="00FC6E6D">
      <w:pPr>
        <w:pStyle w:val="TexteNumroEFK"/>
        <w:ind w:left="502"/>
      </w:pPr>
      <w:r>
        <w:t>Overall, available funds in both banks decreased by 1,160 million Swiss francs in 2017.  This liquidity decline on the assets side of the balance sheet is mainly offset by a reduction in assets due to WIPO recorded in the liaison accounts shown on the liabilities side of the balance sheet (accounts 16612 and 16614 WIPO-UPOV/FITSU).</w:t>
      </w:r>
    </w:p>
    <w:p w:rsidR="00FC6E6D" w:rsidRPr="006C0721" w:rsidRDefault="00FC6E6D" w:rsidP="00FC6E6D">
      <w:pPr>
        <w:pStyle w:val="TexteNumroEFK"/>
        <w:ind w:left="502"/>
      </w:pPr>
      <w:r>
        <w:t>It is worth noting that no cash account earned interest or suffered negative interest during the 2016 financial year.</w:t>
      </w:r>
    </w:p>
    <w:p w:rsidR="00FC6E6D" w:rsidRPr="006C0721" w:rsidRDefault="00FC6E6D" w:rsidP="00FC6E6D">
      <w:pPr>
        <w:pStyle w:val="TexteNumroEFK"/>
        <w:ind w:left="502"/>
      </w:pPr>
      <w:r>
        <w:t>The UPOV working capital fund remained at the same level as last year.  It still stands at 546 679 Swiss francs, since no new membership was recorded in 2017.</w:t>
      </w:r>
    </w:p>
    <w:p w:rsidR="00FC6E6D" w:rsidRPr="006C0721" w:rsidRDefault="00FC6E6D" w:rsidP="00FC6E6D">
      <w:pPr>
        <w:pStyle w:val="TexteNumroEFK"/>
        <w:ind w:left="502"/>
      </w:pPr>
      <w:r>
        <w:t>Random sampling of accounting transactions involving liquid assets showed no errors.  It confirms the regularity of the transactions.</w:t>
      </w:r>
    </w:p>
    <w:p w:rsidR="00075B25" w:rsidRDefault="00075B25">
      <w:pPr>
        <w:jc w:val="left"/>
        <w:rPr>
          <w:rFonts w:asciiTheme="minorHAnsi" w:eastAsiaTheme="minorHAnsi" w:hAnsiTheme="minorHAnsi" w:cstheme="minorBidi"/>
          <w:sz w:val="32"/>
          <w:szCs w:val="32"/>
        </w:rPr>
      </w:pPr>
      <w:r>
        <w:br w:type="page"/>
      </w:r>
    </w:p>
    <w:p w:rsidR="00FC6E6D" w:rsidRPr="0019231E" w:rsidRDefault="00FC6E6D" w:rsidP="00FC6E6D">
      <w:pPr>
        <w:pStyle w:val="Titre2NoEFK"/>
      </w:pPr>
      <w:r>
        <w:lastRenderedPageBreak/>
        <w:t>Assessed contribution arrears controlled</w:t>
      </w:r>
    </w:p>
    <w:p w:rsidR="00FC6E6D" w:rsidRDefault="00FC6E6D" w:rsidP="00FC6E6D">
      <w:pPr>
        <w:pStyle w:val="TexteNumroEFK"/>
        <w:spacing w:after="240"/>
        <w:ind w:left="502"/>
      </w:pPr>
      <w:r>
        <w:t xml:space="preserve">UPOV's receivables open for members decreased by some 37,000 Swiss francs in 2017 to nearly 69,000 Swiss francs as at December 31, 2017.  The details of statutory contributions due are as follows:  </w:t>
      </w:r>
    </w:p>
    <w:tbl>
      <w:tblPr>
        <w:tblW w:w="5332" w:type="dxa"/>
        <w:jc w:val="center"/>
        <w:tblLook w:val="04A0" w:firstRow="1" w:lastRow="0" w:firstColumn="1" w:lastColumn="0" w:noHBand="0" w:noVBand="1"/>
      </w:tblPr>
      <w:tblGrid>
        <w:gridCol w:w="4179"/>
        <w:gridCol w:w="1153"/>
      </w:tblGrid>
      <w:tr w:rsidR="00FC6E6D" w:rsidRPr="009023F8" w:rsidTr="00075B25">
        <w:trPr>
          <w:trHeight w:val="284"/>
          <w:jc w:val="center"/>
        </w:trPr>
        <w:tc>
          <w:tcPr>
            <w:tcW w:w="533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FC6E6D" w:rsidRPr="009023F8" w:rsidRDefault="00FC6E6D" w:rsidP="00FC6E6D">
            <w:pPr>
              <w:jc w:val="center"/>
              <w:rPr>
                <w:rFonts w:ascii="Tahoma" w:hAnsi="Tahoma" w:cs="Tahoma"/>
                <w:b/>
                <w:bCs/>
                <w:sz w:val="18"/>
                <w:szCs w:val="18"/>
              </w:rPr>
            </w:pPr>
            <w:r w:rsidRPr="009023F8">
              <w:rPr>
                <w:rFonts w:ascii="Tahoma" w:hAnsi="Tahoma" w:cs="Tahoma"/>
                <w:b/>
                <w:bCs/>
                <w:sz w:val="18"/>
                <w:szCs w:val="18"/>
              </w:rPr>
              <w:t xml:space="preserve">Amount of </w:t>
            </w:r>
            <w:r>
              <w:rPr>
                <w:rFonts w:ascii="Tahoma" w:hAnsi="Tahoma" w:cs="Tahoma"/>
                <w:b/>
                <w:bCs/>
                <w:sz w:val="18"/>
                <w:szCs w:val="18"/>
              </w:rPr>
              <w:t xml:space="preserve">contribution </w:t>
            </w:r>
            <w:r w:rsidRPr="009023F8">
              <w:rPr>
                <w:rFonts w:ascii="Tahoma" w:hAnsi="Tahoma" w:cs="Tahoma"/>
                <w:b/>
                <w:bCs/>
                <w:sz w:val="18"/>
                <w:szCs w:val="18"/>
              </w:rPr>
              <w:t xml:space="preserve">arrears </w:t>
            </w:r>
            <w:r>
              <w:rPr>
                <w:rFonts w:ascii="Tahoma" w:hAnsi="Tahoma" w:cs="Tahoma"/>
                <w:b/>
                <w:bCs/>
                <w:sz w:val="18"/>
                <w:szCs w:val="18"/>
              </w:rPr>
              <w:t xml:space="preserve">in </w:t>
            </w:r>
            <w:r w:rsidRPr="009023F8">
              <w:rPr>
                <w:rFonts w:ascii="Tahoma" w:hAnsi="Tahoma" w:cs="Tahoma"/>
                <w:b/>
                <w:bCs/>
                <w:sz w:val="18"/>
                <w:szCs w:val="18"/>
              </w:rPr>
              <w:t>2016</w:t>
            </w:r>
          </w:p>
        </w:tc>
      </w:tr>
      <w:tr w:rsidR="00FC6E6D" w:rsidRPr="009023F8" w:rsidTr="00013C36">
        <w:trPr>
          <w:trHeight w:val="284"/>
          <w:jc w:val="center"/>
        </w:trPr>
        <w:tc>
          <w:tcPr>
            <w:tcW w:w="4179" w:type="dxa"/>
            <w:tcBorders>
              <w:top w:val="nil"/>
              <w:left w:val="single" w:sz="4" w:space="0" w:color="auto"/>
              <w:bottom w:val="single" w:sz="4" w:space="0" w:color="auto"/>
              <w:right w:val="single" w:sz="4" w:space="0" w:color="auto"/>
            </w:tcBorders>
            <w:shd w:val="clear" w:color="000000" w:fill="D9D9D9"/>
            <w:vAlign w:val="center"/>
            <w:hideMark/>
          </w:tcPr>
          <w:p w:rsidR="00FC6E6D" w:rsidRPr="009023F8" w:rsidRDefault="00FC6E6D" w:rsidP="00FC6E6D">
            <w:pPr>
              <w:rPr>
                <w:rFonts w:ascii="Tahoma" w:hAnsi="Tahoma" w:cs="Tahoma"/>
                <w:b/>
                <w:bCs/>
                <w:sz w:val="18"/>
                <w:szCs w:val="18"/>
              </w:rPr>
            </w:pPr>
            <w:r w:rsidRPr="009023F8">
              <w:rPr>
                <w:rFonts w:ascii="Tahoma" w:hAnsi="Tahoma" w:cs="Tahoma"/>
                <w:b/>
                <w:bCs/>
                <w:sz w:val="18"/>
                <w:szCs w:val="18"/>
              </w:rPr>
              <w:t>Member</w:t>
            </w:r>
          </w:p>
        </w:tc>
        <w:tc>
          <w:tcPr>
            <w:tcW w:w="1153" w:type="dxa"/>
            <w:tcBorders>
              <w:top w:val="nil"/>
              <w:left w:val="nil"/>
              <w:bottom w:val="single" w:sz="4" w:space="0" w:color="auto"/>
              <w:right w:val="single" w:sz="4" w:space="0" w:color="auto"/>
            </w:tcBorders>
            <w:shd w:val="clear" w:color="000000" w:fill="D9D9D9"/>
            <w:vAlign w:val="center"/>
            <w:hideMark/>
          </w:tcPr>
          <w:p w:rsidR="00FC6E6D" w:rsidRPr="009023F8" w:rsidRDefault="00FC6E6D" w:rsidP="00FC6E6D">
            <w:pPr>
              <w:jc w:val="center"/>
              <w:rPr>
                <w:rFonts w:ascii="Tahoma" w:hAnsi="Tahoma" w:cs="Tahoma"/>
                <w:b/>
                <w:bCs/>
                <w:sz w:val="18"/>
                <w:szCs w:val="18"/>
              </w:rPr>
            </w:pPr>
            <w:r w:rsidRPr="009023F8">
              <w:rPr>
                <w:rFonts w:ascii="Tahoma" w:hAnsi="Tahoma" w:cs="Tahoma"/>
                <w:b/>
                <w:bCs/>
                <w:sz w:val="18"/>
                <w:szCs w:val="18"/>
              </w:rPr>
              <w:t xml:space="preserve"> CHF</w:t>
            </w:r>
          </w:p>
        </w:tc>
      </w:tr>
      <w:tr w:rsidR="00FC6E6D" w:rsidRPr="009023F8" w:rsidTr="00013C36">
        <w:trPr>
          <w:trHeight w:val="284"/>
          <w:jc w:val="center"/>
        </w:trPr>
        <w:tc>
          <w:tcPr>
            <w:tcW w:w="4179" w:type="dxa"/>
            <w:tcBorders>
              <w:top w:val="nil"/>
              <w:left w:val="single" w:sz="4" w:space="0" w:color="auto"/>
              <w:bottom w:val="single" w:sz="4" w:space="0" w:color="auto"/>
              <w:right w:val="single" w:sz="4" w:space="0" w:color="auto"/>
            </w:tcBorders>
            <w:shd w:val="clear" w:color="auto" w:fill="auto"/>
            <w:vAlign w:val="center"/>
            <w:hideMark/>
          </w:tcPr>
          <w:p w:rsidR="00FC6E6D" w:rsidRPr="009023F8" w:rsidRDefault="00FC6E6D" w:rsidP="00FC6E6D">
            <w:pPr>
              <w:rPr>
                <w:rFonts w:ascii="Tahoma" w:hAnsi="Tahoma" w:cs="Tahoma"/>
                <w:sz w:val="18"/>
                <w:szCs w:val="18"/>
              </w:rPr>
            </w:pPr>
            <w:r w:rsidRPr="009023F8">
              <w:rPr>
                <w:rFonts w:ascii="Tahoma" w:hAnsi="Tahoma" w:cs="Tahoma"/>
                <w:sz w:val="18"/>
                <w:szCs w:val="18"/>
              </w:rPr>
              <w:t>Bolivia (Plurinational State of)</w:t>
            </w:r>
          </w:p>
        </w:tc>
        <w:tc>
          <w:tcPr>
            <w:tcW w:w="1153" w:type="dxa"/>
            <w:tcBorders>
              <w:top w:val="nil"/>
              <w:left w:val="nil"/>
              <w:bottom w:val="single" w:sz="4" w:space="0" w:color="auto"/>
              <w:right w:val="single" w:sz="4" w:space="0" w:color="auto"/>
            </w:tcBorders>
            <w:shd w:val="clear" w:color="auto" w:fill="auto"/>
            <w:vAlign w:val="center"/>
            <w:hideMark/>
          </w:tcPr>
          <w:p w:rsidR="00FC6E6D" w:rsidRPr="009023F8" w:rsidRDefault="00FC6E6D" w:rsidP="00FC6E6D">
            <w:pPr>
              <w:jc w:val="right"/>
              <w:rPr>
                <w:rFonts w:ascii="Tahoma" w:hAnsi="Tahoma" w:cs="Tahoma"/>
                <w:sz w:val="18"/>
                <w:szCs w:val="18"/>
              </w:rPr>
            </w:pPr>
            <w:r w:rsidRPr="009023F8">
              <w:rPr>
                <w:rFonts w:ascii="Tahoma" w:hAnsi="Tahoma" w:cs="Tahoma"/>
                <w:sz w:val="18"/>
                <w:szCs w:val="18"/>
              </w:rPr>
              <w:t>10,728</w:t>
            </w:r>
          </w:p>
        </w:tc>
      </w:tr>
      <w:tr w:rsidR="00FC6E6D" w:rsidRPr="009023F8" w:rsidTr="00013C36">
        <w:trPr>
          <w:trHeight w:val="284"/>
          <w:jc w:val="center"/>
        </w:trPr>
        <w:tc>
          <w:tcPr>
            <w:tcW w:w="4179" w:type="dxa"/>
            <w:tcBorders>
              <w:top w:val="nil"/>
              <w:left w:val="single" w:sz="4" w:space="0" w:color="auto"/>
              <w:bottom w:val="single" w:sz="4" w:space="0" w:color="auto"/>
              <w:right w:val="single" w:sz="4" w:space="0" w:color="auto"/>
            </w:tcBorders>
            <w:shd w:val="clear" w:color="auto" w:fill="auto"/>
            <w:vAlign w:val="center"/>
            <w:hideMark/>
          </w:tcPr>
          <w:p w:rsidR="00FC6E6D" w:rsidRPr="009023F8" w:rsidRDefault="00FC6E6D" w:rsidP="00FC6E6D">
            <w:pPr>
              <w:rPr>
                <w:rFonts w:ascii="Tahoma" w:hAnsi="Tahoma" w:cs="Tahoma"/>
                <w:sz w:val="18"/>
                <w:szCs w:val="18"/>
              </w:rPr>
            </w:pPr>
            <w:r w:rsidRPr="009023F8">
              <w:rPr>
                <w:rFonts w:ascii="Tahoma" w:hAnsi="Tahoma" w:cs="Tahoma"/>
                <w:sz w:val="18"/>
                <w:szCs w:val="18"/>
              </w:rPr>
              <w:t>Brazil</w:t>
            </w:r>
          </w:p>
        </w:tc>
        <w:tc>
          <w:tcPr>
            <w:tcW w:w="1153" w:type="dxa"/>
            <w:tcBorders>
              <w:top w:val="nil"/>
              <w:left w:val="nil"/>
              <w:bottom w:val="single" w:sz="4" w:space="0" w:color="auto"/>
              <w:right w:val="single" w:sz="4" w:space="0" w:color="auto"/>
            </w:tcBorders>
            <w:shd w:val="clear" w:color="auto" w:fill="auto"/>
            <w:vAlign w:val="center"/>
            <w:hideMark/>
          </w:tcPr>
          <w:p w:rsidR="00FC6E6D" w:rsidRPr="009023F8" w:rsidRDefault="00FC6E6D" w:rsidP="00FC6E6D">
            <w:pPr>
              <w:jc w:val="right"/>
              <w:rPr>
                <w:rFonts w:ascii="Tahoma" w:hAnsi="Tahoma" w:cs="Tahoma"/>
                <w:sz w:val="18"/>
                <w:szCs w:val="18"/>
              </w:rPr>
            </w:pPr>
            <w:r w:rsidRPr="009023F8">
              <w:rPr>
                <w:rFonts w:ascii="Tahoma" w:hAnsi="Tahoma" w:cs="Tahoma"/>
                <w:sz w:val="18"/>
                <w:szCs w:val="18"/>
              </w:rPr>
              <w:t>13,410</w:t>
            </w:r>
          </w:p>
        </w:tc>
      </w:tr>
      <w:tr w:rsidR="00013C36" w:rsidRPr="009023F8" w:rsidTr="00013C36">
        <w:trPr>
          <w:trHeight w:val="284"/>
          <w:jc w:val="center"/>
        </w:trPr>
        <w:tc>
          <w:tcPr>
            <w:tcW w:w="4179" w:type="dxa"/>
            <w:tcBorders>
              <w:top w:val="nil"/>
              <w:left w:val="single" w:sz="4" w:space="0" w:color="auto"/>
              <w:bottom w:val="single" w:sz="4" w:space="0" w:color="auto"/>
              <w:right w:val="single" w:sz="4" w:space="0" w:color="auto"/>
            </w:tcBorders>
            <w:shd w:val="clear" w:color="auto" w:fill="auto"/>
            <w:vAlign w:val="center"/>
          </w:tcPr>
          <w:p w:rsidR="00013C36" w:rsidRPr="009023F8" w:rsidRDefault="00013C36" w:rsidP="00BC79C5">
            <w:pPr>
              <w:jc w:val="left"/>
              <w:rPr>
                <w:rFonts w:ascii="Tahoma" w:hAnsi="Tahoma" w:cs="Tahoma"/>
                <w:sz w:val="18"/>
                <w:szCs w:val="18"/>
              </w:rPr>
            </w:pPr>
            <w:r>
              <w:rPr>
                <w:rFonts w:ascii="Tahoma" w:hAnsi="Tahoma" w:cs="Tahoma"/>
                <w:sz w:val="18"/>
                <w:szCs w:val="18"/>
              </w:rPr>
              <w:t>OAPI (African Intellectual Property Organization)</w:t>
            </w:r>
          </w:p>
        </w:tc>
        <w:tc>
          <w:tcPr>
            <w:tcW w:w="1153" w:type="dxa"/>
            <w:tcBorders>
              <w:top w:val="nil"/>
              <w:left w:val="nil"/>
              <w:bottom w:val="single" w:sz="4" w:space="0" w:color="auto"/>
              <w:right w:val="single" w:sz="4" w:space="0" w:color="auto"/>
            </w:tcBorders>
            <w:shd w:val="clear" w:color="auto" w:fill="auto"/>
            <w:vAlign w:val="center"/>
          </w:tcPr>
          <w:p w:rsidR="00013C36" w:rsidRPr="009023F8" w:rsidRDefault="00013C36" w:rsidP="00BC79C5">
            <w:pPr>
              <w:jc w:val="right"/>
              <w:rPr>
                <w:rFonts w:ascii="Tahoma" w:hAnsi="Tahoma" w:cs="Tahoma"/>
                <w:sz w:val="18"/>
                <w:szCs w:val="18"/>
              </w:rPr>
            </w:pPr>
            <w:r>
              <w:rPr>
                <w:rFonts w:ascii="Tahoma" w:hAnsi="Tahoma" w:cs="Tahoma"/>
                <w:sz w:val="18"/>
                <w:szCs w:val="18"/>
              </w:rPr>
              <w:t>185</w:t>
            </w:r>
          </w:p>
        </w:tc>
      </w:tr>
      <w:tr w:rsidR="00FC6E6D" w:rsidRPr="009023F8" w:rsidTr="00013C36">
        <w:trPr>
          <w:trHeight w:val="284"/>
          <w:jc w:val="center"/>
        </w:trPr>
        <w:tc>
          <w:tcPr>
            <w:tcW w:w="4179" w:type="dxa"/>
            <w:tcBorders>
              <w:top w:val="nil"/>
              <w:left w:val="single" w:sz="4" w:space="0" w:color="auto"/>
              <w:bottom w:val="single" w:sz="4" w:space="0" w:color="auto"/>
              <w:right w:val="single" w:sz="4" w:space="0" w:color="auto"/>
            </w:tcBorders>
            <w:shd w:val="clear" w:color="auto" w:fill="auto"/>
            <w:vAlign w:val="center"/>
          </w:tcPr>
          <w:p w:rsidR="00FC6E6D" w:rsidRPr="009023F8" w:rsidRDefault="00FC6E6D" w:rsidP="00FC6E6D">
            <w:pPr>
              <w:rPr>
                <w:rFonts w:ascii="Tahoma" w:hAnsi="Tahoma" w:cs="Tahoma"/>
                <w:sz w:val="18"/>
                <w:szCs w:val="18"/>
              </w:rPr>
            </w:pPr>
            <w:r>
              <w:rPr>
                <w:rFonts w:ascii="Tahoma" w:hAnsi="Tahoma" w:cs="Tahoma"/>
                <w:sz w:val="18"/>
                <w:szCs w:val="18"/>
              </w:rPr>
              <w:t>Oman</w:t>
            </w:r>
          </w:p>
        </w:tc>
        <w:tc>
          <w:tcPr>
            <w:tcW w:w="1153" w:type="dxa"/>
            <w:tcBorders>
              <w:top w:val="nil"/>
              <w:left w:val="nil"/>
              <w:bottom w:val="single" w:sz="4" w:space="0" w:color="auto"/>
              <w:right w:val="single" w:sz="4" w:space="0" w:color="auto"/>
            </w:tcBorders>
            <w:shd w:val="clear" w:color="auto" w:fill="auto"/>
            <w:vAlign w:val="center"/>
          </w:tcPr>
          <w:p w:rsidR="00FC6E6D" w:rsidRPr="009023F8" w:rsidRDefault="00FC6E6D" w:rsidP="00FC6E6D">
            <w:pPr>
              <w:jc w:val="right"/>
              <w:rPr>
                <w:rFonts w:ascii="Tahoma" w:hAnsi="Tahoma" w:cs="Tahoma"/>
                <w:sz w:val="18"/>
                <w:szCs w:val="18"/>
              </w:rPr>
            </w:pPr>
            <w:r>
              <w:rPr>
                <w:rFonts w:ascii="Tahoma" w:hAnsi="Tahoma" w:cs="Tahoma"/>
                <w:sz w:val="18"/>
                <w:szCs w:val="18"/>
              </w:rPr>
              <w:t>180</w:t>
            </w:r>
          </w:p>
        </w:tc>
      </w:tr>
      <w:tr w:rsidR="00FC6E6D" w:rsidRPr="009023F8" w:rsidTr="00013C36">
        <w:trPr>
          <w:trHeight w:val="284"/>
          <w:jc w:val="center"/>
        </w:trPr>
        <w:tc>
          <w:tcPr>
            <w:tcW w:w="4179" w:type="dxa"/>
            <w:tcBorders>
              <w:top w:val="nil"/>
              <w:left w:val="single" w:sz="4" w:space="0" w:color="auto"/>
              <w:bottom w:val="single" w:sz="4" w:space="0" w:color="auto"/>
              <w:right w:val="single" w:sz="4" w:space="0" w:color="auto"/>
            </w:tcBorders>
            <w:shd w:val="clear" w:color="auto" w:fill="auto"/>
            <w:vAlign w:val="center"/>
            <w:hideMark/>
          </w:tcPr>
          <w:p w:rsidR="00FC6E6D" w:rsidRPr="009023F8" w:rsidRDefault="00FC6E6D" w:rsidP="00FC6E6D">
            <w:pPr>
              <w:rPr>
                <w:rFonts w:ascii="Tahoma" w:hAnsi="Tahoma" w:cs="Tahoma"/>
                <w:sz w:val="18"/>
                <w:szCs w:val="18"/>
              </w:rPr>
            </w:pPr>
            <w:r>
              <w:rPr>
                <w:rFonts w:ascii="Tahoma" w:hAnsi="Tahoma" w:cs="Tahoma"/>
                <w:sz w:val="18"/>
                <w:szCs w:val="18"/>
              </w:rPr>
              <w:t>Panama</w:t>
            </w:r>
          </w:p>
        </w:tc>
        <w:tc>
          <w:tcPr>
            <w:tcW w:w="1153" w:type="dxa"/>
            <w:tcBorders>
              <w:top w:val="nil"/>
              <w:left w:val="nil"/>
              <w:bottom w:val="single" w:sz="4" w:space="0" w:color="auto"/>
              <w:right w:val="single" w:sz="4" w:space="0" w:color="auto"/>
            </w:tcBorders>
            <w:shd w:val="clear" w:color="auto" w:fill="auto"/>
            <w:vAlign w:val="center"/>
            <w:hideMark/>
          </w:tcPr>
          <w:p w:rsidR="00FC6E6D" w:rsidRPr="009023F8" w:rsidRDefault="00FC6E6D" w:rsidP="00FC6E6D">
            <w:pPr>
              <w:jc w:val="right"/>
              <w:rPr>
                <w:rFonts w:ascii="Tahoma" w:hAnsi="Tahoma" w:cs="Tahoma"/>
                <w:sz w:val="18"/>
                <w:szCs w:val="18"/>
              </w:rPr>
            </w:pPr>
            <w:r w:rsidRPr="009023F8">
              <w:rPr>
                <w:rFonts w:ascii="Tahoma" w:hAnsi="Tahoma" w:cs="Tahoma"/>
                <w:sz w:val="18"/>
                <w:szCs w:val="18"/>
              </w:rPr>
              <w:t>1,</w:t>
            </w:r>
            <w:r>
              <w:rPr>
                <w:rFonts w:ascii="Tahoma" w:hAnsi="Tahoma" w:cs="Tahoma"/>
                <w:sz w:val="18"/>
                <w:szCs w:val="18"/>
              </w:rPr>
              <w:t>451</w:t>
            </w:r>
          </w:p>
        </w:tc>
      </w:tr>
      <w:tr w:rsidR="00FC6E6D" w:rsidRPr="009023F8" w:rsidTr="00013C36">
        <w:trPr>
          <w:trHeight w:val="284"/>
          <w:jc w:val="center"/>
        </w:trPr>
        <w:tc>
          <w:tcPr>
            <w:tcW w:w="4179" w:type="dxa"/>
            <w:tcBorders>
              <w:top w:val="nil"/>
              <w:left w:val="single" w:sz="4" w:space="0" w:color="auto"/>
              <w:bottom w:val="single" w:sz="4" w:space="0" w:color="auto"/>
              <w:right w:val="single" w:sz="4" w:space="0" w:color="auto"/>
            </w:tcBorders>
            <w:shd w:val="clear" w:color="auto" w:fill="auto"/>
            <w:vAlign w:val="center"/>
            <w:hideMark/>
          </w:tcPr>
          <w:p w:rsidR="00FC6E6D" w:rsidRPr="009023F8" w:rsidRDefault="00FC6E6D" w:rsidP="00FC6E6D">
            <w:pPr>
              <w:rPr>
                <w:rFonts w:ascii="Tahoma" w:hAnsi="Tahoma" w:cs="Tahoma"/>
                <w:sz w:val="18"/>
                <w:szCs w:val="18"/>
              </w:rPr>
            </w:pPr>
            <w:r w:rsidRPr="009023F8">
              <w:rPr>
                <w:rFonts w:ascii="Tahoma" w:hAnsi="Tahoma" w:cs="Tahoma"/>
                <w:sz w:val="18"/>
                <w:szCs w:val="18"/>
              </w:rPr>
              <w:t>Ukraine</w:t>
            </w:r>
          </w:p>
        </w:tc>
        <w:tc>
          <w:tcPr>
            <w:tcW w:w="1153" w:type="dxa"/>
            <w:tcBorders>
              <w:top w:val="nil"/>
              <w:left w:val="nil"/>
              <w:bottom w:val="single" w:sz="4" w:space="0" w:color="auto"/>
              <w:right w:val="single" w:sz="4" w:space="0" w:color="auto"/>
            </w:tcBorders>
            <w:shd w:val="clear" w:color="auto" w:fill="auto"/>
            <w:vAlign w:val="center"/>
            <w:hideMark/>
          </w:tcPr>
          <w:p w:rsidR="00FC6E6D" w:rsidRPr="009023F8" w:rsidRDefault="00FC6E6D" w:rsidP="00FC6E6D">
            <w:pPr>
              <w:jc w:val="right"/>
              <w:rPr>
                <w:rFonts w:ascii="Tahoma" w:hAnsi="Tahoma" w:cs="Tahoma"/>
                <w:sz w:val="18"/>
                <w:szCs w:val="18"/>
              </w:rPr>
            </w:pPr>
            <w:r>
              <w:rPr>
                <w:rFonts w:ascii="Tahoma" w:hAnsi="Tahoma" w:cs="Tahoma"/>
                <w:sz w:val="18"/>
                <w:szCs w:val="18"/>
              </w:rPr>
              <w:t>42,912</w:t>
            </w:r>
          </w:p>
        </w:tc>
      </w:tr>
      <w:tr w:rsidR="00FC6E6D" w:rsidRPr="009023F8" w:rsidTr="00013C36">
        <w:trPr>
          <w:trHeight w:val="284"/>
          <w:jc w:val="center"/>
        </w:trPr>
        <w:tc>
          <w:tcPr>
            <w:tcW w:w="4179" w:type="dxa"/>
            <w:tcBorders>
              <w:top w:val="nil"/>
              <w:left w:val="single" w:sz="4" w:space="0" w:color="auto"/>
              <w:bottom w:val="single" w:sz="4" w:space="0" w:color="auto"/>
              <w:right w:val="single" w:sz="4" w:space="0" w:color="auto"/>
            </w:tcBorders>
            <w:shd w:val="clear" w:color="000000" w:fill="FFC000"/>
            <w:vAlign w:val="center"/>
            <w:hideMark/>
          </w:tcPr>
          <w:p w:rsidR="00FC6E6D" w:rsidRPr="009023F8" w:rsidRDefault="00FC6E6D" w:rsidP="00FC6E6D">
            <w:pPr>
              <w:rPr>
                <w:rFonts w:ascii="Tahoma" w:hAnsi="Tahoma" w:cs="Tahoma"/>
                <w:b/>
                <w:bCs/>
                <w:sz w:val="18"/>
                <w:szCs w:val="18"/>
              </w:rPr>
            </w:pPr>
            <w:r w:rsidRPr="009023F8">
              <w:rPr>
                <w:rFonts w:ascii="Tahoma" w:hAnsi="Tahoma" w:cs="Tahoma"/>
                <w:b/>
                <w:bCs/>
                <w:sz w:val="18"/>
                <w:szCs w:val="18"/>
              </w:rPr>
              <w:t>Total</w:t>
            </w:r>
          </w:p>
        </w:tc>
        <w:tc>
          <w:tcPr>
            <w:tcW w:w="1153" w:type="dxa"/>
            <w:tcBorders>
              <w:top w:val="nil"/>
              <w:left w:val="nil"/>
              <w:bottom w:val="single" w:sz="4" w:space="0" w:color="auto"/>
              <w:right w:val="single" w:sz="4" w:space="0" w:color="auto"/>
            </w:tcBorders>
            <w:shd w:val="clear" w:color="000000" w:fill="FFC000"/>
            <w:vAlign w:val="center"/>
            <w:hideMark/>
          </w:tcPr>
          <w:p w:rsidR="00FC6E6D" w:rsidRPr="009023F8" w:rsidRDefault="00FC6E6D" w:rsidP="00FC6E6D">
            <w:pPr>
              <w:jc w:val="right"/>
              <w:rPr>
                <w:rFonts w:ascii="Tahoma" w:hAnsi="Tahoma" w:cs="Tahoma"/>
                <w:b/>
                <w:bCs/>
                <w:sz w:val="18"/>
                <w:szCs w:val="18"/>
              </w:rPr>
            </w:pPr>
            <w:r>
              <w:rPr>
                <w:rFonts w:ascii="Tahoma" w:hAnsi="Tahoma" w:cs="Tahoma"/>
                <w:b/>
                <w:bCs/>
                <w:sz w:val="18"/>
                <w:szCs w:val="18"/>
              </w:rPr>
              <w:t>68</w:t>
            </w:r>
            <w:r w:rsidRPr="009023F8">
              <w:rPr>
                <w:rFonts w:ascii="Tahoma" w:hAnsi="Tahoma" w:cs="Tahoma"/>
                <w:b/>
                <w:bCs/>
                <w:sz w:val="18"/>
                <w:szCs w:val="18"/>
              </w:rPr>
              <w:t>,</w:t>
            </w:r>
            <w:r>
              <w:rPr>
                <w:rFonts w:ascii="Tahoma" w:hAnsi="Tahoma" w:cs="Tahoma"/>
                <w:b/>
                <w:bCs/>
                <w:sz w:val="18"/>
                <w:szCs w:val="18"/>
              </w:rPr>
              <w:t>86</w:t>
            </w:r>
            <w:r w:rsidRPr="009023F8">
              <w:rPr>
                <w:rFonts w:ascii="Tahoma" w:hAnsi="Tahoma" w:cs="Tahoma"/>
                <w:b/>
                <w:bCs/>
                <w:sz w:val="18"/>
                <w:szCs w:val="18"/>
              </w:rPr>
              <w:t>6</w:t>
            </w:r>
          </w:p>
        </w:tc>
      </w:tr>
    </w:tbl>
    <w:p w:rsidR="00FC6E6D" w:rsidRPr="00734347" w:rsidRDefault="00FC6E6D" w:rsidP="00A22F48">
      <w:pPr>
        <w:pStyle w:val="TexteNumroEFK"/>
        <w:numPr>
          <w:ilvl w:val="0"/>
          <w:numId w:val="0"/>
        </w:numPr>
        <w:spacing w:before="240" w:after="240"/>
        <w:jc w:val="center"/>
        <w:rPr>
          <w:b/>
          <w:sz w:val="20"/>
          <w:szCs w:val="20"/>
        </w:rPr>
      </w:pPr>
      <w:r>
        <w:rPr>
          <w:b/>
          <w:sz w:val="20"/>
          <w:szCs w:val="20"/>
        </w:rPr>
        <w:t>Table 4:  Details of statutory contributions in abeyance at the end of 2017</w:t>
      </w:r>
    </w:p>
    <w:p w:rsidR="00FC6E6D" w:rsidRPr="00C57572" w:rsidRDefault="00FC6E6D" w:rsidP="00FC6E6D">
      <w:pPr>
        <w:pStyle w:val="TexteNumroEFK"/>
        <w:ind w:left="502"/>
      </w:pPr>
      <w:r>
        <w:t>Assessed contributions for the 2017 financial year stand at 3,365,962 Swiss francs and are identical to those of 2016.  The audit confirmed that the income was accurate and complete.</w:t>
      </w:r>
    </w:p>
    <w:p w:rsidR="00FC6E6D" w:rsidRDefault="00FC6E6D" w:rsidP="00FC6E6D">
      <w:pPr>
        <w:pStyle w:val="TexteNumroEFK"/>
        <w:spacing w:after="240"/>
        <w:ind w:left="502"/>
      </w:pPr>
      <w:r>
        <w:t>Some Member States have paid their contribution in advance.  Their payments are in excess of 260,000 Swiss francs.  The following countries have paid in advance.</w:t>
      </w:r>
    </w:p>
    <w:tbl>
      <w:tblPr>
        <w:tblW w:w="4028" w:type="dxa"/>
        <w:jc w:val="center"/>
        <w:tblLook w:val="04A0" w:firstRow="1" w:lastRow="0" w:firstColumn="1" w:lastColumn="0" w:noHBand="0" w:noVBand="1"/>
      </w:tblPr>
      <w:tblGrid>
        <w:gridCol w:w="2994"/>
        <w:gridCol w:w="1024"/>
        <w:gridCol w:w="10"/>
      </w:tblGrid>
      <w:tr w:rsidR="00FC6E6D" w:rsidRPr="009023F8" w:rsidTr="00075B25">
        <w:trPr>
          <w:trHeight w:val="264"/>
          <w:jc w:val="center"/>
        </w:trPr>
        <w:tc>
          <w:tcPr>
            <w:tcW w:w="4028"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FC6E6D" w:rsidRPr="009023F8" w:rsidRDefault="00FC6E6D" w:rsidP="00FC6E6D">
            <w:pPr>
              <w:jc w:val="center"/>
              <w:rPr>
                <w:rFonts w:ascii="Tahoma" w:hAnsi="Tahoma" w:cs="Tahoma"/>
                <w:b/>
                <w:bCs/>
                <w:sz w:val="18"/>
                <w:szCs w:val="18"/>
              </w:rPr>
            </w:pPr>
            <w:r w:rsidRPr="009023F8">
              <w:rPr>
                <w:rFonts w:ascii="Tahoma" w:hAnsi="Tahoma" w:cs="Tahoma"/>
                <w:b/>
                <w:bCs/>
                <w:sz w:val="18"/>
                <w:szCs w:val="18"/>
              </w:rPr>
              <w:t>Advance payment</w:t>
            </w:r>
            <w:r>
              <w:rPr>
                <w:rFonts w:ascii="Tahoma" w:hAnsi="Tahoma" w:cs="Tahoma"/>
                <w:b/>
                <w:bCs/>
                <w:sz w:val="18"/>
                <w:szCs w:val="18"/>
              </w:rPr>
              <w:t>s</w:t>
            </w:r>
            <w:r w:rsidRPr="009023F8">
              <w:rPr>
                <w:rFonts w:ascii="Tahoma" w:hAnsi="Tahoma" w:cs="Tahoma"/>
                <w:b/>
                <w:bCs/>
                <w:sz w:val="18"/>
                <w:szCs w:val="18"/>
              </w:rPr>
              <w:t xml:space="preserve"> as a</w:t>
            </w:r>
            <w:r>
              <w:rPr>
                <w:rFonts w:ascii="Tahoma" w:hAnsi="Tahoma" w:cs="Tahoma"/>
                <w:b/>
                <w:bCs/>
                <w:sz w:val="18"/>
                <w:szCs w:val="18"/>
              </w:rPr>
              <w:t>t</w:t>
            </w:r>
            <w:r w:rsidRPr="009023F8">
              <w:rPr>
                <w:rFonts w:ascii="Tahoma" w:hAnsi="Tahoma" w:cs="Tahoma"/>
                <w:b/>
                <w:bCs/>
                <w:sz w:val="18"/>
                <w:szCs w:val="18"/>
              </w:rPr>
              <w:t xml:space="preserve"> </w:t>
            </w:r>
            <w:r>
              <w:rPr>
                <w:rFonts w:ascii="Tahoma" w:hAnsi="Tahoma" w:cs="Tahoma"/>
                <w:b/>
                <w:bCs/>
                <w:sz w:val="18"/>
                <w:szCs w:val="18"/>
              </w:rPr>
              <w:t xml:space="preserve">Dec. </w:t>
            </w:r>
            <w:r w:rsidRPr="009023F8">
              <w:rPr>
                <w:rFonts w:ascii="Tahoma" w:hAnsi="Tahoma" w:cs="Tahoma"/>
                <w:b/>
                <w:bCs/>
                <w:sz w:val="18"/>
                <w:szCs w:val="18"/>
              </w:rPr>
              <w:t>31</w:t>
            </w:r>
            <w:r>
              <w:rPr>
                <w:rFonts w:ascii="Tahoma" w:hAnsi="Tahoma" w:cs="Tahoma"/>
                <w:b/>
                <w:bCs/>
                <w:sz w:val="18"/>
                <w:szCs w:val="18"/>
              </w:rPr>
              <w:t xml:space="preserve">, </w:t>
            </w:r>
            <w:r w:rsidRPr="009023F8">
              <w:rPr>
                <w:rFonts w:ascii="Tahoma" w:hAnsi="Tahoma" w:cs="Tahoma"/>
                <w:b/>
                <w:bCs/>
                <w:sz w:val="18"/>
                <w:szCs w:val="18"/>
              </w:rPr>
              <w:t>2016</w:t>
            </w:r>
          </w:p>
        </w:tc>
      </w:tr>
      <w:tr w:rsidR="00FC6E6D" w:rsidRPr="009023F8" w:rsidTr="00075B25">
        <w:trPr>
          <w:gridAfter w:val="1"/>
          <w:wAfter w:w="10" w:type="dxa"/>
          <w:trHeight w:val="264"/>
          <w:jc w:val="center"/>
        </w:trPr>
        <w:tc>
          <w:tcPr>
            <w:tcW w:w="2994" w:type="dxa"/>
            <w:tcBorders>
              <w:top w:val="nil"/>
              <w:left w:val="single" w:sz="4" w:space="0" w:color="auto"/>
              <w:bottom w:val="single" w:sz="4" w:space="0" w:color="auto"/>
              <w:right w:val="single" w:sz="4" w:space="0" w:color="auto"/>
            </w:tcBorders>
            <w:shd w:val="clear" w:color="000000" w:fill="FFFFFF"/>
            <w:noWrap/>
            <w:vAlign w:val="bottom"/>
            <w:hideMark/>
          </w:tcPr>
          <w:p w:rsidR="00FC6E6D" w:rsidRPr="009023F8" w:rsidRDefault="00FC6E6D" w:rsidP="00FC6E6D">
            <w:pPr>
              <w:rPr>
                <w:rFonts w:ascii="Tahoma" w:hAnsi="Tahoma" w:cs="Tahoma"/>
                <w:sz w:val="18"/>
                <w:szCs w:val="18"/>
              </w:rPr>
            </w:pPr>
            <w:r w:rsidRPr="009023F8">
              <w:rPr>
                <w:rFonts w:ascii="Tahoma" w:hAnsi="Tahoma" w:cs="Tahoma"/>
                <w:sz w:val="18"/>
                <w:szCs w:val="18"/>
              </w:rPr>
              <w:t>Colombia</w:t>
            </w:r>
          </w:p>
        </w:tc>
        <w:tc>
          <w:tcPr>
            <w:tcW w:w="1024" w:type="dxa"/>
            <w:tcBorders>
              <w:top w:val="nil"/>
              <w:left w:val="nil"/>
              <w:bottom w:val="single" w:sz="4" w:space="0" w:color="auto"/>
              <w:right w:val="single" w:sz="4" w:space="0" w:color="auto"/>
            </w:tcBorders>
            <w:shd w:val="clear" w:color="auto" w:fill="auto"/>
            <w:noWrap/>
            <w:vAlign w:val="bottom"/>
            <w:hideMark/>
          </w:tcPr>
          <w:p w:rsidR="00FC6E6D" w:rsidRPr="009023F8" w:rsidRDefault="00FC6E6D" w:rsidP="00FC6E6D">
            <w:pPr>
              <w:jc w:val="right"/>
              <w:rPr>
                <w:rFonts w:ascii="Tahoma" w:hAnsi="Tahoma" w:cs="Tahoma"/>
                <w:sz w:val="18"/>
                <w:szCs w:val="18"/>
              </w:rPr>
            </w:pPr>
            <w:r w:rsidRPr="009023F8">
              <w:rPr>
                <w:rFonts w:ascii="Tahoma" w:hAnsi="Tahoma" w:cs="Tahoma"/>
                <w:sz w:val="18"/>
                <w:szCs w:val="18"/>
              </w:rPr>
              <w:t>10,728</w:t>
            </w:r>
          </w:p>
        </w:tc>
      </w:tr>
      <w:tr w:rsidR="00075B25" w:rsidRPr="009023F8" w:rsidTr="00075B25">
        <w:trPr>
          <w:gridAfter w:val="1"/>
          <w:wAfter w:w="10" w:type="dxa"/>
          <w:trHeight w:val="264"/>
          <w:jc w:val="center"/>
        </w:trPr>
        <w:tc>
          <w:tcPr>
            <w:tcW w:w="2994" w:type="dxa"/>
            <w:tcBorders>
              <w:top w:val="nil"/>
              <w:left w:val="single" w:sz="4" w:space="0" w:color="auto"/>
              <w:bottom w:val="single" w:sz="4" w:space="0" w:color="auto"/>
              <w:right w:val="single" w:sz="4" w:space="0" w:color="auto"/>
            </w:tcBorders>
            <w:shd w:val="clear" w:color="000000" w:fill="FFFFFF"/>
            <w:noWrap/>
            <w:vAlign w:val="bottom"/>
          </w:tcPr>
          <w:p w:rsidR="00075B25" w:rsidRPr="009023F8" w:rsidRDefault="00075B25" w:rsidP="00FC6E6D">
            <w:pPr>
              <w:rPr>
                <w:rFonts w:ascii="Tahoma" w:hAnsi="Tahoma" w:cs="Tahoma"/>
                <w:sz w:val="18"/>
                <w:szCs w:val="18"/>
              </w:rPr>
            </w:pPr>
            <w:r>
              <w:rPr>
                <w:rFonts w:ascii="Tahoma" w:hAnsi="Tahoma" w:cs="Tahoma"/>
                <w:sz w:val="18"/>
                <w:szCs w:val="18"/>
              </w:rPr>
              <w:t>Lithuania</w:t>
            </w:r>
          </w:p>
        </w:tc>
        <w:tc>
          <w:tcPr>
            <w:tcW w:w="1024" w:type="dxa"/>
            <w:tcBorders>
              <w:top w:val="nil"/>
              <w:left w:val="nil"/>
              <w:bottom w:val="single" w:sz="4" w:space="0" w:color="auto"/>
              <w:right w:val="single" w:sz="4" w:space="0" w:color="auto"/>
            </w:tcBorders>
            <w:shd w:val="clear" w:color="auto" w:fill="auto"/>
            <w:noWrap/>
            <w:vAlign w:val="bottom"/>
          </w:tcPr>
          <w:p w:rsidR="00075B25" w:rsidRPr="009023F8" w:rsidRDefault="00075B25" w:rsidP="00FC6E6D">
            <w:pPr>
              <w:jc w:val="right"/>
              <w:rPr>
                <w:rFonts w:ascii="Tahoma" w:hAnsi="Tahoma" w:cs="Tahoma"/>
                <w:sz w:val="18"/>
                <w:szCs w:val="18"/>
              </w:rPr>
            </w:pPr>
            <w:r>
              <w:rPr>
                <w:rFonts w:ascii="Tahoma" w:hAnsi="Tahoma" w:cs="Tahoma"/>
                <w:sz w:val="18"/>
                <w:szCs w:val="18"/>
              </w:rPr>
              <w:t>10,728</w:t>
            </w:r>
          </w:p>
        </w:tc>
      </w:tr>
      <w:tr w:rsidR="00FC6E6D" w:rsidRPr="009023F8" w:rsidTr="00075B25">
        <w:trPr>
          <w:gridAfter w:val="1"/>
          <w:wAfter w:w="10" w:type="dxa"/>
          <w:trHeight w:val="264"/>
          <w:jc w:val="center"/>
        </w:trPr>
        <w:tc>
          <w:tcPr>
            <w:tcW w:w="2994" w:type="dxa"/>
            <w:tcBorders>
              <w:top w:val="nil"/>
              <w:left w:val="single" w:sz="4" w:space="0" w:color="auto"/>
              <w:bottom w:val="single" w:sz="4" w:space="0" w:color="auto"/>
              <w:right w:val="single" w:sz="4" w:space="0" w:color="auto"/>
            </w:tcBorders>
            <w:shd w:val="clear" w:color="000000" w:fill="FFFFFF"/>
            <w:noWrap/>
            <w:vAlign w:val="bottom"/>
            <w:hideMark/>
          </w:tcPr>
          <w:p w:rsidR="00FC6E6D" w:rsidRPr="009023F8" w:rsidRDefault="00FC6E6D" w:rsidP="00075B25">
            <w:pPr>
              <w:rPr>
                <w:rFonts w:ascii="Tahoma" w:hAnsi="Tahoma" w:cs="Tahoma"/>
                <w:sz w:val="18"/>
                <w:szCs w:val="18"/>
              </w:rPr>
            </w:pPr>
            <w:r w:rsidRPr="009023F8">
              <w:rPr>
                <w:rFonts w:ascii="Tahoma" w:hAnsi="Tahoma" w:cs="Tahoma"/>
                <w:sz w:val="18"/>
                <w:szCs w:val="18"/>
              </w:rPr>
              <w:t xml:space="preserve">Mexico </w:t>
            </w:r>
            <w:r w:rsidRPr="00075B25">
              <w:rPr>
                <w:rFonts w:ascii="Tahoma" w:hAnsi="Tahoma" w:cs="Tahoma"/>
                <w:sz w:val="14"/>
                <w:szCs w:val="18"/>
              </w:rPr>
              <w:t>(</w:t>
            </w:r>
            <w:r w:rsidR="00075B25">
              <w:rPr>
                <w:rFonts w:ascii="Tahoma" w:hAnsi="Tahoma" w:cs="Tahoma"/>
                <w:sz w:val="14"/>
                <w:szCs w:val="18"/>
              </w:rPr>
              <w:t>out</w:t>
            </w:r>
            <w:r w:rsidR="00075B25" w:rsidRPr="00075B25">
              <w:rPr>
                <w:rFonts w:ascii="Tahoma" w:hAnsi="Tahoma" w:cs="Tahoma"/>
                <w:sz w:val="14"/>
                <w:szCs w:val="18"/>
              </w:rPr>
              <w:t xml:space="preserve"> of which CHF4,530 for 2019</w:t>
            </w:r>
            <w:r w:rsidRPr="00075B25">
              <w:rPr>
                <w:rFonts w:ascii="Tahoma" w:hAnsi="Tahoma" w:cs="Tahoma"/>
                <w:sz w:val="14"/>
                <w:szCs w:val="18"/>
              </w:rPr>
              <w:t>)</w:t>
            </w:r>
          </w:p>
        </w:tc>
        <w:tc>
          <w:tcPr>
            <w:tcW w:w="1024" w:type="dxa"/>
            <w:tcBorders>
              <w:top w:val="nil"/>
              <w:left w:val="nil"/>
              <w:bottom w:val="single" w:sz="4" w:space="0" w:color="auto"/>
              <w:right w:val="single" w:sz="4" w:space="0" w:color="auto"/>
            </w:tcBorders>
            <w:shd w:val="clear" w:color="auto" w:fill="auto"/>
            <w:noWrap/>
            <w:vAlign w:val="bottom"/>
            <w:hideMark/>
          </w:tcPr>
          <w:p w:rsidR="00FC6E6D" w:rsidRPr="009023F8" w:rsidRDefault="00FC6E6D" w:rsidP="00075B25">
            <w:pPr>
              <w:jc w:val="right"/>
              <w:rPr>
                <w:rFonts w:ascii="Tahoma" w:hAnsi="Tahoma" w:cs="Tahoma"/>
                <w:sz w:val="18"/>
                <w:szCs w:val="18"/>
              </w:rPr>
            </w:pPr>
            <w:r w:rsidRPr="009023F8">
              <w:rPr>
                <w:rFonts w:ascii="Tahoma" w:hAnsi="Tahoma" w:cs="Tahoma"/>
                <w:sz w:val="18"/>
                <w:szCs w:val="18"/>
              </w:rPr>
              <w:t>4</w:t>
            </w:r>
            <w:r w:rsidR="00075B25">
              <w:rPr>
                <w:rFonts w:ascii="Tahoma" w:hAnsi="Tahoma" w:cs="Tahoma"/>
                <w:sz w:val="18"/>
                <w:szCs w:val="18"/>
              </w:rPr>
              <w:t>4</w:t>
            </w:r>
            <w:r w:rsidRPr="009023F8">
              <w:rPr>
                <w:rFonts w:ascii="Tahoma" w:hAnsi="Tahoma" w:cs="Tahoma"/>
                <w:sz w:val="18"/>
                <w:szCs w:val="18"/>
              </w:rPr>
              <w:t>,</w:t>
            </w:r>
            <w:r w:rsidR="00075B25">
              <w:rPr>
                <w:rFonts w:ascii="Tahoma" w:hAnsi="Tahoma" w:cs="Tahoma"/>
                <w:sz w:val="18"/>
                <w:szCs w:val="18"/>
              </w:rPr>
              <w:t>76</w:t>
            </w:r>
            <w:r w:rsidRPr="009023F8">
              <w:rPr>
                <w:rFonts w:ascii="Tahoma" w:hAnsi="Tahoma" w:cs="Tahoma"/>
                <w:sz w:val="18"/>
                <w:szCs w:val="18"/>
              </w:rPr>
              <w:t>1</w:t>
            </w:r>
          </w:p>
        </w:tc>
      </w:tr>
      <w:tr w:rsidR="00FC6E6D" w:rsidRPr="009023F8" w:rsidTr="00075B25">
        <w:trPr>
          <w:gridAfter w:val="1"/>
          <w:wAfter w:w="10" w:type="dxa"/>
          <w:trHeight w:val="264"/>
          <w:jc w:val="center"/>
        </w:trPr>
        <w:tc>
          <w:tcPr>
            <w:tcW w:w="2994" w:type="dxa"/>
            <w:tcBorders>
              <w:top w:val="nil"/>
              <w:left w:val="single" w:sz="4" w:space="0" w:color="auto"/>
              <w:bottom w:val="single" w:sz="4" w:space="0" w:color="auto"/>
              <w:right w:val="single" w:sz="4" w:space="0" w:color="auto"/>
            </w:tcBorders>
            <w:shd w:val="clear" w:color="000000" w:fill="FFFFFF"/>
            <w:noWrap/>
            <w:vAlign w:val="bottom"/>
            <w:hideMark/>
          </w:tcPr>
          <w:p w:rsidR="00FC6E6D" w:rsidRPr="009023F8" w:rsidRDefault="00FC6E6D" w:rsidP="00FC6E6D">
            <w:pPr>
              <w:rPr>
                <w:rFonts w:ascii="Tahoma" w:hAnsi="Tahoma" w:cs="Tahoma"/>
                <w:sz w:val="18"/>
                <w:szCs w:val="18"/>
              </w:rPr>
            </w:pPr>
            <w:r w:rsidRPr="009023F8">
              <w:rPr>
                <w:rFonts w:ascii="Tahoma" w:hAnsi="Tahoma" w:cs="Tahoma"/>
                <w:sz w:val="18"/>
                <w:szCs w:val="18"/>
              </w:rPr>
              <w:t>Montenegro</w:t>
            </w:r>
          </w:p>
        </w:tc>
        <w:tc>
          <w:tcPr>
            <w:tcW w:w="1024" w:type="dxa"/>
            <w:tcBorders>
              <w:top w:val="nil"/>
              <w:left w:val="nil"/>
              <w:bottom w:val="single" w:sz="4" w:space="0" w:color="auto"/>
              <w:right w:val="single" w:sz="4" w:space="0" w:color="auto"/>
            </w:tcBorders>
            <w:shd w:val="clear" w:color="auto" w:fill="auto"/>
            <w:noWrap/>
            <w:vAlign w:val="bottom"/>
            <w:hideMark/>
          </w:tcPr>
          <w:p w:rsidR="00FC6E6D" w:rsidRPr="009023F8" w:rsidRDefault="00FC6E6D" w:rsidP="00FC6E6D">
            <w:pPr>
              <w:jc w:val="right"/>
              <w:rPr>
                <w:rFonts w:ascii="Tahoma" w:hAnsi="Tahoma" w:cs="Tahoma"/>
                <w:sz w:val="18"/>
                <w:szCs w:val="18"/>
              </w:rPr>
            </w:pPr>
            <w:r w:rsidRPr="009023F8">
              <w:rPr>
                <w:rFonts w:ascii="Tahoma" w:hAnsi="Tahoma" w:cs="Tahoma"/>
                <w:sz w:val="18"/>
                <w:szCs w:val="18"/>
              </w:rPr>
              <w:t>10,728</w:t>
            </w:r>
          </w:p>
        </w:tc>
      </w:tr>
      <w:tr w:rsidR="00075B25" w:rsidRPr="00075B25" w:rsidTr="00075B25">
        <w:trPr>
          <w:gridAfter w:val="1"/>
          <w:wAfter w:w="10" w:type="dxa"/>
          <w:trHeight w:val="264"/>
          <w:jc w:val="center"/>
        </w:trPr>
        <w:tc>
          <w:tcPr>
            <w:tcW w:w="2994" w:type="dxa"/>
            <w:tcBorders>
              <w:top w:val="nil"/>
              <w:left w:val="single" w:sz="4" w:space="0" w:color="auto"/>
              <w:bottom w:val="single" w:sz="4" w:space="0" w:color="auto"/>
              <w:right w:val="single" w:sz="4" w:space="0" w:color="auto"/>
            </w:tcBorders>
            <w:shd w:val="clear" w:color="000000" w:fill="FFFFFF"/>
            <w:noWrap/>
            <w:vAlign w:val="bottom"/>
          </w:tcPr>
          <w:p w:rsidR="00075B25" w:rsidRPr="00075B25" w:rsidRDefault="00075B25" w:rsidP="00FC6E6D">
            <w:pPr>
              <w:rPr>
                <w:rFonts w:ascii="Tahoma" w:hAnsi="Tahoma" w:cs="Tahoma"/>
                <w:sz w:val="18"/>
                <w:szCs w:val="18"/>
              </w:rPr>
            </w:pPr>
            <w:r w:rsidRPr="00075B25">
              <w:rPr>
                <w:rFonts w:ascii="Tahoma" w:hAnsi="Tahoma" w:cs="Tahoma"/>
                <w:sz w:val="18"/>
                <w:szCs w:val="18"/>
              </w:rPr>
              <w:t>New Zealand</w:t>
            </w:r>
          </w:p>
        </w:tc>
        <w:tc>
          <w:tcPr>
            <w:tcW w:w="1024" w:type="dxa"/>
            <w:tcBorders>
              <w:top w:val="nil"/>
              <w:left w:val="nil"/>
              <w:bottom w:val="single" w:sz="4" w:space="0" w:color="auto"/>
              <w:right w:val="single" w:sz="4" w:space="0" w:color="auto"/>
            </w:tcBorders>
            <w:shd w:val="clear" w:color="auto" w:fill="auto"/>
            <w:noWrap/>
            <w:vAlign w:val="bottom"/>
          </w:tcPr>
          <w:p w:rsidR="00075B25" w:rsidRPr="00075B25" w:rsidRDefault="00075B25" w:rsidP="00FC6E6D">
            <w:pPr>
              <w:jc w:val="right"/>
              <w:rPr>
                <w:rFonts w:ascii="Tahoma" w:hAnsi="Tahoma" w:cs="Tahoma"/>
                <w:sz w:val="18"/>
                <w:szCs w:val="18"/>
              </w:rPr>
            </w:pPr>
            <w:r w:rsidRPr="00075B25">
              <w:rPr>
                <w:rFonts w:ascii="Tahoma" w:hAnsi="Tahoma" w:cs="Tahoma"/>
                <w:sz w:val="18"/>
                <w:szCs w:val="18"/>
              </w:rPr>
              <w:t>53,641</w:t>
            </w:r>
          </w:p>
        </w:tc>
      </w:tr>
      <w:tr w:rsidR="00FC6E6D" w:rsidRPr="009023F8" w:rsidTr="00075B25">
        <w:trPr>
          <w:gridAfter w:val="1"/>
          <w:wAfter w:w="10" w:type="dxa"/>
          <w:trHeight w:val="264"/>
          <w:jc w:val="center"/>
        </w:trPr>
        <w:tc>
          <w:tcPr>
            <w:tcW w:w="2994" w:type="dxa"/>
            <w:tcBorders>
              <w:top w:val="nil"/>
              <w:left w:val="single" w:sz="4" w:space="0" w:color="auto"/>
              <w:bottom w:val="single" w:sz="4" w:space="0" w:color="auto"/>
              <w:right w:val="single" w:sz="4" w:space="0" w:color="auto"/>
            </w:tcBorders>
            <w:shd w:val="clear" w:color="000000" w:fill="FFFFFF"/>
            <w:noWrap/>
            <w:vAlign w:val="bottom"/>
            <w:hideMark/>
          </w:tcPr>
          <w:p w:rsidR="00FC6E6D" w:rsidRPr="00075B25" w:rsidRDefault="00FC6E6D" w:rsidP="00FC6E6D">
            <w:pPr>
              <w:rPr>
                <w:rFonts w:ascii="Tahoma" w:hAnsi="Tahoma" w:cs="Tahoma"/>
                <w:sz w:val="18"/>
                <w:szCs w:val="18"/>
              </w:rPr>
            </w:pPr>
            <w:r w:rsidRPr="00075B25">
              <w:rPr>
                <w:rFonts w:ascii="Tahoma" w:hAnsi="Tahoma" w:cs="Tahoma"/>
                <w:sz w:val="18"/>
                <w:szCs w:val="18"/>
              </w:rPr>
              <w:t>Norway</w:t>
            </w:r>
          </w:p>
        </w:tc>
        <w:tc>
          <w:tcPr>
            <w:tcW w:w="1024" w:type="dxa"/>
            <w:tcBorders>
              <w:top w:val="nil"/>
              <w:left w:val="nil"/>
              <w:bottom w:val="single" w:sz="4" w:space="0" w:color="auto"/>
              <w:right w:val="single" w:sz="4" w:space="0" w:color="auto"/>
            </w:tcBorders>
            <w:shd w:val="clear" w:color="auto" w:fill="auto"/>
            <w:noWrap/>
            <w:vAlign w:val="bottom"/>
            <w:hideMark/>
          </w:tcPr>
          <w:p w:rsidR="00FC6E6D" w:rsidRPr="009023F8" w:rsidRDefault="00FC6E6D" w:rsidP="00FC6E6D">
            <w:pPr>
              <w:jc w:val="right"/>
              <w:rPr>
                <w:rFonts w:ascii="Tahoma" w:hAnsi="Tahoma" w:cs="Tahoma"/>
                <w:sz w:val="18"/>
                <w:szCs w:val="18"/>
              </w:rPr>
            </w:pPr>
            <w:r w:rsidRPr="00075B25">
              <w:rPr>
                <w:rFonts w:ascii="Tahoma" w:hAnsi="Tahoma" w:cs="Tahoma"/>
                <w:sz w:val="18"/>
                <w:szCs w:val="18"/>
              </w:rPr>
              <w:t>53,641</w:t>
            </w:r>
          </w:p>
        </w:tc>
      </w:tr>
      <w:tr w:rsidR="00075B25" w:rsidRPr="009023F8" w:rsidTr="00075B25">
        <w:trPr>
          <w:gridAfter w:val="1"/>
          <w:wAfter w:w="10" w:type="dxa"/>
          <w:trHeight w:val="264"/>
          <w:jc w:val="center"/>
        </w:trPr>
        <w:tc>
          <w:tcPr>
            <w:tcW w:w="2994" w:type="dxa"/>
            <w:tcBorders>
              <w:top w:val="nil"/>
              <w:left w:val="single" w:sz="4" w:space="0" w:color="auto"/>
              <w:bottom w:val="single" w:sz="4" w:space="0" w:color="auto"/>
              <w:right w:val="single" w:sz="4" w:space="0" w:color="auto"/>
            </w:tcBorders>
            <w:shd w:val="clear" w:color="000000" w:fill="FFFFFF"/>
            <w:noWrap/>
            <w:vAlign w:val="bottom"/>
          </w:tcPr>
          <w:p w:rsidR="00075B25" w:rsidRPr="009023F8" w:rsidRDefault="00075B25" w:rsidP="00FC6E6D">
            <w:pPr>
              <w:rPr>
                <w:rFonts w:ascii="Tahoma" w:hAnsi="Tahoma" w:cs="Tahoma"/>
                <w:sz w:val="18"/>
                <w:szCs w:val="18"/>
              </w:rPr>
            </w:pPr>
            <w:r>
              <w:rPr>
                <w:rFonts w:ascii="Tahoma" w:hAnsi="Tahoma" w:cs="Tahoma"/>
                <w:sz w:val="18"/>
                <w:szCs w:val="18"/>
              </w:rPr>
              <w:t>Poland</w:t>
            </w:r>
          </w:p>
        </w:tc>
        <w:tc>
          <w:tcPr>
            <w:tcW w:w="1024" w:type="dxa"/>
            <w:tcBorders>
              <w:top w:val="nil"/>
              <w:left w:val="nil"/>
              <w:bottom w:val="single" w:sz="4" w:space="0" w:color="auto"/>
              <w:right w:val="single" w:sz="4" w:space="0" w:color="auto"/>
            </w:tcBorders>
            <w:shd w:val="clear" w:color="auto" w:fill="auto"/>
            <w:noWrap/>
            <w:vAlign w:val="bottom"/>
          </w:tcPr>
          <w:p w:rsidR="00075B25" w:rsidRPr="009023F8" w:rsidRDefault="00075B25" w:rsidP="00FC6E6D">
            <w:pPr>
              <w:jc w:val="right"/>
              <w:rPr>
                <w:rFonts w:ascii="Tahoma" w:hAnsi="Tahoma" w:cs="Tahoma"/>
                <w:sz w:val="18"/>
                <w:szCs w:val="18"/>
              </w:rPr>
            </w:pPr>
            <w:r>
              <w:rPr>
                <w:rFonts w:ascii="Tahoma" w:hAnsi="Tahoma" w:cs="Tahoma"/>
                <w:sz w:val="18"/>
                <w:szCs w:val="18"/>
              </w:rPr>
              <w:t>26,820</w:t>
            </w:r>
          </w:p>
        </w:tc>
      </w:tr>
      <w:tr w:rsidR="00075B25" w:rsidRPr="009023F8" w:rsidTr="00075B25">
        <w:trPr>
          <w:gridAfter w:val="1"/>
          <w:wAfter w:w="10" w:type="dxa"/>
          <w:trHeight w:val="264"/>
          <w:jc w:val="center"/>
        </w:trPr>
        <w:tc>
          <w:tcPr>
            <w:tcW w:w="2994" w:type="dxa"/>
            <w:tcBorders>
              <w:top w:val="nil"/>
              <w:left w:val="single" w:sz="4" w:space="0" w:color="auto"/>
              <w:bottom w:val="single" w:sz="4" w:space="0" w:color="auto"/>
              <w:right w:val="single" w:sz="4" w:space="0" w:color="auto"/>
            </w:tcBorders>
            <w:shd w:val="clear" w:color="000000" w:fill="FFFFFF"/>
            <w:noWrap/>
            <w:vAlign w:val="bottom"/>
          </w:tcPr>
          <w:p w:rsidR="00075B25" w:rsidRPr="009023F8" w:rsidRDefault="00075B25" w:rsidP="00FC6E6D">
            <w:pPr>
              <w:rPr>
                <w:rFonts w:ascii="Tahoma" w:hAnsi="Tahoma" w:cs="Tahoma"/>
                <w:sz w:val="18"/>
                <w:szCs w:val="18"/>
              </w:rPr>
            </w:pPr>
            <w:r>
              <w:rPr>
                <w:rFonts w:ascii="Tahoma" w:hAnsi="Tahoma" w:cs="Tahoma"/>
                <w:sz w:val="18"/>
                <w:szCs w:val="18"/>
              </w:rPr>
              <w:t>Singapore</w:t>
            </w:r>
          </w:p>
        </w:tc>
        <w:tc>
          <w:tcPr>
            <w:tcW w:w="1024" w:type="dxa"/>
            <w:tcBorders>
              <w:top w:val="nil"/>
              <w:left w:val="nil"/>
              <w:bottom w:val="single" w:sz="4" w:space="0" w:color="auto"/>
              <w:right w:val="single" w:sz="4" w:space="0" w:color="auto"/>
            </w:tcBorders>
            <w:shd w:val="clear" w:color="auto" w:fill="auto"/>
            <w:noWrap/>
            <w:vAlign w:val="bottom"/>
          </w:tcPr>
          <w:p w:rsidR="00075B25" w:rsidRPr="009023F8" w:rsidRDefault="00075B25" w:rsidP="00FC6E6D">
            <w:pPr>
              <w:jc w:val="right"/>
              <w:rPr>
                <w:rFonts w:ascii="Tahoma" w:hAnsi="Tahoma" w:cs="Tahoma"/>
                <w:sz w:val="18"/>
                <w:szCs w:val="18"/>
              </w:rPr>
            </w:pPr>
            <w:r>
              <w:rPr>
                <w:rFonts w:ascii="Tahoma" w:hAnsi="Tahoma" w:cs="Tahoma"/>
                <w:sz w:val="18"/>
                <w:szCs w:val="18"/>
              </w:rPr>
              <w:t>10,728</w:t>
            </w:r>
          </w:p>
        </w:tc>
      </w:tr>
      <w:tr w:rsidR="00FC6E6D" w:rsidRPr="009023F8" w:rsidTr="00075B25">
        <w:trPr>
          <w:gridAfter w:val="1"/>
          <w:wAfter w:w="10" w:type="dxa"/>
          <w:trHeight w:val="264"/>
          <w:jc w:val="center"/>
        </w:trPr>
        <w:tc>
          <w:tcPr>
            <w:tcW w:w="2994" w:type="dxa"/>
            <w:tcBorders>
              <w:top w:val="nil"/>
              <w:left w:val="single" w:sz="4" w:space="0" w:color="auto"/>
              <w:bottom w:val="single" w:sz="4" w:space="0" w:color="auto"/>
              <w:right w:val="single" w:sz="4" w:space="0" w:color="auto"/>
            </w:tcBorders>
            <w:shd w:val="clear" w:color="000000" w:fill="FFFFFF"/>
            <w:noWrap/>
            <w:vAlign w:val="bottom"/>
            <w:hideMark/>
          </w:tcPr>
          <w:p w:rsidR="00FC6E6D" w:rsidRPr="009023F8" w:rsidRDefault="00FC6E6D" w:rsidP="00FC6E6D">
            <w:pPr>
              <w:rPr>
                <w:rFonts w:ascii="Tahoma" w:hAnsi="Tahoma" w:cs="Tahoma"/>
                <w:sz w:val="18"/>
                <w:szCs w:val="18"/>
              </w:rPr>
            </w:pPr>
            <w:r w:rsidRPr="009023F8">
              <w:rPr>
                <w:rFonts w:ascii="Tahoma" w:hAnsi="Tahoma" w:cs="Tahoma"/>
                <w:sz w:val="18"/>
                <w:szCs w:val="18"/>
              </w:rPr>
              <w:t>Slovakia</w:t>
            </w:r>
          </w:p>
        </w:tc>
        <w:tc>
          <w:tcPr>
            <w:tcW w:w="1024" w:type="dxa"/>
            <w:tcBorders>
              <w:top w:val="nil"/>
              <w:left w:val="nil"/>
              <w:bottom w:val="single" w:sz="4" w:space="0" w:color="auto"/>
              <w:right w:val="single" w:sz="4" w:space="0" w:color="auto"/>
            </w:tcBorders>
            <w:shd w:val="clear" w:color="auto" w:fill="auto"/>
            <w:noWrap/>
            <w:vAlign w:val="bottom"/>
            <w:hideMark/>
          </w:tcPr>
          <w:p w:rsidR="00FC6E6D" w:rsidRPr="009023F8" w:rsidRDefault="00FC6E6D" w:rsidP="00FC6E6D">
            <w:pPr>
              <w:jc w:val="right"/>
              <w:rPr>
                <w:rFonts w:ascii="Tahoma" w:hAnsi="Tahoma" w:cs="Tahoma"/>
                <w:sz w:val="18"/>
                <w:szCs w:val="18"/>
              </w:rPr>
            </w:pPr>
            <w:r w:rsidRPr="009023F8">
              <w:rPr>
                <w:rFonts w:ascii="Tahoma" w:hAnsi="Tahoma" w:cs="Tahoma"/>
                <w:sz w:val="18"/>
                <w:szCs w:val="18"/>
              </w:rPr>
              <w:t>26,820</w:t>
            </w:r>
          </w:p>
        </w:tc>
      </w:tr>
      <w:tr w:rsidR="00075B25" w:rsidRPr="009023F8" w:rsidTr="00075B25">
        <w:trPr>
          <w:gridAfter w:val="1"/>
          <w:wAfter w:w="10" w:type="dxa"/>
          <w:trHeight w:val="264"/>
          <w:jc w:val="center"/>
        </w:trPr>
        <w:tc>
          <w:tcPr>
            <w:tcW w:w="2994" w:type="dxa"/>
            <w:tcBorders>
              <w:top w:val="nil"/>
              <w:left w:val="single" w:sz="4" w:space="0" w:color="auto"/>
              <w:bottom w:val="single" w:sz="4" w:space="0" w:color="auto"/>
              <w:right w:val="single" w:sz="4" w:space="0" w:color="auto"/>
            </w:tcBorders>
            <w:shd w:val="clear" w:color="000000" w:fill="FFFFFF"/>
            <w:noWrap/>
            <w:vAlign w:val="bottom"/>
          </w:tcPr>
          <w:p w:rsidR="00075B25" w:rsidRPr="009023F8" w:rsidRDefault="00075B25" w:rsidP="00FC6E6D">
            <w:pPr>
              <w:rPr>
                <w:rFonts w:ascii="Tahoma" w:hAnsi="Tahoma" w:cs="Tahoma"/>
                <w:sz w:val="18"/>
                <w:szCs w:val="18"/>
              </w:rPr>
            </w:pPr>
            <w:r>
              <w:rPr>
                <w:rFonts w:ascii="Tahoma" w:hAnsi="Tahoma" w:cs="Tahoma"/>
                <w:sz w:val="18"/>
                <w:szCs w:val="18"/>
              </w:rPr>
              <w:t>United Republic of Tanzania</w:t>
            </w:r>
          </w:p>
        </w:tc>
        <w:tc>
          <w:tcPr>
            <w:tcW w:w="1024" w:type="dxa"/>
            <w:tcBorders>
              <w:top w:val="nil"/>
              <w:left w:val="nil"/>
              <w:bottom w:val="single" w:sz="4" w:space="0" w:color="auto"/>
              <w:right w:val="single" w:sz="4" w:space="0" w:color="auto"/>
            </w:tcBorders>
            <w:shd w:val="clear" w:color="auto" w:fill="auto"/>
            <w:noWrap/>
            <w:vAlign w:val="bottom"/>
          </w:tcPr>
          <w:p w:rsidR="00075B25" w:rsidRPr="009023F8" w:rsidRDefault="00075B25" w:rsidP="00FC6E6D">
            <w:pPr>
              <w:jc w:val="right"/>
              <w:rPr>
                <w:rFonts w:ascii="Tahoma" w:hAnsi="Tahoma" w:cs="Tahoma"/>
                <w:sz w:val="18"/>
                <w:szCs w:val="18"/>
              </w:rPr>
            </w:pPr>
            <w:r>
              <w:rPr>
                <w:rFonts w:ascii="Tahoma" w:hAnsi="Tahoma" w:cs="Tahoma"/>
                <w:sz w:val="18"/>
                <w:szCs w:val="18"/>
              </w:rPr>
              <w:t>740</w:t>
            </w:r>
          </w:p>
        </w:tc>
      </w:tr>
      <w:tr w:rsidR="00FC6E6D" w:rsidRPr="009023F8" w:rsidTr="00075B25">
        <w:trPr>
          <w:gridAfter w:val="1"/>
          <w:wAfter w:w="10" w:type="dxa"/>
          <w:trHeight w:val="264"/>
          <w:jc w:val="center"/>
        </w:trPr>
        <w:tc>
          <w:tcPr>
            <w:tcW w:w="2994" w:type="dxa"/>
            <w:tcBorders>
              <w:top w:val="nil"/>
              <w:left w:val="single" w:sz="4" w:space="0" w:color="auto"/>
              <w:bottom w:val="single" w:sz="4" w:space="0" w:color="auto"/>
              <w:right w:val="single" w:sz="4" w:space="0" w:color="auto"/>
            </w:tcBorders>
            <w:shd w:val="clear" w:color="000000" w:fill="FFFFFF"/>
            <w:noWrap/>
            <w:vAlign w:val="bottom"/>
            <w:hideMark/>
          </w:tcPr>
          <w:p w:rsidR="00FC6E6D" w:rsidRPr="009023F8" w:rsidRDefault="00075B25" w:rsidP="00FC6E6D">
            <w:pPr>
              <w:rPr>
                <w:rFonts w:ascii="Tahoma" w:hAnsi="Tahoma" w:cs="Tahoma"/>
                <w:sz w:val="18"/>
                <w:szCs w:val="18"/>
              </w:rPr>
            </w:pPr>
            <w:r>
              <w:rPr>
                <w:rFonts w:ascii="Tahoma" w:hAnsi="Tahoma" w:cs="Tahoma"/>
                <w:sz w:val="18"/>
                <w:szCs w:val="18"/>
              </w:rPr>
              <w:t>Uruguay</w:t>
            </w:r>
          </w:p>
        </w:tc>
        <w:tc>
          <w:tcPr>
            <w:tcW w:w="1024" w:type="dxa"/>
            <w:tcBorders>
              <w:top w:val="nil"/>
              <w:left w:val="nil"/>
              <w:bottom w:val="single" w:sz="4" w:space="0" w:color="auto"/>
              <w:right w:val="single" w:sz="4" w:space="0" w:color="auto"/>
            </w:tcBorders>
            <w:shd w:val="clear" w:color="auto" w:fill="auto"/>
            <w:noWrap/>
            <w:vAlign w:val="bottom"/>
            <w:hideMark/>
          </w:tcPr>
          <w:p w:rsidR="00FC6E6D" w:rsidRPr="009023F8" w:rsidRDefault="00FC6E6D" w:rsidP="00FC6E6D">
            <w:pPr>
              <w:jc w:val="right"/>
              <w:rPr>
                <w:rFonts w:ascii="Tahoma" w:hAnsi="Tahoma" w:cs="Tahoma"/>
                <w:sz w:val="18"/>
                <w:szCs w:val="18"/>
              </w:rPr>
            </w:pPr>
            <w:r w:rsidRPr="009023F8">
              <w:rPr>
                <w:rFonts w:ascii="Tahoma" w:hAnsi="Tahoma" w:cs="Tahoma"/>
                <w:sz w:val="18"/>
                <w:szCs w:val="18"/>
              </w:rPr>
              <w:t>10,728</w:t>
            </w:r>
          </w:p>
        </w:tc>
      </w:tr>
      <w:tr w:rsidR="00FC6E6D" w:rsidRPr="009023F8" w:rsidTr="00075B25">
        <w:trPr>
          <w:gridAfter w:val="1"/>
          <w:wAfter w:w="10" w:type="dxa"/>
          <w:trHeight w:val="264"/>
          <w:jc w:val="center"/>
        </w:trPr>
        <w:tc>
          <w:tcPr>
            <w:tcW w:w="2994" w:type="dxa"/>
            <w:tcBorders>
              <w:top w:val="nil"/>
              <w:left w:val="single" w:sz="4" w:space="0" w:color="auto"/>
              <w:bottom w:val="single" w:sz="4" w:space="0" w:color="auto"/>
              <w:right w:val="single" w:sz="4" w:space="0" w:color="auto"/>
            </w:tcBorders>
            <w:shd w:val="clear" w:color="000000" w:fill="FFC000"/>
            <w:noWrap/>
            <w:vAlign w:val="bottom"/>
            <w:hideMark/>
          </w:tcPr>
          <w:p w:rsidR="00FC6E6D" w:rsidRPr="009023F8" w:rsidRDefault="00FC6E6D" w:rsidP="00FC6E6D">
            <w:pPr>
              <w:rPr>
                <w:rFonts w:ascii="Tahoma" w:hAnsi="Tahoma" w:cs="Tahoma"/>
                <w:b/>
                <w:bCs/>
                <w:sz w:val="18"/>
                <w:szCs w:val="18"/>
              </w:rPr>
            </w:pPr>
            <w:r w:rsidRPr="009023F8">
              <w:rPr>
                <w:rFonts w:ascii="Tahoma" w:hAnsi="Tahoma" w:cs="Tahoma"/>
                <w:b/>
                <w:bCs/>
                <w:sz w:val="18"/>
                <w:szCs w:val="18"/>
              </w:rPr>
              <w:t>Total</w:t>
            </w:r>
          </w:p>
        </w:tc>
        <w:tc>
          <w:tcPr>
            <w:tcW w:w="1024" w:type="dxa"/>
            <w:tcBorders>
              <w:top w:val="nil"/>
              <w:left w:val="nil"/>
              <w:bottom w:val="single" w:sz="4" w:space="0" w:color="auto"/>
              <w:right w:val="single" w:sz="4" w:space="0" w:color="auto"/>
            </w:tcBorders>
            <w:shd w:val="clear" w:color="000000" w:fill="FFC000"/>
            <w:noWrap/>
            <w:vAlign w:val="bottom"/>
            <w:hideMark/>
          </w:tcPr>
          <w:p w:rsidR="00FC6E6D" w:rsidRPr="009023F8" w:rsidRDefault="00075B25" w:rsidP="00075B25">
            <w:pPr>
              <w:jc w:val="right"/>
              <w:rPr>
                <w:rFonts w:ascii="Tahoma" w:hAnsi="Tahoma" w:cs="Tahoma"/>
                <w:b/>
                <w:bCs/>
                <w:sz w:val="18"/>
                <w:szCs w:val="18"/>
              </w:rPr>
            </w:pPr>
            <w:r>
              <w:rPr>
                <w:rFonts w:ascii="Tahoma" w:hAnsi="Tahoma" w:cs="Tahoma"/>
                <w:b/>
                <w:bCs/>
                <w:sz w:val="18"/>
                <w:szCs w:val="18"/>
              </w:rPr>
              <w:t>260</w:t>
            </w:r>
            <w:r w:rsidR="00FC6E6D" w:rsidRPr="009023F8">
              <w:rPr>
                <w:rFonts w:ascii="Tahoma" w:hAnsi="Tahoma" w:cs="Tahoma"/>
                <w:b/>
                <w:bCs/>
                <w:sz w:val="18"/>
                <w:szCs w:val="18"/>
              </w:rPr>
              <w:t>,</w:t>
            </w:r>
            <w:r>
              <w:rPr>
                <w:rFonts w:ascii="Tahoma" w:hAnsi="Tahoma" w:cs="Tahoma"/>
                <w:b/>
                <w:bCs/>
                <w:sz w:val="18"/>
                <w:szCs w:val="18"/>
              </w:rPr>
              <w:t>063</w:t>
            </w:r>
          </w:p>
        </w:tc>
      </w:tr>
    </w:tbl>
    <w:p w:rsidR="00FC6E6D" w:rsidRPr="002D098B" w:rsidRDefault="00FC6E6D" w:rsidP="00A22F48">
      <w:pPr>
        <w:pStyle w:val="TexteNumroEFK"/>
        <w:numPr>
          <w:ilvl w:val="0"/>
          <w:numId w:val="0"/>
        </w:numPr>
        <w:spacing w:before="240" w:after="240"/>
        <w:jc w:val="center"/>
        <w:rPr>
          <w:b/>
          <w:sz w:val="20"/>
          <w:szCs w:val="20"/>
        </w:rPr>
      </w:pPr>
      <w:r>
        <w:rPr>
          <w:b/>
          <w:sz w:val="20"/>
          <w:szCs w:val="20"/>
        </w:rPr>
        <w:t>Table 5:  Advance payments of contributions</w:t>
      </w:r>
    </w:p>
    <w:p w:rsidR="00FC6E6D" w:rsidRDefault="00FC6E6D" w:rsidP="00FC6E6D">
      <w:pPr>
        <w:rPr>
          <w:rFonts w:eastAsiaTheme="minorHAnsi" w:cstheme="minorBidi"/>
          <w:sz w:val="32"/>
          <w:szCs w:val="32"/>
        </w:rPr>
      </w:pPr>
      <w:r>
        <w:br w:type="page"/>
      </w:r>
    </w:p>
    <w:p w:rsidR="00FC6E6D" w:rsidRPr="00C57572" w:rsidRDefault="00FC6E6D" w:rsidP="00FC6E6D">
      <w:pPr>
        <w:pStyle w:val="Titre2NoEFK"/>
      </w:pPr>
      <w:r>
        <w:lastRenderedPageBreak/>
        <w:t>Judicious reduction of liaison account balances</w:t>
      </w:r>
    </w:p>
    <w:p w:rsidR="00FC6E6D" w:rsidRDefault="00FC6E6D" w:rsidP="00FC6E6D">
      <w:pPr>
        <w:pStyle w:val="TexteNumroEFK"/>
        <w:ind w:left="502"/>
      </w:pPr>
      <w:r>
        <w:t xml:space="preserve">Financial transactions between WIPO, UPOV and FITSU (extra-budgetary resources) are facilitated by inter-organizational liaison accounts.  Overall, the balances of both </w:t>
      </w:r>
      <w:r w:rsidR="006B60F2">
        <w:t>accounts declined by almost 836 </w:t>
      </w:r>
      <w:r>
        <w:t>000 Swiss francs.  Together, they yield a total of 726 000 Swiss francs in favor of WIPO at the end of 2017.  This mainly stems from the fact that the cash held in the banks no longer generates interest.  Thus, UPOV preferred to reduce its debts to WIPO.</w:t>
      </w:r>
    </w:p>
    <w:p w:rsidR="00FC6E6D" w:rsidRDefault="00FC6E6D" w:rsidP="00FC6E6D">
      <w:pPr>
        <w:pStyle w:val="Titre2NoEFK"/>
      </w:pPr>
      <w:r>
        <w:t>Extra-budgetary resources</w:t>
      </w:r>
    </w:p>
    <w:p w:rsidR="00FC6E6D" w:rsidRPr="00C57572" w:rsidRDefault="00FC6E6D" w:rsidP="00FC6E6D">
      <w:pPr>
        <w:pStyle w:val="TexteNumroEFK"/>
        <w:ind w:left="502"/>
      </w:pPr>
      <w:r>
        <w:t>UPOV also receives extra-budgetary resources for specific projects defined under “Funds in trust (FIT)”.  These resources include the funding of related administrative costs to the tune of 13%.  During its audit, SFAO noted that the management costs for the fund with the USPTO</w:t>
      </w:r>
      <w:r>
        <w:rPr>
          <w:rStyle w:val="FootnoteReference"/>
        </w:rPr>
        <w:footnoteReference w:id="4"/>
      </w:r>
      <w:r>
        <w:t xml:space="preserve"> are included only when the final statement is sent to and accepted by the partner.  Thus, the periodic delimitation of administrative costs is not completely ensured.  Since this principle has been applied from the very beginning, there is a time difference in the presentation of costs that does not create a significant deviation relative to the correct delimitation.  Consequently, SFAO will not make a recommendation in this regard.  However, it should be noted that the transfer of cash to cover the administrative costs of FIT USPTO is conditional on the validation of each statement by the USPTO.  In this regard, UPOV has no control over the assets until the statement has been validated.  For this reason, UPOV has chosen to defer accounting of the income until the validation of each statement.</w:t>
      </w:r>
    </w:p>
    <w:p w:rsidR="00FC6E6D" w:rsidRPr="00F07E78" w:rsidRDefault="00FC6E6D" w:rsidP="00FC6E6D">
      <w:pPr>
        <w:pStyle w:val="Titre2NoEFK"/>
      </w:pPr>
      <w:r>
        <w:t>An actuarial valuation is required to estimate commitments related to employee benefits</w:t>
      </w:r>
    </w:p>
    <w:p w:rsidR="00FC6E6D" w:rsidRPr="00CE2B6D" w:rsidRDefault="00FC6E6D" w:rsidP="00FC6E6D">
      <w:pPr>
        <w:pStyle w:val="TexteNumroEFK"/>
        <w:ind w:left="502"/>
      </w:pPr>
      <w:r>
        <w:t xml:space="preserve">The assessment of provisions relating to employee benefits was the subject of an actuarial valuation by the specialized firm Mercer (Switzerland) SA.  As mentioned in </w:t>
      </w:r>
      <w:r w:rsidRPr="000B532D">
        <w:t>paragraph</w:t>
      </w:r>
      <w:r>
        <w:t xml:space="preserve"> 25 above, the application of IPSAS 39 to 2017 accounts resulted in the abolition of IPSAS 25 and the “corridor method”.  Thus, the estimates made for end-2016 accounts had to be reviewed and readjusted.  The opinion of Mercer SA is found in document “IPSAS-39 Actuarial Valuation Report as of December 31, 2017 – After-Service Health Insurance and Repatriation Benefits”, dated Thursday, May 17, 2018.  The 2016 data to be readjusted as well as projections are included.  We verified the actuarial hypotheses used by the actuary for the calculation of commitments as at December 31, 2016 (readjusted) and as at December 31, 2017.  These are consistent with current market conditions and the characteristics of UPOV.</w:t>
      </w:r>
    </w:p>
    <w:p w:rsidR="00FC6E6D" w:rsidRPr="006B191E" w:rsidRDefault="00FC6E6D" w:rsidP="00FC6E6D">
      <w:pPr>
        <w:pStyle w:val="TexteNumroEFK"/>
        <w:ind w:left="502"/>
      </w:pPr>
      <w:r>
        <w:t>The annual adjustment of employee benefit provisions did not yield any significant changes between the amounts readjusted at the end of 2016 and the new balances at the end of 2017.  The SFAO notes that total provisions fell by approximately 23,000 Swiss francs  between the two years.  However, it should be noted that accounts 39300 and 39301 “Short-term and long-term provisions for employee benefits” have varied significantly with the elimination of the corridor method.  Indeed, the provision of 1.184 million Swiss francs determined in the 2016 financial statements increased by over 1 million Swiss francs</w:t>
      </w:r>
      <w:r>
        <w:rPr>
          <w:rStyle w:val="FootnoteReference"/>
        </w:rPr>
        <w:footnoteReference w:id="5"/>
      </w:r>
      <w:r>
        <w:t xml:space="preserve"> after readjustment to stand at 2.234 million Swiss francs in the readjusted 2016 accounts.  Today, the total for both accounts is 2,209,000 Swiss francs.  The variation in provisions between 2016 and 2016 (both readjusted and non-readjusted figures) has been verified and found to be in order.</w:t>
      </w:r>
    </w:p>
    <w:p w:rsidR="00FC6E6D" w:rsidRPr="006B191E" w:rsidRDefault="00FC6E6D" w:rsidP="006B60F2">
      <w:pPr>
        <w:pStyle w:val="TexteNumroEFK"/>
        <w:keepNext/>
        <w:ind w:left="502"/>
      </w:pPr>
      <w:r>
        <w:lastRenderedPageBreak/>
        <w:t>The calculation of provisions for accrued leave, home leave, overtime and flexitime are based on the effective rights of UPOV staff as at Sunday, December 31, 2017.  The provision amounts therefore correspond to the specific balances of various items and staff benefits.</w:t>
      </w:r>
    </w:p>
    <w:p w:rsidR="00FC6E6D" w:rsidRDefault="00FC6E6D" w:rsidP="00FC6E6D">
      <w:pPr>
        <w:pStyle w:val="Titre2NoEFK"/>
      </w:pPr>
      <w:r>
        <w:t>United Nations Joint Staff Pension Fund (UNJSPF), a potential future risk for the UPOV financial statements</w:t>
      </w:r>
    </w:p>
    <w:p w:rsidR="00FC6E6D" w:rsidRDefault="00FC6E6D" w:rsidP="00FC6E6D">
      <w:pPr>
        <w:pStyle w:val="TexteNumroEFK"/>
        <w:ind w:left="503" w:hanging="352"/>
      </w:pPr>
      <w:r>
        <w:t>As noted immediately after resumption of the mandate of auditor, we consider that there is a potential future risk to the financial statements of UPOV as long as the UNJSPF is unable to provide its affiliated institutions with a calculation of pension commitments under IPSAS 39.</w:t>
      </w:r>
      <w:r w:rsidRPr="003A30C3">
        <w:rPr>
          <w:rStyle w:val="FootnoteReference"/>
          <w:rFonts w:ascii="Tahoma" w:hAnsi="Tahoma"/>
        </w:rPr>
        <w:footnoteReference w:id="6"/>
      </w:r>
      <w:r>
        <w:t xml:space="preserve">  However, since this situation is not unique to UPOV, we do not consider it necessary at this time to express reservations or mention it specifically in our audit opinion for the 2017 financial statements.</w:t>
      </w:r>
    </w:p>
    <w:p w:rsidR="00FC6E6D" w:rsidRPr="006C2E7D" w:rsidRDefault="00FC6E6D" w:rsidP="00FC6E6D">
      <w:pPr>
        <w:pStyle w:val="Titre2NoEFK"/>
      </w:pPr>
      <w:r>
        <w:t>Justified decrease in net assets in 2017</w:t>
      </w:r>
    </w:p>
    <w:p w:rsidR="00FC6E6D" w:rsidRDefault="00FC6E6D" w:rsidP="00FC6E6D">
      <w:pPr>
        <w:pStyle w:val="TexteNumroEFK"/>
        <w:ind w:left="503" w:hanging="352"/>
      </w:pPr>
      <w:r>
        <w:t>The sharp fall in the total net assets stems mainly from the readjustment of the 2016 accounts in accordance with IPSAS 39.  At the end of 2016, the non-adjusted amount was close to 1.739 million Swiss francs.  After the readjustment made in 2016, total net assets amounted to approximately 746,000 Swiss francs.  Given its evolution in 2017, net assets as at</w:t>
      </w:r>
      <w:r w:rsidR="00BD743F">
        <w:t xml:space="preserve"> December 31, 2017 were 629,830 </w:t>
      </w:r>
      <w:r>
        <w:t>Swiss francs.</w:t>
      </w:r>
    </w:p>
    <w:tbl>
      <w:tblPr>
        <w:tblW w:w="4230" w:type="dxa"/>
        <w:jc w:val="center"/>
        <w:tblCellMar>
          <w:left w:w="70" w:type="dxa"/>
          <w:right w:w="70" w:type="dxa"/>
        </w:tblCellMar>
        <w:tblLook w:val="04A0" w:firstRow="1" w:lastRow="0" w:firstColumn="1" w:lastColumn="0" w:noHBand="0" w:noVBand="1"/>
      </w:tblPr>
      <w:tblGrid>
        <w:gridCol w:w="2910"/>
        <w:gridCol w:w="1320"/>
      </w:tblGrid>
      <w:tr w:rsidR="00BD743F" w:rsidRPr="002D098B" w:rsidTr="00BD743F">
        <w:trPr>
          <w:trHeight w:val="255"/>
          <w:jc w:val="center"/>
        </w:trPr>
        <w:tc>
          <w:tcPr>
            <w:tcW w:w="291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BD743F" w:rsidRPr="002D098B" w:rsidRDefault="00BD743F" w:rsidP="00BD743F">
            <w:pPr>
              <w:jc w:val="center"/>
              <w:rPr>
                <w:rFonts w:ascii="Calibri" w:hAnsi="Calibri" w:cs="Calibri"/>
                <w:b/>
                <w:bCs/>
                <w:sz w:val="22"/>
                <w:szCs w:val="22"/>
              </w:rPr>
            </w:pPr>
            <w:r>
              <w:rPr>
                <w:rFonts w:ascii="Calibri" w:hAnsi="Calibri" w:cs="Calibri"/>
                <w:b/>
                <w:bCs/>
                <w:sz w:val="22"/>
                <w:szCs w:val="22"/>
              </w:rPr>
              <w:t>Account</w:t>
            </w:r>
          </w:p>
        </w:tc>
        <w:tc>
          <w:tcPr>
            <w:tcW w:w="1320" w:type="dxa"/>
            <w:tcBorders>
              <w:top w:val="single" w:sz="4" w:space="0" w:color="auto"/>
              <w:left w:val="nil"/>
              <w:bottom w:val="single" w:sz="4" w:space="0" w:color="auto"/>
              <w:right w:val="single" w:sz="4" w:space="0" w:color="auto"/>
            </w:tcBorders>
            <w:shd w:val="clear" w:color="000000" w:fill="D9D9D9"/>
            <w:noWrap/>
            <w:vAlign w:val="center"/>
            <w:hideMark/>
          </w:tcPr>
          <w:p w:rsidR="00BD743F" w:rsidRPr="002D098B" w:rsidRDefault="00BD743F" w:rsidP="000A2023">
            <w:pPr>
              <w:jc w:val="center"/>
              <w:rPr>
                <w:rFonts w:ascii="Calibri" w:hAnsi="Calibri" w:cs="Calibri"/>
                <w:b/>
                <w:bCs/>
                <w:sz w:val="22"/>
                <w:szCs w:val="22"/>
              </w:rPr>
            </w:pPr>
            <w:r>
              <w:rPr>
                <w:rFonts w:ascii="Calibri" w:hAnsi="Calibri" w:cs="Calibri"/>
                <w:b/>
                <w:bCs/>
                <w:sz w:val="22"/>
                <w:szCs w:val="22"/>
              </w:rPr>
              <w:t>CHF</w:t>
            </w:r>
          </w:p>
        </w:tc>
      </w:tr>
      <w:tr w:rsidR="00BD743F" w:rsidRPr="002D098B" w:rsidTr="00BD743F">
        <w:trPr>
          <w:trHeight w:val="255"/>
          <w:jc w:val="center"/>
        </w:trPr>
        <w:tc>
          <w:tcPr>
            <w:tcW w:w="2910" w:type="dxa"/>
            <w:tcBorders>
              <w:top w:val="nil"/>
              <w:left w:val="single" w:sz="4" w:space="0" w:color="auto"/>
              <w:bottom w:val="single" w:sz="4" w:space="0" w:color="auto"/>
              <w:right w:val="single" w:sz="4" w:space="0" w:color="auto"/>
            </w:tcBorders>
            <w:shd w:val="clear" w:color="000000" w:fill="FFFFFF"/>
            <w:noWrap/>
            <w:vAlign w:val="bottom"/>
            <w:hideMark/>
          </w:tcPr>
          <w:p w:rsidR="00BD743F" w:rsidRPr="002D098B" w:rsidRDefault="00BD743F" w:rsidP="000A2023">
            <w:pPr>
              <w:rPr>
                <w:rFonts w:ascii="Calibri" w:hAnsi="Calibri" w:cs="Calibri"/>
                <w:color w:val="000000"/>
                <w:sz w:val="22"/>
                <w:szCs w:val="22"/>
              </w:rPr>
            </w:pPr>
            <w:r>
              <w:rPr>
                <w:rFonts w:ascii="Calibri" w:hAnsi="Calibri"/>
                <w:color w:val="000000"/>
                <w:sz w:val="22"/>
                <w:szCs w:val="22"/>
              </w:rPr>
              <w:t xml:space="preserve">53500 WCF UPOV  </w:t>
            </w:r>
          </w:p>
        </w:tc>
        <w:tc>
          <w:tcPr>
            <w:tcW w:w="1320" w:type="dxa"/>
            <w:tcBorders>
              <w:top w:val="nil"/>
              <w:left w:val="nil"/>
              <w:bottom w:val="single" w:sz="4" w:space="0" w:color="auto"/>
              <w:right w:val="single" w:sz="4" w:space="0" w:color="auto"/>
            </w:tcBorders>
            <w:shd w:val="clear" w:color="auto" w:fill="auto"/>
            <w:noWrap/>
            <w:vAlign w:val="bottom"/>
            <w:hideMark/>
          </w:tcPr>
          <w:p w:rsidR="00BD743F" w:rsidRPr="002D098B" w:rsidRDefault="00BD743F" w:rsidP="000A2023">
            <w:pPr>
              <w:jc w:val="right"/>
              <w:rPr>
                <w:rFonts w:ascii="Calibri" w:hAnsi="Calibri" w:cs="Calibri"/>
                <w:color w:val="000000"/>
                <w:sz w:val="22"/>
                <w:szCs w:val="22"/>
              </w:rPr>
            </w:pPr>
            <w:r>
              <w:rPr>
                <w:rFonts w:ascii="Calibri" w:hAnsi="Calibri"/>
                <w:color w:val="000000"/>
                <w:sz w:val="22"/>
                <w:szCs w:val="22"/>
              </w:rPr>
              <w:t>546,679.00</w:t>
            </w:r>
          </w:p>
        </w:tc>
      </w:tr>
      <w:tr w:rsidR="00BD743F" w:rsidRPr="002D098B" w:rsidTr="00BD743F">
        <w:trPr>
          <w:trHeight w:val="255"/>
          <w:jc w:val="center"/>
        </w:trPr>
        <w:tc>
          <w:tcPr>
            <w:tcW w:w="2910" w:type="dxa"/>
            <w:tcBorders>
              <w:top w:val="nil"/>
              <w:left w:val="single" w:sz="4" w:space="0" w:color="auto"/>
              <w:bottom w:val="single" w:sz="4" w:space="0" w:color="auto"/>
              <w:right w:val="single" w:sz="4" w:space="0" w:color="auto"/>
            </w:tcBorders>
            <w:shd w:val="clear" w:color="000000" w:fill="FFFFFF"/>
            <w:noWrap/>
            <w:vAlign w:val="bottom"/>
            <w:hideMark/>
          </w:tcPr>
          <w:p w:rsidR="00BD743F" w:rsidRPr="002D098B" w:rsidRDefault="00BD743F" w:rsidP="000A2023">
            <w:pPr>
              <w:rPr>
                <w:rFonts w:ascii="Calibri" w:hAnsi="Calibri" w:cs="Calibri"/>
                <w:color w:val="000000"/>
                <w:sz w:val="22"/>
                <w:szCs w:val="22"/>
              </w:rPr>
            </w:pPr>
            <w:r>
              <w:rPr>
                <w:rFonts w:ascii="Calibri" w:hAnsi="Calibri"/>
                <w:color w:val="000000"/>
                <w:sz w:val="22"/>
                <w:szCs w:val="22"/>
              </w:rPr>
              <w:t>56000 ASHI Act Gain Loss</w:t>
            </w:r>
          </w:p>
        </w:tc>
        <w:tc>
          <w:tcPr>
            <w:tcW w:w="1320" w:type="dxa"/>
            <w:tcBorders>
              <w:top w:val="nil"/>
              <w:left w:val="nil"/>
              <w:bottom w:val="single" w:sz="4" w:space="0" w:color="auto"/>
              <w:right w:val="single" w:sz="4" w:space="0" w:color="auto"/>
            </w:tcBorders>
            <w:shd w:val="clear" w:color="auto" w:fill="auto"/>
            <w:noWrap/>
            <w:vAlign w:val="bottom"/>
            <w:hideMark/>
          </w:tcPr>
          <w:p w:rsidR="00BD743F" w:rsidRPr="002D098B" w:rsidRDefault="00BD743F" w:rsidP="000A2023">
            <w:pPr>
              <w:jc w:val="right"/>
              <w:rPr>
                <w:rFonts w:ascii="Calibri" w:hAnsi="Calibri" w:cs="Calibri"/>
                <w:color w:val="000000"/>
                <w:sz w:val="22"/>
                <w:szCs w:val="22"/>
              </w:rPr>
            </w:pPr>
            <w:r>
              <w:rPr>
                <w:rFonts w:ascii="Calibri" w:hAnsi="Calibri"/>
                <w:color w:val="000000"/>
                <w:sz w:val="22"/>
                <w:szCs w:val="22"/>
              </w:rPr>
              <w:t>-901,276.00</w:t>
            </w:r>
          </w:p>
        </w:tc>
      </w:tr>
      <w:tr w:rsidR="00BD743F" w:rsidRPr="002D098B" w:rsidTr="00BD743F">
        <w:trPr>
          <w:trHeight w:val="255"/>
          <w:jc w:val="center"/>
        </w:trPr>
        <w:tc>
          <w:tcPr>
            <w:tcW w:w="2910" w:type="dxa"/>
            <w:tcBorders>
              <w:top w:val="nil"/>
              <w:left w:val="single" w:sz="4" w:space="0" w:color="auto"/>
              <w:bottom w:val="single" w:sz="4" w:space="0" w:color="auto"/>
              <w:right w:val="single" w:sz="4" w:space="0" w:color="auto"/>
            </w:tcBorders>
            <w:shd w:val="clear" w:color="000000" w:fill="FFFFFF"/>
            <w:noWrap/>
            <w:vAlign w:val="bottom"/>
            <w:hideMark/>
          </w:tcPr>
          <w:p w:rsidR="00BD743F" w:rsidRPr="002D098B" w:rsidRDefault="00BD743F" w:rsidP="000A2023">
            <w:pPr>
              <w:rPr>
                <w:rFonts w:ascii="Calibri" w:hAnsi="Calibri" w:cs="Calibri"/>
                <w:color w:val="000000"/>
                <w:sz w:val="22"/>
                <w:szCs w:val="22"/>
              </w:rPr>
            </w:pPr>
            <w:r>
              <w:rPr>
                <w:rFonts w:ascii="Calibri" w:hAnsi="Calibri"/>
                <w:color w:val="000000"/>
                <w:sz w:val="22"/>
                <w:szCs w:val="22"/>
              </w:rPr>
              <w:t>56501 Reserve Fund UPOV</w:t>
            </w:r>
          </w:p>
        </w:tc>
        <w:tc>
          <w:tcPr>
            <w:tcW w:w="1320" w:type="dxa"/>
            <w:tcBorders>
              <w:top w:val="nil"/>
              <w:left w:val="nil"/>
              <w:bottom w:val="single" w:sz="4" w:space="0" w:color="auto"/>
              <w:right w:val="single" w:sz="4" w:space="0" w:color="auto"/>
            </w:tcBorders>
            <w:shd w:val="clear" w:color="auto" w:fill="auto"/>
            <w:noWrap/>
            <w:vAlign w:val="bottom"/>
            <w:hideMark/>
          </w:tcPr>
          <w:p w:rsidR="00BD743F" w:rsidRPr="002D098B" w:rsidRDefault="00BD743F" w:rsidP="000A2023">
            <w:pPr>
              <w:jc w:val="right"/>
              <w:rPr>
                <w:rFonts w:ascii="Calibri" w:hAnsi="Calibri" w:cs="Calibri"/>
                <w:color w:val="000000"/>
                <w:sz w:val="22"/>
                <w:szCs w:val="22"/>
              </w:rPr>
            </w:pPr>
            <w:r>
              <w:rPr>
                <w:rFonts w:ascii="Calibri" w:hAnsi="Calibri"/>
                <w:color w:val="000000"/>
                <w:sz w:val="22"/>
                <w:szCs w:val="22"/>
              </w:rPr>
              <w:t>1,274,790.12</w:t>
            </w:r>
          </w:p>
        </w:tc>
      </w:tr>
      <w:tr w:rsidR="00BD743F" w:rsidRPr="00BD743F" w:rsidTr="00BD743F">
        <w:trPr>
          <w:trHeight w:val="255"/>
          <w:jc w:val="center"/>
        </w:trPr>
        <w:tc>
          <w:tcPr>
            <w:tcW w:w="2910" w:type="dxa"/>
            <w:tcBorders>
              <w:top w:val="nil"/>
              <w:left w:val="single" w:sz="4" w:space="0" w:color="auto"/>
              <w:bottom w:val="single" w:sz="4" w:space="0" w:color="auto"/>
              <w:right w:val="single" w:sz="4" w:space="0" w:color="auto"/>
            </w:tcBorders>
            <w:shd w:val="clear" w:color="000000" w:fill="FFFFCC"/>
            <w:noWrap/>
            <w:vAlign w:val="bottom"/>
            <w:hideMark/>
          </w:tcPr>
          <w:p w:rsidR="00BD743F" w:rsidRPr="00BD743F" w:rsidRDefault="00BD743F" w:rsidP="00BD743F">
            <w:pPr>
              <w:rPr>
                <w:rFonts w:ascii="Calibri" w:hAnsi="Calibri" w:cs="Calibri"/>
                <w:b/>
                <w:bCs/>
                <w:iCs/>
                <w:color w:val="000000"/>
                <w:sz w:val="22"/>
                <w:szCs w:val="22"/>
              </w:rPr>
            </w:pPr>
            <w:r>
              <w:rPr>
                <w:rFonts w:ascii="Calibri" w:hAnsi="Calibri"/>
                <w:b/>
                <w:bCs/>
                <w:iCs/>
                <w:color w:val="000000"/>
                <w:sz w:val="22"/>
                <w:szCs w:val="22"/>
              </w:rPr>
              <w:t>Total</w:t>
            </w:r>
          </w:p>
        </w:tc>
        <w:tc>
          <w:tcPr>
            <w:tcW w:w="1320" w:type="dxa"/>
            <w:tcBorders>
              <w:top w:val="nil"/>
              <w:left w:val="nil"/>
              <w:bottom w:val="single" w:sz="4" w:space="0" w:color="auto"/>
              <w:right w:val="single" w:sz="4" w:space="0" w:color="auto"/>
            </w:tcBorders>
            <w:shd w:val="clear" w:color="000000" w:fill="FFFFCC"/>
            <w:noWrap/>
            <w:vAlign w:val="bottom"/>
            <w:hideMark/>
          </w:tcPr>
          <w:p w:rsidR="00BD743F" w:rsidRPr="00BD743F" w:rsidRDefault="00BD743F" w:rsidP="000A2023">
            <w:pPr>
              <w:jc w:val="right"/>
              <w:rPr>
                <w:rFonts w:ascii="Calibri" w:hAnsi="Calibri" w:cs="Calibri"/>
                <w:b/>
                <w:bCs/>
                <w:iCs/>
                <w:color w:val="000000"/>
                <w:sz w:val="22"/>
                <w:szCs w:val="22"/>
              </w:rPr>
            </w:pPr>
            <w:r>
              <w:rPr>
                <w:rFonts w:ascii="Calibri" w:hAnsi="Calibri"/>
                <w:b/>
                <w:bCs/>
                <w:iCs/>
                <w:color w:val="000000"/>
                <w:sz w:val="22"/>
                <w:szCs w:val="22"/>
              </w:rPr>
              <w:t>920,193.12</w:t>
            </w:r>
          </w:p>
        </w:tc>
      </w:tr>
      <w:tr w:rsidR="00BD743F" w:rsidRPr="00BD743F" w:rsidTr="00BD743F">
        <w:trPr>
          <w:trHeight w:val="255"/>
          <w:jc w:val="center"/>
        </w:trPr>
        <w:tc>
          <w:tcPr>
            <w:tcW w:w="2910" w:type="dxa"/>
            <w:tcBorders>
              <w:top w:val="nil"/>
              <w:left w:val="single" w:sz="4" w:space="0" w:color="auto"/>
              <w:bottom w:val="single" w:sz="4" w:space="0" w:color="auto"/>
              <w:right w:val="single" w:sz="4" w:space="0" w:color="auto"/>
            </w:tcBorders>
            <w:shd w:val="clear" w:color="auto" w:fill="FFCCCC"/>
            <w:noWrap/>
            <w:vAlign w:val="bottom"/>
            <w:hideMark/>
          </w:tcPr>
          <w:p w:rsidR="00BD743F" w:rsidRPr="00BD743F" w:rsidRDefault="00BD743F" w:rsidP="000A2023">
            <w:pPr>
              <w:rPr>
                <w:rFonts w:ascii="Calibri" w:hAnsi="Calibri" w:cs="Calibri"/>
                <w:b/>
                <w:color w:val="C00000"/>
                <w:sz w:val="22"/>
                <w:szCs w:val="22"/>
              </w:rPr>
            </w:pPr>
            <w:r w:rsidRPr="00BD743F">
              <w:rPr>
                <w:rFonts w:ascii="Calibri" w:hAnsi="Calibri"/>
                <w:b/>
                <w:color w:val="C00000"/>
                <w:sz w:val="22"/>
                <w:szCs w:val="22"/>
              </w:rPr>
              <w:t>Result for the year (loss)</w:t>
            </w:r>
          </w:p>
        </w:tc>
        <w:tc>
          <w:tcPr>
            <w:tcW w:w="1320" w:type="dxa"/>
            <w:tcBorders>
              <w:top w:val="nil"/>
              <w:left w:val="nil"/>
              <w:bottom w:val="single" w:sz="4" w:space="0" w:color="auto"/>
              <w:right w:val="single" w:sz="4" w:space="0" w:color="auto"/>
            </w:tcBorders>
            <w:shd w:val="clear" w:color="auto" w:fill="FFCCCC"/>
            <w:noWrap/>
            <w:vAlign w:val="bottom"/>
            <w:hideMark/>
          </w:tcPr>
          <w:p w:rsidR="00BD743F" w:rsidRPr="00BD743F" w:rsidRDefault="00BD743F" w:rsidP="00BD743F">
            <w:pPr>
              <w:jc w:val="right"/>
              <w:rPr>
                <w:rFonts w:ascii="Calibri" w:hAnsi="Calibri" w:cs="Calibri"/>
                <w:b/>
                <w:color w:val="C00000"/>
                <w:sz w:val="22"/>
                <w:szCs w:val="22"/>
              </w:rPr>
            </w:pPr>
            <w:r w:rsidRPr="00BD743F">
              <w:rPr>
                <w:rFonts w:ascii="Calibri" w:hAnsi="Calibri"/>
                <w:b/>
                <w:color w:val="C00000"/>
                <w:sz w:val="22"/>
                <w:szCs w:val="22"/>
              </w:rPr>
              <w:t>-290,363.26</w:t>
            </w:r>
          </w:p>
        </w:tc>
      </w:tr>
      <w:tr w:rsidR="00BD743F" w:rsidRPr="002D098B" w:rsidTr="00BD743F">
        <w:trPr>
          <w:trHeight w:val="255"/>
          <w:jc w:val="center"/>
        </w:trPr>
        <w:tc>
          <w:tcPr>
            <w:tcW w:w="2910" w:type="dxa"/>
            <w:tcBorders>
              <w:top w:val="nil"/>
              <w:left w:val="single" w:sz="4" w:space="0" w:color="auto"/>
              <w:bottom w:val="single" w:sz="4" w:space="0" w:color="auto"/>
              <w:right w:val="single" w:sz="4" w:space="0" w:color="auto"/>
            </w:tcBorders>
            <w:shd w:val="clear" w:color="000000" w:fill="FFC000"/>
            <w:noWrap/>
            <w:vAlign w:val="bottom"/>
            <w:hideMark/>
          </w:tcPr>
          <w:p w:rsidR="00BD743F" w:rsidRPr="002D098B" w:rsidRDefault="00BD743F" w:rsidP="000A2023">
            <w:pPr>
              <w:rPr>
                <w:rFonts w:ascii="Calibri" w:hAnsi="Calibri" w:cs="Calibri"/>
                <w:b/>
                <w:bCs/>
                <w:color w:val="000000"/>
                <w:sz w:val="22"/>
                <w:szCs w:val="22"/>
              </w:rPr>
            </w:pPr>
            <w:r>
              <w:rPr>
                <w:rFonts w:ascii="Calibri" w:hAnsi="Calibri"/>
                <w:b/>
                <w:bCs/>
                <w:sz w:val="22"/>
                <w:szCs w:val="22"/>
              </w:rPr>
              <w:t>TOTAL NET ASSETS</w:t>
            </w:r>
          </w:p>
        </w:tc>
        <w:tc>
          <w:tcPr>
            <w:tcW w:w="1320" w:type="dxa"/>
            <w:tcBorders>
              <w:top w:val="nil"/>
              <w:left w:val="nil"/>
              <w:bottom w:val="single" w:sz="4" w:space="0" w:color="auto"/>
              <w:right w:val="single" w:sz="4" w:space="0" w:color="auto"/>
            </w:tcBorders>
            <w:shd w:val="clear" w:color="000000" w:fill="FFC000"/>
            <w:noWrap/>
            <w:vAlign w:val="bottom"/>
            <w:hideMark/>
          </w:tcPr>
          <w:p w:rsidR="00BD743F" w:rsidRPr="002D098B" w:rsidRDefault="00BD743F" w:rsidP="000A2023">
            <w:pPr>
              <w:jc w:val="right"/>
              <w:rPr>
                <w:rFonts w:ascii="Calibri" w:hAnsi="Calibri" w:cs="Calibri"/>
                <w:b/>
                <w:bCs/>
                <w:color w:val="002060"/>
                <w:sz w:val="22"/>
                <w:szCs w:val="22"/>
              </w:rPr>
            </w:pPr>
            <w:r>
              <w:rPr>
                <w:rFonts w:ascii="Calibri" w:hAnsi="Calibri"/>
                <w:b/>
                <w:bCs/>
                <w:color w:val="002060"/>
                <w:sz w:val="22"/>
                <w:szCs w:val="22"/>
              </w:rPr>
              <w:t>629,829.86</w:t>
            </w:r>
          </w:p>
        </w:tc>
      </w:tr>
    </w:tbl>
    <w:p w:rsidR="00FC6E6D" w:rsidRPr="00A22F48" w:rsidRDefault="00FC6E6D" w:rsidP="00A22F48">
      <w:pPr>
        <w:pStyle w:val="TexteNumroEFK"/>
        <w:numPr>
          <w:ilvl w:val="0"/>
          <w:numId w:val="0"/>
        </w:numPr>
        <w:spacing w:before="240" w:after="240"/>
        <w:jc w:val="center"/>
        <w:rPr>
          <w:b/>
          <w:sz w:val="20"/>
          <w:szCs w:val="20"/>
        </w:rPr>
      </w:pPr>
      <w:r w:rsidRPr="00A22F48">
        <w:rPr>
          <w:b/>
          <w:sz w:val="20"/>
          <w:szCs w:val="20"/>
        </w:rPr>
        <w:t>Table 6:  Total net assets as at Dec. 31, 2017</w:t>
      </w:r>
    </w:p>
    <w:p w:rsidR="00BD743F" w:rsidRDefault="00BD743F">
      <w:pPr>
        <w:jc w:val="left"/>
        <w:rPr>
          <w:rFonts w:asciiTheme="minorHAnsi" w:eastAsiaTheme="minorHAnsi" w:hAnsiTheme="minorHAnsi" w:cstheme="minorBidi"/>
          <w:sz w:val="32"/>
          <w:szCs w:val="32"/>
        </w:rPr>
      </w:pPr>
      <w:r>
        <w:br w:type="page"/>
      </w:r>
    </w:p>
    <w:p w:rsidR="00FC6E6D" w:rsidRDefault="00FC6E6D" w:rsidP="00FC6E6D">
      <w:pPr>
        <w:pStyle w:val="Titre2NoEFK"/>
      </w:pPr>
      <w:r>
        <w:lastRenderedPageBreak/>
        <w:t>Increased expenditure and declining income in 2017</w:t>
      </w:r>
    </w:p>
    <w:p w:rsidR="00FC6E6D" w:rsidRPr="00BD743F" w:rsidRDefault="00FC6E6D" w:rsidP="00FC6E6D">
      <w:pPr>
        <w:pStyle w:val="TexteNumroEFK"/>
        <w:ind w:left="503" w:hanging="352"/>
        <w:rPr>
          <w:rFonts w:cstheme="minorHAnsi"/>
          <w:spacing w:val="-2"/>
        </w:rPr>
      </w:pPr>
      <w:r>
        <w:t>The expenditure recorded in 2017 exceeded the adjusted 2016 figures.  It amount</w:t>
      </w:r>
      <w:r w:rsidR="00BD743F">
        <w:t xml:space="preserve">ed to over </w:t>
      </w:r>
      <w:r w:rsidR="00BD743F" w:rsidRPr="00BD743F">
        <w:rPr>
          <w:spacing w:val="-2"/>
        </w:rPr>
        <w:t>3.934 </w:t>
      </w:r>
      <w:r w:rsidRPr="00BD743F">
        <w:rPr>
          <w:spacing w:val="-2"/>
        </w:rPr>
        <w:t>million Swiss francs, representing an expenditure surplus of approximately 282,000 Swiss francs.</w:t>
      </w:r>
    </w:p>
    <w:p w:rsidR="00FC6E6D" w:rsidRPr="002D098B" w:rsidRDefault="00FC6E6D" w:rsidP="00FC6E6D">
      <w:pPr>
        <w:pStyle w:val="TexteNumroEFK"/>
        <w:ind w:left="503" w:hanging="352"/>
        <w:rPr>
          <w:rFonts w:cstheme="minorHAnsi"/>
        </w:rPr>
      </w:pPr>
      <w:r>
        <w:t>In contrast, the income received in 2017 was 102,000 Swiss francs lower than the figure recorded in the readjusted 2016 accounts.  The table below shows the trends per cumulative accounting headings:</w:t>
      </w:r>
    </w:p>
    <w:tbl>
      <w:tblPr>
        <w:tblW w:w="8364" w:type="dxa"/>
        <w:tblInd w:w="562" w:type="dxa"/>
        <w:tblCellMar>
          <w:left w:w="70" w:type="dxa"/>
          <w:right w:w="70" w:type="dxa"/>
        </w:tblCellMar>
        <w:tblLook w:val="04A0" w:firstRow="1" w:lastRow="0" w:firstColumn="1" w:lastColumn="0" w:noHBand="0" w:noVBand="1"/>
      </w:tblPr>
      <w:tblGrid>
        <w:gridCol w:w="3261"/>
        <w:gridCol w:w="1275"/>
        <w:gridCol w:w="1560"/>
        <w:gridCol w:w="1275"/>
        <w:gridCol w:w="993"/>
      </w:tblGrid>
      <w:tr w:rsidR="00FC6E6D" w:rsidRPr="002D098B" w:rsidTr="00FC6E6D">
        <w:trPr>
          <w:trHeight w:val="255"/>
        </w:trPr>
        <w:tc>
          <w:tcPr>
            <w:tcW w:w="3261"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FC6E6D" w:rsidRPr="002D098B" w:rsidRDefault="00FC6E6D" w:rsidP="00BD743F">
            <w:pPr>
              <w:jc w:val="left"/>
              <w:rPr>
                <w:rFonts w:ascii="Calibri" w:hAnsi="Calibri" w:cs="Calibri"/>
                <w:b/>
                <w:bCs/>
                <w:sz w:val="22"/>
                <w:szCs w:val="22"/>
              </w:rPr>
            </w:pPr>
            <w:r>
              <w:rPr>
                <w:rFonts w:ascii="Calibri" w:hAnsi="Calibri"/>
                <w:b/>
                <w:bCs/>
                <w:sz w:val="22"/>
                <w:szCs w:val="22"/>
              </w:rPr>
              <w:t>Type of income/expenditure</w:t>
            </w:r>
            <w:r>
              <w:rPr>
                <w:rFonts w:ascii="Calibri" w:hAnsi="Calibri"/>
                <w:b/>
                <w:bCs/>
                <w:sz w:val="22"/>
                <w:szCs w:val="22"/>
              </w:rPr>
              <w:br/>
            </w:r>
          </w:p>
        </w:tc>
        <w:tc>
          <w:tcPr>
            <w:tcW w:w="1275" w:type="dxa"/>
            <w:tcBorders>
              <w:top w:val="single" w:sz="4" w:space="0" w:color="auto"/>
              <w:left w:val="nil"/>
              <w:bottom w:val="single" w:sz="4" w:space="0" w:color="auto"/>
              <w:right w:val="single" w:sz="4" w:space="0" w:color="auto"/>
            </w:tcBorders>
            <w:shd w:val="clear" w:color="000000" w:fill="D9D9D9"/>
            <w:noWrap/>
            <w:vAlign w:val="center"/>
            <w:hideMark/>
          </w:tcPr>
          <w:p w:rsidR="00FC6E6D" w:rsidRPr="002D098B" w:rsidRDefault="00FC6E6D" w:rsidP="00FC6E6D">
            <w:pPr>
              <w:jc w:val="center"/>
              <w:rPr>
                <w:rFonts w:ascii="Calibri" w:hAnsi="Calibri" w:cs="Calibri"/>
                <w:b/>
                <w:bCs/>
                <w:sz w:val="22"/>
                <w:szCs w:val="22"/>
              </w:rPr>
            </w:pPr>
            <w:r>
              <w:rPr>
                <w:rFonts w:ascii="Calibri" w:hAnsi="Calibri"/>
                <w:b/>
                <w:bCs/>
                <w:sz w:val="22"/>
                <w:szCs w:val="22"/>
              </w:rPr>
              <w:t>31.12.2017.</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FC6E6D" w:rsidRPr="002D098B" w:rsidRDefault="00FC6E6D" w:rsidP="00FC6E6D">
            <w:pPr>
              <w:jc w:val="center"/>
              <w:rPr>
                <w:rFonts w:ascii="Calibri" w:hAnsi="Calibri" w:cs="Calibri"/>
                <w:b/>
                <w:bCs/>
                <w:sz w:val="22"/>
                <w:szCs w:val="22"/>
              </w:rPr>
            </w:pPr>
            <w:r>
              <w:rPr>
                <w:rFonts w:ascii="Calibri" w:hAnsi="Calibri"/>
                <w:b/>
                <w:bCs/>
                <w:sz w:val="22"/>
                <w:szCs w:val="22"/>
              </w:rPr>
              <w:t>31.12.2016</w:t>
            </w:r>
            <w:r>
              <w:rPr>
                <w:rFonts w:ascii="Calibri" w:hAnsi="Calibri"/>
                <w:b/>
                <w:bCs/>
                <w:sz w:val="22"/>
                <w:szCs w:val="22"/>
              </w:rPr>
              <w:br/>
              <w:t>readjusted</w:t>
            </w:r>
          </w:p>
        </w:tc>
        <w:tc>
          <w:tcPr>
            <w:tcW w:w="2268" w:type="dxa"/>
            <w:gridSpan w:val="2"/>
            <w:tcBorders>
              <w:top w:val="single" w:sz="4" w:space="0" w:color="auto"/>
              <w:left w:val="nil"/>
              <w:bottom w:val="single" w:sz="4" w:space="0" w:color="auto"/>
              <w:right w:val="single" w:sz="4" w:space="0" w:color="auto"/>
            </w:tcBorders>
            <w:shd w:val="clear" w:color="000000" w:fill="D9D9D9"/>
            <w:vAlign w:val="center"/>
            <w:hideMark/>
          </w:tcPr>
          <w:p w:rsidR="00FC6E6D" w:rsidRPr="002D098B" w:rsidRDefault="00FC6E6D" w:rsidP="00FC6E6D">
            <w:pPr>
              <w:jc w:val="center"/>
              <w:rPr>
                <w:rFonts w:ascii="Calibri" w:hAnsi="Calibri" w:cs="Calibri"/>
                <w:b/>
                <w:bCs/>
                <w:sz w:val="22"/>
                <w:szCs w:val="22"/>
              </w:rPr>
            </w:pPr>
            <w:r>
              <w:rPr>
                <w:rFonts w:ascii="Calibri" w:hAnsi="Calibri"/>
                <w:b/>
                <w:bCs/>
                <w:sz w:val="22"/>
                <w:szCs w:val="22"/>
              </w:rPr>
              <w:t>Diff. 2017 vs. 2016 (CHF and %)</w:t>
            </w:r>
          </w:p>
        </w:tc>
      </w:tr>
      <w:tr w:rsidR="00FC6E6D" w:rsidRPr="002D098B" w:rsidTr="00FC6E6D">
        <w:trPr>
          <w:trHeight w:val="255"/>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FC6E6D" w:rsidRPr="002D098B" w:rsidRDefault="00FC6E6D" w:rsidP="00FC6E6D">
            <w:pPr>
              <w:rPr>
                <w:rFonts w:ascii="Calibri" w:hAnsi="Calibri" w:cs="Calibri"/>
                <w:color w:val="000000"/>
                <w:sz w:val="22"/>
                <w:szCs w:val="22"/>
              </w:rPr>
            </w:pPr>
            <w:r>
              <w:rPr>
                <w:rFonts w:ascii="Calibri" w:hAnsi="Calibri"/>
                <w:color w:val="000000"/>
                <w:sz w:val="22"/>
                <w:szCs w:val="22"/>
              </w:rPr>
              <w:t xml:space="preserve">Personnel costs  </w:t>
            </w:r>
          </w:p>
        </w:tc>
        <w:tc>
          <w:tcPr>
            <w:tcW w:w="1275"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2,262,006</w:t>
            </w:r>
          </w:p>
        </w:tc>
        <w:tc>
          <w:tcPr>
            <w:tcW w:w="1560"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2,150,429</w:t>
            </w:r>
          </w:p>
        </w:tc>
        <w:tc>
          <w:tcPr>
            <w:tcW w:w="1275"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111,577</w:t>
            </w:r>
          </w:p>
        </w:tc>
        <w:tc>
          <w:tcPr>
            <w:tcW w:w="993"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4.93%</w:t>
            </w:r>
          </w:p>
        </w:tc>
      </w:tr>
      <w:tr w:rsidR="00FC6E6D" w:rsidRPr="002D098B" w:rsidTr="00FC6E6D">
        <w:trPr>
          <w:trHeight w:val="255"/>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FC6E6D" w:rsidRPr="002D098B" w:rsidRDefault="00FC6E6D" w:rsidP="00FC6E6D">
            <w:pPr>
              <w:rPr>
                <w:rFonts w:ascii="Calibri" w:hAnsi="Calibri" w:cs="Calibri"/>
                <w:color w:val="000000"/>
                <w:sz w:val="22"/>
                <w:szCs w:val="22"/>
              </w:rPr>
            </w:pPr>
            <w:r>
              <w:rPr>
                <w:rFonts w:ascii="Calibri" w:hAnsi="Calibri"/>
                <w:color w:val="000000"/>
                <w:sz w:val="22"/>
                <w:szCs w:val="22"/>
              </w:rPr>
              <w:t>Interns</w:t>
            </w:r>
          </w:p>
        </w:tc>
        <w:tc>
          <w:tcPr>
            <w:tcW w:w="1275"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12,343</w:t>
            </w:r>
          </w:p>
        </w:tc>
        <w:tc>
          <w:tcPr>
            <w:tcW w:w="1560"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0</w:t>
            </w:r>
          </w:p>
        </w:tc>
        <w:tc>
          <w:tcPr>
            <w:tcW w:w="1275"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12,343</w:t>
            </w:r>
          </w:p>
        </w:tc>
        <w:tc>
          <w:tcPr>
            <w:tcW w:w="993"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100.00%</w:t>
            </w:r>
          </w:p>
        </w:tc>
      </w:tr>
      <w:tr w:rsidR="00FC6E6D" w:rsidRPr="002D098B" w:rsidTr="00FC6E6D">
        <w:trPr>
          <w:trHeight w:val="255"/>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FC6E6D" w:rsidRPr="002D098B" w:rsidRDefault="00FC6E6D" w:rsidP="00FC6E6D">
            <w:pPr>
              <w:rPr>
                <w:rFonts w:ascii="Calibri" w:hAnsi="Calibri" w:cs="Calibri"/>
                <w:color w:val="000000"/>
                <w:sz w:val="22"/>
                <w:szCs w:val="22"/>
              </w:rPr>
            </w:pPr>
            <w:r>
              <w:rPr>
                <w:rFonts w:ascii="Calibri" w:hAnsi="Calibri"/>
                <w:color w:val="000000"/>
                <w:sz w:val="22"/>
                <w:szCs w:val="22"/>
              </w:rPr>
              <w:t>Travel and fellowships</w:t>
            </w:r>
          </w:p>
        </w:tc>
        <w:tc>
          <w:tcPr>
            <w:tcW w:w="1275"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467,811</w:t>
            </w:r>
          </w:p>
        </w:tc>
        <w:tc>
          <w:tcPr>
            <w:tcW w:w="1560"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405,862</w:t>
            </w:r>
          </w:p>
        </w:tc>
        <w:tc>
          <w:tcPr>
            <w:tcW w:w="1275"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61,949</w:t>
            </w:r>
          </w:p>
        </w:tc>
        <w:tc>
          <w:tcPr>
            <w:tcW w:w="993"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15.26%</w:t>
            </w:r>
          </w:p>
        </w:tc>
      </w:tr>
      <w:tr w:rsidR="00FC6E6D" w:rsidRPr="002D098B" w:rsidTr="00FC6E6D">
        <w:trPr>
          <w:trHeight w:val="255"/>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FC6E6D" w:rsidRPr="002D098B" w:rsidRDefault="00FC6E6D" w:rsidP="00FC6E6D">
            <w:pPr>
              <w:rPr>
                <w:rFonts w:ascii="Calibri" w:hAnsi="Calibri" w:cs="Calibri"/>
                <w:color w:val="000000"/>
                <w:sz w:val="22"/>
                <w:szCs w:val="22"/>
              </w:rPr>
            </w:pPr>
            <w:r>
              <w:rPr>
                <w:rFonts w:ascii="Calibri" w:hAnsi="Calibri"/>
                <w:color w:val="000000"/>
                <w:sz w:val="22"/>
                <w:szCs w:val="22"/>
              </w:rPr>
              <w:t>Contractual services</w:t>
            </w:r>
          </w:p>
        </w:tc>
        <w:tc>
          <w:tcPr>
            <w:tcW w:w="1275"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572,422</w:t>
            </w:r>
          </w:p>
        </w:tc>
        <w:tc>
          <w:tcPr>
            <w:tcW w:w="1560"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475,044</w:t>
            </w:r>
          </w:p>
        </w:tc>
        <w:tc>
          <w:tcPr>
            <w:tcW w:w="1275"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97,378</w:t>
            </w:r>
          </w:p>
        </w:tc>
        <w:tc>
          <w:tcPr>
            <w:tcW w:w="993"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20.50%</w:t>
            </w:r>
          </w:p>
        </w:tc>
      </w:tr>
      <w:tr w:rsidR="00FC6E6D" w:rsidRPr="002D098B" w:rsidTr="00FC6E6D">
        <w:trPr>
          <w:trHeight w:val="255"/>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FC6E6D" w:rsidRPr="002D098B" w:rsidRDefault="00FC6E6D" w:rsidP="00FC6E6D">
            <w:pPr>
              <w:rPr>
                <w:rFonts w:ascii="Calibri" w:hAnsi="Calibri" w:cs="Calibri"/>
                <w:color w:val="000000"/>
                <w:sz w:val="22"/>
                <w:szCs w:val="22"/>
              </w:rPr>
            </w:pPr>
            <w:r>
              <w:rPr>
                <w:rFonts w:ascii="Calibri" w:hAnsi="Calibri"/>
                <w:color w:val="000000"/>
                <w:sz w:val="22"/>
                <w:szCs w:val="22"/>
              </w:rPr>
              <w:t>Operating expenditure</w:t>
            </w:r>
          </w:p>
        </w:tc>
        <w:tc>
          <w:tcPr>
            <w:tcW w:w="1275"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619,227</w:t>
            </w:r>
          </w:p>
        </w:tc>
        <w:tc>
          <w:tcPr>
            <w:tcW w:w="1560"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620,567</w:t>
            </w:r>
          </w:p>
        </w:tc>
        <w:tc>
          <w:tcPr>
            <w:tcW w:w="1275"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-1,340</w:t>
            </w:r>
          </w:p>
        </w:tc>
        <w:tc>
          <w:tcPr>
            <w:tcW w:w="993"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-0.22%</w:t>
            </w:r>
          </w:p>
        </w:tc>
      </w:tr>
      <w:tr w:rsidR="00FC6E6D" w:rsidRPr="002D098B" w:rsidTr="00FC6E6D">
        <w:trPr>
          <w:trHeight w:val="255"/>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FC6E6D" w:rsidRPr="002D098B" w:rsidRDefault="00FC6E6D" w:rsidP="00FC6E6D">
            <w:pPr>
              <w:rPr>
                <w:rFonts w:ascii="Calibri" w:hAnsi="Calibri" w:cs="Calibri"/>
                <w:color w:val="000000"/>
                <w:sz w:val="22"/>
                <w:szCs w:val="22"/>
              </w:rPr>
            </w:pPr>
            <w:r>
              <w:rPr>
                <w:rFonts w:ascii="Calibri" w:hAnsi="Calibri"/>
                <w:color w:val="000000"/>
                <w:sz w:val="22"/>
                <w:szCs w:val="22"/>
              </w:rPr>
              <w:t>Materials and Supplies</w:t>
            </w:r>
          </w:p>
        </w:tc>
        <w:tc>
          <w:tcPr>
            <w:tcW w:w="1275"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972</w:t>
            </w:r>
          </w:p>
        </w:tc>
        <w:tc>
          <w:tcPr>
            <w:tcW w:w="1560"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842</w:t>
            </w:r>
          </w:p>
        </w:tc>
        <w:tc>
          <w:tcPr>
            <w:tcW w:w="1275"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130</w:t>
            </w:r>
          </w:p>
        </w:tc>
        <w:tc>
          <w:tcPr>
            <w:tcW w:w="993"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000000"/>
                <w:sz w:val="22"/>
                <w:szCs w:val="22"/>
              </w:rPr>
            </w:pPr>
            <w:r>
              <w:rPr>
                <w:rFonts w:ascii="Calibri" w:hAnsi="Calibri"/>
                <w:color w:val="000000"/>
                <w:sz w:val="22"/>
                <w:szCs w:val="22"/>
              </w:rPr>
              <w:t>15.44%</w:t>
            </w:r>
          </w:p>
        </w:tc>
      </w:tr>
      <w:tr w:rsidR="00FC6E6D" w:rsidRPr="002D098B" w:rsidTr="00FC6E6D">
        <w:trPr>
          <w:trHeight w:val="255"/>
        </w:trPr>
        <w:tc>
          <w:tcPr>
            <w:tcW w:w="3261" w:type="dxa"/>
            <w:tcBorders>
              <w:top w:val="nil"/>
              <w:left w:val="single" w:sz="4" w:space="0" w:color="auto"/>
              <w:bottom w:val="single" w:sz="4" w:space="0" w:color="auto"/>
              <w:right w:val="single" w:sz="4" w:space="0" w:color="auto"/>
            </w:tcBorders>
            <w:shd w:val="clear" w:color="000000" w:fill="FFFFCC"/>
            <w:noWrap/>
            <w:vAlign w:val="bottom"/>
            <w:hideMark/>
          </w:tcPr>
          <w:p w:rsidR="00FC6E6D" w:rsidRPr="002D098B" w:rsidRDefault="00FC6E6D" w:rsidP="00FC6E6D">
            <w:pPr>
              <w:rPr>
                <w:rFonts w:ascii="Calibri" w:hAnsi="Calibri" w:cs="Calibri"/>
                <w:b/>
                <w:bCs/>
                <w:i/>
                <w:iCs/>
                <w:color w:val="000000"/>
                <w:sz w:val="22"/>
                <w:szCs w:val="22"/>
              </w:rPr>
            </w:pPr>
            <w:r>
              <w:rPr>
                <w:rFonts w:ascii="Calibri" w:hAnsi="Calibri"/>
                <w:b/>
                <w:bCs/>
                <w:i/>
                <w:iCs/>
                <w:color w:val="000000"/>
                <w:sz w:val="22"/>
                <w:szCs w:val="22"/>
              </w:rPr>
              <w:t>Total expenditure</w:t>
            </w:r>
          </w:p>
        </w:tc>
        <w:tc>
          <w:tcPr>
            <w:tcW w:w="1275" w:type="dxa"/>
            <w:tcBorders>
              <w:top w:val="nil"/>
              <w:left w:val="nil"/>
              <w:bottom w:val="single" w:sz="4" w:space="0" w:color="auto"/>
              <w:right w:val="single" w:sz="4" w:space="0" w:color="auto"/>
            </w:tcBorders>
            <w:shd w:val="clear" w:color="000000" w:fill="FFFFCC"/>
            <w:noWrap/>
            <w:vAlign w:val="bottom"/>
            <w:hideMark/>
          </w:tcPr>
          <w:p w:rsidR="00FC6E6D" w:rsidRPr="002D098B" w:rsidRDefault="00FC6E6D" w:rsidP="00FC6E6D">
            <w:pPr>
              <w:jc w:val="right"/>
              <w:rPr>
                <w:rFonts w:ascii="Calibri" w:hAnsi="Calibri" w:cs="Calibri"/>
                <w:b/>
                <w:bCs/>
                <w:i/>
                <w:iCs/>
                <w:color w:val="000000"/>
                <w:sz w:val="22"/>
                <w:szCs w:val="22"/>
              </w:rPr>
            </w:pPr>
            <w:r>
              <w:rPr>
                <w:rFonts w:ascii="Calibri" w:hAnsi="Calibri"/>
                <w:b/>
                <w:bCs/>
                <w:i/>
                <w:iCs/>
                <w:color w:val="000000"/>
                <w:sz w:val="22"/>
                <w:szCs w:val="22"/>
              </w:rPr>
              <w:t>3,934,781</w:t>
            </w:r>
          </w:p>
        </w:tc>
        <w:tc>
          <w:tcPr>
            <w:tcW w:w="1560" w:type="dxa"/>
            <w:tcBorders>
              <w:top w:val="nil"/>
              <w:left w:val="nil"/>
              <w:bottom w:val="single" w:sz="4" w:space="0" w:color="auto"/>
              <w:right w:val="single" w:sz="4" w:space="0" w:color="auto"/>
            </w:tcBorders>
            <w:shd w:val="clear" w:color="000000" w:fill="FFFFCC"/>
            <w:noWrap/>
            <w:vAlign w:val="bottom"/>
            <w:hideMark/>
          </w:tcPr>
          <w:p w:rsidR="00FC6E6D" w:rsidRPr="002D098B" w:rsidRDefault="00FC6E6D" w:rsidP="00FC6E6D">
            <w:pPr>
              <w:jc w:val="right"/>
              <w:rPr>
                <w:rFonts w:ascii="Calibri" w:hAnsi="Calibri" w:cs="Calibri"/>
                <w:b/>
                <w:bCs/>
                <w:i/>
                <w:iCs/>
                <w:color w:val="000000"/>
                <w:sz w:val="22"/>
                <w:szCs w:val="22"/>
              </w:rPr>
            </w:pPr>
            <w:r>
              <w:rPr>
                <w:rFonts w:ascii="Calibri" w:hAnsi="Calibri"/>
                <w:b/>
                <w:bCs/>
                <w:i/>
                <w:iCs/>
                <w:color w:val="000000"/>
                <w:sz w:val="22"/>
                <w:szCs w:val="22"/>
              </w:rPr>
              <w:t>3,652,744</w:t>
            </w:r>
          </w:p>
        </w:tc>
        <w:tc>
          <w:tcPr>
            <w:tcW w:w="1275" w:type="dxa"/>
            <w:tcBorders>
              <w:top w:val="nil"/>
              <w:left w:val="nil"/>
              <w:bottom w:val="single" w:sz="4" w:space="0" w:color="auto"/>
              <w:right w:val="single" w:sz="4" w:space="0" w:color="auto"/>
            </w:tcBorders>
            <w:shd w:val="clear" w:color="000000" w:fill="FFFFCC"/>
            <w:noWrap/>
            <w:vAlign w:val="bottom"/>
            <w:hideMark/>
          </w:tcPr>
          <w:p w:rsidR="00FC6E6D" w:rsidRPr="002D098B" w:rsidRDefault="00FC6E6D" w:rsidP="00FC6E6D">
            <w:pPr>
              <w:jc w:val="right"/>
              <w:rPr>
                <w:rFonts w:ascii="Calibri" w:hAnsi="Calibri" w:cs="Calibri"/>
                <w:b/>
                <w:bCs/>
                <w:i/>
                <w:iCs/>
                <w:color w:val="000000"/>
                <w:sz w:val="22"/>
                <w:szCs w:val="22"/>
              </w:rPr>
            </w:pPr>
            <w:r>
              <w:rPr>
                <w:rFonts w:ascii="Calibri" w:hAnsi="Calibri"/>
                <w:b/>
                <w:bCs/>
                <w:i/>
                <w:iCs/>
                <w:color w:val="000000"/>
                <w:sz w:val="22"/>
                <w:szCs w:val="22"/>
              </w:rPr>
              <w:t>282,037</w:t>
            </w:r>
          </w:p>
        </w:tc>
        <w:tc>
          <w:tcPr>
            <w:tcW w:w="993" w:type="dxa"/>
            <w:tcBorders>
              <w:top w:val="nil"/>
              <w:left w:val="nil"/>
              <w:bottom w:val="single" w:sz="4" w:space="0" w:color="auto"/>
              <w:right w:val="single" w:sz="4" w:space="0" w:color="auto"/>
            </w:tcBorders>
            <w:shd w:val="clear" w:color="000000" w:fill="FFFFCC"/>
            <w:noWrap/>
            <w:vAlign w:val="bottom"/>
            <w:hideMark/>
          </w:tcPr>
          <w:p w:rsidR="00FC6E6D" w:rsidRPr="002D098B" w:rsidRDefault="00FC6E6D" w:rsidP="00FC6E6D">
            <w:pPr>
              <w:jc w:val="right"/>
              <w:rPr>
                <w:rFonts w:ascii="Calibri" w:hAnsi="Calibri" w:cs="Calibri"/>
                <w:b/>
                <w:bCs/>
                <w:i/>
                <w:iCs/>
                <w:color w:val="000000"/>
                <w:sz w:val="22"/>
                <w:szCs w:val="22"/>
              </w:rPr>
            </w:pPr>
            <w:r>
              <w:rPr>
                <w:rFonts w:ascii="Calibri" w:hAnsi="Calibri"/>
                <w:b/>
                <w:bCs/>
                <w:i/>
                <w:iCs/>
                <w:color w:val="000000"/>
                <w:sz w:val="22"/>
                <w:szCs w:val="22"/>
              </w:rPr>
              <w:t>7.72%</w:t>
            </w:r>
          </w:p>
        </w:tc>
      </w:tr>
      <w:tr w:rsidR="00FC6E6D" w:rsidRPr="002D098B" w:rsidTr="00FC6E6D">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FC6E6D" w:rsidRPr="002D098B" w:rsidRDefault="00FC6E6D" w:rsidP="00FC6E6D">
            <w:pPr>
              <w:rPr>
                <w:rFonts w:ascii="Calibri" w:hAnsi="Calibri" w:cs="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FC6E6D" w:rsidRPr="002D098B" w:rsidRDefault="00FC6E6D" w:rsidP="00FC6E6D">
            <w:pPr>
              <w:rPr>
                <w:rFonts w:ascii="Calibri" w:hAnsi="Calibri" w:cs="Calibri"/>
                <w:color w:val="000000"/>
                <w:sz w:val="22"/>
                <w:szCs w:val="22"/>
              </w:rPr>
            </w:pPr>
            <w:r>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000000" w:fill="FFFFFF"/>
            <w:noWrap/>
            <w:vAlign w:val="bottom"/>
            <w:hideMark/>
          </w:tcPr>
          <w:p w:rsidR="00FC6E6D" w:rsidRPr="002D098B" w:rsidRDefault="00FC6E6D" w:rsidP="00FC6E6D">
            <w:pPr>
              <w:rPr>
                <w:rFonts w:ascii="Calibri" w:hAnsi="Calibri" w:cs="Calibri"/>
                <w:color w:val="000000"/>
                <w:sz w:val="22"/>
                <w:szCs w:val="22"/>
              </w:rPr>
            </w:pPr>
            <w:r>
              <w:rPr>
                <w:rFonts w:ascii="Calibri" w:hAnsi="Calibri"/>
                <w:color w:val="000000"/>
                <w:sz w:val="22"/>
                <w:szCs w:val="22"/>
              </w:rPr>
              <w:t> </w:t>
            </w:r>
          </w:p>
        </w:tc>
        <w:tc>
          <w:tcPr>
            <w:tcW w:w="1275"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rPr>
                <w:rFonts w:ascii="Calibri" w:hAnsi="Calibri" w:cs="Calibri"/>
                <w:color w:val="000000"/>
                <w:sz w:val="22"/>
                <w:szCs w:val="22"/>
              </w:rPr>
            </w:pPr>
            <w:r>
              <w:rPr>
                <w:rFonts w:ascii="Calibri" w:hAnsi="Calibr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rPr>
                <w:rFonts w:ascii="Calibri" w:hAnsi="Calibri" w:cs="Calibri"/>
                <w:color w:val="000000"/>
                <w:sz w:val="22"/>
                <w:szCs w:val="22"/>
              </w:rPr>
            </w:pPr>
            <w:r>
              <w:rPr>
                <w:rFonts w:ascii="Calibri" w:hAnsi="Calibri"/>
                <w:color w:val="000000"/>
                <w:sz w:val="22"/>
                <w:szCs w:val="22"/>
              </w:rPr>
              <w:t> </w:t>
            </w:r>
          </w:p>
        </w:tc>
      </w:tr>
      <w:tr w:rsidR="00FC6E6D" w:rsidRPr="002D098B" w:rsidTr="00FC6E6D">
        <w:trPr>
          <w:trHeight w:val="255"/>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FC6E6D" w:rsidRPr="002D098B" w:rsidRDefault="00FC6E6D" w:rsidP="00FC6E6D">
            <w:pPr>
              <w:rPr>
                <w:rFonts w:ascii="Calibri" w:hAnsi="Calibri" w:cs="Calibri"/>
                <w:color w:val="5B2513"/>
                <w:sz w:val="22"/>
                <w:szCs w:val="22"/>
              </w:rPr>
            </w:pPr>
            <w:r>
              <w:rPr>
                <w:rFonts w:ascii="Calibri" w:hAnsi="Calibri"/>
                <w:color w:val="5B2513"/>
                <w:sz w:val="22"/>
                <w:szCs w:val="22"/>
              </w:rPr>
              <w:t xml:space="preserve">Contributions </w:t>
            </w:r>
          </w:p>
        </w:tc>
        <w:tc>
          <w:tcPr>
            <w:tcW w:w="1275" w:type="dxa"/>
            <w:tcBorders>
              <w:top w:val="nil"/>
              <w:left w:val="nil"/>
              <w:bottom w:val="single" w:sz="4" w:space="0" w:color="auto"/>
              <w:right w:val="single" w:sz="4" w:space="0" w:color="auto"/>
            </w:tcBorders>
            <w:shd w:val="clear" w:color="000000" w:fill="FFFFFF"/>
            <w:noWrap/>
            <w:vAlign w:val="bottom"/>
            <w:hideMark/>
          </w:tcPr>
          <w:p w:rsidR="00FC6E6D" w:rsidRPr="002D098B" w:rsidRDefault="00FC6E6D" w:rsidP="00FC6E6D">
            <w:pPr>
              <w:jc w:val="right"/>
              <w:rPr>
                <w:rFonts w:ascii="Calibri" w:hAnsi="Calibri" w:cs="Calibri"/>
                <w:color w:val="5B2513"/>
                <w:sz w:val="22"/>
                <w:szCs w:val="22"/>
              </w:rPr>
            </w:pPr>
            <w:r>
              <w:rPr>
                <w:rFonts w:ascii="Calibri" w:hAnsi="Calibri"/>
                <w:color w:val="5B2513"/>
                <w:sz w:val="22"/>
                <w:szCs w:val="22"/>
              </w:rPr>
              <w:t>-3,365,962</w:t>
            </w:r>
          </w:p>
        </w:tc>
        <w:tc>
          <w:tcPr>
            <w:tcW w:w="1560" w:type="dxa"/>
            <w:tcBorders>
              <w:top w:val="nil"/>
              <w:left w:val="nil"/>
              <w:bottom w:val="single" w:sz="4" w:space="0" w:color="auto"/>
              <w:right w:val="single" w:sz="4" w:space="0" w:color="auto"/>
            </w:tcBorders>
            <w:shd w:val="clear" w:color="000000" w:fill="FFFFFF"/>
            <w:noWrap/>
            <w:vAlign w:val="bottom"/>
            <w:hideMark/>
          </w:tcPr>
          <w:p w:rsidR="00FC6E6D" w:rsidRPr="002D098B" w:rsidRDefault="00FC6E6D" w:rsidP="00FC6E6D">
            <w:pPr>
              <w:jc w:val="right"/>
              <w:rPr>
                <w:rFonts w:ascii="Calibri" w:hAnsi="Calibri" w:cs="Calibri"/>
                <w:color w:val="5B2513"/>
                <w:sz w:val="22"/>
                <w:szCs w:val="22"/>
              </w:rPr>
            </w:pPr>
            <w:r>
              <w:rPr>
                <w:rFonts w:ascii="Calibri" w:hAnsi="Calibri"/>
                <w:color w:val="5B2513"/>
                <w:sz w:val="22"/>
                <w:szCs w:val="22"/>
              </w:rPr>
              <w:t>-3,365,962</w:t>
            </w:r>
          </w:p>
        </w:tc>
        <w:tc>
          <w:tcPr>
            <w:tcW w:w="1275"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5B2513"/>
                <w:sz w:val="22"/>
                <w:szCs w:val="22"/>
              </w:rPr>
            </w:pPr>
            <w:r>
              <w:rPr>
                <w:rFonts w:ascii="Calibri" w:hAnsi="Calibri"/>
                <w:color w:val="5B2513"/>
                <w:sz w:val="22"/>
                <w:szCs w:val="22"/>
              </w:rPr>
              <w:t>0</w:t>
            </w:r>
          </w:p>
        </w:tc>
        <w:tc>
          <w:tcPr>
            <w:tcW w:w="993"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5B2513"/>
                <w:sz w:val="22"/>
                <w:szCs w:val="22"/>
              </w:rPr>
            </w:pPr>
            <w:r>
              <w:rPr>
                <w:rFonts w:ascii="Calibri" w:hAnsi="Calibri"/>
                <w:color w:val="5B2513"/>
                <w:sz w:val="22"/>
                <w:szCs w:val="22"/>
              </w:rPr>
              <w:t>0.00%</w:t>
            </w:r>
          </w:p>
        </w:tc>
      </w:tr>
      <w:tr w:rsidR="00FC6E6D" w:rsidRPr="002D098B" w:rsidTr="00FC6E6D">
        <w:trPr>
          <w:trHeight w:val="255"/>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FC6E6D" w:rsidRPr="002D098B" w:rsidRDefault="00FC6E6D" w:rsidP="00FC6E6D">
            <w:pPr>
              <w:rPr>
                <w:rFonts w:ascii="Calibri" w:hAnsi="Calibri" w:cs="Calibri"/>
                <w:color w:val="5B2513"/>
                <w:sz w:val="22"/>
                <w:szCs w:val="22"/>
              </w:rPr>
            </w:pPr>
            <w:r>
              <w:rPr>
                <w:rFonts w:ascii="Calibri" w:hAnsi="Calibri"/>
                <w:color w:val="5B2513"/>
                <w:sz w:val="22"/>
                <w:szCs w:val="22"/>
              </w:rPr>
              <w:t>Extra-budgetary resources</w:t>
            </w:r>
          </w:p>
        </w:tc>
        <w:tc>
          <w:tcPr>
            <w:tcW w:w="1275" w:type="dxa"/>
            <w:tcBorders>
              <w:top w:val="nil"/>
              <w:left w:val="nil"/>
              <w:bottom w:val="single" w:sz="4" w:space="0" w:color="auto"/>
              <w:right w:val="single" w:sz="4" w:space="0" w:color="auto"/>
            </w:tcBorders>
            <w:shd w:val="clear" w:color="000000" w:fill="FFFFFF"/>
            <w:noWrap/>
            <w:vAlign w:val="bottom"/>
            <w:hideMark/>
          </w:tcPr>
          <w:p w:rsidR="00FC6E6D" w:rsidRPr="002D098B" w:rsidRDefault="00FC6E6D" w:rsidP="00FC6E6D">
            <w:pPr>
              <w:jc w:val="right"/>
              <w:rPr>
                <w:rFonts w:ascii="Calibri" w:hAnsi="Calibri" w:cs="Calibri"/>
                <w:color w:val="5B2513"/>
                <w:sz w:val="22"/>
                <w:szCs w:val="22"/>
              </w:rPr>
            </w:pPr>
            <w:r>
              <w:rPr>
                <w:rFonts w:ascii="Calibri" w:hAnsi="Calibri"/>
                <w:color w:val="5B2513"/>
                <w:sz w:val="22"/>
                <w:szCs w:val="22"/>
              </w:rPr>
              <w:t>-257,525</w:t>
            </w:r>
          </w:p>
        </w:tc>
        <w:tc>
          <w:tcPr>
            <w:tcW w:w="1560" w:type="dxa"/>
            <w:tcBorders>
              <w:top w:val="nil"/>
              <w:left w:val="nil"/>
              <w:bottom w:val="single" w:sz="4" w:space="0" w:color="auto"/>
              <w:right w:val="single" w:sz="4" w:space="0" w:color="auto"/>
            </w:tcBorders>
            <w:shd w:val="clear" w:color="000000" w:fill="FFFFFF"/>
            <w:noWrap/>
            <w:vAlign w:val="bottom"/>
            <w:hideMark/>
          </w:tcPr>
          <w:p w:rsidR="00FC6E6D" w:rsidRPr="002D098B" w:rsidRDefault="00FC6E6D" w:rsidP="00FC6E6D">
            <w:pPr>
              <w:jc w:val="right"/>
              <w:rPr>
                <w:rFonts w:ascii="Calibri" w:hAnsi="Calibri" w:cs="Calibri"/>
                <w:color w:val="5B2513"/>
                <w:sz w:val="22"/>
                <w:szCs w:val="22"/>
              </w:rPr>
            </w:pPr>
            <w:r>
              <w:rPr>
                <w:rFonts w:ascii="Calibri" w:hAnsi="Calibri"/>
                <w:color w:val="5B2513"/>
                <w:sz w:val="22"/>
                <w:szCs w:val="22"/>
              </w:rPr>
              <w:t>-357,839</w:t>
            </w:r>
          </w:p>
        </w:tc>
        <w:tc>
          <w:tcPr>
            <w:tcW w:w="1275"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5B2513"/>
                <w:sz w:val="22"/>
                <w:szCs w:val="22"/>
              </w:rPr>
            </w:pPr>
            <w:r>
              <w:rPr>
                <w:rFonts w:ascii="Calibri" w:hAnsi="Calibri"/>
                <w:color w:val="5B2513"/>
                <w:sz w:val="22"/>
                <w:szCs w:val="22"/>
              </w:rPr>
              <w:t>-100,314</w:t>
            </w:r>
          </w:p>
        </w:tc>
        <w:tc>
          <w:tcPr>
            <w:tcW w:w="993"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5B2513"/>
                <w:sz w:val="22"/>
                <w:szCs w:val="22"/>
              </w:rPr>
            </w:pPr>
            <w:r>
              <w:rPr>
                <w:rFonts w:ascii="Calibri" w:hAnsi="Calibri"/>
                <w:color w:val="5B2513"/>
                <w:sz w:val="22"/>
                <w:szCs w:val="22"/>
              </w:rPr>
              <w:t>28.03%</w:t>
            </w:r>
          </w:p>
        </w:tc>
      </w:tr>
      <w:tr w:rsidR="00FC6E6D" w:rsidRPr="002D098B" w:rsidTr="00FC6E6D">
        <w:trPr>
          <w:trHeight w:val="255"/>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rsidR="00FC6E6D" w:rsidRPr="002D098B" w:rsidRDefault="00FC6E6D" w:rsidP="00FC6E6D">
            <w:pPr>
              <w:rPr>
                <w:rFonts w:ascii="Calibri" w:hAnsi="Calibri" w:cs="Calibri"/>
                <w:color w:val="5B2513"/>
                <w:sz w:val="22"/>
                <w:szCs w:val="22"/>
              </w:rPr>
            </w:pPr>
            <w:r>
              <w:rPr>
                <w:rFonts w:ascii="Calibri" w:hAnsi="Calibri"/>
                <w:color w:val="5B2513"/>
                <w:sz w:val="22"/>
                <w:szCs w:val="22"/>
              </w:rPr>
              <w:t>Other income</w:t>
            </w:r>
          </w:p>
        </w:tc>
        <w:tc>
          <w:tcPr>
            <w:tcW w:w="1275" w:type="dxa"/>
            <w:tcBorders>
              <w:top w:val="nil"/>
              <w:left w:val="nil"/>
              <w:bottom w:val="single" w:sz="4" w:space="0" w:color="auto"/>
              <w:right w:val="single" w:sz="4" w:space="0" w:color="auto"/>
            </w:tcBorders>
            <w:shd w:val="clear" w:color="000000" w:fill="FFFFFF"/>
            <w:noWrap/>
            <w:vAlign w:val="bottom"/>
            <w:hideMark/>
          </w:tcPr>
          <w:p w:rsidR="00FC6E6D" w:rsidRPr="002D098B" w:rsidRDefault="00FC6E6D" w:rsidP="00FC6E6D">
            <w:pPr>
              <w:jc w:val="right"/>
              <w:rPr>
                <w:rFonts w:ascii="Calibri" w:hAnsi="Calibri" w:cs="Calibri"/>
                <w:color w:val="5B2513"/>
                <w:sz w:val="22"/>
                <w:szCs w:val="22"/>
              </w:rPr>
            </w:pPr>
            <w:r>
              <w:rPr>
                <w:rFonts w:ascii="Calibri" w:hAnsi="Calibri"/>
                <w:color w:val="5B2513"/>
                <w:sz w:val="22"/>
                <w:szCs w:val="22"/>
              </w:rPr>
              <w:t>-20,931</w:t>
            </w:r>
          </w:p>
        </w:tc>
        <w:tc>
          <w:tcPr>
            <w:tcW w:w="1560" w:type="dxa"/>
            <w:tcBorders>
              <w:top w:val="nil"/>
              <w:left w:val="nil"/>
              <w:bottom w:val="single" w:sz="4" w:space="0" w:color="auto"/>
              <w:right w:val="single" w:sz="4" w:space="0" w:color="auto"/>
            </w:tcBorders>
            <w:shd w:val="clear" w:color="000000" w:fill="FFFFFF"/>
            <w:noWrap/>
            <w:vAlign w:val="bottom"/>
            <w:hideMark/>
          </w:tcPr>
          <w:p w:rsidR="00FC6E6D" w:rsidRPr="002D098B" w:rsidRDefault="00FC6E6D" w:rsidP="00FC6E6D">
            <w:pPr>
              <w:jc w:val="right"/>
              <w:rPr>
                <w:rFonts w:ascii="Calibri" w:hAnsi="Calibri" w:cs="Calibri"/>
                <w:color w:val="5B2513"/>
                <w:sz w:val="22"/>
                <w:szCs w:val="22"/>
              </w:rPr>
            </w:pPr>
            <w:r>
              <w:rPr>
                <w:rFonts w:ascii="Calibri" w:hAnsi="Calibri"/>
                <w:color w:val="5B2513"/>
                <w:sz w:val="22"/>
                <w:szCs w:val="22"/>
              </w:rPr>
              <w:t>-22,519</w:t>
            </w:r>
          </w:p>
        </w:tc>
        <w:tc>
          <w:tcPr>
            <w:tcW w:w="1275"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5B2513"/>
                <w:sz w:val="22"/>
                <w:szCs w:val="22"/>
              </w:rPr>
            </w:pPr>
            <w:r>
              <w:rPr>
                <w:rFonts w:ascii="Calibri" w:hAnsi="Calibri"/>
                <w:color w:val="5B2513"/>
                <w:sz w:val="22"/>
                <w:szCs w:val="22"/>
              </w:rPr>
              <w:t>-1,588</w:t>
            </w:r>
          </w:p>
        </w:tc>
        <w:tc>
          <w:tcPr>
            <w:tcW w:w="993" w:type="dxa"/>
            <w:tcBorders>
              <w:top w:val="nil"/>
              <w:left w:val="nil"/>
              <w:bottom w:val="single" w:sz="4" w:space="0" w:color="auto"/>
              <w:right w:val="single" w:sz="4" w:space="0" w:color="auto"/>
            </w:tcBorders>
            <w:shd w:val="clear" w:color="auto" w:fill="auto"/>
            <w:noWrap/>
            <w:vAlign w:val="bottom"/>
            <w:hideMark/>
          </w:tcPr>
          <w:p w:rsidR="00FC6E6D" w:rsidRPr="002D098B" w:rsidRDefault="00FC6E6D" w:rsidP="00FC6E6D">
            <w:pPr>
              <w:jc w:val="right"/>
              <w:rPr>
                <w:rFonts w:ascii="Calibri" w:hAnsi="Calibri" w:cs="Calibri"/>
                <w:color w:val="5B2513"/>
                <w:sz w:val="22"/>
                <w:szCs w:val="22"/>
              </w:rPr>
            </w:pPr>
            <w:r>
              <w:rPr>
                <w:rFonts w:ascii="Calibri" w:hAnsi="Calibri"/>
                <w:color w:val="5B2513"/>
                <w:sz w:val="22"/>
                <w:szCs w:val="22"/>
              </w:rPr>
              <w:t>7.05%</w:t>
            </w:r>
          </w:p>
        </w:tc>
      </w:tr>
      <w:tr w:rsidR="00FC6E6D" w:rsidRPr="002D098B" w:rsidTr="00FC6E6D">
        <w:trPr>
          <w:trHeight w:val="255"/>
        </w:trPr>
        <w:tc>
          <w:tcPr>
            <w:tcW w:w="3261" w:type="dxa"/>
            <w:tcBorders>
              <w:top w:val="nil"/>
              <w:left w:val="single" w:sz="4" w:space="0" w:color="auto"/>
              <w:bottom w:val="single" w:sz="4" w:space="0" w:color="auto"/>
              <w:right w:val="single" w:sz="4" w:space="0" w:color="auto"/>
            </w:tcBorders>
            <w:shd w:val="clear" w:color="000000" w:fill="FFFFCC"/>
            <w:noWrap/>
            <w:vAlign w:val="bottom"/>
            <w:hideMark/>
          </w:tcPr>
          <w:p w:rsidR="00FC6E6D" w:rsidRPr="002D098B" w:rsidRDefault="00FC6E6D" w:rsidP="00FC6E6D">
            <w:pPr>
              <w:rPr>
                <w:rFonts w:ascii="Calibri" w:hAnsi="Calibri" w:cs="Calibri"/>
                <w:b/>
                <w:bCs/>
                <w:i/>
                <w:iCs/>
                <w:color w:val="5B2513"/>
                <w:sz w:val="22"/>
                <w:szCs w:val="22"/>
              </w:rPr>
            </w:pPr>
            <w:r>
              <w:rPr>
                <w:rFonts w:ascii="Calibri" w:hAnsi="Calibri"/>
                <w:b/>
                <w:bCs/>
                <w:i/>
                <w:iCs/>
                <w:color w:val="5B2513"/>
                <w:sz w:val="22"/>
                <w:szCs w:val="22"/>
              </w:rPr>
              <w:t>Total income</w:t>
            </w:r>
          </w:p>
        </w:tc>
        <w:tc>
          <w:tcPr>
            <w:tcW w:w="1275" w:type="dxa"/>
            <w:tcBorders>
              <w:top w:val="nil"/>
              <w:left w:val="nil"/>
              <w:bottom w:val="single" w:sz="4" w:space="0" w:color="auto"/>
              <w:right w:val="single" w:sz="4" w:space="0" w:color="auto"/>
            </w:tcBorders>
            <w:shd w:val="clear" w:color="000000" w:fill="FFFFCC"/>
            <w:noWrap/>
            <w:vAlign w:val="bottom"/>
            <w:hideMark/>
          </w:tcPr>
          <w:p w:rsidR="00FC6E6D" w:rsidRPr="002D098B" w:rsidRDefault="00FC6E6D" w:rsidP="00FC6E6D">
            <w:pPr>
              <w:jc w:val="right"/>
              <w:rPr>
                <w:rFonts w:ascii="Calibri" w:hAnsi="Calibri" w:cs="Calibri"/>
                <w:b/>
                <w:bCs/>
                <w:i/>
                <w:iCs/>
                <w:color w:val="5B2513"/>
                <w:sz w:val="22"/>
                <w:szCs w:val="22"/>
              </w:rPr>
            </w:pPr>
            <w:r>
              <w:rPr>
                <w:rFonts w:ascii="Calibri" w:hAnsi="Calibri"/>
                <w:b/>
                <w:bCs/>
                <w:i/>
                <w:iCs/>
                <w:color w:val="5B2513"/>
                <w:sz w:val="22"/>
                <w:szCs w:val="22"/>
              </w:rPr>
              <w:t>-3,644,418</w:t>
            </w:r>
          </w:p>
        </w:tc>
        <w:tc>
          <w:tcPr>
            <w:tcW w:w="1560" w:type="dxa"/>
            <w:tcBorders>
              <w:top w:val="nil"/>
              <w:left w:val="nil"/>
              <w:bottom w:val="single" w:sz="4" w:space="0" w:color="auto"/>
              <w:right w:val="single" w:sz="4" w:space="0" w:color="auto"/>
            </w:tcBorders>
            <w:shd w:val="clear" w:color="000000" w:fill="FFFFCC"/>
            <w:noWrap/>
            <w:vAlign w:val="bottom"/>
            <w:hideMark/>
          </w:tcPr>
          <w:p w:rsidR="00FC6E6D" w:rsidRPr="002D098B" w:rsidRDefault="00FC6E6D" w:rsidP="00FC6E6D">
            <w:pPr>
              <w:jc w:val="right"/>
              <w:rPr>
                <w:rFonts w:ascii="Calibri" w:hAnsi="Calibri" w:cs="Calibri"/>
                <w:b/>
                <w:bCs/>
                <w:i/>
                <w:iCs/>
                <w:color w:val="5B2513"/>
                <w:sz w:val="22"/>
                <w:szCs w:val="22"/>
              </w:rPr>
            </w:pPr>
            <w:r>
              <w:rPr>
                <w:rFonts w:ascii="Calibri" w:hAnsi="Calibri"/>
                <w:b/>
                <w:bCs/>
                <w:i/>
                <w:iCs/>
                <w:color w:val="5B2513"/>
                <w:sz w:val="22"/>
                <w:szCs w:val="22"/>
              </w:rPr>
              <w:t>-3,746,320</w:t>
            </w:r>
          </w:p>
        </w:tc>
        <w:tc>
          <w:tcPr>
            <w:tcW w:w="1275" w:type="dxa"/>
            <w:tcBorders>
              <w:top w:val="nil"/>
              <w:left w:val="nil"/>
              <w:bottom w:val="single" w:sz="4" w:space="0" w:color="auto"/>
              <w:right w:val="single" w:sz="4" w:space="0" w:color="auto"/>
            </w:tcBorders>
            <w:shd w:val="clear" w:color="000000" w:fill="FFFFCC"/>
            <w:noWrap/>
            <w:vAlign w:val="bottom"/>
            <w:hideMark/>
          </w:tcPr>
          <w:p w:rsidR="00FC6E6D" w:rsidRPr="002D098B" w:rsidRDefault="00FC6E6D" w:rsidP="00FC6E6D">
            <w:pPr>
              <w:jc w:val="right"/>
              <w:rPr>
                <w:rFonts w:ascii="Calibri" w:hAnsi="Calibri" w:cs="Calibri"/>
                <w:b/>
                <w:bCs/>
                <w:i/>
                <w:iCs/>
                <w:color w:val="5B2513"/>
                <w:sz w:val="22"/>
                <w:szCs w:val="22"/>
              </w:rPr>
            </w:pPr>
            <w:r>
              <w:rPr>
                <w:rFonts w:ascii="Calibri" w:hAnsi="Calibri"/>
                <w:b/>
                <w:bCs/>
                <w:i/>
                <w:iCs/>
                <w:color w:val="5B2513"/>
                <w:sz w:val="22"/>
                <w:szCs w:val="22"/>
              </w:rPr>
              <w:t>-101,902</w:t>
            </w:r>
          </w:p>
        </w:tc>
        <w:tc>
          <w:tcPr>
            <w:tcW w:w="993" w:type="dxa"/>
            <w:tcBorders>
              <w:top w:val="nil"/>
              <w:left w:val="nil"/>
              <w:bottom w:val="single" w:sz="4" w:space="0" w:color="auto"/>
              <w:right w:val="single" w:sz="4" w:space="0" w:color="auto"/>
            </w:tcBorders>
            <w:shd w:val="clear" w:color="000000" w:fill="FFFFCC"/>
            <w:noWrap/>
            <w:vAlign w:val="bottom"/>
            <w:hideMark/>
          </w:tcPr>
          <w:p w:rsidR="00FC6E6D" w:rsidRPr="002D098B" w:rsidRDefault="00FC6E6D" w:rsidP="00FC6E6D">
            <w:pPr>
              <w:jc w:val="right"/>
              <w:rPr>
                <w:rFonts w:ascii="Calibri" w:hAnsi="Calibri" w:cs="Calibri"/>
                <w:b/>
                <w:bCs/>
                <w:i/>
                <w:iCs/>
                <w:color w:val="5B2513"/>
                <w:sz w:val="22"/>
                <w:szCs w:val="22"/>
              </w:rPr>
            </w:pPr>
            <w:r>
              <w:rPr>
                <w:rFonts w:ascii="Calibri" w:hAnsi="Calibri"/>
                <w:b/>
                <w:bCs/>
                <w:i/>
                <w:iCs/>
                <w:color w:val="5B2513"/>
                <w:sz w:val="22"/>
                <w:szCs w:val="22"/>
              </w:rPr>
              <w:t>2.72%</w:t>
            </w:r>
          </w:p>
        </w:tc>
      </w:tr>
      <w:tr w:rsidR="00FC6E6D" w:rsidRPr="002D098B" w:rsidTr="00FC6E6D">
        <w:trPr>
          <w:trHeight w:val="255"/>
        </w:trPr>
        <w:tc>
          <w:tcPr>
            <w:tcW w:w="3261" w:type="dxa"/>
            <w:tcBorders>
              <w:top w:val="nil"/>
              <w:left w:val="single" w:sz="4" w:space="0" w:color="auto"/>
              <w:bottom w:val="single" w:sz="4" w:space="0" w:color="auto"/>
              <w:right w:val="single" w:sz="4" w:space="0" w:color="auto"/>
            </w:tcBorders>
            <w:shd w:val="clear" w:color="000000" w:fill="FFC000"/>
            <w:noWrap/>
            <w:vAlign w:val="bottom"/>
            <w:hideMark/>
          </w:tcPr>
          <w:p w:rsidR="00FC6E6D" w:rsidRPr="002D098B" w:rsidRDefault="00A22F48" w:rsidP="00FC6E6D">
            <w:pPr>
              <w:rPr>
                <w:rFonts w:ascii="Calibri" w:hAnsi="Calibri" w:cs="Calibri"/>
                <w:b/>
                <w:bCs/>
                <w:color w:val="000000"/>
                <w:sz w:val="22"/>
                <w:szCs w:val="22"/>
              </w:rPr>
            </w:pPr>
            <w:r>
              <w:rPr>
                <w:rFonts w:ascii="Calibri" w:hAnsi="Calibri"/>
                <w:b/>
                <w:bCs/>
                <w:sz w:val="22"/>
                <w:szCs w:val="22"/>
              </w:rPr>
              <w:t>(</w:t>
            </w:r>
            <w:r w:rsidR="00FC6E6D">
              <w:rPr>
                <w:rFonts w:ascii="Calibri" w:hAnsi="Calibri"/>
                <w:b/>
                <w:bCs/>
                <w:sz w:val="22"/>
                <w:szCs w:val="22"/>
              </w:rPr>
              <w:t>Profit</w:t>
            </w:r>
            <w:r>
              <w:rPr>
                <w:rFonts w:ascii="Calibri" w:hAnsi="Calibri"/>
                <w:b/>
                <w:bCs/>
                <w:sz w:val="22"/>
                <w:szCs w:val="22"/>
              </w:rPr>
              <w:t xml:space="preserve">) </w:t>
            </w:r>
            <w:r w:rsidR="00FC6E6D">
              <w:rPr>
                <w:rFonts w:ascii="Calibri" w:hAnsi="Calibri"/>
                <w:b/>
                <w:bCs/>
                <w:sz w:val="22"/>
                <w:szCs w:val="22"/>
              </w:rPr>
              <w:t>/</w:t>
            </w:r>
            <w:r>
              <w:rPr>
                <w:rFonts w:ascii="Calibri" w:hAnsi="Calibri"/>
                <w:b/>
                <w:bCs/>
                <w:sz w:val="22"/>
                <w:szCs w:val="22"/>
              </w:rPr>
              <w:t xml:space="preserve"> </w:t>
            </w:r>
            <w:r w:rsidR="00FC6E6D">
              <w:rPr>
                <w:rFonts w:ascii="Calibri" w:hAnsi="Calibri"/>
                <w:b/>
                <w:bCs/>
                <w:sz w:val="22"/>
                <w:szCs w:val="22"/>
              </w:rPr>
              <w:t>loss</w:t>
            </w:r>
          </w:p>
        </w:tc>
        <w:tc>
          <w:tcPr>
            <w:tcW w:w="1275" w:type="dxa"/>
            <w:tcBorders>
              <w:top w:val="nil"/>
              <w:left w:val="nil"/>
              <w:bottom w:val="single" w:sz="4" w:space="0" w:color="auto"/>
              <w:right w:val="single" w:sz="4" w:space="0" w:color="auto"/>
            </w:tcBorders>
            <w:shd w:val="clear" w:color="000000" w:fill="FFC000"/>
            <w:noWrap/>
            <w:vAlign w:val="bottom"/>
            <w:hideMark/>
          </w:tcPr>
          <w:p w:rsidR="00FC6E6D" w:rsidRPr="002D098B" w:rsidRDefault="00FC6E6D" w:rsidP="00FC6E6D">
            <w:pPr>
              <w:jc w:val="right"/>
              <w:rPr>
                <w:rFonts w:ascii="Calibri" w:hAnsi="Calibri" w:cs="Calibri"/>
                <w:b/>
                <w:bCs/>
                <w:color w:val="002060"/>
                <w:sz w:val="22"/>
                <w:szCs w:val="22"/>
              </w:rPr>
            </w:pPr>
            <w:r>
              <w:rPr>
                <w:rFonts w:ascii="Calibri" w:hAnsi="Calibri"/>
                <w:b/>
                <w:bCs/>
                <w:color w:val="002060"/>
                <w:sz w:val="22"/>
                <w:szCs w:val="22"/>
              </w:rPr>
              <w:t>290,363</w:t>
            </w:r>
          </w:p>
        </w:tc>
        <w:tc>
          <w:tcPr>
            <w:tcW w:w="1560" w:type="dxa"/>
            <w:tcBorders>
              <w:top w:val="nil"/>
              <w:left w:val="nil"/>
              <w:bottom w:val="single" w:sz="4" w:space="0" w:color="auto"/>
              <w:right w:val="single" w:sz="4" w:space="0" w:color="auto"/>
            </w:tcBorders>
            <w:shd w:val="clear" w:color="000000" w:fill="FFC000"/>
            <w:noWrap/>
            <w:vAlign w:val="bottom"/>
            <w:hideMark/>
          </w:tcPr>
          <w:p w:rsidR="00FC6E6D" w:rsidRPr="002D098B" w:rsidRDefault="00FC6E6D" w:rsidP="00FC6E6D">
            <w:pPr>
              <w:jc w:val="right"/>
              <w:rPr>
                <w:rFonts w:ascii="Calibri" w:hAnsi="Calibri" w:cs="Calibri"/>
                <w:b/>
                <w:bCs/>
                <w:color w:val="002060"/>
                <w:sz w:val="22"/>
                <w:szCs w:val="22"/>
              </w:rPr>
            </w:pPr>
            <w:r>
              <w:rPr>
                <w:rFonts w:ascii="Calibri" w:hAnsi="Calibri"/>
                <w:b/>
                <w:bCs/>
                <w:color w:val="002060"/>
                <w:sz w:val="22"/>
                <w:szCs w:val="22"/>
              </w:rPr>
              <w:t>-93,576</w:t>
            </w:r>
          </w:p>
        </w:tc>
        <w:tc>
          <w:tcPr>
            <w:tcW w:w="2268" w:type="dxa"/>
            <w:gridSpan w:val="2"/>
            <w:tcBorders>
              <w:top w:val="single" w:sz="4" w:space="0" w:color="auto"/>
              <w:left w:val="nil"/>
              <w:bottom w:val="nil"/>
              <w:right w:val="nil"/>
            </w:tcBorders>
            <w:shd w:val="clear" w:color="auto" w:fill="auto"/>
            <w:noWrap/>
            <w:vAlign w:val="bottom"/>
            <w:hideMark/>
          </w:tcPr>
          <w:p w:rsidR="00FC6E6D" w:rsidRPr="002D098B" w:rsidRDefault="00FC6E6D" w:rsidP="00FC6E6D">
            <w:pPr>
              <w:jc w:val="center"/>
              <w:rPr>
                <w:rFonts w:ascii="Calibri" w:hAnsi="Calibri" w:cs="Calibri"/>
                <w:color w:val="000000"/>
                <w:sz w:val="22"/>
                <w:szCs w:val="22"/>
              </w:rPr>
            </w:pPr>
            <w:r>
              <w:rPr>
                <w:rFonts w:ascii="Calibri" w:hAnsi="Calibri"/>
                <w:color w:val="000000"/>
                <w:sz w:val="22"/>
                <w:szCs w:val="22"/>
              </w:rPr>
              <w:t xml:space="preserve">  </w:t>
            </w:r>
          </w:p>
        </w:tc>
      </w:tr>
    </w:tbl>
    <w:p w:rsidR="00FC6E6D" w:rsidRPr="00A22F48" w:rsidRDefault="00FC6E6D" w:rsidP="00A22F48">
      <w:pPr>
        <w:pStyle w:val="TexteNumroEFK"/>
        <w:numPr>
          <w:ilvl w:val="0"/>
          <w:numId w:val="0"/>
        </w:numPr>
        <w:spacing w:before="240" w:after="240"/>
        <w:jc w:val="center"/>
        <w:rPr>
          <w:b/>
          <w:sz w:val="20"/>
          <w:szCs w:val="20"/>
        </w:rPr>
      </w:pPr>
      <w:r w:rsidRPr="00A22F48">
        <w:rPr>
          <w:b/>
          <w:sz w:val="20"/>
          <w:szCs w:val="20"/>
        </w:rPr>
        <w:t>Table 7:   Comparison of income and expenditure for 2017 and readjusted figures for 2016</w:t>
      </w:r>
    </w:p>
    <w:p w:rsidR="00FC6E6D" w:rsidRPr="002F6E30" w:rsidRDefault="00FC6E6D" w:rsidP="00FC6E6D">
      <w:pPr>
        <w:pStyle w:val="TexteNumroEFK"/>
        <w:ind w:left="503" w:hanging="352"/>
        <w:rPr>
          <w:rFonts w:cstheme="minorHAnsi"/>
        </w:rPr>
      </w:pPr>
      <w:r>
        <w:t>Personnel costs increased by 112,000 Swiss francs in 2017 to over 2,262 million Swiss francs more due to a rise in dependency allowances, an increase in overtime, home leave and accumulated leave expenses, or even school fees, for example.  It should be noted that the decline in personnel costs is offset by the hiring of temporary staff.</w:t>
      </w:r>
    </w:p>
    <w:p w:rsidR="00FC6E6D" w:rsidRPr="002F6E30" w:rsidRDefault="00FC6E6D" w:rsidP="00FC6E6D">
      <w:pPr>
        <w:pStyle w:val="TexteNumroEFK"/>
        <w:ind w:left="503" w:hanging="352"/>
        <w:rPr>
          <w:rFonts w:cstheme="minorHAnsi"/>
        </w:rPr>
      </w:pPr>
      <w:r>
        <w:t>Travel and fellowships expenditure amounted to 468,000 Swiss francs.  In 2016, it was approximately 406,000 Swiss francs or 62,000 Swiss francs less.</w:t>
      </w:r>
    </w:p>
    <w:p w:rsidR="00FC6E6D" w:rsidRPr="00AD10F1" w:rsidRDefault="00FC6E6D" w:rsidP="00FC6E6D">
      <w:pPr>
        <w:pStyle w:val="TexteNumroEFK"/>
        <w:ind w:left="503" w:hanging="352"/>
        <w:rPr>
          <w:rFonts w:cstheme="minorHAnsi"/>
        </w:rPr>
      </w:pPr>
      <w:r>
        <w:t>Expenditure on contractual services was 97 000 Swiss francs higher in 2017 than in 2016.  While expenditure on the remuneration of interpreters and IT commercial suppliers fell, expenditure on other commercial suppliers rose from approximately 177,000 Swiss francs in 2016 to 388,000 Swiss francs in 2017.</w:t>
      </w:r>
    </w:p>
    <w:p w:rsidR="00FC6E6D" w:rsidRPr="006B5E56" w:rsidRDefault="00FC6E6D" w:rsidP="00FC6E6D">
      <w:pPr>
        <w:pStyle w:val="TexteNumroEFK"/>
        <w:spacing w:after="180"/>
        <w:ind w:left="499" w:hanging="357"/>
      </w:pPr>
      <w:r>
        <w:t>The income recorded in 2017 was lower than that of 2016.  While assessed contributions remained at the same level in 2017 relative to 2016, extra-budgetary resources dec</w:t>
      </w:r>
      <w:r w:rsidR="00A22F48">
        <w:t>reased by more than 100,000 </w:t>
      </w:r>
      <w:r>
        <w:t>Swiss francs.  Other income shows an intangible difference between the two years under review.</w:t>
      </w:r>
    </w:p>
    <w:p w:rsidR="00FC6E6D" w:rsidRPr="002A2FA3" w:rsidRDefault="00FC6E6D" w:rsidP="00FC6E6D">
      <w:pPr>
        <w:pStyle w:val="TexteNumroEFK"/>
        <w:ind w:left="503" w:hanging="352"/>
      </w:pPr>
      <w:r>
        <w:t>Random samplings of the expenditure accounts for 2017 financial year, using the original accounting documents, allow us to validate the expenditure recorded.  The detailed examinations did not reveal any errors.  It should be noted that the controls were performed taking into account the principle of the relative importance of the various items.</w:t>
      </w:r>
    </w:p>
    <w:p w:rsidR="00BD743F" w:rsidRDefault="00BD743F">
      <w:pPr>
        <w:jc w:val="left"/>
        <w:rPr>
          <w:rFonts w:asciiTheme="minorHAnsi" w:eastAsiaTheme="minorHAnsi" w:hAnsiTheme="minorHAnsi" w:cstheme="minorBidi"/>
          <w:sz w:val="32"/>
          <w:szCs w:val="32"/>
        </w:rPr>
      </w:pPr>
      <w:r>
        <w:br w:type="page"/>
      </w:r>
    </w:p>
    <w:p w:rsidR="00FC6E6D" w:rsidRPr="00C6138D" w:rsidRDefault="00FC6E6D" w:rsidP="00FC6E6D">
      <w:pPr>
        <w:pStyle w:val="Titre2NoEFK"/>
      </w:pPr>
      <w:r>
        <w:lastRenderedPageBreak/>
        <w:t>Operations between related parties</w:t>
      </w:r>
    </w:p>
    <w:p w:rsidR="00FC6E6D" w:rsidRPr="00C6138D" w:rsidRDefault="00FC6E6D" w:rsidP="00FC6E6D">
      <w:pPr>
        <w:pStyle w:val="TexteNumroEFK"/>
        <w:ind w:left="502"/>
      </w:pPr>
      <w:r>
        <w:t>Note 10 of the financial statements for 2017 shows an amount of 1.212 million Swiss francs, being remuneration for five key staff members of UPOV.  It should be noted that the Director General of WIPO declined any remuneration for his function as Secretary-General of UPOV.  As stated in note 10, his salary is not included in the comparison table for 2017 and 2016.  Paragraph 34(a) of IPSAS 20 expressly requires a distinction to be made between persons heading the organization and their subordinates.</w:t>
      </w:r>
    </w:p>
    <w:p w:rsidR="00FC6E6D" w:rsidRPr="00C6138D" w:rsidRDefault="00FC6E6D" w:rsidP="00FC6E6D">
      <w:pPr>
        <w:pStyle w:val="TexteNumroEFK"/>
        <w:ind w:left="502"/>
      </w:pPr>
      <w:r>
        <w:t>In 2012, we noted UPOV’s intention and informed it that this procedure is totally inconsistent with IPSAS 20.  This is not sufficiently serious to amend our audit opinion.  It is, however, our duty as External Auditor to bring this to the attention of UPOV members.</w:t>
      </w:r>
    </w:p>
    <w:p w:rsidR="00FC6E6D" w:rsidRPr="00C6138D" w:rsidRDefault="00FC6E6D" w:rsidP="00FC6E6D">
      <w:pPr>
        <w:pStyle w:val="Titre2NoEFK"/>
      </w:pPr>
      <w:r>
        <w:t>The 2017 financial statements present I</w:t>
      </w:r>
      <w:r w:rsidR="00A22F48">
        <w:t>PSAS-compliant tables and notes</w:t>
      </w:r>
    </w:p>
    <w:p w:rsidR="00FC6E6D" w:rsidRDefault="00FC6E6D" w:rsidP="00FC6E6D">
      <w:pPr>
        <w:pStyle w:val="TexteNumroEFK"/>
        <w:ind w:left="502"/>
      </w:pPr>
      <w:r>
        <w:t xml:space="preserve">The 2017 financial statements present IPSAS-compliant tables.  These are:  the Statement of Financial Position (Statement I), the Statement of Financial Performance (Statement II), the Statement of Changes in Net Assets (Statement III), the Statement of Cash Flow (Statement IV) and the Statement of Comparison of Budget and Actual Amounts (Statement V). </w:t>
      </w:r>
    </w:p>
    <w:p w:rsidR="00FC6E6D" w:rsidRPr="00C6138D" w:rsidRDefault="00FC6E6D" w:rsidP="00FC6E6D">
      <w:pPr>
        <w:pStyle w:val="TexteNumroEFK"/>
        <w:ind w:left="502"/>
      </w:pPr>
      <w:r>
        <w:t xml:space="preserve">The notes included in the financial statements also comply with the information requirements of IPSAS. </w:t>
      </w:r>
    </w:p>
    <w:p w:rsidR="00FC6E6D" w:rsidRPr="00B46571" w:rsidRDefault="00FC6E6D" w:rsidP="00FC6E6D">
      <w:pPr>
        <w:pStyle w:val="AnnexeTitreEFK"/>
      </w:pPr>
      <w:bookmarkStart w:id="10" w:name="_Toc487026924"/>
      <w:r>
        <w:lastRenderedPageBreak/>
        <w:t>Conclusion</w:t>
      </w:r>
      <w:bookmarkEnd w:id="10"/>
    </w:p>
    <w:p w:rsidR="00FC6E6D" w:rsidRPr="00B46571" w:rsidRDefault="00FC6E6D" w:rsidP="00FC6E6D">
      <w:pPr>
        <w:pStyle w:val="TexteNumroEFK"/>
        <w:ind w:left="502"/>
        <w:rPr>
          <w:rFonts w:eastAsiaTheme="minorHAnsi"/>
        </w:rPr>
      </w:pPr>
      <w:r>
        <w:t>As a result of the work undertaken, we are able to issue the audit opinion annexed to this report and prepared in accordance with paragraph 5 of the Terms of Reference Governing Audit.  In addition, having regard to the materiality threshold predetermined in accordance with international auditing standards, we further confirm that the accounting data published in the financial statements correspond to UPOV’s accounts.</w:t>
      </w:r>
    </w:p>
    <w:p w:rsidR="00FC6E6D" w:rsidRDefault="00FC6E6D" w:rsidP="00FC6E6D">
      <w:pPr>
        <w:pStyle w:val="TexteNumroEFK"/>
        <w:numPr>
          <w:ilvl w:val="0"/>
          <w:numId w:val="0"/>
        </w:numPr>
        <w:ind w:left="502"/>
        <w:rPr>
          <w:rFonts w:eastAsiaTheme="minorHAnsi"/>
        </w:rPr>
      </w:pPr>
    </w:p>
    <w:p w:rsidR="00FC6E6D" w:rsidRDefault="00FC6E6D" w:rsidP="00FC6E6D">
      <w:pPr>
        <w:pStyle w:val="TexteNumroEFK"/>
        <w:numPr>
          <w:ilvl w:val="0"/>
          <w:numId w:val="0"/>
        </w:numPr>
        <w:ind w:left="505"/>
      </w:pPr>
      <w:r>
        <w:t>SWISS FEDERAL AUDIT OFFICE</w:t>
      </w:r>
    </w:p>
    <w:p w:rsidR="00FC6E6D" w:rsidRPr="00B46571" w:rsidRDefault="00FC6E6D" w:rsidP="00FC6E6D">
      <w:pPr>
        <w:pStyle w:val="TexteNumroEFK"/>
        <w:numPr>
          <w:ilvl w:val="0"/>
          <w:numId w:val="0"/>
        </w:numPr>
        <w:ind w:left="505"/>
      </w:pPr>
      <w:r>
        <w:t>(Auditor)</w:t>
      </w:r>
    </w:p>
    <w:p w:rsidR="00FC6E6D" w:rsidRPr="002257C8" w:rsidRDefault="00FC6E6D" w:rsidP="00A22F48">
      <w:pPr>
        <w:pStyle w:val="TexteEFK"/>
        <w:tabs>
          <w:tab w:val="left" w:pos="5103"/>
        </w:tabs>
        <w:spacing w:before="1200" w:after="0"/>
        <w:ind w:left="505"/>
      </w:pPr>
      <w:r>
        <w:t>Eric-Serge Jeannet</w:t>
      </w:r>
      <w:r>
        <w:tab/>
        <w:t>Didier Monnot</w:t>
      </w:r>
    </w:p>
    <w:p w:rsidR="00FC6E6D" w:rsidRDefault="00FC6E6D" w:rsidP="00FC6E6D">
      <w:pPr>
        <w:pStyle w:val="TexteEFK"/>
        <w:tabs>
          <w:tab w:val="left" w:pos="5103"/>
        </w:tabs>
        <w:ind w:left="505"/>
      </w:pPr>
      <w:r>
        <w:t>Vice Director</w:t>
      </w:r>
      <w:r>
        <w:tab/>
        <w:t>Officer in charge of mandates</w:t>
      </w:r>
    </w:p>
    <w:p w:rsidR="00FC6E6D" w:rsidRDefault="00FC6E6D" w:rsidP="00FC6E6D">
      <w:pPr>
        <w:pStyle w:val="TexteEFK"/>
        <w:tabs>
          <w:tab w:val="left" w:pos="5103"/>
        </w:tabs>
        <w:ind w:left="505"/>
      </w:pPr>
    </w:p>
    <w:p w:rsidR="00FC6E6D" w:rsidRPr="00B24EB4" w:rsidRDefault="00FC6E6D" w:rsidP="00FC6E6D">
      <w:pPr>
        <w:pStyle w:val="AnnexeTitreEFK"/>
      </w:pPr>
      <w:bookmarkStart w:id="11" w:name="_Toc487026925"/>
      <w:bookmarkEnd w:id="4"/>
      <w:bookmarkEnd w:id="5"/>
      <w:r>
        <w:lastRenderedPageBreak/>
        <w:t xml:space="preserve">Annex 1:  </w:t>
      </w:r>
      <w:bookmarkStart w:id="12" w:name="_Toc431994994"/>
      <w:r>
        <w:t>Report of the Auditor</w:t>
      </w:r>
      <w:bookmarkEnd w:id="11"/>
    </w:p>
    <w:p w:rsidR="00FC6E6D" w:rsidRPr="00A22F48" w:rsidRDefault="00FC6E6D" w:rsidP="00FC6E6D">
      <w:pPr>
        <w:pStyle w:val="Titre2NoEFK"/>
        <w:rPr>
          <w:i/>
          <w:color w:val="F79646" w:themeColor="accent6"/>
        </w:rPr>
      </w:pPr>
      <w:r w:rsidRPr="00A22F48">
        <w:rPr>
          <w:i/>
          <w:color w:val="F79646" w:themeColor="accent6"/>
        </w:rPr>
        <w:t>To the UPOV Council</w:t>
      </w:r>
    </w:p>
    <w:p w:rsidR="00FC6E6D" w:rsidRPr="00105E03" w:rsidRDefault="00FC6E6D" w:rsidP="00FC6E6D">
      <w:pPr>
        <w:pStyle w:val="Titre2NoEFK"/>
      </w:pPr>
      <w:r>
        <w:t xml:space="preserve">Financial Audit Report </w:t>
      </w:r>
    </w:p>
    <w:p w:rsidR="00FC6E6D" w:rsidRPr="00D6076B" w:rsidRDefault="00FC6E6D" w:rsidP="00FC6E6D">
      <w:pPr>
        <w:pStyle w:val="Titre3EFK"/>
      </w:pPr>
      <w:r>
        <w:t>Opinion</w:t>
      </w:r>
    </w:p>
    <w:p w:rsidR="00FC6E6D" w:rsidRPr="00105E03" w:rsidRDefault="00FC6E6D" w:rsidP="00FC6E6D">
      <w:pPr>
        <w:pStyle w:val="TexteEFK"/>
        <w:rPr>
          <w:rFonts w:eastAsiaTheme="minorHAnsi"/>
        </w:rPr>
      </w:pPr>
      <w:r>
        <w:t>We have audited the financial statements of UPOV as at Sunday, December 31, 2017, including the Statement of Financial Position, the Statement of Financial Performance, the Statement of Changes in Net Assets, the Statement of Cash Flow and the Statement of Comparison of Budget and Actual Amounts, as well as notes and annexes attached to the statements, including the summary of significant accounting policies.</w:t>
      </w:r>
    </w:p>
    <w:p w:rsidR="00FC6E6D" w:rsidRPr="00105E03" w:rsidRDefault="00FC6E6D" w:rsidP="00FC6E6D">
      <w:pPr>
        <w:pStyle w:val="TexteEFK"/>
        <w:rPr>
          <w:rFonts w:eastAsiaTheme="minorHAnsi"/>
        </w:rPr>
      </w:pPr>
      <w:r>
        <w:t>In our opinion, the financial statements give a faithful reflection, in terms of all their significant aspects, of the financial situation at UPOV as at Sunday, December 31, 2017, and of its financial performance and its cash flows for the financial year which ended on that date, in accordance with the International Public Sector Accounting Standards (IPSAS) and the Financial Regulations and Rules of UPOV.</w:t>
      </w:r>
    </w:p>
    <w:p w:rsidR="00FC6E6D" w:rsidRPr="00D6076B" w:rsidRDefault="00FC6E6D" w:rsidP="00FC6E6D">
      <w:pPr>
        <w:pStyle w:val="Titre3EFK"/>
      </w:pPr>
      <w:r>
        <w:t>Basis of audit opinion</w:t>
      </w:r>
    </w:p>
    <w:p w:rsidR="00FC6E6D" w:rsidRDefault="00FC6E6D" w:rsidP="00FC6E6D">
      <w:pPr>
        <w:pStyle w:val="TexteEFK"/>
        <w:rPr>
          <w:rFonts w:eastAsiaTheme="minorHAnsi"/>
        </w:rPr>
      </w:pPr>
      <w:r>
        <w:t>The audit was carried out in accordance with the International Standards on Auditing (ISAs).  Our responsibilities under these standards are detailed under “Responsibilities of the auditor for the audit of financial statements” below.  We are independent of the Organization in accordance with the rules of ethics applicable to financial statements in Switzerland and fulfilled other ethical responsibilities incumbent upon us under these rules.  We consider that the proof we obtained is sufficient and adequate to form an opinion.</w:t>
      </w:r>
    </w:p>
    <w:p w:rsidR="00FC6E6D" w:rsidRPr="00D6076B" w:rsidRDefault="00FC6E6D" w:rsidP="00FC6E6D">
      <w:pPr>
        <w:pStyle w:val="Titre3EFK"/>
      </w:pPr>
      <w:r>
        <w:t>Significant uncertainty with regard to the going concern</w:t>
      </w:r>
    </w:p>
    <w:p w:rsidR="00FC6E6D" w:rsidRDefault="00FC6E6D" w:rsidP="00FC6E6D">
      <w:pPr>
        <w:pStyle w:val="TexteEFK"/>
        <w:rPr>
          <w:rFonts w:eastAsiaTheme="minorHAnsi"/>
        </w:rPr>
      </w:pPr>
      <w:r>
        <w:t>We express no uncertainty at this time regarding UPOV as a going concern.</w:t>
      </w:r>
    </w:p>
    <w:p w:rsidR="00FC6E6D" w:rsidRPr="00A823B8" w:rsidRDefault="00FC6E6D" w:rsidP="00FC6E6D">
      <w:pPr>
        <w:pStyle w:val="Titre3EFK"/>
      </w:pPr>
      <w:r>
        <w:t>The Secretary-General’s Responsibility for the Financial Statements</w:t>
      </w:r>
    </w:p>
    <w:p w:rsidR="00FC6E6D" w:rsidRPr="00105E03" w:rsidRDefault="00FC6E6D" w:rsidP="00FC6E6D">
      <w:pPr>
        <w:pStyle w:val="TexteEFK"/>
        <w:rPr>
          <w:rFonts w:eastAsiaTheme="minorHAnsi"/>
        </w:rPr>
      </w:pPr>
      <w:r>
        <w:t>The Secretary-General is responsible for producing and presenting accurate financial statements in accordance with IPSAS and the UPOV Financial Regulations and Rules, as well as internal control he views as necessary to the production of financial statements free of significant anomalies, whether these arise from fraud or errors.</w:t>
      </w:r>
    </w:p>
    <w:p w:rsidR="00FC6E6D" w:rsidRPr="00105E03" w:rsidRDefault="00FC6E6D" w:rsidP="00FC6E6D">
      <w:pPr>
        <w:pStyle w:val="TexteEFK"/>
        <w:rPr>
          <w:rFonts w:eastAsiaTheme="minorHAnsi"/>
        </w:rPr>
      </w:pPr>
      <w:r>
        <w:t>When preparing financial statements, it is for the Secretary-General to assess the ability of UPOV to continue its operations, to disclose, where necessary, matters relating to UPOV as a going concern and to apply the going concern accounting principle, unless the Secretary-General intends to dissolve UPOV or cease its activities, or in the event of the absence of a realistic alternative.</w:t>
      </w:r>
    </w:p>
    <w:p w:rsidR="00FC6E6D" w:rsidRPr="00105E03" w:rsidRDefault="00FC6E6D" w:rsidP="00FC6E6D">
      <w:pPr>
        <w:pStyle w:val="TexteEFK"/>
        <w:rPr>
          <w:rFonts w:eastAsiaTheme="minorHAnsi"/>
        </w:rPr>
      </w:pPr>
      <w:r>
        <w:t>It is the responsibility of the Secretary-General to monitor the financial reporting process of UPOV.</w:t>
      </w:r>
    </w:p>
    <w:p w:rsidR="00FC6E6D" w:rsidRPr="00D6076B" w:rsidRDefault="00FC6E6D" w:rsidP="00FC6E6D">
      <w:pPr>
        <w:pStyle w:val="Titre3EFK"/>
      </w:pPr>
      <w:r>
        <w:t>Responsibilities of the auditor for the audit of financial statements</w:t>
      </w:r>
    </w:p>
    <w:p w:rsidR="00FC6E6D" w:rsidRPr="00105E03" w:rsidRDefault="00FC6E6D" w:rsidP="00FC6E6D">
      <w:pPr>
        <w:pStyle w:val="TexteEFK"/>
        <w:rPr>
          <w:rFonts w:eastAsiaTheme="minorHAnsi"/>
        </w:rPr>
      </w:pPr>
      <w:r>
        <w:t xml:space="preserve">The auditor’s objective is to secure a reasonable assurance that the financial statements as a whole do not contain significant anomalies, either as a result of fraud or of error, and to produce an audit report containing his opinion.  Reasonable assurance is a high level of </w:t>
      </w:r>
      <w:r>
        <w:lastRenderedPageBreak/>
        <w:t>assurance which nonetheless does not guarantee that an audit conducted in accordance with ISA standards always leads to the detection of any possible significant anomaly.  Anomalies may arise from fraud or errors and they are considered significant when it is reasonable to expect that, individually or collectively, they may influence business decisions that users of financial statements make when they rely on these statements.</w:t>
      </w:r>
    </w:p>
    <w:p w:rsidR="00FC6E6D" w:rsidRPr="00105E03" w:rsidRDefault="00FC6E6D" w:rsidP="00FC6E6D">
      <w:pPr>
        <w:pStyle w:val="TexteEFK"/>
        <w:rPr>
          <w:rFonts w:eastAsiaTheme="minorHAnsi"/>
        </w:rPr>
      </w:pPr>
      <w:r>
        <w:t>For an audit conducted according to ISA standards, we use our professional judgement and maintain a critical outlook throughout the audit.  Additionally:</w:t>
      </w:r>
    </w:p>
    <w:p w:rsidR="00FC6E6D" w:rsidRPr="00A823B8" w:rsidRDefault="00FC6E6D" w:rsidP="00FC6E6D">
      <w:pPr>
        <w:pStyle w:val="TextePuceEFK"/>
        <w:tabs>
          <w:tab w:val="clear" w:pos="360"/>
        </w:tabs>
        <w:rPr>
          <w:rFonts w:eastAsiaTheme="minorHAnsi"/>
        </w:rPr>
      </w:pPr>
      <w:r>
        <w:t>We identify and assess the risks that the financial statements contain significant anomalies, that such anomalies are the result of fraud or errors, design and implement auditing procedures in response to such risks and gather sufficient and adequate proof to support our opinion.  The risk of a failure to detect a significant anomaly arising from fraud is higher than for a significant anomaly result from errors because fraud may involve collusion, falsification, deliberate omissions, false statements or the circumvention of internal control.</w:t>
      </w:r>
    </w:p>
    <w:p w:rsidR="00FC6E6D" w:rsidRPr="00A823B8" w:rsidRDefault="00FC6E6D" w:rsidP="00FC6E6D">
      <w:pPr>
        <w:pStyle w:val="TextePuceEFK"/>
        <w:tabs>
          <w:tab w:val="clear" w:pos="360"/>
        </w:tabs>
        <w:rPr>
          <w:rFonts w:eastAsiaTheme="minorHAnsi"/>
        </w:rPr>
      </w:pPr>
      <w:r>
        <w:t>We gain an understanding of internal control mechanisms relevant to the audit in order to design the appropriate audit procedures for the circumstances and not with a view to providing an opinion on the effectiveness of the Organization’s internal control.</w:t>
      </w:r>
    </w:p>
    <w:p w:rsidR="00FC6E6D" w:rsidRPr="00105E03" w:rsidRDefault="00FC6E6D" w:rsidP="00FC6E6D">
      <w:pPr>
        <w:pStyle w:val="TextePuceEFK"/>
        <w:tabs>
          <w:tab w:val="clear" w:pos="360"/>
        </w:tabs>
        <w:rPr>
          <w:rFonts w:eastAsiaTheme="minorHAnsi"/>
        </w:rPr>
      </w:pPr>
      <w:r>
        <w:t>We assess the appropriateness of the accounting methods used and the reasonableness of the accounting estimates made by the Secretary-General, including the relevant information thereon provided by him.</w:t>
      </w:r>
    </w:p>
    <w:p w:rsidR="00FC6E6D" w:rsidRPr="00105E03" w:rsidRDefault="00FC6E6D" w:rsidP="00FC6E6D">
      <w:pPr>
        <w:pStyle w:val="TextePuceEFK"/>
        <w:tabs>
          <w:tab w:val="clear" w:pos="360"/>
        </w:tabs>
        <w:rPr>
          <w:rFonts w:eastAsiaTheme="minorHAnsi"/>
        </w:rPr>
      </w:pPr>
      <w:r>
        <w:t>We draw a conclusion as to the appropriateness of the use by the Secretary-General of the going concern accounting principle and, based on the proof obtained, as to the presence or absence of any significant anomaly in connection with events or situations likely to cast significant doubt on UPOV’s ability to continue its operations.  If we find that there is significant uncertainty, we are bound to draw the attention of readers of our report to the information provided in the financial statements regarding such uncertainty or, if the information is insufficient, to express an amended opinion.  Our conclusions rely on the proof obtained up until the date of our report.  Future events or situations may also cause UPOV to cease its operations.</w:t>
      </w:r>
    </w:p>
    <w:p w:rsidR="00FC6E6D" w:rsidRPr="00A823B8" w:rsidRDefault="00FC6E6D" w:rsidP="00FC6E6D">
      <w:pPr>
        <w:pStyle w:val="TextePuceEFK"/>
        <w:tabs>
          <w:tab w:val="clear" w:pos="360"/>
        </w:tabs>
        <w:rPr>
          <w:rFonts w:eastAsiaTheme="minorHAnsi"/>
        </w:rPr>
      </w:pPr>
      <w:r>
        <w:t>We assess the overall presentation, form and content of the financial statements, including the information provided in the notes, and determines whether the financial statements present the underlying operations and events to afford a true and fair view.</w:t>
      </w:r>
    </w:p>
    <w:p w:rsidR="00FC6E6D" w:rsidRPr="00105E03" w:rsidRDefault="00FC6E6D" w:rsidP="00FC6E6D">
      <w:pPr>
        <w:pStyle w:val="TexteEFK"/>
        <w:rPr>
          <w:rFonts w:eastAsiaTheme="minorHAnsi"/>
        </w:rPr>
      </w:pPr>
      <w:r>
        <w:t>We communicate to the Council in particular the intended scope and duration of the audit and its main findings, including any significant weakness in internal control we find during the audit.</w:t>
      </w:r>
    </w:p>
    <w:p w:rsidR="00FC6E6D" w:rsidRDefault="00FC6E6D" w:rsidP="00FC6E6D">
      <w:pPr>
        <w:pStyle w:val="TexteEFK"/>
        <w:rPr>
          <w:rFonts w:eastAsiaTheme="minorHAnsi"/>
        </w:rPr>
      </w:pPr>
      <w:r>
        <w:t>Berne, May 25, 2018</w:t>
      </w:r>
    </w:p>
    <w:p w:rsidR="00FC6E6D" w:rsidRPr="00105E03" w:rsidRDefault="00FC6E6D" w:rsidP="00FC6E6D">
      <w:pPr>
        <w:pStyle w:val="TexteEFK"/>
        <w:rPr>
          <w:rFonts w:eastAsiaTheme="minorHAnsi"/>
        </w:rPr>
      </w:pPr>
    </w:p>
    <w:p w:rsidR="00FC6E6D" w:rsidRPr="002257C8" w:rsidRDefault="00FC6E6D" w:rsidP="00FC6E6D">
      <w:pPr>
        <w:pStyle w:val="TexteEFK"/>
      </w:pPr>
      <w:r>
        <w:t xml:space="preserve">SWISS FEDERAL AUDIT OFFICE </w:t>
      </w:r>
      <w:r w:rsidRPr="00693A4F">
        <w:rPr>
          <w:rStyle w:val="FootnoteReference"/>
          <w:rFonts w:cstheme="minorHAnsi"/>
        </w:rPr>
        <w:footnoteReference w:id="7"/>
      </w:r>
    </w:p>
    <w:p w:rsidR="00FC6E6D" w:rsidRPr="002257C8" w:rsidRDefault="00FC6E6D" w:rsidP="00FC6E6D">
      <w:pPr>
        <w:pStyle w:val="TexteEFK"/>
      </w:pPr>
      <w:r>
        <w:t>(Auditor)</w:t>
      </w:r>
    </w:p>
    <w:p w:rsidR="00FC6E6D" w:rsidRPr="002257C8" w:rsidRDefault="00FC6E6D" w:rsidP="00A22F48">
      <w:pPr>
        <w:pStyle w:val="TexteEFK"/>
        <w:tabs>
          <w:tab w:val="left" w:pos="5103"/>
        </w:tabs>
        <w:spacing w:before="1200" w:after="0"/>
      </w:pPr>
      <w:r>
        <w:t>Eric-Serge Jeannet</w:t>
      </w:r>
      <w:r>
        <w:tab/>
        <w:t>Didier Monnot</w:t>
      </w:r>
    </w:p>
    <w:p w:rsidR="0035084F" w:rsidRPr="00FC6E6D" w:rsidRDefault="00FC6E6D" w:rsidP="00FC6E6D">
      <w:pPr>
        <w:pStyle w:val="TexteEFK"/>
        <w:tabs>
          <w:tab w:val="left" w:pos="5103"/>
        </w:tabs>
        <w:rPr>
          <w:rFonts w:eastAsiaTheme="minorHAnsi"/>
        </w:rPr>
      </w:pPr>
      <w:r>
        <w:t>Vice Director</w:t>
      </w:r>
      <w:r>
        <w:tab/>
        <w:t>Officer in charge of mandates</w:t>
      </w:r>
      <w:bookmarkEnd w:id="12"/>
      <w:bookmarkEnd w:id="1"/>
    </w:p>
    <w:sectPr w:rsidR="0035084F" w:rsidRPr="00FC6E6D" w:rsidSect="009B71A4">
      <w:headerReference w:type="default" r:id="rId12"/>
      <w:headerReference w:type="first" r:id="rId13"/>
      <w:footerReference w:type="first" r:id="rId14"/>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023" w:rsidRDefault="000A2023" w:rsidP="006655D3">
      <w:r>
        <w:separator/>
      </w:r>
    </w:p>
    <w:p w:rsidR="000A2023" w:rsidRDefault="000A2023" w:rsidP="006655D3"/>
    <w:p w:rsidR="000A2023" w:rsidRDefault="000A2023" w:rsidP="006655D3"/>
  </w:endnote>
  <w:endnote w:type="continuationSeparator" w:id="0">
    <w:p w:rsidR="000A2023" w:rsidRDefault="000A2023" w:rsidP="006655D3">
      <w:r>
        <w:separator/>
      </w:r>
    </w:p>
    <w:p w:rsidR="000A2023" w:rsidRPr="008F0955" w:rsidRDefault="000A2023" w:rsidP="000A2023">
      <w:pPr>
        <w:pStyle w:val="Footer"/>
        <w:rPr>
          <w:lang w:val="fr-CH"/>
        </w:rPr>
      </w:pPr>
      <w:r w:rsidRPr="008F0955">
        <w:rPr>
          <w:lang w:val="fr-CH"/>
        </w:rPr>
        <w:t>[Suite de la note de la page précédente]</w:t>
      </w:r>
    </w:p>
    <w:p w:rsidR="000A2023" w:rsidRPr="000A2023" w:rsidRDefault="000A2023" w:rsidP="006655D3">
      <w:pPr>
        <w:rPr>
          <w:lang w:val="fr-CH"/>
        </w:rPr>
      </w:pPr>
    </w:p>
    <w:p w:rsidR="000A2023" w:rsidRPr="000A2023" w:rsidRDefault="000A2023" w:rsidP="006655D3">
      <w:pPr>
        <w:rPr>
          <w:lang w:val="fr-CH"/>
        </w:rPr>
      </w:pPr>
    </w:p>
  </w:endnote>
  <w:endnote w:type="continuationNotice" w:id="1">
    <w:p w:rsidR="000A2023" w:rsidRPr="000A2023" w:rsidRDefault="000A2023" w:rsidP="006655D3">
      <w:pPr>
        <w:rPr>
          <w:lang w:val="fr-CH"/>
        </w:rPr>
      </w:pPr>
      <w:r w:rsidRPr="000A2023">
        <w:rPr>
          <w:lang w:val="fr-CH"/>
        </w:rPr>
        <w:t>[Suite de la note page suivante]</w:t>
      </w:r>
    </w:p>
    <w:p w:rsidR="000A2023" w:rsidRPr="000A2023" w:rsidRDefault="000A2023" w:rsidP="006655D3">
      <w:pPr>
        <w:rPr>
          <w:lang w:val="fr-CH"/>
        </w:rPr>
      </w:pPr>
    </w:p>
    <w:p w:rsidR="000A2023" w:rsidRPr="000A2023" w:rsidRDefault="000A2023"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23" w:rsidRPr="00D66B83" w:rsidRDefault="000A2023" w:rsidP="000A2023">
    <w:pPr>
      <w:pStyle w:val="Footer"/>
    </w:pPr>
    <w:r>
      <w:t>CDF-18063 | Report of the External Auditor | 25 May 2018</w:t>
    </w:r>
    <w:r>
      <w:tab/>
    </w:r>
    <w:r>
      <w:fldChar w:fldCharType="begin"/>
    </w:r>
    <w:r>
      <w:instrText xml:space="preserve"> PAGE   \* MERGEFORMAT </w:instrText>
    </w:r>
    <w:r>
      <w:fldChar w:fldCharType="separate"/>
    </w:r>
    <w:r w:rsidR="00962787">
      <w:rPr>
        <w:noProof/>
      </w:rPr>
      <w:t>17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23" w:rsidRDefault="000A2023" w:rsidP="000A2023">
    <w:pPr>
      <w:pStyle w:val="Footer"/>
    </w:pPr>
    <w:r>
      <w:t>CDF-18063 | Report of the External Auditor | 25 May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023" w:rsidRDefault="000A2023" w:rsidP="006655D3">
      <w:r>
        <w:separator/>
      </w:r>
    </w:p>
  </w:footnote>
  <w:footnote w:type="continuationSeparator" w:id="0">
    <w:p w:rsidR="000A2023" w:rsidRDefault="000A2023" w:rsidP="006655D3">
      <w:r>
        <w:separator/>
      </w:r>
    </w:p>
  </w:footnote>
  <w:footnote w:type="continuationNotice" w:id="1">
    <w:p w:rsidR="000A2023" w:rsidRPr="00AB530F" w:rsidRDefault="000A2023" w:rsidP="000A2023">
      <w:pPr>
        <w:pStyle w:val="Footer"/>
      </w:pPr>
    </w:p>
  </w:footnote>
  <w:footnote w:id="2">
    <w:p w:rsidR="000A2023" w:rsidRPr="005638F1" w:rsidRDefault="000A2023" w:rsidP="005638F1">
      <w:pPr>
        <w:pStyle w:val="FootnoteText"/>
        <w:rPr>
          <w:rFonts w:cs="Tahoma"/>
          <w:szCs w:val="18"/>
          <w:lang w:val="en-US"/>
        </w:rPr>
      </w:pPr>
      <w:r>
        <w:rPr>
          <w:rStyle w:val="FootnoteReference"/>
          <w:szCs w:val="18"/>
        </w:rPr>
        <w:footnoteRef/>
      </w:r>
      <w:r w:rsidRPr="005638F1">
        <w:rPr>
          <w:lang w:val="en-US"/>
        </w:rPr>
        <w:tab/>
        <w:t>Financial Regulations and Rules of UPOV adopted by the Council at its thirty-second extraordinary</w:t>
      </w:r>
      <w:r>
        <w:rPr>
          <w:lang w:val="en-US"/>
        </w:rPr>
        <w:t xml:space="preserve"> session of March 27, 2015 (document</w:t>
      </w:r>
      <w:r w:rsidRPr="005638F1">
        <w:rPr>
          <w:lang w:val="en-US"/>
        </w:rPr>
        <w:t xml:space="preserve"> C(Extr.)/32/4).</w:t>
      </w:r>
    </w:p>
  </w:footnote>
  <w:footnote w:id="3">
    <w:p w:rsidR="000A2023" w:rsidRPr="005638F1" w:rsidRDefault="000A2023" w:rsidP="005638F1">
      <w:pPr>
        <w:pStyle w:val="FootnoteText"/>
        <w:rPr>
          <w:szCs w:val="18"/>
          <w:lang w:val="en-US"/>
        </w:rPr>
      </w:pPr>
      <w:r>
        <w:rPr>
          <w:rFonts w:cs="Tahoma"/>
          <w:vertAlign w:val="superscript"/>
          <w:lang w:val="fr-CH"/>
        </w:rPr>
        <w:footnoteRef/>
      </w:r>
      <w:r w:rsidRPr="005638F1">
        <w:rPr>
          <w:szCs w:val="18"/>
          <w:vertAlign w:val="superscript"/>
          <w:lang w:val="en-US"/>
        </w:rPr>
        <w:t xml:space="preserve"> </w:t>
      </w:r>
      <w:r w:rsidRPr="005638F1">
        <w:rPr>
          <w:lang w:val="en-US"/>
        </w:rPr>
        <w:tab/>
        <w:t>International Standards on Auditing (ISAs), published by the International Auditing and Assurance Standards Board (IAASB).</w:t>
      </w:r>
    </w:p>
  </w:footnote>
  <w:footnote w:id="4">
    <w:p w:rsidR="000A2023" w:rsidRPr="006B60F2" w:rsidRDefault="000A2023" w:rsidP="005638F1">
      <w:pPr>
        <w:pStyle w:val="FootnoteText"/>
        <w:rPr>
          <w:lang w:val="en-US"/>
        </w:rPr>
      </w:pPr>
      <w:r>
        <w:rPr>
          <w:rStyle w:val="FootnoteReference"/>
        </w:rPr>
        <w:footnoteRef/>
      </w:r>
      <w:r w:rsidRPr="006B60F2">
        <w:rPr>
          <w:lang w:val="en-US"/>
        </w:rPr>
        <w:tab/>
        <w:t xml:space="preserve">USPTO:  United States Patent </w:t>
      </w:r>
      <w:r>
        <w:rPr>
          <w:lang w:val="en-US"/>
        </w:rPr>
        <w:t xml:space="preserve">and Trademark </w:t>
      </w:r>
      <w:r w:rsidRPr="006B60F2">
        <w:rPr>
          <w:lang w:val="en-US"/>
        </w:rPr>
        <w:t>Office.</w:t>
      </w:r>
    </w:p>
  </w:footnote>
  <w:footnote w:id="5">
    <w:p w:rsidR="000A2023" w:rsidRPr="006B60F2" w:rsidRDefault="000A2023" w:rsidP="005638F1">
      <w:pPr>
        <w:pStyle w:val="FootnoteText"/>
        <w:rPr>
          <w:rFonts w:cs="Tahoma"/>
          <w:lang w:val="en-US"/>
        </w:rPr>
      </w:pPr>
      <w:r>
        <w:rPr>
          <w:rStyle w:val="FootnoteReference"/>
          <w:szCs w:val="18"/>
        </w:rPr>
        <w:footnoteRef/>
      </w:r>
      <w:r w:rsidRPr="00FC6E6D">
        <w:rPr>
          <w:rStyle w:val="FootnoteReference"/>
          <w:szCs w:val="18"/>
          <w:lang w:val="en-US"/>
        </w:rPr>
        <w:t xml:space="preserve"> </w:t>
      </w:r>
      <w:r>
        <w:rPr>
          <w:rStyle w:val="FootnoteReference"/>
          <w:lang w:val="en-US"/>
        </w:rPr>
        <w:tab/>
      </w:r>
      <w:r w:rsidRPr="006B60F2">
        <w:rPr>
          <w:lang w:val="en-US"/>
        </w:rPr>
        <w:t xml:space="preserve">The sum of 1,050,665 Swiss francs was included in “Net Unrecognized actuarial gain / (loss)” in the “Company Liability” table of the 2016 actuarial valuation.  </w:t>
      </w:r>
    </w:p>
  </w:footnote>
  <w:footnote w:id="6">
    <w:p w:rsidR="000A2023" w:rsidRPr="00BD743F" w:rsidRDefault="000A2023" w:rsidP="005638F1">
      <w:pPr>
        <w:pStyle w:val="FootnoteText"/>
        <w:rPr>
          <w:rFonts w:cs="Tahoma"/>
          <w:szCs w:val="18"/>
          <w:lang w:val="en-US"/>
        </w:rPr>
      </w:pPr>
      <w:r>
        <w:rPr>
          <w:rStyle w:val="FootnoteReference"/>
          <w:szCs w:val="18"/>
        </w:rPr>
        <w:footnoteRef/>
      </w:r>
      <w:r>
        <w:rPr>
          <w:rStyle w:val="FootnoteReference"/>
          <w:lang w:val="en-US"/>
        </w:rPr>
        <w:t xml:space="preserve"> </w:t>
      </w:r>
      <w:r>
        <w:rPr>
          <w:rStyle w:val="FootnoteReference"/>
          <w:lang w:val="en-US"/>
        </w:rPr>
        <w:tab/>
      </w:r>
      <w:r w:rsidRPr="00BD743F">
        <w:rPr>
          <w:lang w:val="en-US"/>
        </w:rPr>
        <w:t>The arguments underpinning this SFAO finding were set out in detail in the report for the 2012 and 2013 financial years.</w:t>
      </w:r>
    </w:p>
  </w:footnote>
  <w:footnote w:id="7">
    <w:p w:rsidR="000A2023" w:rsidRPr="00A22F48" w:rsidRDefault="000A2023" w:rsidP="00A22F48">
      <w:pPr>
        <w:pStyle w:val="FootnoteText"/>
        <w:rPr>
          <w:rStyle w:val="FootnoteReference"/>
          <w:vertAlign w:val="baseline"/>
          <w:lang w:val="en-US"/>
        </w:rPr>
      </w:pPr>
      <w:r>
        <w:rPr>
          <w:rStyle w:val="FootnoteReference"/>
          <w:rFonts w:cstheme="minorHAnsi"/>
          <w:szCs w:val="18"/>
        </w:rPr>
        <w:footnoteRef/>
      </w:r>
      <w:r w:rsidRPr="00A22F48">
        <w:rPr>
          <w:rStyle w:val="FootnoteReference"/>
          <w:szCs w:val="18"/>
          <w:lang w:val="en-US"/>
        </w:rPr>
        <w:t xml:space="preserve"> </w:t>
      </w:r>
      <w:r w:rsidRPr="00A22F48">
        <w:rPr>
          <w:lang w:val="en-US"/>
        </w:rPr>
        <w:t>Postal Address:  Monbijoustrasse 45, CH-3003 Berne.</w:t>
      </w:r>
    </w:p>
    <w:p w:rsidR="000A2023" w:rsidRDefault="000A2023" w:rsidP="00A22F48">
      <w:pPr>
        <w:rPr>
          <w:rFonts w:cstheme="minorHAnsi"/>
          <w:szCs w:val="18"/>
          <w:highlight w:val="yellow"/>
        </w:rPr>
      </w:pPr>
    </w:p>
    <w:p w:rsidR="000A2023" w:rsidRPr="00A22F48" w:rsidRDefault="000A2023" w:rsidP="00A22F48">
      <w:pPr>
        <w:jc w:val="right"/>
        <w:rPr>
          <w:rStyle w:val="FootnoteReference"/>
          <w:rFonts w:cstheme="minorHAnsi"/>
          <w:szCs w:val="18"/>
        </w:rPr>
      </w:pPr>
      <w:r w:rsidRPr="00A22F48">
        <w:rPr>
          <w:rFonts w:cstheme="minorHAnsi"/>
          <w:szCs w:val="18"/>
        </w:rPr>
        <w:t>[</w:t>
      </w:r>
      <w:r>
        <w:rPr>
          <w:rFonts w:cstheme="minorHAnsi"/>
          <w:szCs w:val="18"/>
        </w:rPr>
        <w:t>End of Annex and of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23" w:rsidRPr="00C5280D" w:rsidRDefault="000A2023" w:rsidP="00A71548">
    <w:pPr>
      <w:pStyle w:val="Header"/>
      <w:rPr>
        <w:rStyle w:val="PageNumber"/>
        <w:lang w:val="en-US"/>
      </w:rPr>
    </w:pPr>
    <w:r>
      <w:rPr>
        <w:rStyle w:val="PageNumber"/>
        <w:lang w:val="en-US"/>
      </w:rPr>
      <w:t>C/52/13</w:t>
    </w:r>
  </w:p>
  <w:p w:rsidR="000A2023" w:rsidRPr="00C5280D" w:rsidRDefault="000A2023"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w:t>
    </w:r>
    <w:r w:rsidRPr="00C5280D">
      <w:rPr>
        <w:rStyle w:val="PageNumber"/>
        <w:lang w:val="en-US"/>
      </w:rPr>
      <w:fldChar w:fldCharType="end"/>
    </w:r>
  </w:p>
  <w:p w:rsidR="000A2023" w:rsidRPr="00C5280D" w:rsidRDefault="000A2023"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23" w:rsidRPr="00C5280D" w:rsidRDefault="000A2023" w:rsidP="00A71548">
    <w:pPr>
      <w:pStyle w:val="Header"/>
      <w:rPr>
        <w:rStyle w:val="PageNumber"/>
        <w:lang w:val="en-US"/>
      </w:rPr>
    </w:pPr>
    <w:r>
      <w:rPr>
        <w:rStyle w:val="PageNumber"/>
        <w:lang w:val="en-US"/>
      </w:rPr>
      <w:t>C/52/13</w:t>
    </w:r>
  </w:p>
  <w:p w:rsidR="000A2023" w:rsidRPr="00C5280D" w:rsidRDefault="000A2023"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62787">
      <w:rPr>
        <w:rStyle w:val="PageNumber"/>
        <w:noProof/>
        <w:lang w:val="en-US"/>
      </w:rPr>
      <w:t>17</w:t>
    </w:r>
    <w:r w:rsidRPr="00C5280D">
      <w:rPr>
        <w:rStyle w:val="PageNumber"/>
        <w:lang w:val="en-US"/>
      </w:rPr>
      <w:fldChar w:fldCharType="end"/>
    </w:r>
  </w:p>
  <w:p w:rsidR="000A2023" w:rsidRPr="00C5280D" w:rsidRDefault="000A2023"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23" w:rsidRDefault="000A2023">
    <w:pPr>
      <w:pStyle w:val="Header"/>
    </w:pPr>
    <w:r>
      <w:t>C/52/13</w:t>
    </w:r>
  </w:p>
  <w:p w:rsidR="000A2023" w:rsidRDefault="000A2023">
    <w:pPr>
      <w:pStyle w:val="Header"/>
    </w:pPr>
  </w:p>
  <w:p w:rsidR="000A2023" w:rsidRDefault="000A2023">
    <w:pPr>
      <w:pStyle w:val="Header"/>
    </w:pPr>
    <w:r>
      <w:t>ANNEX</w:t>
    </w:r>
  </w:p>
  <w:p w:rsidR="000A2023" w:rsidRDefault="000A2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01126"/>
    <w:multiLevelType w:val="hybridMultilevel"/>
    <w:tmpl w:val="FE34CE86"/>
    <w:lvl w:ilvl="0" w:tplc="8B7CA210">
      <w:start w:val="1"/>
      <w:numFmt w:val="bullet"/>
      <w:pStyle w:val="TextePuceEFK"/>
      <w:lvlText w:val=""/>
      <w:lvlJc w:val="left"/>
      <w:pPr>
        <w:ind w:left="1069" w:hanging="360"/>
      </w:pPr>
      <w:rPr>
        <w:rFonts w:ascii="Symbol" w:hAnsi="Symbol"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1" w15:restartNumberingAfterBreak="0">
    <w:nsid w:val="3E9102B7"/>
    <w:multiLevelType w:val="hybridMultilevel"/>
    <w:tmpl w:val="0EAAD980"/>
    <w:lvl w:ilvl="0" w:tplc="86CA610A">
      <w:start w:val="1"/>
      <w:numFmt w:val="decimal"/>
      <w:pStyle w:val="TexteNumroEFK"/>
      <w:lvlText w:val="%1."/>
      <w:lvlJc w:val="left"/>
      <w:pPr>
        <w:ind w:left="1069" w:hanging="360"/>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num w:numId="1">
    <w:abstractNumId w:val="0"/>
  </w:num>
  <w:num w:numId="2">
    <w:abstractNumId w:val="1"/>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627"/>
    <w:rsid w:val="00010CF3"/>
    <w:rsid w:val="00011E27"/>
    <w:rsid w:val="00013C36"/>
    <w:rsid w:val="000148BC"/>
    <w:rsid w:val="00024AB8"/>
    <w:rsid w:val="00024F5B"/>
    <w:rsid w:val="00030854"/>
    <w:rsid w:val="00036028"/>
    <w:rsid w:val="00044642"/>
    <w:rsid w:val="000446B9"/>
    <w:rsid w:val="00047E21"/>
    <w:rsid w:val="00050E16"/>
    <w:rsid w:val="00075B25"/>
    <w:rsid w:val="00085505"/>
    <w:rsid w:val="000A2023"/>
    <w:rsid w:val="000C4E25"/>
    <w:rsid w:val="000C5242"/>
    <w:rsid w:val="000C7021"/>
    <w:rsid w:val="000D6BBC"/>
    <w:rsid w:val="000D7780"/>
    <w:rsid w:val="000E636A"/>
    <w:rsid w:val="000F2F11"/>
    <w:rsid w:val="00105929"/>
    <w:rsid w:val="00107DC1"/>
    <w:rsid w:val="00110C36"/>
    <w:rsid w:val="001131D5"/>
    <w:rsid w:val="00141DB8"/>
    <w:rsid w:val="00166FF6"/>
    <w:rsid w:val="00172084"/>
    <w:rsid w:val="0017474A"/>
    <w:rsid w:val="001758C6"/>
    <w:rsid w:val="00182B99"/>
    <w:rsid w:val="00185851"/>
    <w:rsid w:val="0021332C"/>
    <w:rsid w:val="00213982"/>
    <w:rsid w:val="0022059E"/>
    <w:rsid w:val="0024416D"/>
    <w:rsid w:val="0024574F"/>
    <w:rsid w:val="00271911"/>
    <w:rsid w:val="0027538F"/>
    <w:rsid w:val="002800A0"/>
    <w:rsid w:val="002801B3"/>
    <w:rsid w:val="00281060"/>
    <w:rsid w:val="00284B56"/>
    <w:rsid w:val="00290CD9"/>
    <w:rsid w:val="002916B4"/>
    <w:rsid w:val="002940E8"/>
    <w:rsid w:val="00294751"/>
    <w:rsid w:val="002A6E50"/>
    <w:rsid w:val="002B4298"/>
    <w:rsid w:val="002C0903"/>
    <w:rsid w:val="002C256A"/>
    <w:rsid w:val="00305A7F"/>
    <w:rsid w:val="003152FE"/>
    <w:rsid w:val="00327436"/>
    <w:rsid w:val="00327BBA"/>
    <w:rsid w:val="00334B45"/>
    <w:rsid w:val="00337C0A"/>
    <w:rsid w:val="00344BD6"/>
    <w:rsid w:val="0035084F"/>
    <w:rsid w:val="00352F3C"/>
    <w:rsid w:val="0035528D"/>
    <w:rsid w:val="00361821"/>
    <w:rsid w:val="00361E9E"/>
    <w:rsid w:val="003624E6"/>
    <w:rsid w:val="003964C5"/>
    <w:rsid w:val="003C7879"/>
    <w:rsid w:val="003C7FBE"/>
    <w:rsid w:val="003D227C"/>
    <w:rsid w:val="003D2B4D"/>
    <w:rsid w:val="0040557F"/>
    <w:rsid w:val="00430B0A"/>
    <w:rsid w:val="00444A88"/>
    <w:rsid w:val="00462234"/>
    <w:rsid w:val="00474DA4"/>
    <w:rsid w:val="00476B4D"/>
    <w:rsid w:val="004805FA"/>
    <w:rsid w:val="00484E7F"/>
    <w:rsid w:val="00485391"/>
    <w:rsid w:val="004935D2"/>
    <w:rsid w:val="004B1215"/>
    <w:rsid w:val="004C095F"/>
    <w:rsid w:val="004C38BE"/>
    <w:rsid w:val="004C5AE3"/>
    <w:rsid w:val="004D047D"/>
    <w:rsid w:val="004F1E9E"/>
    <w:rsid w:val="004F305A"/>
    <w:rsid w:val="00512164"/>
    <w:rsid w:val="00520297"/>
    <w:rsid w:val="005338F9"/>
    <w:rsid w:val="00537085"/>
    <w:rsid w:val="00537604"/>
    <w:rsid w:val="00541706"/>
    <w:rsid w:val="0054281C"/>
    <w:rsid w:val="00544581"/>
    <w:rsid w:val="00545E42"/>
    <w:rsid w:val="0055268D"/>
    <w:rsid w:val="005638F1"/>
    <w:rsid w:val="00576BE4"/>
    <w:rsid w:val="005A2FAC"/>
    <w:rsid w:val="005A400A"/>
    <w:rsid w:val="005C1E3A"/>
    <w:rsid w:val="005E392A"/>
    <w:rsid w:val="005E7EA6"/>
    <w:rsid w:val="005F7B92"/>
    <w:rsid w:val="006007F3"/>
    <w:rsid w:val="00612379"/>
    <w:rsid w:val="0061306B"/>
    <w:rsid w:val="006153B6"/>
    <w:rsid w:val="0061555F"/>
    <w:rsid w:val="0062323D"/>
    <w:rsid w:val="00636CA6"/>
    <w:rsid w:val="00641200"/>
    <w:rsid w:val="00645CA8"/>
    <w:rsid w:val="006655D3"/>
    <w:rsid w:val="00667404"/>
    <w:rsid w:val="00687EB4"/>
    <w:rsid w:val="00695C56"/>
    <w:rsid w:val="006A5CDE"/>
    <w:rsid w:val="006A644A"/>
    <w:rsid w:val="006B17D2"/>
    <w:rsid w:val="006B60F2"/>
    <w:rsid w:val="006C224E"/>
    <w:rsid w:val="006C3B94"/>
    <w:rsid w:val="006C4C12"/>
    <w:rsid w:val="006D780A"/>
    <w:rsid w:val="0071271E"/>
    <w:rsid w:val="00720F59"/>
    <w:rsid w:val="00732DEC"/>
    <w:rsid w:val="00735BD5"/>
    <w:rsid w:val="00751613"/>
    <w:rsid w:val="007556F6"/>
    <w:rsid w:val="00760EEF"/>
    <w:rsid w:val="00777EE5"/>
    <w:rsid w:val="007803B0"/>
    <w:rsid w:val="00781112"/>
    <w:rsid w:val="00784836"/>
    <w:rsid w:val="0079023E"/>
    <w:rsid w:val="00797DB7"/>
    <w:rsid w:val="007A2854"/>
    <w:rsid w:val="007A4124"/>
    <w:rsid w:val="007C1D92"/>
    <w:rsid w:val="007C4CB9"/>
    <w:rsid w:val="007D0B9D"/>
    <w:rsid w:val="007D19B0"/>
    <w:rsid w:val="007F498F"/>
    <w:rsid w:val="0080679D"/>
    <w:rsid w:val="008108B0"/>
    <w:rsid w:val="00811B20"/>
    <w:rsid w:val="008211B5"/>
    <w:rsid w:val="0082296E"/>
    <w:rsid w:val="00824099"/>
    <w:rsid w:val="008308C2"/>
    <w:rsid w:val="00846D7C"/>
    <w:rsid w:val="00855660"/>
    <w:rsid w:val="00864C55"/>
    <w:rsid w:val="00867AC1"/>
    <w:rsid w:val="00877627"/>
    <w:rsid w:val="00890DF8"/>
    <w:rsid w:val="008A743F"/>
    <w:rsid w:val="008B189F"/>
    <w:rsid w:val="008C0970"/>
    <w:rsid w:val="008C46E5"/>
    <w:rsid w:val="008D0BC5"/>
    <w:rsid w:val="008D2CF7"/>
    <w:rsid w:val="008F0955"/>
    <w:rsid w:val="008F391C"/>
    <w:rsid w:val="00900C26"/>
    <w:rsid w:val="0090197F"/>
    <w:rsid w:val="00903242"/>
    <w:rsid w:val="00906DDC"/>
    <w:rsid w:val="00934E09"/>
    <w:rsid w:val="00936253"/>
    <w:rsid w:val="00940D46"/>
    <w:rsid w:val="00952DD4"/>
    <w:rsid w:val="00955AA8"/>
    <w:rsid w:val="00962787"/>
    <w:rsid w:val="00965AE7"/>
    <w:rsid w:val="00970FED"/>
    <w:rsid w:val="00987E26"/>
    <w:rsid w:val="00992D82"/>
    <w:rsid w:val="00997029"/>
    <w:rsid w:val="009A4759"/>
    <w:rsid w:val="009A64C3"/>
    <w:rsid w:val="009A7339"/>
    <w:rsid w:val="009B440E"/>
    <w:rsid w:val="009B71A4"/>
    <w:rsid w:val="009C145C"/>
    <w:rsid w:val="009D690D"/>
    <w:rsid w:val="009E2483"/>
    <w:rsid w:val="009E37F3"/>
    <w:rsid w:val="009E65B6"/>
    <w:rsid w:val="00A21611"/>
    <w:rsid w:val="00A22F48"/>
    <w:rsid w:val="00A24C10"/>
    <w:rsid w:val="00A36F1E"/>
    <w:rsid w:val="00A42AC3"/>
    <w:rsid w:val="00A430CF"/>
    <w:rsid w:val="00A54309"/>
    <w:rsid w:val="00A549BC"/>
    <w:rsid w:val="00A706D3"/>
    <w:rsid w:val="00A71548"/>
    <w:rsid w:val="00AB2B93"/>
    <w:rsid w:val="00AB530F"/>
    <w:rsid w:val="00AB5931"/>
    <w:rsid w:val="00AB7E5B"/>
    <w:rsid w:val="00AC2883"/>
    <w:rsid w:val="00AE0EF1"/>
    <w:rsid w:val="00AE2937"/>
    <w:rsid w:val="00B07079"/>
    <w:rsid w:val="00B07301"/>
    <w:rsid w:val="00B11F3E"/>
    <w:rsid w:val="00B224DE"/>
    <w:rsid w:val="00B324D4"/>
    <w:rsid w:val="00B46575"/>
    <w:rsid w:val="00B57B05"/>
    <w:rsid w:val="00B61777"/>
    <w:rsid w:val="00B61F7C"/>
    <w:rsid w:val="00B84BBD"/>
    <w:rsid w:val="00B967FA"/>
    <w:rsid w:val="00B96F33"/>
    <w:rsid w:val="00BA3C4D"/>
    <w:rsid w:val="00BA43FB"/>
    <w:rsid w:val="00BC127D"/>
    <w:rsid w:val="00BC1FE6"/>
    <w:rsid w:val="00BD743F"/>
    <w:rsid w:val="00BE651A"/>
    <w:rsid w:val="00C061B6"/>
    <w:rsid w:val="00C102E8"/>
    <w:rsid w:val="00C22A36"/>
    <w:rsid w:val="00C2446C"/>
    <w:rsid w:val="00C33FC2"/>
    <w:rsid w:val="00C36AE5"/>
    <w:rsid w:val="00C41F17"/>
    <w:rsid w:val="00C527FA"/>
    <w:rsid w:val="00C5280D"/>
    <w:rsid w:val="00C53EB3"/>
    <w:rsid w:val="00C5791C"/>
    <w:rsid w:val="00C66290"/>
    <w:rsid w:val="00C71725"/>
    <w:rsid w:val="00C72B7A"/>
    <w:rsid w:val="00C973F2"/>
    <w:rsid w:val="00CA304C"/>
    <w:rsid w:val="00CA774A"/>
    <w:rsid w:val="00CC11B0"/>
    <w:rsid w:val="00CC2841"/>
    <w:rsid w:val="00CF1330"/>
    <w:rsid w:val="00CF7E36"/>
    <w:rsid w:val="00D12BF8"/>
    <w:rsid w:val="00D3708D"/>
    <w:rsid w:val="00D40426"/>
    <w:rsid w:val="00D41B08"/>
    <w:rsid w:val="00D57C96"/>
    <w:rsid w:val="00D57D18"/>
    <w:rsid w:val="00D61E5C"/>
    <w:rsid w:val="00D66B83"/>
    <w:rsid w:val="00D91203"/>
    <w:rsid w:val="00D95174"/>
    <w:rsid w:val="00DA4973"/>
    <w:rsid w:val="00DA6F36"/>
    <w:rsid w:val="00DB348F"/>
    <w:rsid w:val="00DB596E"/>
    <w:rsid w:val="00DB7773"/>
    <w:rsid w:val="00DC00EA"/>
    <w:rsid w:val="00DC3802"/>
    <w:rsid w:val="00E06D7B"/>
    <w:rsid w:val="00E07D87"/>
    <w:rsid w:val="00E32F7E"/>
    <w:rsid w:val="00E5267B"/>
    <w:rsid w:val="00E54C93"/>
    <w:rsid w:val="00E63C0E"/>
    <w:rsid w:val="00E650C3"/>
    <w:rsid w:val="00E72D49"/>
    <w:rsid w:val="00E7593C"/>
    <w:rsid w:val="00E760C4"/>
    <w:rsid w:val="00E7678A"/>
    <w:rsid w:val="00E935F1"/>
    <w:rsid w:val="00E94A81"/>
    <w:rsid w:val="00EA1CC3"/>
    <w:rsid w:val="00EA1FFB"/>
    <w:rsid w:val="00EB048E"/>
    <w:rsid w:val="00EB4E9C"/>
    <w:rsid w:val="00EE34DF"/>
    <w:rsid w:val="00EE4949"/>
    <w:rsid w:val="00EF2F89"/>
    <w:rsid w:val="00F03E98"/>
    <w:rsid w:val="00F1237A"/>
    <w:rsid w:val="00F14109"/>
    <w:rsid w:val="00F22CBD"/>
    <w:rsid w:val="00F272F1"/>
    <w:rsid w:val="00F45372"/>
    <w:rsid w:val="00F560F7"/>
    <w:rsid w:val="00F6334D"/>
    <w:rsid w:val="00F73522"/>
    <w:rsid w:val="00FA49AB"/>
    <w:rsid w:val="00FB162D"/>
    <w:rsid w:val="00FC6E6D"/>
    <w:rsid w:val="00FD2F26"/>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6EF372"/>
  <w15:docId w15:val="{EB03A263-3EEF-4BA5-B2FA-3C3A1A577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72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uiPriority w:val="99"/>
    <w:rsid w:val="000A2023"/>
    <w:pPr>
      <w:tabs>
        <w:tab w:val="right" w:pos="9072"/>
      </w:tabs>
      <w:jc w:val="center"/>
    </w:pPr>
    <w:rPr>
      <w:rFonts w:asciiTheme="minorHAnsi" w:hAnsiTheme="minorHAnsi"/>
      <w:color w:val="C00000"/>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link w:val="FootnoteTextChar"/>
    <w:autoRedefine/>
    <w:uiPriority w:val="99"/>
    <w:rsid w:val="005638F1"/>
    <w:pPr>
      <w:spacing w:before="60"/>
      <w:ind w:left="142" w:right="-17" w:hanging="142"/>
      <w:jc w:val="both"/>
    </w:pPr>
    <w:rPr>
      <w:rFonts w:ascii="Arial" w:hAnsi="Arial"/>
      <w:sz w:val="16"/>
      <w:lang w:val="fr-FR"/>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erChar">
    <w:name w:val="Footer Char"/>
    <w:aliases w:val="doc_path_name Char"/>
    <w:basedOn w:val="DefaultParagraphFont"/>
    <w:link w:val="Footer"/>
    <w:uiPriority w:val="99"/>
    <w:rsid w:val="000A2023"/>
    <w:rPr>
      <w:rFonts w:asciiTheme="minorHAnsi" w:hAnsiTheme="minorHAnsi"/>
      <w:color w:val="C00000"/>
    </w:rPr>
  </w:style>
  <w:style w:type="paragraph" w:styleId="NoSpacing">
    <w:name w:val="No Spacing"/>
    <w:link w:val="NoSpacingChar"/>
    <w:uiPriority w:val="1"/>
    <w:qFormat/>
    <w:rsid w:val="005C1E3A"/>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5C1E3A"/>
    <w:rPr>
      <w:rFonts w:asciiTheme="minorHAnsi" w:eastAsiaTheme="minorEastAsia" w:hAnsiTheme="minorHAnsi" w:cstheme="minorBidi"/>
      <w:sz w:val="22"/>
      <w:szCs w:val="22"/>
      <w:lang w:eastAsia="ja-JP"/>
    </w:rPr>
  </w:style>
  <w:style w:type="table" w:styleId="TableGrid">
    <w:name w:val="Table Grid"/>
    <w:basedOn w:val="TableNormal"/>
    <w:rsid w:val="0024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TableauEFK">
    <w:name w:val="TexteTableau_EFK"/>
    <w:basedOn w:val="Normal"/>
    <w:uiPriority w:val="2"/>
    <w:qFormat/>
    <w:rsid w:val="0024574F"/>
    <w:pPr>
      <w:spacing w:after="120"/>
      <w:jc w:val="left"/>
    </w:pPr>
    <w:rPr>
      <w:rFonts w:asciiTheme="minorHAnsi" w:hAnsiTheme="minorHAnsi" w:cs="Arial"/>
      <w:color w:val="000000" w:themeColor="text1"/>
      <w:sz w:val="22"/>
      <w:szCs w:val="22"/>
      <w:lang w:eastAsia="de-CH"/>
    </w:rPr>
  </w:style>
  <w:style w:type="character" w:customStyle="1" w:styleId="FootnoteTextChar">
    <w:name w:val="Footnote Text Char"/>
    <w:basedOn w:val="DefaultParagraphFont"/>
    <w:link w:val="FootnoteText"/>
    <w:uiPriority w:val="99"/>
    <w:rsid w:val="005638F1"/>
    <w:rPr>
      <w:rFonts w:ascii="Arial" w:hAnsi="Arial"/>
      <w:sz w:val="16"/>
      <w:lang w:val="fr-FR"/>
    </w:rPr>
  </w:style>
  <w:style w:type="paragraph" w:customStyle="1" w:styleId="Titre1EFK">
    <w:name w:val="Titre1_EFK"/>
    <w:basedOn w:val="Normal"/>
    <w:next w:val="TexteEFK"/>
    <w:uiPriority w:val="2"/>
    <w:qFormat/>
    <w:rsid w:val="00FC6E6D"/>
    <w:pPr>
      <w:pageBreakBefore/>
      <w:spacing w:after="360" w:line="280" w:lineRule="atLeast"/>
      <w:jc w:val="left"/>
    </w:pPr>
    <w:rPr>
      <w:rFonts w:asciiTheme="minorHAnsi" w:hAnsiTheme="minorHAnsi"/>
      <w:color w:val="C00000"/>
      <w:sz w:val="40"/>
      <w:szCs w:val="40"/>
    </w:rPr>
  </w:style>
  <w:style w:type="paragraph" w:customStyle="1" w:styleId="Titre2EFK">
    <w:name w:val="Titre2_EFK"/>
    <w:basedOn w:val="Titre1EFK"/>
    <w:next w:val="TexteEFK"/>
    <w:uiPriority w:val="2"/>
    <w:qFormat/>
    <w:rsid w:val="00FC6E6D"/>
    <w:pPr>
      <w:keepNext/>
      <w:pageBreakBefore w:val="0"/>
      <w:pBdr>
        <w:bottom w:val="single" w:sz="4" w:space="1" w:color="FF0000"/>
      </w:pBdr>
      <w:suppressAutoHyphens/>
      <w:spacing w:line="240" w:lineRule="auto"/>
    </w:pPr>
    <w:rPr>
      <w:color w:val="auto"/>
      <w:sz w:val="32"/>
      <w:szCs w:val="32"/>
    </w:rPr>
  </w:style>
  <w:style w:type="paragraph" w:customStyle="1" w:styleId="Titre3EFK">
    <w:name w:val="Titre3_EFK"/>
    <w:basedOn w:val="Normal"/>
    <w:next w:val="TexteEFK"/>
    <w:uiPriority w:val="2"/>
    <w:qFormat/>
    <w:rsid w:val="00FC6E6D"/>
    <w:pPr>
      <w:keepNext/>
      <w:suppressAutoHyphens/>
      <w:spacing w:before="360" w:after="120" w:line="280" w:lineRule="atLeast"/>
      <w:jc w:val="left"/>
    </w:pPr>
    <w:rPr>
      <w:rFonts w:asciiTheme="minorHAnsi" w:eastAsiaTheme="minorHAnsi" w:hAnsiTheme="minorHAnsi" w:cs="Arial"/>
      <w:b/>
      <w:color w:val="000000" w:themeColor="text1"/>
      <w:sz w:val="22"/>
      <w:szCs w:val="22"/>
    </w:rPr>
  </w:style>
  <w:style w:type="paragraph" w:customStyle="1" w:styleId="TexteEFK">
    <w:name w:val="Texte_EFK"/>
    <w:basedOn w:val="Normal"/>
    <w:link w:val="TexteEFKCar"/>
    <w:uiPriority w:val="2"/>
    <w:qFormat/>
    <w:rsid w:val="00FC6E6D"/>
    <w:pPr>
      <w:spacing w:after="120"/>
      <w:ind w:left="1060"/>
    </w:pPr>
    <w:rPr>
      <w:rFonts w:asciiTheme="minorHAnsi" w:hAnsiTheme="minorHAnsi" w:cs="Arial"/>
      <w:color w:val="000000" w:themeColor="text1"/>
      <w:sz w:val="22"/>
      <w:szCs w:val="22"/>
    </w:rPr>
  </w:style>
  <w:style w:type="paragraph" w:customStyle="1" w:styleId="Titre2NoEFK">
    <w:name w:val="Titre2No_EFK"/>
    <w:basedOn w:val="Titre2EFK"/>
    <w:next w:val="TexteEFK"/>
    <w:uiPriority w:val="2"/>
    <w:qFormat/>
    <w:rsid w:val="00FC6E6D"/>
    <w:pPr>
      <w:pBdr>
        <w:bottom w:val="none" w:sz="0" w:space="0" w:color="auto"/>
      </w:pBdr>
      <w:spacing w:before="360" w:after="120" w:line="280" w:lineRule="atLeast"/>
      <w:ind w:left="1060"/>
    </w:pPr>
    <w:rPr>
      <w:rFonts w:eastAsiaTheme="minorHAnsi" w:cstheme="minorBidi"/>
    </w:rPr>
  </w:style>
  <w:style w:type="paragraph" w:customStyle="1" w:styleId="ApprciationEtRecommandationEFK">
    <w:name w:val="AppréciationEtRecommandation_EFK"/>
    <w:basedOn w:val="TexteEFK"/>
    <w:link w:val="ApprciationEtRecommandationEFKCar"/>
    <w:uiPriority w:val="2"/>
    <w:qFormat/>
    <w:rsid w:val="00FC6E6D"/>
    <w:pPr>
      <w:pBdr>
        <w:top w:val="single" w:sz="8" w:space="1" w:color="F4F8ED" w:themeColor="accent3" w:themeTint="1A"/>
        <w:left w:val="single" w:sz="8" w:space="4" w:color="F4F8ED" w:themeColor="accent3" w:themeTint="1A"/>
        <w:bottom w:val="single" w:sz="8" w:space="1" w:color="F4F8ED" w:themeColor="accent3" w:themeTint="1A"/>
        <w:right w:val="single" w:sz="8" w:space="4" w:color="F4F8ED" w:themeColor="accent3" w:themeTint="1A"/>
      </w:pBdr>
      <w:shd w:val="clear" w:color="auto" w:fill="F4F8ED" w:themeFill="accent3" w:themeFillTint="1A"/>
    </w:pPr>
    <w:rPr>
      <w:rFonts w:eastAsiaTheme="minorHAnsi"/>
    </w:rPr>
  </w:style>
  <w:style w:type="paragraph" w:customStyle="1" w:styleId="AnnexeTitreEFK">
    <w:name w:val="AnnexeTitre_EFK"/>
    <w:basedOn w:val="Titre1EFK"/>
    <w:next w:val="TexteTableauEFK"/>
    <w:uiPriority w:val="2"/>
    <w:qFormat/>
    <w:rsid w:val="00FC6E6D"/>
    <w:pPr>
      <w:ind w:left="709"/>
    </w:pPr>
  </w:style>
  <w:style w:type="paragraph" w:customStyle="1" w:styleId="TextePuceEFK">
    <w:name w:val="TextePuce_EFK"/>
    <w:basedOn w:val="TexteEFK"/>
    <w:uiPriority w:val="2"/>
    <w:qFormat/>
    <w:rsid w:val="00FC6E6D"/>
    <w:pPr>
      <w:numPr>
        <w:numId w:val="1"/>
      </w:numPr>
      <w:tabs>
        <w:tab w:val="num" w:pos="360"/>
      </w:tabs>
      <w:ind w:left="1417" w:hanging="357"/>
    </w:pPr>
  </w:style>
  <w:style w:type="paragraph" w:customStyle="1" w:styleId="TexteNumroEFK">
    <w:name w:val="TexteNuméro_EFK"/>
    <w:basedOn w:val="TexteEFK"/>
    <w:uiPriority w:val="2"/>
    <w:qFormat/>
    <w:rsid w:val="00FC6E6D"/>
    <w:pPr>
      <w:numPr>
        <w:numId w:val="2"/>
      </w:numPr>
    </w:pPr>
  </w:style>
  <w:style w:type="paragraph" w:customStyle="1" w:styleId="RecommandationTitreEFK">
    <w:name w:val="RecommandationTitre_EFK"/>
    <w:basedOn w:val="Normal"/>
    <w:link w:val="RecommandationTitreEFKCar"/>
    <w:uiPriority w:val="2"/>
    <w:qFormat/>
    <w:rsid w:val="00FC6E6D"/>
    <w:pPr>
      <w:keepNext/>
      <w:pBdr>
        <w:top w:val="single" w:sz="8" w:space="1" w:color="F4F8ED" w:themeColor="accent3" w:themeTint="1A"/>
        <w:left w:val="single" w:sz="8" w:space="4" w:color="F4F8ED" w:themeColor="accent3" w:themeTint="1A"/>
        <w:bottom w:val="single" w:sz="8" w:space="1" w:color="F4F8ED" w:themeColor="accent3" w:themeTint="1A"/>
        <w:right w:val="single" w:sz="8" w:space="4" w:color="F4F8ED" w:themeColor="accent3" w:themeTint="1A"/>
      </w:pBdr>
      <w:shd w:val="clear" w:color="auto" w:fill="F4F8ED" w:themeFill="accent3" w:themeFillTint="1A"/>
      <w:spacing w:after="120"/>
      <w:ind w:left="1060"/>
    </w:pPr>
    <w:rPr>
      <w:rFonts w:asciiTheme="minorHAnsi" w:eastAsiaTheme="minorHAnsi" w:hAnsiTheme="minorHAnsi" w:cs="Arial"/>
      <w:b/>
      <w:sz w:val="22"/>
      <w:szCs w:val="22"/>
    </w:rPr>
  </w:style>
  <w:style w:type="character" w:customStyle="1" w:styleId="TexteEFKCar">
    <w:name w:val="Texte_EFK Car"/>
    <w:basedOn w:val="DefaultParagraphFont"/>
    <w:link w:val="TexteEFK"/>
    <w:uiPriority w:val="2"/>
    <w:rsid w:val="00FC6E6D"/>
    <w:rPr>
      <w:rFonts w:asciiTheme="minorHAnsi" w:hAnsiTheme="minorHAnsi" w:cs="Arial"/>
      <w:color w:val="000000" w:themeColor="text1"/>
      <w:sz w:val="22"/>
      <w:szCs w:val="22"/>
    </w:rPr>
  </w:style>
  <w:style w:type="character" w:customStyle="1" w:styleId="ApprciationEtRecommandationEFKCar">
    <w:name w:val="AppréciationEtRecommandation_EFK Car"/>
    <w:basedOn w:val="TexteEFKCar"/>
    <w:link w:val="ApprciationEtRecommandationEFK"/>
    <w:uiPriority w:val="2"/>
    <w:rsid w:val="00FC6E6D"/>
    <w:rPr>
      <w:rFonts w:asciiTheme="minorHAnsi" w:eastAsiaTheme="minorHAnsi" w:hAnsiTheme="minorHAnsi" w:cs="Arial"/>
      <w:color w:val="000000" w:themeColor="text1"/>
      <w:sz w:val="22"/>
      <w:szCs w:val="22"/>
      <w:shd w:val="clear" w:color="auto" w:fill="F4F8ED" w:themeFill="accent3" w:themeFillTint="1A"/>
    </w:rPr>
  </w:style>
  <w:style w:type="character" w:customStyle="1" w:styleId="RecommandationTitreEFKCar">
    <w:name w:val="RecommandationTitre_EFK Car"/>
    <w:basedOn w:val="DefaultParagraphFont"/>
    <w:link w:val="RecommandationTitreEFK"/>
    <w:uiPriority w:val="2"/>
    <w:rsid w:val="00FC6E6D"/>
    <w:rPr>
      <w:rFonts w:asciiTheme="minorHAnsi" w:eastAsiaTheme="minorHAnsi" w:hAnsiTheme="minorHAnsi" w:cs="Arial"/>
      <w:b/>
      <w:sz w:val="22"/>
      <w:szCs w:val="22"/>
      <w:shd w:val="clear" w:color="auto" w:fill="F4F8ED" w:themeFill="accent3" w:themeFillTint="1A"/>
    </w:rPr>
  </w:style>
  <w:style w:type="character" w:styleId="PlaceholderText">
    <w:name w:val="Placeholder Text"/>
    <w:basedOn w:val="DefaultParagraphFont"/>
    <w:uiPriority w:val="99"/>
    <w:unhideWhenUsed/>
    <w:rsid w:val="00FC6E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A9BB84DB0E45D281DF1E8B6A495944"/>
        <w:category>
          <w:name w:val="General"/>
          <w:gallery w:val="placeholder"/>
        </w:category>
        <w:types>
          <w:type w:val="bbPlcHdr"/>
        </w:types>
        <w:behaviors>
          <w:behavior w:val="content"/>
        </w:behaviors>
        <w:guid w:val="{7FBB58F9-719A-414F-8433-94BC613F32C7}"/>
      </w:docPartPr>
      <w:docPartBody>
        <w:p w:rsidR="007C5F65" w:rsidRDefault="007C5F65" w:rsidP="007C5F65">
          <w:pPr>
            <w:pStyle w:val="94A9BB84DB0E45D281DF1E8B6A495944"/>
          </w:pPr>
          <w:r>
            <w:rPr>
              <w:rStyle w:val="PlaceholderText"/>
              <w:color w:val="000000" w:themeColor="text1"/>
            </w:rPr>
            <w:t>Nummer / numéro</w:t>
          </w:r>
        </w:p>
      </w:docPartBody>
    </w:docPart>
    <w:docPart>
      <w:docPartPr>
        <w:name w:val="0D8F23C5DE1D49EA83769670C34A1171"/>
        <w:category>
          <w:name w:val="General"/>
          <w:gallery w:val="placeholder"/>
        </w:category>
        <w:types>
          <w:type w:val="bbPlcHdr"/>
        </w:types>
        <w:behaviors>
          <w:behavior w:val="content"/>
        </w:behaviors>
        <w:guid w:val="{C49AF235-45CC-49F9-ACC4-2968A4FC8C70}"/>
      </w:docPartPr>
      <w:docPartBody>
        <w:p w:rsidR="007C5F65" w:rsidRDefault="007C5F65" w:rsidP="007C5F65">
          <w:pPr>
            <w:pStyle w:val="0D8F23C5DE1D49EA83769670C34A1171"/>
          </w:pPr>
          <w:r>
            <w:rPr>
              <w:rStyle w:val="PlaceholderText"/>
            </w:rPr>
            <w:t>Nummer / numéro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65"/>
    <w:rsid w:val="00364B52"/>
    <w:rsid w:val="007C5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7C5F65"/>
    <w:rPr>
      <w:color w:val="808080"/>
    </w:rPr>
  </w:style>
  <w:style w:type="paragraph" w:customStyle="1" w:styleId="BAAD3B1B7A4C43AABB9B8ABEAE0332F0">
    <w:name w:val="BAAD3B1B7A4C43AABB9B8ABEAE0332F0"/>
    <w:rsid w:val="007C5F65"/>
  </w:style>
  <w:style w:type="paragraph" w:customStyle="1" w:styleId="FB47AAED94FE475BABC4A1A7A312F2B6">
    <w:name w:val="FB47AAED94FE475BABC4A1A7A312F2B6"/>
    <w:rsid w:val="007C5F65"/>
  </w:style>
  <w:style w:type="paragraph" w:customStyle="1" w:styleId="94A9BB84DB0E45D281DF1E8B6A495944">
    <w:name w:val="94A9BB84DB0E45D281DF1E8B6A495944"/>
    <w:rsid w:val="007C5F65"/>
  </w:style>
  <w:style w:type="paragraph" w:customStyle="1" w:styleId="0D8F23C5DE1D49EA83769670C34A1171">
    <w:name w:val="0D8F23C5DE1D49EA83769670C34A1171"/>
    <w:rsid w:val="007C5F65"/>
  </w:style>
  <w:style w:type="paragraph" w:customStyle="1" w:styleId="81395545E84A46E8BE661FB2AED715B4">
    <w:name w:val="81395545E84A46E8BE661FB2AED715B4"/>
    <w:rsid w:val="007C5F65"/>
  </w:style>
  <w:style w:type="paragraph" w:customStyle="1" w:styleId="B360B798ED1B4CE6971564DD491739A8">
    <w:name w:val="B360B798ED1B4CE6971564DD491739A8"/>
    <w:rsid w:val="007C5F65"/>
  </w:style>
  <w:style w:type="paragraph" w:customStyle="1" w:styleId="4E5B3313D78743009FFA7909C0BD9A36">
    <w:name w:val="4E5B3313D78743009FFA7909C0BD9A36"/>
    <w:rsid w:val="007C5F65"/>
  </w:style>
  <w:style w:type="paragraph" w:customStyle="1" w:styleId="3D21C3C6EC5C437AB6F699FB0804CE44">
    <w:name w:val="3D21C3C6EC5C437AB6F699FB0804CE44"/>
    <w:rsid w:val="007C5F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69F0-85A4-4061-88A2-E930ACB3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18</Pages>
  <Words>4844</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C/52/13</vt:lpstr>
    </vt:vector>
  </TitlesOfParts>
  <Company>UPOV</Company>
  <LinksUpToDate>false</LinksUpToDate>
  <CharactersWithSpaces>32397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C/52/13</dc:title>
  <dc:creator>SANCHEZ VIZCAINO GOMEZ Rosa Maria</dc:creator>
  <cp:lastModifiedBy>SANTOS Carla Marina</cp:lastModifiedBy>
  <cp:revision>75</cp:revision>
  <cp:lastPrinted>2016-11-22T15:41:00Z</cp:lastPrinted>
  <dcterms:created xsi:type="dcterms:W3CDTF">2018-07-02T07:46:00Z</dcterms:created>
  <dcterms:modified xsi:type="dcterms:W3CDTF">2018-08-31T17:36:00Z</dcterms:modified>
</cp:coreProperties>
</file>