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C542DE" w:rsidRDefault="00A3365A" w:rsidP="00AC2883">
            <w:pPr>
              <w:pStyle w:val="Sessiontc"/>
              <w:spacing w:line="240" w:lineRule="auto"/>
            </w:pPr>
            <w:r w:rsidRPr="00C542DE">
              <w:t>Council</w:t>
            </w:r>
          </w:p>
          <w:p w:rsidR="00EB4E9C" w:rsidRPr="00C542DE" w:rsidRDefault="00A3365A" w:rsidP="007C3C19">
            <w:pPr>
              <w:pStyle w:val="Sessiontcplacedate"/>
              <w:rPr>
                <w:sz w:val="22"/>
              </w:rPr>
            </w:pPr>
            <w:r w:rsidRPr="00C542DE">
              <w:t>Fifty-</w:t>
            </w:r>
            <w:r w:rsidR="007C3C19" w:rsidRPr="00C542DE">
              <w:t xml:space="preserve">Second </w:t>
            </w:r>
            <w:r w:rsidRPr="00C542DE">
              <w:t xml:space="preserve">Ordinary </w:t>
            </w:r>
            <w:r w:rsidR="00EB4E9C" w:rsidRPr="00C542DE">
              <w:t>Session</w:t>
            </w:r>
            <w:r w:rsidR="00EB4E9C" w:rsidRPr="00C542DE">
              <w:br/>
              <w:t xml:space="preserve">Geneva, </w:t>
            </w:r>
            <w:r w:rsidR="007C3C19" w:rsidRPr="00C542DE">
              <w:t>November 2, 2018</w:t>
            </w:r>
          </w:p>
        </w:tc>
        <w:tc>
          <w:tcPr>
            <w:tcW w:w="3127" w:type="dxa"/>
          </w:tcPr>
          <w:p w:rsidR="00EB4E9C" w:rsidRPr="00C542DE" w:rsidRDefault="007C3C19" w:rsidP="003C7FBE">
            <w:pPr>
              <w:pStyle w:val="Doccode"/>
            </w:pPr>
            <w:r w:rsidRPr="00C542DE">
              <w:t>C/52</w:t>
            </w:r>
            <w:r w:rsidR="00EB4E9C" w:rsidRPr="00C542DE">
              <w:t>/</w:t>
            </w:r>
            <w:r w:rsidR="00AB30F7">
              <w:t>10</w:t>
            </w:r>
          </w:p>
          <w:p w:rsidR="00EB4E9C" w:rsidRPr="00C542DE" w:rsidRDefault="00EB4E9C" w:rsidP="003C7FBE">
            <w:pPr>
              <w:pStyle w:val="Docoriginal"/>
            </w:pPr>
            <w:r w:rsidRPr="00C542DE">
              <w:t>Original:</w:t>
            </w:r>
            <w:r w:rsidRPr="00C542DE">
              <w:rPr>
                <w:b w:val="0"/>
                <w:spacing w:val="0"/>
              </w:rPr>
              <w:t xml:space="preserve">  English</w:t>
            </w:r>
          </w:p>
          <w:p w:rsidR="00EB4E9C" w:rsidRPr="007C1D92" w:rsidRDefault="00EB4E9C" w:rsidP="00AB30F7">
            <w:pPr>
              <w:pStyle w:val="Docoriginal"/>
            </w:pPr>
            <w:bookmarkStart w:id="0" w:name="_GoBack"/>
            <w:bookmarkEnd w:id="0"/>
            <w:r w:rsidRPr="00B632BA">
              <w:t>Date:</w:t>
            </w:r>
            <w:r w:rsidRPr="00B632BA">
              <w:rPr>
                <w:b w:val="0"/>
                <w:spacing w:val="0"/>
              </w:rPr>
              <w:t xml:space="preserve">  </w:t>
            </w:r>
            <w:r w:rsidR="00B632BA" w:rsidRPr="00B632BA">
              <w:rPr>
                <w:b w:val="0"/>
                <w:spacing w:val="0"/>
              </w:rPr>
              <w:t>October 19</w:t>
            </w:r>
            <w:r w:rsidRPr="00B632BA">
              <w:rPr>
                <w:b w:val="0"/>
                <w:spacing w:val="0"/>
              </w:rPr>
              <w:t>, 201</w:t>
            </w:r>
            <w:r w:rsidR="00256BFA" w:rsidRPr="00B632BA">
              <w:rPr>
                <w:b w:val="0"/>
                <w:spacing w:val="0"/>
              </w:rPr>
              <w:t>8</w:t>
            </w:r>
          </w:p>
        </w:tc>
      </w:tr>
    </w:tbl>
    <w:p w:rsidR="000D7780" w:rsidRPr="006A644A" w:rsidRDefault="00414D0B" w:rsidP="00414D0B">
      <w:pPr>
        <w:pStyle w:val="Titleofdoc0"/>
        <w:jc w:val="both"/>
      </w:pPr>
      <w:bookmarkStart w:id="1" w:name="TitleOfDoc"/>
      <w:bookmarkEnd w:id="1"/>
      <w:r>
        <w:t>Progress report of the work of the Technical Committee, the Technical Working Parties and the Working Group on Biochemical and Molecular Techniques, and DNA-Profiling in Particular</w:t>
      </w:r>
      <w:r w:rsidR="006231AE">
        <w:t xml:space="preserve"> </w:t>
      </w:r>
    </w:p>
    <w:p w:rsidR="006A644A" w:rsidRPr="006A644A" w:rsidRDefault="00AE0EF1" w:rsidP="006A644A">
      <w:pPr>
        <w:pStyle w:val="preparedby1"/>
        <w:jc w:val="left"/>
      </w:pPr>
      <w:bookmarkStart w:id="2" w:name="Prepared"/>
      <w:bookmarkEnd w:id="2"/>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5D007E" w:rsidRPr="00BD4338" w:rsidRDefault="005D007E" w:rsidP="005D007E">
      <w:r w:rsidRPr="00BD4338">
        <w:fldChar w:fldCharType="begin"/>
      </w:r>
      <w:r w:rsidRPr="00BD4338">
        <w:instrText xml:space="preserve"> AUTONUM  </w:instrText>
      </w:r>
      <w:r w:rsidRPr="00BD4338">
        <w:fldChar w:fldCharType="end"/>
      </w:r>
      <w:r w:rsidRPr="00BD4338">
        <w:tab/>
        <w:t xml:space="preserve">At its </w:t>
      </w:r>
      <w:r w:rsidR="00AB30F7">
        <w:t>fifty-third</w:t>
      </w:r>
      <w:r w:rsidRPr="00BD4338">
        <w:t xml:space="preserve"> session</w:t>
      </w:r>
      <w:r w:rsidR="00414D0B">
        <w:t>,</w:t>
      </w:r>
      <w:r w:rsidRPr="00BD4338">
        <w:t xml:space="preserve"> held in Geneva </w:t>
      </w:r>
      <w:r w:rsidR="00AB30F7">
        <w:t>from April 3 to 5</w:t>
      </w:r>
      <w:r w:rsidRPr="00BD4338">
        <w:t>, 201</w:t>
      </w:r>
      <w:r w:rsidR="00782938" w:rsidRPr="00BD4338">
        <w:t>7</w:t>
      </w:r>
      <w:r w:rsidRPr="00BD4338">
        <w:t xml:space="preserve">, the </w:t>
      </w:r>
      <w:r w:rsidR="00AB30F7">
        <w:t>Technical</w:t>
      </w:r>
      <w:r w:rsidRPr="00BD4338">
        <w:t xml:space="preserve"> Committee (</w:t>
      </w:r>
      <w:r w:rsidR="00AB30F7">
        <w:t>TC</w:t>
      </w:r>
      <w:r w:rsidRPr="00BD4338">
        <w:t xml:space="preserve">) considered the work program for its </w:t>
      </w:r>
      <w:r w:rsidR="00AB30F7">
        <w:t>fifty-fourth</w:t>
      </w:r>
      <w:r w:rsidRPr="00BD4338">
        <w:t xml:space="preserve"> session and agreed that its work program </w:t>
      </w:r>
      <w:r w:rsidRPr="00BD4338">
        <w:rPr>
          <w:rFonts w:cs="Arial"/>
        </w:rPr>
        <w:t xml:space="preserve">could be covered by a session to be held on October </w:t>
      </w:r>
      <w:r w:rsidR="00AB30F7">
        <w:rPr>
          <w:rFonts w:cs="Arial"/>
        </w:rPr>
        <w:t>29 and 30</w:t>
      </w:r>
      <w:r w:rsidR="00782938" w:rsidRPr="00BD4338">
        <w:rPr>
          <w:rFonts w:cs="Arial"/>
        </w:rPr>
        <w:t>, 2018</w:t>
      </w:r>
      <w:r w:rsidRPr="00BD4338">
        <w:t>.</w:t>
      </w:r>
    </w:p>
    <w:p w:rsidR="005D007E" w:rsidRPr="00BD4338" w:rsidRDefault="005D007E" w:rsidP="005D007E"/>
    <w:p w:rsidR="005D007E" w:rsidRPr="00BD4338" w:rsidRDefault="005D007E" w:rsidP="005D007E">
      <w:r w:rsidRPr="00BD4338">
        <w:fldChar w:fldCharType="begin"/>
      </w:r>
      <w:r w:rsidRPr="00BD4338">
        <w:instrText xml:space="preserve"> AUTONUM  </w:instrText>
      </w:r>
      <w:r w:rsidRPr="00BD4338">
        <w:fldChar w:fldCharType="end"/>
      </w:r>
      <w:r w:rsidRPr="00BD4338">
        <w:tab/>
        <w:t xml:space="preserve">The following program was agreed for the </w:t>
      </w:r>
      <w:r w:rsidR="00AB30F7">
        <w:t>fifty-fourth</w:t>
      </w:r>
      <w:r w:rsidRPr="00BD4338">
        <w:t xml:space="preserve"> session of the </w:t>
      </w:r>
      <w:r w:rsidR="00AB30F7">
        <w:t>TC</w:t>
      </w:r>
      <w:r w:rsidRPr="00BD4338">
        <w:t>:</w:t>
      </w:r>
    </w:p>
    <w:p w:rsidR="005D007E" w:rsidRPr="00BD4338" w:rsidRDefault="005D007E" w:rsidP="005D007E"/>
    <w:p w:rsidR="00AB30F7" w:rsidRPr="00AB30F7" w:rsidRDefault="00AB30F7" w:rsidP="00414D0B">
      <w:pPr>
        <w:spacing w:after="120"/>
        <w:ind w:left="1134" w:right="567" w:hanging="567"/>
      </w:pPr>
      <w:r w:rsidRPr="00AB30F7">
        <w:t>1.</w:t>
      </w:r>
      <w:r w:rsidRPr="00AB30F7">
        <w:tab/>
        <w:t>Opening of the session</w:t>
      </w:r>
    </w:p>
    <w:p w:rsidR="00AB30F7" w:rsidRPr="00AB30F7" w:rsidRDefault="00AB30F7" w:rsidP="00414D0B">
      <w:pPr>
        <w:spacing w:after="120"/>
        <w:ind w:left="1134" w:right="567" w:hanging="567"/>
      </w:pPr>
      <w:r w:rsidRPr="00AB30F7">
        <w:t>2.</w:t>
      </w:r>
      <w:r w:rsidRPr="00AB30F7">
        <w:tab/>
        <w:t>Adoption of the agenda</w:t>
      </w:r>
    </w:p>
    <w:p w:rsidR="00AB30F7" w:rsidRPr="00AB30F7" w:rsidRDefault="00AB30F7" w:rsidP="00414D0B">
      <w:pPr>
        <w:spacing w:after="120"/>
        <w:ind w:left="1134" w:right="567" w:hanging="567"/>
      </w:pPr>
      <w:r w:rsidRPr="00AB30F7">
        <w:t>3.</w:t>
      </w:r>
      <w:r w:rsidRPr="00AB30F7">
        <w:tab/>
        <w:t xml:space="preserve">Report on developments in UPOV including relevant matters discussed in the last sessions of the Administrative and Legal Committee, the Consultative Committee and the Council </w:t>
      </w:r>
    </w:p>
    <w:p w:rsidR="00AB30F7" w:rsidRPr="00AB30F7" w:rsidRDefault="00414D0B" w:rsidP="00414D0B">
      <w:pPr>
        <w:spacing w:after="120"/>
        <w:ind w:left="1134" w:right="567" w:hanging="567"/>
      </w:pPr>
      <w:r>
        <w:t>4</w:t>
      </w:r>
      <w:r w:rsidR="00AB30F7" w:rsidRPr="00AB30F7">
        <w:t>.</w:t>
      </w:r>
      <w:r w:rsidR="00AB30F7" w:rsidRPr="00AB30F7">
        <w:tab/>
        <w:t xml:space="preserve">Progress reports on the work of the Technical Working Parties, including the Working Group on Biochemical and Molecular Techniques, and DNA-Profiling in Particular (BMT) </w:t>
      </w:r>
    </w:p>
    <w:p w:rsidR="00AB30F7" w:rsidRPr="00AB30F7" w:rsidRDefault="00414D0B" w:rsidP="00414D0B">
      <w:pPr>
        <w:spacing w:after="120"/>
        <w:ind w:left="1134" w:right="567" w:hanging="567"/>
      </w:pPr>
      <w:r>
        <w:t>5</w:t>
      </w:r>
      <w:r w:rsidR="00AB30F7" w:rsidRPr="00AB30F7">
        <w:t>.</w:t>
      </w:r>
      <w:r w:rsidR="00AB30F7" w:rsidRPr="00AB30F7">
        <w:tab/>
        <w:t xml:space="preserve">Matters arising from the Technical Working Parties </w:t>
      </w:r>
    </w:p>
    <w:p w:rsidR="00AB30F7" w:rsidRPr="00AB30F7" w:rsidRDefault="00414D0B" w:rsidP="00414D0B">
      <w:pPr>
        <w:spacing w:after="120"/>
        <w:ind w:left="1134" w:right="567" w:hanging="567"/>
      </w:pPr>
      <w:r>
        <w:t>6</w:t>
      </w:r>
      <w:r w:rsidR="00AB30F7" w:rsidRPr="00AB30F7">
        <w:t>.</w:t>
      </w:r>
      <w:r w:rsidR="00AB30F7" w:rsidRPr="00AB30F7">
        <w:tab/>
        <w:t xml:space="preserve">TGP documents </w:t>
      </w:r>
    </w:p>
    <w:p w:rsidR="00AB30F7" w:rsidRDefault="00414D0B" w:rsidP="00414D0B">
      <w:pPr>
        <w:spacing w:after="120"/>
        <w:ind w:left="1134" w:right="567" w:hanging="567"/>
      </w:pPr>
      <w:r>
        <w:t>7</w:t>
      </w:r>
      <w:r w:rsidR="00AB30F7" w:rsidRPr="00AB30F7">
        <w:t>.</w:t>
      </w:r>
      <w:r w:rsidR="00AB30F7" w:rsidRPr="00AB30F7">
        <w:tab/>
        <w:t xml:space="preserve">Cooperation in examination </w:t>
      </w:r>
    </w:p>
    <w:p w:rsidR="007C7E15" w:rsidRPr="00AB30F7" w:rsidRDefault="007C7E15" w:rsidP="00414D0B">
      <w:pPr>
        <w:spacing w:after="120"/>
        <w:ind w:left="1134" w:right="567" w:hanging="567"/>
      </w:pPr>
      <w:r>
        <w:t>8.</w:t>
      </w:r>
      <w:r>
        <w:tab/>
        <w:t>Approaches for obtaining plant material from breeders and on deciding on varieties whose existence is a matter of common knowledge</w:t>
      </w:r>
    </w:p>
    <w:p w:rsidR="00AB30F7" w:rsidRPr="00AB30F7" w:rsidRDefault="007C7E15" w:rsidP="00414D0B">
      <w:pPr>
        <w:spacing w:after="120"/>
        <w:ind w:left="1134" w:right="567" w:hanging="567"/>
      </w:pPr>
      <w:r>
        <w:t>9</w:t>
      </w:r>
      <w:r w:rsidR="00AB30F7" w:rsidRPr="00AB30F7">
        <w:t>.</w:t>
      </w:r>
      <w:r w:rsidR="00AB30F7" w:rsidRPr="00AB30F7">
        <w:tab/>
        <w:t>Information and databases</w:t>
      </w:r>
    </w:p>
    <w:p w:rsidR="00AB30F7" w:rsidRPr="00AB30F7" w:rsidRDefault="00AB30F7" w:rsidP="00414D0B">
      <w:pPr>
        <w:tabs>
          <w:tab w:val="left" w:pos="1701"/>
        </w:tabs>
        <w:spacing w:after="120"/>
        <w:ind w:left="1134" w:right="567"/>
      </w:pPr>
      <w:r w:rsidRPr="00AB30F7">
        <w:t>(a)</w:t>
      </w:r>
      <w:r w:rsidRPr="00AB30F7">
        <w:tab/>
        <w:t xml:space="preserve">UPOV information databases </w:t>
      </w:r>
    </w:p>
    <w:p w:rsidR="00AB30F7" w:rsidRPr="00AB30F7" w:rsidRDefault="00AB30F7" w:rsidP="00414D0B">
      <w:pPr>
        <w:tabs>
          <w:tab w:val="left" w:pos="1701"/>
        </w:tabs>
        <w:spacing w:after="120"/>
        <w:ind w:left="1134" w:right="567"/>
      </w:pPr>
      <w:r w:rsidRPr="00AB30F7">
        <w:t>(b)</w:t>
      </w:r>
      <w:r w:rsidRPr="00AB30F7">
        <w:tab/>
        <w:t xml:space="preserve">Electronic application form </w:t>
      </w:r>
    </w:p>
    <w:p w:rsidR="00AB30F7" w:rsidRPr="00AB30F7" w:rsidRDefault="00AB30F7" w:rsidP="00414D0B">
      <w:pPr>
        <w:tabs>
          <w:tab w:val="left" w:pos="1701"/>
        </w:tabs>
        <w:spacing w:after="120"/>
        <w:ind w:left="1134" w:right="567"/>
      </w:pPr>
      <w:r w:rsidRPr="00AB30F7">
        <w:t>(c)</w:t>
      </w:r>
      <w:r w:rsidRPr="00AB30F7">
        <w:tab/>
        <w:t xml:space="preserve">Exchange and use of software and equipment </w:t>
      </w:r>
    </w:p>
    <w:p w:rsidR="00AB30F7" w:rsidRPr="00AB30F7" w:rsidRDefault="00AB30F7" w:rsidP="00414D0B">
      <w:pPr>
        <w:tabs>
          <w:tab w:val="left" w:pos="1701"/>
        </w:tabs>
        <w:spacing w:after="120"/>
        <w:ind w:left="1134" w:right="567"/>
      </w:pPr>
      <w:r w:rsidRPr="00AB30F7">
        <w:t>(d)</w:t>
      </w:r>
      <w:r w:rsidRPr="00AB30F7">
        <w:tab/>
        <w:t xml:space="preserve">Variety description databases </w:t>
      </w:r>
    </w:p>
    <w:p w:rsidR="00AB30F7" w:rsidRPr="00AB30F7" w:rsidRDefault="00AB30F7" w:rsidP="00414D0B">
      <w:pPr>
        <w:spacing w:after="120"/>
        <w:ind w:left="1134" w:right="567" w:hanging="567"/>
      </w:pPr>
      <w:r w:rsidRPr="00AB30F7">
        <w:t>10.</w:t>
      </w:r>
      <w:r w:rsidRPr="00AB30F7">
        <w:tab/>
        <w:t xml:space="preserve">Number of growing cycles </w:t>
      </w:r>
    </w:p>
    <w:p w:rsidR="00AB30F7" w:rsidRPr="00AB30F7" w:rsidRDefault="00AB30F7" w:rsidP="00414D0B">
      <w:pPr>
        <w:spacing w:after="120"/>
        <w:ind w:left="1134" w:right="567" w:hanging="567"/>
      </w:pPr>
      <w:r w:rsidRPr="00AB30F7">
        <w:t>11.</w:t>
      </w:r>
      <w:r w:rsidRPr="00AB30F7">
        <w:tab/>
        <w:t xml:space="preserve">Matters concerning variety descriptions </w:t>
      </w:r>
    </w:p>
    <w:p w:rsidR="00AB30F7" w:rsidRPr="00AB30F7" w:rsidRDefault="00AB30F7" w:rsidP="00414D0B">
      <w:pPr>
        <w:spacing w:after="120"/>
        <w:ind w:left="1134" w:right="567" w:hanging="567"/>
      </w:pPr>
      <w:r w:rsidRPr="00AB30F7">
        <w:t>12.</w:t>
      </w:r>
      <w:r w:rsidRPr="00AB30F7">
        <w:tab/>
        <w:t xml:space="preserve">Development of calculated thresholds for excluding varieties of common knowledge from the second growing cycle when COYD is used </w:t>
      </w:r>
    </w:p>
    <w:p w:rsidR="00AB30F7" w:rsidRPr="00AB30F7" w:rsidRDefault="00AB30F7" w:rsidP="00414D0B">
      <w:pPr>
        <w:spacing w:after="120"/>
        <w:ind w:left="1134" w:right="567" w:hanging="567"/>
      </w:pPr>
      <w:r w:rsidRPr="00AB30F7">
        <w:t>13.</w:t>
      </w:r>
      <w:r w:rsidRPr="00AB30F7">
        <w:tab/>
        <w:t>Statistical methods for visually observed characteristics</w:t>
      </w:r>
    </w:p>
    <w:p w:rsidR="007C7E15" w:rsidRPr="00AB30F7" w:rsidRDefault="007C7E15" w:rsidP="007C7E15">
      <w:pPr>
        <w:spacing w:after="120"/>
        <w:ind w:left="1134" w:right="567" w:hanging="567"/>
      </w:pPr>
      <w:r w:rsidRPr="00AB30F7">
        <w:t>1</w:t>
      </w:r>
      <w:r>
        <w:t>4</w:t>
      </w:r>
      <w:r w:rsidRPr="00AB30F7">
        <w:t>.</w:t>
      </w:r>
      <w:r w:rsidRPr="00AB30F7">
        <w:tab/>
        <w:t xml:space="preserve">Molecular techniques </w:t>
      </w:r>
    </w:p>
    <w:p w:rsidR="00AB30F7" w:rsidRPr="00AB30F7" w:rsidRDefault="00AB30F7" w:rsidP="00414D0B">
      <w:pPr>
        <w:spacing w:after="120"/>
        <w:ind w:left="1134" w:right="567" w:hanging="567"/>
      </w:pPr>
      <w:r w:rsidRPr="00AB30F7">
        <w:t>1</w:t>
      </w:r>
      <w:r w:rsidR="007C7E15">
        <w:t>5</w:t>
      </w:r>
      <w:r w:rsidRPr="00AB30F7">
        <w:t>.</w:t>
      </w:r>
      <w:r w:rsidRPr="00AB30F7">
        <w:tab/>
        <w:t xml:space="preserve">Discussion on: </w:t>
      </w:r>
    </w:p>
    <w:p w:rsidR="00AB30F7" w:rsidRPr="00AB30F7" w:rsidRDefault="00AB30F7" w:rsidP="007C7E15">
      <w:pPr>
        <w:spacing w:after="120"/>
        <w:ind w:left="1701" w:right="567" w:hanging="567"/>
      </w:pPr>
      <w:r w:rsidRPr="00AB30F7">
        <w:t>(a)</w:t>
      </w:r>
      <w:r w:rsidRPr="00AB30F7">
        <w:tab/>
        <w:t>Minimum distances between varieties</w:t>
      </w:r>
    </w:p>
    <w:p w:rsidR="00AB30F7" w:rsidRPr="00AB30F7" w:rsidRDefault="00AB30F7" w:rsidP="007C7E15">
      <w:pPr>
        <w:spacing w:after="120"/>
        <w:ind w:left="1701" w:right="567" w:hanging="567"/>
      </w:pPr>
      <w:r w:rsidRPr="00AB30F7">
        <w:t>(b)</w:t>
      </w:r>
      <w:r w:rsidRPr="00AB30F7">
        <w:tab/>
        <w:t>Increasing participation of new members of the Union in the work of the TC and the TWPs (including the provision of training on using UPOV tools to new members of the Union)</w:t>
      </w:r>
    </w:p>
    <w:p w:rsidR="00AB30F7" w:rsidRPr="00AB30F7" w:rsidRDefault="00AB30F7" w:rsidP="00414D0B">
      <w:pPr>
        <w:spacing w:after="120"/>
        <w:ind w:left="1134" w:right="567" w:hanging="567"/>
      </w:pPr>
      <w:r w:rsidRPr="00AB30F7">
        <w:lastRenderedPageBreak/>
        <w:t>16.</w:t>
      </w:r>
      <w:r w:rsidRPr="00AB30F7">
        <w:tab/>
        <w:t>Variety denominations</w:t>
      </w:r>
    </w:p>
    <w:p w:rsidR="00AB30F7" w:rsidRPr="00AB30F7" w:rsidRDefault="00AB30F7" w:rsidP="00414D0B">
      <w:pPr>
        <w:spacing w:after="120"/>
        <w:ind w:left="1134" w:right="567" w:hanging="567"/>
      </w:pPr>
      <w:r w:rsidRPr="00AB30F7">
        <w:t>17.</w:t>
      </w:r>
      <w:r w:rsidRPr="00AB30F7">
        <w:tab/>
        <w:t xml:space="preserve">Preparatory workshops </w:t>
      </w:r>
    </w:p>
    <w:p w:rsidR="00AB30F7" w:rsidRPr="00AB30F7" w:rsidRDefault="00AB30F7" w:rsidP="00414D0B">
      <w:pPr>
        <w:spacing w:after="120"/>
        <w:ind w:left="1134" w:right="567" w:hanging="567"/>
      </w:pPr>
      <w:r w:rsidRPr="00AB30F7">
        <w:t>18.</w:t>
      </w:r>
      <w:r w:rsidRPr="00AB30F7">
        <w:tab/>
        <w:t>List of genera and species for which authorities have practical experience in the examination of distinctness, uniformity and stability</w:t>
      </w:r>
    </w:p>
    <w:p w:rsidR="00AB30F7" w:rsidRPr="00AB30F7" w:rsidRDefault="007C7E15" w:rsidP="00414D0B">
      <w:pPr>
        <w:spacing w:after="120"/>
        <w:ind w:left="1134" w:right="567" w:hanging="567"/>
      </w:pPr>
      <w:r>
        <w:t>19</w:t>
      </w:r>
      <w:r w:rsidR="00AB30F7" w:rsidRPr="00AB30F7">
        <w:t>.</w:t>
      </w:r>
      <w:r w:rsidR="00AB30F7" w:rsidRPr="00AB30F7">
        <w:tab/>
        <w:t>Test Guidelines</w:t>
      </w:r>
    </w:p>
    <w:p w:rsidR="00AB30F7" w:rsidRPr="00AB30F7" w:rsidRDefault="00AB30F7" w:rsidP="00414D0B">
      <w:pPr>
        <w:spacing w:after="120"/>
        <w:ind w:left="1134" w:right="567" w:hanging="567"/>
      </w:pPr>
      <w:r w:rsidRPr="00AB30F7">
        <w:t>2</w:t>
      </w:r>
      <w:r w:rsidR="007C7E15">
        <w:t>0</w:t>
      </w:r>
      <w:r w:rsidRPr="00AB30F7">
        <w:t>.</w:t>
      </w:r>
      <w:r w:rsidRPr="00AB30F7">
        <w:tab/>
        <w:t xml:space="preserve">Program for the fifty-fifth session </w:t>
      </w:r>
    </w:p>
    <w:p w:rsidR="00AB30F7" w:rsidRPr="00AB30F7" w:rsidRDefault="00AB30F7" w:rsidP="00414D0B">
      <w:pPr>
        <w:spacing w:after="120"/>
        <w:ind w:left="1134" w:right="567" w:hanging="567"/>
      </w:pPr>
      <w:r w:rsidRPr="00AB30F7">
        <w:t>2</w:t>
      </w:r>
      <w:r w:rsidR="007C7E15">
        <w:t>1</w:t>
      </w:r>
      <w:r w:rsidRPr="00AB30F7">
        <w:t>.</w:t>
      </w:r>
      <w:r w:rsidRPr="00AB30F7">
        <w:tab/>
        <w:t>Adoption of the report (if time permits)</w:t>
      </w:r>
    </w:p>
    <w:p w:rsidR="00AB30F7" w:rsidRPr="00AB30F7" w:rsidRDefault="00AB30F7" w:rsidP="00414D0B">
      <w:pPr>
        <w:spacing w:after="120"/>
        <w:ind w:left="1134" w:right="567" w:hanging="567"/>
      </w:pPr>
      <w:r w:rsidRPr="00AB30F7">
        <w:t>2</w:t>
      </w:r>
      <w:r w:rsidR="007C7E15">
        <w:t>2</w:t>
      </w:r>
      <w:r w:rsidRPr="00AB30F7">
        <w:t>.</w:t>
      </w:r>
      <w:r w:rsidRPr="00AB30F7">
        <w:tab/>
        <w:t>Closing of the session</w:t>
      </w:r>
    </w:p>
    <w:p w:rsidR="005D007E" w:rsidRPr="00BD4338" w:rsidRDefault="005D007E" w:rsidP="00414D0B">
      <w:pPr>
        <w:spacing w:after="120"/>
        <w:ind w:left="567" w:right="567"/>
      </w:pPr>
      <w:r w:rsidRPr="00AB30F7">
        <w:t xml:space="preserve">(see documents </w:t>
      </w:r>
      <w:r w:rsidR="00AB30F7" w:rsidRPr="00AB30F7">
        <w:t>TC</w:t>
      </w:r>
      <w:r w:rsidRPr="00AB30F7">
        <w:t>/</w:t>
      </w:r>
      <w:r w:rsidR="00AB30F7" w:rsidRPr="00AB30F7">
        <w:t>53</w:t>
      </w:r>
      <w:r w:rsidRPr="00AB30F7">
        <w:t>/</w:t>
      </w:r>
      <w:r w:rsidR="00AB30F7" w:rsidRPr="00AB30F7">
        <w:t>3</w:t>
      </w:r>
      <w:r w:rsidRPr="00AB30F7">
        <w:t>1 “Report</w:t>
      </w:r>
      <w:r w:rsidR="00FB6065">
        <w:t>”</w:t>
      </w:r>
      <w:r w:rsidR="00AB30F7" w:rsidRPr="00AB30F7">
        <w:t xml:space="preserve"> </w:t>
      </w:r>
      <w:r w:rsidRPr="00AB30F7">
        <w:t xml:space="preserve">and </w:t>
      </w:r>
      <w:r w:rsidR="00AB30F7" w:rsidRPr="00AB30F7">
        <w:t>TC</w:t>
      </w:r>
      <w:r w:rsidRPr="00AB30F7">
        <w:t>/</w:t>
      </w:r>
      <w:r w:rsidR="00782938" w:rsidRPr="00AB30F7">
        <w:t>5</w:t>
      </w:r>
      <w:r w:rsidR="00AB30F7" w:rsidRPr="00AB30F7">
        <w:t>4</w:t>
      </w:r>
      <w:r w:rsidR="00782938" w:rsidRPr="00AB30F7">
        <w:t>/1</w:t>
      </w:r>
      <w:r w:rsidRPr="00AB30F7">
        <w:t xml:space="preserve"> “Draft Agenda”)</w:t>
      </w:r>
    </w:p>
    <w:p w:rsidR="000E7DCE" w:rsidRPr="00BD4338" w:rsidRDefault="000E7DCE" w:rsidP="005D007E">
      <w:pPr>
        <w:keepNext/>
      </w:pPr>
    </w:p>
    <w:p w:rsidR="00C84CEC" w:rsidRDefault="005D007E" w:rsidP="00C84CEC">
      <w:r w:rsidRPr="00BD4338">
        <w:fldChar w:fldCharType="begin"/>
      </w:r>
      <w:r w:rsidRPr="00BD4338">
        <w:instrText xml:space="preserve"> AUTONUM  </w:instrText>
      </w:r>
      <w:r w:rsidRPr="00BD4338">
        <w:fldChar w:fldCharType="end"/>
      </w:r>
      <w:r w:rsidRPr="00BD4338">
        <w:tab/>
      </w:r>
      <w:r w:rsidR="00BD4338">
        <w:t>It is anticipated that t</w:t>
      </w:r>
      <w:r w:rsidRPr="00BD4338">
        <w:t xml:space="preserve">he </w:t>
      </w:r>
      <w:r w:rsidR="00DF37F1">
        <w:t>r</w:t>
      </w:r>
      <w:r w:rsidRPr="00BD4338">
        <w:t xml:space="preserve">eport of the </w:t>
      </w:r>
      <w:r w:rsidR="00AB30F7">
        <w:t>fifty-fourth</w:t>
      </w:r>
      <w:r w:rsidRPr="00BD4338">
        <w:t xml:space="preserve"> session of the </w:t>
      </w:r>
      <w:r w:rsidR="00AB30F7">
        <w:t>TC</w:t>
      </w:r>
      <w:r w:rsidRPr="00BD4338">
        <w:t xml:space="preserve"> (document </w:t>
      </w:r>
      <w:r w:rsidR="00AB30F7">
        <w:t>TC</w:t>
      </w:r>
      <w:r w:rsidRPr="00BD4338">
        <w:t>/</w:t>
      </w:r>
      <w:r w:rsidR="00AB30F7">
        <w:t>54</w:t>
      </w:r>
      <w:proofErr w:type="gramStart"/>
      <w:r w:rsidR="00070123" w:rsidRPr="00BD4338">
        <w:t>/</w:t>
      </w:r>
      <w:r w:rsidR="00B61443" w:rsidRPr="00BD4338">
        <w:t>[</w:t>
      </w:r>
      <w:proofErr w:type="gramEnd"/>
      <w:r w:rsidR="00AB30F7">
        <w:t>31</w:t>
      </w:r>
      <w:r w:rsidR="00B61443" w:rsidRPr="00BD4338">
        <w:t>]</w:t>
      </w:r>
      <w:r w:rsidRPr="00BD4338">
        <w:t xml:space="preserve">) will be made available </w:t>
      </w:r>
      <w:r w:rsidR="00DB5787" w:rsidRPr="00BD4338">
        <w:t>on the UPOV website on October 3</w:t>
      </w:r>
      <w:r w:rsidR="00414D0B">
        <w:t>1</w:t>
      </w:r>
      <w:r w:rsidR="00DB5787" w:rsidRPr="00BD4338">
        <w:t>, 2018</w:t>
      </w:r>
      <w:r w:rsidRPr="00BD4338">
        <w:t>.</w:t>
      </w:r>
      <w:r w:rsidR="00C84CEC">
        <w:t xml:space="preserve">  Document TC/54</w:t>
      </w:r>
      <w:proofErr w:type="gramStart"/>
      <w:r w:rsidR="00C84CEC">
        <w:t>/[</w:t>
      </w:r>
      <w:proofErr w:type="gramEnd"/>
      <w:r w:rsidR="00C84CEC">
        <w:t xml:space="preserve">31] will provide a progress report on the work </w:t>
      </w:r>
      <w:r w:rsidR="00B72850">
        <w:t xml:space="preserve">and the work program for the TC, </w:t>
      </w:r>
      <w:r w:rsidR="00C84CEC">
        <w:t xml:space="preserve">Technical Working Parties (TWPs) and Working Group on Biochemical and Molecular Techniques, and DNA-Profiling in Particular (BMT).  </w:t>
      </w:r>
    </w:p>
    <w:p w:rsidR="00C84CEC" w:rsidRDefault="00C84CEC" w:rsidP="00C84CEC"/>
    <w:p w:rsidR="005D007E" w:rsidRPr="00BD4338" w:rsidRDefault="00C84CEC" w:rsidP="00C84CEC">
      <w:r>
        <w:rPr>
          <w:spacing w:val="-2"/>
        </w:rPr>
        <w:fldChar w:fldCharType="begin"/>
      </w:r>
      <w:r>
        <w:rPr>
          <w:spacing w:val="-2"/>
        </w:rPr>
        <w:instrText xml:space="preserve"> AUTONUM  </w:instrText>
      </w:r>
      <w:r>
        <w:rPr>
          <w:spacing w:val="-2"/>
        </w:rPr>
        <w:fldChar w:fldCharType="end"/>
      </w:r>
      <w:r>
        <w:rPr>
          <w:spacing w:val="-2"/>
        </w:rPr>
        <w:tab/>
        <w:t>A</w:t>
      </w:r>
      <w:r w:rsidRPr="00BD4338">
        <w:rPr>
          <w:spacing w:val="-2"/>
        </w:rPr>
        <w:t xml:space="preserve">n oral report on the </w:t>
      </w:r>
      <w:r>
        <w:rPr>
          <w:spacing w:val="-2"/>
        </w:rPr>
        <w:t>fifty-fourth</w:t>
      </w:r>
      <w:r w:rsidRPr="00BD4338">
        <w:rPr>
          <w:spacing w:val="-2"/>
        </w:rPr>
        <w:t xml:space="preserve"> session</w:t>
      </w:r>
      <w:r w:rsidRPr="00BD4338">
        <w:t xml:space="preserve"> of the </w:t>
      </w:r>
      <w:r>
        <w:t>TC</w:t>
      </w:r>
      <w:r w:rsidRPr="00BD4338">
        <w:t xml:space="preserve"> and on the program for its </w:t>
      </w:r>
      <w:r>
        <w:t>fifty-fifth</w:t>
      </w:r>
      <w:r w:rsidRPr="00BD4338">
        <w:t xml:space="preserve"> session </w:t>
      </w:r>
      <w:r>
        <w:t xml:space="preserve">will be made </w:t>
      </w:r>
      <w:r w:rsidRPr="00BD4338">
        <w:t>at the fifty</w:t>
      </w:r>
      <w:r w:rsidRPr="00BD4338">
        <w:noBreakHyphen/>
        <w:t xml:space="preserve">second ordinary session of the Council.  </w:t>
      </w:r>
    </w:p>
    <w:p w:rsidR="005D007E" w:rsidRPr="00BD4338" w:rsidRDefault="005D007E" w:rsidP="005D007E"/>
    <w:p w:rsidR="005D007E" w:rsidRPr="00BD4338" w:rsidRDefault="005D007E" w:rsidP="00782938">
      <w:pPr>
        <w:pStyle w:val="DecisionParagraphs"/>
        <w:keepNext/>
        <w:keepLines/>
      </w:pPr>
      <w:r w:rsidRPr="00BD4338">
        <w:fldChar w:fldCharType="begin"/>
      </w:r>
      <w:r w:rsidRPr="00BD4338">
        <w:instrText xml:space="preserve"> AUTONUM  </w:instrText>
      </w:r>
      <w:r w:rsidRPr="00BD4338">
        <w:fldChar w:fldCharType="end"/>
      </w:r>
      <w:r w:rsidRPr="00BD4338">
        <w:tab/>
        <w:t>The Council is invited to:</w:t>
      </w:r>
    </w:p>
    <w:p w:rsidR="005D007E" w:rsidRPr="00BD4338" w:rsidRDefault="005D007E" w:rsidP="00782938">
      <w:pPr>
        <w:pStyle w:val="DecisionParagraphs"/>
        <w:keepNext/>
        <w:keepLines/>
      </w:pPr>
    </w:p>
    <w:p w:rsidR="005D007E" w:rsidRPr="00BD4338" w:rsidRDefault="005D007E" w:rsidP="00782938">
      <w:pPr>
        <w:pStyle w:val="DecisionParagraphs"/>
        <w:keepNext/>
        <w:keepLines/>
      </w:pPr>
      <w:r w:rsidRPr="00BD4338">
        <w:tab/>
        <w:t>(a)</w:t>
      </w:r>
      <w:r w:rsidRPr="00BD4338">
        <w:tab/>
        <w:t xml:space="preserve">note that an oral report on the </w:t>
      </w:r>
      <w:r w:rsidR="001868F3">
        <w:t>fifty-fourth</w:t>
      </w:r>
      <w:r w:rsidRPr="00BD4338">
        <w:t xml:space="preserve"> session of the </w:t>
      </w:r>
      <w:r w:rsidR="001868F3">
        <w:t>T</w:t>
      </w:r>
      <w:r w:rsidRPr="00BD4338">
        <w:t xml:space="preserve">C and on the program for its </w:t>
      </w:r>
      <w:r w:rsidR="001868F3">
        <w:t>fifty-fifth</w:t>
      </w:r>
      <w:r w:rsidRPr="00BD4338">
        <w:t xml:space="preserve"> session </w:t>
      </w:r>
      <w:r w:rsidR="00414D0B">
        <w:t xml:space="preserve">will be made </w:t>
      </w:r>
      <w:r w:rsidR="000E7DCE" w:rsidRPr="00BD4338">
        <w:t>at the </w:t>
      </w:r>
      <w:r w:rsidR="00CF7E71" w:rsidRPr="00BD4338">
        <w:t>fifty</w:t>
      </w:r>
      <w:r w:rsidR="00CF7E71" w:rsidRPr="00BD4338">
        <w:noBreakHyphen/>
        <w:t>second</w:t>
      </w:r>
      <w:r w:rsidRPr="00BD4338">
        <w:t xml:space="preserve"> ordinary session of the Council;</w:t>
      </w:r>
    </w:p>
    <w:p w:rsidR="005D007E" w:rsidRPr="00BD4338" w:rsidRDefault="005D007E" w:rsidP="00782938">
      <w:pPr>
        <w:pStyle w:val="DecisionParagraphs"/>
        <w:keepNext/>
        <w:keepLines/>
      </w:pPr>
    </w:p>
    <w:p w:rsidR="005D007E" w:rsidRPr="00BD4338" w:rsidRDefault="005D007E" w:rsidP="00782938">
      <w:pPr>
        <w:pStyle w:val="DecisionParagraphs"/>
        <w:keepNext/>
        <w:keepLines/>
      </w:pPr>
      <w:r w:rsidRPr="00BD4338">
        <w:tab/>
        <w:t>(b)</w:t>
      </w:r>
      <w:r w:rsidRPr="00BD4338">
        <w:tab/>
        <w:t xml:space="preserve">note that </w:t>
      </w:r>
      <w:r w:rsidR="00BD4338">
        <w:t xml:space="preserve">it is anticipated that </w:t>
      </w:r>
      <w:r w:rsidRPr="00BD4338">
        <w:t xml:space="preserve">the </w:t>
      </w:r>
      <w:r w:rsidR="00BD4338">
        <w:br/>
        <w:t>r</w:t>
      </w:r>
      <w:r w:rsidRPr="00BD4338">
        <w:t xml:space="preserve">eport of the </w:t>
      </w:r>
      <w:r w:rsidR="001868F3">
        <w:t>fifty-fourth</w:t>
      </w:r>
      <w:r w:rsidRPr="00BD4338">
        <w:t xml:space="preserve"> session of the </w:t>
      </w:r>
      <w:r w:rsidR="001868F3">
        <w:t>TC</w:t>
      </w:r>
      <w:r w:rsidRPr="00BD4338">
        <w:t xml:space="preserve"> </w:t>
      </w:r>
      <w:r w:rsidR="00BD4338">
        <w:t>(document </w:t>
      </w:r>
      <w:r w:rsidR="001868F3" w:rsidRPr="001868F3">
        <w:t>TC/54/[31]</w:t>
      </w:r>
      <w:r w:rsidR="00BD4338">
        <w:t>)</w:t>
      </w:r>
      <w:r w:rsidR="000240A6">
        <w:t xml:space="preserve">, including a </w:t>
      </w:r>
      <w:r w:rsidR="00B72850">
        <w:t xml:space="preserve">progress report on the work and the work program for the TC, </w:t>
      </w:r>
      <w:r w:rsidR="000240A6">
        <w:t>TWPs and BMT,</w:t>
      </w:r>
      <w:r w:rsidR="00BD4338">
        <w:t xml:space="preserve"> </w:t>
      </w:r>
      <w:r w:rsidRPr="00BD4338">
        <w:t>will be made available on the U</w:t>
      </w:r>
      <w:r w:rsidR="008B657A" w:rsidRPr="00BD4338">
        <w:t>POV website on October 3</w:t>
      </w:r>
      <w:r w:rsidR="00414D0B">
        <w:t>1</w:t>
      </w:r>
      <w:r w:rsidRPr="00BD4338">
        <w:t>, 201</w:t>
      </w:r>
      <w:r w:rsidR="008B657A" w:rsidRPr="00BD4338">
        <w:t>8</w:t>
      </w:r>
      <w:r w:rsidRPr="00BD4338">
        <w:t>; and</w:t>
      </w:r>
    </w:p>
    <w:p w:rsidR="005D007E" w:rsidRPr="00BD4338" w:rsidRDefault="005D007E" w:rsidP="00782938">
      <w:pPr>
        <w:pStyle w:val="DecisionParagraphs"/>
        <w:keepNext/>
        <w:keepLines/>
      </w:pPr>
    </w:p>
    <w:p w:rsidR="005D007E" w:rsidRDefault="005D007E" w:rsidP="00782938">
      <w:pPr>
        <w:pStyle w:val="DecisionParagraphs"/>
        <w:keepNext/>
        <w:keepLines/>
      </w:pPr>
      <w:r w:rsidRPr="00BD4338">
        <w:tab/>
        <w:t>(c)</w:t>
      </w:r>
      <w:r w:rsidRPr="00BD4338">
        <w:tab/>
        <w:t xml:space="preserve">approve the </w:t>
      </w:r>
      <w:r w:rsidR="00B72850">
        <w:t xml:space="preserve">progress report and </w:t>
      </w:r>
      <w:r w:rsidRPr="00BD4338">
        <w:t xml:space="preserve">work program for the </w:t>
      </w:r>
      <w:r w:rsidR="001868F3">
        <w:t>TC</w:t>
      </w:r>
      <w:r w:rsidRPr="00BD4338">
        <w:t xml:space="preserve">, </w:t>
      </w:r>
      <w:r w:rsidR="000240A6">
        <w:t xml:space="preserve">TWPs and BMT, </w:t>
      </w:r>
      <w:r w:rsidRPr="00BD4338">
        <w:t>as presented in the</w:t>
      </w:r>
      <w:r w:rsidR="000E7DCE" w:rsidRPr="00BD4338">
        <w:t xml:space="preserve"> </w:t>
      </w:r>
      <w:r w:rsidRPr="00BD4338">
        <w:t xml:space="preserve">oral report </w:t>
      </w:r>
      <w:r w:rsidR="000E7DCE" w:rsidRPr="00BD4338">
        <w:t>at the </w:t>
      </w:r>
      <w:r w:rsidRPr="00BD4338">
        <w:t>fifty</w:t>
      </w:r>
      <w:r w:rsidRPr="00BD4338">
        <w:noBreakHyphen/>
      </w:r>
      <w:r w:rsidR="004C5BD1" w:rsidRPr="00BD4338">
        <w:t>second</w:t>
      </w:r>
      <w:r w:rsidRPr="00BD4338">
        <w:t xml:space="preserve"> ordinary session of the Council</w:t>
      </w:r>
      <w:r w:rsidR="000240A6">
        <w:t xml:space="preserve"> and in document TC/54</w:t>
      </w:r>
      <w:proofErr w:type="gramStart"/>
      <w:r w:rsidR="000240A6">
        <w:t>/[</w:t>
      </w:r>
      <w:proofErr w:type="gramEnd"/>
      <w:r w:rsidR="000240A6">
        <w:t>31]</w:t>
      </w:r>
      <w:r w:rsidRPr="00BD4338">
        <w:t>.</w:t>
      </w:r>
    </w:p>
    <w:p w:rsidR="005D007E" w:rsidRDefault="005D007E" w:rsidP="005D007E"/>
    <w:p w:rsidR="005D007E" w:rsidRPr="00C651CE" w:rsidRDefault="005D007E" w:rsidP="005D007E"/>
    <w:p w:rsidR="005D007E" w:rsidRPr="000A68B4" w:rsidRDefault="005D007E" w:rsidP="005D007E"/>
    <w:p w:rsidR="005D007E" w:rsidRDefault="005D007E" w:rsidP="005D007E">
      <w:pPr>
        <w:jc w:val="right"/>
      </w:pPr>
      <w:r w:rsidRPr="00C5280D">
        <w:t>[End of document]</w:t>
      </w:r>
    </w:p>
    <w:p w:rsidR="00050E16" w:rsidRPr="00C5280D" w:rsidRDefault="00050E16" w:rsidP="009B440E">
      <w:pPr>
        <w:jc w:val="left"/>
      </w:pPr>
    </w:p>
    <w:sectPr w:rsidR="00050E16" w:rsidRPr="00C5280D" w:rsidSect="00906DDC">
      <w:headerReference w:type="default" r:id="rId8"/>
      <w:pgSz w:w="11907" w:h="16840" w:code="9"/>
      <w:pgMar w:top="510" w:right="1134" w:bottom="1134" w:left="1134" w:header="510" w:footer="68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434">
      <wne:acd wne:acdName="acd0"/>
    </wne:keymap>
  </wne:keymaps>
  <wne:toolbars>
    <wne:acdManifest>
      <wne:acdEntry wne:acdName="acd0"/>
    </wne:acdManifest>
  </wne:toolbars>
  <wne:acds>
    <wne:acd wne:argValue="AQAAAA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084" w:rsidRDefault="00172084" w:rsidP="006655D3">
      <w:r>
        <w:separator/>
      </w:r>
    </w:p>
    <w:p w:rsidR="00172084" w:rsidRDefault="00172084" w:rsidP="006655D3"/>
    <w:p w:rsidR="00172084" w:rsidRDefault="00172084" w:rsidP="006655D3"/>
  </w:endnote>
  <w:endnote w:type="continuationSeparator" w:id="0">
    <w:p w:rsidR="00172084" w:rsidRDefault="00172084" w:rsidP="006655D3">
      <w:r>
        <w:separator/>
      </w:r>
    </w:p>
    <w:p w:rsidR="00172084" w:rsidRPr="00294751" w:rsidRDefault="00172084">
      <w:pPr>
        <w:pStyle w:val="Footer"/>
        <w:spacing w:after="60"/>
        <w:rPr>
          <w:sz w:val="18"/>
          <w:lang w:val="fr-FR"/>
        </w:rPr>
      </w:pPr>
      <w:r w:rsidRPr="00294751">
        <w:rPr>
          <w:sz w:val="18"/>
          <w:lang w:val="fr-FR"/>
        </w:rPr>
        <w:t>[Suite de la note de la page précédente]</w:t>
      </w:r>
    </w:p>
    <w:p w:rsidR="00172084" w:rsidRPr="00294751" w:rsidRDefault="00172084" w:rsidP="006655D3">
      <w:pPr>
        <w:rPr>
          <w:lang w:val="fr-FR"/>
        </w:rPr>
      </w:pPr>
    </w:p>
    <w:p w:rsidR="00172084" w:rsidRPr="00294751" w:rsidRDefault="00172084" w:rsidP="006655D3">
      <w:pPr>
        <w:rPr>
          <w:lang w:val="fr-FR"/>
        </w:rPr>
      </w:pPr>
    </w:p>
  </w:endnote>
  <w:endnote w:type="continuationNotice" w:id="1">
    <w:p w:rsidR="00172084" w:rsidRPr="00294751" w:rsidRDefault="00172084" w:rsidP="006655D3">
      <w:pPr>
        <w:rPr>
          <w:lang w:val="fr-FR"/>
        </w:rPr>
      </w:pPr>
      <w:r w:rsidRPr="00294751">
        <w:rPr>
          <w:lang w:val="fr-FR"/>
        </w:rPr>
        <w:t>[Suite de la note page suivante]</w:t>
      </w:r>
    </w:p>
    <w:p w:rsidR="00172084" w:rsidRPr="00294751" w:rsidRDefault="00172084" w:rsidP="006655D3">
      <w:pPr>
        <w:rPr>
          <w:lang w:val="fr-FR"/>
        </w:rPr>
      </w:pPr>
    </w:p>
    <w:p w:rsidR="00172084" w:rsidRPr="00294751" w:rsidRDefault="0017208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084" w:rsidRDefault="00172084" w:rsidP="006655D3">
      <w:r>
        <w:separator/>
      </w:r>
    </w:p>
  </w:footnote>
  <w:footnote w:type="continuationSeparator" w:id="0">
    <w:p w:rsidR="00172084" w:rsidRDefault="00172084" w:rsidP="006655D3">
      <w:r>
        <w:separator/>
      </w:r>
    </w:p>
  </w:footnote>
  <w:footnote w:type="continuationNotice" w:id="1">
    <w:p w:rsidR="00172084" w:rsidRPr="00AB530F" w:rsidRDefault="00172084"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7C3C19" w:rsidP="00EB048E">
    <w:pPr>
      <w:pStyle w:val="Header"/>
      <w:rPr>
        <w:rStyle w:val="PageNumber"/>
        <w:lang w:val="en-US"/>
      </w:rPr>
    </w:pPr>
    <w:r>
      <w:rPr>
        <w:rStyle w:val="PageNumber"/>
        <w:lang w:val="en-US"/>
      </w:rPr>
      <w:t>C/52</w:t>
    </w:r>
    <w:r w:rsidR="00667404">
      <w:rPr>
        <w:rStyle w:val="PageNumber"/>
        <w:lang w:val="en-US"/>
      </w:rPr>
      <w:t>/</w:t>
    </w:r>
    <w:r w:rsidR="001868F3">
      <w:rPr>
        <w:rStyle w:val="PageNumber"/>
        <w:lang w:val="en-US"/>
      </w:rPr>
      <w:t>10</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632BA">
      <w:rPr>
        <w:rStyle w:val="PageNumber"/>
        <w:noProof/>
        <w:lang w:val="en-US"/>
      </w:rPr>
      <w:t>2</w:t>
    </w:r>
    <w:r w:rsidRPr="00C5280D">
      <w:rPr>
        <w:rStyle w:val="PageNumber"/>
        <w:lang w:val="en-US"/>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084"/>
    <w:rsid w:val="00010CF3"/>
    <w:rsid w:val="00011E27"/>
    <w:rsid w:val="000148BC"/>
    <w:rsid w:val="00015D8B"/>
    <w:rsid w:val="000240A6"/>
    <w:rsid w:val="00024AB8"/>
    <w:rsid w:val="00030854"/>
    <w:rsid w:val="00036028"/>
    <w:rsid w:val="00044642"/>
    <w:rsid w:val="000446B9"/>
    <w:rsid w:val="00047E21"/>
    <w:rsid w:val="00050E16"/>
    <w:rsid w:val="00070123"/>
    <w:rsid w:val="00085505"/>
    <w:rsid w:val="000B06A2"/>
    <w:rsid w:val="000C4E25"/>
    <w:rsid w:val="000C7021"/>
    <w:rsid w:val="000D6BBC"/>
    <w:rsid w:val="000D7780"/>
    <w:rsid w:val="000E636A"/>
    <w:rsid w:val="000E7DCE"/>
    <w:rsid w:val="000F2F11"/>
    <w:rsid w:val="00105929"/>
    <w:rsid w:val="00110C36"/>
    <w:rsid w:val="001131D5"/>
    <w:rsid w:val="00141DB8"/>
    <w:rsid w:val="00162653"/>
    <w:rsid w:val="00172084"/>
    <w:rsid w:val="0017474A"/>
    <w:rsid w:val="001758C6"/>
    <w:rsid w:val="00182B99"/>
    <w:rsid w:val="001868F3"/>
    <w:rsid w:val="001C1525"/>
    <w:rsid w:val="0021332C"/>
    <w:rsid w:val="00213982"/>
    <w:rsid w:val="00214C72"/>
    <w:rsid w:val="0024416D"/>
    <w:rsid w:val="00256BFA"/>
    <w:rsid w:val="00271911"/>
    <w:rsid w:val="002800A0"/>
    <w:rsid w:val="002801B3"/>
    <w:rsid w:val="00281060"/>
    <w:rsid w:val="002940E8"/>
    <w:rsid w:val="00294751"/>
    <w:rsid w:val="002A6E50"/>
    <w:rsid w:val="002B4298"/>
    <w:rsid w:val="002C256A"/>
    <w:rsid w:val="00305A7F"/>
    <w:rsid w:val="003152FE"/>
    <w:rsid w:val="00327436"/>
    <w:rsid w:val="00344BD6"/>
    <w:rsid w:val="0035528D"/>
    <w:rsid w:val="00361821"/>
    <w:rsid w:val="00361E9E"/>
    <w:rsid w:val="0039633A"/>
    <w:rsid w:val="003C4564"/>
    <w:rsid w:val="003C7FBE"/>
    <w:rsid w:val="003D227C"/>
    <w:rsid w:val="003D2B4D"/>
    <w:rsid w:val="003F5F2B"/>
    <w:rsid w:val="00400534"/>
    <w:rsid w:val="00414D0B"/>
    <w:rsid w:val="00444A88"/>
    <w:rsid w:val="00474DA4"/>
    <w:rsid w:val="00476B4D"/>
    <w:rsid w:val="004805FA"/>
    <w:rsid w:val="004935D2"/>
    <w:rsid w:val="004B1215"/>
    <w:rsid w:val="004C5BD1"/>
    <w:rsid w:val="004D047D"/>
    <w:rsid w:val="004F1E9E"/>
    <w:rsid w:val="004F305A"/>
    <w:rsid w:val="00512164"/>
    <w:rsid w:val="00520297"/>
    <w:rsid w:val="005338F9"/>
    <w:rsid w:val="0054281C"/>
    <w:rsid w:val="00544581"/>
    <w:rsid w:val="0055268D"/>
    <w:rsid w:val="00576BE4"/>
    <w:rsid w:val="005A400A"/>
    <w:rsid w:val="005D007E"/>
    <w:rsid w:val="005F7B92"/>
    <w:rsid w:val="00612379"/>
    <w:rsid w:val="006153B6"/>
    <w:rsid w:val="0061555F"/>
    <w:rsid w:val="006231AE"/>
    <w:rsid w:val="00636CA6"/>
    <w:rsid w:val="00641200"/>
    <w:rsid w:val="00645CA8"/>
    <w:rsid w:val="006655D3"/>
    <w:rsid w:val="00667404"/>
    <w:rsid w:val="00687EB4"/>
    <w:rsid w:val="00695C56"/>
    <w:rsid w:val="006A5CDE"/>
    <w:rsid w:val="006A644A"/>
    <w:rsid w:val="006B17D2"/>
    <w:rsid w:val="006C224E"/>
    <w:rsid w:val="006D780A"/>
    <w:rsid w:val="0071271E"/>
    <w:rsid w:val="00732DEC"/>
    <w:rsid w:val="00735BD5"/>
    <w:rsid w:val="007451EC"/>
    <w:rsid w:val="00751613"/>
    <w:rsid w:val="007556F6"/>
    <w:rsid w:val="00760EEF"/>
    <w:rsid w:val="00777EE5"/>
    <w:rsid w:val="00782938"/>
    <w:rsid w:val="00784836"/>
    <w:rsid w:val="0079023E"/>
    <w:rsid w:val="007A2854"/>
    <w:rsid w:val="007C1D92"/>
    <w:rsid w:val="007C3C19"/>
    <w:rsid w:val="007C4CB9"/>
    <w:rsid w:val="007C7E15"/>
    <w:rsid w:val="007D0AA9"/>
    <w:rsid w:val="007D0B9D"/>
    <w:rsid w:val="007D19B0"/>
    <w:rsid w:val="007D4635"/>
    <w:rsid w:val="007F498F"/>
    <w:rsid w:val="0080679D"/>
    <w:rsid w:val="008108B0"/>
    <w:rsid w:val="00811B20"/>
    <w:rsid w:val="008211B5"/>
    <w:rsid w:val="0082296E"/>
    <w:rsid w:val="00824099"/>
    <w:rsid w:val="00846D7C"/>
    <w:rsid w:val="00867AC1"/>
    <w:rsid w:val="00890DF8"/>
    <w:rsid w:val="008A743F"/>
    <w:rsid w:val="008B657A"/>
    <w:rsid w:val="008C0970"/>
    <w:rsid w:val="008D0BC5"/>
    <w:rsid w:val="008D2CF7"/>
    <w:rsid w:val="008D54A8"/>
    <w:rsid w:val="00900C26"/>
    <w:rsid w:val="0090197F"/>
    <w:rsid w:val="00903264"/>
    <w:rsid w:val="00906DDC"/>
    <w:rsid w:val="00934E09"/>
    <w:rsid w:val="00936253"/>
    <w:rsid w:val="00940D46"/>
    <w:rsid w:val="00952DD4"/>
    <w:rsid w:val="00965AE7"/>
    <w:rsid w:val="00970FED"/>
    <w:rsid w:val="00992D82"/>
    <w:rsid w:val="00997029"/>
    <w:rsid w:val="009A7339"/>
    <w:rsid w:val="009B440E"/>
    <w:rsid w:val="009D280E"/>
    <w:rsid w:val="009D690D"/>
    <w:rsid w:val="009E65B6"/>
    <w:rsid w:val="009F77CF"/>
    <w:rsid w:val="00A24C10"/>
    <w:rsid w:val="00A3365A"/>
    <w:rsid w:val="00A42AC3"/>
    <w:rsid w:val="00A430CF"/>
    <w:rsid w:val="00A54309"/>
    <w:rsid w:val="00A54F8A"/>
    <w:rsid w:val="00AB2B93"/>
    <w:rsid w:val="00AB30F7"/>
    <w:rsid w:val="00AB530F"/>
    <w:rsid w:val="00AB7E5B"/>
    <w:rsid w:val="00AC2883"/>
    <w:rsid w:val="00AE0EF1"/>
    <w:rsid w:val="00AE2937"/>
    <w:rsid w:val="00B07301"/>
    <w:rsid w:val="00B11F3E"/>
    <w:rsid w:val="00B224DE"/>
    <w:rsid w:val="00B324D4"/>
    <w:rsid w:val="00B46575"/>
    <w:rsid w:val="00B61443"/>
    <w:rsid w:val="00B61777"/>
    <w:rsid w:val="00B632BA"/>
    <w:rsid w:val="00B72850"/>
    <w:rsid w:val="00B84BBD"/>
    <w:rsid w:val="00BA43FB"/>
    <w:rsid w:val="00BC127D"/>
    <w:rsid w:val="00BC1FE6"/>
    <w:rsid w:val="00BD1B40"/>
    <w:rsid w:val="00BD4338"/>
    <w:rsid w:val="00C061B6"/>
    <w:rsid w:val="00C2446C"/>
    <w:rsid w:val="00C36AE5"/>
    <w:rsid w:val="00C41F17"/>
    <w:rsid w:val="00C527FA"/>
    <w:rsid w:val="00C5280D"/>
    <w:rsid w:val="00C53EB3"/>
    <w:rsid w:val="00C542DE"/>
    <w:rsid w:val="00C5791C"/>
    <w:rsid w:val="00C66290"/>
    <w:rsid w:val="00C72B7A"/>
    <w:rsid w:val="00C84CEC"/>
    <w:rsid w:val="00C973F2"/>
    <w:rsid w:val="00CA304C"/>
    <w:rsid w:val="00CA774A"/>
    <w:rsid w:val="00CC11B0"/>
    <w:rsid w:val="00CC2841"/>
    <w:rsid w:val="00CF1330"/>
    <w:rsid w:val="00CF7E36"/>
    <w:rsid w:val="00CF7E71"/>
    <w:rsid w:val="00D302FA"/>
    <w:rsid w:val="00D3708D"/>
    <w:rsid w:val="00D40426"/>
    <w:rsid w:val="00D57C96"/>
    <w:rsid w:val="00D57D18"/>
    <w:rsid w:val="00D91203"/>
    <w:rsid w:val="00D95174"/>
    <w:rsid w:val="00DA4973"/>
    <w:rsid w:val="00DA6F36"/>
    <w:rsid w:val="00DB5787"/>
    <w:rsid w:val="00DB596E"/>
    <w:rsid w:val="00DB7773"/>
    <w:rsid w:val="00DC00EA"/>
    <w:rsid w:val="00DC3802"/>
    <w:rsid w:val="00DF37F1"/>
    <w:rsid w:val="00E07D87"/>
    <w:rsid w:val="00E32F7E"/>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45372"/>
    <w:rsid w:val="00F560F7"/>
    <w:rsid w:val="00F6334D"/>
    <w:rsid w:val="00F63599"/>
    <w:rsid w:val="00FA49AB"/>
    <w:rsid w:val="00FB6065"/>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5A42C0E"/>
  <w15:docId w15:val="{2D3EA75C-3F47-4E9F-A9E6-355D7ABB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C19"/>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DecisionParagraphsChar">
    <w:name w:val="DecisionParagraphs Char"/>
    <w:link w:val="DecisionParagraphs"/>
    <w:rsid w:val="005D007E"/>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C/52</vt:lpstr>
    </vt:vector>
  </TitlesOfParts>
  <Company>UPOV</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C/52</dc:title>
  <dc:creator>SANCHEZ-VIZCAINO GOMEZ Rosa Maria</dc:creator>
  <cp:lastModifiedBy>SANTOS Carla Marina</cp:lastModifiedBy>
  <cp:revision>12</cp:revision>
  <cp:lastPrinted>2018-10-18T14:13:00Z</cp:lastPrinted>
  <dcterms:created xsi:type="dcterms:W3CDTF">2018-10-16T08:58:00Z</dcterms:created>
  <dcterms:modified xsi:type="dcterms:W3CDTF">2018-10-19T14:12:00Z</dcterms:modified>
</cp:coreProperties>
</file>