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0B7DE823" wp14:editId="783F34B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7D4635">
            <w:pPr>
              <w:pStyle w:val="Sessiontcplacedate"/>
              <w:rPr>
                <w:sz w:val="22"/>
              </w:rPr>
            </w:pPr>
            <w:r>
              <w:t xml:space="preserve">Fifty-First Ordinary </w:t>
            </w:r>
            <w:r w:rsidR="00EB4E9C" w:rsidRPr="00DA4973">
              <w:t>Session</w:t>
            </w:r>
            <w:r w:rsidR="00EB4E9C" w:rsidRPr="00DA4973">
              <w:br/>
              <w:t xml:space="preserve">Geneva, </w:t>
            </w:r>
            <w:r>
              <w:t>October 26</w:t>
            </w:r>
            <w:r w:rsidR="00EB4E9C" w:rsidRPr="00DA4973">
              <w:t>, 2017</w:t>
            </w:r>
          </w:p>
        </w:tc>
        <w:tc>
          <w:tcPr>
            <w:tcW w:w="3127" w:type="dxa"/>
          </w:tcPr>
          <w:p w:rsidR="00EB4E9C" w:rsidRPr="003C7FBE" w:rsidRDefault="003C2AA2" w:rsidP="003C7FBE">
            <w:pPr>
              <w:pStyle w:val="Doccode"/>
            </w:pPr>
            <w:r>
              <w:t>C/51/19</w:t>
            </w:r>
            <w:r w:rsidR="00B343C3">
              <w:t xml:space="preserve"> Rev.</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87506">
            <w:pPr>
              <w:pStyle w:val="Docoriginal"/>
            </w:pPr>
            <w:r w:rsidRPr="00AC2883">
              <w:t>Date:</w:t>
            </w:r>
            <w:r w:rsidRPr="000E636A">
              <w:rPr>
                <w:b w:val="0"/>
                <w:spacing w:val="0"/>
              </w:rPr>
              <w:t xml:space="preserve">  </w:t>
            </w:r>
            <w:r w:rsidR="00CE6274">
              <w:rPr>
                <w:b w:val="0"/>
                <w:spacing w:val="0"/>
              </w:rPr>
              <w:t>October 2</w:t>
            </w:r>
            <w:r w:rsidR="00187506">
              <w:rPr>
                <w:b w:val="0"/>
                <w:spacing w:val="0"/>
              </w:rPr>
              <w:t>6</w:t>
            </w:r>
            <w:r w:rsidR="00CE6274">
              <w:rPr>
                <w:b w:val="0"/>
                <w:spacing w:val="0"/>
              </w:rPr>
              <w:t>,</w:t>
            </w:r>
            <w:r w:rsidRPr="00CE6274">
              <w:rPr>
                <w:b w:val="0"/>
                <w:spacing w:val="0"/>
              </w:rPr>
              <w:t xml:space="preserve"> 2017</w:t>
            </w:r>
          </w:p>
        </w:tc>
      </w:tr>
    </w:tbl>
    <w:p w:rsidR="000D7780" w:rsidRPr="006A644A" w:rsidRDefault="00B343C3" w:rsidP="006A644A">
      <w:pPr>
        <w:pStyle w:val="Titleofdoc0"/>
      </w:pPr>
      <w:bookmarkStart w:id="0" w:name="TitleOfDoc"/>
      <w:bookmarkEnd w:id="0"/>
      <w:r>
        <w:t xml:space="preserve">REVISED </w:t>
      </w:r>
      <w:r w:rsidR="003C2AA2">
        <w:t xml:space="preserve">draft </w:t>
      </w:r>
      <w:r w:rsidR="00FF494E" w:rsidRPr="00FF494E">
        <w:t>Press release</w:t>
      </w:r>
    </w:p>
    <w:p w:rsidR="006A644A" w:rsidRPr="006A644A" w:rsidRDefault="0061555F" w:rsidP="006A644A">
      <w:pPr>
        <w:pStyle w:val="preparedby1"/>
        <w:jc w:val="left"/>
      </w:pPr>
      <w:bookmarkStart w:id="1" w:name="Prepared"/>
      <w:bookmarkEnd w:id="1"/>
      <w:r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1D560D" w:rsidRDefault="001D560D" w:rsidP="001D560D">
      <w:pPr>
        <w:rPr>
          <w:rFonts w:cs="Arial"/>
        </w:rPr>
      </w:pPr>
      <w:r>
        <w:rPr>
          <w:rFonts w:cs="Arial"/>
        </w:rPr>
        <w:fldChar w:fldCharType="begin"/>
      </w:r>
      <w:r>
        <w:rPr>
          <w:rFonts w:cs="Arial"/>
        </w:rPr>
        <w:instrText xml:space="preserve"> AUTONUM  </w:instrText>
      </w:r>
      <w:r>
        <w:rPr>
          <w:rFonts w:cs="Arial"/>
        </w:rPr>
        <w:fldChar w:fldCharType="end"/>
      </w:r>
      <w:r>
        <w:rPr>
          <w:rFonts w:cs="Arial"/>
        </w:rPr>
        <w:tab/>
        <w:t>The Annex to this document contains a draft press release on the fifty-first ordinary session of the Council.</w:t>
      </w:r>
    </w:p>
    <w:p w:rsidR="001D560D" w:rsidRDefault="001D560D" w:rsidP="001D560D">
      <w:pPr>
        <w:rPr>
          <w:rFonts w:cs="Arial"/>
        </w:rPr>
      </w:pPr>
    </w:p>
    <w:p w:rsidR="001D560D" w:rsidRPr="007D29AF" w:rsidRDefault="001D560D" w:rsidP="001D560D">
      <w:pPr>
        <w:pStyle w:val="DecisionParagraphs"/>
      </w:pPr>
      <w:r w:rsidRPr="007D29AF">
        <w:t>2.</w:t>
      </w:r>
      <w:r w:rsidRPr="007D29AF">
        <w:tab/>
        <w:t>The Council i</w:t>
      </w:r>
      <w:r w:rsidR="002D2B15">
        <w:t>s invited to consider the draft </w:t>
      </w:r>
      <w:r w:rsidRPr="007D29AF">
        <w:t>press release, contained in the Annex to this document, subject to developments in the Council.</w:t>
      </w:r>
    </w:p>
    <w:p w:rsidR="001D560D" w:rsidRDefault="001D560D" w:rsidP="001D560D">
      <w:pPr>
        <w:pStyle w:val="TOC1"/>
        <w:rPr>
          <w:snapToGrid w:val="0"/>
        </w:rPr>
      </w:pPr>
    </w:p>
    <w:p w:rsidR="001D560D" w:rsidRDefault="001D560D" w:rsidP="001D560D"/>
    <w:p w:rsidR="001D560D" w:rsidRPr="00C651CE" w:rsidRDefault="001D560D" w:rsidP="001D560D"/>
    <w:p w:rsidR="001D560D" w:rsidRDefault="001D560D" w:rsidP="001D560D">
      <w:pPr>
        <w:jc w:val="right"/>
      </w:pPr>
      <w:r w:rsidRPr="00C5280D">
        <w:t>[</w:t>
      </w:r>
      <w:r>
        <w:t>Annex follows</w:t>
      </w:r>
      <w:r w:rsidRPr="00C5280D">
        <w:t>]</w:t>
      </w:r>
    </w:p>
    <w:p w:rsidR="001D560D" w:rsidRDefault="001D560D" w:rsidP="001D560D">
      <w:pPr>
        <w:rPr>
          <w:rFonts w:cs="Arial"/>
          <w:u w:val="single"/>
        </w:rPr>
        <w:sectPr w:rsidR="001D560D" w:rsidSect="00906DDC">
          <w:headerReference w:type="default" r:id="rId9"/>
          <w:pgSz w:w="11907" w:h="16840" w:code="9"/>
          <w:pgMar w:top="510" w:right="1134" w:bottom="1134" w:left="1134" w:header="510" w:footer="680" w:gutter="0"/>
          <w:cols w:space="720"/>
          <w:titlePg/>
        </w:sectPr>
      </w:pPr>
    </w:p>
    <w:p w:rsidR="001D560D" w:rsidRDefault="003C2AA2" w:rsidP="001D560D">
      <w:pPr>
        <w:jc w:val="center"/>
        <w:rPr>
          <w:rFonts w:cs="Arial"/>
        </w:rPr>
      </w:pPr>
      <w:r>
        <w:rPr>
          <w:rFonts w:cs="Arial"/>
        </w:rPr>
        <w:lastRenderedPageBreak/>
        <w:t>C/51/19</w:t>
      </w:r>
      <w:r w:rsidR="00B343C3">
        <w:rPr>
          <w:rFonts w:cs="Arial"/>
        </w:rPr>
        <w:t xml:space="preserve"> Rev.</w:t>
      </w:r>
    </w:p>
    <w:p w:rsidR="001D560D" w:rsidRDefault="001D560D" w:rsidP="001D560D">
      <w:pPr>
        <w:jc w:val="center"/>
        <w:rPr>
          <w:rFonts w:cs="Arial"/>
        </w:rPr>
      </w:pPr>
    </w:p>
    <w:p w:rsidR="001D560D" w:rsidRDefault="001D560D" w:rsidP="001D560D">
      <w:pPr>
        <w:jc w:val="center"/>
        <w:rPr>
          <w:rFonts w:cs="Arial"/>
        </w:rPr>
      </w:pPr>
      <w:r>
        <w:rPr>
          <w:rFonts w:cs="Arial"/>
        </w:rPr>
        <w:t>ANNEX</w:t>
      </w:r>
    </w:p>
    <w:p w:rsidR="001D560D" w:rsidRDefault="001D560D" w:rsidP="001D560D">
      <w:pPr>
        <w:rPr>
          <w:rFonts w:cs="Arial"/>
        </w:rPr>
      </w:pPr>
    </w:p>
    <w:p w:rsidR="001D560D" w:rsidRDefault="001D560D" w:rsidP="001D560D">
      <w:pPr>
        <w:rPr>
          <w:rFonts w:cs="Arial"/>
        </w:rPr>
      </w:pPr>
    </w:p>
    <w:p w:rsidR="001D560D" w:rsidRPr="00564BAA" w:rsidRDefault="001D560D" w:rsidP="001D560D">
      <w:pPr>
        <w:rPr>
          <w:rFonts w:cs="Arial"/>
        </w:rPr>
      </w:pPr>
      <w:r w:rsidRPr="00564BAA">
        <w:rPr>
          <w:rFonts w:cs="Arial"/>
          <w:u w:val="single"/>
        </w:rPr>
        <w:t xml:space="preserve">UPOV Press Release </w:t>
      </w:r>
      <w:r w:rsidR="00A47DAA">
        <w:rPr>
          <w:rFonts w:cs="Arial"/>
          <w:u w:val="single"/>
        </w:rPr>
        <w:t>112</w:t>
      </w:r>
    </w:p>
    <w:p w:rsidR="001D560D" w:rsidRPr="00564BAA" w:rsidRDefault="001D560D" w:rsidP="001D560D">
      <w:pPr>
        <w:rPr>
          <w:rFonts w:cs="Arial"/>
        </w:rPr>
      </w:pPr>
    </w:p>
    <w:p w:rsidR="001D560D" w:rsidRPr="002E4F0D" w:rsidRDefault="001D560D" w:rsidP="001D560D">
      <w:pPr>
        <w:rPr>
          <w:rFonts w:cs="Arial"/>
        </w:rPr>
      </w:pPr>
      <w:r>
        <w:rPr>
          <w:rFonts w:cs="Arial"/>
        </w:rPr>
        <w:t>Geneva, October 26, 2017</w:t>
      </w:r>
    </w:p>
    <w:p w:rsidR="001D560D" w:rsidRPr="002E4F0D" w:rsidRDefault="001D560D" w:rsidP="001D560D">
      <w:pPr>
        <w:rPr>
          <w:rFonts w:cs="Arial"/>
        </w:rPr>
      </w:pPr>
    </w:p>
    <w:p w:rsidR="001D560D" w:rsidRPr="002E4F0D" w:rsidRDefault="001D560D" w:rsidP="001D560D">
      <w:pPr>
        <w:jc w:val="center"/>
        <w:rPr>
          <w:rFonts w:cs="Arial"/>
        </w:rPr>
      </w:pPr>
    </w:p>
    <w:p w:rsidR="001D560D" w:rsidRPr="002E4F0D" w:rsidRDefault="001D560D" w:rsidP="001D560D">
      <w:pPr>
        <w:jc w:val="center"/>
        <w:rPr>
          <w:rFonts w:cs="Arial"/>
          <w:b/>
        </w:rPr>
      </w:pPr>
      <w:r w:rsidRPr="002E4F0D">
        <w:rPr>
          <w:rFonts w:cs="Arial"/>
          <w:b/>
        </w:rPr>
        <w:t xml:space="preserve">UPOV Council Holds its </w:t>
      </w:r>
      <w:r>
        <w:rPr>
          <w:rFonts w:cs="Arial"/>
          <w:b/>
        </w:rPr>
        <w:t>Fifty-First</w:t>
      </w:r>
      <w:r w:rsidRPr="002E4F0D">
        <w:rPr>
          <w:rFonts w:cs="Arial"/>
          <w:b/>
        </w:rPr>
        <w:t xml:space="preserve"> Ordinary Session</w:t>
      </w:r>
    </w:p>
    <w:p w:rsidR="001D560D" w:rsidRPr="002E4F0D" w:rsidRDefault="001D560D" w:rsidP="001D560D">
      <w:pPr>
        <w:jc w:val="center"/>
        <w:rPr>
          <w:rFonts w:cs="Arial"/>
        </w:rPr>
      </w:pPr>
    </w:p>
    <w:p w:rsidR="001D560D" w:rsidRDefault="001D560D" w:rsidP="001D560D">
      <w:pPr>
        <w:rPr>
          <w:rFonts w:cs="Arial"/>
        </w:rPr>
      </w:pPr>
    </w:p>
    <w:p w:rsidR="001D560D" w:rsidRPr="002E4F0D" w:rsidRDefault="001D560D" w:rsidP="001D560D">
      <w:pPr>
        <w:rPr>
          <w:rFonts w:cs="Arial"/>
        </w:rPr>
      </w:pPr>
      <w:r w:rsidRPr="002E4F0D">
        <w:rPr>
          <w:rFonts w:cs="Arial"/>
        </w:rPr>
        <w:t>The Council of the International Union for the Protection of New Vari</w:t>
      </w:r>
      <w:r>
        <w:rPr>
          <w:rFonts w:cs="Arial"/>
        </w:rPr>
        <w:t xml:space="preserve">eties of Plants (UPOV) held </w:t>
      </w:r>
      <w:r w:rsidR="00187506">
        <w:rPr>
          <w:rFonts w:cs="Arial"/>
        </w:rPr>
        <w:br/>
      </w:r>
      <w:r>
        <w:rPr>
          <w:rFonts w:cs="Arial"/>
        </w:rPr>
        <w:t>its fifty-first</w:t>
      </w:r>
      <w:r w:rsidRPr="002E4F0D">
        <w:rPr>
          <w:rFonts w:cs="Arial"/>
        </w:rPr>
        <w:t xml:space="preserve"> ordinary session on October </w:t>
      </w:r>
      <w:r>
        <w:rPr>
          <w:rFonts w:cs="Arial"/>
        </w:rPr>
        <w:t>26, 2017</w:t>
      </w:r>
      <w:r w:rsidRPr="002E4F0D">
        <w:rPr>
          <w:rFonts w:cs="Arial"/>
        </w:rPr>
        <w:t>.</w:t>
      </w:r>
    </w:p>
    <w:p w:rsidR="001D560D" w:rsidRPr="002E4F0D" w:rsidRDefault="001D560D" w:rsidP="001D560D">
      <w:pPr>
        <w:rPr>
          <w:rFonts w:cs="Arial"/>
        </w:rPr>
      </w:pPr>
    </w:p>
    <w:p w:rsidR="001D560D" w:rsidRPr="00224FCC" w:rsidRDefault="001D560D" w:rsidP="001D560D">
      <w:pPr>
        <w:rPr>
          <w:rFonts w:cs="Arial"/>
          <w:b/>
        </w:rPr>
      </w:pPr>
      <w:r w:rsidRPr="00224FCC">
        <w:rPr>
          <w:rFonts w:cs="Arial"/>
          <w:b/>
        </w:rPr>
        <w:t>Round-up of key developments:</w:t>
      </w:r>
    </w:p>
    <w:p w:rsidR="001D560D" w:rsidRPr="002E4F0D" w:rsidRDefault="001D560D" w:rsidP="001D560D">
      <w:pPr>
        <w:rPr>
          <w:rFonts w:cs="Arial"/>
        </w:rPr>
      </w:pPr>
    </w:p>
    <w:p w:rsidR="004D26B9" w:rsidRDefault="00604DC9" w:rsidP="001D560D">
      <w:pPr>
        <w:rPr>
          <w:rFonts w:cs="Arial"/>
          <w:u w:val="single"/>
        </w:rPr>
      </w:pPr>
      <w:r w:rsidRPr="00604DC9">
        <w:rPr>
          <w:rFonts w:cs="Arial"/>
          <w:u w:val="single"/>
        </w:rPr>
        <w:t xml:space="preserve">Bosnia and Herzegovina </w:t>
      </w:r>
      <w:r>
        <w:rPr>
          <w:rFonts w:cs="Arial"/>
          <w:u w:val="single"/>
        </w:rPr>
        <w:t xml:space="preserve">- </w:t>
      </w:r>
      <w:r w:rsidR="004D26B9">
        <w:rPr>
          <w:rFonts w:cs="Arial"/>
          <w:u w:val="single"/>
        </w:rPr>
        <w:t>75</w:t>
      </w:r>
      <w:r w:rsidR="004D26B9" w:rsidRPr="004D26B9">
        <w:rPr>
          <w:rFonts w:cs="Arial"/>
          <w:u w:val="single"/>
          <w:vertAlign w:val="superscript"/>
        </w:rPr>
        <w:t>th</w:t>
      </w:r>
      <w:r w:rsidR="004D26B9">
        <w:rPr>
          <w:rFonts w:cs="Arial"/>
          <w:u w:val="single"/>
        </w:rPr>
        <w:t xml:space="preserve"> </w:t>
      </w:r>
      <w:r>
        <w:rPr>
          <w:rFonts w:cs="Arial"/>
          <w:u w:val="single"/>
        </w:rPr>
        <w:t xml:space="preserve">UPOV </w:t>
      </w:r>
      <w:r w:rsidR="004D26B9">
        <w:rPr>
          <w:rFonts w:cs="Arial"/>
          <w:u w:val="single"/>
        </w:rPr>
        <w:t>member</w:t>
      </w:r>
    </w:p>
    <w:p w:rsidR="004D26B9" w:rsidRDefault="004D26B9" w:rsidP="001D560D">
      <w:pPr>
        <w:rPr>
          <w:rFonts w:cs="Arial"/>
          <w:u w:val="single"/>
        </w:rPr>
      </w:pPr>
    </w:p>
    <w:p w:rsidR="004D26B9" w:rsidRPr="0068319E" w:rsidRDefault="0068319E" w:rsidP="001D560D">
      <w:pPr>
        <w:rPr>
          <w:rFonts w:cs="Arial"/>
        </w:rPr>
      </w:pPr>
      <w:r>
        <w:rPr>
          <w:rFonts w:cs="Arial"/>
        </w:rPr>
        <w:t xml:space="preserve">The Council welcomed </w:t>
      </w:r>
      <w:r w:rsidRPr="0068319E">
        <w:rPr>
          <w:rFonts w:cs="Arial"/>
        </w:rPr>
        <w:t>Bosnia and Herzegovina</w:t>
      </w:r>
      <w:r>
        <w:rPr>
          <w:rFonts w:cs="Arial"/>
        </w:rPr>
        <w:t xml:space="preserve"> as</w:t>
      </w:r>
      <w:r w:rsidRPr="0068319E">
        <w:rPr>
          <w:rFonts w:cs="Arial"/>
        </w:rPr>
        <w:t xml:space="preserve"> the 75th member of UPOV</w:t>
      </w:r>
      <w:r>
        <w:rPr>
          <w:rFonts w:cs="Arial"/>
        </w:rPr>
        <w:t xml:space="preserve">. </w:t>
      </w:r>
      <w:r w:rsidR="00187506">
        <w:rPr>
          <w:rFonts w:cs="Arial"/>
        </w:rPr>
        <w:t xml:space="preserve"> </w:t>
      </w:r>
      <w:r w:rsidRPr="0068319E">
        <w:rPr>
          <w:rFonts w:cs="Arial"/>
        </w:rPr>
        <w:t>Bosnia and Herzegovina</w:t>
      </w:r>
      <w:r>
        <w:rPr>
          <w:rFonts w:cs="Arial"/>
        </w:rPr>
        <w:t xml:space="preserve"> </w:t>
      </w:r>
      <w:r w:rsidRPr="0068319E">
        <w:rPr>
          <w:rFonts w:cs="Arial"/>
        </w:rPr>
        <w:t>deposited its instrument of accession to the 1991 Act of the UPOV Convention on October 10, 2017, and will become bound by the 1991 Act on</w:t>
      </w:r>
      <w:r w:rsidR="00B65BFF">
        <w:rPr>
          <w:rFonts w:cs="Arial"/>
        </w:rPr>
        <w:t xml:space="preserve"> November 10, 2017.</w:t>
      </w:r>
      <w:r w:rsidRPr="0068319E">
        <w:rPr>
          <w:rFonts w:cs="Arial"/>
        </w:rPr>
        <w:t xml:space="preserve"> </w:t>
      </w:r>
      <w:r w:rsidR="002A6555">
        <w:rPr>
          <w:rFonts w:cs="Arial"/>
        </w:rPr>
        <w:t xml:space="preserve"> The UPOV Convention now covers</w:t>
      </w:r>
      <w:r w:rsidR="002A6555" w:rsidRPr="002A6555">
        <w:rPr>
          <w:rFonts w:cs="Arial"/>
        </w:rPr>
        <w:t xml:space="preserve"> 94 States</w:t>
      </w:r>
      <w:r w:rsidR="002A6555">
        <w:rPr>
          <w:rFonts w:cs="Arial"/>
        </w:rPr>
        <w:t>.</w:t>
      </w:r>
    </w:p>
    <w:p w:rsidR="004D26B9" w:rsidRDefault="004D26B9" w:rsidP="001D560D">
      <w:pPr>
        <w:rPr>
          <w:rFonts w:cs="Arial"/>
          <w:u w:val="single"/>
        </w:rPr>
      </w:pPr>
    </w:p>
    <w:p w:rsidR="00997A67" w:rsidRDefault="00997A67" w:rsidP="00997A67">
      <w:pPr>
        <w:rPr>
          <w:rFonts w:cs="Arial"/>
          <w:u w:val="single"/>
        </w:rPr>
      </w:pPr>
      <w:r>
        <w:rPr>
          <w:rFonts w:cs="Arial"/>
          <w:u w:val="single"/>
        </w:rPr>
        <w:t xml:space="preserve">FAQ on the </w:t>
      </w:r>
      <w:r w:rsidRPr="004678EE">
        <w:rPr>
          <w:rFonts w:cs="Arial"/>
          <w:u w:val="single"/>
        </w:rPr>
        <w:t>United Nations Sustainable Development Goals (SDGs)</w:t>
      </w:r>
    </w:p>
    <w:p w:rsidR="00997A67" w:rsidRDefault="00997A67" w:rsidP="00997A67">
      <w:pPr>
        <w:rPr>
          <w:rFonts w:cs="Arial"/>
          <w:u w:val="single"/>
        </w:rPr>
      </w:pPr>
    </w:p>
    <w:p w:rsidR="00997A67" w:rsidRPr="004678EE" w:rsidRDefault="00997A67" w:rsidP="00997A67">
      <w:pPr>
        <w:rPr>
          <w:rFonts w:cs="Arial"/>
        </w:rPr>
      </w:pPr>
      <w:r>
        <w:rPr>
          <w:rFonts w:cs="Arial"/>
          <w:noProof/>
        </w:rPr>
        <mc:AlternateContent>
          <mc:Choice Requires="wps">
            <w:drawing>
              <wp:anchor distT="0" distB="0" distL="114300" distR="114300" simplePos="0" relativeHeight="251659264" behindDoc="0" locked="0" layoutInCell="1" allowOverlap="1" wp14:anchorId="2BD664EA" wp14:editId="5AEA3867">
                <wp:simplePos x="0" y="0"/>
                <wp:positionH relativeFrom="column">
                  <wp:posOffset>-472440</wp:posOffset>
                </wp:positionH>
                <wp:positionV relativeFrom="paragraph">
                  <wp:posOffset>12700</wp:posOffset>
                </wp:positionV>
                <wp:extent cx="317500" cy="6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997A67" w:rsidRPr="004678EE" w:rsidRDefault="00997A67" w:rsidP="00997A67">
                            <w:pPr>
                              <w:jc w:val="right"/>
                              <w:rPr>
                                <w:rFonts w:cs="Arial"/>
                              </w:rPr>
                            </w:pPr>
                            <w:r w:rsidRPr="004678EE">
                              <w:rPr>
                                <w:rFonts w:cs="Arial"/>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2pt;margin-top:1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" filled="f" strokeweight=".5pt">
                <v:stroke opacity="0" joinstyle="round"/>
                <v:textbox style="mso-fit-shape-to-text:t" inset="0,0,0,0">
                  <w:txbxContent>
                    <w:p w:rsidR="00997A67" w:rsidRPr="004678EE" w:rsidRDefault="00997A67" w:rsidP="00997A67">
                      <w:pPr>
                        <w:jc w:val="right"/>
                        <w:rPr>
                          <w:rFonts w:cs="Arial"/>
                        </w:rPr>
                      </w:pPr>
                      <w:r w:rsidRPr="004678EE">
                        <w:rPr>
                          <w:rFonts w:cs="Arial"/>
                        </w:rPr>
                        <w:t xml:space="preserve">./. </w:t>
                      </w:r>
                    </w:p>
                  </w:txbxContent>
                </v:textbox>
              </v:shape>
            </w:pict>
          </mc:Fallback>
        </mc:AlternateContent>
      </w:r>
      <w:r w:rsidRPr="004678EE">
        <w:rPr>
          <w:rFonts w:cs="Arial"/>
        </w:rPr>
        <w:t xml:space="preserve">The </w:t>
      </w:r>
      <w:r>
        <w:rPr>
          <w:rFonts w:cs="Arial"/>
        </w:rPr>
        <w:t>Council</w:t>
      </w:r>
      <w:r w:rsidRPr="004678EE">
        <w:rPr>
          <w:rFonts w:cs="Arial"/>
        </w:rPr>
        <w:t xml:space="preserve"> </w:t>
      </w:r>
      <w:r>
        <w:rPr>
          <w:rFonts w:cs="Arial"/>
        </w:rPr>
        <w:t>adopted</w:t>
      </w:r>
      <w:r w:rsidRPr="004678EE">
        <w:rPr>
          <w:rFonts w:cs="Arial"/>
        </w:rPr>
        <w:t xml:space="preserve"> </w:t>
      </w:r>
      <w:r>
        <w:rPr>
          <w:rFonts w:cs="Arial"/>
        </w:rPr>
        <w:t>an</w:t>
      </w:r>
      <w:r w:rsidRPr="004678EE">
        <w:rPr>
          <w:rFonts w:cs="Arial"/>
        </w:rPr>
        <w:t xml:space="preserve"> FAQ on how the UPOV system of plant variety prote</w:t>
      </w:r>
      <w:r w:rsidR="00187506">
        <w:rPr>
          <w:rFonts w:cs="Arial"/>
        </w:rPr>
        <w:t>ction contributes to the United </w:t>
      </w:r>
      <w:r w:rsidRPr="004678EE">
        <w:rPr>
          <w:rFonts w:cs="Arial"/>
        </w:rPr>
        <w:t>Nations Sustainable Development Goals (SDGs),</w:t>
      </w:r>
      <w:r>
        <w:rPr>
          <w:rFonts w:cs="Arial"/>
        </w:rPr>
        <w:t xml:space="preserve"> a c</w:t>
      </w:r>
      <w:r w:rsidR="002D2B15">
        <w:rPr>
          <w:rFonts w:cs="Arial"/>
        </w:rPr>
        <w:t>opy of which is attached as an A</w:t>
      </w:r>
      <w:r>
        <w:rPr>
          <w:rFonts w:cs="Arial"/>
        </w:rPr>
        <w:t>nnex to this press release.</w:t>
      </w:r>
    </w:p>
    <w:p w:rsidR="00997A67" w:rsidRDefault="00997A67" w:rsidP="00997A67">
      <w:pPr>
        <w:rPr>
          <w:rFonts w:cs="Arial"/>
          <w:u w:val="single"/>
        </w:rPr>
      </w:pPr>
    </w:p>
    <w:p w:rsidR="00997A67" w:rsidRPr="002A6555" w:rsidRDefault="00997A67" w:rsidP="00997A67">
      <w:pPr>
        <w:rPr>
          <w:rFonts w:cs="Arial"/>
          <w:u w:val="single"/>
        </w:rPr>
      </w:pPr>
      <w:r w:rsidRPr="002A6555">
        <w:rPr>
          <w:rFonts w:cs="Arial"/>
          <w:u w:val="single"/>
        </w:rPr>
        <w:t xml:space="preserve">Interrelations with the </w:t>
      </w:r>
      <w:r w:rsidRPr="002A6555">
        <w:rPr>
          <w:rFonts w:cs="Arial"/>
          <w:snapToGrid w:val="0"/>
          <w:u w:val="single"/>
        </w:rPr>
        <w:t>International Treaty on Plant Genetic Resources for Food and Agriculture (ITPGRFA)</w:t>
      </w:r>
    </w:p>
    <w:p w:rsidR="00997A67" w:rsidRDefault="00997A67" w:rsidP="00997A67">
      <w:pPr>
        <w:rPr>
          <w:rFonts w:cs="Arial"/>
        </w:rPr>
      </w:pPr>
    </w:p>
    <w:p w:rsidR="00997A67" w:rsidRPr="002A6555" w:rsidRDefault="00997A67" w:rsidP="00997A67">
      <w:pPr>
        <w:rPr>
          <w:rFonts w:cs="Arial"/>
        </w:rPr>
      </w:pPr>
      <w:r w:rsidRPr="002A6555">
        <w:rPr>
          <w:rFonts w:cs="Arial"/>
        </w:rPr>
        <w:t xml:space="preserve">The </w:t>
      </w:r>
      <w:r>
        <w:rPr>
          <w:rFonts w:cs="Arial"/>
        </w:rPr>
        <w:t>Council</w:t>
      </w:r>
      <w:r w:rsidRPr="002A6555">
        <w:rPr>
          <w:rFonts w:cs="Arial"/>
        </w:rPr>
        <w:t xml:space="preserve"> agreed the following actions </w:t>
      </w:r>
      <w:r>
        <w:rPr>
          <w:rFonts w:cs="Arial"/>
        </w:rPr>
        <w:t xml:space="preserve">concerning </w:t>
      </w:r>
      <w:r w:rsidRPr="002A6555">
        <w:rPr>
          <w:rFonts w:cs="Arial"/>
        </w:rPr>
        <w:t>interrelations with the ITPGRFA:</w:t>
      </w:r>
    </w:p>
    <w:p w:rsidR="00997A67" w:rsidRPr="002A6555" w:rsidRDefault="00997A67" w:rsidP="00997A67">
      <w:pPr>
        <w:rPr>
          <w:rFonts w:cs="Arial"/>
        </w:rPr>
      </w:pPr>
    </w:p>
    <w:p w:rsidR="00997A67" w:rsidRPr="002A6555" w:rsidRDefault="00B52561" w:rsidP="00997A67">
      <w:pPr>
        <w:ind w:left="567"/>
        <w:rPr>
          <w:rFonts w:cs="Arial"/>
        </w:rPr>
      </w:pPr>
      <w:r>
        <w:rPr>
          <w:rFonts w:cs="Arial"/>
        </w:rPr>
        <w:t>(i)</w:t>
      </w:r>
      <w:r>
        <w:rPr>
          <w:rFonts w:cs="Arial"/>
        </w:rPr>
        <w:tab/>
      </w:r>
      <w:r w:rsidR="00997A67" w:rsidRPr="002A6555">
        <w:rPr>
          <w:rFonts w:cs="Arial"/>
        </w:rPr>
        <w:t>to review the FAQ on the interrelations between the UPOV Convention and the ITPGRFA</w:t>
      </w:r>
      <w:r w:rsidR="00997A67">
        <w:rPr>
          <w:rFonts w:cs="Arial"/>
        </w:rPr>
        <w:t xml:space="preserve"> (see </w:t>
      </w:r>
      <w:hyperlink r:id="rId10" w:anchor="QR10" w:history="1">
        <w:r w:rsidR="00997A67" w:rsidRPr="00DE4877">
          <w:rPr>
            <w:rStyle w:val="Hyperlink"/>
            <w:rFonts w:cs="Arial"/>
          </w:rPr>
          <w:t>http://www.upov.int/about/en/faq.html#QR10</w:t>
        </w:r>
      </w:hyperlink>
      <w:r w:rsidR="00997A67">
        <w:rPr>
          <w:rFonts w:cs="Arial"/>
        </w:rPr>
        <w:t>)</w:t>
      </w:r>
      <w:r w:rsidR="00997A67" w:rsidRPr="002A6555">
        <w:rPr>
          <w:rFonts w:cs="Arial"/>
        </w:rPr>
        <w:t>;  and</w:t>
      </w:r>
    </w:p>
    <w:p w:rsidR="00997A67" w:rsidRPr="002A6555" w:rsidRDefault="00997A67" w:rsidP="00997A67">
      <w:pPr>
        <w:ind w:left="567"/>
        <w:rPr>
          <w:rFonts w:cs="Arial"/>
        </w:rPr>
      </w:pPr>
    </w:p>
    <w:p w:rsidR="00997A67" w:rsidRDefault="00B52561" w:rsidP="00997A67">
      <w:pPr>
        <w:ind w:left="567"/>
        <w:rPr>
          <w:rFonts w:cs="Arial"/>
        </w:rPr>
      </w:pPr>
      <w:r>
        <w:rPr>
          <w:rFonts w:cs="Arial"/>
        </w:rPr>
        <w:t>(ii)</w:t>
      </w:r>
      <w:r>
        <w:rPr>
          <w:rFonts w:cs="Arial"/>
        </w:rPr>
        <w:tab/>
      </w:r>
      <w:r w:rsidR="00997A67" w:rsidRPr="002A6555">
        <w:rPr>
          <w:rFonts w:cs="Arial"/>
        </w:rPr>
        <w:t>exchange of experience and information on the implementation</w:t>
      </w:r>
      <w:r w:rsidR="002040A0">
        <w:rPr>
          <w:rFonts w:cs="Arial"/>
        </w:rPr>
        <w:t xml:space="preserve"> of the UPOV Convention and the </w:t>
      </w:r>
      <w:r w:rsidR="00997A67" w:rsidRPr="002A6555">
        <w:rPr>
          <w:rFonts w:cs="Arial"/>
        </w:rPr>
        <w:t>ITPGRFA, with the involvement of stakeholders.</w:t>
      </w:r>
    </w:p>
    <w:p w:rsidR="00997A67" w:rsidRDefault="00997A67" w:rsidP="001D560D">
      <w:pPr>
        <w:rPr>
          <w:rFonts w:cs="Arial"/>
          <w:u w:val="single"/>
        </w:rPr>
      </w:pPr>
    </w:p>
    <w:p w:rsidR="00997A67" w:rsidRDefault="00997A67" w:rsidP="00997A67">
      <w:pPr>
        <w:rPr>
          <w:rFonts w:cs="Arial"/>
          <w:u w:val="single"/>
        </w:rPr>
      </w:pPr>
      <w:r w:rsidRPr="001366FC">
        <w:rPr>
          <w:rFonts w:cs="Arial"/>
          <w:u w:val="single"/>
        </w:rPr>
        <w:t>Program and Budget</w:t>
      </w:r>
    </w:p>
    <w:p w:rsidR="00997A67" w:rsidRDefault="00997A67" w:rsidP="00997A67">
      <w:pPr>
        <w:rPr>
          <w:rFonts w:cs="Arial"/>
          <w:u w:val="single"/>
        </w:rPr>
      </w:pPr>
    </w:p>
    <w:p w:rsidR="00997A67" w:rsidRPr="003627D0" w:rsidRDefault="00997A67" w:rsidP="00997A67">
      <w:pPr>
        <w:rPr>
          <w:rFonts w:cs="Arial"/>
        </w:rPr>
      </w:pPr>
      <w:r w:rsidRPr="003627D0">
        <w:rPr>
          <w:rFonts w:cs="Arial"/>
        </w:rPr>
        <w:t>The Council approve</w:t>
      </w:r>
      <w:r>
        <w:rPr>
          <w:rFonts w:cs="Arial"/>
        </w:rPr>
        <w:t xml:space="preserve">d the </w:t>
      </w:r>
      <w:r w:rsidRPr="003627D0">
        <w:rPr>
          <w:rFonts w:cs="Arial"/>
        </w:rPr>
        <w:t xml:space="preserve">Program and Budget for the 2018-2019 Biennium, </w:t>
      </w:r>
      <w:r>
        <w:rPr>
          <w:rFonts w:cs="Arial"/>
        </w:rPr>
        <w:t xml:space="preserve">including </w:t>
      </w:r>
      <w:r w:rsidRPr="003627D0">
        <w:rPr>
          <w:rFonts w:cs="Arial"/>
        </w:rPr>
        <w:t>the maximum ceiling of expenditure in the regular budget</w:t>
      </w:r>
      <w:r>
        <w:rPr>
          <w:rFonts w:cs="Arial"/>
        </w:rPr>
        <w:t xml:space="preserve"> of </w:t>
      </w:r>
      <w:r w:rsidRPr="003627D0">
        <w:rPr>
          <w:rFonts w:cs="Arial"/>
        </w:rPr>
        <w:t>6,940,000 Swiss francs compared to the 2016­2017 budget of 6,823,000 Swiss francs</w:t>
      </w:r>
      <w:r>
        <w:rPr>
          <w:rFonts w:cs="Arial"/>
        </w:rPr>
        <w:t xml:space="preserve"> (1.7% increase)</w:t>
      </w:r>
      <w:r w:rsidRPr="003627D0">
        <w:rPr>
          <w:rFonts w:cs="Arial"/>
        </w:rPr>
        <w:t xml:space="preserve"> and</w:t>
      </w:r>
      <w:r>
        <w:rPr>
          <w:rFonts w:cs="Arial"/>
        </w:rPr>
        <w:t xml:space="preserve"> an increase in the number of staff posts from 11 to 12.</w:t>
      </w:r>
    </w:p>
    <w:p w:rsidR="00997A67" w:rsidRDefault="00997A67" w:rsidP="001D560D">
      <w:pPr>
        <w:rPr>
          <w:rFonts w:cs="Arial"/>
          <w:u w:val="single"/>
        </w:rPr>
      </w:pPr>
    </w:p>
    <w:p w:rsidR="00604DC9" w:rsidRDefault="00604DC9" w:rsidP="001D560D">
      <w:pPr>
        <w:rPr>
          <w:rFonts w:cs="Arial"/>
          <w:snapToGrid w:val="0"/>
          <w:u w:val="single"/>
        </w:rPr>
      </w:pPr>
      <w:r>
        <w:rPr>
          <w:rFonts w:cs="Arial"/>
          <w:snapToGrid w:val="0"/>
          <w:u w:val="single"/>
        </w:rPr>
        <w:t>Russian language</w:t>
      </w:r>
    </w:p>
    <w:p w:rsidR="00604DC9" w:rsidRDefault="00604DC9" w:rsidP="001D560D">
      <w:pPr>
        <w:rPr>
          <w:rFonts w:cs="Arial"/>
          <w:snapToGrid w:val="0"/>
          <w:u w:val="single"/>
        </w:rPr>
      </w:pPr>
    </w:p>
    <w:p w:rsidR="00231134" w:rsidRDefault="00604DC9" w:rsidP="001D560D">
      <w:pPr>
        <w:rPr>
          <w:rFonts w:cs="Arial"/>
        </w:rPr>
      </w:pPr>
      <w:r w:rsidRPr="00231134">
        <w:rPr>
          <w:rFonts w:cs="Arial"/>
        </w:rPr>
        <w:t xml:space="preserve">The Council </w:t>
      </w:r>
      <w:r w:rsidR="00231134">
        <w:rPr>
          <w:rFonts w:cs="Arial"/>
        </w:rPr>
        <w:t>agreed a</w:t>
      </w:r>
      <w:r w:rsidRPr="00231134">
        <w:rPr>
          <w:rFonts w:cs="Arial"/>
        </w:rPr>
        <w:t xml:space="preserve"> program for use of the Russian language in UPOV</w:t>
      </w:r>
      <w:r w:rsidR="00231134">
        <w:rPr>
          <w:rFonts w:cs="Arial"/>
        </w:rPr>
        <w:t>, including a</w:t>
      </w:r>
      <w:r w:rsidRPr="00231134">
        <w:rPr>
          <w:rFonts w:cs="Arial"/>
        </w:rPr>
        <w:t xml:space="preserve"> </w:t>
      </w:r>
      <w:r w:rsidR="004678EE">
        <w:rPr>
          <w:rFonts w:cs="Arial"/>
        </w:rPr>
        <w:t xml:space="preserve">full </w:t>
      </w:r>
      <w:r w:rsidR="00231134">
        <w:rPr>
          <w:rFonts w:cs="Arial"/>
        </w:rPr>
        <w:t>r</w:t>
      </w:r>
      <w:r w:rsidRPr="00231134">
        <w:rPr>
          <w:rFonts w:cs="Arial"/>
        </w:rPr>
        <w:t>esourcing</w:t>
      </w:r>
      <w:r w:rsidR="00231134">
        <w:rPr>
          <w:rFonts w:cs="Arial"/>
        </w:rPr>
        <w:t xml:space="preserve"> plan.  The program </w:t>
      </w:r>
      <w:r w:rsidR="002A6555">
        <w:rPr>
          <w:rFonts w:cs="Arial"/>
        </w:rPr>
        <w:t>includes</w:t>
      </w:r>
      <w:r w:rsidR="00231134">
        <w:rPr>
          <w:rFonts w:cs="Arial"/>
        </w:rPr>
        <w:t>:</w:t>
      </w:r>
    </w:p>
    <w:p w:rsidR="00231134" w:rsidRDefault="00231134" w:rsidP="001D560D">
      <w:pPr>
        <w:rPr>
          <w:rFonts w:cs="Arial"/>
        </w:rPr>
      </w:pPr>
    </w:p>
    <w:p w:rsidR="00231134" w:rsidRDefault="00231134" w:rsidP="00231134">
      <w:pPr>
        <w:pStyle w:val="ListParagraph"/>
        <w:numPr>
          <w:ilvl w:val="0"/>
          <w:numId w:val="4"/>
        </w:numPr>
        <w:rPr>
          <w:rFonts w:cs="Arial"/>
        </w:rPr>
      </w:pPr>
      <w:r w:rsidRPr="00231134">
        <w:rPr>
          <w:rFonts w:cs="Arial"/>
        </w:rPr>
        <w:t xml:space="preserve">provision of </w:t>
      </w:r>
      <w:r w:rsidRPr="006F583C">
        <w:t>interpretation services in the Russian language at UPOV sessions in Geneva</w:t>
      </w:r>
      <w:r w:rsidR="00604DC9" w:rsidRPr="00231134">
        <w:rPr>
          <w:rFonts w:cs="Arial"/>
        </w:rPr>
        <w:t xml:space="preserve">, </w:t>
      </w:r>
      <w:r>
        <w:rPr>
          <w:rFonts w:cs="Arial"/>
        </w:rPr>
        <w:t xml:space="preserve">to be financed by an increase in the number of units of contribution by the </w:t>
      </w:r>
      <w:r w:rsidRPr="00231134">
        <w:rPr>
          <w:rFonts w:cs="Arial"/>
          <w:snapToGrid w:val="0"/>
        </w:rPr>
        <w:t>Russian Federation</w:t>
      </w:r>
      <w:r>
        <w:rPr>
          <w:rFonts w:cs="Arial"/>
        </w:rPr>
        <w:t>;</w:t>
      </w:r>
    </w:p>
    <w:p w:rsidR="00604DC9" w:rsidRDefault="00231134" w:rsidP="004678EE">
      <w:pPr>
        <w:pStyle w:val="ListParagraph"/>
        <w:numPr>
          <w:ilvl w:val="0"/>
          <w:numId w:val="4"/>
        </w:numPr>
        <w:rPr>
          <w:rFonts w:cs="Arial"/>
        </w:rPr>
      </w:pPr>
      <w:r w:rsidRPr="004678EE">
        <w:rPr>
          <w:rFonts w:cs="Arial"/>
        </w:rPr>
        <w:t xml:space="preserve">translation of </w:t>
      </w:r>
      <w:r w:rsidR="004678EE" w:rsidRPr="004678EE">
        <w:rPr>
          <w:rFonts w:cs="Arial"/>
        </w:rPr>
        <w:t xml:space="preserve">key </w:t>
      </w:r>
      <w:r w:rsidRPr="004678EE">
        <w:rPr>
          <w:rFonts w:cs="Arial"/>
        </w:rPr>
        <w:t>UPOV materials into Russian</w:t>
      </w:r>
      <w:r w:rsidR="004678EE" w:rsidRPr="004678EE">
        <w:rPr>
          <w:rFonts w:cs="Arial"/>
        </w:rPr>
        <w:t xml:space="preserve"> (e.g. key documents in the UPOV Collection, UPOV Distance Learning Courses and </w:t>
      </w:r>
      <w:r w:rsidR="004678EE">
        <w:rPr>
          <w:rFonts w:cs="Arial"/>
        </w:rPr>
        <w:t>s</w:t>
      </w:r>
      <w:r w:rsidR="004678EE" w:rsidRPr="004678EE">
        <w:rPr>
          <w:rFonts w:cs="Arial"/>
        </w:rPr>
        <w:t>tandard UPOV presentation materials</w:t>
      </w:r>
      <w:r w:rsidR="004678EE">
        <w:rPr>
          <w:rFonts w:cs="Arial"/>
        </w:rPr>
        <w:t>);</w:t>
      </w:r>
    </w:p>
    <w:p w:rsidR="00231134" w:rsidRPr="00231134" w:rsidRDefault="00231134" w:rsidP="00231134">
      <w:pPr>
        <w:pStyle w:val="ListParagraph"/>
        <w:numPr>
          <w:ilvl w:val="0"/>
          <w:numId w:val="4"/>
        </w:numPr>
        <w:rPr>
          <w:rFonts w:cs="Arial"/>
        </w:rPr>
      </w:pPr>
      <w:r w:rsidRPr="00231134">
        <w:rPr>
          <w:rFonts w:cs="Arial"/>
        </w:rPr>
        <w:t xml:space="preserve">Russian-speaking professional </w:t>
      </w:r>
      <w:r>
        <w:rPr>
          <w:rFonts w:cs="Arial"/>
        </w:rPr>
        <w:t>at</w:t>
      </w:r>
      <w:r w:rsidRPr="00231134">
        <w:rPr>
          <w:rFonts w:cs="Arial"/>
        </w:rPr>
        <w:t xml:space="preserve"> the Office of the Union</w:t>
      </w:r>
      <w:r>
        <w:rPr>
          <w:rFonts w:cs="Arial"/>
        </w:rPr>
        <w:t xml:space="preserve">, financially supported by the </w:t>
      </w:r>
      <w:r w:rsidRPr="00231134">
        <w:rPr>
          <w:rFonts w:cs="Arial"/>
          <w:snapToGrid w:val="0"/>
        </w:rPr>
        <w:t>Russian Federation</w:t>
      </w:r>
      <w:r w:rsidR="004678EE">
        <w:rPr>
          <w:rFonts w:cs="Arial"/>
          <w:snapToGrid w:val="0"/>
        </w:rPr>
        <w:t>;</w:t>
      </w:r>
    </w:p>
    <w:p w:rsidR="00231134" w:rsidRPr="004678EE" w:rsidRDefault="004678EE" w:rsidP="004678EE">
      <w:pPr>
        <w:pStyle w:val="ListParagraph"/>
        <w:numPr>
          <w:ilvl w:val="0"/>
          <w:numId w:val="4"/>
        </w:numPr>
        <w:rPr>
          <w:rFonts w:cs="Arial"/>
        </w:rPr>
      </w:pPr>
      <w:r>
        <w:rPr>
          <w:rFonts w:cs="Arial"/>
          <w:snapToGrid w:val="0"/>
        </w:rPr>
        <w:t xml:space="preserve">participation by Russian-speaking </w:t>
      </w:r>
      <w:r w:rsidRPr="004678EE">
        <w:rPr>
          <w:rFonts w:cs="Arial"/>
          <w:snapToGrid w:val="0"/>
        </w:rPr>
        <w:t>members of the Union</w:t>
      </w:r>
      <w:r>
        <w:rPr>
          <w:rFonts w:cs="Arial"/>
          <w:snapToGrid w:val="0"/>
        </w:rPr>
        <w:t xml:space="preserve"> in the UPOV PBR Application Tool (</w:t>
      </w:r>
      <w:r w:rsidRPr="00231134">
        <w:rPr>
          <w:rFonts w:cs="Arial"/>
          <w:snapToGrid w:val="0"/>
        </w:rPr>
        <w:t>Electronic Application Form</w:t>
      </w:r>
      <w:r>
        <w:rPr>
          <w:rFonts w:cs="Arial"/>
          <w:snapToGrid w:val="0"/>
        </w:rPr>
        <w:t xml:space="preserve">) (see </w:t>
      </w:r>
      <w:hyperlink r:id="rId11" w:history="1">
        <w:r w:rsidRPr="00DE4877">
          <w:rPr>
            <w:rStyle w:val="Hyperlink"/>
            <w:rFonts w:cs="Arial"/>
            <w:snapToGrid w:val="0"/>
          </w:rPr>
          <w:t>http://www.upov.int/upoveaf/en/index.html</w:t>
        </w:r>
      </w:hyperlink>
      <w:r>
        <w:rPr>
          <w:rFonts w:cs="Arial"/>
          <w:snapToGrid w:val="0"/>
        </w:rPr>
        <w:t>) and i</w:t>
      </w:r>
      <w:r w:rsidR="00231134">
        <w:rPr>
          <w:rFonts w:cs="Arial"/>
          <w:snapToGrid w:val="0"/>
        </w:rPr>
        <w:t>ntroduction of R</w:t>
      </w:r>
      <w:r>
        <w:rPr>
          <w:rFonts w:cs="Arial"/>
          <w:snapToGrid w:val="0"/>
        </w:rPr>
        <w:t>ussian as a navigation language;  and</w:t>
      </w:r>
    </w:p>
    <w:p w:rsidR="004678EE" w:rsidRPr="00231134" w:rsidRDefault="004678EE" w:rsidP="004678EE">
      <w:pPr>
        <w:pStyle w:val="ListParagraph"/>
        <w:numPr>
          <w:ilvl w:val="0"/>
          <w:numId w:val="4"/>
        </w:numPr>
        <w:rPr>
          <w:rFonts w:cs="Arial"/>
        </w:rPr>
      </w:pPr>
      <w:r>
        <w:rPr>
          <w:rFonts w:cs="Arial"/>
        </w:rPr>
        <w:t>development of a</w:t>
      </w:r>
      <w:r w:rsidRPr="004678EE">
        <w:rPr>
          <w:rFonts w:cs="Arial"/>
        </w:rPr>
        <w:t xml:space="preserve"> training center hosted by a relevant inst</w:t>
      </w:r>
      <w:r>
        <w:rPr>
          <w:rFonts w:cs="Arial"/>
        </w:rPr>
        <w:t xml:space="preserve">itute in the Russian Federation, to be </w:t>
      </w:r>
      <w:r w:rsidRPr="004678EE">
        <w:rPr>
          <w:rFonts w:cs="Arial"/>
        </w:rPr>
        <w:t>funded by interested members of the Union.</w:t>
      </w:r>
    </w:p>
    <w:p w:rsidR="00231134" w:rsidRDefault="00231134" w:rsidP="001D560D">
      <w:pPr>
        <w:rPr>
          <w:rFonts w:cs="Arial"/>
        </w:rPr>
      </w:pPr>
    </w:p>
    <w:p w:rsidR="002A6555" w:rsidRDefault="002A6555" w:rsidP="001D560D">
      <w:pPr>
        <w:rPr>
          <w:rFonts w:cs="Arial"/>
        </w:rPr>
      </w:pPr>
    </w:p>
    <w:p w:rsidR="00872E54" w:rsidRDefault="002A6555" w:rsidP="007B2767">
      <w:pPr>
        <w:keepNext/>
        <w:rPr>
          <w:rFonts w:cs="Arial"/>
          <w:u w:val="single"/>
        </w:rPr>
      </w:pPr>
      <w:r>
        <w:rPr>
          <w:rFonts w:cs="Arial"/>
          <w:u w:val="single"/>
        </w:rPr>
        <w:lastRenderedPageBreak/>
        <w:t xml:space="preserve">Examination of </w:t>
      </w:r>
      <w:r w:rsidR="00872E54">
        <w:rPr>
          <w:rFonts w:cs="Arial"/>
          <w:u w:val="single"/>
        </w:rPr>
        <w:t>Laws</w:t>
      </w:r>
    </w:p>
    <w:p w:rsidR="00872E54" w:rsidRDefault="00872E54" w:rsidP="007B2767">
      <w:pPr>
        <w:keepNext/>
        <w:rPr>
          <w:rFonts w:cs="Arial"/>
          <w:u w:val="single"/>
        </w:rPr>
      </w:pPr>
    </w:p>
    <w:p w:rsidR="00B65BFF" w:rsidRPr="001366FC" w:rsidRDefault="00B65BFF" w:rsidP="007B2767">
      <w:pPr>
        <w:keepNext/>
        <w:rPr>
          <w:rFonts w:cs="Arial"/>
          <w:i/>
        </w:rPr>
      </w:pPr>
      <w:r w:rsidRPr="001366FC">
        <w:rPr>
          <w:rFonts w:cs="Arial"/>
          <w:i/>
        </w:rPr>
        <w:t>Positive decision on the Law of Brunei Darussalam</w:t>
      </w:r>
    </w:p>
    <w:p w:rsidR="00B65BFF" w:rsidRPr="00B65BFF" w:rsidRDefault="00B65BFF" w:rsidP="007B2767">
      <w:pPr>
        <w:keepNext/>
        <w:rPr>
          <w:rFonts w:cs="Arial"/>
        </w:rPr>
      </w:pPr>
    </w:p>
    <w:p w:rsidR="00B65BFF" w:rsidRPr="00B65BFF" w:rsidRDefault="00B65BFF" w:rsidP="007B2767">
      <w:pPr>
        <w:keepNext/>
        <w:rPr>
          <w:rFonts w:cs="Arial"/>
        </w:rPr>
      </w:pPr>
      <w:r w:rsidRPr="00B65BFF">
        <w:rPr>
          <w:rFonts w:cs="Arial"/>
        </w:rPr>
        <w:t xml:space="preserve">The Council took a positive decision on the conformity of the </w:t>
      </w:r>
      <w:r w:rsidR="004E0709">
        <w:rPr>
          <w:rFonts w:cs="Arial"/>
        </w:rPr>
        <w:t>“</w:t>
      </w:r>
      <w:r w:rsidRPr="00B65BFF">
        <w:rPr>
          <w:rFonts w:cs="Arial"/>
        </w:rPr>
        <w:t>Plant Varie</w:t>
      </w:r>
      <w:r w:rsidR="004E0709">
        <w:rPr>
          <w:rFonts w:cs="Arial"/>
        </w:rPr>
        <w:t xml:space="preserve">ties Protection Order” (Law) </w:t>
      </w:r>
      <w:r w:rsidR="00604DC9">
        <w:rPr>
          <w:rFonts w:cs="Arial"/>
        </w:rPr>
        <w:t>of Brunei </w:t>
      </w:r>
      <w:r w:rsidRPr="00B65BFF">
        <w:rPr>
          <w:rFonts w:cs="Arial"/>
        </w:rPr>
        <w:t xml:space="preserve">Darussalam with the provisions of the 1991 Act of the </w:t>
      </w:r>
      <w:r w:rsidR="00604DC9">
        <w:rPr>
          <w:rFonts w:cs="Arial"/>
        </w:rPr>
        <w:t xml:space="preserve">UPOV </w:t>
      </w:r>
      <w:r w:rsidR="00B52561">
        <w:rPr>
          <w:rFonts w:cs="Arial"/>
        </w:rPr>
        <w:t>Convention, which allows Brunei </w:t>
      </w:r>
      <w:r w:rsidRPr="00B65BFF">
        <w:rPr>
          <w:rFonts w:cs="Arial"/>
        </w:rPr>
        <w:t>Darussalam to deposit its instrument of accession to the 1991 Act.</w:t>
      </w:r>
    </w:p>
    <w:p w:rsidR="00B65BFF" w:rsidRDefault="00B65BFF" w:rsidP="001D560D">
      <w:pPr>
        <w:rPr>
          <w:rFonts w:cs="Arial"/>
          <w:u w:val="single"/>
        </w:rPr>
      </w:pPr>
    </w:p>
    <w:p w:rsidR="00B65BFF" w:rsidRPr="001366FC" w:rsidRDefault="00B65BFF" w:rsidP="001D560D">
      <w:pPr>
        <w:rPr>
          <w:rFonts w:cs="Arial"/>
          <w:i/>
        </w:rPr>
      </w:pPr>
      <w:r w:rsidRPr="001366FC">
        <w:rPr>
          <w:rFonts w:cs="Arial"/>
          <w:i/>
        </w:rPr>
        <w:t xml:space="preserve">Positive decision on the Draft Law of </w:t>
      </w:r>
      <w:r w:rsidRPr="001366FC">
        <w:rPr>
          <w:rFonts w:cs="Arial"/>
          <w:i/>
          <w:snapToGrid w:val="0"/>
        </w:rPr>
        <w:t xml:space="preserve">Guatemala </w:t>
      </w:r>
    </w:p>
    <w:p w:rsidR="00B65BFF" w:rsidRDefault="00B65BFF" w:rsidP="001D560D">
      <w:pPr>
        <w:rPr>
          <w:rFonts w:cs="Arial"/>
          <w:u w:val="single"/>
        </w:rPr>
      </w:pPr>
    </w:p>
    <w:p w:rsidR="00B65BFF" w:rsidRDefault="001366FC" w:rsidP="001D560D">
      <w:pPr>
        <w:rPr>
          <w:rFonts w:cs="Arial"/>
        </w:rPr>
      </w:pPr>
      <w:r w:rsidRPr="00B65BFF">
        <w:rPr>
          <w:rFonts w:cs="Arial"/>
        </w:rPr>
        <w:t xml:space="preserve">The Council took a positive decision </w:t>
      </w:r>
      <w:r w:rsidR="00B65BFF" w:rsidRPr="00B65BFF">
        <w:rPr>
          <w:rFonts w:cs="Arial"/>
        </w:rPr>
        <w:t>on the conformity of the “Draft Law for the Protection of New Varieties of Plants” (“Draft Law”)</w:t>
      </w:r>
      <w:r>
        <w:rPr>
          <w:rFonts w:cs="Arial"/>
        </w:rPr>
        <w:t xml:space="preserve"> of </w:t>
      </w:r>
      <w:r w:rsidRPr="001366FC">
        <w:rPr>
          <w:rFonts w:cs="Arial"/>
          <w:snapToGrid w:val="0"/>
        </w:rPr>
        <w:t xml:space="preserve">Guatemala </w:t>
      </w:r>
      <w:r w:rsidR="00B65BFF" w:rsidRPr="00B65BFF">
        <w:rPr>
          <w:rFonts w:cs="Arial"/>
        </w:rPr>
        <w:t xml:space="preserve">with the provisions of the 1991 Act of the </w:t>
      </w:r>
      <w:r w:rsidR="00604DC9">
        <w:rPr>
          <w:rFonts w:cs="Arial"/>
        </w:rPr>
        <w:t xml:space="preserve">UPOV </w:t>
      </w:r>
      <w:r w:rsidR="00604DC9" w:rsidRPr="00B65BFF">
        <w:rPr>
          <w:rFonts w:cs="Arial"/>
        </w:rPr>
        <w:t>Convention</w:t>
      </w:r>
      <w:r w:rsidR="00B65BFF" w:rsidRPr="00B65BFF">
        <w:rPr>
          <w:rFonts w:cs="Arial"/>
        </w:rPr>
        <w:t>, which allows Guatemala once the Draft Law is adopted with no changes and the Law is in force, to deposit its instrument of accession to the 1991 Act</w:t>
      </w:r>
      <w:r>
        <w:rPr>
          <w:rFonts w:cs="Arial"/>
        </w:rPr>
        <w:t>.</w:t>
      </w:r>
    </w:p>
    <w:p w:rsidR="001366FC" w:rsidRDefault="001366FC" w:rsidP="001D560D">
      <w:pPr>
        <w:rPr>
          <w:rFonts w:cs="Arial"/>
        </w:rPr>
      </w:pPr>
    </w:p>
    <w:p w:rsidR="001366FC" w:rsidRPr="001366FC" w:rsidRDefault="001366FC" w:rsidP="001366FC">
      <w:pPr>
        <w:rPr>
          <w:rFonts w:cs="Arial"/>
          <w:i/>
        </w:rPr>
      </w:pPr>
      <w:r w:rsidRPr="001366FC">
        <w:rPr>
          <w:rFonts w:cs="Arial"/>
          <w:i/>
        </w:rPr>
        <w:t xml:space="preserve">Positive decision on the Draft Law of </w:t>
      </w:r>
      <w:r w:rsidRPr="001366FC">
        <w:rPr>
          <w:rFonts w:cs="Arial"/>
          <w:i/>
          <w:snapToGrid w:val="0"/>
          <w:spacing w:val="-3"/>
        </w:rPr>
        <w:t>Myanmar</w:t>
      </w:r>
      <w:r w:rsidRPr="001366FC">
        <w:rPr>
          <w:rFonts w:cs="Arial"/>
          <w:i/>
          <w:snapToGrid w:val="0"/>
        </w:rPr>
        <w:t xml:space="preserve"> </w:t>
      </w:r>
    </w:p>
    <w:p w:rsidR="001366FC" w:rsidRDefault="001366FC" w:rsidP="001D560D">
      <w:pPr>
        <w:rPr>
          <w:rFonts w:cs="Arial"/>
        </w:rPr>
      </w:pPr>
    </w:p>
    <w:p w:rsidR="001366FC" w:rsidRPr="00B65BFF" w:rsidRDefault="001366FC" w:rsidP="001D560D">
      <w:pPr>
        <w:rPr>
          <w:rFonts w:cs="Arial"/>
        </w:rPr>
      </w:pPr>
      <w:r w:rsidRPr="00B65BFF">
        <w:rPr>
          <w:rFonts w:cs="Arial"/>
        </w:rPr>
        <w:t xml:space="preserve">The Council took a positive decision </w:t>
      </w:r>
      <w:r w:rsidRPr="001366FC">
        <w:rPr>
          <w:rFonts w:cs="Arial"/>
        </w:rPr>
        <w:t xml:space="preserve">on the conformity of the “Draft Law on New Plant Variety Protection” (“Draft Law”) </w:t>
      </w:r>
      <w:r>
        <w:rPr>
          <w:rFonts w:cs="Arial"/>
        </w:rPr>
        <w:t xml:space="preserve">of </w:t>
      </w:r>
      <w:r w:rsidRPr="001366FC">
        <w:rPr>
          <w:rFonts w:cs="Arial"/>
          <w:spacing w:val="-3"/>
        </w:rPr>
        <w:t>Myanmar</w:t>
      </w:r>
      <w:r>
        <w:rPr>
          <w:rFonts w:cs="Arial"/>
        </w:rPr>
        <w:t xml:space="preserve"> </w:t>
      </w:r>
      <w:r w:rsidRPr="001366FC">
        <w:rPr>
          <w:rFonts w:cs="Arial"/>
        </w:rPr>
        <w:t xml:space="preserve">with the provisions of the 1991 Act of the </w:t>
      </w:r>
      <w:r w:rsidR="00604DC9">
        <w:rPr>
          <w:rFonts w:cs="Arial"/>
        </w:rPr>
        <w:t xml:space="preserve">UPOV </w:t>
      </w:r>
      <w:r w:rsidR="00604DC9" w:rsidRPr="00B65BFF">
        <w:rPr>
          <w:rFonts w:cs="Arial"/>
        </w:rPr>
        <w:t>Convention</w:t>
      </w:r>
      <w:r w:rsidRPr="001366FC">
        <w:rPr>
          <w:rFonts w:cs="Arial"/>
        </w:rPr>
        <w:t>, which allows Myanmar once the Draft Law is adopted with no changes and the Law is in force, to deposit its instrument of accession to the 1991 Act</w:t>
      </w:r>
    </w:p>
    <w:p w:rsidR="003627D0" w:rsidRDefault="003627D0" w:rsidP="003627D0">
      <w:pPr>
        <w:rPr>
          <w:rFonts w:cs="Arial"/>
        </w:rPr>
      </w:pPr>
    </w:p>
    <w:p w:rsidR="00597533" w:rsidRPr="00872E54" w:rsidRDefault="00597533" w:rsidP="00597533">
      <w:pPr>
        <w:rPr>
          <w:rFonts w:cs="Arial"/>
          <w:u w:val="single"/>
        </w:rPr>
      </w:pPr>
      <w:r w:rsidRPr="00872E54">
        <w:rPr>
          <w:rFonts w:cs="Arial"/>
          <w:u w:val="single"/>
        </w:rPr>
        <w:t xml:space="preserve">Extension of </w:t>
      </w:r>
      <w:r>
        <w:rPr>
          <w:rFonts w:cs="Arial"/>
          <w:u w:val="single"/>
        </w:rPr>
        <w:t xml:space="preserve">the appointment of the </w:t>
      </w:r>
      <w:r w:rsidRPr="00872E54">
        <w:rPr>
          <w:rFonts w:cs="Arial"/>
          <w:u w:val="single"/>
        </w:rPr>
        <w:t>Vice Secretary</w:t>
      </w:r>
      <w:r w:rsidRPr="00872E54">
        <w:rPr>
          <w:rFonts w:cs="Arial"/>
          <w:u w:val="single"/>
        </w:rPr>
        <w:noBreakHyphen/>
        <w:t xml:space="preserve">General </w:t>
      </w:r>
    </w:p>
    <w:p w:rsidR="00597533" w:rsidRDefault="00597533" w:rsidP="00597533">
      <w:pPr>
        <w:rPr>
          <w:rFonts w:cs="Arial"/>
        </w:rPr>
      </w:pPr>
    </w:p>
    <w:p w:rsidR="00597533" w:rsidRDefault="00597533" w:rsidP="00597533">
      <w:pPr>
        <w:rPr>
          <w:rFonts w:cs="Arial"/>
        </w:rPr>
      </w:pPr>
      <w:r w:rsidRPr="00597533">
        <w:rPr>
          <w:rFonts w:cs="Arial"/>
        </w:rPr>
        <w:t>The Council extend</w:t>
      </w:r>
      <w:r>
        <w:rPr>
          <w:rFonts w:cs="Arial"/>
        </w:rPr>
        <w:t>ed</w:t>
      </w:r>
      <w:r w:rsidRPr="00597533">
        <w:rPr>
          <w:rFonts w:cs="Arial"/>
        </w:rPr>
        <w:t xml:space="preserve"> the appointment of the Vice Secretary</w:t>
      </w:r>
      <w:r w:rsidR="008919F6">
        <w:rPr>
          <w:rFonts w:cs="Arial"/>
        </w:rPr>
        <w:t>-</w:t>
      </w:r>
      <w:r w:rsidRPr="00597533">
        <w:rPr>
          <w:rFonts w:cs="Arial"/>
        </w:rPr>
        <w:t>General from December 1, 2018, until November 30, 2021.</w:t>
      </w:r>
    </w:p>
    <w:p w:rsidR="00597533" w:rsidRDefault="00597533" w:rsidP="003627D0">
      <w:pPr>
        <w:rPr>
          <w:rFonts w:cs="Arial"/>
        </w:rPr>
      </w:pPr>
    </w:p>
    <w:p w:rsidR="00997A67" w:rsidRPr="003E2280" w:rsidRDefault="00997A67" w:rsidP="00997A67">
      <w:pPr>
        <w:ind w:left="567" w:hanging="567"/>
        <w:rPr>
          <w:bCs/>
          <w:snapToGrid w:val="0"/>
          <w:szCs w:val="24"/>
          <w:u w:val="single"/>
        </w:rPr>
      </w:pPr>
      <w:r w:rsidRPr="003E2280">
        <w:rPr>
          <w:bCs/>
          <w:snapToGrid w:val="0"/>
          <w:szCs w:val="24"/>
          <w:u w:val="single"/>
        </w:rPr>
        <w:t>Election of the new Chairperson</w:t>
      </w:r>
      <w:r>
        <w:rPr>
          <w:bCs/>
          <w:snapToGrid w:val="0"/>
          <w:szCs w:val="24"/>
          <w:u w:val="single"/>
        </w:rPr>
        <w:t>s</w:t>
      </w:r>
    </w:p>
    <w:p w:rsidR="00997A67" w:rsidRPr="00D43868" w:rsidRDefault="00997A67" w:rsidP="00997A67">
      <w:pPr>
        <w:ind w:left="567" w:hanging="567"/>
        <w:rPr>
          <w:bCs/>
          <w:snapToGrid w:val="0"/>
          <w:szCs w:val="24"/>
        </w:rPr>
      </w:pPr>
    </w:p>
    <w:p w:rsidR="00997A67" w:rsidRPr="00A01024" w:rsidRDefault="00997A67" w:rsidP="00997A67">
      <w:pPr>
        <w:keepNext/>
        <w:rPr>
          <w:szCs w:val="24"/>
        </w:rPr>
      </w:pPr>
      <w:r w:rsidRPr="004E0709">
        <w:rPr>
          <w:szCs w:val="24"/>
        </w:rPr>
        <w:t>The Council elected, in each case for a term of three years ending with the fifty-fourth ordinary session of the Council, in 2020:</w:t>
      </w:r>
    </w:p>
    <w:p w:rsidR="00997A67" w:rsidRPr="00A01024" w:rsidRDefault="00997A67" w:rsidP="00997A67">
      <w:pPr>
        <w:keepNext/>
        <w:rPr>
          <w:szCs w:val="24"/>
        </w:rPr>
      </w:pPr>
    </w:p>
    <w:p w:rsidR="00997A67" w:rsidRPr="003E2280" w:rsidRDefault="00997A67" w:rsidP="00B52561">
      <w:pPr>
        <w:ind w:left="1134" w:hanging="567"/>
        <w:jc w:val="left"/>
        <w:rPr>
          <w:szCs w:val="24"/>
        </w:rPr>
      </w:pPr>
      <w:r w:rsidRPr="003E2280">
        <w:rPr>
          <w:szCs w:val="24"/>
        </w:rPr>
        <w:t>(a)</w:t>
      </w:r>
      <w:r w:rsidRPr="003E2280">
        <w:rPr>
          <w:szCs w:val="24"/>
        </w:rPr>
        <w:tab/>
      </w:r>
      <w:r w:rsidRPr="00740774">
        <w:rPr>
          <w:szCs w:val="24"/>
        </w:rPr>
        <w:t>Ms. Cheryl Turnbull (United Kingdom)</w:t>
      </w:r>
      <w:r>
        <w:rPr>
          <w:szCs w:val="24"/>
        </w:rPr>
        <w:br/>
        <w:t xml:space="preserve">Chairperson of the </w:t>
      </w:r>
      <w:r w:rsidRPr="003E2280">
        <w:rPr>
          <w:szCs w:val="24"/>
        </w:rPr>
        <w:t>Technical Working Party for Agricultural Crops (TWA)</w:t>
      </w:r>
    </w:p>
    <w:p w:rsidR="00997A67" w:rsidRPr="003E2280" w:rsidRDefault="00997A67" w:rsidP="00B52561">
      <w:pPr>
        <w:ind w:left="1134" w:hanging="567"/>
        <w:jc w:val="left"/>
        <w:rPr>
          <w:szCs w:val="24"/>
        </w:rPr>
      </w:pPr>
    </w:p>
    <w:p w:rsidR="00997A67" w:rsidRPr="003E2280" w:rsidRDefault="00997A67" w:rsidP="00B52561">
      <w:pPr>
        <w:ind w:left="1134" w:hanging="567"/>
        <w:jc w:val="left"/>
        <w:rPr>
          <w:szCs w:val="24"/>
        </w:rPr>
      </w:pPr>
      <w:r w:rsidRPr="003E2280">
        <w:rPr>
          <w:szCs w:val="24"/>
        </w:rPr>
        <w:t>(b)</w:t>
      </w:r>
      <w:r w:rsidRPr="003E2280">
        <w:rPr>
          <w:szCs w:val="24"/>
        </w:rPr>
        <w:tab/>
      </w:r>
      <w:r w:rsidRPr="00740774">
        <w:rPr>
          <w:szCs w:val="24"/>
        </w:rPr>
        <w:t>Mr. Christophe Chevalier (France)</w:t>
      </w:r>
      <w:r>
        <w:rPr>
          <w:szCs w:val="24"/>
        </w:rPr>
        <w:br/>
        <w:t xml:space="preserve">Chairperson of the </w:t>
      </w:r>
      <w:r w:rsidRPr="003E2280">
        <w:rPr>
          <w:szCs w:val="24"/>
        </w:rPr>
        <w:t>Technical Working Party on Automation and Computer Programs (TWC)</w:t>
      </w:r>
    </w:p>
    <w:p w:rsidR="00997A67" w:rsidRPr="003E2280" w:rsidRDefault="00997A67" w:rsidP="00B52561">
      <w:pPr>
        <w:ind w:left="1134" w:hanging="567"/>
        <w:jc w:val="left"/>
        <w:rPr>
          <w:szCs w:val="24"/>
        </w:rPr>
      </w:pPr>
    </w:p>
    <w:p w:rsidR="00997A67" w:rsidRPr="003E2280" w:rsidRDefault="00997A67" w:rsidP="00B52561">
      <w:pPr>
        <w:ind w:left="1134" w:hanging="567"/>
        <w:jc w:val="left"/>
        <w:rPr>
          <w:szCs w:val="24"/>
        </w:rPr>
      </w:pPr>
      <w:r w:rsidRPr="003E2280">
        <w:rPr>
          <w:szCs w:val="24"/>
        </w:rPr>
        <w:t>(c)</w:t>
      </w:r>
      <w:r w:rsidRPr="003E2280">
        <w:rPr>
          <w:szCs w:val="24"/>
        </w:rPr>
        <w:tab/>
      </w:r>
      <w:r w:rsidRPr="00740774">
        <w:rPr>
          <w:szCs w:val="24"/>
        </w:rPr>
        <w:t>Mr. Jean Maison (European Union)</w:t>
      </w:r>
      <w:r>
        <w:rPr>
          <w:szCs w:val="24"/>
        </w:rPr>
        <w:br/>
        <w:t>Chairperson of the T</w:t>
      </w:r>
      <w:r w:rsidRPr="003E2280">
        <w:rPr>
          <w:szCs w:val="24"/>
        </w:rPr>
        <w:t>echnical Working Party for Fruit Crops (TWF)</w:t>
      </w:r>
    </w:p>
    <w:p w:rsidR="00997A67" w:rsidRPr="003E2280" w:rsidRDefault="00997A67" w:rsidP="00B52561">
      <w:pPr>
        <w:ind w:left="1134" w:hanging="567"/>
        <w:jc w:val="left"/>
        <w:rPr>
          <w:szCs w:val="24"/>
        </w:rPr>
      </w:pPr>
    </w:p>
    <w:p w:rsidR="00997A67" w:rsidRPr="003E2280" w:rsidRDefault="00997A67" w:rsidP="00B52561">
      <w:pPr>
        <w:ind w:left="1134" w:hanging="567"/>
        <w:jc w:val="left"/>
        <w:rPr>
          <w:szCs w:val="24"/>
        </w:rPr>
      </w:pPr>
      <w:r w:rsidRPr="003E2280">
        <w:rPr>
          <w:szCs w:val="24"/>
        </w:rPr>
        <w:t>(d)</w:t>
      </w:r>
      <w:r w:rsidRPr="003E2280">
        <w:rPr>
          <w:szCs w:val="24"/>
        </w:rPr>
        <w:tab/>
      </w:r>
      <w:r w:rsidRPr="00740774">
        <w:rPr>
          <w:szCs w:val="24"/>
        </w:rPr>
        <w:t>Mr. Henk de Greef (Netherlands)</w:t>
      </w:r>
      <w:r>
        <w:rPr>
          <w:szCs w:val="24"/>
        </w:rPr>
        <w:br/>
        <w:t xml:space="preserve">Chairperson of the </w:t>
      </w:r>
      <w:r w:rsidRPr="003E2280">
        <w:rPr>
          <w:szCs w:val="24"/>
        </w:rPr>
        <w:t>Technical Working Party for Ornamental Plants and Forest Trees (TWO)</w:t>
      </w:r>
    </w:p>
    <w:p w:rsidR="00997A67" w:rsidRPr="003E2280" w:rsidRDefault="00997A67" w:rsidP="00B52561">
      <w:pPr>
        <w:ind w:left="1134" w:hanging="567"/>
        <w:jc w:val="left"/>
        <w:rPr>
          <w:szCs w:val="24"/>
        </w:rPr>
      </w:pPr>
    </w:p>
    <w:p w:rsidR="00997A67" w:rsidRPr="003E2280" w:rsidRDefault="00997A67" w:rsidP="00B52561">
      <w:pPr>
        <w:ind w:left="1134" w:hanging="567"/>
        <w:jc w:val="left"/>
        <w:rPr>
          <w:szCs w:val="24"/>
        </w:rPr>
      </w:pPr>
      <w:r w:rsidRPr="003E2280">
        <w:rPr>
          <w:szCs w:val="24"/>
        </w:rPr>
        <w:t>(e)</w:t>
      </w:r>
      <w:r w:rsidRPr="003E2280">
        <w:rPr>
          <w:szCs w:val="24"/>
        </w:rPr>
        <w:tab/>
      </w:r>
      <w:r w:rsidRPr="00740774">
        <w:rPr>
          <w:szCs w:val="24"/>
        </w:rPr>
        <w:t>Ms. Romana Bravi (Italy)</w:t>
      </w:r>
      <w:r>
        <w:rPr>
          <w:szCs w:val="24"/>
        </w:rPr>
        <w:br/>
        <w:t xml:space="preserve">Chairperson of the </w:t>
      </w:r>
      <w:r w:rsidRPr="003E2280">
        <w:rPr>
          <w:szCs w:val="24"/>
        </w:rPr>
        <w:t>Technical Working Party for Vegetables (TWV)</w:t>
      </w:r>
    </w:p>
    <w:p w:rsidR="00997A67" w:rsidRPr="003E2280" w:rsidRDefault="00997A67" w:rsidP="00B52561">
      <w:pPr>
        <w:ind w:left="1134" w:hanging="567"/>
        <w:jc w:val="left"/>
        <w:rPr>
          <w:szCs w:val="24"/>
        </w:rPr>
      </w:pPr>
    </w:p>
    <w:p w:rsidR="00997A67" w:rsidRDefault="00997A67" w:rsidP="00B52561">
      <w:pPr>
        <w:ind w:left="1134" w:hanging="567"/>
        <w:jc w:val="left"/>
        <w:rPr>
          <w:szCs w:val="24"/>
        </w:rPr>
      </w:pPr>
      <w:r w:rsidRPr="003E2280">
        <w:rPr>
          <w:szCs w:val="24"/>
        </w:rPr>
        <w:t>(f)</w:t>
      </w:r>
      <w:r w:rsidRPr="003E2280">
        <w:rPr>
          <w:szCs w:val="24"/>
        </w:rPr>
        <w:tab/>
      </w:r>
      <w:r w:rsidRPr="00740774">
        <w:rPr>
          <w:szCs w:val="24"/>
        </w:rPr>
        <w:t>Mr. Nik Hulse (Australia)</w:t>
      </w:r>
      <w:r>
        <w:rPr>
          <w:szCs w:val="24"/>
        </w:rPr>
        <w:br/>
        <w:t xml:space="preserve">Chairperson of the </w:t>
      </w:r>
      <w:r w:rsidRPr="003E2280">
        <w:rPr>
          <w:szCs w:val="24"/>
        </w:rPr>
        <w:t>Working Group on Biochemical a</w:t>
      </w:r>
      <w:r w:rsidR="00B52561">
        <w:rPr>
          <w:szCs w:val="24"/>
        </w:rPr>
        <w:t>nd Molecular Techniques and DNA</w:t>
      </w:r>
      <w:r w:rsidR="00B52561">
        <w:rPr>
          <w:szCs w:val="24"/>
        </w:rPr>
        <w:noBreakHyphen/>
      </w:r>
      <w:r w:rsidRPr="003E2280">
        <w:rPr>
          <w:szCs w:val="24"/>
        </w:rPr>
        <w:t>Profiling in Particular (BMT)</w:t>
      </w:r>
    </w:p>
    <w:p w:rsidR="00997A67" w:rsidRDefault="00997A67" w:rsidP="00997A67">
      <w:pPr>
        <w:ind w:left="630" w:hanging="630"/>
        <w:rPr>
          <w:szCs w:val="24"/>
        </w:rPr>
      </w:pPr>
    </w:p>
    <w:p w:rsidR="00597533" w:rsidRPr="007B4998" w:rsidRDefault="00597533" w:rsidP="00597533">
      <w:pPr>
        <w:keepNext/>
        <w:rPr>
          <w:rFonts w:cs="Arial"/>
          <w:u w:val="single"/>
        </w:rPr>
      </w:pPr>
      <w:r w:rsidRPr="007B4998">
        <w:rPr>
          <w:rFonts w:cs="Arial"/>
          <w:u w:val="single"/>
        </w:rPr>
        <w:t>Adoption of documents</w:t>
      </w:r>
    </w:p>
    <w:p w:rsidR="00597533" w:rsidRDefault="00597533" w:rsidP="00597533">
      <w:pPr>
        <w:keepNext/>
        <w:rPr>
          <w:rFonts w:cs="Arial"/>
        </w:rPr>
      </w:pPr>
    </w:p>
    <w:p w:rsidR="00597533" w:rsidRDefault="00597533" w:rsidP="00597533">
      <w:pPr>
        <w:keepNext/>
        <w:rPr>
          <w:rFonts w:cs="Arial"/>
        </w:rPr>
      </w:pPr>
      <w:r w:rsidRPr="001366FC">
        <w:rPr>
          <w:rFonts w:cs="Arial"/>
        </w:rPr>
        <w:t>The Council adopted revised versions of the following documents:</w:t>
      </w:r>
    </w:p>
    <w:p w:rsidR="00597533" w:rsidRDefault="00597533" w:rsidP="00597533">
      <w:pPr>
        <w:rPr>
          <w:rFonts w:cs="Arial"/>
          <w:highlight w:val="cyan"/>
        </w:rPr>
      </w:pPr>
    </w:p>
    <w:p w:rsidR="00597533" w:rsidRPr="001366FC" w:rsidRDefault="00597533" w:rsidP="00BC08D1">
      <w:pPr>
        <w:tabs>
          <w:tab w:val="left" w:pos="2492"/>
        </w:tabs>
        <w:spacing w:after="120"/>
        <w:ind w:left="567"/>
        <w:rPr>
          <w:rFonts w:cs="Arial"/>
        </w:rPr>
      </w:pPr>
      <w:r w:rsidRPr="001366FC">
        <w:rPr>
          <w:rFonts w:cs="Arial"/>
        </w:rPr>
        <w:t>UPOV/INF/16</w:t>
      </w:r>
      <w:r w:rsidRPr="001366FC">
        <w:rPr>
          <w:rFonts w:cs="Arial"/>
        </w:rPr>
        <w:tab/>
        <w:t>E</w:t>
      </w:r>
      <w:r>
        <w:rPr>
          <w:rFonts w:cs="Arial"/>
        </w:rPr>
        <w:t>xchangeable Software</w:t>
      </w:r>
    </w:p>
    <w:p w:rsidR="00597533" w:rsidRDefault="00597533" w:rsidP="00BC08D1">
      <w:pPr>
        <w:tabs>
          <w:tab w:val="left" w:pos="2492"/>
        </w:tabs>
        <w:spacing w:after="120"/>
        <w:ind w:left="567"/>
        <w:rPr>
          <w:rFonts w:cs="Arial"/>
        </w:rPr>
      </w:pPr>
      <w:r w:rsidRPr="001366FC">
        <w:rPr>
          <w:rFonts w:cs="Arial"/>
        </w:rPr>
        <w:t>UPOV/INF/22</w:t>
      </w:r>
      <w:r w:rsidRPr="001366FC">
        <w:rPr>
          <w:rFonts w:cs="Arial"/>
        </w:rPr>
        <w:tab/>
        <w:t>Software and Equipment Used by Members of the Union</w:t>
      </w:r>
    </w:p>
    <w:p w:rsidR="00597533" w:rsidRDefault="00597533" w:rsidP="00597533">
      <w:pPr>
        <w:tabs>
          <w:tab w:val="left" w:pos="2492"/>
        </w:tabs>
        <w:ind w:left="567"/>
        <w:rPr>
          <w:rFonts w:cs="Arial"/>
        </w:rPr>
      </w:pPr>
      <w:r>
        <w:t>UPOV/INF-EXN/11</w:t>
      </w:r>
      <w:r>
        <w:tab/>
        <w:t>List of UPOV/INF-EXN Documents and Latest Issue Dates</w:t>
      </w:r>
    </w:p>
    <w:p w:rsidR="00597533" w:rsidRDefault="00597533" w:rsidP="00597533">
      <w:pPr>
        <w:ind w:left="567"/>
        <w:rPr>
          <w:rFonts w:cs="Arial"/>
          <w:highlight w:val="cyan"/>
        </w:rPr>
      </w:pPr>
    </w:p>
    <w:p w:rsidR="00597533" w:rsidRDefault="00597533" w:rsidP="00597533">
      <w:pPr>
        <w:rPr>
          <w:rFonts w:cs="Arial"/>
        </w:rPr>
      </w:pPr>
      <w:r>
        <w:rPr>
          <w:rFonts w:cs="Arial"/>
        </w:rPr>
        <w:t xml:space="preserve">All adopted documents will be published in the UPOV Collection (see </w:t>
      </w:r>
      <w:hyperlink r:id="rId12" w:history="1">
        <w:r w:rsidRPr="00F53EAA">
          <w:rPr>
            <w:rStyle w:val="Hyperlink"/>
            <w:rFonts w:cs="Arial"/>
          </w:rPr>
          <w:t>http://www.upov.int/upov_collection/en/</w:t>
        </w:r>
      </w:hyperlink>
      <w:r>
        <w:rPr>
          <w:rFonts w:cs="Arial"/>
        </w:rPr>
        <w:t>).</w:t>
      </w:r>
    </w:p>
    <w:p w:rsidR="00BC08D1" w:rsidRPr="002E4F0D" w:rsidRDefault="00BC08D1" w:rsidP="00597533">
      <w:pPr>
        <w:rPr>
          <w:rFonts w:cs="Arial"/>
        </w:rPr>
      </w:pPr>
    </w:p>
    <w:p w:rsidR="00CE6274" w:rsidRPr="00CE6274" w:rsidRDefault="00CE6274" w:rsidP="00CE6274">
      <w:pPr>
        <w:keepNext/>
        <w:rPr>
          <w:rFonts w:cs="Arial"/>
          <w:u w:val="single"/>
        </w:rPr>
      </w:pPr>
      <w:r w:rsidRPr="00CE6274">
        <w:rPr>
          <w:rFonts w:cs="Arial"/>
          <w:u w:val="single"/>
        </w:rPr>
        <w:t>Plant Variety Protection Statistics</w:t>
      </w:r>
    </w:p>
    <w:p w:rsidR="00CE6274" w:rsidRPr="00CE6274" w:rsidRDefault="00CE6274" w:rsidP="00CE6274">
      <w:pPr>
        <w:keepNext/>
        <w:autoSpaceDE w:val="0"/>
        <w:autoSpaceDN w:val="0"/>
        <w:adjustRightInd w:val="0"/>
        <w:rPr>
          <w:rFonts w:cs="Arial"/>
          <w:lang w:eastAsia="ja-JP"/>
        </w:rPr>
      </w:pPr>
    </w:p>
    <w:p w:rsidR="00CE6274" w:rsidRPr="00CE6274" w:rsidRDefault="00CE6274" w:rsidP="00CE6274">
      <w:pPr>
        <w:autoSpaceDE w:val="0"/>
        <w:autoSpaceDN w:val="0"/>
        <w:rPr>
          <w:lang w:eastAsia="ja-JP"/>
        </w:rPr>
      </w:pPr>
      <w:r w:rsidRPr="00CE6274">
        <w:rPr>
          <w:rFonts w:hint="eastAsia"/>
          <w:lang w:eastAsia="ja-JP"/>
        </w:rPr>
        <w:t>T</w:t>
      </w:r>
      <w:r w:rsidRPr="00CE6274">
        <w:t xml:space="preserve">he number of applications for plant variety protection </w:t>
      </w:r>
      <w:r w:rsidRPr="00CE6274">
        <w:rPr>
          <w:rFonts w:hint="eastAsia"/>
          <w:lang w:eastAsia="ja-JP"/>
        </w:rPr>
        <w:t xml:space="preserve">increased from </w:t>
      </w:r>
      <w:r w:rsidRPr="00CE6274">
        <w:t>1</w:t>
      </w:r>
      <w:r w:rsidRPr="00CE6274">
        <w:rPr>
          <w:rFonts w:hint="eastAsia"/>
          <w:lang w:eastAsia="ja-JP"/>
        </w:rPr>
        <w:t>5</w:t>
      </w:r>
      <w:r w:rsidRPr="00CE6274">
        <w:t>,0</w:t>
      </w:r>
      <w:r w:rsidRPr="00CE6274">
        <w:rPr>
          <w:rFonts w:hint="eastAsia"/>
          <w:lang w:eastAsia="ja-JP"/>
        </w:rPr>
        <w:t>17</w:t>
      </w:r>
      <w:r w:rsidRPr="00CE6274">
        <w:t xml:space="preserve"> in 201</w:t>
      </w:r>
      <w:r w:rsidRPr="00CE6274">
        <w:rPr>
          <w:rFonts w:hint="eastAsia"/>
          <w:lang w:eastAsia="ja-JP"/>
        </w:rPr>
        <w:t xml:space="preserve">5 to </w:t>
      </w:r>
      <w:r w:rsidRPr="00CE6274">
        <w:t>1</w:t>
      </w:r>
      <w:r w:rsidRPr="00CE6274">
        <w:rPr>
          <w:rFonts w:hint="eastAsia"/>
          <w:lang w:eastAsia="ja-JP"/>
        </w:rPr>
        <w:t>6</w:t>
      </w:r>
      <w:r w:rsidRPr="00CE6274">
        <w:t>,4</w:t>
      </w:r>
      <w:r w:rsidRPr="00CE6274">
        <w:rPr>
          <w:rFonts w:hint="eastAsia"/>
          <w:lang w:eastAsia="ja-JP"/>
        </w:rPr>
        <w:t>55</w:t>
      </w:r>
      <w:r w:rsidRPr="00CE6274">
        <w:t xml:space="preserve"> in 201</w:t>
      </w:r>
      <w:r w:rsidRPr="00CE6274">
        <w:rPr>
          <w:rFonts w:hint="eastAsia"/>
          <w:lang w:eastAsia="ja-JP"/>
        </w:rPr>
        <w:t xml:space="preserve">6 </w:t>
      </w:r>
      <w:r w:rsidRPr="00CE6274">
        <w:t>(</w:t>
      </w:r>
      <w:r w:rsidRPr="00CE6274">
        <w:rPr>
          <w:rFonts w:hint="eastAsia"/>
          <w:lang w:eastAsia="ja-JP"/>
        </w:rPr>
        <w:t>9</w:t>
      </w:r>
      <w:r w:rsidRPr="00CE6274">
        <w:t>.</w:t>
      </w:r>
      <w:r w:rsidRPr="00CE6274">
        <w:rPr>
          <w:rFonts w:hint="eastAsia"/>
          <w:lang w:eastAsia="ja-JP"/>
        </w:rPr>
        <w:t>6</w:t>
      </w:r>
      <w:r>
        <w:t> </w:t>
      </w:r>
      <w:r w:rsidRPr="00CE6274">
        <w:t xml:space="preserve">percent increase).  </w:t>
      </w:r>
    </w:p>
    <w:p w:rsidR="002040A0" w:rsidRPr="00CE6274" w:rsidRDefault="002040A0" w:rsidP="00CE6274">
      <w:pPr>
        <w:autoSpaceDE w:val="0"/>
        <w:autoSpaceDN w:val="0"/>
        <w:rPr>
          <w:lang w:eastAsia="ja-JP"/>
        </w:rPr>
      </w:pPr>
    </w:p>
    <w:p w:rsidR="00CE6274" w:rsidRPr="00CE6274" w:rsidRDefault="00CE6274" w:rsidP="00CE6274">
      <w:pPr>
        <w:autoSpaceDE w:val="0"/>
        <w:autoSpaceDN w:val="0"/>
      </w:pPr>
      <w:r w:rsidRPr="00CE6274">
        <w:t xml:space="preserve">The number of titles granted increased from </w:t>
      </w:r>
      <w:r w:rsidR="00DD7776" w:rsidRPr="00CE6274">
        <w:t>12,4</w:t>
      </w:r>
      <w:r w:rsidR="00DD7776" w:rsidRPr="00CE6274">
        <w:rPr>
          <w:rFonts w:hint="eastAsia"/>
          <w:lang w:eastAsia="ja-JP"/>
        </w:rPr>
        <w:t>09</w:t>
      </w:r>
      <w:r w:rsidR="00DD7776" w:rsidRPr="00CE6274">
        <w:t xml:space="preserve"> </w:t>
      </w:r>
      <w:r w:rsidRPr="00CE6274">
        <w:t>in 201</w:t>
      </w:r>
      <w:r w:rsidRPr="00CE6274">
        <w:rPr>
          <w:rFonts w:hint="eastAsia"/>
          <w:lang w:eastAsia="ja-JP"/>
        </w:rPr>
        <w:t>5</w:t>
      </w:r>
      <w:r w:rsidRPr="00CE6274">
        <w:t xml:space="preserve"> to </w:t>
      </w:r>
      <w:r w:rsidR="00DD7776" w:rsidRPr="00CE6274">
        <w:t>1</w:t>
      </w:r>
      <w:r w:rsidR="00DD7776" w:rsidRPr="00CE6274">
        <w:rPr>
          <w:rFonts w:hint="eastAsia"/>
          <w:lang w:eastAsia="ja-JP"/>
        </w:rPr>
        <w:t>2</w:t>
      </w:r>
      <w:r w:rsidR="00DD7776" w:rsidRPr="00CE6274">
        <w:t>,5</w:t>
      </w:r>
      <w:r w:rsidR="00DD7776" w:rsidRPr="00CE6274">
        <w:rPr>
          <w:rFonts w:hint="eastAsia"/>
          <w:lang w:eastAsia="ja-JP"/>
        </w:rPr>
        <w:t>50</w:t>
      </w:r>
      <w:r w:rsidR="00DD7776" w:rsidRPr="00CE6274">
        <w:t xml:space="preserve"> </w:t>
      </w:r>
      <w:r w:rsidRPr="00CE6274">
        <w:t>in 201</w:t>
      </w:r>
      <w:r w:rsidRPr="00CE6274">
        <w:rPr>
          <w:rFonts w:hint="eastAsia"/>
          <w:lang w:eastAsia="ja-JP"/>
        </w:rPr>
        <w:t>6</w:t>
      </w:r>
      <w:r w:rsidRPr="00CE6274">
        <w:t xml:space="preserve"> (</w:t>
      </w:r>
      <w:r w:rsidRPr="00CE6274">
        <w:rPr>
          <w:rFonts w:hint="eastAsia"/>
          <w:lang w:eastAsia="ja-JP"/>
        </w:rPr>
        <w:t>1</w:t>
      </w:r>
      <w:r w:rsidRPr="00CE6274">
        <w:t>.</w:t>
      </w:r>
      <w:r w:rsidRPr="00CE6274">
        <w:rPr>
          <w:rFonts w:hint="eastAsia"/>
          <w:lang w:eastAsia="ja-JP"/>
        </w:rPr>
        <w:t>1</w:t>
      </w:r>
      <w:r w:rsidRPr="00CE6274">
        <w:t xml:space="preserve"> percent increase).</w:t>
      </w:r>
    </w:p>
    <w:p w:rsidR="00CE6274" w:rsidRPr="00CE6274" w:rsidRDefault="00CE6274" w:rsidP="00CE6274">
      <w:pPr>
        <w:autoSpaceDE w:val="0"/>
        <w:autoSpaceDN w:val="0"/>
        <w:rPr>
          <w:lang w:eastAsia="ja-JP"/>
        </w:rPr>
      </w:pPr>
    </w:p>
    <w:p w:rsidR="00CE6274" w:rsidRDefault="00CE6274" w:rsidP="00CE6274">
      <w:pPr>
        <w:autoSpaceDE w:val="0"/>
        <w:autoSpaceDN w:val="0"/>
        <w:adjustRightInd w:val="0"/>
      </w:pPr>
      <w:r w:rsidRPr="00CE6274">
        <w:t>The total of 1</w:t>
      </w:r>
      <w:r w:rsidRPr="00CE6274">
        <w:rPr>
          <w:rFonts w:hint="eastAsia"/>
          <w:lang w:eastAsia="ja-JP"/>
        </w:rPr>
        <w:t>17</w:t>
      </w:r>
      <w:r w:rsidRPr="00CE6274">
        <w:t>,427 titles in force in 201</w:t>
      </w:r>
      <w:r w:rsidRPr="00CE6274">
        <w:rPr>
          <w:rFonts w:hint="eastAsia"/>
          <w:lang w:eastAsia="ja-JP"/>
        </w:rPr>
        <w:t>6</w:t>
      </w:r>
      <w:r w:rsidRPr="00CE6274">
        <w:t xml:space="preserve"> represented a </w:t>
      </w:r>
      <w:r w:rsidRPr="00CE6274">
        <w:rPr>
          <w:rFonts w:hint="eastAsia"/>
          <w:lang w:eastAsia="ja-JP"/>
        </w:rPr>
        <w:t>4</w:t>
      </w:r>
      <w:r w:rsidRPr="00CE6274">
        <w:t>.6 percent increase on figures for 201</w:t>
      </w:r>
      <w:r w:rsidRPr="00CE6274">
        <w:rPr>
          <w:rFonts w:hint="eastAsia"/>
          <w:lang w:eastAsia="ja-JP"/>
        </w:rPr>
        <w:t>5</w:t>
      </w:r>
      <w:r w:rsidRPr="00CE6274">
        <w:t xml:space="preserve"> (1</w:t>
      </w:r>
      <w:r w:rsidRPr="00CE6274">
        <w:rPr>
          <w:rFonts w:hint="eastAsia"/>
          <w:lang w:eastAsia="ja-JP"/>
        </w:rPr>
        <w:t>12</w:t>
      </w:r>
      <w:r w:rsidRPr="00CE6274">
        <w:t>,</w:t>
      </w:r>
      <w:r w:rsidRPr="00CE6274">
        <w:rPr>
          <w:rFonts w:hint="eastAsia"/>
          <w:lang w:eastAsia="ja-JP"/>
        </w:rPr>
        <w:t>2</w:t>
      </w:r>
      <w:r w:rsidRPr="00CE6274">
        <w:rPr>
          <w:lang w:eastAsia="ja-JP"/>
        </w:rPr>
        <w:t>15</w:t>
      </w:r>
      <w:r w:rsidRPr="00CE6274">
        <w:t>).</w:t>
      </w:r>
    </w:p>
    <w:p w:rsidR="00513D3D" w:rsidRDefault="00513D3D" w:rsidP="00CE6274">
      <w:pPr>
        <w:autoSpaceDE w:val="0"/>
        <w:autoSpaceDN w:val="0"/>
        <w:adjustRightInd w:val="0"/>
      </w:pPr>
    </w:p>
    <w:p w:rsidR="00513D3D" w:rsidRDefault="00D55EDE" w:rsidP="00CE6274">
      <w:pPr>
        <w:autoSpaceDE w:val="0"/>
        <w:autoSpaceDN w:val="0"/>
        <w:adjustRightInd w:val="0"/>
      </w:pPr>
      <w:r>
        <w:t>The following graph</w:t>
      </w:r>
      <w:r w:rsidR="00513D3D">
        <w:t xml:space="preserve"> indicate</w:t>
      </w:r>
      <w:r>
        <w:t>s</w:t>
      </w:r>
      <w:r w:rsidR="00513D3D">
        <w:t xml:space="preserve"> trends</w:t>
      </w:r>
      <w:r w:rsidR="00457EBD">
        <w:t xml:space="preserve"> in applications filed and titles granted since 1985.  Information is also provided</w:t>
      </w:r>
      <w:r w:rsidR="00513D3D">
        <w:t xml:space="preserve"> </w:t>
      </w:r>
      <w:r w:rsidR="00457EBD">
        <w:t>on the 1</w:t>
      </w:r>
      <w:r w:rsidR="00513D3D">
        <w:t>0 members of the Union receiving the largest number of applications</w:t>
      </w:r>
      <w:r w:rsidR="00997A67">
        <w:t xml:space="preserve"> in 2007, 2015 and 2016</w:t>
      </w:r>
      <w:r w:rsidR="00513D3D">
        <w:t xml:space="preserve"> and </w:t>
      </w:r>
      <w:r w:rsidR="00997A67">
        <w:t xml:space="preserve">an </w:t>
      </w:r>
      <w:r w:rsidR="00513D3D">
        <w:t>analysis of applic</w:t>
      </w:r>
      <w:r w:rsidR="00457EBD">
        <w:t xml:space="preserve">ations by </w:t>
      </w:r>
      <w:r>
        <w:t xml:space="preserve">country of </w:t>
      </w:r>
      <w:r w:rsidR="00457EBD">
        <w:t>residence of breeders for the same years</w:t>
      </w:r>
      <w:r w:rsidR="00997A67">
        <w:t>:</w:t>
      </w:r>
    </w:p>
    <w:p w:rsidR="00997A67" w:rsidRDefault="00997A67" w:rsidP="00CE6274">
      <w:pPr>
        <w:autoSpaceDE w:val="0"/>
        <w:autoSpaceDN w:val="0"/>
        <w:adjustRightInd w:val="0"/>
      </w:pPr>
    </w:p>
    <w:tbl>
      <w:tblPr>
        <w:tblW w:w="0" w:type="auto"/>
        <w:tblLook w:val="0000" w:firstRow="0" w:lastRow="0" w:firstColumn="0" w:lastColumn="0" w:noHBand="0" w:noVBand="0"/>
      </w:tblPr>
      <w:tblGrid>
        <w:gridCol w:w="9855"/>
      </w:tblGrid>
      <w:tr w:rsidR="00B21A6F">
        <w:tc>
          <w:tcPr>
            <w:tcW w:w="9855" w:type="dxa"/>
          </w:tcPr>
          <w:p w:rsidR="00B21A6F" w:rsidRDefault="00B21A6F" w:rsidP="00B21A6F">
            <w:pPr>
              <w:jc w:val="center"/>
            </w:pPr>
            <w:r>
              <w:rPr>
                <w:noProof/>
              </w:rPr>
              <w:drawing>
                <wp:inline distT="0" distB="0" distL="0" distR="0" wp14:anchorId="41BACFFE" wp14:editId="36CA2102">
                  <wp:extent cx="5025600" cy="3769200"/>
                  <wp:effectExtent l="19050" t="19050" r="22860"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a:blip r:embed="rId13">
                            <a:extLst>
                              <a:ext uri="{28A0092B-C50C-407E-A947-70E740481C1C}">
                                <a14:useLocalDpi xmlns:a14="http://schemas.microsoft.com/office/drawing/2010/main" val="0"/>
                              </a:ext>
                            </a:extLst>
                          </a:blip>
                          <a:stretch>
                            <a:fillRect/>
                          </a:stretch>
                        </pic:blipFill>
                        <pic:spPr>
                          <a:xfrm>
                            <a:off x="0" y="0"/>
                            <a:ext cx="5025600" cy="3769200"/>
                          </a:xfrm>
                          <a:prstGeom prst="rect">
                            <a:avLst/>
                          </a:prstGeom>
                          <a:ln>
                            <a:solidFill>
                              <a:schemeClr val="accent1"/>
                            </a:solidFill>
                          </a:ln>
                        </pic:spPr>
                      </pic:pic>
                    </a:graphicData>
                  </a:graphic>
                </wp:inline>
              </w:drawing>
            </w:r>
          </w:p>
        </w:tc>
      </w:tr>
      <w:tr w:rsidR="00B21A6F">
        <w:tc>
          <w:tcPr>
            <w:tcW w:w="9855" w:type="dxa"/>
          </w:tcPr>
          <w:p w:rsidR="00B21A6F" w:rsidRDefault="00B21A6F" w:rsidP="007E7836">
            <w:pPr>
              <w:rPr>
                <w:noProof/>
              </w:rPr>
            </w:pPr>
          </w:p>
        </w:tc>
      </w:tr>
      <w:tr w:rsidR="00B21A6F">
        <w:tc>
          <w:tcPr>
            <w:tcW w:w="9855" w:type="dxa"/>
          </w:tcPr>
          <w:p w:rsidR="00B21A6F" w:rsidRDefault="00B21A6F" w:rsidP="00B21A6F">
            <w:pPr>
              <w:jc w:val="center"/>
              <w:rPr>
                <w:noProof/>
              </w:rPr>
            </w:pPr>
            <w:bookmarkStart w:id="2" w:name="_GoBack"/>
            <w:bookmarkEnd w:id="2"/>
            <w:r>
              <w:rPr>
                <w:noProof/>
              </w:rPr>
              <w:drawing>
                <wp:inline distT="0" distB="0" distL="0" distR="0" wp14:anchorId="03612C7C" wp14:editId="41F453F5">
                  <wp:extent cx="5025600" cy="3769200"/>
                  <wp:effectExtent l="19050" t="19050" r="22860"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PNG"/>
                          <pic:cNvPicPr/>
                        </pic:nvPicPr>
                        <pic:blipFill>
                          <a:blip r:embed="rId14">
                            <a:extLst>
                              <a:ext uri="{28A0092B-C50C-407E-A947-70E740481C1C}">
                                <a14:useLocalDpi xmlns:a14="http://schemas.microsoft.com/office/drawing/2010/main" val="0"/>
                              </a:ext>
                            </a:extLst>
                          </a:blip>
                          <a:stretch>
                            <a:fillRect/>
                          </a:stretch>
                        </pic:blipFill>
                        <pic:spPr>
                          <a:xfrm>
                            <a:off x="0" y="0"/>
                            <a:ext cx="5025600" cy="3769200"/>
                          </a:xfrm>
                          <a:prstGeom prst="rect">
                            <a:avLst/>
                          </a:prstGeom>
                          <a:ln>
                            <a:solidFill>
                              <a:schemeClr val="accent1"/>
                            </a:solidFill>
                          </a:ln>
                        </pic:spPr>
                      </pic:pic>
                    </a:graphicData>
                  </a:graphic>
                </wp:inline>
              </w:drawing>
            </w:r>
          </w:p>
        </w:tc>
      </w:tr>
      <w:tr w:rsidR="00B21A6F">
        <w:tc>
          <w:tcPr>
            <w:tcW w:w="9855" w:type="dxa"/>
          </w:tcPr>
          <w:p w:rsidR="00B21A6F" w:rsidRDefault="00B21A6F" w:rsidP="007E7836">
            <w:pPr>
              <w:rPr>
                <w:noProof/>
              </w:rPr>
            </w:pPr>
          </w:p>
        </w:tc>
      </w:tr>
      <w:tr w:rsidR="00B21A6F">
        <w:tc>
          <w:tcPr>
            <w:tcW w:w="9855" w:type="dxa"/>
          </w:tcPr>
          <w:p w:rsidR="00B21A6F" w:rsidRDefault="00B21A6F" w:rsidP="00B21A6F">
            <w:pPr>
              <w:jc w:val="center"/>
              <w:rPr>
                <w:noProof/>
              </w:rPr>
            </w:pPr>
            <w:r>
              <w:rPr>
                <w:noProof/>
              </w:rPr>
              <w:drawing>
                <wp:inline distT="0" distB="0" distL="0" distR="0" wp14:anchorId="5545BFB6" wp14:editId="6FD87D8F">
                  <wp:extent cx="5025600" cy="3769200"/>
                  <wp:effectExtent l="19050" t="19050" r="22860" b="222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3.PNG"/>
                          <pic:cNvPicPr/>
                        </pic:nvPicPr>
                        <pic:blipFill>
                          <a:blip r:embed="rId15">
                            <a:extLst>
                              <a:ext uri="{28A0092B-C50C-407E-A947-70E740481C1C}">
                                <a14:useLocalDpi xmlns:a14="http://schemas.microsoft.com/office/drawing/2010/main" val="0"/>
                              </a:ext>
                            </a:extLst>
                          </a:blip>
                          <a:stretch>
                            <a:fillRect/>
                          </a:stretch>
                        </pic:blipFill>
                        <pic:spPr>
                          <a:xfrm>
                            <a:off x="0" y="0"/>
                            <a:ext cx="5025600" cy="3769200"/>
                          </a:xfrm>
                          <a:prstGeom prst="rect">
                            <a:avLst/>
                          </a:prstGeom>
                          <a:ln>
                            <a:solidFill>
                              <a:schemeClr val="accent1"/>
                            </a:solidFill>
                          </a:ln>
                        </pic:spPr>
                      </pic:pic>
                    </a:graphicData>
                  </a:graphic>
                </wp:inline>
              </w:drawing>
            </w:r>
          </w:p>
        </w:tc>
      </w:tr>
      <w:tr w:rsidR="00B21A6F">
        <w:tc>
          <w:tcPr>
            <w:tcW w:w="9855" w:type="dxa"/>
          </w:tcPr>
          <w:p w:rsidR="00B21A6F" w:rsidRDefault="00B21A6F" w:rsidP="007E7836">
            <w:pPr>
              <w:rPr>
                <w:noProof/>
              </w:rPr>
            </w:pPr>
          </w:p>
        </w:tc>
      </w:tr>
      <w:tr w:rsidR="00B21A6F">
        <w:tc>
          <w:tcPr>
            <w:tcW w:w="9855" w:type="dxa"/>
          </w:tcPr>
          <w:p w:rsidR="00B21A6F" w:rsidRDefault="00B21A6F" w:rsidP="00B21A6F">
            <w:pPr>
              <w:jc w:val="center"/>
              <w:rPr>
                <w:noProof/>
              </w:rPr>
            </w:pPr>
            <w:r>
              <w:rPr>
                <w:noProof/>
              </w:rPr>
              <w:drawing>
                <wp:inline distT="0" distB="0" distL="0" distR="0" wp14:anchorId="5F55CBFC" wp14:editId="797F7842">
                  <wp:extent cx="5025600" cy="3769200"/>
                  <wp:effectExtent l="19050" t="19050" r="22860" b="222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PNG"/>
                          <pic:cNvPicPr/>
                        </pic:nvPicPr>
                        <pic:blipFill>
                          <a:blip r:embed="rId16">
                            <a:extLst>
                              <a:ext uri="{28A0092B-C50C-407E-A947-70E740481C1C}">
                                <a14:useLocalDpi xmlns:a14="http://schemas.microsoft.com/office/drawing/2010/main" val="0"/>
                              </a:ext>
                            </a:extLst>
                          </a:blip>
                          <a:stretch>
                            <a:fillRect/>
                          </a:stretch>
                        </pic:blipFill>
                        <pic:spPr>
                          <a:xfrm>
                            <a:off x="0" y="0"/>
                            <a:ext cx="5025600" cy="3769200"/>
                          </a:xfrm>
                          <a:prstGeom prst="rect">
                            <a:avLst/>
                          </a:prstGeom>
                          <a:ln>
                            <a:solidFill>
                              <a:schemeClr val="accent1"/>
                            </a:solidFill>
                          </a:ln>
                        </pic:spPr>
                      </pic:pic>
                    </a:graphicData>
                  </a:graphic>
                </wp:inline>
              </w:drawing>
            </w:r>
          </w:p>
        </w:tc>
      </w:tr>
    </w:tbl>
    <w:p w:rsidR="00B21A6F" w:rsidRPr="007E7836" w:rsidRDefault="00B21A6F" w:rsidP="007E7836"/>
    <w:p w:rsidR="00CE6274" w:rsidRPr="00CE6274" w:rsidRDefault="00CE6274" w:rsidP="00CE6274">
      <w:pPr>
        <w:autoSpaceDE w:val="0"/>
        <w:autoSpaceDN w:val="0"/>
        <w:adjustRightInd w:val="0"/>
        <w:rPr>
          <w:rFonts w:cs="Arial"/>
          <w:lang w:eastAsia="ja-JP"/>
        </w:rPr>
      </w:pPr>
    </w:p>
    <w:p w:rsidR="00CE6274" w:rsidRPr="00CE6274" w:rsidRDefault="00CE6274" w:rsidP="00CE6274">
      <w:pPr>
        <w:keepNext/>
        <w:rPr>
          <w:rFonts w:cs="Arial"/>
          <w:u w:val="single"/>
        </w:rPr>
      </w:pPr>
      <w:r w:rsidRPr="00CE6274">
        <w:rPr>
          <w:rFonts w:cs="Arial"/>
          <w:u w:val="single"/>
        </w:rPr>
        <w:t>Cooperation in the Exa</w:t>
      </w:r>
      <w:r w:rsidR="001731FF">
        <w:rPr>
          <w:rFonts w:cs="Arial"/>
          <w:u w:val="single"/>
        </w:rPr>
        <w:t>mination of New Plant Varieties</w:t>
      </w:r>
    </w:p>
    <w:p w:rsidR="00CE6274" w:rsidRPr="00CE6274" w:rsidRDefault="00CE6274" w:rsidP="00CE6274">
      <w:pPr>
        <w:keepNext/>
        <w:tabs>
          <w:tab w:val="num" w:pos="1440"/>
        </w:tabs>
        <w:autoSpaceDE w:val="0"/>
        <w:autoSpaceDN w:val="0"/>
        <w:adjustRightInd w:val="0"/>
        <w:rPr>
          <w:rFonts w:cs="Arial"/>
        </w:rPr>
      </w:pPr>
    </w:p>
    <w:p w:rsidR="00CE6274" w:rsidRPr="002E4F0D" w:rsidRDefault="00CE6274" w:rsidP="00CE6274">
      <w:pPr>
        <w:keepNext/>
        <w:tabs>
          <w:tab w:val="num" w:pos="1440"/>
        </w:tabs>
        <w:autoSpaceDE w:val="0"/>
        <w:autoSpaceDN w:val="0"/>
        <w:adjustRightInd w:val="0"/>
        <w:rPr>
          <w:rFonts w:cs="Arial"/>
        </w:rPr>
      </w:pPr>
      <w:r w:rsidRPr="00CE6274">
        <w:rPr>
          <w:rFonts w:cs="Arial"/>
          <w:lang w:eastAsia="ja-JP"/>
        </w:rPr>
        <w:t>In 2016, the number of plant genera and species for which there were agreements between members of the Union for cooperation in the examination of distinctness, uniformity and stability totaled 1,971</w:t>
      </w:r>
      <w:r w:rsidRPr="00CE6274">
        <w:t>.</w:t>
      </w:r>
    </w:p>
    <w:p w:rsidR="00CE6274" w:rsidRDefault="00CE6274" w:rsidP="00CE6274">
      <w:pPr>
        <w:rPr>
          <w:rFonts w:cs="Arial"/>
        </w:rPr>
      </w:pPr>
    </w:p>
    <w:p w:rsidR="001731FF" w:rsidRDefault="001731FF">
      <w:pPr>
        <w:jc w:val="left"/>
        <w:rPr>
          <w:rFonts w:cs="Arial"/>
          <w:u w:val="single"/>
        </w:rPr>
      </w:pPr>
    </w:p>
    <w:p w:rsidR="001D560D" w:rsidRPr="001D560D" w:rsidRDefault="001D560D" w:rsidP="001D560D">
      <w:pPr>
        <w:rPr>
          <w:rFonts w:cs="Arial"/>
          <w:u w:val="single"/>
        </w:rPr>
      </w:pPr>
      <w:r w:rsidRPr="001D560D">
        <w:rPr>
          <w:rFonts w:cs="Arial"/>
          <w:u w:val="single"/>
        </w:rPr>
        <w:t>Background</w:t>
      </w:r>
    </w:p>
    <w:p w:rsidR="001D560D" w:rsidRDefault="001D560D" w:rsidP="001D560D">
      <w:pPr>
        <w:rPr>
          <w:rFonts w:cs="Arial"/>
        </w:rPr>
      </w:pPr>
    </w:p>
    <w:p w:rsidR="001D560D" w:rsidRDefault="001D560D" w:rsidP="001D560D">
      <w:pPr>
        <w:rPr>
          <w:rFonts w:cs="Arial"/>
        </w:rPr>
      </w:pPr>
      <w:r w:rsidRPr="00406361">
        <w:rPr>
          <w:rFonts w:cs="Arial"/>
        </w:rPr>
        <w:t>UPOV is an intergovernmental organ</w:t>
      </w:r>
      <w:r w:rsidR="0068319E">
        <w:rPr>
          <w:rFonts w:cs="Arial"/>
        </w:rPr>
        <w:t>ization based in Geneva, with 75 members, covering 94</w:t>
      </w:r>
      <w:r w:rsidRPr="00406361">
        <w:rPr>
          <w:rFonts w:cs="Arial"/>
        </w:rPr>
        <w:t xml:space="preserve"> States.</w:t>
      </w:r>
    </w:p>
    <w:p w:rsidR="001D560D" w:rsidRPr="00A946D5" w:rsidRDefault="001D560D" w:rsidP="001D560D">
      <w:pPr>
        <w:rPr>
          <w:rFonts w:cs="Arial"/>
        </w:rPr>
      </w:pPr>
    </w:p>
    <w:p w:rsidR="001D560D" w:rsidRPr="00A946D5" w:rsidRDefault="001D560D" w:rsidP="001D560D">
      <w:pPr>
        <w:rPr>
          <w:rFonts w:cs="Arial"/>
        </w:rPr>
      </w:pPr>
      <w:r w:rsidRPr="00A946D5">
        <w:rPr>
          <w:rFonts w:cs="Arial"/>
        </w:rPr>
        <w:t>The purpose of UPOV is to provide and promote an effective system of plant variety protection, with the aim</w:t>
      </w:r>
    </w:p>
    <w:p w:rsidR="001D560D" w:rsidRPr="00A946D5" w:rsidRDefault="001D560D" w:rsidP="001D560D">
      <w:pPr>
        <w:rPr>
          <w:rFonts w:cs="Arial"/>
        </w:rPr>
      </w:pPr>
      <w:r w:rsidRPr="00A946D5">
        <w:rPr>
          <w:rFonts w:cs="Arial"/>
        </w:rPr>
        <w:t>of encouraging the development of new varieties of plants, for the benefit of society.</w:t>
      </w:r>
    </w:p>
    <w:p w:rsidR="001D560D" w:rsidRDefault="001D560D" w:rsidP="001D560D">
      <w:pPr>
        <w:rPr>
          <w:rFonts w:cs="Arial"/>
        </w:rPr>
      </w:pPr>
    </w:p>
    <w:p w:rsidR="001D560D" w:rsidRPr="00A946D5" w:rsidRDefault="001D560D" w:rsidP="001D560D">
      <w:pPr>
        <w:rPr>
          <w:rFonts w:cs="Arial"/>
        </w:rPr>
      </w:pPr>
      <w:r w:rsidRPr="00A946D5">
        <w:rPr>
          <w:rFonts w:cs="Arial"/>
        </w:rPr>
        <w:t>The members of UPOV are:</w:t>
      </w:r>
    </w:p>
    <w:p w:rsidR="001D560D" w:rsidRDefault="001D560D" w:rsidP="001D560D">
      <w:pPr>
        <w:rPr>
          <w:rFonts w:cs="Arial"/>
        </w:rPr>
      </w:pPr>
    </w:p>
    <w:p w:rsidR="001D560D" w:rsidRPr="00A946D5" w:rsidRDefault="001D560D" w:rsidP="001D560D">
      <w:pPr>
        <w:ind w:left="567"/>
        <w:rPr>
          <w:rFonts w:cs="Arial"/>
        </w:rPr>
      </w:pPr>
      <w:r w:rsidRPr="001731FF">
        <w:rPr>
          <w:rFonts w:cs="Arial"/>
        </w:rPr>
        <w:t xml:space="preserve">African Intellectual Property Organization (OAPI), Albania, Argentina, Australia, Austria, Azerbaijan, Belarus, Belgium, Bolivia (Plurinational State of), </w:t>
      </w:r>
      <w:r w:rsidR="0068319E" w:rsidRPr="001731FF">
        <w:rPr>
          <w:rFonts w:cs="Arial"/>
        </w:rPr>
        <w:t xml:space="preserve">Bosnia and Herzegovina, </w:t>
      </w:r>
      <w:r w:rsidRPr="001731FF">
        <w:rPr>
          <w:rFonts w:cs="Arial"/>
        </w:rPr>
        <w:t>Brazil, Bulgaria, Canada</w:t>
      </w:r>
      <w:r w:rsidR="000D1194">
        <w:rPr>
          <w:rFonts w:cs="Arial"/>
        </w:rPr>
        <w:t xml:space="preserve">, Chile, China, Colombia, Costa </w:t>
      </w:r>
      <w:r w:rsidRPr="001731FF">
        <w:rPr>
          <w:rFonts w:cs="Arial"/>
        </w:rPr>
        <w:t>Rica, Croatia, Czech Republic, Denmark, Dominican Repub</w:t>
      </w:r>
      <w:r w:rsidR="000D1194">
        <w:rPr>
          <w:rFonts w:cs="Arial"/>
        </w:rPr>
        <w:t xml:space="preserve">lic, Ecuador, Estonia, European </w:t>
      </w:r>
      <w:r w:rsidRPr="001731FF">
        <w:rPr>
          <w:rFonts w:cs="Arial"/>
        </w:rPr>
        <w:t>Union, Finland, France, Georgia, Germany, Hungary, Iceland, Ireland, Israel, Italy, Japan, Jordan, Kenya, Kyrgyzstan, Latvia, Lithuania, México, Morocco, Montenegro, Netherlands, New Zealand, Nicaragua, Norway, Oman, Panama, Paraguay, Peru, Poland, Portugal, Republic of Korea, Republic of Moldova, Romania, Russian Federation, Serbia, Singa</w:t>
      </w:r>
      <w:r w:rsidR="000D1194">
        <w:rPr>
          <w:rFonts w:cs="Arial"/>
        </w:rPr>
        <w:t>pore, Slovakia, Slovenia, South </w:t>
      </w:r>
      <w:r w:rsidRPr="001731FF">
        <w:rPr>
          <w:rFonts w:cs="Arial"/>
        </w:rPr>
        <w:t xml:space="preserve">Africa, Spain, Sweden, Switzerland, the former Yugoslav </w:t>
      </w:r>
      <w:r w:rsidR="000D1194">
        <w:rPr>
          <w:rFonts w:cs="Arial"/>
        </w:rPr>
        <w:t xml:space="preserve">Republic of Macedonia, Trinidad and </w:t>
      </w:r>
      <w:r w:rsidRPr="001731FF">
        <w:rPr>
          <w:rFonts w:cs="Arial"/>
        </w:rPr>
        <w:t>Tobago, T</w:t>
      </w:r>
      <w:r w:rsidR="000D1194">
        <w:rPr>
          <w:rFonts w:cs="Arial"/>
        </w:rPr>
        <w:t xml:space="preserve">unisia, Turkey, Ukraine, United </w:t>
      </w:r>
      <w:r w:rsidRPr="001731FF">
        <w:rPr>
          <w:rFonts w:cs="Arial"/>
        </w:rPr>
        <w:t>Kingdom, Unit</w:t>
      </w:r>
      <w:r w:rsidR="001731FF">
        <w:rPr>
          <w:rFonts w:cs="Arial"/>
        </w:rPr>
        <w:t>ed Republic of Tanzania, United </w:t>
      </w:r>
      <w:r w:rsidRPr="001731FF">
        <w:rPr>
          <w:rFonts w:cs="Arial"/>
        </w:rPr>
        <w:t>States of America, Uruguay, Uzbekistan, Viet Nam.</w:t>
      </w:r>
    </w:p>
    <w:p w:rsidR="001D560D" w:rsidRDefault="001D560D" w:rsidP="001D560D">
      <w:pPr>
        <w:rPr>
          <w:rFonts w:cs="Arial"/>
        </w:rPr>
      </w:pPr>
    </w:p>
    <w:p w:rsidR="001D560D" w:rsidRPr="00A946D5" w:rsidRDefault="001D560D" w:rsidP="001D560D">
      <w:pPr>
        <w:rPr>
          <w:rFonts w:cs="Arial"/>
        </w:rPr>
      </w:pPr>
      <w:r w:rsidRPr="00A946D5">
        <w:rPr>
          <w:rFonts w:cs="Arial"/>
        </w:rPr>
        <w:t>For further information about UPOV, please contact the UPOV Secretariat:</w:t>
      </w:r>
    </w:p>
    <w:p w:rsidR="001D560D" w:rsidRPr="00770921" w:rsidRDefault="001D560D" w:rsidP="001D560D">
      <w:pPr>
        <w:rPr>
          <w:rFonts w:cs="Arial"/>
        </w:rPr>
      </w:pPr>
    </w:p>
    <w:p w:rsidR="001D560D" w:rsidRPr="00770921" w:rsidRDefault="001D560D" w:rsidP="001D560D">
      <w:pPr>
        <w:ind w:left="567"/>
        <w:rPr>
          <w:rFonts w:cs="Arial"/>
          <w:lang w:val="de-DE"/>
        </w:rPr>
      </w:pPr>
      <w:r w:rsidRPr="00770921">
        <w:rPr>
          <w:rFonts w:cs="Arial"/>
          <w:lang w:val="de-DE"/>
        </w:rPr>
        <w:t>Tel:</w:t>
      </w:r>
      <w:r w:rsidRPr="00770921">
        <w:rPr>
          <w:rFonts w:cs="Arial"/>
          <w:lang w:val="de-DE"/>
        </w:rPr>
        <w:tab/>
        <w:t xml:space="preserve">(+41-22) 338 9111 </w:t>
      </w:r>
      <w:r w:rsidRPr="00770921">
        <w:rPr>
          <w:rFonts w:cs="Arial"/>
          <w:lang w:val="de-DE"/>
        </w:rPr>
        <w:tab/>
      </w:r>
      <w:r w:rsidRPr="00770921">
        <w:rPr>
          <w:rFonts w:cs="Arial"/>
          <w:lang w:val="de-DE"/>
        </w:rPr>
        <w:tab/>
        <w:t xml:space="preserve">E-mail: </w:t>
      </w:r>
      <w:hyperlink r:id="rId17" w:history="1">
        <w:r w:rsidRPr="00770921">
          <w:rPr>
            <w:rStyle w:val="Hyperlink"/>
            <w:rFonts w:cs="Arial"/>
            <w:lang w:val="de-DE"/>
          </w:rPr>
          <w:t>upov.mail@upov.int</w:t>
        </w:r>
      </w:hyperlink>
      <w:r w:rsidRPr="00770921">
        <w:rPr>
          <w:rFonts w:cs="Arial"/>
          <w:lang w:val="de-DE"/>
        </w:rPr>
        <w:t xml:space="preserve"> </w:t>
      </w:r>
    </w:p>
    <w:p w:rsidR="001D560D" w:rsidRPr="00DD7776" w:rsidRDefault="001D560D" w:rsidP="001D560D">
      <w:pPr>
        <w:ind w:left="567"/>
      </w:pPr>
      <w:r w:rsidRPr="00DD7776">
        <w:rPr>
          <w:rFonts w:cs="Arial"/>
        </w:rPr>
        <w:t>Fax:</w:t>
      </w:r>
      <w:r w:rsidRPr="00DD7776">
        <w:rPr>
          <w:rFonts w:cs="Arial"/>
        </w:rPr>
        <w:tab/>
        <w:t xml:space="preserve">(+41-22) 733 0336 </w:t>
      </w:r>
      <w:r w:rsidRPr="00DD7776">
        <w:rPr>
          <w:rFonts w:cs="Arial"/>
        </w:rPr>
        <w:tab/>
      </w:r>
      <w:r w:rsidRPr="00DD7776">
        <w:rPr>
          <w:rFonts w:cs="Arial"/>
        </w:rPr>
        <w:tab/>
        <w:t xml:space="preserve">Website: </w:t>
      </w:r>
      <w:hyperlink r:id="rId18" w:history="1">
        <w:r w:rsidRPr="00DD7776">
          <w:rPr>
            <w:rStyle w:val="Hyperlink"/>
            <w:rFonts w:cs="Arial"/>
          </w:rPr>
          <w:t>www.upov.int</w:t>
        </w:r>
      </w:hyperlink>
      <w:r w:rsidRPr="00DD7776">
        <w:rPr>
          <w:rFonts w:cs="Arial"/>
        </w:rPr>
        <w:t xml:space="preserve"> </w:t>
      </w:r>
    </w:p>
    <w:p w:rsidR="003242E3" w:rsidRDefault="00B21A6F">
      <w:pPr>
        <w:jc w:val="left"/>
        <w:sectPr w:rsidR="003242E3" w:rsidSect="00613A7F">
          <w:headerReference w:type="default" r:id="rId19"/>
          <w:pgSz w:w="11907" w:h="16840" w:code="9"/>
          <w:pgMar w:top="510" w:right="1134" w:bottom="1134" w:left="1134" w:header="510" w:footer="680" w:gutter="0"/>
          <w:pgNumType w:start="1"/>
          <w:cols w:space="720"/>
          <w:titlePg/>
        </w:sectPr>
      </w:pPr>
      <w:r>
        <w:rPr>
          <w:rFonts w:cs="Arial"/>
          <w:noProof/>
        </w:rPr>
        <mc:AlternateContent>
          <mc:Choice Requires="wps">
            <w:drawing>
              <wp:anchor distT="0" distB="0" distL="114300" distR="114300" simplePos="0" relativeHeight="251661312" behindDoc="0" locked="0" layoutInCell="0" allowOverlap="1" wp14:anchorId="121BC14D" wp14:editId="4DD3617E">
                <wp:simplePos x="0" y="0"/>
                <wp:positionH relativeFrom="column">
                  <wp:posOffset>2767965</wp:posOffset>
                </wp:positionH>
                <wp:positionV relativeFrom="paragraph">
                  <wp:posOffset>153339</wp:posOffset>
                </wp:positionV>
                <wp:extent cx="3335655" cy="228600"/>
                <wp:effectExtent l="0" t="0" r="17145"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A6F" w:rsidRPr="009929A5" w:rsidRDefault="00B21A6F">
                            <w:pPr>
                              <w:ind w:right="53"/>
                              <w:jc w:val="right"/>
                              <w:rPr>
                                <w:rFonts w:cs="Arial"/>
                              </w:rPr>
                            </w:pPr>
                            <w:r>
                              <w:t>[</w:t>
                            </w:r>
                            <w:r w:rsidR="003242E3">
                              <w:t>Appendix</w:t>
                            </w:r>
                            <w:r>
                              <w:t xml:space="preserve"> to Press Release 112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17.95pt;margin-top:12.05pt;width:262.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99swIAALEFAAAOAAAAZHJzL2Uyb0RvYy54bWysVNuOmzAQfa/Uf7D8znIJs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" o:allowincell="f" filled="f" stroked="f">
                <v:textbox inset="0,0,0,0">
                  <w:txbxContent>
                    <w:p w:rsidR="00B21A6F" w:rsidRPr="009929A5" w:rsidRDefault="00B21A6F">
                      <w:pPr>
                        <w:ind w:right="53"/>
                        <w:jc w:val="right"/>
                        <w:rPr>
                          <w:rFonts w:cs="Arial"/>
                        </w:rPr>
                      </w:pPr>
                      <w:r>
                        <w:t>[</w:t>
                      </w:r>
                      <w:r w:rsidR="003242E3">
                        <w:t>Appendix</w:t>
                      </w:r>
                      <w:r>
                        <w:t xml:space="preserve"> to Press Release 112 follows]</w:t>
                      </w:r>
                    </w:p>
                  </w:txbxContent>
                </v:textbox>
              </v:shape>
            </w:pict>
          </mc:Fallback>
        </mc:AlternateContent>
      </w:r>
    </w:p>
    <w:p w:rsidR="002040A0" w:rsidRDefault="002040A0" w:rsidP="00B21A6F"/>
    <w:p w:rsidR="002040A0" w:rsidRDefault="003242E3" w:rsidP="002040A0">
      <w:pPr>
        <w:jc w:val="center"/>
      </w:pPr>
      <w:r>
        <w:t xml:space="preserve">APPENDIX TO PRESS RELEASE </w:t>
      </w:r>
      <w:r w:rsidR="002040A0">
        <w:t>112</w:t>
      </w:r>
    </w:p>
    <w:p w:rsidR="002040A0" w:rsidRDefault="002040A0" w:rsidP="002040A0">
      <w:pPr>
        <w:jc w:val="center"/>
      </w:pPr>
    </w:p>
    <w:p w:rsidR="00B343C3" w:rsidRDefault="00B343C3" w:rsidP="00B343C3">
      <w:pPr>
        <w:jc w:val="center"/>
        <w:rPr>
          <w:rFonts w:cs="Arial"/>
          <w:u w:val="single"/>
        </w:rPr>
      </w:pPr>
      <w:r>
        <w:rPr>
          <w:rFonts w:cs="Arial"/>
          <w:u w:val="single"/>
        </w:rPr>
        <w:t xml:space="preserve">FAQ on the </w:t>
      </w:r>
      <w:r w:rsidRPr="004678EE">
        <w:rPr>
          <w:rFonts w:cs="Arial"/>
          <w:u w:val="single"/>
        </w:rPr>
        <w:t>United Nations Sustainable Development Goals (SDGs)</w:t>
      </w:r>
    </w:p>
    <w:p w:rsidR="00B343C3" w:rsidRPr="001D417A" w:rsidRDefault="00B343C3" w:rsidP="00B343C3">
      <w:pPr>
        <w:jc w:val="center"/>
        <w:rPr>
          <w:rFonts w:cs="Arial"/>
        </w:rPr>
      </w:pPr>
    </w:p>
    <w:p w:rsidR="00B343C3" w:rsidRPr="001D417A" w:rsidRDefault="00B343C3" w:rsidP="00B343C3">
      <w:pPr>
        <w:jc w:val="center"/>
      </w:pPr>
    </w:p>
    <w:p w:rsidR="00B343C3" w:rsidRPr="001D417A" w:rsidRDefault="00B343C3" w:rsidP="00B343C3">
      <w:pPr>
        <w:rPr>
          <w:b/>
          <w:szCs w:val="18"/>
        </w:rPr>
      </w:pPr>
      <w:r w:rsidRPr="001D417A">
        <w:rPr>
          <w:b/>
          <w:szCs w:val="18"/>
        </w:rPr>
        <w:t>Question:</w:t>
      </w:r>
    </w:p>
    <w:p w:rsidR="00B343C3" w:rsidRPr="001D417A" w:rsidRDefault="00B343C3" w:rsidP="00B343C3">
      <w:pPr>
        <w:rPr>
          <w:b/>
          <w:szCs w:val="18"/>
        </w:rPr>
      </w:pPr>
    </w:p>
    <w:p w:rsidR="00B343C3" w:rsidRPr="001D417A" w:rsidRDefault="00B343C3" w:rsidP="00B343C3">
      <w:pPr>
        <w:rPr>
          <w:b/>
          <w:szCs w:val="18"/>
        </w:rPr>
      </w:pPr>
      <w:r w:rsidRPr="001D417A">
        <w:rPr>
          <w:b/>
          <w:szCs w:val="18"/>
        </w:rPr>
        <w:t>How does the UPOV system contribute to the United Nations Sustainable Development Goals (SDGs)?</w:t>
      </w:r>
    </w:p>
    <w:p w:rsidR="00B343C3" w:rsidRPr="001D417A" w:rsidRDefault="00B343C3" w:rsidP="00B343C3">
      <w:pPr>
        <w:rPr>
          <w:b/>
          <w:szCs w:val="18"/>
        </w:rPr>
      </w:pPr>
    </w:p>
    <w:p w:rsidR="00B343C3" w:rsidRPr="001D417A" w:rsidRDefault="00B343C3" w:rsidP="00B343C3">
      <w:pPr>
        <w:rPr>
          <w:szCs w:val="18"/>
        </w:rPr>
      </w:pPr>
      <w:r w:rsidRPr="001D417A">
        <w:rPr>
          <w:szCs w:val="18"/>
        </w:rPr>
        <w:t xml:space="preserve">The vision of the 2030 Agenda for Sustainable Development (see </w:t>
      </w:r>
      <w:hyperlink r:id="rId20" w:history="1">
        <w:r w:rsidRPr="001D417A">
          <w:rPr>
            <w:rStyle w:val="Hyperlink"/>
            <w:szCs w:val="18"/>
          </w:rPr>
          <w:t>http://www.un.org/sustainabledevelopment/sustainable-development-goals/</w:t>
        </w:r>
      </w:hyperlink>
      <w:r w:rsidRPr="001D417A">
        <w:rPr>
          <w:szCs w:val="18"/>
        </w:rPr>
        <w:t>) includes a world where “food is sufficient, safe, affordable and nutritious”, there is “sustained and inclusive economic growth, social development, environmental protection and the eradication of poverty and hunger” and one in “which development and the application of technology are climate-sensitive, respect biodiversity and are resilient”. The mission of UPOV is to provide and promote an effective system of plant variety protection, with the aim of encouraging the development of new varieties of plants, for the benefit of society.  The benefits that the UPOV system provides to society will be an important component in realizing the vision of the 2030 Agenda for Sustainable Development.</w:t>
      </w:r>
    </w:p>
    <w:p w:rsidR="00B343C3" w:rsidRPr="001D417A" w:rsidRDefault="00B343C3" w:rsidP="00B343C3">
      <w:pPr>
        <w:rPr>
          <w:szCs w:val="18"/>
        </w:rPr>
      </w:pPr>
    </w:p>
    <w:p w:rsidR="00B343C3" w:rsidRPr="001D417A" w:rsidRDefault="00B343C3" w:rsidP="00B343C3">
      <w:pPr>
        <w:rPr>
          <w:szCs w:val="18"/>
        </w:rPr>
      </w:pPr>
      <w:r w:rsidRPr="001D417A">
        <w:rPr>
          <w:szCs w:val="18"/>
        </w:rPr>
        <w:t xml:space="preserve">UPOV's mission is to provide and promote an effective system of plant variety protection, with the aim of encouraging the development of new varieties of plants, for the benefit of society.  In particular, new varieties of plants are an important means of responding to the challenges of a growing and increasingly urbanized population, climate change, parallel demands for food and energy production and evolving human needs.  </w:t>
      </w:r>
    </w:p>
    <w:p w:rsidR="00B343C3" w:rsidRPr="001D417A" w:rsidRDefault="00B343C3" w:rsidP="00B343C3">
      <w:pPr>
        <w:rPr>
          <w:szCs w:val="18"/>
        </w:rPr>
      </w:pPr>
    </w:p>
    <w:p w:rsidR="00B343C3" w:rsidRPr="001D417A" w:rsidRDefault="00B343C3" w:rsidP="00B343C3">
      <w:pPr>
        <w:rPr>
          <w:rFonts w:cs="Arial"/>
          <w:szCs w:val="18"/>
        </w:rPr>
      </w:pPr>
      <w:r w:rsidRPr="00462585">
        <w:rPr>
          <w:rFonts w:cs="Arial"/>
          <w:szCs w:val="18"/>
        </w:rPr>
        <w:t>The tremendous progress in agricultural productivity in various parts of the world is largely based on improved varieties, together with improved farming practices, and future food security depend on them. There is also a need to further increase food production in the years leading up to 2030. World population is anticipated to grow until 2050, and urbanization will continue. Therefore, the need for increased productivity in sustainable agricultural production will continue for the foreseeable future.  New varieties of plants with features such as improved yield, resistance to plant pests and diseases, salt and drought tolerance, or better</w:t>
      </w:r>
      <w:r w:rsidRPr="001D417A">
        <w:rPr>
          <w:rFonts w:cs="Arial"/>
          <w:szCs w:val="18"/>
        </w:rPr>
        <w:t xml:space="preserve"> adaptation to climatic stress are a key element in increasing productivity and product quality in agriculture, horticulture and forestry, whilst minimizing the pressure on the natural environment. Due to the continuous evolution of new pests and diseases as well as changes in climatic conditions and users’ needs, there is a continuous demand by farmers/growers of new plant varieties and development by breeders of such new plant varieties.</w:t>
      </w:r>
      <w:r w:rsidRPr="001D417A">
        <w:rPr>
          <w:rStyle w:val="FootnoteReference"/>
          <w:rFonts w:cs="Arial"/>
          <w:szCs w:val="18"/>
        </w:rPr>
        <w:footnoteReference w:id="2"/>
      </w:r>
    </w:p>
    <w:p w:rsidR="00B343C3" w:rsidRPr="001D417A" w:rsidRDefault="00B343C3" w:rsidP="00B343C3">
      <w:pPr>
        <w:rPr>
          <w:rFonts w:cs="Arial"/>
          <w:szCs w:val="18"/>
        </w:rPr>
      </w:pPr>
    </w:p>
    <w:p w:rsidR="00B343C3" w:rsidRPr="001D417A" w:rsidRDefault="00B343C3" w:rsidP="00B343C3">
      <w:pPr>
        <w:rPr>
          <w:szCs w:val="18"/>
        </w:rPr>
      </w:pPr>
      <w:r w:rsidRPr="001D417A">
        <w:rPr>
          <w:szCs w:val="18"/>
        </w:rPr>
        <w:t xml:space="preserve">Diversity of breeders and breeding is needed to develop new varieties that are able to respond to such a wide range of challenges.  The UPOV system of </w:t>
      </w:r>
      <w:r w:rsidRPr="001D417A">
        <w:rPr>
          <w:snapToGrid w:val="0"/>
          <w:szCs w:val="18"/>
        </w:rPr>
        <w:t>plant variety protection</w:t>
      </w:r>
      <w:r w:rsidRPr="001D417A">
        <w:rPr>
          <w:szCs w:val="18"/>
        </w:rPr>
        <w:t xml:space="preserve"> provides an effective mechanism for breeders in both the public and private sectors, and facilitates public-private partnerships.  It is a system that is equally relevant for individual breeders, SMEs and larger breeding institutes/enterprises. </w:t>
      </w:r>
      <w:r w:rsidRPr="001D417A">
        <w:rPr>
          <w:snapToGrid w:val="0"/>
          <w:szCs w:val="18"/>
        </w:rPr>
        <w:t>Plant variety protection</w:t>
      </w:r>
      <w:r w:rsidRPr="001D417A">
        <w:rPr>
          <w:szCs w:val="18"/>
        </w:rPr>
        <w:t xml:space="preserve"> supports long-term investment in breeding and provides a framework for investment in the delivery of seed and </w:t>
      </w:r>
      <w:r>
        <w:rPr>
          <w:szCs w:val="18"/>
        </w:rPr>
        <w:t>other propagating</w:t>
      </w:r>
      <w:r w:rsidRPr="001D417A">
        <w:rPr>
          <w:szCs w:val="18"/>
        </w:rPr>
        <w:t xml:space="preserve"> material of varieties suited to farmers’ needs.</w:t>
      </w:r>
    </w:p>
    <w:p w:rsidR="00B343C3" w:rsidRPr="001D417A" w:rsidRDefault="00B343C3" w:rsidP="00B343C3">
      <w:pPr>
        <w:rPr>
          <w:szCs w:val="18"/>
        </w:rPr>
      </w:pPr>
    </w:p>
    <w:p w:rsidR="00B343C3" w:rsidRPr="001D417A" w:rsidRDefault="00B343C3" w:rsidP="00B343C3">
      <w:pPr>
        <w:rPr>
          <w:rFonts w:cs="Arial"/>
          <w:szCs w:val="18"/>
        </w:rPr>
      </w:pPr>
      <w:r w:rsidRPr="001D417A">
        <w:rPr>
          <w:rFonts w:cs="Arial"/>
          <w:szCs w:val="18"/>
        </w:rPr>
        <w:t>The UPOV system encourages the development of new varieties of plants, therefore adding to diversity. The “breeder’s exemption” in the UPOV Convention enables plant diversity to be available for further breeding activities because acts done for the purpose of breeding other varieties are not subject to any restriction by the breeder. This reflects the fact that access to protected varieties contributes to sustain greatest progress in plant breeding and, thereby, to maximize the use of genetic resources for the benefit of society.</w:t>
      </w:r>
      <w:r w:rsidRPr="001D417A">
        <w:rPr>
          <w:rStyle w:val="FootnoteReference"/>
          <w:rFonts w:cs="Arial"/>
          <w:szCs w:val="18"/>
        </w:rPr>
        <w:footnoteReference w:id="3"/>
      </w:r>
    </w:p>
    <w:p w:rsidR="00B343C3" w:rsidRPr="001D417A" w:rsidRDefault="00B343C3" w:rsidP="00B343C3">
      <w:pPr>
        <w:rPr>
          <w:rFonts w:cs="Arial"/>
          <w:szCs w:val="18"/>
        </w:rPr>
      </w:pPr>
    </w:p>
    <w:p w:rsidR="00B343C3" w:rsidRPr="001D417A" w:rsidRDefault="00B343C3" w:rsidP="00B343C3">
      <w:pPr>
        <w:rPr>
          <w:rFonts w:cs="Arial"/>
          <w:szCs w:val="18"/>
        </w:rPr>
      </w:pPr>
      <w:r w:rsidRPr="001D417A">
        <w:rPr>
          <w:rFonts w:cs="Arial"/>
          <w:szCs w:val="18"/>
        </w:rPr>
        <w:t xml:space="preserve">The UPOV Report on the Impact of Plant Variety Protection (Impact Study) (see </w:t>
      </w:r>
      <w:hyperlink r:id="rId21" w:history="1">
        <w:r w:rsidRPr="001D417A">
          <w:rPr>
            <w:rStyle w:val="Hyperlink"/>
            <w:rFonts w:cs="Arial"/>
            <w:szCs w:val="18"/>
          </w:rPr>
          <w:t>http://www.upov.int/edocs/pubdocs/en/upov_pub_353.pdf</w:t>
        </w:r>
      </w:hyperlink>
      <w:r w:rsidRPr="001D417A">
        <w:rPr>
          <w:rFonts w:cs="Arial"/>
          <w:szCs w:val="18"/>
        </w:rPr>
        <w:t>) notes that membership of UPOV provide important technical assistance and facilitate opportunities for cooperation, which enables PVP to be extended to the widest range of plant genera and species in an efficient way thereby enabling the benefits to be maximized.</w:t>
      </w:r>
      <w:r w:rsidRPr="001D417A">
        <w:rPr>
          <w:rStyle w:val="FootnoteReference"/>
          <w:rFonts w:cs="Arial"/>
          <w:szCs w:val="18"/>
        </w:rPr>
        <w:footnoteReference w:id="4"/>
      </w:r>
      <w:r w:rsidRPr="001D417A">
        <w:rPr>
          <w:rFonts w:cs="Arial"/>
          <w:szCs w:val="18"/>
        </w:rPr>
        <w:t xml:space="preserve"> </w:t>
      </w:r>
    </w:p>
    <w:p w:rsidR="00B343C3" w:rsidRPr="001D417A" w:rsidRDefault="00B343C3" w:rsidP="00B343C3">
      <w:pPr>
        <w:rPr>
          <w:szCs w:val="18"/>
        </w:rPr>
      </w:pPr>
    </w:p>
    <w:p w:rsidR="00B343C3" w:rsidRPr="001D417A" w:rsidRDefault="00B343C3" w:rsidP="00B343C3">
      <w:pPr>
        <w:keepNext/>
        <w:rPr>
          <w:szCs w:val="18"/>
        </w:rPr>
      </w:pPr>
      <w:r w:rsidRPr="001D417A">
        <w:rPr>
          <w:szCs w:val="18"/>
        </w:rPr>
        <w:t>The UPOV system has particular relevance in relation to the following United Nations Sustainable Development Goals (SDGs):</w:t>
      </w:r>
    </w:p>
    <w:p w:rsidR="00B343C3" w:rsidRPr="001D417A" w:rsidRDefault="00B343C3" w:rsidP="00B343C3">
      <w:pPr>
        <w:keepNext/>
        <w:rPr>
          <w:szCs w:val="18"/>
        </w:rPr>
      </w:pPr>
    </w:p>
    <w:p w:rsidR="00B343C3" w:rsidRPr="001D417A" w:rsidRDefault="00B343C3" w:rsidP="00B343C3">
      <w:pPr>
        <w:pStyle w:val="ListParagraph"/>
        <w:numPr>
          <w:ilvl w:val="0"/>
          <w:numId w:val="5"/>
        </w:numPr>
        <w:tabs>
          <w:tab w:val="left" w:pos="567"/>
        </w:tabs>
        <w:spacing w:after="120"/>
        <w:ind w:left="1560" w:hanging="1276"/>
        <w:contextualSpacing w:val="0"/>
        <w:rPr>
          <w:szCs w:val="18"/>
        </w:rPr>
      </w:pPr>
      <w:r w:rsidRPr="001D417A">
        <w:rPr>
          <w:szCs w:val="18"/>
        </w:rPr>
        <w:t xml:space="preserve">Goal 1. </w:t>
      </w:r>
      <w:r w:rsidRPr="001D417A">
        <w:rPr>
          <w:szCs w:val="18"/>
        </w:rPr>
        <w:tab/>
        <w:t>End poverty in all its forms everywhere (Targets 1.1, 1.4, 1.5, 1.a, 1.b)</w:t>
      </w:r>
    </w:p>
    <w:p w:rsidR="00B343C3" w:rsidRPr="001D417A" w:rsidRDefault="00B343C3" w:rsidP="00B343C3">
      <w:pPr>
        <w:pStyle w:val="ListParagraph"/>
        <w:numPr>
          <w:ilvl w:val="0"/>
          <w:numId w:val="5"/>
        </w:numPr>
        <w:tabs>
          <w:tab w:val="left" w:pos="567"/>
        </w:tabs>
        <w:spacing w:after="120"/>
        <w:ind w:left="1560" w:hanging="1276"/>
        <w:contextualSpacing w:val="0"/>
        <w:rPr>
          <w:szCs w:val="18"/>
        </w:rPr>
      </w:pPr>
      <w:r w:rsidRPr="001D417A">
        <w:rPr>
          <w:szCs w:val="18"/>
        </w:rPr>
        <w:t xml:space="preserve">Goal 2. </w:t>
      </w:r>
      <w:r w:rsidRPr="001D417A">
        <w:rPr>
          <w:szCs w:val="18"/>
        </w:rPr>
        <w:tab/>
        <w:t>End hunger, achieve food security and improved nutrition and promote sustainable agriculture (Targets 2.1, 2.2, 2.3, 2.4, 2.5, 2.a)</w:t>
      </w:r>
    </w:p>
    <w:p w:rsidR="00B343C3" w:rsidRPr="001D417A" w:rsidRDefault="00B343C3" w:rsidP="00B343C3">
      <w:pPr>
        <w:pStyle w:val="ListParagraph"/>
        <w:numPr>
          <w:ilvl w:val="0"/>
          <w:numId w:val="5"/>
        </w:numPr>
        <w:tabs>
          <w:tab w:val="left" w:pos="567"/>
        </w:tabs>
        <w:spacing w:after="120"/>
        <w:ind w:left="1560" w:hanging="1276"/>
        <w:contextualSpacing w:val="0"/>
        <w:rPr>
          <w:szCs w:val="18"/>
        </w:rPr>
      </w:pPr>
      <w:r w:rsidRPr="001D417A">
        <w:rPr>
          <w:szCs w:val="18"/>
        </w:rPr>
        <w:t xml:space="preserve">Goal 9. </w:t>
      </w:r>
      <w:r w:rsidRPr="001D417A">
        <w:rPr>
          <w:szCs w:val="18"/>
        </w:rPr>
        <w:tab/>
        <w:t>Build resilient infrastructure, promote inclusive and sustainable industrialization and foster innovation (Target 9.5)</w:t>
      </w:r>
    </w:p>
    <w:p w:rsidR="00B343C3" w:rsidRPr="001D417A" w:rsidRDefault="00B343C3" w:rsidP="00B343C3">
      <w:pPr>
        <w:pStyle w:val="ListParagraph"/>
        <w:numPr>
          <w:ilvl w:val="0"/>
          <w:numId w:val="5"/>
        </w:numPr>
        <w:tabs>
          <w:tab w:val="left" w:pos="567"/>
        </w:tabs>
        <w:spacing w:after="120"/>
        <w:ind w:left="1560" w:hanging="1276"/>
        <w:contextualSpacing w:val="0"/>
        <w:rPr>
          <w:szCs w:val="18"/>
        </w:rPr>
      </w:pPr>
      <w:r w:rsidRPr="001D417A">
        <w:rPr>
          <w:szCs w:val="18"/>
        </w:rPr>
        <w:t xml:space="preserve">Goal 12. </w:t>
      </w:r>
      <w:r w:rsidRPr="001D417A">
        <w:rPr>
          <w:szCs w:val="18"/>
        </w:rPr>
        <w:tab/>
        <w:t>Ensure sustainable consumption and production patterns (Targets 12.2, 12.3, 12.4, 12.a)</w:t>
      </w:r>
    </w:p>
    <w:p w:rsidR="00B343C3" w:rsidRPr="001D417A" w:rsidRDefault="00B343C3" w:rsidP="00B343C3">
      <w:pPr>
        <w:pStyle w:val="ListParagraph"/>
        <w:numPr>
          <w:ilvl w:val="0"/>
          <w:numId w:val="5"/>
        </w:numPr>
        <w:tabs>
          <w:tab w:val="left" w:pos="567"/>
        </w:tabs>
        <w:spacing w:after="120"/>
        <w:ind w:left="1560" w:hanging="1276"/>
        <w:contextualSpacing w:val="0"/>
        <w:rPr>
          <w:szCs w:val="18"/>
        </w:rPr>
      </w:pPr>
      <w:r w:rsidRPr="001D417A">
        <w:rPr>
          <w:szCs w:val="18"/>
        </w:rPr>
        <w:t xml:space="preserve">Goal 15. </w:t>
      </w:r>
      <w:r w:rsidRPr="001D417A">
        <w:rPr>
          <w:szCs w:val="18"/>
        </w:rPr>
        <w:tab/>
        <w:t>Protect, restore and promote sustainable use of terrestrial ecosystems, sustainably manage forests, combat desertification, and halt and reverse land degradation and halt biodiversity loss (Target 15.3)</w:t>
      </w:r>
    </w:p>
    <w:p w:rsidR="00B343C3" w:rsidRPr="001D417A" w:rsidRDefault="00B343C3" w:rsidP="00B343C3">
      <w:pPr>
        <w:pStyle w:val="ListParagraph"/>
        <w:numPr>
          <w:ilvl w:val="0"/>
          <w:numId w:val="5"/>
        </w:numPr>
        <w:tabs>
          <w:tab w:val="left" w:pos="567"/>
        </w:tabs>
        <w:spacing w:after="120"/>
        <w:ind w:left="1560" w:hanging="1276"/>
        <w:contextualSpacing w:val="0"/>
        <w:rPr>
          <w:szCs w:val="18"/>
        </w:rPr>
      </w:pPr>
      <w:r w:rsidRPr="001D417A">
        <w:rPr>
          <w:szCs w:val="18"/>
        </w:rPr>
        <w:t>Goal 17.</w:t>
      </w:r>
      <w:r w:rsidRPr="001D417A">
        <w:rPr>
          <w:szCs w:val="18"/>
        </w:rPr>
        <w:tab/>
        <w:t>Strengthen the means of implementation and revitalize the global partnership for sustainable development: Systemic issues: Multi-s</w:t>
      </w:r>
      <w:r>
        <w:rPr>
          <w:szCs w:val="18"/>
        </w:rPr>
        <w:t>takeholder partnerships (Target </w:t>
      </w:r>
      <w:r w:rsidRPr="001D417A">
        <w:rPr>
          <w:szCs w:val="18"/>
        </w:rPr>
        <w:t>17.17)”.</w:t>
      </w:r>
    </w:p>
    <w:p w:rsidR="00B343C3" w:rsidRDefault="00B343C3" w:rsidP="00B343C3"/>
    <w:p w:rsidR="00B343C3" w:rsidRDefault="00B343C3" w:rsidP="00B343C3"/>
    <w:p w:rsidR="00B343C3" w:rsidRDefault="00B343C3" w:rsidP="00B343C3">
      <w:pPr>
        <w:jc w:val="left"/>
      </w:pPr>
    </w:p>
    <w:p w:rsidR="001D560D" w:rsidRPr="002E4F0D" w:rsidRDefault="001D560D" w:rsidP="001D560D"/>
    <w:p w:rsidR="001D560D" w:rsidRPr="002E4F0D" w:rsidRDefault="001D560D" w:rsidP="001D560D">
      <w:pPr>
        <w:jc w:val="right"/>
      </w:pPr>
      <w:r w:rsidRPr="002E4F0D">
        <w:t xml:space="preserve">[End of </w:t>
      </w:r>
      <w:r>
        <w:t xml:space="preserve">Annex and of </w:t>
      </w:r>
      <w:r w:rsidRPr="002E4F0D">
        <w:t>document]</w:t>
      </w:r>
    </w:p>
    <w:p w:rsidR="00050E16" w:rsidRPr="004B1215" w:rsidRDefault="00050E16" w:rsidP="004B1215"/>
    <w:p w:rsidR="00050E16" w:rsidRDefault="00050E16" w:rsidP="00050E16"/>
    <w:p w:rsidR="00544581" w:rsidRDefault="00544581">
      <w:pPr>
        <w:jc w:val="left"/>
      </w:pPr>
    </w:p>
    <w:p w:rsidR="00050E16" w:rsidRPr="00C5280D" w:rsidRDefault="00050E16" w:rsidP="009B440E">
      <w:pPr>
        <w:jc w:val="left"/>
      </w:pPr>
    </w:p>
    <w:sectPr w:rsidR="00050E16" w:rsidRPr="00C5280D" w:rsidSect="003242E3">
      <w:headerReference w:type="default" r:id="rId22"/>
      <w:headerReference w:type="first" r:id="rId2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732" w:rsidRDefault="00217732" w:rsidP="006655D3">
      <w:r>
        <w:separator/>
      </w:r>
    </w:p>
    <w:p w:rsidR="00217732" w:rsidRDefault="00217732" w:rsidP="006655D3"/>
    <w:p w:rsidR="00217732" w:rsidRDefault="00217732" w:rsidP="006655D3"/>
  </w:endnote>
  <w:endnote w:type="continuationSeparator" w:id="0">
    <w:p w:rsidR="00217732" w:rsidRDefault="00217732" w:rsidP="006655D3">
      <w:r>
        <w:separator/>
      </w:r>
    </w:p>
    <w:p w:rsidR="00217732" w:rsidRPr="00294751" w:rsidRDefault="00217732">
      <w:pPr>
        <w:pStyle w:val="Footer"/>
        <w:spacing w:after="60"/>
        <w:rPr>
          <w:sz w:val="18"/>
          <w:lang w:val="fr-FR"/>
        </w:rPr>
      </w:pPr>
      <w:r w:rsidRPr="00294751">
        <w:rPr>
          <w:sz w:val="18"/>
          <w:lang w:val="fr-FR"/>
        </w:rPr>
        <w:t>[Suite de la note de la page précédente]</w:t>
      </w:r>
    </w:p>
    <w:p w:rsidR="00217732" w:rsidRPr="00294751" w:rsidRDefault="00217732" w:rsidP="006655D3">
      <w:pPr>
        <w:rPr>
          <w:lang w:val="fr-FR"/>
        </w:rPr>
      </w:pPr>
    </w:p>
    <w:p w:rsidR="00217732" w:rsidRPr="00294751" w:rsidRDefault="00217732" w:rsidP="006655D3">
      <w:pPr>
        <w:rPr>
          <w:lang w:val="fr-FR"/>
        </w:rPr>
      </w:pPr>
    </w:p>
  </w:endnote>
  <w:endnote w:type="continuationNotice" w:id="1">
    <w:p w:rsidR="00217732" w:rsidRPr="00294751" w:rsidRDefault="00217732" w:rsidP="006655D3">
      <w:pPr>
        <w:rPr>
          <w:lang w:val="fr-FR"/>
        </w:rPr>
      </w:pPr>
      <w:r w:rsidRPr="00294751">
        <w:rPr>
          <w:lang w:val="fr-FR"/>
        </w:rPr>
        <w:t>[Suite de la note page suivante]</w:t>
      </w:r>
    </w:p>
    <w:p w:rsidR="00217732" w:rsidRPr="00294751" w:rsidRDefault="00217732" w:rsidP="006655D3">
      <w:pPr>
        <w:rPr>
          <w:lang w:val="fr-FR"/>
        </w:rPr>
      </w:pPr>
    </w:p>
    <w:p w:rsidR="00217732" w:rsidRPr="00294751" w:rsidRDefault="0021773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732" w:rsidRDefault="00217732" w:rsidP="006655D3">
      <w:r>
        <w:separator/>
      </w:r>
    </w:p>
  </w:footnote>
  <w:footnote w:type="continuationSeparator" w:id="0">
    <w:p w:rsidR="00217732" w:rsidRDefault="00217732" w:rsidP="006655D3">
      <w:r>
        <w:separator/>
      </w:r>
    </w:p>
  </w:footnote>
  <w:footnote w:type="continuationNotice" w:id="1">
    <w:p w:rsidR="00217732" w:rsidRPr="00AB530F" w:rsidRDefault="00217732" w:rsidP="00AB530F">
      <w:pPr>
        <w:pStyle w:val="Footer"/>
      </w:pPr>
    </w:p>
  </w:footnote>
  <w:footnote w:id="2">
    <w:p w:rsidR="00B343C3" w:rsidRDefault="00B343C3" w:rsidP="00B343C3">
      <w:pPr>
        <w:pStyle w:val="FootnoteText"/>
        <w:ind w:left="284" w:hanging="284"/>
      </w:pPr>
      <w:r>
        <w:rPr>
          <w:rStyle w:val="FootnoteReference"/>
        </w:rPr>
        <w:footnoteRef/>
      </w:r>
      <w:r>
        <w:tab/>
      </w:r>
      <w:hyperlink r:id="rId1" w:history="1">
        <w:r w:rsidRPr="00CC0031">
          <w:rPr>
            <w:rStyle w:val="Hyperlink"/>
          </w:rPr>
          <w:t>http://www.upov.int/about/en/faq.html</w:t>
        </w:r>
      </w:hyperlink>
      <w:r>
        <w:t xml:space="preserve"> (</w:t>
      </w:r>
      <w:r w:rsidRPr="00855B90">
        <w:t>Why do farmers and growers need new plant varieties?</w:t>
      </w:r>
      <w:r>
        <w:t>)</w:t>
      </w:r>
    </w:p>
  </w:footnote>
  <w:footnote w:id="3">
    <w:p w:rsidR="00B343C3" w:rsidRDefault="00B343C3" w:rsidP="00B343C3">
      <w:pPr>
        <w:pStyle w:val="FootnoteText"/>
        <w:ind w:left="284" w:hanging="284"/>
      </w:pPr>
      <w:r>
        <w:rPr>
          <w:rStyle w:val="FootnoteReference"/>
        </w:rPr>
        <w:footnoteRef/>
      </w:r>
      <w:r>
        <w:tab/>
      </w:r>
      <w:hyperlink r:id="rId2" w:history="1">
        <w:r w:rsidRPr="00CC0031">
          <w:rPr>
            <w:rStyle w:val="Hyperlink"/>
          </w:rPr>
          <w:t>http://www.upov.int/about/en/faq.html</w:t>
        </w:r>
      </w:hyperlink>
      <w:r>
        <w:t xml:space="preserve"> (</w:t>
      </w:r>
      <w:r w:rsidRPr="00A736B8">
        <w:t>Why does UPOV require varieties to be uniform and stable; doesn’t that lead to a loss of diversity?</w:t>
      </w:r>
      <w:r>
        <w:t>)</w:t>
      </w:r>
    </w:p>
  </w:footnote>
  <w:footnote w:id="4">
    <w:p w:rsidR="00B343C3" w:rsidRDefault="00B343C3" w:rsidP="00B343C3">
      <w:pPr>
        <w:pStyle w:val="FootnoteText"/>
        <w:ind w:left="284" w:hanging="284"/>
      </w:pPr>
      <w:r>
        <w:rPr>
          <w:rStyle w:val="FootnoteReference"/>
        </w:rPr>
        <w:footnoteRef/>
      </w:r>
      <w:r>
        <w:tab/>
      </w:r>
      <w:hyperlink r:id="rId3" w:history="1">
        <w:r w:rsidRPr="00CC0031">
          <w:rPr>
            <w:rStyle w:val="Hyperlink"/>
          </w:rPr>
          <w:t>http://www.upov.int/edocs/pubdocs/en/upov_pub_353.pdf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60D" w:rsidRPr="00C5280D" w:rsidRDefault="001D560D" w:rsidP="00EB048E">
    <w:pPr>
      <w:pStyle w:val="Header"/>
      <w:rPr>
        <w:rStyle w:val="PageNumber"/>
        <w:lang w:val="en-US"/>
      </w:rPr>
    </w:pPr>
    <w:r>
      <w:rPr>
        <w:rStyle w:val="PageNumber"/>
        <w:lang w:val="en-US"/>
      </w:rPr>
      <w:t>C/50/18 Prov.</w:t>
    </w:r>
  </w:p>
  <w:p w:rsidR="001D560D" w:rsidRPr="00C5280D" w:rsidRDefault="001D560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E0709">
      <w:rPr>
        <w:rStyle w:val="PageNumber"/>
        <w:noProof/>
        <w:lang w:val="en-US"/>
      </w:rPr>
      <w:t>3</w:t>
    </w:r>
    <w:r w:rsidRPr="00C5280D">
      <w:rPr>
        <w:rStyle w:val="PageNumber"/>
        <w:lang w:val="en-US"/>
      </w:rPr>
      <w:fldChar w:fldCharType="end"/>
    </w:r>
  </w:p>
  <w:p w:rsidR="001D560D" w:rsidRPr="00C5280D" w:rsidRDefault="001D560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3C2AA2" w:rsidP="00EB048E">
    <w:pPr>
      <w:pStyle w:val="Header"/>
      <w:rPr>
        <w:rStyle w:val="PageNumber"/>
        <w:lang w:val="en-US"/>
      </w:rPr>
    </w:pPr>
    <w:r>
      <w:rPr>
        <w:rStyle w:val="PageNumber"/>
        <w:lang w:val="en-US"/>
      </w:rPr>
      <w:t>C/51/19</w:t>
    </w:r>
    <w:r w:rsidR="00B343C3">
      <w:rPr>
        <w:rStyle w:val="PageNumber"/>
        <w:lang w:val="en-US"/>
      </w:rPr>
      <w:t xml:space="preserve"> Rev.</w:t>
    </w:r>
  </w:p>
  <w:p w:rsidR="00182B99" w:rsidRPr="00C5280D" w:rsidRDefault="00613A7F" w:rsidP="00EB048E">
    <w:pPr>
      <w:pStyle w:val="Header"/>
      <w:rPr>
        <w:lang w:val="en-US"/>
      </w:rPr>
    </w:pPr>
    <w:r>
      <w:rPr>
        <w:lang w:val="en-US"/>
      </w:rPr>
      <w:t xml:space="preserve">Annex,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321A10">
      <w:rPr>
        <w:rStyle w:val="PageNumber"/>
        <w:noProof/>
        <w:lang w:val="en-US"/>
      </w:rPr>
      <w:t>4</w:t>
    </w:r>
    <w:r w:rsidR="00182B99"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E3" w:rsidRPr="00C5280D" w:rsidRDefault="003242E3" w:rsidP="00EB048E">
    <w:pPr>
      <w:pStyle w:val="Header"/>
      <w:rPr>
        <w:rStyle w:val="PageNumber"/>
        <w:lang w:val="en-US"/>
      </w:rPr>
    </w:pPr>
    <w:r>
      <w:rPr>
        <w:rStyle w:val="PageNumber"/>
        <w:lang w:val="en-US"/>
      </w:rPr>
      <w:t>C/51/19 Rev.</w:t>
    </w:r>
  </w:p>
  <w:p w:rsidR="003242E3" w:rsidRDefault="003242E3" w:rsidP="00EB048E">
    <w:pPr>
      <w:pStyle w:val="Header"/>
      <w:rPr>
        <w:rStyle w:val="PageNumbe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1A10">
      <w:rPr>
        <w:rStyle w:val="PageNumber"/>
        <w:noProof/>
        <w:lang w:val="en-US"/>
      </w:rPr>
      <w:t>7</w:t>
    </w:r>
    <w:r w:rsidRPr="00C5280D">
      <w:rPr>
        <w:rStyle w:val="PageNumber"/>
        <w:lang w:val="en-US"/>
      </w:rPr>
      <w:fldChar w:fldCharType="end"/>
    </w:r>
  </w:p>
  <w:p w:rsidR="003242E3" w:rsidRDefault="003242E3" w:rsidP="00EB048E">
    <w:pPr>
      <w:pStyle w:val="Header"/>
      <w:rPr>
        <w:rStyle w:val="PageNumber"/>
        <w:lang w:val="en-US"/>
      </w:rPr>
    </w:pPr>
  </w:p>
  <w:p w:rsidR="003242E3" w:rsidRPr="00C5280D" w:rsidRDefault="003242E3" w:rsidP="00EB048E">
    <w:pPr>
      <w:pStyle w:val="Header"/>
      <w:rPr>
        <w:lang w:val="en-US"/>
      </w:rPr>
    </w:pPr>
    <w:r>
      <w:rPr>
        <w:rStyle w:val="PageNumber"/>
        <w:lang w:val="en-US"/>
      </w:rPr>
      <w:t>Appendix to Press Release 112, page 2</w:t>
    </w:r>
  </w:p>
  <w:p w:rsidR="003242E3" w:rsidRPr="00C5280D" w:rsidRDefault="003242E3"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E3" w:rsidRDefault="003242E3">
    <w:pPr>
      <w:pStyle w:val="Header"/>
      <w:rPr>
        <w:rStyle w:val="PageNumber"/>
        <w:lang w:val="en-US"/>
      </w:rPr>
    </w:pPr>
    <w:r>
      <w:rPr>
        <w:rStyle w:val="PageNumber"/>
        <w:lang w:val="en-US"/>
      </w:rPr>
      <w:t>C/51/19 Rev.</w:t>
    </w:r>
  </w:p>
  <w:p w:rsidR="003242E3" w:rsidRDefault="003242E3">
    <w:pPr>
      <w:pStyle w:val="Header"/>
      <w:rPr>
        <w:rStyle w:val="PageNumber"/>
        <w:noProof/>
        <w:lang w:val="en-US"/>
      </w:rPr>
    </w:pPr>
    <w:r>
      <w:rPr>
        <w:rStyle w:val="PageNumber"/>
        <w:lang w:val="en-US"/>
      </w:rPr>
      <w:t xml:space="preserve">Annex, page </w:t>
    </w:r>
    <w:r w:rsidRPr="003242E3">
      <w:rPr>
        <w:rStyle w:val="PageNumber"/>
        <w:lang w:val="en-US"/>
      </w:rPr>
      <w:fldChar w:fldCharType="begin"/>
    </w:r>
    <w:r w:rsidRPr="003242E3">
      <w:rPr>
        <w:rStyle w:val="PageNumber"/>
        <w:lang w:val="en-US"/>
      </w:rPr>
      <w:instrText xml:space="preserve"> PAGE   \* MERGEFORMAT </w:instrText>
    </w:r>
    <w:r w:rsidRPr="003242E3">
      <w:rPr>
        <w:rStyle w:val="PageNumber"/>
        <w:lang w:val="en-US"/>
      </w:rPr>
      <w:fldChar w:fldCharType="separate"/>
    </w:r>
    <w:r w:rsidR="00321A10">
      <w:rPr>
        <w:rStyle w:val="PageNumber"/>
        <w:noProof/>
        <w:lang w:val="en-US"/>
      </w:rPr>
      <w:t>6</w:t>
    </w:r>
    <w:r w:rsidRPr="003242E3">
      <w:rPr>
        <w:rStyle w:val="PageNumber"/>
        <w:noProof/>
        <w:lang w:val="en-US"/>
      </w:rPr>
      <w:fldChar w:fldCharType="end"/>
    </w:r>
  </w:p>
  <w:p w:rsidR="003242E3" w:rsidRDefault="003242E3">
    <w:pPr>
      <w:pStyle w:val="Header"/>
      <w:rPr>
        <w:rStyle w:val="PageNumbe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447FE"/>
    <w:multiLevelType w:val="hybridMultilevel"/>
    <w:tmpl w:val="35F4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8D943C2"/>
    <w:multiLevelType w:val="hybridMultilevel"/>
    <w:tmpl w:val="40321E10"/>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nsid w:val="307C313D"/>
    <w:multiLevelType w:val="hybridMultilevel"/>
    <w:tmpl w:val="77580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2552F43"/>
    <w:multiLevelType w:val="hybridMultilevel"/>
    <w:tmpl w:val="B40CAD58"/>
    <w:lvl w:ilvl="0" w:tplc="F5FED782">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4E1C4E5E"/>
    <w:multiLevelType w:val="hybridMultilevel"/>
    <w:tmpl w:val="498A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10CF3"/>
    <w:rsid w:val="00011E27"/>
    <w:rsid w:val="000148BC"/>
    <w:rsid w:val="00024AB8"/>
    <w:rsid w:val="00030854"/>
    <w:rsid w:val="00036028"/>
    <w:rsid w:val="00044642"/>
    <w:rsid w:val="000446B9"/>
    <w:rsid w:val="00047E21"/>
    <w:rsid w:val="00050E16"/>
    <w:rsid w:val="00061960"/>
    <w:rsid w:val="000778A1"/>
    <w:rsid w:val="00085505"/>
    <w:rsid w:val="00092337"/>
    <w:rsid w:val="000C4E25"/>
    <w:rsid w:val="000C7021"/>
    <w:rsid w:val="000D1194"/>
    <w:rsid w:val="000D6BBC"/>
    <w:rsid w:val="000D7780"/>
    <w:rsid w:val="000E636A"/>
    <w:rsid w:val="000F2F11"/>
    <w:rsid w:val="00105929"/>
    <w:rsid w:val="00110C36"/>
    <w:rsid w:val="001131D5"/>
    <w:rsid w:val="001366FC"/>
    <w:rsid w:val="00141DB8"/>
    <w:rsid w:val="00172084"/>
    <w:rsid w:val="001731FF"/>
    <w:rsid w:val="0017474A"/>
    <w:rsid w:val="001758C6"/>
    <w:rsid w:val="00182B99"/>
    <w:rsid w:val="00187506"/>
    <w:rsid w:val="001C1525"/>
    <w:rsid w:val="001D417A"/>
    <w:rsid w:val="001D560D"/>
    <w:rsid w:val="002040A0"/>
    <w:rsid w:val="0021332C"/>
    <w:rsid w:val="00213982"/>
    <w:rsid w:val="00214C72"/>
    <w:rsid w:val="00217732"/>
    <w:rsid w:val="00231134"/>
    <w:rsid w:val="0024416D"/>
    <w:rsid w:val="0025675D"/>
    <w:rsid w:val="00271911"/>
    <w:rsid w:val="002800A0"/>
    <w:rsid w:val="002801B3"/>
    <w:rsid w:val="00281060"/>
    <w:rsid w:val="002940E8"/>
    <w:rsid w:val="00294751"/>
    <w:rsid w:val="002A6555"/>
    <w:rsid w:val="002A6E50"/>
    <w:rsid w:val="002B4298"/>
    <w:rsid w:val="002C256A"/>
    <w:rsid w:val="002D1E3C"/>
    <w:rsid w:val="002D2B15"/>
    <w:rsid w:val="00305A7F"/>
    <w:rsid w:val="003152FE"/>
    <w:rsid w:val="00321A10"/>
    <w:rsid w:val="003242E3"/>
    <w:rsid w:val="00327436"/>
    <w:rsid w:val="00344BD6"/>
    <w:rsid w:val="0035528D"/>
    <w:rsid w:val="00361821"/>
    <w:rsid w:val="00361E9E"/>
    <w:rsid w:val="003627D0"/>
    <w:rsid w:val="0039633A"/>
    <w:rsid w:val="003C2501"/>
    <w:rsid w:val="003C2AA2"/>
    <w:rsid w:val="003C7FBE"/>
    <w:rsid w:val="003D227C"/>
    <w:rsid w:val="003D2B4D"/>
    <w:rsid w:val="003E2280"/>
    <w:rsid w:val="003F5F2B"/>
    <w:rsid w:val="003F62FC"/>
    <w:rsid w:val="00444A88"/>
    <w:rsid w:val="00457EBD"/>
    <w:rsid w:val="004678EE"/>
    <w:rsid w:val="00474DA4"/>
    <w:rsid w:val="00476B4D"/>
    <w:rsid w:val="004805FA"/>
    <w:rsid w:val="004935D2"/>
    <w:rsid w:val="004B1215"/>
    <w:rsid w:val="004D047D"/>
    <w:rsid w:val="004D26B9"/>
    <w:rsid w:val="004E0709"/>
    <w:rsid w:val="004F1E9E"/>
    <w:rsid w:val="004F305A"/>
    <w:rsid w:val="00512164"/>
    <w:rsid w:val="00513D3D"/>
    <w:rsid w:val="00520297"/>
    <w:rsid w:val="0052254C"/>
    <w:rsid w:val="0053052C"/>
    <w:rsid w:val="005338F9"/>
    <w:rsid w:val="0054281C"/>
    <w:rsid w:val="00544581"/>
    <w:rsid w:val="0055268D"/>
    <w:rsid w:val="00576BE4"/>
    <w:rsid w:val="00597533"/>
    <w:rsid w:val="005A400A"/>
    <w:rsid w:val="005C4B06"/>
    <w:rsid w:val="005F7B92"/>
    <w:rsid w:val="00604DC9"/>
    <w:rsid w:val="00612379"/>
    <w:rsid w:val="00613A7F"/>
    <w:rsid w:val="006153B6"/>
    <w:rsid w:val="0061555F"/>
    <w:rsid w:val="00636CA6"/>
    <w:rsid w:val="00641200"/>
    <w:rsid w:val="0064204E"/>
    <w:rsid w:val="00645CA8"/>
    <w:rsid w:val="00664C01"/>
    <w:rsid w:val="006655D3"/>
    <w:rsid w:val="00667404"/>
    <w:rsid w:val="0068319E"/>
    <w:rsid w:val="00687EB4"/>
    <w:rsid w:val="00695C56"/>
    <w:rsid w:val="006A5CDE"/>
    <w:rsid w:val="006A644A"/>
    <w:rsid w:val="006B17D2"/>
    <w:rsid w:val="006B1B67"/>
    <w:rsid w:val="006C224E"/>
    <w:rsid w:val="006D780A"/>
    <w:rsid w:val="00704EA5"/>
    <w:rsid w:val="0071271E"/>
    <w:rsid w:val="00732DEC"/>
    <w:rsid w:val="00735BD5"/>
    <w:rsid w:val="00740774"/>
    <w:rsid w:val="007451EC"/>
    <w:rsid w:val="00751613"/>
    <w:rsid w:val="007556F6"/>
    <w:rsid w:val="00760EEF"/>
    <w:rsid w:val="00777EE5"/>
    <w:rsid w:val="00784836"/>
    <w:rsid w:val="0079023E"/>
    <w:rsid w:val="007A2854"/>
    <w:rsid w:val="007B2767"/>
    <w:rsid w:val="007C1D92"/>
    <w:rsid w:val="007C4CB9"/>
    <w:rsid w:val="007D0B9D"/>
    <w:rsid w:val="007D19B0"/>
    <w:rsid w:val="007D4635"/>
    <w:rsid w:val="007F498F"/>
    <w:rsid w:val="0080679D"/>
    <w:rsid w:val="008108B0"/>
    <w:rsid w:val="00811B20"/>
    <w:rsid w:val="008211B5"/>
    <w:rsid w:val="0082296E"/>
    <w:rsid w:val="00824099"/>
    <w:rsid w:val="00840258"/>
    <w:rsid w:val="00846D7C"/>
    <w:rsid w:val="00867AC1"/>
    <w:rsid w:val="00872E54"/>
    <w:rsid w:val="00890DF8"/>
    <w:rsid w:val="008919F6"/>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97A67"/>
    <w:rsid w:val="009A7339"/>
    <w:rsid w:val="009B440E"/>
    <w:rsid w:val="009D690D"/>
    <w:rsid w:val="009E65B6"/>
    <w:rsid w:val="009F77CF"/>
    <w:rsid w:val="00A24C10"/>
    <w:rsid w:val="00A3365A"/>
    <w:rsid w:val="00A42AC3"/>
    <w:rsid w:val="00A430CF"/>
    <w:rsid w:val="00A47DAA"/>
    <w:rsid w:val="00A54309"/>
    <w:rsid w:val="00A95872"/>
    <w:rsid w:val="00A95DC5"/>
    <w:rsid w:val="00AB2B93"/>
    <w:rsid w:val="00AB530F"/>
    <w:rsid w:val="00AB568F"/>
    <w:rsid w:val="00AB7E5B"/>
    <w:rsid w:val="00AC2883"/>
    <w:rsid w:val="00AE0EF1"/>
    <w:rsid w:val="00AE2937"/>
    <w:rsid w:val="00B07301"/>
    <w:rsid w:val="00B11F3E"/>
    <w:rsid w:val="00B21A6F"/>
    <w:rsid w:val="00B224DE"/>
    <w:rsid w:val="00B324D4"/>
    <w:rsid w:val="00B343C3"/>
    <w:rsid w:val="00B46575"/>
    <w:rsid w:val="00B52561"/>
    <w:rsid w:val="00B61777"/>
    <w:rsid w:val="00B65BFF"/>
    <w:rsid w:val="00B84BBD"/>
    <w:rsid w:val="00BA43FB"/>
    <w:rsid w:val="00BC08D1"/>
    <w:rsid w:val="00BC127D"/>
    <w:rsid w:val="00BC1FE6"/>
    <w:rsid w:val="00BE547B"/>
    <w:rsid w:val="00C03C95"/>
    <w:rsid w:val="00C061B6"/>
    <w:rsid w:val="00C14F61"/>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5E5E"/>
    <w:rsid w:val="00CC64E0"/>
    <w:rsid w:val="00CE6274"/>
    <w:rsid w:val="00CF1330"/>
    <w:rsid w:val="00CF7E36"/>
    <w:rsid w:val="00D3708D"/>
    <w:rsid w:val="00D40426"/>
    <w:rsid w:val="00D55EDE"/>
    <w:rsid w:val="00D57C96"/>
    <w:rsid w:val="00D57D18"/>
    <w:rsid w:val="00D849D9"/>
    <w:rsid w:val="00D91203"/>
    <w:rsid w:val="00D91646"/>
    <w:rsid w:val="00D95174"/>
    <w:rsid w:val="00DA4973"/>
    <w:rsid w:val="00DA6F36"/>
    <w:rsid w:val="00DB596E"/>
    <w:rsid w:val="00DB66E1"/>
    <w:rsid w:val="00DB7773"/>
    <w:rsid w:val="00DC00EA"/>
    <w:rsid w:val="00DC3802"/>
    <w:rsid w:val="00DD15A7"/>
    <w:rsid w:val="00DD7776"/>
    <w:rsid w:val="00E07D87"/>
    <w:rsid w:val="00E32F7E"/>
    <w:rsid w:val="00E5267B"/>
    <w:rsid w:val="00E63C0E"/>
    <w:rsid w:val="00E72D49"/>
    <w:rsid w:val="00E7593C"/>
    <w:rsid w:val="00E7678A"/>
    <w:rsid w:val="00E935F1"/>
    <w:rsid w:val="00E94A81"/>
    <w:rsid w:val="00EA1FFB"/>
    <w:rsid w:val="00EB048E"/>
    <w:rsid w:val="00EB35F7"/>
    <w:rsid w:val="00EB4E9C"/>
    <w:rsid w:val="00EE34DF"/>
    <w:rsid w:val="00EF2F89"/>
    <w:rsid w:val="00F03E98"/>
    <w:rsid w:val="00F1237A"/>
    <w:rsid w:val="00F22CBD"/>
    <w:rsid w:val="00F272F1"/>
    <w:rsid w:val="00F45372"/>
    <w:rsid w:val="00F560F7"/>
    <w:rsid w:val="00F6334D"/>
    <w:rsid w:val="00F63599"/>
    <w:rsid w:val="00FA49AB"/>
    <w:rsid w:val="00FE39C7"/>
    <w:rsid w:val="00FF494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D560D"/>
    <w:pPr>
      <w:ind w:left="720"/>
      <w:contextualSpacing/>
    </w:pPr>
  </w:style>
  <w:style w:type="character" w:customStyle="1" w:styleId="DecisionParagraphsChar">
    <w:name w:val="DecisionParagraphs Char"/>
    <w:basedOn w:val="DefaultParagraphFont"/>
    <w:link w:val="DecisionParagraphs"/>
    <w:rsid w:val="001D560D"/>
    <w:rPr>
      <w:rFonts w:ascii="Arial" w:hAnsi="Arial"/>
      <w:i/>
    </w:rPr>
  </w:style>
  <w:style w:type="table" w:styleId="TableGrid">
    <w:name w:val="Table Grid"/>
    <w:basedOn w:val="TableNormal"/>
    <w:rsid w:val="001D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31134"/>
    <w:rPr>
      <w:rFonts w:ascii="Arial" w:hAnsi="Arial"/>
      <w:u w:val="single"/>
    </w:rPr>
  </w:style>
  <w:style w:type="character" w:styleId="FollowedHyperlink">
    <w:name w:val="FollowedHyperlink"/>
    <w:basedOn w:val="DefaultParagraphFont"/>
    <w:rsid w:val="00187506"/>
    <w:rPr>
      <w:color w:val="800080" w:themeColor="followedHyperlink"/>
      <w:u w:val="single"/>
    </w:rPr>
  </w:style>
  <w:style w:type="character" w:customStyle="1" w:styleId="FootnoteTextChar">
    <w:name w:val="Footnote Text Char"/>
    <w:basedOn w:val="DefaultParagraphFont"/>
    <w:link w:val="FootnoteText"/>
    <w:rsid w:val="001D417A"/>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D560D"/>
    <w:pPr>
      <w:ind w:left="720"/>
      <w:contextualSpacing/>
    </w:pPr>
  </w:style>
  <w:style w:type="character" w:customStyle="1" w:styleId="DecisionParagraphsChar">
    <w:name w:val="DecisionParagraphs Char"/>
    <w:basedOn w:val="DefaultParagraphFont"/>
    <w:link w:val="DecisionParagraphs"/>
    <w:rsid w:val="001D560D"/>
    <w:rPr>
      <w:rFonts w:ascii="Arial" w:hAnsi="Arial"/>
      <w:i/>
    </w:rPr>
  </w:style>
  <w:style w:type="table" w:styleId="TableGrid">
    <w:name w:val="Table Grid"/>
    <w:basedOn w:val="TableNormal"/>
    <w:rsid w:val="001D5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31134"/>
    <w:rPr>
      <w:rFonts w:ascii="Arial" w:hAnsi="Arial"/>
      <w:u w:val="single"/>
    </w:rPr>
  </w:style>
  <w:style w:type="character" w:styleId="FollowedHyperlink">
    <w:name w:val="FollowedHyperlink"/>
    <w:basedOn w:val="DefaultParagraphFont"/>
    <w:rsid w:val="00187506"/>
    <w:rPr>
      <w:color w:val="800080" w:themeColor="followedHyperlink"/>
      <w:u w:val="single"/>
    </w:rPr>
  </w:style>
  <w:style w:type="character" w:customStyle="1" w:styleId="FootnoteTextChar">
    <w:name w:val="Footnote Text Char"/>
    <w:basedOn w:val="DefaultParagraphFont"/>
    <w:link w:val="FootnoteText"/>
    <w:rsid w:val="001D417A"/>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upov.int" TargetMode="External"/><Relationship Id="rId3" Type="http://schemas.microsoft.com/office/2007/relationships/stylesWithEffects" Target="stylesWithEffects.xml"/><Relationship Id="rId21" Type="http://schemas.openxmlformats.org/officeDocument/2006/relationships/hyperlink" Target="http://www.upov.int/edocs/pubdocs/en/upov_pub_353.pdf" TargetMode="External"/><Relationship Id="rId7" Type="http://schemas.openxmlformats.org/officeDocument/2006/relationships/endnotes" Target="endnotes.xml"/><Relationship Id="rId12" Type="http://schemas.openxmlformats.org/officeDocument/2006/relationships/hyperlink" Target="http://www.upov.int/upov_collection/en/" TargetMode="External"/><Relationship Id="rId17" Type="http://schemas.openxmlformats.org/officeDocument/2006/relationships/hyperlink" Target="mailto:upov.mail@upov.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un.org/sustainabledevelopment/sustainable-development-goal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upoveaf/en/index.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4.xml"/><Relationship Id="rId10" Type="http://schemas.openxmlformats.org/officeDocument/2006/relationships/hyperlink" Target="http://www.upov.int/about/en/faq.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edocs/pubdocs/en/upov_pub_353.pdf" TargetMode="External"/><Relationship Id="rId2" Type="http://schemas.openxmlformats.org/officeDocument/2006/relationships/hyperlink" Target="http://www.upov.int/about/en/faq.html" TargetMode="External"/><Relationship Id="rId1" Type="http://schemas.openxmlformats.org/officeDocument/2006/relationships/hyperlink" Target="http://www.upov.int/about/en/faq.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21</TotalTime>
  <Pages>8</Pages>
  <Words>1967</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lastModifiedBy>BESSE Ariane</cp:lastModifiedBy>
  <cp:revision>13</cp:revision>
  <cp:lastPrinted>2017-10-26T17:12:00Z</cp:lastPrinted>
  <dcterms:created xsi:type="dcterms:W3CDTF">2017-10-26T10:38:00Z</dcterms:created>
  <dcterms:modified xsi:type="dcterms:W3CDTF">2017-10-26T17:12:00Z</dcterms:modified>
</cp:coreProperties>
</file>