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760057">
        <w:trPr>
          <w:trHeight w:val="1760"/>
        </w:trPr>
        <w:tc>
          <w:tcPr>
            <w:tcW w:w="3993" w:type="dxa"/>
          </w:tcPr>
          <w:p w:rsidR="0067078A" w:rsidRPr="00C5280D" w:rsidRDefault="0067078A" w:rsidP="00760057">
            <w:bookmarkStart w:id="0" w:name="TitleOfDoc"/>
            <w:bookmarkEnd w:id="0"/>
          </w:p>
        </w:tc>
        <w:tc>
          <w:tcPr>
            <w:tcW w:w="1549" w:type="dxa"/>
            <w:vAlign w:val="center"/>
          </w:tcPr>
          <w:p w:rsidR="0067078A" w:rsidRPr="00D34521" w:rsidRDefault="0067078A" w:rsidP="00760057">
            <w:pPr>
              <w:pStyle w:val="LogoUPOV"/>
            </w:pPr>
            <w:r w:rsidRPr="00D34521">
              <w:rPr>
                <w:noProof/>
              </w:rPr>
              <w:drawing>
                <wp:inline distT="0" distB="0" distL="0" distR="0" wp14:anchorId="0D161279" wp14:editId="22CF5B1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D34521" w:rsidRDefault="0067078A" w:rsidP="00760057">
            <w:pPr>
              <w:pStyle w:val="Lettrine"/>
            </w:pPr>
            <w:r w:rsidRPr="00D34521">
              <w:t>E</w:t>
            </w:r>
          </w:p>
          <w:p w:rsidR="0067078A" w:rsidRPr="00D34521" w:rsidRDefault="002521B6" w:rsidP="00760057">
            <w:pPr>
              <w:pStyle w:val="Docoriginal"/>
            </w:pPr>
            <w:r w:rsidRPr="00D34521">
              <w:t>C/49</w:t>
            </w:r>
            <w:r w:rsidR="0067078A" w:rsidRPr="00D34521">
              <w:t>/</w:t>
            </w:r>
            <w:bookmarkStart w:id="1" w:name="Code"/>
            <w:bookmarkEnd w:id="1"/>
            <w:r w:rsidR="003E7EC7" w:rsidRPr="00D34521">
              <w:t>3</w:t>
            </w:r>
          </w:p>
          <w:p w:rsidR="0067078A" w:rsidRPr="00D34521" w:rsidRDefault="0067078A" w:rsidP="00760057">
            <w:pPr>
              <w:pStyle w:val="Docoriginal"/>
              <w:rPr>
                <w:b w:val="0"/>
                <w:spacing w:val="0"/>
              </w:rPr>
            </w:pPr>
            <w:r w:rsidRPr="00D34521">
              <w:rPr>
                <w:rStyle w:val="StyleDoclangBold"/>
                <w:b/>
                <w:bCs/>
                <w:spacing w:val="0"/>
              </w:rPr>
              <w:t>ORIGINAL:</w:t>
            </w:r>
            <w:r w:rsidRPr="00D34521">
              <w:rPr>
                <w:rStyle w:val="StyleDocoriginalNotBold1"/>
                <w:spacing w:val="0"/>
              </w:rPr>
              <w:t xml:space="preserve"> </w:t>
            </w:r>
            <w:r w:rsidRPr="00D34521">
              <w:t xml:space="preserve"> </w:t>
            </w:r>
            <w:bookmarkStart w:id="2" w:name="Original"/>
            <w:bookmarkEnd w:id="2"/>
            <w:r w:rsidRPr="00D34521">
              <w:rPr>
                <w:b w:val="0"/>
                <w:spacing w:val="0"/>
              </w:rPr>
              <w:t>English</w:t>
            </w:r>
          </w:p>
          <w:p w:rsidR="0067078A" w:rsidRPr="00C5280D" w:rsidRDefault="0067078A" w:rsidP="00D34521">
            <w:pPr>
              <w:pStyle w:val="Docoriginal"/>
            </w:pPr>
            <w:r w:rsidRPr="00D34521">
              <w:t xml:space="preserve">DATE: </w:t>
            </w:r>
            <w:r w:rsidRPr="00D34521">
              <w:rPr>
                <w:rStyle w:val="StyleDocoriginalNotBold1"/>
                <w:spacing w:val="0"/>
              </w:rPr>
              <w:t xml:space="preserve"> </w:t>
            </w:r>
            <w:bookmarkStart w:id="3" w:name="Date"/>
            <w:bookmarkEnd w:id="3"/>
            <w:r w:rsidR="00BD05D3" w:rsidRPr="00D34521">
              <w:rPr>
                <w:b w:val="0"/>
                <w:spacing w:val="0"/>
              </w:rPr>
              <w:t xml:space="preserve">October </w:t>
            </w:r>
            <w:r w:rsidR="00D34521" w:rsidRPr="00D34521">
              <w:rPr>
                <w:b w:val="0"/>
                <w:spacing w:val="0"/>
              </w:rPr>
              <w:t>6</w:t>
            </w:r>
            <w:r w:rsidRPr="00D34521">
              <w:rPr>
                <w:b w:val="0"/>
                <w:spacing w:val="0"/>
              </w:rPr>
              <w:t>, 201</w:t>
            </w:r>
            <w:r w:rsidR="002521B6" w:rsidRPr="00D34521">
              <w:rPr>
                <w:b w:val="0"/>
                <w:spacing w:val="0"/>
              </w:rPr>
              <w:t>5</w:t>
            </w:r>
          </w:p>
        </w:tc>
      </w:tr>
      <w:tr w:rsidR="0067078A" w:rsidRPr="00C5280D" w:rsidTr="00760057">
        <w:tc>
          <w:tcPr>
            <w:tcW w:w="9534" w:type="dxa"/>
            <w:gridSpan w:val="3"/>
          </w:tcPr>
          <w:p w:rsidR="0067078A" w:rsidRPr="00C5280D" w:rsidRDefault="0067078A" w:rsidP="00760057">
            <w:pPr>
              <w:pStyle w:val="upove"/>
              <w:rPr>
                <w:sz w:val="28"/>
              </w:rPr>
            </w:pPr>
            <w:r w:rsidRPr="00C5280D">
              <w:rPr>
                <w:snapToGrid w:val="0"/>
              </w:rPr>
              <w:t xml:space="preserve">INTERNATIONAL UNION FOR THE PROTECTION OF NEW VARIETIES OF PLANTS </w:t>
            </w:r>
          </w:p>
        </w:tc>
      </w:tr>
      <w:tr w:rsidR="0067078A" w:rsidRPr="00C5280D" w:rsidTr="00760057">
        <w:tc>
          <w:tcPr>
            <w:tcW w:w="9534" w:type="dxa"/>
            <w:gridSpan w:val="3"/>
          </w:tcPr>
          <w:p w:rsidR="0067078A" w:rsidRPr="00C5280D" w:rsidRDefault="0067078A" w:rsidP="00760057">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3E7EC7" w:rsidP="006655D3">
      <w:pPr>
        <w:pStyle w:val="Titleofdoc0"/>
      </w:pPr>
      <w:r w:rsidRPr="002510B5">
        <w:t>Report on activities during the first nine months of 201</w:t>
      </w:r>
      <w:r>
        <w:t>5</w:t>
      </w:r>
    </w:p>
    <w:p w:rsidR="000D7780" w:rsidRPr="00C5280D" w:rsidRDefault="0061555F" w:rsidP="006655D3">
      <w:pPr>
        <w:pStyle w:val="preparedby1"/>
      </w:pPr>
      <w:bookmarkStart w:id="4" w:name="Prepared"/>
      <w:bookmarkEnd w:id="4"/>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085D3C" w:rsidRPr="00774AF8" w:rsidRDefault="00085D3C" w:rsidP="00085D3C">
      <w:pPr>
        <w:rPr>
          <w:u w:val="single"/>
        </w:rPr>
      </w:pPr>
      <w:r w:rsidRPr="00774AF8">
        <w:rPr>
          <w:u w:val="single"/>
        </w:rPr>
        <w:t>Table of contents</w:t>
      </w:r>
    </w:p>
    <w:p w:rsidR="00085D3C" w:rsidRPr="00774AF8" w:rsidRDefault="00085D3C" w:rsidP="00085D3C"/>
    <w:p w:rsidR="00EB6093" w:rsidRDefault="00085D3C">
      <w:pPr>
        <w:pStyle w:val="TOC1"/>
        <w:rPr>
          <w:rFonts w:asciiTheme="minorHAnsi" w:eastAsiaTheme="minorEastAsia" w:hAnsiTheme="minorHAnsi" w:cstheme="minorBidi"/>
          <w:caps w:val="0"/>
          <w:sz w:val="22"/>
          <w:szCs w:val="22"/>
        </w:rPr>
      </w:pPr>
      <w:r>
        <w:rPr>
          <w:szCs w:val="22"/>
          <w:highlight w:val="cyan"/>
        </w:rPr>
        <w:fldChar w:fldCharType="begin"/>
      </w:r>
      <w:r>
        <w:rPr>
          <w:szCs w:val="22"/>
          <w:highlight w:val="cyan"/>
        </w:rPr>
        <w:instrText xml:space="preserve"> TOC \o "1-2" </w:instrText>
      </w:r>
      <w:r>
        <w:rPr>
          <w:szCs w:val="22"/>
          <w:highlight w:val="cyan"/>
        </w:rPr>
        <w:fldChar w:fldCharType="separate"/>
      </w:r>
      <w:r w:rsidR="00EB6093">
        <w:t>I.</w:t>
      </w:r>
      <w:r w:rsidR="00EB6093">
        <w:rPr>
          <w:rFonts w:asciiTheme="minorHAnsi" w:eastAsiaTheme="minorEastAsia" w:hAnsiTheme="minorHAnsi" w:cstheme="minorBidi"/>
          <w:caps w:val="0"/>
          <w:sz w:val="22"/>
          <w:szCs w:val="22"/>
        </w:rPr>
        <w:tab/>
      </w:r>
      <w:r w:rsidR="00EB6093">
        <w:t>COMPOSITION OF THE UNION</w:t>
      </w:r>
      <w:r w:rsidR="00EB6093">
        <w:tab/>
      </w:r>
      <w:r w:rsidR="00EB6093">
        <w:fldChar w:fldCharType="begin"/>
      </w:r>
      <w:r w:rsidR="00EB6093">
        <w:instrText xml:space="preserve"> PAGEREF _Toc431820603 \h </w:instrText>
      </w:r>
      <w:r w:rsidR="00EB6093">
        <w:fldChar w:fldCharType="separate"/>
      </w:r>
      <w:r w:rsidR="005F278F">
        <w:t>2</w:t>
      </w:r>
      <w:r w:rsidR="00EB6093">
        <w:fldChar w:fldCharType="end"/>
      </w:r>
    </w:p>
    <w:p w:rsidR="00EB6093" w:rsidRDefault="00EB6093">
      <w:pPr>
        <w:pStyle w:val="TOC2"/>
        <w:rPr>
          <w:rFonts w:asciiTheme="minorHAnsi" w:eastAsiaTheme="minorEastAsia" w:hAnsiTheme="minorHAnsi" w:cstheme="minorBidi"/>
          <w:sz w:val="22"/>
          <w:szCs w:val="22"/>
        </w:rPr>
      </w:pPr>
      <w:r>
        <w:t>Members</w:t>
      </w:r>
      <w:r>
        <w:tab/>
      </w:r>
      <w:r>
        <w:fldChar w:fldCharType="begin"/>
      </w:r>
      <w:r>
        <w:instrText xml:space="preserve"> PAGEREF _Toc431820604 \h </w:instrText>
      </w:r>
      <w:r>
        <w:fldChar w:fldCharType="separate"/>
      </w:r>
      <w:r w:rsidR="005F278F">
        <w:t>2</w:t>
      </w:r>
      <w:r>
        <w:fldChar w:fldCharType="end"/>
      </w:r>
    </w:p>
    <w:p w:rsidR="00EB6093" w:rsidRDefault="00EB6093">
      <w:pPr>
        <w:pStyle w:val="TOC2"/>
        <w:rPr>
          <w:rFonts w:asciiTheme="minorHAnsi" w:eastAsiaTheme="minorEastAsia" w:hAnsiTheme="minorHAnsi" w:cstheme="minorBidi"/>
          <w:sz w:val="22"/>
          <w:szCs w:val="22"/>
        </w:rPr>
      </w:pPr>
      <w:r>
        <w:t>Situation in Relation to the Various Acts of the Convention</w:t>
      </w:r>
      <w:r>
        <w:tab/>
      </w:r>
      <w:r>
        <w:fldChar w:fldCharType="begin"/>
      </w:r>
      <w:r>
        <w:instrText xml:space="preserve"> PAGEREF _Toc431820605 \h </w:instrText>
      </w:r>
      <w:r>
        <w:fldChar w:fldCharType="separate"/>
      </w:r>
      <w:r w:rsidR="005F278F">
        <w:t>2</w:t>
      </w:r>
      <w:r>
        <w:fldChar w:fldCharType="end"/>
      </w:r>
    </w:p>
    <w:p w:rsidR="00EB6093" w:rsidRDefault="00EB6093">
      <w:pPr>
        <w:pStyle w:val="TOC2"/>
        <w:rPr>
          <w:rFonts w:asciiTheme="minorHAnsi" w:eastAsiaTheme="minorEastAsia" w:hAnsiTheme="minorHAnsi" w:cstheme="minorBidi"/>
          <w:sz w:val="22"/>
          <w:szCs w:val="22"/>
        </w:rPr>
      </w:pPr>
      <w:r>
        <w:t>States/Organizations that have initiated the procedure to become a member of the Union</w:t>
      </w:r>
      <w:r>
        <w:tab/>
      </w:r>
      <w:r>
        <w:fldChar w:fldCharType="begin"/>
      </w:r>
      <w:r>
        <w:instrText xml:space="preserve"> PAGEREF _Toc431820606 \h </w:instrText>
      </w:r>
      <w:r>
        <w:fldChar w:fldCharType="separate"/>
      </w:r>
      <w:r w:rsidR="005F278F">
        <w:t>2</w:t>
      </w:r>
      <w:r>
        <w:fldChar w:fldCharType="end"/>
      </w:r>
    </w:p>
    <w:p w:rsidR="00EB6093" w:rsidRDefault="00EB6093">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SESSIONS OF THE COUNCIL AND ITS SUBSIDIARY BODIES</w:t>
      </w:r>
      <w:r>
        <w:tab/>
      </w:r>
      <w:r>
        <w:fldChar w:fldCharType="begin"/>
      </w:r>
      <w:r>
        <w:instrText xml:space="preserve"> PAGEREF _Toc431820607 \h </w:instrText>
      </w:r>
      <w:r>
        <w:fldChar w:fldCharType="separate"/>
      </w:r>
      <w:r w:rsidR="005F278F">
        <w:t>3</w:t>
      </w:r>
      <w:r>
        <w:fldChar w:fldCharType="end"/>
      </w:r>
    </w:p>
    <w:p w:rsidR="00EB6093" w:rsidRDefault="00EB6093">
      <w:pPr>
        <w:pStyle w:val="TOC2"/>
        <w:rPr>
          <w:rFonts w:asciiTheme="minorHAnsi" w:eastAsiaTheme="minorEastAsia" w:hAnsiTheme="minorHAnsi" w:cstheme="minorBidi"/>
          <w:sz w:val="22"/>
          <w:szCs w:val="22"/>
        </w:rPr>
      </w:pPr>
      <w:r>
        <w:t>Council</w:t>
      </w:r>
      <w:r>
        <w:tab/>
      </w:r>
      <w:r>
        <w:fldChar w:fldCharType="begin"/>
      </w:r>
      <w:r>
        <w:instrText xml:space="preserve"> PAGEREF _Toc431820608 \h </w:instrText>
      </w:r>
      <w:r>
        <w:fldChar w:fldCharType="separate"/>
      </w:r>
      <w:r w:rsidR="005F278F">
        <w:t>3</w:t>
      </w:r>
      <w:r>
        <w:fldChar w:fldCharType="end"/>
      </w:r>
    </w:p>
    <w:p w:rsidR="00EB6093" w:rsidRDefault="00EB6093">
      <w:pPr>
        <w:pStyle w:val="TOC2"/>
        <w:rPr>
          <w:rFonts w:asciiTheme="minorHAnsi" w:eastAsiaTheme="minorEastAsia" w:hAnsiTheme="minorHAnsi" w:cstheme="minorBidi"/>
          <w:sz w:val="22"/>
          <w:szCs w:val="22"/>
        </w:rPr>
      </w:pPr>
      <w:r>
        <w:t>Consultative Committee</w:t>
      </w:r>
      <w:r>
        <w:tab/>
      </w:r>
      <w:r>
        <w:fldChar w:fldCharType="begin"/>
      </w:r>
      <w:r>
        <w:instrText xml:space="preserve"> PAGEREF _Toc431820609 \h </w:instrText>
      </w:r>
      <w:r>
        <w:fldChar w:fldCharType="separate"/>
      </w:r>
      <w:r w:rsidR="005F278F">
        <w:t>3</w:t>
      </w:r>
      <w:r>
        <w:fldChar w:fldCharType="end"/>
      </w:r>
    </w:p>
    <w:p w:rsidR="00EB6093" w:rsidRDefault="00EB6093">
      <w:pPr>
        <w:pStyle w:val="TOC2"/>
        <w:rPr>
          <w:rFonts w:asciiTheme="minorHAnsi" w:eastAsiaTheme="minorEastAsia" w:hAnsiTheme="minorHAnsi" w:cstheme="minorBidi"/>
          <w:sz w:val="22"/>
          <w:szCs w:val="22"/>
        </w:rPr>
      </w:pPr>
      <w:r>
        <w:t>Administrative and Legal Committee, Technical Committee, Technical Working Parties and Working Group on Biochemical and Molecular Techniques, and DNA-Profiling in Particular</w:t>
      </w:r>
      <w:r>
        <w:tab/>
      </w:r>
      <w:r>
        <w:fldChar w:fldCharType="begin"/>
      </w:r>
      <w:r>
        <w:instrText xml:space="preserve"> PAGEREF _Toc431820610 \h </w:instrText>
      </w:r>
      <w:r>
        <w:fldChar w:fldCharType="separate"/>
      </w:r>
      <w:r w:rsidR="005F278F">
        <w:t>5</w:t>
      </w:r>
      <w:r>
        <w:fldChar w:fldCharType="end"/>
      </w:r>
    </w:p>
    <w:p w:rsidR="00EB6093" w:rsidRDefault="00EB6093">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COURSES, SEMINARS, WORKSHOPS, MISSIONS, IMPORTANT CONTACTS</w:t>
      </w:r>
      <w:r>
        <w:tab/>
      </w:r>
      <w:r>
        <w:fldChar w:fldCharType="begin"/>
      </w:r>
      <w:r>
        <w:instrText xml:space="preserve"> PAGEREF _Toc431820611 \h </w:instrText>
      </w:r>
      <w:r>
        <w:fldChar w:fldCharType="separate"/>
      </w:r>
      <w:r w:rsidR="005F278F">
        <w:t>5</w:t>
      </w:r>
      <w:r>
        <w:fldChar w:fldCharType="end"/>
      </w:r>
    </w:p>
    <w:p w:rsidR="00EB6093" w:rsidRDefault="00EB6093">
      <w:pPr>
        <w:pStyle w:val="TOC2"/>
        <w:rPr>
          <w:rFonts w:asciiTheme="minorHAnsi" w:eastAsiaTheme="minorEastAsia" w:hAnsiTheme="minorHAnsi" w:cstheme="minorBidi"/>
          <w:sz w:val="22"/>
          <w:szCs w:val="22"/>
        </w:rPr>
      </w:pPr>
      <w:r>
        <w:t>Individual activities</w:t>
      </w:r>
      <w:r>
        <w:tab/>
      </w:r>
      <w:r>
        <w:fldChar w:fldCharType="begin"/>
      </w:r>
      <w:r>
        <w:instrText xml:space="preserve"> PAGEREF _Toc431820612 \h </w:instrText>
      </w:r>
      <w:r>
        <w:fldChar w:fldCharType="separate"/>
      </w:r>
      <w:r w:rsidR="005F278F">
        <w:t>5</w:t>
      </w:r>
      <w:r>
        <w:fldChar w:fldCharType="end"/>
      </w:r>
    </w:p>
    <w:p w:rsidR="00EB6093" w:rsidRDefault="00EB6093">
      <w:pPr>
        <w:pStyle w:val="TOC2"/>
        <w:rPr>
          <w:rFonts w:asciiTheme="minorHAnsi" w:eastAsiaTheme="minorEastAsia" w:hAnsiTheme="minorHAnsi" w:cstheme="minorBidi"/>
          <w:sz w:val="22"/>
          <w:szCs w:val="22"/>
        </w:rPr>
      </w:pPr>
      <w:r>
        <w:t>Distance Learning Courses</w:t>
      </w:r>
      <w:r>
        <w:tab/>
      </w:r>
      <w:r>
        <w:fldChar w:fldCharType="begin"/>
      </w:r>
      <w:r>
        <w:instrText xml:space="preserve"> PAGEREF _Toc431820613 \h </w:instrText>
      </w:r>
      <w:r>
        <w:fldChar w:fldCharType="separate"/>
      </w:r>
      <w:r w:rsidR="005F278F">
        <w:t>9</w:t>
      </w:r>
      <w:r>
        <w:fldChar w:fldCharType="end"/>
      </w:r>
    </w:p>
    <w:p w:rsidR="00EB6093" w:rsidRDefault="00EB6093">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RELATIONS WITH STATES AND ORGANIZATIONS</w:t>
      </w:r>
      <w:r>
        <w:tab/>
      </w:r>
      <w:r>
        <w:fldChar w:fldCharType="begin"/>
      </w:r>
      <w:r>
        <w:instrText xml:space="preserve"> PAGEREF _Toc431820614 \h </w:instrText>
      </w:r>
      <w:r>
        <w:fldChar w:fldCharType="separate"/>
      </w:r>
      <w:r w:rsidR="005F278F">
        <w:t>10</w:t>
      </w:r>
      <w:r>
        <w:fldChar w:fldCharType="end"/>
      </w:r>
    </w:p>
    <w:p w:rsidR="00EB6093" w:rsidRDefault="00EB6093">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PUBLICATIONS</w:t>
      </w:r>
      <w:r>
        <w:tab/>
      </w:r>
      <w:r>
        <w:fldChar w:fldCharType="begin"/>
      </w:r>
      <w:r>
        <w:instrText xml:space="preserve"> PAGEREF _Toc431820615 \h </w:instrText>
      </w:r>
      <w:r>
        <w:fldChar w:fldCharType="separate"/>
      </w:r>
      <w:r w:rsidR="005F278F">
        <w:t>10</w:t>
      </w:r>
      <w:r>
        <w:fldChar w:fldCharType="end"/>
      </w:r>
    </w:p>
    <w:p w:rsidR="00085D3C" w:rsidRDefault="00085D3C" w:rsidP="00085D3C">
      <w:pPr>
        <w:rPr>
          <w:noProof/>
        </w:rPr>
      </w:pPr>
      <w:r>
        <w:rPr>
          <w:noProof/>
          <w:highlight w:val="cyan"/>
        </w:rPr>
        <w:fldChar w:fldCharType="end"/>
      </w:r>
    </w:p>
    <w:p w:rsidR="00085D3C" w:rsidRPr="005A45FA" w:rsidRDefault="00085D3C" w:rsidP="00085D3C">
      <w:r w:rsidRPr="005A45FA">
        <w:t xml:space="preserve">ANNEX </w:t>
      </w:r>
      <w:proofErr w:type="gramStart"/>
      <w:r w:rsidRPr="005A45FA">
        <w:t>I</w:t>
      </w:r>
      <w:proofErr w:type="gramEnd"/>
      <w:r w:rsidRPr="005A45FA">
        <w:t>:</w:t>
      </w:r>
      <w:r w:rsidRPr="005A45FA">
        <w:tab/>
        <w:t>Members of the Union</w:t>
      </w:r>
    </w:p>
    <w:p w:rsidR="00085D3C" w:rsidRDefault="00085D3C" w:rsidP="00085D3C"/>
    <w:p w:rsidR="00085D3C" w:rsidRDefault="00085D3C" w:rsidP="00085D3C">
      <w:r w:rsidRPr="00621F87">
        <w:t>ANNEX II:</w:t>
      </w:r>
      <w:r w:rsidRPr="00621F87">
        <w:tab/>
      </w:r>
      <w:r w:rsidR="001A5F89" w:rsidRPr="00621F87">
        <w:t>Participation in the</w:t>
      </w:r>
      <w:r w:rsidRPr="00621F87">
        <w:t xml:space="preserve"> UPOV Distance Learning Courses</w:t>
      </w:r>
    </w:p>
    <w:p w:rsidR="00085D3C" w:rsidRDefault="00085D3C" w:rsidP="00085D3C"/>
    <w:p w:rsidR="00085D3C" w:rsidRPr="005A45FA" w:rsidRDefault="00085D3C" w:rsidP="00085D3C">
      <w:r w:rsidRPr="003726EC">
        <w:rPr>
          <w:noProof/>
        </w:rPr>
        <w:t>Appendix:</w:t>
      </w:r>
      <w:r w:rsidRPr="003726EC">
        <w:rPr>
          <w:noProof/>
        </w:rPr>
        <w:tab/>
        <w:t>Acronyms and abbreviations</w:t>
      </w:r>
    </w:p>
    <w:p w:rsidR="00085D3C" w:rsidRDefault="00085D3C" w:rsidP="00085D3C">
      <w:pPr>
        <w:jc w:val="left"/>
        <w:rPr>
          <w:noProof/>
        </w:rPr>
      </w:pPr>
      <w:r>
        <w:rPr>
          <w:noProof/>
        </w:rPr>
        <w:br w:type="page"/>
      </w:r>
    </w:p>
    <w:p w:rsidR="00085D3C" w:rsidRPr="00A35CC2" w:rsidRDefault="00085D3C" w:rsidP="00085D3C">
      <w:pPr>
        <w:pStyle w:val="Heading1"/>
      </w:pPr>
      <w:bookmarkStart w:id="5" w:name="_Toc431820603"/>
      <w:r w:rsidRPr="00A35CC2">
        <w:lastRenderedPageBreak/>
        <w:t>I.</w:t>
      </w:r>
      <w:r w:rsidRPr="00A35CC2">
        <w:tab/>
        <w:t>COMPOSITION OF THE UNION</w:t>
      </w:r>
      <w:bookmarkEnd w:id="5"/>
    </w:p>
    <w:p w:rsidR="00085D3C" w:rsidRPr="00A35CC2" w:rsidRDefault="00085D3C" w:rsidP="00085D3C"/>
    <w:p w:rsidR="00085D3C" w:rsidRPr="00A35CC2" w:rsidRDefault="00085D3C" w:rsidP="00085D3C">
      <w:pPr>
        <w:pStyle w:val="Heading2"/>
      </w:pPr>
      <w:bookmarkStart w:id="6" w:name="_Toc431820604"/>
      <w:r w:rsidRPr="00A35CC2">
        <w:t>Members</w:t>
      </w:r>
      <w:bookmarkEnd w:id="6"/>
    </w:p>
    <w:p w:rsidR="00085D3C" w:rsidRPr="00A35CC2" w:rsidRDefault="00085D3C" w:rsidP="00085D3C"/>
    <w:p w:rsidR="00085D3C" w:rsidRPr="00446C1F" w:rsidRDefault="00085D3C" w:rsidP="00085D3C">
      <w:r w:rsidRPr="00446C1F">
        <w:fldChar w:fldCharType="begin"/>
      </w:r>
      <w:r w:rsidRPr="00446C1F">
        <w:instrText xml:space="preserve"> AUTONUM  </w:instrText>
      </w:r>
      <w:r w:rsidRPr="00446C1F">
        <w:fldChar w:fldCharType="end"/>
      </w:r>
      <w:r w:rsidRPr="00446C1F">
        <w:tab/>
        <w:t xml:space="preserve">As of September 30, 2015, the Union comprised </w:t>
      </w:r>
      <w:r w:rsidR="00621F87" w:rsidRPr="00446C1F">
        <w:t>73</w:t>
      </w:r>
      <w:r w:rsidRPr="00446C1F">
        <w:t xml:space="preserve"> members:  African Intellectual Property Organization, Albania, Argentina, Australia, Austria, Azerbaijan, Belarus, Belgium, Bolivia (</w:t>
      </w:r>
      <w:proofErr w:type="spellStart"/>
      <w:r w:rsidRPr="00446C1F">
        <w:t>Plurinational</w:t>
      </w:r>
      <w:proofErr w:type="spellEnd"/>
      <w:r w:rsidRPr="00446C1F">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w:t>
      </w:r>
      <w:r w:rsidR="00621F87" w:rsidRPr="00446C1F">
        <w:t xml:space="preserve">Montenegro, </w:t>
      </w:r>
      <w:r w:rsidRPr="00446C1F">
        <w:t>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States of America, Uruguay, Uzbekistan and Viet Nam.</w:t>
      </w:r>
    </w:p>
    <w:p w:rsidR="00085D3C" w:rsidRPr="00446C1F" w:rsidRDefault="00085D3C" w:rsidP="00085D3C"/>
    <w:p w:rsidR="00085D3C" w:rsidRPr="00446C1F" w:rsidRDefault="00085D3C" w:rsidP="00085D3C"/>
    <w:p w:rsidR="00085D3C" w:rsidRPr="00446C1F" w:rsidRDefault="00085D3C" w:rsidP="00085D3C">
      <w:pPr>
        <w:pStyle w:val="Heading2"/>
      </w:pPr>
      <w:bookmarkStart w:id="7" w:name="_Toc431820605"/>
      <w:r w:rsidRPr="00446C1F">
        <w:t>Situation in Relation to the Various Acts of the Convention</w:t>
      </w:r>
      <w:bookmarkEnd w:id="7"/>
    </w:p>
    <w:p w:rsidR="00085D3C" w:rsidRPr="00446C1F" w:rsidRDefault="00085D3C" w:rsidP="00085D3C">
      <w:pPr>
        <w:keepNext/>
      </w:pPr>
    </w:p>
    <w:p w:rsidR="00C10E03" w:rsidRPr="00446C1F" w:rsidRDefault="00C10E03" w:rsidP="00C10E03">
      <w:r w:rsidRPr="00446C1F">
        <w:fldChar w:fldCharType="begin"/>
      </w:r>
      <w:r w:rsidRPr="00446C1F">
        <w:instrText xml:space="preserve"> AUTONUM  </w:instrText>
      </w:r>
      <w:r w:rsidRPr="00446C1F">
        <w:fldChar w:fldCharType="end"/>
      </w:r>
      <w:r w:rsidRPr="00446C1F">
        <w:tab/>
        <w:t xml:space="preserve">On September 30, 2015, the situation of the members of the Union in relation to the Convention and its various Acts was as follows: </w:t>
      </w:r>
    </w:p>
    <w:p w:rsidR="00C10E03" w:rsidRPr="00446C1F" w:rsidRDefault="00C10E03" w:rsidP="00085D3C"/>
    <w:p w:rsidR="00C10E03" w:rsidRPr="00446C1F" w:rsidRDefault="00C10E03" w:rsidP="00085D3C">
      <w:r w:rsidRPr="00446C1F">
        <w:tab/>
        <w:t>(a)</w:t>
      </w:r>
      <w:r w:rsidRPr="00446C1F">
        <w:tab/>
      </w:r>
      <w:proofErr w:type="gramStart"/>
      <w:r w:rsidRPr="00446C1F">
        <w:t>one</w:t>
      </w:r>
      <w:proofErr w:type="gramEnd"/>
      <w:r w:rsidRPr="00446C1F">
        <w:t xml:space="preserve"> member was bound by the 1961 Convention as amended by the 1972 Act;</w:t>
      </w:r>
    </w:p>
    <w:p w:rsidR="00C10E03" w:rsidRPr="00446C1F" w:rsidRDefault="00C10E03" w:rsidP="00085D3C"/>
    <w:p w:rsidR="00C10E03" w:rsidRPr="00446C1F" w:rsidRDefault="00C10E03" w:rsidP="00085D3C">
      <w:r w:rsidRPr="00446C1F">
        <w:tab/>
        <w:t>(b)</w:t>
      </w:r>
      <w:r w:rsidRPr="00446C1F">
        <w:tab/>
        <w:t>1</w:t>
      </w:r>
      <w:r w:rsidR="0079586E" w:rsidRPr="00446C1F">
        <w:t>8</w:t>
      </w:r>
      <w:r w:rsidRPr="00446C1F">
        <w:t xml:space="preserve"> members were bound by the 1978 Act;</w:t>
      </w:r>
    </w:p>
    <w:p w:rsidR="00C10E03" w:rsidRPr="00446C1F" w:rsidRDefault="00C10E03" w:rsidP="00085D3C"/>
    <w:p w:rsidR="00085D3C" w:rsidRPr="00446C1F" w:rsidRDefault="00C10E03" w:rsidP="00085D3C">
      <w:r w:rsidRPr="00446C1F">
        <w:tab/>
        <w:t>(c)</w:t>
      </w:r>
      <w:r w:rsidRPr="00446C1F">
        <w:tab/>
      </w:r>
      <w:r w:rsidR="0079586E" w:rsidRPr="00446C1F">
        <w:t>5</w:t>
      </w:r>
      <w:r w:rsidR="00255BB4" w:rsidRPr="00446C1F">
        <w:t>4</w:t>
      </w:r>
      <w:r w:rsidR="00085D3C" w:rsidRPr="00446C1F">
        <w:t xml:space="preserve"> members were bound by the 1991 Act as of September 30, 201</w:t>
      </w:r>
      <w:r w:rsidRPr="00446C1F">
        <w:t>5</w:t>
      </w:r>
      <w:r w:rsidR="00085D3C" w:rsidRPr="00446C1F">
        <w:t>.</w:t>
      </w:r>
    </w:p>
    <w:p w:rsidR="00085D3C" w:rsidRPr="00446C1F" w:rsidRDefault="00085D3C" w:rsidP="00085D3C"/>
    <w:p w:rsidR="00085D3C" w:rsidRPr="00A35CC2" w:rsidRDefault="00085D3C" w:rsidP="00085D3C">
      <w:r w:rsidRPr="00446C1F">
        <w:fldChar w:fldCharType="begin"/>
      </w:r>
      <w:r w:rsidRPr="00446C1F">
        <w:instrText xml:space="preserve"> AUTONUM  </w:instrText>
      </w:r>
      <w:r w:rsidRPr="00446C1F">
        <w:fldChar w:fldCharType="end"/>
      </w:r>
      <w:r w:rsidRPr="00446C1F">
        <w:tab/>
        <w:t>Annex I provides the status of the members of the Union in relation to the Convention and its various Acts, as of September 30, 201</w:t>
      </w:r>
      <w:r w:rsidR="00C10E03" w:rsidRPr="00446C1F">
        <w:t>5</w:t>
      </w:r>
      <w:r w:rsidRPr="00446C1F">
        <w:t>.</w:t>
      </w:r>
    </w:p>
    <w:p w:rsidR="00085D3C" w:rsidRDefault="00085D3C" w:rsidP="00085D3C"/>
    <w:p w:rsidR="00085D3C" w:rsidRPr="00A35CC2" w:rsidRDefault="00085D3C" w:rsidP="00085D3C"/>
    <w:p w:rsidR="00085D3C" w:rsidRPr="006054BD" w:rsidRDefault="00085D3C" w:rsidP="00085D3C">
      <w:pPr>
        <w:pStyle w:val="Heading2"/>
      </w:pPr>
      <w:bookmarkStart w:id="8" w:name="_Toc431820606"/>
      <w:r w:rsidRPr="008305DF">
        <w:t>States/Organizations that have initiated the procedure to become a member of the Union</w:t>
      </w:r>
      <w:bookmarkEnd w:id="8"/>
    </w:p>
    <w:p w:rsidR="00085D3C" w:rsidRPr="006054BD" w:rsidRDefault="00085D3C" w:rsidP="00085D3C">
      <w:pPr>
        <w:keepNext/>
      </w:pPr>
    </w:p>
    <w:p w:rsidR="00085D3C" w:rsidRPr="000E1BD6" w:rsidRDefault="00085D3C" w:rsidP="00085D3C">
      <w:r w:rsidRPr="000E1BD6">
        <w:fldChar w:fldCharType="begin"/>
      </w:r>
      <w:r w:rsidRPr="000E1BD6">
        <w:instrText xml:space="preserve"> AUTONUM  </w:instrText>
      </w:r>
      <w:r w:rsidRPr="000E1BD6">
        <w:fldChar w:fldCharType="end"/>
      </w:r>
      <w:r w:rsidRPr="000E1BD6">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085D3C" w:rsidRPr="000E1BD6" w:rsidRDefault="00085D3C" w:rsidP="00085D3C"/>
    <w:p w:rsidR="00760057" w:rsidRDefault="00085D3C" w:rsidP="00085D3C">
      <w:r w:rsidRPr="001F2580">
        <w:fldChar w:fldCharType="begin"/>
      </w:r>
      <w:r w:rsidRPr="001F2580">
        <w:instrText xml:space="preserve"> AUTONUM  </w:instrText>
      </w:r>
      <w:r w:rsidRPr="001F2580">
        <w:fldChar w:fldCharType="end"/>
      </w:r>
      <w:r w:rsidRPr="001F2580">
        <w:tab/>
      </w:r>
      <w:r w:rsidR="00760057" w:rsidRPr="00E52A99">
        <w:rPr>
          <w:rFonts w:cs="Arial"/>
        </w:rPr>
        <w:t xml:space="preserve">By letter dated </w:t>
      </w:r>
      <w:r w:rsidR="00760057">
        <w:t>November 3</w:t>
      </w:r>
      <w:r w:rsidR="00760057" w:rsidRPr="00805D54">
        <w:t>, 201</w:t>
      </w:r>
      <w:r w:rsidR="00760057">
        <w:t>4</w:t>
      </w:r>
      <w:r w:rsidR="00760057" w:rsidRPr="00E52A99">
        <w:rPr>
          <w:rFonts w:cs="Arial"/>
        </w:rPr>
        <w:t xml:space="preserve">, </w:t>
      </w:r>
      <w:r w:rsidR="00760057">
        <w:rPr>
          <w:rFonts w:cs="Arial"/>
        </w:rPr>
        <w:t>Egypt</w:t>
      </w:r>
      <w:r w:rsidR="00760057" w:rsidRPr="00E52A99">
        <w:rPr>
          <w:rFonts w:cs="Arial"/>
        </w:rPr>
        <w:t xml:space="preserve"> requested the examination of the </w:t>
      </w:r>
      <w:r w:rsidR="00760057">
        <w:rPr>
          <w:rFonts w:cs="Arial"/>
        </w:rPr>
        <w:t>“Draft provisions of Book </w:t>
      </w:r>
      <w:r w:rsidR="00760057" w:rsidRPr="00044B90">
        <w:rPr>
          <w:rFonts w:cs="Arial"/>
        </w:rPr>
        <w:t>Four</w:t>
      </w:r>
      <w:r w:rsidR="00760057">
        <w:rPr>
          <w:rFonts w:cs="Arial"/>
        </w:rPr>
        <w:t xml:space="preserve"> ‘Plant Variety Protection’ </w:t>
      </w:r>
      <w:r w:rsidR="00760057" w:rsidRPr="00044B90">
        <w:rPr>
          <w:rFonts w:cs="Arial"/>
        </w:rPr>
        <w:t xml:space="preserve">of Law </w:t>
      </w:r>
      <w:r w:rsidR="00760057">
        <w:rPr>
          <w:rFonts w:cs="Arial"/>
        </w:rPr>
        <w:t xml:space="preserve">No. </w:t>
      </w:r>
      <w:r w:rsidR="00760057" w:rsidRPr="00044B90">
        <w:rPr>
          <w:rFonts w:cs="Arial"/>
        </w:rPr>
        <w:t xml:space="preserve">82 </w:t>
      </w:r>
      <w:r w:rsidR="00760057">
        <w:rPr>
          <w:rFonts w:cs="Arial"/>
        </w:rPr>
        <w:t xml:space="preserve">of </w:t>
      </w:r>
      <w:r w:rsidR="00760057" w:rsidRPr="00044B90">
        <w:rPr>
          <w:rFonts w:cs="Arial"/>
        </w:rPr>
        <w:t>2002</w:t>
      </w:r>
      <w:r w:rsidR="00760057">
        <w:rPr>
          <w:rFonts w:cs="Arial"/>
        </w:rPr>
        <w:t xml:space="preserve"> Pertaining to the Protection of Intellectual Property Rights” (“Draft Law”) for conformity with the 1991 Act of the UPOV </w:t>
      </w:r>
      <w:r w:rsidR="00760057" w:rsidRPr="00E52A99">
        <w:rPr>
          <w:rFonts w:cs="Arial"/>
        </w:rPr>
        <w:t>Convention.</w:t>
      </w:r>
    </w:p>
    <w:p w:rsidR="00760057" w:rsidRDefault="00760057" w:rsidP="00085D3C"/>
    <w:p w:rsidR="00085D3C" w:rsidRPr="00446C1F" w:rsidRDefault="00085D3C" w:rsidP="00085D3C">
      <w:r w:rsidRPr="00446C1F">
        <w:fldChar w:fldCharType="begin"/>
      </w:r>
      <w:r w:rsidRPr="00446C1F">
        <w:instrText xml:space="preserve"> AUTONUM  </w:instrText>
      </w:r>
      <w:r w:rsidRPr="00446C1F">
        <w:fldChar w:fldCharType="end"/>
      </w:r>
      <w:r w:rsidRPr="00446C1F">
        <w:tab/>
        <w:t>At its thirty-</w:t>
      </w:r>
      <w:r w:rsidR="00760057" w:rsidRPr="00446C1F">
        <w:t>second</w:t>
      </w:r>
      <w:r w:rsidRPr="00446C1F">
        <w:t xml:space="preserve"> extraordinary session, held in Geneva on </w:t>
      </w:r>
      <w:r w:rsidR="00760057" w:rsidRPr="00446C1F">
        <w:t>March 27</w:t>
      </w:r>
      <w:r w:rsidRPr="00446C1F">
        <w:t>, 201</w:t>
      </w:r>
      <w:r w:rsidR="00760057" w:rsidRPr="00446C1F">
        <w:t>5</w:t>
      </w:r>
      <w:r w:rsidRPr="00446C1F">
        <w:t xml:space="preserve">, the Council examined the conformity of the </w:t>
      </w:r>
      <w:r w:rsidR="00760057" w:rsidRPr="00446C1F">
        <w:rPr>
          <w:rFonts w:cs="Arial"/>
        </w:rPr>
        <w:t>Draft Law of Egypt</w:t>
      </w:r>
      <w:r w:rsidRPr="00446C1F">
        <w:t xml:space="preserve"> with the 1991 Act of the UPOV Convention.</w:t>
      </w:r>
    </w:p>
    <w:p w:rsidR="00085D3C" w:rsidRPr="00446C1F" w:rsidRDefault="00085D3C" w:rsidP="00085D3C"/>
    <w:p w:rsidR="00085D3C" w:rsidRPr="00446C1F" w:rsidRDefault="00085D3C" w:rsidP="00085D3C">
      <w:pPr>
        <w:rPr>
          <w:rFonts w:cs="Arial"/>
        </w:rPr>
      </w:pPr>
      <w:r w:rsidRPr="00446C1F">
        <w:fldChar w:fldCharType="begin"/>
      </w:r>
      <w:r w:rsidRPr="00446C1F">
        <w:instrText xml:space="preserve"> AUTONUM  </w:instrText>
      </w:r>
      <w:r w:rsidRPr="00446C1F">
        <w:fldChar w:fldCharType="end"/>
      </w:r>
      <w:r w:rsidRPr="00446C1F">
        <w:tab/>
        <w:t xml:space="preserve">The </w:t>
      </w:r>
      <w:r w:rsidRPr="00446C1F">
        <w:rPr>
          <w:rFonts w:cs="Arial"/>
        </w:rPr>
        <w:t>Council decided to:</w:t>
      </w:r>
    </w:p>
    <w:p w:rsidR="00085D3C" w:rsidRPr="00446C1F" w:rsidRDefault="00085D3C" w:rsidP="00085D3C">
      <w:pPr>
        <w:rPr>
          <w:rFonts w:cs="Arial"/>
        </w:rPr>
      </w:pPr>
    </w:p>
    <w:p w:rsidR="00760057" w:rsidRPr="00760057" w:rsidRDefault="00760057" w:rsidP="00AF1E06">
      <w:pPr>
        <w:keepNext/>
        <w:spacing w:after="120"/>
        <w:ind w:left="567"/>
        <w:rPr>
          <w:sz w:val="18"/>
        </w:rPr>
      </w:pPr>
      <w:r w:rsidRPr="00446C1F">
        <w:rPr>
          <w:sz w:val="18"/>
        </w:rPr>
        <w:tab/>
        <w:t>“(</w:t>
      </w:r>
      <w:proofErr w:type="gramStart"/>
      <w:r w:rsidRPr="00446C1F">
        <w:rPr>
          <w:sz w:val="18"/>
        </w:rPr>
        <w:t>a</w:t>
      </w:r>
      <w:proofErr w:type="gramEnd"/>
      <w:r w:rsidRPr="00446C1F">
        <w:rPr>
          <w:sz w:val="18"/>
        </w:rPr>
        <w:t>)</w:t>
      </w:r>
      <w:r w:rsidRPr="00446C1F">
        <w:rPr>
          <w:sz w:val="18"/>
        </w:rPr>
        <w:tab/>
        <w:t>note the analysis in document C(</w:t>
      </w:r>
      <w:proofErr w:type="spellStart"/>
      <w:r w:rsidRPr="00446C1F">
        <w:rPr>
          <w:sz w:val="18"/>
        </w:rPr>
        <w:t>Extr</w:t>
      </w:r>
      <w:proofErr w:type="spellEnd"/>
      <w:r w:rsidRPr="00446C1F">
        <w:rPr>
          <w:sz w:val="18"/>
        </w:rPr>
        <w:t>.)/32/3;</w:t>
      </w:r>
    </w:p>
    <w:p w:rsidR="00760057" w:rsidRPr="00760057" w:rsidRDefault="00760057" w:rsidP="00AF1E06">
      <w:pPr>
        <w:spacing w:after="120"/>
        <w:ind w:left="567"/>
        <w:rPr>
          <w:sz w:val="18"/>
        </w:rPr>
      </w:pPr>
      <w:r w:rsidRPr="00760057">
        <w:rPr>
          <w:sz w:val="18"/>
        </w:rPr>
        <w:tab/>
      </w:r>
      <w:r>
        <w:rPr>
          <w:sz w:val="18"/>
        </w:rPr>
        <w:t>“</w:t>
      </w:r>
      <w:r w:rsidRPr="00760057">
        <w:rPr>
          <w:sz w:val="18"/>
        </w:rPr>
        <w:t>(b)</w:t>
      </w:r>
      <w:r w:rsidRPr="00760057">
        <w:rPr>
          <w:sz w:val="18"/>
        </w:rPr>
        <w:tab/>
        <w:t>note the information provided by the Delegation of Egypt that the English translation of the Draft Law required verification and that the following corrections would be made to the translation in accordance with the original text of the Draft Law:</w:t>
      </w:r>
    </w:p>
    <w:p w:rsidR="00760057" w:rsidRPr="00760057" w:rsidRDefault="00760057" w:rsidP="00AF1E06">
      <w:pPr>
        <w:spacing w:after="120"/>
        <w:ind w:left="567" w:firstLine="567"/>
        <w:rPr>
          <w:sz w:val="18"/>
        </w:rPr>
      </w:pPr>
      <w:r w:rsidRPr="00760057">
        <w:rPr>
          <w:sz w:val="18"/>
        </w:rPr>
        <w:tab/>
        <w:t>(</w:t>
      </w:r>
      <w:proofErr w:type="spellStart"/>
      <w:r w:rsidRPr="00760057">
        <w:rPr>
          <w:sz w:val="18"/>
        </w:rPr>
        <w:t>i</w:t>
      </w:r>
      <w:proofErr w:type="spellEnd"/>
      <w:r w:rsidRPr="00760057">
        <w:rPr>
          <w:sz w:val="18"/>
        </w:rPr>
        <w:t>)</w:t>
      </w:r>
      <w:r w:rsidRPr="00760057">
        <w:rPr>
          <w:sz w:val="18"/>
        </w:rPr>
        <w:tab/>
      </w:r>
      <w:proofErr w:type="gramStart"/>
      <w:r w:rsidRPr="00760057">
        <w:rPr>
          <w:sz w:val="18"/>
        </w:rPr>
        <w:t>to</w:t>
      </w:r>
      <w:proofErr w:type="gramEnd"/>
      <w:r w:rsidRPr="00760057">
        <w:rPr>
          <w:sz w:val="18"/>
        </w:rPr>
        <w:t xml:space="preserve"> add the words “of this Article” at the end of Article 192(7); and</w:t>
      </w:r>
    </w:p>
    <w:p w:rsidR="00760057" w:rsidRPr="00760057" w:rsidRDefault="00760057" w:rsidP="00AF1E06">
      <w:pPr>
        <w:spacing w:after="120"/>
        <w:ind w:left="1134" w:firstLine="570"/>
        <w:rPr>
          <w:sz w:val="18"/>
        </w:rPr>
      </w:pPr>
      <w:r w:rsidRPr="00760057">
        <w:rPr>
          <w:sz w:val="18"/>
        </w:rPr>
        <w:t>(ii)</w:t>
      </w:r>
      <w:r w:rsidRPr="00760057">
        <w:rPr>
          <w:sz w:val="18"/>
        </w:rPr>
        <w:tab/>
      </w:r>
      <w:proofErr w:type="gramStart"/>
      <w:r w:rsidRPr="00760057">
        <w:rPr>
          <w:sz w:val="18"/>
        </w:rPr>
        <w:t>to</w:t>
      </w:r>
      <w:proofErr w:type="gramEnd"/>
      <w:r w:rsidRPr="00760057">
        <w:rPr>
          <w:sz w:val="18"/>
        </w:rPr>
        <w:t xml:space="preserve"> add the paragraph number “(4)” before the sentence “</w:t>
      </w:r>
      <w:r w:rsidRPr="00760057">
        <w:rPr>
          <w:snapToGrid w:val="0"/>
          <w:sz w:val="18"/>
        </w:rPr>
        <w:t xml:space="preserve">The Minister of Agriculture shall issue a decision establishing the rules and procedures for examination and settlement of the appeal.” </w:t>
      </w:r>
      <w:r w:rsidRPr="00760057">
        <w:rPr>
          <w:sz w:val="18"/>
        </w:rPr>
        <w:t>in Article 202;</w:t>
      </w:r>
    </w:p>
    <w:p w:rsidR="00760057" w:rsidRPr="00760057" w:rsidRDefault="00760057" w:rsidP="00AF1E06">
      <w:pPr>
        <w:spacing w:after="120"/>
        <w:ind w:left="567"/>
        <w:rPr>
          <w:sz w:val="18"/>
        </w:rPr>
      </w:pPr>
      <w:r w:rsidRPr="00760057">
        <w:rPr>
          <w:sz w:val="18"/>
        </w:rPr>
        <w:tab/>
      </w:r>
      <w:r>
        <w:rPr>
          <w:sz w:val="18"/>
        </w:rPr>
        <w:t>“</w:t>
      </w:r>
      <w:r w:rsidRPr="00760057">
        <w:rPr>
          <w:sz w:val="18"/>
        </w:rPr>
        <w:t>(c)</w:t>
      </w:r>
      <w:r w:rsidRPr="00760057">
        <w:rPr>
          <w:sz w:val="18"/>
        </w:rPr>
        <w:tab/>
        <w:t>take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 and</w:t>
      </w:r>
    </w:p>
    <w:p w:rsidR="00760057" w:rsidRPr="00760057" w:rsidRDefault="00760057" w:rsidP="00760057">
      <w:pPr>
        <w:ind w:left="567"/>
        <w:rPr>
          <w:sz w:val="18"/>
        </w:rPr>
      </w:pPr>
      <w:r w:rsidRPr="00760057">
        <w:rPr>
          <w:sz w:val="18"/>
        </w:rPr>
        <w:tab/>
      </w:r>
      <w:r>
        <w:rPr>
          <w:sz w:val="18"/>
        </w:rPr>
        <w:t>“</w:t>
      </w:r>
      <w:r w:rsidRPr="00760057">
        <w:rPr>
          <w:sz w:val="18"/>
        </w:rPr>
        <w:t>(d)</w:t>
      </w:r>
      <w:r w:rsidRPr="00760057">
        <w:rPr>
          <w:sz w:val="18"/>
        </w:rPr>
        <w:tab/>
      </w:r>
      <w:proofErr w:type="gramStart"/>
      <w:r w:rsidRPr="00760057">
        <w:rPr>
          <w:sz w:val="18"/>
        </w:rPr>
        <w:t>authorize</w:t>
      </w:r>
      <w:proofErr w:type="gramEnd"/>
      <w:r w:rsidRPr="00760057">
        <w:rPr>
          <w:sz w:val="18"/>
        </w:rPr>
        <w:t xml:space="preserve"> the Secretary-General to inform the Government of Egypt of that decision.</w:t>
      </w:r>
      <w:r>
        <w:rPr>
          <w:sz w:val="18"/>
        </w:rPr>
        <w:t>”</w:t>
      </w:r>
    </w:p>
    <w:p w:rsidR="00085D3C" w:rsidRDefault="00085D3C" w:rsidP="00085D3C"/>
    <w:p w:rsidR="00760057" w:rsidRDefault="00760057" w:rsidP="00085D3C">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4F5229">
        <w:rPr>
          <w:rFonts w:cs="Arial"/>
        </w:rPr>
        <w:t xml:space="preserve">By letter dated </w:t>
      </w:r>
      <w:r w:rsidRPr="004F5229">
        <w:t>February 23, 2015</w:t>
      </w:r>
      <w:r w:rsidRPr="004F5229">
        <w:rPr>
          <w:rFonts w:cs="Arial"/>
        </w:rPr>
        <w:t xml:space="preserve">, </w:t>
      </w:r>
      <w:r>
        <w:rPr>
          <w:rFonts w:cs="Arial"/>
        </w:rPr>
        <w:t>the Islamic Republic of Iran</w:t>
      </w:r>
      <w:r w:rsidRPr="004F5229">
        <w:rPr>
          <w:iCs/>
        </w:rPr>
        <w:t xml:space="preserve"> </w:t>
      </w:r>
      <w:r w:rsidRPr="004F5229">
        <w:rPr>
          <w:rFonts w:cs="Arial"/>
        </w:rPr>
        <w:t xml:space="preserve">requested the examination of </w:t>
      </w:r>
      <w:r>
        <w:rPr>
          <w:rFonts w:cs="Arial"/>
        </w:rPr>
        <w:t>the “Act on Registration of Plant Varieties, and Control and Certification of Seed and Plants</w:t>
      </w:r>
      <w:r w:rsidR="00AC5713">
        <w:rPr>
          <w:rFonts w:cs="Arial"/>
        </w:rPr>
        <w:t xml:space="preserve"> of 2003</w:t>
      </w:r>
      <w:r>
        <w:rPr>
          <w:rFonts w:cs="Arial"/>
        </w:rPr>
        <w:t>” and the “By</w:t>
      </w:r>
      <w:r>
        <w:rPr>
          <w:rFonts w:cs="Arial"/>
        </w:rPr>
        <w:noBreakHyphen/>
        <w:t>law on Registration of Plant Varieties” in respect of “Iran Civil Code” for conformity with the 1991 </w:t>
      </w:r>
      <w:r w:rsidRPr="004F5229">
        <w:rPr>
          <w:rFonts w:cs="Arial"/>
        </w:rPr>
        <w:t>Act of the UPOV Convention</w:t>
      </w:r>
      <w:r w:rsidR="00AF1E06">
        <w:rPr>
          <w:rFonts w:cs="Arial"/>
        </w:rPr>
        <w:t>.</w:t>
      </w:r>
    </w:p>
    <w:p w:rsidR="00AF1E06" w:rsidRDefault="00AF1E06" w:rsidP="00085D3C">
      <w:pPr>
        <w:rPr>
          <w:rFonts w:cs="Arial"/>
        </w:rPr>
      </w:pPr>
    </w:p>
    <w:p w:rsidR="00AF1E06" w:rsidRDefault="00AF1E06" w:rsidP="00085D3C">
      <w:pPr>
        <w:rPr>
          <w:rFonts w:cstheme="minorBidi"/>
          <w:szCs w:val="22"/>
        </w:rPr>
      </w:pPr>
      <w:r w:rsidRPr="00446C1F">
        <w:fldChar w:fldCharType="begin"/>
      </w:r>
      <w:r w:rsidRPr="00446C1F">
        <w:instrText xml:space="preserve"> AUTONUM  </w:instrText>
      </w:r>
      <w:r w:rsidRPr="00446C1F">
        <w:fldChar w:fldCharType="end"/>
      </w:r>
      <w:r w:rsidRPr="00446C1F">
        <w:tab/>
        <w:t xml:space="preserve">At the request of the Seed and Plant Certification and Registration Institute (SPCRI) of the Islamic Republic of Iran, the </w:t>
      </w:r>
      <w:r w:rsidRPr="00446C1F">
        <w:rPr>
          <w:szCs w:val="24"/>
        </w:rPr>
        <w:t xml:space="preserve">Council agreed to defer </w:t>
      </w:r>
      <w:r w:rsidR="003357DB" w:rsidRPr="00446C1F">
        <w:rPr>
          <w:rFonts w:cstheme="minorBidi"/>
          <w:szCs w:val="22"/>
        </w:rPr>
        <w:t xml:space="preserve">the examination </w:t>
      </w:r>
      <w:r w:rsidR="00BD05D3" w:rsidRPr="00446C1F">
        <w:rPr>
          <w:rFonts w:cstheme="minorBidi"/>
          <w:szCs w:val="22"/>
        </w:rPr>
        <w:t xml:space="preserve">of </w:t>
      </w:r>
      <w:r w:rsidR="00BD05D3" w:rsidRPr="00446C1F">
        <w:rPr>
          <w:rFonts w:cs="Arial"/>
        </w:rPr>
        <w:t xml:space="preserve">the “Act of Plant Varieties Registration, Control and Certification of Seeds and Plant Materials of 2003” </w:t>
      </w:r>
      <w:r w:rsidRPr="00446C1F">
        <w:rPr>
          <w:rFonts w:cstheme="minorBidi"/>
          <w:szCs w:val="22"/>
        </w:rPr>
        <w:t xml:space="preserve">to </w:t>
      </w:r>
      <w:r w:rsidRPr="00446C1F">
        <w:t>its forty-ninth ordinary session</w:t>
      </w:r>
      <w:r w:rsidRPr="00446C1F">
        <w:rPr>
          <w:rFonts w:cstheme="minorBidi"/>
          <w:szCs w:val="22"/>
        </w:rPr>
        <w:t xml:space="preserve"> to be held in October 2015.</w:t>
      </w:r>
    </w:p>
    <w:p w:rsidR="00AF1E06" w:rsidRDefault="00AF1E06" w:rsidP="00085D3C"/>
    <w:p w:rsidR="00E40218" w:rsidRDefault="00E40218" w:rsidP="00085D3C"/>
    <w:p w:rsidR="00085D3C" w:rsidRPr="00A35CC2" w:rsidRDefault="00085D3C" w:rsidP="00085D3C"/>
    <w:p w:rsidR="00085D3C" w:rsidRPr="00A35CC2" w:rsidRDefault="00085D3C" w:rsidP="00085D3C">
      <w:pPr>
        <w:pStyle w:val="Heading1"/>
      </w:pPr>
      <w:bookmarkStart w:id="9" w:name="_Toc431820607"/>
      <w:r w:rsidRPr="00A35CC2">
        <w:t>II.</w:t>
      </w:r>
      <w:r w:rsidRPr="00A35CC2">
        <w:tab/>
        <w:t>SESSIONS OF THE COUNCIL AND ITS SUBSIDIARY BODIES</w:t>
      </w:r>
      <w:bookmarkEnd w:id="9"/>
    </w:p>
    <w:p w:rsidR="00085D3C" w:rsidRPr="00A35CC2" w:rsidRDefault="00085D3C" w:rsidP="00085D3C">
      <w:pPr>
        <w:keepNext/>
      </w:pPr>
    </w:p>
    <w:p w:rsidR="00085D3C" w:rsidRPr="00A35CC2" w:rsidRDefault="00085D3C" w:rsidP="00085D3C">
      <w:pPr>
        <w:pStyle w:val="Heading2"/>
      </w:pPr>
      <w:bookmarkStart w:id="10" w:name="_Toc431820608"/>
      <w:r w:rsidRPr="00A35CC2">
        <w:t>Council</w:t>
      </w:r>
      <w:bookmarkEnd w:id="10"/>
    </w:p>
    <w:p w:rsidR="00085D3C" w:rsidRPr="00A35CC2" w:rsidRDefault="00085D3C" w:rsidP="00085D3C">
      <w:pPr>
        <w:keepNext/>
      </w:pPr>
    </w:p>
    <w:p w:rsidR="00085D3C" w:rsidRPr="000E1BD6" w:rsidRDefault="00085D3C" w:rsidP="00085D3C">
      <w:r w:rsidRPr="00446C1F">
        <w:fldChar w:fldCharType="begin"/>
      </w:r>
      <w:r w:rsidRPr="00446C1F">
        <w:instrText xml:space="preserve"> AUTONUM  </w:instrText>
      </w:r>
      <w:r w:rsidRPr="00446C1F">
        <w:fldChar w:fldCharType="end"/>
      </w:r>
      <w:r w:rsidRPr="00446C1F">
        <w:tab/>
        <w:t>The Council held its thirty-</w:t>
      </w:r>
      <w:r w:rsidR="00E40218" w:rsidRPr="00446C1F">
        <w:t>second</w:t>
      </w:r>
      <w:r w:rsidRPr="00446C1F">
        <w:t xml:space="preserve"> extraordinary session on </w:t>
      </w:r>
      <w:r w:rsidR="00E40218" w:rsidRPr="00446C1F">
        <w:t>March 27, 2015</w:t>
      </w:r>
      <w:r w:rsidRPr="00446C1F">
        <w:t>, under the chairmanship of</w:t>
      </w:r>
      <w:r>
        <w:t xml:space="preserve"> </w:t>
      </w:r>
      <w:r>
        <w:rPr>
          <w:lang w:eastAsia="fr-FR"/>
        </w:rPr>
        <w:t>Ms</w:t>
      </w:r>
      <w:r w:rsidRPr="007D5742">
        <w:rPr>
          <w:lang w:eastAsia="fr-FR"/>
        </w:rPr>
        <w:t>.</w:t>
      </w:r>
      <w:r>
        <w:rPr>
          <w:lang w:eastAsia="fr-FR"/>
        </w:rPr>
        <w:t> Kitisri Sukhapinda</w:t>
      </w:r>
      <w:r w:rsidRPr="007D5742">
        <w:rPr>
          <w:lang w:eastAsia="fr-FR"/>
        </w:rPr>
        <w:t xml:space="preserve"> (</w:t>
      </w:r>
      <w:r>
        <w:rPr>
          <w:lang w:eastAsia="fr-FR"/>
        </w:rPr>
        <w:t>United States of America</w:t>
      </w:r>
      <w:r w:rsidRPr="007D5742">
        <w:rPr>
          <w:lang w:eastAsia="fr-FR"/>
        </w:rPr>
        <w:t>)</w:t>
      </w:r>
      <w:r w:rsidRPr="000E1BD6">
        <w:t>, President of the Council.  At that session, the Council:</w:t>
      </w:r>
    </w:p>
    <w:p w:rsidR="00085D3C" w:rsidRPr="000E1BD6" w:rsidRDefault="00085D3C" w:rsidP="00085D3C"/>
    <w:p w:rsidR="00A30CC4" w:rsidRDefault="00085D3C" w:rsidP="00085D3C">
      <w:r>
        <w:tab/>
      </w:r>
      <w:r w:rsidRPr="009A5AC3">
        <w:t>(a)</w:t>
      </w:r>
      <w:r w:rsidRPr="009A5AC3">
        <w:tab/>
      </w:r>
      <w:proofErr w:type="gramStart"/>
      <w:r w:rsidR="00A30CC4">
        <w:t>agreed</w:t>
      </w:r>
      <w:proofErr w:type="gramEnd"/>
      <w:r w:rsidR="00A30CC4">
        <w:t xml:space="preserve"> to defer </w:t>
      </w:r>
      <w:r w:rsidR="00A30CC4">
        <w:rPr>
          <w:rFonts w:cstheme="minorBidi"/>
          <w:szCs w:val="22"/>
        </w:rPr>
        <w:t xml:space="preserve">the examination of </w:t>
      </w:r>
      <w:r w:rsidR="00A30CC4">
        <w:rPr>
          <w:rFonts w:cs="Arial"/>
        </w:rPr>
        <w:t xml:space="preserve">“‘the </w:t>
      </w:r>
      <w:r w:rsidR="00A30CC4" w:rsidRPr="004F5229">
        <w:rPr>
          <w:rFonts w:cs="Arial"/>
        </w:rPr>
        <w:t>Act</w:t>
      </w:r>
      <w:r w:rsidR="00A30CC4">
        <w:rPr>
          <w:rFonts w:cs="Arial"/>
        </w:rPr>
        <w:t>’</w:t>
      </w:r>
      <w:r w:rsidR="00A30CC4" w:rsidRPr="004F5229">
        <w:rPr>
          <w:rFonts w:cs="Arial"/>
        </w:rPr>
        <w:t xml:space="preserve"> </w:t>
      </w:r>
      <w:r w:rsidR="00A30CC4">
        <w:rPr>
          <w:rFonts w:cs="Arial"/>
        </w:rPr>
        <w:t>and the ‘By-Law’ in respect of ‘Iran Civil Code’”</w:t>
      </w:r>
      <w:r w:rsidR="00A30CC4" w:rsidRPr="00EA4C6F">
        <w:rPr>
          <w:rFonts w:cstheme="minorBidi"/>
          <w:szCs w:val="22"/>
        </w:rPr>
        <w:t xml:space="preserve"> to </w:t>
      </w:r>
      <w:r w:rsidR="00A30CC4">
        <w:t>its forty-nin</w:t>
      </w:r>
      <w:r w:rsidR="00A30CC4" w:rsidRPr="001C553C">
        <w:t>th ordinary session</w:t>
      </w:r>
      <w:r w:rsidR="00A30CC4">
        <w:rPr>
          <w:rFonts w:cstheme="minorBidi"/>
          <w:szCs w:val="22"/>
        </w:rPr>
        <w:t xml:space="preserve"> </w:t>
      </w:r>
      <w:r w:rsidR="00A30CC4" w:rsidRPr="00EA4C6F">
        <w:rPr>
          <w:rFonts w:cstheme="minorBidi"/>
          <w:szCs w:val="22"/>
        </w:rPr>
        <w:t>to be held in October 2015</w:t>
      </w:r>
      <w:r w:rsidR="00A30CC4">
        <w:rPr>
          <w:rFonts w:cstheme="minorBidi"/>
          <w:szCs w:val="22"/>
        </w:rPr>
        <w:t>;</w:t>
      </w:r>
    </w:p>
    <w:p w:rsidR="00A30CC4" w:rsidRDefault="00A30CC4" w:rsidP="00085D3C"/>
    <w:p w:rsidR="00E40218" w:rsidRDefault="00A30CC4" w:rsidP="00085D3C">
      <w:r>
        <w:tab/>
        <w:t>(b)</w:t>
      </w:r>
      <w:r>
        <w:tab/>
      </w:r>
      <w:proofErr w:type="gramStart"/>
      <w:r w:rsidR="00E40218" w:rsidRPr="008E2BCF">
        <w:t>decided</w:t>
      </w:r>
      <w:proofErr w:type="gramEnd"/>
      <w:r w:rsidR="00E40218" w:rsidRPr="008E2BCF">
        <w:t xml:space="preserve"> to extend the appointment of the Vice Secretary-General from December 1, 2015, until November 30, 2018</w:t>
      </w:r>
      <w:r w:rsidR="00E40218">
        <w:t>;</w:t>
      </w:r>
    </w:p>
    <w:p w:rsidR="00E40218" w:rsidRDefault="00E40218" w:rsidP="00085D3C"/>
    <w:p w:rsidR="00085D3C" w:rsidRDefault="00E40218" w:rsidP="00085D3C">
      <w:pPr>
        <w:rPr>
          <w:rFonts w:cs="Arial"/>
        </w:rPr>
      </w:pPr>
      <w:r>
        <w:tab/>
      </w:r>
      <w:r w:rsidR="00A30CC4" w:rsidRPr="00446C1F">
        <w:t>(c</w:t>
      </w:r>
      <w:r w:rsidRPr="00446C1F">
        <w:t>)</w:t>
      </w:r>
      <w:r w:rsidRPr="00446C1F">
        <w:tab/>
      </w:r>
      <w:proofErr w:type="gramStart"/>
      <w:r w:rsidRPr="00446C1F">
        <w:t>examined</w:t>
      </w:r>
      <w:proofErr w:type="gramEnd"/>
      <w:r w:rsidRPr="00446C1F">
        <w:t xml:space="preserve"> the conformity of the </w:t>
      </w:r>
      <w:r w:rsidRPr="00446C1F">
        <w:rPr>
          <w:rFonts w:cs="Arial"/>
        </w:rPr>
        <w:t>Draft Law of Egypt</w:t>
      </w:r>
      <w:r w:rsidRPr="00446C1F">
        <w:t xml:space="preserve"> with the 1991 Act of the UPOV Convention</w:t>
      </w:r>
      <w:r w:rsidR="00085D3C" w:rsidRPr="00446C1F">
        <w:t xml:space="preserve"> (see paragraph</w:t>
      </w:r>
      <w:r w:rsidR="00360921" w:rsidRPr="00446C1F">
        <w:t>s</w:t>
      </w:r>
      <w:r w:rsidR="00085D3C" w:rsidRPr="00446C1F">
        <w:t xml:space="preserve"> </w:t>
      </w:r>
      <w:r w:rsidRPr="00446C1F">
        <w:t>6</w:t>
      </w:r>
      <w:r w:rsidR="00085D3C" w:rsidRPr="00446C1F">
        <w:t xml:space="preserve"> </w:t>
      </w:r>
      <w:r w:rsidR="00360921" w:rsidRPr="00446C1F">
        <w:t xml:space="preserve">and 7 </w:t>
      </w:r>
      <w:r w:rsidR="00085D3C" w:rsidRPr="00446C1F">
        <w:t>above)</w:t>
      </w:r>
      <w:r w:rsidR="00085D3C" w:rsidRPr="00446C1F">
        <w:rPr>
          <w:rFonts w:cs="Arial"/>
        </w:rPr>
        <w:t>;</w:t>
      </w:r>
    </w:p>
    <w:p w:rsidR="00085D3C" w:rsidRDefault="00085D3C" w:rsidP="00085D3C">
      <w:pPr>
        <w:rPr>
          <w:rFonts w:cs="Arial"/>
        </w:rPr>
      </w:pPr>
    </w:p>
    <w:p w:rsidR="00A30CC4" w:rsidRDefault="00A30CC4" w:rsidP="00A30CC4">
      <w:pPr>
        <w:rPr>
          <w:rFonts w:cs="Arial"/>
        </w:rPr>
      </w:pPr>
      <w:r>
        <w:rPr>
          <w:rFonts w:cs="Arial"/>
        </w:rPr>
        <w:tab/>
        <w:t>(d)</w:t>
      </w:r>
      <w:r>
        <w:rPr>
          <w:rFonts w:cs="Arial"/>
        </w:rPr>
        <w:tab/>
      </w:r>
      <w:proofErr w:type="gramStart"/>
      <w:r w:rsidRPr="00A30CC4">
        <w:rPr>
          <w:rFonts w:cs="Arial"/>
        </w:rPr>
        <w:t>adopted</w:t>
      </w:r>
      <w:proofErr w:type="gramEnd"/>
      <w:r w:rsidRPr="00A30CC4">
        <w:rPr>
          <w:rFonts w:cs="Arial"/>
        </w:rPr>
        <w:t xml:space="preserve"> the revision of the following documents:</w:t>
      </w:r>
    </w:p>
    <w:p w:rsidR="00A30CC4" w:rsidRPr="00A30CC4" w:rsidRDefault="00A30CC4" w:rsidP="00A30CC4">
      <w:pPr>
        <w:rPr>
          <w:rFonts w:cs="Arial"/>
        </w:rPr>
      </w:pPr>
    </w:p>
    <w:p w:rsidR="00A30CC4" w:rsidRDefault="00A30CC4" w:rsidP="00A30CC4">
      <w:pPr>
        <w:ind w:left="1134" w:hanging="567"/>
        <w:rPr>
          <w:rFonts w:cs="Arial"/>
        </w:rPr>
      </w:pPr>
      <w:r>
        <w:rPr>
          <w:rFonts w:cs="Arial"/>
        </w:rPr>
        <w:t>–</w:t>
      </w:r>
      <w:r>
        <w:rPr>
          <w:rFonts w:cs="Arial"/>
        </w:rPr>
        <w:tab/>
      </w:r>
      <w:r w:rsidRPr="00A30CC4">
        <w:rPr>
          <w:rFonts w:cs="Arial"/>
        </w:rPr>
        <w:t>UPOV/INF/4 “Financial Regulations and Rules</w:t>
      </w:r>
      <w:r>
        <w:rPr>
          <w:rFonts w:cs="Arial"/>
        </w:rPr>
        <w:t xml:space="preserve"> of UPOV” (document UPOV/INF/4/4</w:t>
      </w:r>
      <w:r w:rsidRPr="00A30CC4">
        <w:rPr>
          <w:rFonts w:cs="Arial"/>
        </w:rPr>
        <w:t>);</w:t>
      </w:r>
    </w:p>
    <w:p w:rsidR="00A30CC4" w:rsidRPr="00A30CC4" w:rsidRDefault="00A30CC4" w:rsidP="00A30CC4">
      <w:pPr>
        <w:ind w:left="1134" w:hanging="567"/>
        <w:rPr>
          <w:rFonts w:cs="Arial"/>
        </w:rPr>
      </w:pPr>
    </w:p>
    <w:p w:rsidR="00A30CC4" w:rsidRDefault="00A30CC4" w:rsidP="00A30CC4">
      <w:pPr>
        <w:ind w:left="1134" w:hanging="567"/>
        <w:rPr>
          <w:rFonts w:cs="Arial"/>
        </w:rPr>
      </w:pPr>
      <w:r>
        <w:rPr>
          <w:rFonts w:cs="Arial"/>
        </w:rPr>
        <w:t>–</w:t>
      </w:r>
      <w:r>
        <w:rPr>
          <w:rFonts w:cs="Arial"/>
        </w:rPr>
        <w:tab/>
      </w:r>
      <w:r w:rsidRPr="00A30CC4">
        <w:rPr>
          <w:rFonts w:cs="Arial"/>
        </w:rPr>
        <w:t>UPOV/INF/15 “Guidance for Members of UPOV on Ongoing Obligations and Related</w:t>
      </w:r>
      <w:r>
        <w:rPr>
          <w:rFonts w:cs="Arial"/>
        </w:rPr>
        <w:t xml:space="preserve"> </w:t>
      </w:r>
      <w:r w:rsidRPr="00A30CC4">
        <w:rPr>
          <w:rFonts w:cs="Arial"/>
        </w:rPr>
        <w:t>Notifications and on the Provision of Information to Facilitate Cooperation” (document</w:t>
      </w:r>
      <w:r>
        <w:rPr>
          <w:rFonts w:cs="Arial"/>
        </w:rPr>
        <w:t> </w:t>
      </w:r>
      <w:r w:rsidRPr="00A30CC4">
        <w:rPr>
          <w:rFonts w:cs="Arial"/>
        </w:rPr>
        <w:t>UPOV/INF/15/</w:t>
      </w:r>
      <w:r>
        <w:rPr>
          <w:rFonts w:cs="Arial"/>
        </w:rPr>
        <w:t>3</w:t>
      </w:r>
      <w:r w:rsidRPr="00A30CC4">
        <w:rPr>
          <w:rFonts w:cs="Arial"/>
        </w:rPr>
        <w:t>); and</w:t>
      </w:r>
    </w:p>
    <w:p w:rsidR="00A30CC4" w:rsidRPr="00A30CC4" w:rsidRDefault="00A30CC4" w:rsidP="00A30CC4">
      <w:pPr>
        <w:ind w:left="1134" w:hanging="567"/>
        <w:rPr>
          <w:rFonts w:cs="Arial"/>
        </w:rPr>
      </w:pPr>
    </w:p>
    <w:p w:rsidR="00A30CC4" w:rsidRDefault="00A30CC4" w:rsidP="00A30CC4">
      <w:pPr>
        <w:ind w:left="1134" w:hanging="567"/>
        <w:rPr>
          <w:rFonts w:cs="Arial"/>
        </w:rPr>
      </w:pPr>
      <w:r>
        <w:rPr>
          <w:rFonts w:cs="Arial"/>
        </w:rPr>
        <w:t>–</w:t>
      </w:r>
      <w:r>
        <w:rPr>
          <w:rFonts w:cs="Arial"/>
        </w:rPr>
        <w:tab/>
      </w:r>
      <w:r w:rsidRPr="00A30CC4">
        <w:rPr>
          <w:rFonts w:cs="Arial"/>
        </w:rPr>
        <w:t>UPOV/INF-EXN “List of INF-EXN Documents and Latest Issue Dates” (document</w:t>
      </w:r>
      <w:r>
        <w:rPr>
          <w:rFonts w:cs="Arial"/>
        </w:rPr>
        <w:t xml:space="preserve"> UPOV/INF</w:t>
      </w:r>
      <w:r>
        <w:rPr>
          <w:rFonts w:cs="Arial"/>
        </w:rPr>
        <w:noBreakHyphen/>
        <w:t>EXN/7</w:t>
      </w:r>
      <w:r w:rsidRPr="00A30CC4">
        <w:rPr>
          <w:rFonts w:cs="Arial"/>
        </w:rPr>
        <w:t>);</w:t>
      </w:r>
    </w:p>
    <w:p w:rsidR="00A30CC4" w:rsidRDefault="00A30CC4" w:rsidP="00085D3C">
      <w:pPr>
        <w:rPr>
          <w:rFonts w:cs="Arial"/>
        </w:rPr>
      </w:pPr>
    </w:p>
    <w:p w:rsidR="00085D3C" w:rsidRDefault="00085D3C" w:rsidP="00085D3C">
      <w:r w:rsidRPr="007352BD">
        <w:tab/>
        <w:t>(</w:t>
      </w:r>
      <w:r w:rsidR="00A94FFC">
        <w:t>e</w:t>
      </w:r>
      <w:r w:rsidRPr="007352BD">
        <w:t>)</w:t>
      </w:r>
      <w:r w:rsidRPr="007352BD">
        <w:tab/>
      </w:r>
      <w:proofErr w:type="gramStart"/>
      <w:r w:rsidRPr="007352BD">
        <w:t>noted</w:t>
      </w:r>
      <w:proofErr w:type="gramEnd"/>
      <w:r w:rsidRPr="007352BD">
        <w:t xml:space="preserve"> the work of the Consultative Committee at its eighty-</w:t>
      </w:r>
      <w:r w:rsidR="00A94FFC">
        <w:t>ni</w:t>
      </w:r>
      <w:r w:rsidRPr="007352BD">
        <w:t xml:space="preserve">nth session, held on </w:t>
      </w:r>
      <w:r w:rsidR="00A94FFC">
        <w:t>March 27, 2015</w:t>
      </w:r>
      <w:r w:rsidRPr="007352BD">
        <w:t>, as set out in document C(</w:t>
      </w:r>
      <w:proofErr w:type="spellStart"/>
      <w:r w:rsidRPr="007352BD">
        <w:t>Extr</w:t>
      </w:r>
      <w:proofErr w:type="spellEnd"/>
      <w:r w:rsidRPr="007352BD">
        <w:t>.)/3</w:t>
      </w:r>
      <w:r w:rsidR="00A94FFC">
        <w:t>2/5</w:t>
      </w:r>
      <w:r w:rsidRPr="007352BD">
        <w:t>; and</w:t>
      </w:r>
    </w:p>
    <w:p w:rsidR="00A94FFC" w:rsidRDefault="00A94FFC" w:rsidP="00085D3C"/>
    <w:p w:rsidR="00A94FFC" w:rsidRDefault="00A94FFC" w:rsidP="00085D3C">
      <w:r>
        <w:tab/>
        <w:t>(f)</w:t>
      </w:r>
      <w:r>
        <w:tab/>
      </w:r>
      <w:proofErr w:type="gramStart"/>
      <w:r w:rsidRPr="000912D3">
        <w:t>noted</w:t>
      </w:r>
      <w:proofErr w:type="gramEnd"/>
      <w:r w:rsidRPr="000912D3">
        <w:t xml:space="preserve"> the conclusions of the CAJ to hold its seventy-s</w:t>
      </w:r>
      <w:r>
        <w:t>econd session on October 26 and </w:t>
      </w:r>
      <w:r w:rsidRPr="000912D3">
        <w:t xml:space="preserve">27, 2015, and not </w:t>
      </w:r>
      <w:r>
        <w:t>to convene a session of the Administrative and Legal Committee Advisory Group (CAJ-AG)</w:t>
      </w:r>
      <w:r w:rsidRPr="000912D3">
        <w:t xml:space="preserve"> on October 30, 2015</w:t>
      </w:r>
      <w:r>
        <w:t>;</w:t>
      </w:r>
    </w:p>
    <w:p w:rsidR="00A94FFC" w:rsidRDefault="00A94FFC" w:rsidP="00085D3C"/>
    <w:p w:rsidR="00A94FFC" w:rsidRPr="007352BD" w:rsidRDefault="00A94FFC" w:rsidP="00085D3C">
      <w:r>
        <w:tab/>
        <w:t>(g)</w:t>
      </w:r>
      <w:r>
        <w:tab/>
      </w:r>
      <w:proofErr w:type="gramStart"/>
      <w:r>
        <w:t>approved</w:t>
      </w:r>
      <w:proofErr w:type="gramEnd"/>
      <w:r>
        <w:t xml:space="preserve"> a revision of the Calendar of Meetings in 2015, in order to remove the references to the CAJ-AG, and to</w:t>
      </w:r>
      <w:r w:rsidRPr="000912D3">
        <w:t xml:space="preserve"> include</w:t>
      </w:r>
      <w:r>
        <w:t xml:space="preserve"> the information that the forty</w:t>
      </w:r>
      <w:r>
        <w:noBreakHyphen/>
      </w:r>
      <w:r w:rsidRPr="000912D3">
        <w:t xml:space="preserve">fourth session of the Technical Working Party for Agricultural Crops (TWA) would be held in </w:t>
      </w:r>
      <w:proofErr w:type="spellStart"/>
      <w:r w:rsidRPr="000912D3">
        <w:t>Obihiro</w:t>
      </w:r>
      <w:proofErr w:type="spellEnd"/>
      <w:r w:rsidRPr="000912D3">
        <w:t>, Japan, from July 6 to 10, 2015</w:t>
      </w:r>
    </w:p>
    <w:p w:rsidR="00085D3C" w:rsidRPr="007352BD" w:rsidRDefault="00085D3C" w:rsidP="00085D3C"/>
    <w:p w:rsidR="00085D3C" w:rsidRPr="00A35CC2" w:rsidRDefault="00085D3C" w:rsidP="00085D3C">
      <w:r w:rsidRPr="007352BD">
        <w:tab/>
        <w:t>(</w:t>
      </w:r>
      <w:r w:rsidR="00A94FFC">
        <w:t>h</w:t>
      </w:r>
      <w:r w:rsidRPr="007352BD">
        <w:t>)</w:t>
      </w:r>
      <w:r w:rsidRPr="007352BD">
        <w:tab/>
      </w:r>
      <w:proofErr w:type="gramStart"/>
      <w:r w:rsidRPr="007352BD">
        <w:t>considered</w:t>
      </w:r>
      <w:proofErr w:type="gramEnd"/>
      <w:r w:rsidRPr="007352BD">
        <w:t xml:space="preserve"> and approved a draft press release.</w:t>
      </w:r>
    </w:p>
    <w:p w:rsidR="00085D3C" w:rsidRDefault="00085D3C" w:rsidP="00085D3C"/>
    <w:p w:rsidR="00085D3C" w:rsidRDefault="00085D3C" w:rsidP="00085D3C"/>
    <w:p w:rsidR="00085D3C" w:rsidRPr="00A35CC2" w:rsidRDefault="00085D3C" w:rsidP="00085D3C">
      <w:pPr>
        <w:pStyle w:val="Heading2"/>
      </w:pPr>
      <w:bookmarkStart w:id="11" w:name="_Toc431820609"/>
      <w:r w:rsidRPr="00A35CC2">
        <w:t>Consultative Committee</w:t>
      </w:r>
      <w:bookmarkEnd w:id="11"/>
    </w:p>
    <w:p w:rsidR="00085D3C" w:rsidRPr="00A35CC2" w:rsidRDefault="00085D3C" w:rsidP="00085D3C">
      <w:pPr>
        <w:keepNext/>
        <w:ind w:left="567" w:hanging="567"/>
      </w:pPr>
    </w:p>
    <w:p w:rsidR="00085D3C" w:rsidRDefault="00085D3C" w:rsidP="00085D3C">
      <w:r w:rsidRPr="003C7494">
        <w:fldChar w:fldCharType="begin"/>
      </w:r>
      <w:r w:rsidRPr="003C7494">
        <w:instrText xml:space="preserve"> AUTONUM  </w:instrText>
      </w:r>
      <w:r w:rsidRPr="003C7494">
        <w:fldChar w:fldCharType="end"/>
      </w:r>
      <w:r w:rsidRPr="003C7494">
        <w:tab/>
        <w:t>The Consultative Committee held its eighty-</w:t>
      </w:r>
      <w:r w:rsidR="00B57282">
        <w:t>nin</w:t>
      </w:r>
      <w:r w:rsidRPr="003C7494">
        <w:t xml:space="preserve">th session on </w:t>
      </w:r>
      <w:r w:rsidR="00B57282">
        <w:t>March 27, 2015</w:t>
      </w:r>
      <w:r w:rsidRPr="003C7494">
        <w:t xml:space="preserve">, under the chairmanship of </w:t>
      </w:r>
      <w:r w:rsidRPr="003C7494">
        <w:rPr>
          <w:lang w:eastAsia="fr-FR"/>
        </w:rPr>
        <w:t>Ms. Kitisri Sukhapinda (United States of America)</w:t>
      </w:r>
      <w:r w:rsidRPr="003C7494">
        <w:t xml:space="preserve">.  At that session, in addition to </w:t>
      </w:r>
      <w:r w:rsidR="00B57282">
        <w:t xml:space="preserve">considering </w:t>
      </w:r>
      <w:r w:rsidRPr="003C7494">
        <w:t>the</w:t>
      </w:r>
      <w:r w:rsidR="00B57282">
        <w:t xml:space="preserve"> extension of the appointment of the Vice Secretary-General, the</w:t>
      </w:r>
      <w:r w:rsidRPr="003C7494">
        <w:t xml:space="preserve"> preliminary </w:t>
      </w:r>
      <w:r w:rsidRPr="007352BD">
        <w:t xml:space="preserve">examination of the </w:t>
      </w:r>
      <w:r w:rsidR="00B57282">
        <w:rPr>
          <w:rFonts w:cs="Arial"/>
        </w:rPr>
        <w:t xml:space="preserve">Draft Law of </w:t>
      </w:r>
      <w:r w:rsidR="00B57282" w:rsidRPr="00446C1F">
        <w:rPr>
          <w:rFonts w:cs="Arial"/>
        </w:rPr>
        <w:t>Egypt</w:t>
      </w:r>
      <w:r w:rsidRPr="00446C1F">
        <w:t xml:space="preserve"> (see paragraph </w:t>
      </w:r>
      <w:r w:rsidR="00B57282" w:rsidRPr="00446C1F">
        <w:t>10</w:t>
      </w:r>
      <w:r w:rsidRPr="00446C1F">
        <w:t>(</w:t>
      </w:r>
      <w:r w:rsidR="00B57282" w:rsidRPr="00446C1F">
        <w:t>c</w:t>
      </w:r>
      <w:r w:rsidRPr="00446C1F">
        <w:t>) above),</w:t>
      </w:r>
      <w:r w:rsidR="00B57282" w:rsidRPr="00446C1F">
        <w:t xml:space="preserve"> the adoption of documents,</w:t>
      </w:r>
      <w:r w:rsidRPr="00446C1F">
        <w:t xml:space="preserve"> the preparation of the calendar of meetings</w:t>
      </w:r>
      <w:r w:rsidRPr="003C7494">
        <w:t xml:space="preserve"> and the press release, the Consultative Committee:</w:t>
      </w:r>
    </w:p>
    <w:p w:rsidR="00085D3C" w:rsidRDefault="00085D3C" w:rsidP="00085D3C"/>
    <w:p w:rsidR="009407D8" w:rsidRPr="00D6038F" w:rsidRDefault="00CC281F" w:rsidP="009407D8">
      <w:pPr>
        <w:rPr>
          <w:rFonts w:cs="Arial"/>
        </w:rPr>
      </w:pPr>
      <w:r>
        <w:tab/>
        <w:t>(a)</w:t>
      </w:r>
      <w:r w:rsidR="009407D8" w:rsidRPr="005035A5">
        <w:tab/>
        <w:t>noted that, on the basis of the risk assessment of UPOV, there had been</w:t>
      </w:r>
      <w:r w:rsidR="009407D8">
        <w:t xml:space="preserve"> </w:t>
      </w:r>
      <w:r w:rsidR="009407D8" w:rsidRPr="00FB778B">
        <w:t xml:space="preserve">no internal audit of UPOV in 2014 and </w:t>
      </w:r>
      <w:r w:rsidR="009407D8">
        <w:t xml:space="preserve">that </w:t>
      </w:r>
      <w:r w:rsidR="009407D8" w:rsidRPr="00FB778B">
        <w:t xml:space="preserve">the annual work plan of </w:t>
      </w:r>
      <w:r w:rsidR="009407D8">
        <w:t xml:space="preserve">the WIPO </w:t>
      </w:r>
      <w:r w:rsidR="009407D8" w:rsidRPr="00FB778B">
        <w:t>Internal Oversight Division (IOD)</w:t>
      </w:r>
      <w:r w:rsidR="009407D8" w:rsidRPr="00D6038F">
        <w:rPr>
          <w:rFonts w:cs="Arial"/>
        </w:rPr>
        <w:t xml:space="preserve"> for 2015 </w:t>
      </w:r>
      <w:r w:rsidR="009407D8">
        <w:rPr>
          <w:rFonts w:cs="Arial"/>
        </w:rPr>
        <w:t xml:space="preserve">did </w:t>
      </w:r>
      <w:r w:rsidR="009407D8" w:rsidRPr="00D6038F">
        <w:rPr>
          <w:rFonts w:cs="Arial"/>
        </w:rPr>
        <w:t>not in</w:t>
      </w:r>
      <w:r>
        <w:rPr>
          <w:rFonts w:cs="Arial"/>
        </w:rPr>
        <w:t>clude an internal audit of UPOV;</w:t>
      </w:r>
    </w:p>
    <w:p w:rsidR="009407D8" w:rsidRPr="00D6038F" w:rsidRDefault="009407D8" w:rsidP="009407D8">
      <w:pPr>
        <w:rPr>
          <w:rFonts w:cs="Arial"/>
        </w:rPr>
      </w:pPr>
    </w:p>
    <w:p w:rsidR="009407D8" w:rsidRPr="00D6038F" w:rsidRDefault="00CC281F" w:rsidP="009407D8">
      <w:pPr>
        <w:rPr>
          <w:rFonts w:cs="Arial"/>
        </w:rPr>
      </w:pPr>
      <w:r>
        <w:rPr>
          <w:rFonts w:cs="Arial"/>
        </w:rPr>
        <w:tab/>
        <w:t>(</w:t>
      </w:r>
      <w:proofErr w:type="gramStart"/>
      <w:r>
        <w:rPr>
          <w:rFonts w:cs="Arial"/>
        </w:rPr>
        <w:t>b</w:t>
      </w:r>
      <w:proofErr w:type="gramEnd"/>
      <w:r>
        <w:rPr>
          <w:rFonts w:cs="Arial"/>
        </w:rPr>
        <w:t>)</w:t>
      </w:r>
      <w:r>
        <w:rPr>
          <w:rFonts w:cs="Arial"/>
        </w:rPr>
        <w:tab/>
      </w:r>
      <w:r w:rsidR="009407D8" w:rsidRPr="00D6038F">
        <w:rPr>
          <w:rFonts w:cs="Arial"/>
        </w:rPr>
        <w:t>noted that the Secretary-General had not been made aware of the need for any</w:t>
      </w:r>
      <w:r>
        <w:rPr>
          <w:rFonts w:cs="Arial"/>
        </w:rPr>
        <w:t xml:space="preserve"> investigations in UPOV in 2014;</w:t>
      </w:r>
    </w:p>
    <w:p w:rsidR="009407D8" w:rsidRPr="00D6038F" w:rsidRDefault="009407D8" w:rsidP="009407D8">
      <w:pPr>
        <w:rPr>
          <w:rFonts w:cs="Arial"/>
        </w:rPr>
      </w:pPr>
    </w:p>
    <w:p w:rsidR="009407D8" w:rsidRPr="00D6038F" w:rsidRDefault="00CC281F" w:rsidP="009407D8">
      <w:pPr>
        <w:rPr>
          <w:rFonts w:cs="Arial"/>
        </w:rPr>
      </w:pPr>
      <w:r>
        <w:rPr>
          <w:rFonts w:cs="Arial"/>
        </w:rPr>
        <w:tab/>
        <w:t>(c)</w:t>
      </w:r>
      <w:r>
        <w:rPr>
          <w:rFonts w:cs="Arial"/>
        </w:rPr>
        <w:tab/>
      </w:r>
      <w:proofErr w:type="gramStart"/>
      <w:r w:rsidR="009407D8" w:rsidRPr="00D6038F">
        <w:rPr>
          <w:rFonts w:cs="Arial"/>
        </w:rPr>
        <w:t>noted</w:t>
      </w:r>
      <w:proofErr w:type="gramEnd"/>
      <w:r w:rsidR="009407D8" w:rsidRPr="00D6038F">
        <w:t xml:space="preserve"> </w:t>
      </w:r>
      <w:r w:rsidR="009407D8" w:rsidRPr="00D6038F">
        <w:rPr>
          <w:rFonts w:cs="Arial"/>
        </w:rPr>
        <w:t xml:space="preserve">the information contained in the </w:t>
      </w:r>
      <w:r w:rsidR="002117C1">
        <w:rPr>
          <w:rFonts w:cs="Arial"/>
        </w:rPr>
        <w:t xml:space="preserve">WIPO </w:t>
      </w:r>
      <w:r w:rsidR="009407D8" w:rsidRPr="00D6038F">
        <w:rPr>
          <w:rFonts w:cs="Arial"/>
        </w:rPr>
        <w:t>IAOC quarte</w:t>
      </w:r>
      <w:r>
        <w:rPr>
          <w:rFonts w:cs="Arial"/>
        </w:rPr>
        <w:t>rly reports for 2014 (documents </w:t>
      </w:r>
      <w:r w:rsidR="009407D8" w:rsidRPr="00D6038F">
        <w:rPr>
          <w:rFonts w:cs="Arial"/>
        </w:rPr>
        <w:t>WO/IAOC/32/2, WO/IAOC/33/2, WO/IAOC/34/2 and WO/IAOC/35/2), and</w:t>
      </w:r>
      <w:r>
        <w:rPr>
          <w:rFonts w:cs="Arial"/>
        </w:rPr>
        <w:t xml:space="preserve"> in the IAOC Annual Report 2013</w:t>
      </w:r>
      <w:r>
        <w:rPr>
          <w:rFonts w:cs="Arial"/>
        </w:rPr>
        <w:noBreakHyphen/>
        <w:t>2014 (document WO/GA/46/1);</w:t>
      </w:r>
    </w:p>
    <w:p w:rsidR="009407D8" w:rsidRDefault="009407D8" w:rsidP="009407D8"/>
    <w:p w:rsidR="009407D8" w:rsidRDefault="00CC281F" w:rsidP="009407D8">
      <w:r>
        <w:rPr>
          <w:rFonts w:cs="Arial"/>
        </w:rPr>
        <w:tab/>
        <w:t>(d)</w:t>
      </w:r>
      <w:r w:rsidR="009407D8" w:rsidRPr="00591C2F">
        <w:rPr>
          <w:rFonts w:cs="Arial"/>
        </w:rPr>
        <w:tab/>
      </w:r>
      <w:proofErr w:type="gramStart"/>
      <w:r w:rsidR="009407D8" w:rsidRPr="00591C2F">
        <w:rPr>
          <w:rFonts w:cs="Arial"/>
        </w:rPr>
        <w:t>agreed</w:t>
      </w:r>
      <w:proofErr w:type="gramEnd"/>
      <w:r w:rsidR="009407D8" w:rsidRPr="00591C2F">
        <w:rPr>
          <w:rFonts w:cs="Arial"/>
        </w:rPr>
        <w:t xml:space="preserve"> to invite the </w:t>
      </w:r>
      <w:r w:rsidR="009407D8" w:rsidRPr="00591C2F">
        <w:t>WIPO Internal Oversight Division (</w:t>
      </w:r>
      <w:r w:rsidR="009407D8" w:rsidRPr="00591C2F">
        <w:rPr>
          <w:rFonts w:cs="Arial"/>
        </w:rPr>
        <w:t xml:space="preserve">IOD) to give a presentation on its work at the ninetieth session and to consider plans for an internal audit of </w:t>
      </w:r>
      <w:r w:rsidR="009407D8">
        <w:rPr>
          <w:rFonts w:cs="Arial"/>
        </w:rPr>
        <w:t>UPOV in 2016</w:t>
      </w:r>
      <w:r w:rsidR="009407D8">
        <w:rPr>
          <w:rFonts w:cs="Arial"/>
        </w:rPr>
        <w:noBreakHyphen/>
        <w:t>2017</w:t>
      </w:r>
      <w:r>
        <w:rPr>
          <w:rFonts w:cs="Arial"/>
        </w:rPr>
        <w:t>;</w:t>
      </w:r>
    </w:p>
    <w:p w:rsidR="009407D8" w:rsidRDefault="009407D8" w:rsidP="009407D8"/>
    <w:p w:rsidR="009407D8" w:rsidRPr="00D6038F" w:rsidRDefault="00CC281F" w:rsidP="009407D8">
      <w:pPr>
        <w:rPr>
          <w:szCs w:val="24"/>
        </w:rPr>
      </w:pPr>
      <w:r w:rsidRPr="00CC281F">
        <w:tab/>
      </w:r>
      <w:r>
        <w:t>(e)</w:t>
      </w:r>
      <w:r w:rsidR="009407D8" w:rsidRPr="00D6038F">
        <w:tab/>
        <w:t xml:space="preserve">noted the developments </w:t>
      </w:r>
      <w:r w:rsidR="009407D8">
        <w:t>concerning the f</w:t>
      </w:r>
      <w:r w:rsidR="009407D8" w:rsidRPr="00960E3F">
        <w:t>inancing of long-term employee benefits</w:t>
      </w:r>
      <w:r w:rsidR="009407D8">
        <w:t xml:space="preserve"> </w:t>
      </w:r>
      <w:r w:rsidR="009407D8" w:rsidRPr="00D6038F">
        <w:t>and that any new developments with regard to the working group of the UN CEB</w:t>
      </w:r>
      <w:r w:rsidR="009407D8">
        <w:t xml:space="preserve"> Finance and Budget Network would</w:t>
      </w:r>
      <w:r w:rsidR="009407D8" w:rsidRPr="00D6038F">
        <w:t xml:space="preserve"> be reported to the Consultative Committee at its ninetieth sess</w:t>
      </w:r>
      <w:r>
        <w:t>ion, to be held in October 2015;</w:t>
      </w:r>
    </w:p>
    <w:p w:rsidR="009407D8" w:rsidRDefault="009407D8" w:rsidP="009407D8"/>
    <w:p w:rsidR="009407D8" w:rsidRPr="00D6038F" w:rsidRDefault="00CC281F" w:rsidP="009407D8">
      <w:pPr>
        <w:pStyle w:val="Inf4Normal"/>
        <w:spacing w:before="0"/>
      </w:pPr>
      <w:r>
        <w:tab/>
        <w:t>(</w:t>
      </w:r>
      <w:proofErr w:type="gramStart"/>
      <w:r>
        <w:t>f</w:t>
      </w:r>
      <w:proofErr w:type="gramEnd"/>
      <w:r>
        <w:t>)</w:t>
      </w:r>
      <w:r w:rsidR="009407D8" w:rsidRPr="00D6038F">
        <w:tab/>
      </w:r>
      <w:r w:rsidR="009407D8">
        <w:t xml:space="preserve">expressed its approval of </w:t>
      </w:r>
      <w:r w:rsidR="009407D8" w:rsidRPr="00D6038F">
        <w:t>the review of the UPOV t</w:t>
      </w:r>
      <w:r>
        <w:t>raining and assistance strategy;</w:t>
      </w:r>
    </w:p>
    <w:p w:rsidR="009407D8" w:rsidRPr="00D6038F" w:rsidRDefault="009407D8" w:rsidP="009407D8">
      <w:pPr>
        <w:pStyle w:val="Inf4Normal"/>
        <w:spacing w:before="0"/>
      </w:pPr>
    </w:p>
    <w:p w:rsidR="009407D8" w:rsidRDefault="00CC281F" w:rsidP="009407D8">
      <w:pPr>
        <w:pStyle w:val="Inf4Normal"/>
        <w:spacing w:before="0"/>
      </w:pPr>
      <w:r>
        <w:tab/>
        <w:t>(g)</w:t>
      </w:r>
      <w:r w:rsidR="009407D8" w:rsidRPr="00D6038F">
        <w:tab/>
      </w:r>
      <w:proofErr w:type="gramStart"/>
      <w:r w:rsidR="009407D8" w:rsidRPr="00D6038F">
        <w:t>approved</w:t>
      </w:r>
      <w:proofErr w:type="gramEnd"/>
      <w:r w:rsidR="009407D8" w:rsidRPr="00D6038F">
        <w:t xml:space="preserve"> the planned use of the Special Project Fund for training purposes in the context of the UPOV t</w:t>
      </w:r>
      <w:r>
        <w:t>raining and assistance strategy;</w:t>
      </w:r>
    </w:p>
    <w:p w:rsidR="009407D8" w:rsidRDefault="009407D8" w:rsidP="009407D8"/>
    <w:p w:rsidR="009407D8" w:rsidRPr="0057279F" w:rsidRDefault="00CC281F" w:rsidP="009407D8">
      <w:pPr>
        <w:rPr>
          <w:snapToGrid w:val="0"/>
        </w:rPr>
      </w:pPr>
      <w:r>
        <w:rPr>
          <w:snapToGrid w:val="0"/>
        </w:rPr>
        <w:tab/>
        <w:t>(h)</w:t>
      </w:r>
      <w:r w:rsidR="009407D8" w:rsidRPr="0057279F">
        <w:rPr>
          <w:snapToGrid w:val="0"/>
        </w:rPr>
        <w:tab/>
      </w:r>
      <w:proofErr w:type="gramStart"/>
      <w:r w:rsidR="009407D8" w:rsidRPr="0057279F">
        <w:rPr>
          <w:snapToGrid w:val="0"/>
        </w:rPr>
        <w:t>noted</w:t>
      </w:r>
      <w:proofErr w:type="gramEnd"/>
      <w:r w:rsidR="009407D8" w:rsidRPr="0057279F">
        <w:rPr>
          <w:snapToGrid w:val="0"/>
        </w:rPr>
        <w:t xml:space="preserve"> the estimated income and expenditure for 2014, and the comments in relation to anticipated income and expenditure for the 2014-2015 Biennium, in relation to its consideration of the preparation of the Draft Program and Budget of the U</w:t>
      </w:r>
      <w:r>
        <w:rPr>
          <w:snapToGrid w:val="0"/>
        </w:rPr>
        <w:t>nion for the 2016</w:t>
      </w:r>
      <w:r>
        <w:rPr>
          <w:snapToGrid w:val="0"/>
        </w:rPr>
        <w:noBreakHyphen/>
        <w:t>2017 Biennium;</w:t>
      </w:r>
    </w:p>
    <w:p w:rsidR="009407D8" w:rsidRPr="0057279F" w:rsidRDefault="009407D8" w:rsidP="009407D8"/>
    <w:p w:rsidR="009407D8" w:rsidRPr="00591C2F" w:rsidRDefault="00CC281F" w:rsidP="009407D8">
      <w:pPr>
        <w:rPr>
          <w:snapToGrid w:val="0"/>
        </w:rPr>
      </w:pPr>
      <w:r>
        <w:rPr>
          <w:snapToGrid w:val="0"/>
        </w:rPr>
        <w:tab/>
        <w:t>(</w:t>
      </w:r>
      <w:proofErr w:type="spellStart"/>
      <w:r>
        <w:rPr>
          <w:snapToGrid w:val="0"/>
        </w:rPr>
        <w:t>i</w:t>
      </w:r>
      <w:proofErr w:type="spellEnd"/>
      <w:r>
        <w:rPr>
          <w:snapToGrid w:val="0"/>
        </w:rPr>
        <w:t>)</w:t>
      </w:r>
      <w:r w:rsidR="009407D8">
        <w:rPr>
          <w:snapToGrid w:val="0"/>
        </w:rPr>
        <w:tab/>
      </w:r>
      <w:proofErr w:type="gramStart"/>
      <w:r w:rsidR="009407D8" w:rsidRPr="00F5074B">
        <w:rPr>
          <w:snapToGrid w:val="0"/>
        </w:rPr>
        <w:t>agreed</w:t>
      </w:r>
      <w:proofErr w:type="gramEnd"/>
      <w:r w:rsidR="009407D8" w:rsidRPr="00F5074B">
        <w:rPr>
          <w:snapToGrid w:val="0"/>
        </w:rPr>
        <w:t xml:space="preserve"> the structure and contents f</w:t>
      </w:r>
      <w:r w:rsidR="009407D8">
        <w:rPr>
          <w:snapToGrid w:val="0"/>
        </w:rPr>
        <w:t>or the preparation of the Draft </w:t>
      </w:r>
      <w:r w:rsidR="009407D8" w:rsidRPr="00F5074B">
        <w:rPr>
          <w:snapToGrid w:val="0"/>
        </w:rPr>
        <w:t>Pro</w:t>
      </w:r>
      <w:r>
        <w:rPr>
          <w:snapToGrid w:val="0"/>
        </w:rPr>
        <w:t>gram and Budget of the </w:t>
      </w:r>
      <w:r w:rsidR="009407D8" w:rsidRPr="00F5074B">
        <w:rPr>
          <w:snapToGrid w:val="0"/>
        </w:rPr>
        <w:t>Union for the 201</w:t>
      </w:r>
      <w:r w:rsidR="009407D8">
        <w:rPr>
          <w:snapToGrid w:val="0"/>
        </w:rPr>
        <w:t>6</w:t>
      </w:r>
      <w:r w:rsidR="009407D8" w:rsidRPr="00F5074B">
        <w:rPr>
          <w:snapToGrid w:val="0"/>
        </w:rPr>
        <w:t>-201</w:t>
      </w:r>
      <w:r w:rsidR="009407D8">
        <w:rPr>
          <w:snapToGrid w:val="0"/>
        </w:rPr>
        <w:t>7</w:t>
      </w:r>
      <w:r w:rsidR="009407D8" w:rsidRPr="00F5074B">
        <w:rPr>
          <w:snapToGrid w:val="0"/>
        </w:rPr>
        <w:t xml:space="preserve"> Biennium</w:t>
      </w:r>
      <w:r w:rsidR="009407D8" w:rsidRPr="00591C2F">
        <w:rPr>
          <w:snapToGrid w:val="0"/>
        </w:rPr>
        <w:t>, subject to a rev</w:t>
      </w:r>
      <w:r>
        <w:rPr>
          <w:snapToGrid w:val="0"/>
        </w:rPr>
        <w:t>iew of the income from interest;</w:t>
      </w:r>
    </w:p>
    <w:p w:rsidR="009407D8" w:rsidRDefault="009407D8" w:rsidP="009407D8"/>
    <w:p w:rsidR="009407D8" w:rsidRPr="004E2AB4" w:rsidRDefault="00CC281F" w:rsidP="009407D8">
      <w:pPr>
        <w:rPr>
          <w:snapToGrid w:val="0"/>
        </w:rPr>
      </w:pPr>
      <w:r>
        <w:rPr>
          <w:snapToGrid w:val="0"/>
        </w:rPr>
        <w:tab/>
        <w:t>(j)</w:t>
      </w:r>
      <w:r w:rsidR="009407D8" w:rsidRPr="00155DC8">
        <w:rPr>
          <w:snapToGrid w:val="0"/>
        </w:rPr>
        <w:tab/>
      </w:r>
      <w:proofErr w:type="gramStart"/>
      <w:r w:rsidR="009407D8" w:rsidRPr="00155DC8">
        <w:rPr>
          <w:snapToGrid w:val="0"/>
        </w:rPr>
        <w:t>concluded</w:t>
      </w:r>
      <w:proofErr w:type="gramEnd"/>
      <w:r w:rsidR="009407D8" w:rsidRPr="00155DC8">
        <w:rPr>
          <w:snapToGrid w:val="0"/>
        </w:rPr>
        <w:t xml:space="preserve"> that more time was needed to discuss the issues raised by a possible international system of cooperation and agreed that the matter should be considered further at its ninetieth session.  In order to facilitate its considerations, the Consultative Committee agreed that the Office of the Union should produce a document with more information about the need for an international system, providing a busi</w:t>
      </w:r>
      <w:r>
        <w:rPr>
          <w:snapToGrid w:val="0"/>
        </w:rPr>
        <w:t>ness analysis and cost estimate;</w:t>
      </w:r>
    </w:p>
    <w:p w:rsidR="009407D8" w:rsidRDefault="009407D8" w:rsidP="009407D8"/>
    <w:p w:rsidR="009407D8" w:rsidRPr="009A19D4" w:rsidRDefault="00CC281F" w:rsidP="009407D8">
      <w:pPr>
        <w:rPr>
          <w:rFonts w:cs="Arial"/>
        </w:rPr>
      </w:pPr>
      <w:r>
        <w:rPr>
          <w:snapToGrid w:val="0"/>
        </w:rPr>
        <w:tab/>
        <w:t>(</w:t>
      </w:r>
      <w:proofErr w:type="gramStart"/>
      <w:r>
        <w:rPr>
          <w:snapToGrid w:val="0"/>
        </w:rPr>
        <w:t>k</w:t>
      </w:r>
      <w:proofErr w:type="gramEnd"/>
      <w:r>
        <w:rPr>
          <w:snapToGrid w:val="0"/>
        </w:rPr>
        <w:t>)</w:t>
      </w:r>
      <w:r w:rsidR="009407D8" w:rsidRPr="009A19D4">
        <w:rPr>
          <w:snapToGrid w:val="0"/>
        </w:rPr>
        <w:tab/>
      </w:r>
      <w:r w:rsidR="009407D8" w:rsidRPr="009A19D4">
        <w:t xml:space="preserve">noted the information on historic documents that </w:t>
      </w:r>
      <w:r w:rsidR="009407D8">
        <w:t>had</w:t>
      </w:r>
      <w:r w:rsidR="009407D8" w:rsidRPr="009A19D4">
        <w:t xml:space="preserve"> bee</w:t>
      </w:r>
      <w:r>
        <w:t>n uploaded on the UPOV website;</w:t>
      </w:r>
    </w:p>
    <w:p w:rsidR="009407D8" w:rsidRPr="009A19D4" w:rsidRDefault="009407D8" w:rsidP="009407D8">
      <w:pPr>
        <w:rPr>
          <w:snapToGrid w:val="0"/>
        </w:rPr>
      </w:pPr>
    </w:p>
    <w:p w:rsidR="009407D8" w:rsidRDefault="00CC281F" w:rsidP="009407D8">
      <w:r>
        <w:rPr>
          <w:rFonts w:cs="Arial"/>
        </w:rPr>
        <w:tab/>
        <w:t>(l)</w:t>
      </w:r>
      <w:r w:rsidR="009407D8" w:rsidRPr="009A19D4">
        <w:rPr>
          <w:rFonts w:cs="Arial"/>
        </w:rPr>
        <w:tab/>
      </w:r>
      <w:proofErr w:type="gramStart"/>
      <w:r w:rsidR="009407D8" w:rsidRPr="009A19D4">
        <w:rPr>
          <w:rFonts w:cs="Arial"/>
        </w:rPr>
        <w:t>noted</w:t>
      </w:r>
      <w:proofErr w:type="gramEnd"/>
      <w:r w:rsidR="009407D8" w:rsidRPr="009A19D4">
        <w:rPr>
          <w:rFonts w:cs="Arial"/>
        </w:rPr>
        <w:t xml:space="preserve"> that </w:t>
      </w:r>
      <w:r w:rsidR="009407D8" w:rsidRPr="009A19D4">
        <w:t xml:space="preserve">information concerning consultants that </w:t>
      </w:r>
      <w:r w:rsidR="009407D8">
        <w:t>had been</w:t>
      </w:r>
      <w:r w:rsidR="009407D8" w:rsidRPr="009A19D4">
        <w:t xml:space="preserve"> used by UPOV in 2014 </w:t>
      </w:r>
      <w:r w:rsidR="009407D8">
        <w:t>would</w:t>
      </w:r>
      <w:r w:rsidR="009407D8" w:rsidRPr="009A19D4">
        <w:t xml:space="preserve"> be presented to the Consultative Committee at its nine</w:t>
      </w:r>
      <w:r>
        <w:t>tieth session, in October 2015;</w:t>
      </w:r>
    </w:p>
    <w:p w:rsidR="009407D8" w:rsidRDefault="009407D8" w:rsidP="009407D8"/>
    <w:p w:rsidR="009407D8" w:rsidRDefault="00CC281F" w:rsidP="009407D8">
      <w:pPr>
        <w:rPr>
          <w:snapToGrid w:val="0"/>
        </w:rPr>
      </w:pPr>
      <w:r>
        <w:rPr>
          <w:rFonts w:cs="Arial"/>
        </w:rPr>
        <w:tab/>
        <w:t>(m)</w:t>
      </w:r>
      <w:r>
        <w:rPr>
          <w:rFonts w:cs="Arial"/>
        </w:rPr>
        <w:tab/>
      </w:r>
      <w:proofErr w:type="gramStart"/>
      <w:r w:rsidR="009407D8" w:rsidRPr="00591C2F">
        <w:rPr>
          <w:rFonts w:cs="Arial"/>
        </w:rPr>
        <w:t>agreed</w:t>
      </w:r>
      <w:proofErr w:type="gramEnd"/>
      <w:r w:rsidR="009407D8" w:rsidRPr="00591C2F">
        <w:rPr>
          <w:rFonts w:cs="Arial"/>
        </w:rPr>
        <w:t xml:space="preserve"> to consider proposals in relation to a policy on documents, including </w:t>
      </w:r>
      <w:r w:rsidR="009407D8">
        <w:rPr>
          <w:rFonts w:cs="Arial"/>
        </w:rPr>
        <w:t xml:space="preserve">communications </w:t>
      </w:r>
      <w:r w:rsidR="009407D8" w:rsidRPr="00591C2F">
        <w:rPr>
          <w:rFonts w:cs="Arial"/>
        </w:rPr>
        <w:t>provided by observers, at its ninetieth session</w:t>
      </w:r>
      <w:r>
        <w:t>;</w:t>
      </w:r>
    </w:p>
    <w:p w:rsidR="009407D8" w:rsidRDefault="009407D8" w:rsidP="009407D8"/>
    <w:p w:rsidR="009407D8" w:rsidRDefault="009407D8" w:rsidP="009407D8">
      <w:pPr>
        <w:keepNext/>
        <w:rPr>
          <w:snapToGrid w:val="0"/>
          <w:color w:val="000000" w:themeColor="text1"/>
        </w:rPr>
      </w:pPr>
      <w:r w:rsidRPr="00073ECC">
        <w:rPr>
          <w:snapToGrid w:val="0"/>
          <w:color w:val="000000" w:themeColor="text1"/>
        </w:rPr>
        <w:tab/>
      </w:r>
      <w:r w:rsidR="00CC281F">
        <w:rPr>
          <w:snapToGrid w:val="0"/>
          <w:color w:val="000000" w:themeColor="text1"/>
        </w:rPr>
        <w:t>(n)</w:t>
      </w:r>
      <w:r w:rsidR="00CC281F">
        <w:rPr>
          <w:snapToGrid w:val="0"/>
          <w:color w:val="000000" w:themeColor="text1"/>
        </w:rPr>
        <w:tab/>
      </w:r>
      <w:proofErr w:type="gramStart"/>
      <w:r w:rsidRPr="00073ECC">
        <w:rPr>
          <w:snapToGrid w:val="0"/>
          <w:color w:val="000000" w:themeColor="text1"/>
        </w:rPr>
        <w:t>noted</w:t>
      </w:r>
      <w:proofErr w:type="gramEnd"/>
      <w:r w:rsidR="007B19B3">
        <w:rPr>
          <w:snapToGrid w:val="0"/>
          <w:color w:val="000000" w:themeColor="text1"/>
        </w:rPr>
        <w:t>, in relation to the communication strategy,</w:t>
      </w:r>
      <w:r w:rsidRPr="00073ECC">
        <w:rPr>
          <w:snapToGrid w:val="0"/>
          <w:color w:val="000000" w:themeColor="text1"/>
        </w:rPr>
        <w:t xml:space="preserve"> th</w:t>
      </w:r>
      <w:r>
        <w:rPr>
          <w:snapToGrid w:val="0"/>
          <w:color w:val="000000" w:themeColor="text1"/>
        </w:rPr>
        <w:t>at:</w:t>
      </w:r>
    </w:p>
    <w:p w:rsidR="009407D8" w:rsidRDefault="009407D8" w:rsidP="009407D8">
      <w:pPr>
        <w:keepNext/>
        <w:rPr>
          <w:snapToGrid w:val="0"/>
          <w:color w:val="000000" w:themeColor="text1"/>
        </w:rPr>
      </w:pPr>
    </w:p>
    <w:p w:rsidR="009407D8" w:rsidRPr="000C1C5C" w:rsidRDefault="00CC281F" w:rsidP="009407D8">
      <w:pPr>
        <w:ind w:firstLine="567"/>
      </w:pPr>
      <w:r>
        <w:rPr>
          <w:snapToGrid w:val="0"/>
          <w:color w:val="000000" w:themeColor="text1"/>
        </w:rPr>
        <w:tab/>
      </w:r>
      <w:r w:rsidR="009407D8" w:rsidRPr="000C1C5C">
        <w:rPr>
          <w:snapToGrid w:val="0"/>
          <w:color w:val="000000" w:themeColor="text1"/>
        </w:rPr>
        <w:t>(</w:t>
      </w:r>
      <w:proofErr w:type="spellStart"/>
      <w:r w:rsidR="009407D8" w:rsidRPr="000C1C5C">
        <w:rPr>
          <w:snapToGrid w:val="0"/>
          <w:color w:val="000000" w:themeColor="text1"/>
        </w:rPr>
        <w:t>i</w:t>
      </w:r>
      <w:proofErr w:type="spellEnd"/>
      <w:r w:rsidR="009407D8" w:rsidRPr="000C1C5C">
        <w:rPr>
          <w:snapToGrid w:val="0"/>
          <w:color w:val="000000" w:themeColor="text1"/>
        </w:rPr>
        <w:t>)</w:t>
      </w:r>
      <w:r w:rsidR="009407D8" w:rsidRPr="000C1C5C">
        <w:tab/>
        <w:t xml:space="preserve">stakeholder-focused features </w:t>
      </w:r>
      <w:r w:rsidR="009407D8">
        <w:t>would</w:t>
      </w:r>
      <w:r w:rsidR="009407D8" w:rsidRPr="000C1C5C">
        <w:t xml:space="preserve"> be introduced on the UPOV website during 2015;</w:t>
      </w:r>
    </w:p>
    <w:p w:rsidR="009407D8" w:rsidRPr="000C1C5C" w:rsidRDefault="009407D8" w:rsidP="009407D8">
      <w:pPr>
        <w:ind w:firstLine="567"/>
      </w:pPr>
    </w:p>
    <w:p w:rsidR="009407D8" w:rsidRPr="001749F0" w:rsidRDefault="00CC281F" w:rsidP="009407D8">
      <w:pPr>
        <w:ind w:firstLine="567"/>
      </w:pPr>
      <w:r>
        <w:tab/>
      </w:r>
      <w:r w:rsidR="009407D8" w:rsidRPr="001749F0">
        <w:t>(ii)</w:t>
      </w:r>
      <w:r w:rsidR="009407D8" w:rsidRPr="001749F0">
        <w:tab/>
        <w:t>conclusions of the Technical Committee on the draft FAQ concerning information on the situation in UPOV with regard to the use of molecular techniques for a wider audience, including the public in general, would be reported to the Consultative Committee for consideration at its ninety-first session, to be held in March 2016;</w:t>
      </w:r>
    </w:p>
    <w:p w:rsidR="009407D8" w:rsidRPr="001749F0" w:rsidRDefault="009407D8" w:rsidP="009407D8">
      <w:pPr>
        <w:ind w:firstLine="567"/>
      </w:pPr>
    </w:p>
    <w:p w:rsidR="009407D8" w:rsidRPr="000C1C5C" w:rsidRDefault="00CC281F" w:rsidP="009407D8">
      <w:pPr>
        <w:ind w:firstLine="567"/>
      </w:pPr>
      <w:r>
        <w:tab/>
      </w:r>
      <w:r w:rsidR="009407D8" w:rsidRPr="001749F0">
        <w:t>(iii)</w:t>
      </w:r>
      <w:r w:rsidR="009407D8" w:rsidRPr="001749F0">
        <w:tab/>
        <w:t>the Office of the Union would seek to develop a brief, illustrative explanation of the benefits of</w:t>
      </w:r>
      <w:r w:rsidR="009407D8" w:rsidRPr="000C1C5C">
        <w:t xml:space="preserve"> the UPOV system aimed at an audience with no previous knowledge of plant breeding or plant variety protection and/or illustrative examples of the benefits of plant variety protection, in 2015 or 2016;</w:t>
      </w:r>
    </w:p>
    <w:p w:rsidR="009407D8" w:rsidRPr="000C1C5C" w:rsidRDefault="009407D8" w:rsidP="009407D8">
      <w:pPr>
        <w:ind w:firstLine="567"/>
      </w:pPr>
    </w:p>
    <w:p w:rsidR="009407D8" w:rsidRPr="000C1C5C" w:rsidRDefault="00CC281F" w:rsidP="009407D8">
      <w:pPr>
        <w:ind w:firstLine="567"/>
      </w:pPr>
      <w:r>
        <w:tab/>
      </w:r>
      <w:r w:rsidR="009407D8" w:rsidRPr="000C1C5C">
        <w:t>(iv)</w:t>
      </w:r>
      <w:r w:rsidR="009407D8" w:rsidRPr="000C1C5C">
        <w:tab/>
      </w:r>
      <w:proofErr w:type="gramStart"/>
      <w:r w:rsidR="009407D8" w:rsidRPr="000C1C5C">
        <w:t>a</w:t>
      </w:r>
      <w:proofErr w:type="gramEnd"/>
      <w:r w:rsidR="009407D8" w:rsidRPr="000C1C5C">
        <w:t xml:space="preserve"> report on the use of e-workshops </w:t>
      </w:r>
      <w:r w:rsidR="009407D8">
        <w:t>would</w:t>
      </w:r>
      <w:r w:rsidR="009407D8" w:rsidRPr="000C1C5C">
        <w:t xml:space="preserve"> be made to the Consulta</w:t>
      </w:r>
      <w:r w:rsidR="009407D8">
        <w:t>tive Committee at its ninetieth </w:t>
      </w:r>
      <w:r w:rsidR="009407D8" w:rsidRPr="000C1C5C">
        <w:t>session and to the Council at its forty-ninth ordinary session;</w:t>
      </w:r>
    </w:p>
    <w:p w:rsidR="009407D8" w:rsidRPr="000C1C5C" w:rsidRDefault="009407D8" w:rsidP="009407D8">
      <w:pPr>
        <w:ind w:firstLine="567"/>
      </w:pPr>
    </w:p>
    <w:p w:rsidR="009407D8" w:rsidRPr="000C1C5C" w:rsidRDefault="00CC281F" w:rsidP="009407D8">
      <w:pPr>
        <w:ind w:firstLine="567"/>
      </w:pPr>
      <w:r>
        <w:tab/>
      </w:r>
      <w:r w:rsidR="009407D8" w:rsidRPr="000C1C5C">
        <w:t>(v)</w:t>
      </w:r>
      <w:r w:rsidR="009407D8" w:rsidRPr="000C1C5C">
        <w:tab/>
      </w:r>
      <w:proofErr w:type="gramStart"/>
      <w:r w:rsidR="009407D8" w:rsidRPr="000C1C5C">
        <w:t>the</w:t>
      </w:r>
      <w:proofErr w:type="gramEnd"/>
      <w:r w:rsidR="009407D8" w:rsidRPr="000C1C5C">
        <w:t xml:space="preserve"> introduction of a UPOV channel on YouTube </w:t>
      </w:r>
      <w:r w:rsidR="009407D8">
        <w:t xml:space="preserve">would </w:t>
      </w:r>
      <w:r w:rsidR="009407D8" w:rsidRPr="000C1C5C">
        <w:t>be arranged after the introduction of a new UPOV logo;</w:t>
      </w:r>
    </w:p>
    <w:p w:rsidR="009407D8" w:rsidRPr="000C1C5C" w:rsidRDefault="009407D8" w:rsidP="009407D8">
      <w:pPr>
        <w:ind w:firstLine="567"/>
      </w:pPr>
    </w:p>
    <w:p w:rsidR="009407D8" w:rsidRPr="000C1C5C" w:rsidRDefault="00CC281F" w:rsidP="009407D8">
      <w:pPr>
        <w:ind w:firstLine="567"/>
      </w:pPr>
      <w:r>
        <w:tab/>
      </w:r>
      <w:r w:rsidR="009407D8" w:rsidRPr="000C1C5C">
        <w:t>(vi)</w:t>
      </w:r>
      <w:r w:rsidR="009407D8" w:rsidRPr="000C1C5C">
        <w:tab/>
      </w:r>
      <w:proofErr w:type="gramStart"/>
      <w:r w:rsidR="009407D8" w:rsidRPr="000C1C5C">
        <w:t>the</w:t>
      </w:r>
      <w:proofErr w:type="gramEnd"/>
      <w:r w:rsidR="009407D8" w:rsidRPr="000C1C5C">
        <w:t xml:space="preserve"> results of the communication strategy </w:t>
      </w:r>
      <w:r w:rsidR="009407D8">
        <w:t xml:space="preserve">would </w:t>
      </w:r>
      <w:r w:rsidR="009407D8" w:rsidRPr="000C1C5C">
        <w:t>be reported as a part of the annual report of the Secretary-General and performan</w:t>
      </w:r>
      <w:r w:rsidR="009407D8">
        <w:t>ce report for the biennium.</w:t>
      </w:r>
    </w:p>
    <w:p w:rsidR="009407D8" w:rsidRPr="007A05B3" w:rsidRDefault="009407D8" w:rsidP="009407D8">
      <w:pPr>
        <w:rPr>
          <w:snapToGrid w:val="0"/>
          <w:color w:val="000000" w:themeColor="text1"/>
        </w:rPr>
      </w:pPr>
    </w:p>
    <w:p w:rsidR="009407D8" w:rsidRDefault="00CC281F" w:rsidP="009407D8">
      <w:pPr>
        <w:rPr>
          <w:snapToGrid w:val="0"/>
          <w:color w:val="000000" w:themeColor="text1"/>
        </w:rPr>
      </w:pPr>
      <w:r>
        <w:rPr>
          <w:snapToGrid w:val="0"/>
          <w:color w:val="000000" w:themeColor="text1"/>
        </w:rPr>
        <w:tab/>
        <w:t>(o)</w:t>
      </w:r>
      <w:r>
        <w:rPr>
          <w:snapToGrid w:val="0"/>
          <w:color w:val="000000" w:themeColor="text1"/>
        </w:rPr>
        <w:tab/>
      </w:r>
      <w:proofErr w:type="gramStart"/>
      <w:r w:rsidR="009407D8">
        <w:rPr>
          <w:snapToGrid w:val="0"/>
          <w:color w:val="000000" w:themeColor="text1"/>
        </w:rPr>
        <w:t>recommended</w:t>
      </w:r>
      <w:proofErr w:type="gramEnd"/>
      <w:r w:rsidR="009407D8" w:rsidRPr="000C1C5C">
        <w:rPr>
          <w:snapToGrid w:val="0"/>
          <w:color w:val="000000" w:themeColor="text1"/>
        </w:rPr>
        <w:t xml:space="preserve"> to the Council to revise the answer to the FAQ “Can I obtain protection for more than one country from a single application?”</w:t>
      </w:r>
      <w:r w:rsidR="009407D8">
        <w:rPr>
          <w:snapToGrid w:val="0"/>
          <w:color w:val="000000" w:themeColor="text1"/>
        </w:rPr>
        <w:t>,</w:t>
      </w:r>
      <w:r w:rsidR="009407D8" w:rsidRPr="000C1C5C">
        <w:rPr>
          <w:snapToGrid w:val="0"/>
          <w:color w:val="000000" w:themeColor="text1"/>
        </w:rPr>
        <w:t xml:space="preserve"> as </w:t>
      </w:r>
      <w:r w:rsidR="009407D8">
        <w:rPr>
          <w:snapToGrid w:val="0"/>
          <w:color w:val="000000" w:themeColor="text1"/>
        </w:rPr>
        <w:t>follows:</w:t>
      </w:r>
    </w:p>
    <w:p w:rsidR="009407D8" w:rsidRDefault="009407D8" w:rsidP="009407D8">
      <w:pPr>
        <w:rPr>
          <w:rFonts w:cs="Arial"/>
        </w:rPr>
      </w:pPr>
    </w:p>
    <w:p w:rsidR="009407D8" w:rsidRPr="001D0E79" w:rsidRDefault="009407D8" w:rsidP="009407D8">
      <w:pPr>
        <w:ind w:left="567" w:right="567"/>
        <w:rPr>
          <w:rFonts w:cs="Arial"/>
          <w:sz w:val="18"/>
        </w:rPr>
      </w:pPr>
      <w:r w:rsidRPr="001D0E79">
        <w:rPr>
          <w:rFonts w:cs="Arial"/>
          <w:sz w:val="18"/>
        </w:rPr>
        <w:t xml:space="preserve">“In order to obtain protection the breeder needs to file an application with the authority of each UPOV member where protection is sought. </w:t>
      </w:r>
      <w:r>
        <w:rPr>
          <w:rFonts w:cs="Arial"/>
          <w:sz w:val="18"/>
        </w:rPr>
        <w:t xml:space="preserve"> </w:t>
      </w:r>
      <w:r w:rsidRPr="001D0E79">
        <w:rPr>
          <w:rFonts w:cs="Arial"/>
          <w:sz w:val="18"/>
        </w:rPr>
        <w:t xml:space="preserve">The European Union operates a </w:t>
      </w:r>
      <w:r w:rsidRPr="001D0E79">
        <w:rPr>
          <w:rFonts w:cs="Arial"/>
          <w:strike/>
          <w:sz w:val="18"/>
        </w:rPr>
        <w:t>(supranational) community</w:t>
      </w:r>
      <w:r w:rsidRPr="001D0E79">
        <w:rPr>
          <w:rFonts w:cs="Arial"/>
          <w:sz w:val="18"/>
        </w:rPr>
        <w:t xml:space="preserve"> plant</w:t>
      </w:r>
      <w:r>
        <w:rPr>
          <w:rFonts w:cs="Arial"/>
          <w:sz w:val="18"/>
        </w:rPr>
        <w:t xml:space="preserve"> </w:t>
      </w:r>
      <w:r w:rsidRPr="00D601DF">
        <w:rPr>
          <w:rFonts w:cs="Arial"/>
          <w:strike/>
          <w:sz w:val="18"/>
        </w:rPr>
        <w:t>variety</w:t>
      </w:r>
      <w:r>
        <w:rPr>
          <w:rFonts w:cs="Arial"/>
          <w:sz w:val="18"/>
        </w:rPr>
        <w:t xml:space="preserve"> </w:t>
      </w:r>
      <w:r w:rsidRPr="00D601DF">
        <w:rPr>
          <w:rFonts w:cs="Arial"/>
          <w:sz w:val="18"/>
          <w:u w:val="single"/>
        </w:rPr>
        <w:t>breeders’</w:t>
      </w:r>
      <w:r w:rsidRPr="001D0E79">
        <w:rPr>
          <w:rFonts w:cs="Arial"/>
          <w:sz w:val="18"/>
        </w:rPr>
        <w:t xml:space="preserve"> rights system which covers the territory of its 28 member States.</w:t>
      </w:r>
      <w:r>
        <w:rPr>
          <w:rFonts w:cs="Arial"/>
          <w:sz w:val="18"/>
        </w:rPr>
        <w:t xml:space="preserve"> </w:t>
      </w:r>
      <w:r w:rsidRPr="001D0E79">
        <w:rPr>
          <w:rFonts w:cs="Arial"/>
          <w:sz w:val="18"/>
        </w:rPr>
        <w:t xml:space="preserve"> </w:t>
      </w:r>
      <w:r w:rsidRPr="001D0E79">
        <w:rPr>
          <w:rFonts w:cs="Arial"/>
          <w:sz w:val="18"/>
          <w:u w:val="single"/>
        </w:rPr>
        <w:t xml:space="preserve">The African Intellectual Property Organization operates a plant </w:t>
      </w:r>
      <w:r>
        <w:rPr>
          <w:rFonts w:cs="Arial"/>
          <w:sz w:val="18"/>
          <w:u w:val="single"/>
        </w:rPr>
        <w:t xml:space="preserve">breeders’ </w:t>
      </w:r>
      <w:r w:rsidRPr="001D0E79">
        <w:rPr>
          <w:rFonts w:cs="Arial"/>
          <w:sz w:val="18"/>
          <w:u w:val="single"/>
        </w:rPr>
        <w:t>rights system which covers the territory of its 17 member States.</w:t>
      </w:r>
      <w:r w:rsidRPr="001D0E79">
        <w:rPr>
          <w:rFonts w:cs="Arial"/>
          <w:sz w:val="18"/>
        </w:rPr>
        <w:t xml:space="preserve"> </w:t>
      </w:r>
      <w:r>
        <w:rPr>
          <w:rFonts w:cs="Arial"/>
          <w:sz w:val="18"/>
        </w:rPr>
        <w:t xml:space="preserve"> </w:t>
      </w:r>
      <w:r w:rsidRPr="001D0E79">
        <w:rPr>
          <w:rFonts w:cs="Arial"/>
          <w:sz w:val="18"/>
        </w:rPr>
        <w:t xml:space="preserve">Contact details of the authorities responsible for the granting of breeders’ rights are provided at </w:t>
      </w:r>
      <w:hyperlink r:id="rId9" w:history="1">
        <w:r w:rsidRPr="001D0E79">
          <w:rPr>
            <w:rStyle w:val="Hyperlink"/>
            <w:rFonts w:cs="Arial"/>
            <w:sz w:val="18"/>
          </w:rPr>
          <w:t>http://www.upov.int/members/en/pvp_offices.html</w:t>
        </w:r>
      </w:hyperlink>
      <w:r w:rsidRPr="001D0E79">
        <w:rPr>
          <w:rFonts w:cs="Arial"/>
          <w:sz w:val="18"/>
        </w:rPr>
        <w:t>.”</w:t>
      </w:r>
    </w:p>
    <w:p w:rsidR="009407D8" w:rsidRPr="000C1C5C" w:rsidRDefault="009407D8" w:rsidP="009407D8">
      <w:pPr>
        <w:rPr>
          <w:snapToGrid w:val="0"/>
          <w:color w:val="000000" w:themeColor="text1"/>
        </w:rPr>
      </w:pPr>
    </w:p>
    <w:p w:rsidR="009407D8" w:rsidRPr="000C1C5C" w:rsidRDefault="00CC281F" w:rsidP="009407D8">
      <w:pPr>
        <w:rPr>
          <w:snapToGrid w:val="0"/>
        </w:rPr>
      </w:pPr>
      <w:r>
        <w:tab/>
        <w:t>(p)</w:t>
      </w:r>
      <w:r w:rsidR="009407D8" w:rsidRPr="000C1C5C">
        <w:tab/>
      </w:r>
      <w:proofErr w:type="gramStart"/>
      <w:r w:rsidR="009407D8" w:rsidRPr="000C1C5C">
        <w:rPr>
          <w:snapToGrid w:val="0"/>
        </w:rPr>
        <w:t>noted</w:t>
      </w:r>
      <w:proofErr w:type="gramEnd"/>
      <w:r w:rsidR="009407D8" w:rsidRPr="000C1C5C">
        <w:rPr>
          <w:snapToGrid w:val="0"/>
        </w:rPr>
        <w:t xml:space="preserve"> the developments concerning possible areas of interrelations among the international instrument</w:t>
      </w:r>
      <w:r>
        <w:rPr>
          <w:snapToGrid w:val="0"/>
        </w:rPr>
        <w:t>s of the ITPGRFA, WIPO and UPOV; and</w:t>
      </w:r>
    </w:p>
    <w:p w:rsidR="009407D8" w:rsidRDefault="009407D8" w:rsidP="009407D8"/>
    <w:p w:rsidR="009407D8" w:rsidRDefault="00CC281F" w:rsidP="009407D8">
      <w:r>
        <w:tab/>
        <w:t>(q)</w:t>
      </w:r>
      <w:r w:rsidR="009407D8" w:rsidRPr="00D94656">
        <w:tab/>
      </w:r>
      <w:proofErr w:type="gramStart"/>
      <w:r w:rsidR="009407D8" w:rsidRPr="00D94656">
        <w:t>noted</w:t>
      </w:r>
      <w:proofErr w:type="gramEnd"/>
      <w:r w:rsidR="009407D8" w:rsidRPr="00D94656">
        <w:t xml:space="preserve"> the developments of relevance to UPOV in other international fora</w:t>
      </w:r>
      <w:r w:rsidR="009407D8">
        <w:t>.</w:t>
      </w:r>
    </w:p>
    <w:p w:rsidR="0041443F" w:rsidRPr="000C1C5C" w:rsidRDefault="0041443F" w:rsidP="0041443F">
      <w:pPr>
        <w:rPr>
          <w:snapToGrid w:val="0"/>
          <w:color w:val="000000" w:themeColor="text1"/>
        </w:rPr>
      </w:pPr>
    </w:p>
    <w:p w:rsidR="00085D3C" w:rsidRPr="001573F8" w:rsidRDefault="00085D3C" w:rsidP="0041443F">
      <w:pPr>
        <w:shd w:val="clear" w:color="auto" w:fill="FFFFFF"/>
      </w:pPr>
    </w:p>
    <w:p w:rsidR="00085D3C" w:rsidRPr="00A35CC2" w:rsidRDefault="00085D3C" w:rsidP="00085D3C">
      <w:pPr>
        <w:pStyle w:val="Heading2"/>
      </w:pPr>
      <w:bookmarkStart w:id="12" w:name="_Toc431820610"/>
      <w:r w:rsidRPr="00A35CC2">
        <w:t>Administrative and Legal Committee, Technical Committee, Technical Working Parties and Working Group on Biochemical and Molecular Techniques, and DNA-Profiling in Particular</w:t>
      </w:r>
      <w:bookmarkEnd w:id="12"/>
    </w:p>
    <w:p w:rsidR="00085D3C" w:rsidRPr="00A35CC2" w:rsidRDefault="00085D3C" w:rsidP="00085D3C">
      <w:pPr>
        <w:keepNext/>
        <w:rPr>
          <w:u w:val="single"/>
        </w:rPr>
      </w:pPr>
    </w:p>
    <w:p w:rsidR="00085D3C" w:rsidRDefault="00085D3C" w:rsidP="00085D3C">
      <w:r w:rsidRPr="00783488">
        <w:fldChar w:fldCharType="begin"/>
      </w:r>
      <w:r w:rsidRPr="00783488">
        <w:instrText xml:space="preserve"> AUTONUM  </w:instrText>
      </w:r>
      <w:r w:rsidRPr="00783488">
        <w:fldChar w:fldCharType="end"/>
      </w:r>
      <w:r w:rsidRPr="00783488">
        <w:tab/>
        <w:t xml:space="preserve">The CAJ held its </w:t>
      </w:r>
      <w:r w:rsidR="0074057D">
        <w:t>seventy-first</w:t>
      </w:r>
      <w:r w:rsidRPr="00783488">
        <w:t xml:space="preserve"> session on </w:t>
      </w:r>
      <w:r w:rsidR="0074057D">
        <w:t>March 26</w:t>
      </w:r>
      <w:r w:rsidRPr="00783488">
        <w:t>, 201</w:t>
      </w:r>
      <w:r w:rsidR="0074057D">
        <w:t>5</w:t>
      </w:r>
      <w:r w:rsidRPr="00783488">
        <w:t xml:space="preserve">.  </w:t>
      </w:r>
      <w:r>
        <w:t xml:space="preserve">The </w:t>
      </w:r>
      <w:r w:rsidRPr="00783488">
        <w:t xml:space="preserve">TC held its </w:t>
      </w:r>
      <w:r>
        <w:t>fift</w:t>
      </w:r>
      <w:r w:rsidR="0074057D">
        <w:t>y-first</w:t>
      </w:r>
      <w:r w:rsidRPr="00783488">
        <w:t xml:space="preserve"> session from </w:t>
      </w:r>
      <w:r w:rsidR="0074057D">
        <w:t>March 23 to 25, 2015</w:t>
      </w:r>
      <w:r w:rsidRPr="00783488">
        <w:t xml:space="preserve">.  The </w:t>
      </w:r>
      <w:r w:rsidRPr="00D15FF7">
        <w:t xml:space="preserve">TC-EDC held meetings on </w:t>
      </w:r>
      <w:r w:rsidRPr="00D15FF7">
        <w:rPr>
          <w:szCs w:val="24"/>
        </w:rPr>
        <w:t xml:space="preserve">January </w:t>
      </w:r>
      <w:r w:rsidR="0074057D">
        <w:rPr>
          <w:szCs w:val="24"/>
        </w:rPr>
        <w:t>7</w:t>
      </w:r>
      <w:r w:rsidRPr="00D15FF7">
        <w:rPr>
          <w:szCs w:val="24"/>
        </w:rPr>
        <w:t xml:space="preserve"> and </w:t>
      </w:r>
      <w:proofErr w:type="gramStart"/>
      <w:r w:rsidR="0074057D">
        <w:rPr>
          <w:szCs w:val="24"/>
        </w:rPr>
        <w:t>8,</w:t>
      </w:r>
      <w:proofErr w:type="gramEnd"/>
      <w:r w:rsidRPr="00D15FF7">
        <w:rPr>
          <w:szCs w:val="24"/>
        </w:rPr>
        <w:t xml:space="preserve"> and on </w:t>
      </w:r>
      <w:r w:rsidR="0074057D">
        <w:rPr>
          <w:szCs w:val="24"/>
        </w:rPr>
        <w:t>March 23 and 24</w:t>
      </w:r>
      <w:r w:rsidRPr="00D15FF7">
        <w:rPr>
          <w:szCs w:val="24"/>
        </w:rPr>
        <w:t>, 201</w:t>
      </w:r>
      <w:r w:rsidR="0074057D">
        <w:rPr>
          <w:szCs w:val="24"/>
        </w:rPr>
        <w:t>5</w:t>
      </w:r>
      <w:r w:rsidRPr="00D15FF7">
        <w:rPr>
          <w:szCs w:val="24"/>
        </w:rPr>
        <w:t xml:space="preserve">.  </w:t>
      </w:r>
      <w:r w:rsidR="0074057D">
        <w:rPr>
          <w:szCs w:val="24"/>
        </w:rPr>
        <w:t>The </w:t>
      </w:r>
      <w:r w:rsidR="0074057D" w:rsidRPr="00783488">
        <w:rPr>
          <w:szCs w:val="24"/>
        </w:rPr>
        <w:t>TWV</w:t>
      </w:r>
      <w:r w:rsidR="0074057D">
        <w:t xml:space="preserve"> held its forty</w:t>
      </w:r>
      <w:r w:rsidR="0074057D">
        <w:noBreakHyphen/>
        <w:t>nin</w:t>
      </w:r>
      <w:r w:rsidR="0074057D" w:rsidRPr="00783488">
        <w:t xml:space="preserve">th session </w:t>
      </w:r>
      <w:r w:rsidR="0074057D">
        <w:t>in Angers, France</w:t>
      </w:r>
      <w:r w:rsidR="0074057D" w:rsidRPr="00783488">
        <w:t xml:space="preserve">, from </w:t>
      </w:r>
      <w:r w:rsidR="0074057D">
        <w:t>June 15 to 19, 2015</w:t>
      </w:r>
      <w:r w:rsidR="0074057D" w:rsidRPr="00783488">
        <w:t xml:space="preserve">.  </w:t>
      </w:r>
      <w:r w:rsidR="0074057D">
        <w:t>The TWC held its </w:t>
      </w:r>
      <w:r w:rsidRPr="00783488">
        <w:t>thirt</w:t>
      </w:r>
      <w:r>
        <w:t>y</w:t>
      </w:r>
      <w:r>
        <w:noBreakHyphen/>
      </w:r>
      <w:r w:rsidR="0074057D">
        <w:t>third</w:t>
      </w:r>
      <w:r w:rsidRPr="00783488">
        <w:t xml:space="preserve"> session in </w:t>
      </w:r>
      <w:r w:rsidR="0074057D">
        <w:t>Natal, Brazil</w:t>
      </w:r>
      <w:r w:rsidRPr="00783488">
        <w:t>, from June </w:t>
      </w:r>
      <w:r>
        <w:t>3</w:t>
      </w:r>
      <w:r w:rsidR="0074057D">
        <w:t>0</w:t>
      </w:r>
      <w:r w:rsidRPr="00783488">
        <w:t xml:space="preserve"> to </w:t>
      </w:r>
      <w:r w:rsidR="0074057D">
        <w:t>July 3</w:t>
      </w:r>
      <w:r w:rsidRPr="00783488">
        <w:t>, 201</w:t>
      </w:r>
      <w:r w:rsidR="0074057D">
        <w:t>5</w:t>
      </w:r>
      <w:r w:rsidRPr="00783488">
        <w:t xml:space="preserve">.  </w:t>
      </w:r>
      <w:r w:rsidR="0074057D" w:rsidRPr="00D15FF7">
        <w:t xml:space="preserve">The </w:t>
      </w:r>
      <w:r w:rsidR="0074057D" w:rsidRPr="00783488">
        <w:t xml:space="preserve">TWA </w:t>
      </w:r>
      <w:r w:rsidR="0074057D">
        <w:t xml:space="preserve">held </w:t>
      </w:r>
      <w:r w:rsidR="0074057D" w:rsidRPr="00783488">
        <w:t>its forty-</w:t>
      </w:r>
      <w:r w:rsidR="0074057D">
        <w:t>fourth</w:t>
      </w:r>
      <w:r w:rsidR="0074057D" w:rsidRPr="00783488">
        <w:t xml:space="preserve"> session in </w:t>
      </w:r>
      <w:proofErr w:type="spellStart"/>
      <w:r w:rsidR="0074057D">
        <w:t>Obihiro</w:t>
      </w:r>
      <w:proofErr w:type="spellEnd"/>
      <w:r w:rsidR="0074057D">
        <w:t>, Japan</w:t>
      </w:r>
      <w:r w:rsidR="0074057D" w:rsidRPr="00783488">
        <w:t xml:space="preserve">, from </w:t>
      </w:r>
      <w:r w:rsidR="0074057D">
        <w:t>July 6 to 10, 2015</w:t>
      </w:r>
      <w:r w:rsidR="0074057D" w:rsidRPr="00783488">
        <w:t xml:space="preserve">.  </w:t>
      </w:r>
      <w:r w:rsidRPr="00783488">
        <w:t xml:space="preserve">The TWF </w:t>
      </w:r>
      <w:r w:rsidRPr="006B7B74">
        <w:t>held</w:t>
      </w:r>
      <w:r>
        <w:t xml:space="preserve"> </w:t>
      </w:r>
      <w:r w:rsidRPr="00783488">
        <w:t>its forty</w:t>
      </w:r>
      <w:r w:rsidRPr="00783488">
        <w:noBreakHyphen/>
      </w:r>
      <w:r w:rsidR="0074057D">
        <w:t>sixth</w:t>
      </w:r>
      <w:r>
        <w:t xml:space="preserve"> </w:t>
      </w:r>
      <w:r w:rsidRPr="00783488">
        <w:t xml:space="preserve">session in </w:t>
      </w:r>
      <w:r w:rsidR="0074057D">
        <w:t>Mpumalanga, South </w:t>
      </w:r>
      <w:r w:rsidR="0074057D" w:rsidRPr="0074057D">
        <w:t>Africa</w:t>
      </w:r>
      <w:r w:rsidRPr="00783488">
        <w:t xml:space="preserve">, from </w:t>
      </w:r>
      <w:r w:rsidR="0074057D">
        <w:t>August 24 to 28</w:t>
      </w:r>
      <w:r w:rsidRPr="00783488">
        <w:t>, 201</w:t>
      </w:r>
      <w:r w:rsidR="0074057D">
        <w:t>5</w:t>
      </w:r>
      <w:r w:rsidRPr="00783488">
        <w:t>.  The TWO held its forty</w:t>
      </w:r>
      <w:r w:rsidRPr="00783488">
        <w:noBreakHyphen/>
      </w:r>
      <w:r w:rsidR="0074057D">
        <w:t>eighth</w:t>
      </w:r>
      <w:r w:rsidRPr="00783488">
        <w:t xml:space="preserve"> session in </w:t>
      </w:r>
      <w:r w:rsidR="0074057D">
        <w:t>Cambridge, United Kingdom</w:t>
      </w:r>
      <w:r w:rsidRPr="00783488">
        <w:t xml:space="preserve">, from </w:t>
      </w:r>
      <w:r w:rsidR="0074057D">
        <w:t>September 14 to 18, 2015</w:t>
      </w:r>
      <w:r w:rsidRPr="00783488">
        <w:t xml:space="preserve">.  Each of the </w:t>
      </w:r>
      <w:r>
        <w:t xml:space="preserve">TWP </w:t>
      </w:r>
      <w:r w:rsidRPr="00783488">
        <w:t>sessions was preceded by a preparatory workshop.</w:t>
      </w:r>
    </w:p>
    <w:p w:rsidR="00085D3C" w:rsidRDefault="00085D3C" w:rsidP="00085D3C"/>
    <w:p w:rsidR="00085D3C" w:rsidRPr="00A35CC2" w:rsidRDefault="00085D3C" w:rsidP="00085D3C">
      <w:r w:rsidRPr="006B7B74">
        <w:fldChar w:fldCharType="begin"/>
      </w:r>
      <w:r w:rsidRPr="006B7B74">
        <w:instrText xml:space="preserve"> AUTONUM  </w:instrText>
      </w:r>
      <w:r w:rsidRPr="006B7B74">
        <w:fldChar w:fldCharType="end"/>
      </w:r>
      <w:r w:rsidRPr="006B7B74">
        <w:tab/>
        <w:t>Further information on the work of the CAJ, TC and TWPs is contained in documents C/4</w:t>
      </w:r>
      <w:r w:rsidR="009C2761">
        <w:t>9</w:t>
      </w:r>
      <w:r w:rsidRPr="006B7B74">
        <w:t>/9 “Progress report of the work of the Administrative and Legal Committee” and C/4</w:t>
      </w:r>
      <w:r w:rsidR="009C2761">
        <w:t>9</w:t>
      </w:r>
      <w:r w:rsidRPr="006B7B74">
        <w:t>/10 “Progress report of the work of the Technical Committee, the Technical Working Parties and the Working Group on Biochemical and Molecular Techniques, and DNA-Profiling in Particular”.</w:t>
      </w:r>
    </w:p>
    <w:p w:rsidR="00085D3C" w:rsidRDefault="00085D3C" w:rsidP="00085D3C"/>
    <w:p w:rsidR="00085D3C" w:rsidRDefault="00085D3C" w:rsidP="00085D3C"/>
    <w:p w:rsidR="00085D3C" w:rsidRPr="00A35CC2" w:rsidRDefault="00085D3C" w:rsidP="00085D3C"/>
    <w:p w:rsidR="00085D3C" w:rsidRPr="008A41AB" w:rsidRDefault="00085D3C" w:rsidP="00085D3C">
      <w:pPr>
        <w:pStyle w:val="Heading1"/>
      </w:pPr>
      <w:bookmarkStart w:id="13" w:name="_Toc431820611"/>
      <w:r w:rsidRPr="008A41AB">
        <w:t>III.</w:t>
      </w:r>
      <w:r w:rsidRPr="008A41AB">
        <w:tab/>
        <w:t>COURSES, SEMINARS, WORKSHOPS, MISSIONS</w:t>
      </w:r>
      <w:r w:rsidRPr="008A41AB">
        <w:rPr>
          <w:rStyle w:val="FootnoteReference"/>
        </w:rPr>
        <w:footnoteReference w:customMarkFollows="1" w:id="2"/>
        <w:t>*</w:t>
      </w:r>
      <w:r w:rsidRPr="008A41AB">
        <w:t>, IMPORTANT CONTACTS</w:t>
      </w:r>
      <w:bookmarkEnd w:id="13"/>
    </w:p>
    <w:p w:rsidR="00085D3C" w:rsidRPr="008A41AB" w:rsidRDefault="00085D3C" w:rsidP="00085D3C">
      <w:pPr>
        <w:keepNext/>
      </w:pPr>
    </w:p>
    <w:p w:rsidR="00085D3C" w:rsidRPr="008A41AB" w:rsidRDefault="00085D3C" w:rsidP="00085D3C">
      <w:pPr>
        <w:pStyle w:val="Heading2"/>
      </w:pPr>
      <w:bookmarkStart w:id="14" w:name="_Toc431820612"/>
      <w:r w:rsidRPr="008A41AB">
        <w:t>Individual activities</w:t>
      </w:r>
      <w:bookmarkEnd w:id="14"/>
    </w:p>
    <w:p w:rsidR="00085D3C" w:rsidRPr="008A41AB" w:rsidRDefault="00085D3C" w:rsidP="00085D3C">
      <w:pPr>
        <w:keepNext/>
        <w:rPr>
          <w:szCs w:val="24"/>
        </w:rPr>
      </w:pPr>
    </w:p>
    <w:p w:rsidR="00947E28" w:rsidRDefault="00947E28" w:rsidP="00947E28">
      <w:r w:rsidRPr="007B19B3">
        <w:fldChar w:fldCharType="begin"/>
      </w:r>
      <w:r w:rsidRPr="007B19B3">
        <w:instrText xml:space="preserve"> AUTONUM  </w:instrText>
      </w:r>
      <w:r w:rsidRPr="007B19B3">
        <w:fldChar w:fldCharType="end"/>
      </w:r>
      <w:r w:rsidRPr="007B19B3">
        <w:tab/>
        <w:t>On January 5</w:t>
      </w:r>
      <w:r w:rsidR="007B19B3" w:rsidRPr="007B19B3">
        <w:t xml:space="preserve"> and 28</w:t>
      </w:r>
      <w:r w:rsidRPr="007B19B3">
        <w:t xml:space="preserve">, in Geneva, the Office received the visit of Mr. Shakeel Bhatti, Secretary, ITPGRFA, </w:t>
      </w:r>
      <w:r w:rsidR="007B19B3" w:rsidRPr="007B19B3">
        <w:t xml:space="preserve">during which Mr. Bhatti reported on developments in the ITPGRFA with regard to </w:t>
      </w:r>
      <w:r w:rsidR="007B19B3" w:rsidRPr="007B19B3">
        <w:rPr>
          <w:snapToGrid w:val="0"/>
        </w:rPr>
        <w:t>possible areas of interrelations among the international instruments of the ITPGRFA, WIPO and UPOV</w:t>
      </w:r>
      <w:r w:rsidRPr="007B19B3">
        <w:t>.</w:t>
      </w:r>
    </w:p>
    <w:p w:rsidR="00947E28" w:rsidRDefault="00947E28" w:rsidP="001A0AF7"/>
    <w:p w:rsidR="001A0AF7" w:rsidRDefault="001A0AF7" w:rsidP="001A0AF7">
      <w:r>
        <w:fldChar w:fldCharType="begin"/>
      </w:r>
      <w:r>
        <w:instrText xml:space="preserve"> AUTONUM  </w:instrText>
      </w:r>
      <w:r>
        <w:fldChar w:fldCharType="end"/>
      </w:r>
      <w:r>
        <w:tab/>
        <w:t xml:space="preserve">From January 19 to 23, </w:t>
      </w:r>
      <w:r w:rsidR="00F123DC">
        <w:t xml:space="preserve">at FAO headquarters </w:t>
      </w:r>
      <w:r>
        <w:t xml:space="preserve">in Rome, the Office attended the </w:t>
      </w:r>
      <w:r w:rsidR="00F123DC">
        <w:t>Fifteenth</w:t>
      </w:r>
      <w:r>
        <w:t xml:space="preserve"> Regular Session of the CGRFA.</w:t>
      </w:r>
    </w:p>
    <w:p w:rsidR="001A0AF7" w:rsidRDefault="001A0AF7" w:rsidP="001A0AF7"/>
    <w:p w:rsidR="00085D3C" w:rsidRDefault="00CC4AF2" w:rsidP="00085D3C">
      <w:r>
        <w:fldChar w:fldCharType="begin"/>
      </w:r>
      <w:r>
        <w:instrText xml:space="preserve"> AUTONUM  </w:instrText>
      </w:r>
      <w:r>
        <w:fldChar w:fldCharType="end"/>
      </w:r>
      <w:r>
        <w:tab/>
      </w:r>
      <w:r w:rsidR="003E26B0">
        <w:t xml:space="preserve">From January 27 to 29, in Paris, France, the Office attended </w:t>
      </w:r>
      <w:r w:rsidR="00C615DF" w:rsidRPr="009C474E">
        <w:rPr>
          <w:rFonts w:cs="Arial"/>
          <w:iCs/>
        </w:rPr>
        <w:t>the Technical Working Group of the OECD Scheme for the Certification of Seed Moving in International Trade</w:t>
      </w:r>
      <w:r w:rsidR="00C615DF">
        <w:rPr>
          <w:rFonts w:cs="Arial"/>
          <w:iCs/>
        </w:rPr>
        <w:t>.</w:t>
      </w:r>
    </w:p>
    <w:p w:rsidR="009903B1" w:rsidRDefault="009903B1" w:rsidP="00085D3C"/>
    <w:p w:rsidR="009903B1" w:rsidRDefault="009903B1" w:rsidP="00085D3C">
      <w:r>
        <w:fldChar w:fldCharType="begin"/>
      </w:r>
      <w:r>
        <w:instrText xml:space="preserve"> AUTONUM  </w:instrText>
      </w:r>
      <w:r>
        <w:fldChar w:fldCharType="end"/>
      </w:r>
      <w:r>
        <w:tab/>
        <w:t xml:space="preserve">On January 28, in Amsterdam, Netherlands, the Office participated </w:t>
      </w:r>
      <w:r w:rsidRPr="009903B1">
        <w:t xml:space="preserve">in meetings with the Committee on Constitutional, Legal and Parliamentary Affairs of Ghana, </w:t>
      </w:r>
      <w:r>
        <w:t xml:space="preserve">during a study visit organized by the Government of the Netherlands </w:t>
      </w:r>
      <w:r w:rsidRPr="009903B1">
        <w:t>in the context of Ghana’s legislative and a</w:t>
      </w:r>
      <w:r>
        <w:t>ccession procedures to the UPOV </w:t>
      </w:r>
      <w:r w:rsidRPr="009903B1">
        <w:t>Convention</w:t>
      </w:r>
      <w:r w:rsidR="00060568">
        <w:t>.</w:t>
      </w:r>
    </w:p>
    <w:p w:rsidR="001A0AF7" w:rsidRDefault="001A0AF7" w:rsidP="00085D3C"/>
    <w:p w:rsidR="001A0AF7" w:rsidRDefault="001A0AF7" w:rsidP="00085D3C">
      <w:r>
        <w:fldChar w:fldCharType="begin"/>
      </w:r>
      <w:r>
        <w:instrText xml:space="preserve"> AUTONUM  </w:instrText>
      </w:r>
      <w:r>
        <w:fldChar w:fldCharType="end"/>
      </w:r>
      <w:r>
        <w:tab/>
        <w:t xml:space="preserve">From February 2 to 4, in Montpellier, France, the Office </w:t>
      </w:r>
      <w:r w:rsidR="00360921">
        <w:t xml:space="preserve">participated in </w:t>
      </w:r>
      <w:r>
        <w:t>an</w:t>
      </w:r>
      <w:r w:rsidRPr="001A0AF7">
        <w:t xml:space="preserve"> International Workshop on </w:t>
      </w:r>
      <w:r w:rsidR="00190846">
        <w:t xml:space="preserve">the promotion of </w:t>
      </w:r>
      <w:r w:rsidRPr="001A0AF7">
        <w:t xml:space="preserve">Public-Private Partnerships </w:t>
      </w:r>
      <w:r w:rsidR="00190846">
        <w:t>for</w:t>
      </w:r>
      <w:r w:rsidRPr="001A0AF7">
        <w:t xml:space="preserve"> Pre-breeding</w:t>
      </w:r>
      <w:r w:rsidR="003360F7">
        <w:t>, organized under the aegis of the ITPGRFA</w:t>
      </w:r>
      <w:r w:rsidR="00F81642">
        <w:t>.</w:t>
      </w:r>
    </w:p>
    <w:p w:rsidR="00843A64" w:rsidRDefault="00843A64" w:rsidP="00085D3C"/>
    <w:p w:rsidR="009401FD" w:rsidRDefault="009401FD" w:rsidP="00085D3C">
      <w:r>
        <w:fldChar w:fldCharType="begin"/>
      </w:r>
      <w:r>
        <w:instrText xml:space="preserve"> AUTONUM  </w:instrText>
      </w:r>
      <w:r>
        <w:fldChar w:fldCharType="end"/>
      </w:r>
      <w:r>
        <w:tab/>
        <w:t xml:space="preserve">From February 16 to 18, in Geneva, Switzerland, the Office attended relevant parts of an </w:t>
      </w:r>
      <w:r w:rsidR="002B12D7">
        <w:t>Expert </w:t>
      </w:r>
      <w:r w:rsidRPr="009401FD">
        <w:t>Forum on International Technology Transfer</w:t>
      </w:r>
      <w:r>
        <w:t>, organized by WIPO.</w:t>
      </w:r>
    </w:p>
    <w:p w:rsidR="00110121" w:rsidRDefault="00110121" w:rsidP="00085D3C">
      <w:r>
        <w:fldChar w:fldCharType="begin"/>
      </w:r>
      <w:r>
        <w:instrText xml:space="preserve"> AUTONUM  </w:instrText>
      </w:r>
      <w:r>
        <w:fldChar w:fldCharType="end"/>
      </w:r>
      <w:r>
        <w:tab/>
        <w:t>On February 24, in Geneva, Switzerland, the Office met with representatives from ISF and discussed recent developments at ISF and UPOV.</w:t>
      </w:r>
    </w:p>
    <w:p w:rsidR="009401FD" w:rsidRDefault="009401FD" w:rsidP="00085D3C"/>
    <w:p w:rsidR="00110121" w:rsidRDefault="00110121" w:rsidP="00110121">
      <w:r>
        <w:fldChar w:fldCharType="begin"/>
      </w:r>
      <w:r>
        <w:instrText xml:space="preserve"> AUTONUM  </w:instrText>
      </w:r>
      <w:r>
        <w:fldChar w:fldCharType="end"/>
      </w:r>
      <w:r>
        <w:tab/>
        <w:t>On February 24, in Geneva, Switzerland, the Office met with representatives from CIOPORA and discussed recent developments at CIOPORA and UPOV.</w:t>
      </w:r>
    </w:p>
    <w:p w:rsidR="00110121" w:rsidRDefault="00110121" w:rsidP="00110121"/>
    <w:p w:rsidR="00110121" w:rsidRDefault="00110121" w:rsidP="00110121">
      <w:r>
        <w:fldChar w:fldCharType="begin"/>
      </w:r>
      <w:r>
        <w:instrText xml:space="preserve"> AUTONUM  </w:instrText>
      </w:r>
      <w:r>
        <w:fldChar w:fldCharType="end"/>
      </w:r>
      <w:r>
        <w:tab/>
        <w:t>On February 24, at WTO headquarters in Geneva, the Office attended the relevant parts of the meeting of the Council for Trade Related Aspects of Intellectual Property Rights (Council for TRIPS).</w:t>
      </w:r>
    </w:p>
    <w:p w:rsidR="00110121" w:rsidRDefault="00110121" w:rsidP="00085D3C"/>
    <w:p w:rsidR="00843A64" w:rsidRDefault="00843A64" w:rsidP="00085D3C">
      <w:r>
        <w:fldChar w:fldCharType="begin"/>
      </w:r>
      <w:r>
        <w:instrText xml:space="preserve"> AUTONUM  </w:instrText>
      </w:r>
      <w:r>
        <w:fldChar w:fldCharType="end"/>
      </w:r>
      <w:r>
        <w:tab/>
        <w:t xml:space="preserve">On March 3, </w:t>
      </w:r>
      <w:r w:rsidR="004969DC">
        <w:t xml:space="preserve">at FAO headquarters </w:t>
      </w:r>
      <w:r>
        <w:t xml:space="preserve">in Rome, the Office attended the </w:t>
      </w:r>
      <w:r w:rsidRPr="00843A64">
        <w:t>second meeting of the Ad Hoc Technical Committee on Sustainable Use of Plant Genetic Resources for Food and Agriculture (</w:t>
      </w:r>
      <w:r>
        <w:t>ACSU</w:t>
      </w:r>
      <w:r w:rsidRPr="00843A64">
        <w:t>)</w:t>
      </w:r>
      <w:r>
        <w:t>.</w:t>
      </w:r>
    </w:p>
    <w:p w:rsidR="00085D3C" w:rsidRDefault="00085D3C" w:rsidP="00085D3C"/>
    <w:p w:rsidR="00261D57" w:rsidRDefault="00261D57" w:rsidP="00261D57">
      <w:r>
        <w:fldChar w:fldCharType="begin"/>
      </w:r>
      <w:r>
        <w:instrText xml:space="preserve"> AUTONUM  </w:instrText>
      </w:r>
      <w:r>
        <w:fldChar w:fldCharType="end"/>
      </w:r>
      <w:r>
        <w:tab/>
        <w:t xml:space="preserve">From March 3 to 5, in Victoria Falls, Zimbabwe, the Office participated in the </w:t>
      </w:r>
      <w:r w:rsidR="002C61F9">
        <w:t xml:space="preserve">Fifteenth </w:t>
      </w:r>
      <w:r>
        <w:t>Annual Congress of the African Seed Trade Association (AFSTA).  On March 3, jointly with ISTA and OECD, the Office organized a Pre</w:t>
      </w:r>
      <w:r>
        <w:noBreakHyphen/>
        <w:t>Congress Workshop on “International systems to develop an enabling environment to provide food security and economic development by strengthening the seed sector”.</w:t>
      </w:r>
    </w:p>
    <w:p w:rsidR="00261D57" w:rsidRDefault="00261D57" w:rsidP="00261D57"/>
    <w:p w:rsidR="0031021E" w:rsidRDefault="0031021E" w:rsidP="00261D57">
      <w:r>
        <w:fldChar w:fldCharType="begin"/>
      </w:r>
      <w:r>
        <w:instrText xml:space="preserve"> AUTONUM  </w:instrText>
      </w:r>
      <w:r>
        <w:fldChar w:fldCharType="end"/>
      </w:r>
      <w:r>
        <w:tab/>
        <w:t>On March 10 and 11, in Angers, France, the Office attended a meeting of the CPVO Administrative Council.</w:t>
      </w:r>
    </w:p>
    <w:p w:rsidR="0031021E" w:rsidRDefault="0031021E" w:rsidP="00261D57"/>
    <w:p w:rsidR="00A21127" w:rsidRDefault="00A21127" w:rsidP="00085D3C">
      <w:r>
        <w:fldChar w:fldCharType="begin"/>
      </w:r>
      <w:r>
        <w:instrText xml:space="preserve"> AUTONUM  </w:instrText>
      </w:r>
      <w:r>
        <w:fldChar w:fldCharType="end"/>
      </w:r>
      <w:r>
        <w:tab/>
        <w:t xml:space="preserve">On March 16, in Asunción, Paraguay, lectures were provided </w:t>
      </w:r>
      <w:r w:rsidR="00886A9C">
        <w:t xml:space="preserve">on behalf of the Office </w:t>
      </w:r>
      <w:r>
        <w:t xml:space="preserve">by Mr. </w:t>
      </w:r>
      <w:proofErr w:type="spellStart"/>
      <w:r>
        <w:t>Raimundo</w:t>
      </w:r>
      <w:proofErr w:type="spellEnd"/>
      <w:r>
        <w:t xml:space="preserve"> </w:t>
      </w:r>
      <w:proofErr w:type="spellStart"/>
      <w:r>
        <w:t>Lavignolle</w:t>
      </w:r>
      <w:proofErr w:type="spellEnd"/>
      <w:r>
        <w:t xml:space="preserve">, </w:t>
      </w:r>
      <w:r w:rsidR="002117C1" w:rsidRPr="002117C1">
        <w:t>President</w:t>
      </w:r>
      <w:r w:rsidR="00886A9C" w:rsidRPr="00C85FBC">
        <w:rPr>
          <w:i/>
        </w:rPr>
        <w:t xml:space="preserve">, </w:t>
      </w:r>
      <w:r w:rsidR="002117C1" w:rsidRPr="002117C1">
        <w:t>National Seed Institute</w:t>
      </w:r>
      <w:r w:rsidR="002117C1">
        <w:rPr>
          <w:i/>
        </w:rPr>
        <w:t xml:space="preserve"> </w:t>
      </w:r>
      <w:r w:rsidR="00C85FBC">
        <w:t>(INASE) of Argentina</w:t>
      </w:r>
      <w:r w:rsidR="00886A9C">
        <w:t xml:space="preserve">, </w:t>
      </w:r>
      <w:r>
        <w:t xml:space="preserve">at a </w:t>
      </w:r>
      <w:r w:rsidRPr="00A21127">
        <w:t>Seminar</w:t>
      </w:r>
      <w:r>
        <w:t xml:space="preserve"> on</w:t>
      </w:r>
      <w:r w:rsidRPr="00A21127">
        <w:t xml:space="preserve"> “Intellectual Property in Agriculture”</w:t>
      </w:r>
      <w:r>
        <w:t>,</w:t>
      </w:r>
      <w:r w:rsidRPr="00A21127">
        <w:t xml:space="preserve"> organized by the Inter-American Association of Intellectual Property (ASIPI)</w:t>
      </w:r>
      <w:r>
        <w:t>.</w:t>
      </w:r>
    </w:p>
    <w:p w:rsidR="00A21127" w:rsidRDefault="00A21127" w:rsidP="00085D3C"/>
    <w:p w:rsidR="00551F8E" w:rsidRDefault="00551F8E" w:rsidP="00085D3C">
      <w:r>
        <w:fldChar w:fldCharType="begin"/>
      </w:r>
      <w:r>
        <w:instrText xml:space="preserve"> AUTONUM  </w:instrText>
      </w:r>
      <w:r>
        <w:fldChar w:fldCharType="end"/>
      </w:r>
      <w:r>
        <w:tab/>
        <w:t>On March 17, in Lausanne, Switzerland, the Office gave a presentation on new developments within UPOV at the ISF Breeders’ Committee.</w:t>
      </w:r>
    </w:p>
    <w:p w:rsidR="00551F8E" w:rsidRDefault="00551F8E" w:rsidP="00085D3C"/>
    <w:p w:rsidR="00EA3C0D" w:rsidRDefault="00EA3C0D" w:rsidP="00085D3C">
      <w:r>
        <w:fldChar w:fldCharType="begin"/>
      </w:r>
      <w:r>
        <w:instrText xml:space="preserve"> AUTONUM  </w:instrText>
      </w:r>
      <w:r>
        <w:fldChar w:fldCharType="end"/>
      </w:r>
      <w:r>
        <w:tab/>
        <w:t xml:space="preserve">On March 19, </w:t>
      </w:r>
      <w:r w:rsidR="00080FD6">
        <w:t xml:space="preserve">at WIPO headquarters </w:t>
      </w:r>
      <w:r>
        <w:t>in Geneva,</w:t>
      </w:r>
      <w:r w:rsidR="00080FD6">
        <w:t xml:space="preserve"> the Office made a presentation on the protection of new varieties of plants under the UPOV Convention at the</w:t>
      </w:r>
      <w:r>
        <w:t xml:space="preserve"> </w:t>
      </w:r>
      <w:r w:rsidRPr="00EA3C0D">
        <w:t>WIPO-WTO Advanced Course on Intellectual Property for Government Officials</w:t>
      </w:r>
      <w:r w:rsidR="00080FD6">
        <w:t xml:space="preserve">.  The course was attended by participants from </w:t>
      </w:r>
      <w:r w:rsidR="00080FD6" w:rsidRPr="00080FD6">
        <w:t>Azerbaijan</w:t>
      </w:r>
      <w:r w:rsidR="00080FD6">
        <w:t>,</w:t>
      </w:r>
      <w:r w:rsidR="00080FD6" w:rsidRPr="00080FD6">
        <w:t xml:space="preserve"> Bangladesh</w:t>
      </w:r>
      <w:r w:rsidR="00080FD6">
        <w:t>,</w:t>
      </w:r>
      <w:r w:rsidR="00080FD6" w:rsidRPr="00080FD6">
        <w:t xml:space="preserve"> Bhutan</w:t>
      </w:r>
      <w:r w:rsidR="00080FD6">
        <w:t>,</w:t>
      </w:r>
      <w:r w:rsidR="00080FD6" w:rsidRPr="00080FD6">
        <w:t xml:space="preserve"> Canada</w:t>
      </w:r>
      <w:r w:rsidR="00080FD6">
        <w:t>,</w:t>
      </w:r>
      <w:r w:rsidR="00080FD6" w:rsidRPr="00080FD6">
        <w:t xml:space="preserve"> Chile</w:t>
      </w:r>
      <w:r w:rsidR="00080FD6">
        <w:t>,</w:t>
      </w:r>
      <w:r w:rsidR="00080FD6" w:rsidRPr="00080FD6">
        <w:t xml:space="preserve"> China</w:t>
      </w:r>
      <w:r w:rsidR="00080FD6">
        <w:t>,</w:t>
      </w:r>
      <w:r w:rsidR="00080FD6" w:rsidRPr="00080FD6">
        <w:t xml:space="preserve"> Czech Republic</w:t>
      </w:r>
      <w:r w:rsidR="00080FD6">
        <w:t>,</w:t>
      </w:r>
      <w:r w:rsidR="00080FD6" w:rsidRPr="00080FD6">
        <w:t xml:space="preserve"> Ecuador</w:t>
      </w:r>
      <w:r w:rsidR="00080FD6">
        <w:t>,</w:t>
      </w:r>
      <w:r w:rsidR="00080FD6" w:rsidRPr="00080FD6">
        <w:t xml:space="preserve"> Egypt</w:t>
      </w:r>
      <w:r w:rsidR="00080FD6">
        <w:t>,</w:t>
      </w:r>
      <w:r w:rsidR="00080FD6" w:rsidRPr="00080FD6">
        <w:t xml:space="preserve"> European Union, Ghana</w:t>
      </w:r>
      <w:r w:rsidR="00080FD6">
        <w:t>,</w:t>
      </w:r>
      <w:r w:rsidR="00080FD6" w:rsidRPr="00080FD6">
        <w:t xml:space="preserve"> Jamaica</w:t>
      </w:r>
      <w:r w:rsidR="00080FD6">
        <w:t>,</w:t>
      </w:r>
      <w:r w:rsidR="00080FD6" w:rsidRPr="00080FD6">
        <w:t xml:space="preserve"> Kenya</w:t>
      </w:r>
      <w:r w:rsidR="00080FD6">
        <w:t>,</w:t>
      </w:r>
      <w:r w:rsidR="00080FD6" w:rsidRPr="00080FD6">
        <w:t xml:space="preserve"> Kyrgyzstan</w:t>
      </w:r>
      <w:r w:rsidR="00080FD6">
        <w:t>,</w:t>
      </w:r>
      <w:r w:rsidR="00080FD6" w:rsidRPr="00080FD6">
        <w:t xml:space="preserve"> Lebanon</w:t>
      </w:r>
      <w:r w:rsidR="00080FD6">
        <w:t>,</w:t>
      </w:r>
      <w:r w:rsidR="00080FD6" w:rsidRPr="00080FD6">
        <w:t xml:space="preserve"> Mauritius</w:t>
      </w:r>
      <w:r w:rsidR="00080FD6">
        <w:t>,</w:t>
      </w:r>
      <w:r w:rsidR="00080FD6" w:rsidRPr="00080FD6">
        <w:t xml:space="preserve"> Nicaragua</w:t>
      </w:r>
      <w:r w:rsidR="00080FD6">
        <w:t>,</w:t>
      </w:r>
      <w:r w:rsidR="00080FD6" w:rsidRPr="00080FD6">
        <w:t xml:space="preserve"> Pakistan</w:t>
      </w:r>
      <w:r w:rsidR="00080FD6">
        <w:t>,</w:t>
      </w:r>
      <w:r w:rsidR="00080FD6" w:rsidRPr="00080FD6">
        <w:t xml:space="preserve"> Philippines</w:t>
      </w:r>
      <w:r w:rsidR="00080FD6">
        <w:t>,</w:t>
      </w:r>
      <w:r w:rsidR="00080FD6" w:rsidRPr="00080FD6">
        <w:t xml:space="preserve"> </w:t>
      </w:r>
      <w:r w:rsidR="00F81642" w:rsidRPr="00F81642">
        <w:t>Republic of Moldova,</w:t>
      </w:r>
      <w:r w:rsidR="00F81642" w:rsidRPr="00080FD6">
        <w:t xml:space="preserve"> </w:t>
      </w:r>
      <w:r w:rsidR="00080FD6" w:rsidRPr="00080FD6">
        <w:t>Rwanda</w:t>
      </w:r>
      <w:r w:rsidR="00080FD6">
        <w:t>, Saint </w:t>
      </w:r>
      <w:r w:rsidR="00080FD6" w:rsidRPr="00080FD6">
        <w:t>Lucia</w:t>
      </w:r>
      <w:r w:rsidR="00080FD6">
        <w:t>,</w:t>
      </w:r>
      <w:r w:rsidR="00080FD6" w:rsidRPr="00080FD6">
        <w:t xml:space="preserve"> Singapore</w:t>
      </w:r>
      <w:r w:rsidR="00080FD6">
        <w:t>,</w:t>
      </w:r>
      <w:r w:rsidR="00080FD6" w:rsidRPr="00080FD6">
        <w:t xml:space="preserve"> South Africa</w:t>
      </w:r>
      <w:r w:rsidR="00080FD6">
        <w:t>,</w:t>
      </w:r>
      <w:r w:rsidR="00080FD6" w:rsidRPr="00080FD6">
        <w:t xml:space="preserve"> Sudan</w:t>
      </w:r>
      <w:r w:rsidR="00080FD6">
        <w:t>,</w:t>
      </w:r>
      <w:r w:rsidR="00080FD6" w:rsidRPr="00080FD6">
        <w:t xml:space="preserve"> Trinidad and Tobago</w:t>
      </w:r>
      <w:r w:rsidR="00080FD6">
        <w:t>,</w:t>
      </w:r>
      <w:r w:rsidR="00080FD6" w:rsidRPr="00080FD6">
        <w:t xml:space="preserve"> Uganda</w:t>
      </w:r>
      <w:r w:rsidR="00080FD6">
        <w:t xml:space="preserve"> and</w:t>
      </w:r>
      <w:r w:rsidR="00080FD6" w:rsidRPr="00080FD6">
        <w:t xml:space="preserve"> Ukraine</w:t>
      </w:r>
      <w:r w:rsidR="00080FD6">
        <w:t>.</w:t>
      </w:r>
    </w:p>
    <w:p w:rsidR="00EA3C0D" w:rsidRDefault="00EA3C0D" w:rsidP="00085D3C"/>
    <w:p w:rsidR="001632B7" w:rsidRDefault="001632B7" w:rsidP="00085D3C">
      <w:r>
        <w:fldChar w:fldCharType="begin"/>
      </w:r>
      <w:r>
        <w:instrText xml:space="preserve"> AUTONUM  </w:instrText>
      </w:r>
      <w:r>
        <w:fldChar w:fldCharType="end"/>
      </w:r>
      <w:r>
        <w:tab/>
        <w:t>On March 20, in Bridgetown, B</w:t>
      </w:r>
      <w:r w:rsidR="00547E47">
        <w:t>arbados, lectures were provided</w:t>
      </w:r>
      <w:r w:rsidR="001732A1">
        <w:t>,</w:t>
      </w:r>
      <w:r>
        <w:t xml:space="preserve"> on behalf of the Office</w:t>
      </w:r>
      <w:r w:rsidR="001732A1">
        <w:t>,</w:t>
      </w:r>
      <w:r>
        <w:t xml:space="preserve"> by Mr. Richard Aching, </w:t>
      </w:r>
      <w:r w:rsidR="00547E47">
        <w:t>Manager, Technical Examination, Intellectual Property Office of Trinidad and Tobago</w:t>
      </w:r>
      <w:r>
        <w:t xml:space="preserve">, at a </w:t>
      </w:r>
      <w:r w:rsidR="00547E47">
        <w:t>Joint </w:t>
      </w:r>
      <w:r w:rsidRPr="009314D4">
        <w:t>WIPO</w:t>
      </w:r>
      <w:r>
        <w:noBreakHyphen/>
      </w:r>
      <w:r w:rsidRPr="009314D4">
        <w:t>EU/CARIFORUM Sub-Regional Workshop on Geographical Indications/Origin-Linked Products and Branding</w:t>
      </w:r>
      <w:r>
        <w:t>.</w:t>
      </w:r>
    </w:p>
    <w:p w:rsidR="00755540" w:rsidRDefault="00755540" w:rsidP="00085D3C"/>
    <w:p w:rsidR="00755540" w:rsidRDefault="00755540" w:rsidP="00085D3C">
      <w:r>
        <w:fldChar w:fldCharType="begin"/>
      </w:r>
      <w:r>
        <w:instrText xml:space="preserve"> AUTONUM  </w:instrText>
      </w:r>
      <w:r>
        <w:fldChar w:fldCharType="end"/>
      </w:r>
      <w:r>
        <w:tab/>
        <w:t xml:space="preserve">On March 30, in Bern, Switzerland, the Office accompanied </w:t>
      </w:r>
      <w:r w:rsidR="004A123E" w:rsidRPr="004A123E">
        <w:t xml:space="preserve">Mrs. </w:t>
      </w:r>
      <w:r w:rsidR="004A123E">
        <w:t xml:space="preserve">Juliette </w:t>
      </w:r>
      <w:proofErr w:type="spellStart"/>
      <w:r w:rsidR="004A123E">
        <w:t>Doumatey</w:t>
      </w:r>
      <w:proofErr w:type="spellEnd"/>
      <w:r w:rsidR="004A123E">
        <w:t xml:space="preserve"> </w:t>
      </w:r>
      <w:proofErr w:type="spellStart"/>
      <w:r w:rsidR="004A123E">
        <w:t>Ayite</w:t>
      </w:r>
      <w:proofErr w:type="spellEnd"/>
      <w:r w:rsidR="004A123E">
        <w:t>, Deputy </w:t>
      </w:r>
      <w:r w:rsidR="004A123E" w:rsidRPr="004A123E">
        <w:t>Director General</w:t>
      </w:r>
      <w:r w:rsidR="004A123E">
        <w:t>,</w:t>
      </w:r>
      <w:r w:rsidR="004A123E" w:rsidRPr="004A123E">
        <w:t xml:space="preserve"> and Mrs. </w:t>
      </w:r>
      <w:proofErr w:type="spellStart"/>
      <w:r w:rsidR="004A123E" w:rsidRPr="004A123E">
        <w:t>Wéré</w:t>
      </w:r>
      <w:proofErr w:type="spellEnd"/>
      <w:r w:rsidR="004A123E" w:rsidRPr="004A123E">
        <w:t xml:space="preserve"> </w:t>
      </w:r>
      <w:proofErr w:type="spellStart"/>
      <w:r w:rsidR="004A123E" w:rsidRPr="004A123E">
        <w:t>Régine</w:t>
      </w:r>
      <w:proofErr w:type="spellEnd"/>
      <w:r w:rsidR="004A123E" w:rsidRPr="004A123E">
        <w:t xml:space="preserve"> </w:t>
      </w:r>
      <w:proofErr w:type="spellStart"/>
      <w:r w:rsidR="004A123E" w:rsidRPr="004A123E">
        <w:t>Gazaro</w:t>
      </w:r>
      <w:proofErr w:type="spellEnd"/>
      <w:r w:rsidR="004A123E" w:rsidRPr="004A123E">
        <w:t>, Director of Industrial Property</w:t>
      </w:r>
      <w:r w:rsidR="004A123E">
        <w:t>,</w:t>
      </w:r>
      <w:r w:rsidR="004A123E" w:rsidRPr="004A123E">
        <w:t xml:space="preserve"> African Intellectual Property Organization (OAPI)</w:t>
      </w:r>
      <w:r w:rsidR="004A123E">
        <w:t>,</w:t>
      </w:r>
      <w:r w:rsidR="004A123E" w:rsidRPr="004A123E">
        <w:t xml:space="preserve"> to the Plant Variety Rights Office of Switzerland for a study visit</w:t>
      </w:r>
      <w:r w:rsidR="004A123E">
        <w:t>.</w:t>
      </w:r>
    </w:p>
    <w:p w:rsidR="00435F8A" w:rsidRDefault="00435F8A" w:rsidP="00085D3C"/>
    <w:p w:rsidR="00A55082" w:rsidRDefault="00A55082" w:rsidP="00085D3C">
      <w:r w:rsidRPr="00637603">
        <w:fldChar w:fldCharType="begin"/>
      </w:r>
      <w:r w:rsidRPr="00637603">
        <w:instrText xml:space="preserve"> AUTONUM  </w:instrText>
      </w:r>
      <w:r w:rsidRPr="00637603">
        <w:fldChar w:fldCharType="end"/>
      </w:r>
      <w:r w:rsidRPr="00637603">
        <w:tab/>
        <w:t>From March 30 to April 1, at WIPO headquarters in Geneva, the Office attended</w:t>
      </w:r>
      <w:r w:rsidR="004E01DE" w:rsidRPr="00637603">
        <w:t>, by electronic means,</w:t>
      </w:r>
      <w:r>
        <w:t xml:space="preserve"> relevant parts of the WIPO </w:t>
      </w:r>
      <w:r w:rsidRPr="00A55082">
        <w:t>Seminar on Intellectual Property and Genetic Resources, Traditional Knowledge and Traditional Cultural Expressions: Regional, National and Local Experiences</w:t>
      </w:r>
      <w:r>
        <w:t>.</w:t>
      </w:r>
    </w:p>
    <w:p w:rsidR="00A55082" w:rsidRDefault="00A55082" w:rsidP="00085D3C"/>
    <w:p w:rsidR="00A55082" w:rsidRDefault="00A55082" w:rsidP="00085D3C">
      <w:r w:rsidRPr="0084339F">
        <w:fldChar w:fldCharType="begin"/>
      </w:r>
      <w:r w:rsidRPr="0084339F">
        <w:instrText xml:space="preserve"> AUTONUM  </w:instrText>
      </w:r>
      <w:r w:rsidRPr="0084339F">
        <w:fldChar w:fldCharType="end"/>
      </w:r>
      <w:r w:rsidRPr="0084339F">
        <w:tab/>
        <w:t xml:space="preserve">On April 1, in Geneva, the Office received the visit of Mr. Shakeel Bhatti, Secretary, ITPGRFA, to discuss </w:t>
      </w:r>
      <w:r w:rsidR="0084339F" w:rsidRPr="0084339F">
        <w:t>recent developments in the ITP</w:t>
      </w:r>
      <w:r w:rsidR="002117C1">
        <w:t>G</w:t>
      </w:r>
      <w:r w:rsidR="0084339F" w:rsidRPr="0084339F">
        <w:t>RFA and UPOV</w:t>
      </w:r>
      <w:r w:rsidRPr="0084339F">
        <w:t>.</w:t>
      </w:r>
    </w:p>
    <w:p w:rsidR="00A55082" w:rsidRDefault="00A55082" w:rsidP="00085D3C"/>
    <w:p w:rsidR="00E10CFB" w:rsidRPr="00E10CFB" w:rsidRDefault="00E10CFB" w:rsidP="00E10CFB">
      <w:r>
        <w:fldChar w:fldCharType="begin"/>
      </w:r>
      <w:r>
        <w:instrText xml:space="preserve"> AUTONUM  </w:instrText>
      </w:r>
      <w:r>
        <w:fldChar w:fldCharType="end"/>
      </w:r>
      <w:r>
        <w:tab/>
        <w:t xml:space="preserve">On April 7, in Beauvais, France, the Office provided lectures on plant variety protection under the UPOV Convention at the </w:t>
      </w:r>
      <w:proofErr w:type="spellStart"/>
      <w:r>
        <w:rPr>
          <w:i/>
        </w:rPr>
        <w:t>Institut</w:t>
      </w:r>
      <w:proofErr w:type="spellEnd"/>
      <w:r>
        <w:rPr>
          <w:i/>
        </w:rPr>
        <w:t xml:space="preserve"> </w:t>
      </w:r>
      <w:proofErr w:type="spellStart"/>
      <w:r>
        <w:rPr>
          <w:i/>
        </w:rPr>
        <w:t>Polytechnique</w:t>
      </w:r>
      <w:proofErr w:type="spellEnd"/>
      <w:r>
        <w:rPr>
          <w:i/>
        </w:rPr>
        <w:t xml:space="preserve"> LaSalle</w:t>
      </w:r>
      <w:r>
        <w:t xml:space="preserve"> as part of their Maste</w:t>
      </w:r>
      <w:r w:rsidR="00F81642">
        <w:t>r Curriculum in Plant Breeding.</w:t>
      </w:r>
    </w:p>
    <w:p w:rsidR="00E10CFB" w:rsidRDefault="00E10CFB" w:rsidP="00E10CFB"/>
    <w:p w:rsidR="00DF6C0E" w:rsidRDefault="00DF6C0E" w:rsidP="00DF6C0E">
      <w:r>
        <w:fldChar w:fldCharType="begin"/>
      </w:r>
      <w:r>
        <w:instrText xml:space="preserve"> AUTONUM  </w:instrText>
      </w:r>
      <w:r>
        <w:fldChar w:fldCharType="end"/>
      </w:r>
      <w:r>
        <w:tab/>
        <w:t>On April 11, in Antalya, Turkey, the Office participated in a “</w:t>
      </w:r>
      <w:r w:rsidRPr="00DF6C0E">
        <w:t>Workshop on Plant Breeders</w:t>
      </w:r>
      <w:r w:rsidR="00956D1D">
        <w:t>’</w:t>
      </w:r>
      <w:r w:rsidRPr="00DF6C0E">
        <w:t xml:space="preserve"> Rights and Intellectual Property Rights of Plant</w:t>
      </w:r>
      <w:r>
        <w:t xml:space="preserve">s – </w:t>
      </w:r>
      <w:r w:rsidRPr="00DF6C0E">
        <w:t>Implementation in Turkey and in the World (mainly the European Union)</w:t>
      </w:r>
      <w:r>
        <w:t>” and made a presentation on the “Mission of UPOV, technical and legal principles in relation to plant breeders’ rights”.</w:t>
      </w:r>
    </w:p>
    <w:p w:rsidR="00DF6C0E" w:rsidRDefault="00DF6C0E" w:rsidP="00085D3C"/>
    <w:p w:rsidR="00D152F0" w:rsidRPr="00D152F0" w:rsidRDefault="00D152F0" w:rsidP="00085D3C">
      <w:r>
        <w:fldChar w:fldCharType="begin"/>
      </w:r>
      <w:r>
        <w:instrText xml:space="preserve"> AUTONUM  </w:instrText>
      </w:r>
      <w:r>
        <w:fldChar w:fldCharType="end"/>
      </w:r>
      <w:r>
        <w:tab/>
        <w:t xml:space="preserve">On April 16, in Brasilia, Brazil, the Office made a presentation on the 1991 Act of the UPOV Convention at the </w:t>
      </w:r>
      <w:proofErr w:type="spellStart"/>
      <w:r>
        <w:rPr>
          <w:i/>
        </w:rPr>
        <w:t>Instituto</w:t>
      </w:r>
      <w:proofErr w:type="spellEnd"/>
      <w:r>
        <w:rPr>
          <w:i/>
        </w:rPr>
        <w:t xml:space="preserve"> </w:t>
      </w:r>
      <w:proofErr w:type="spellStart"/>
      <w:r>
        <w:rPr>
          <w:i/>
        </w:rPr>
        <w:t>Pensar</w:t>
      </w:r>
      <w:proofErr w:type="spellEnd"/>
      <w:r>
        <w:rPr>
          <w:i/>
        </w:rPr>
        <w:t xml:space="preserve"> </w:t>
      </w:r>
      <w:proofErr w:type="spellStart"/>
      <w:r>
        <w:rPr>
          <w:i/>
        </w:rPr>
        <w:t>Agropecuaria</w:t>
      </w:r>
      <w:proofErr w:type="spellEnd"/>
      <w:r>
        <w:t>.</w:t>
      </w:r>
    </w:p>
    <w:p w:rsidR="00D152F0" w:rsidRDefault="00D152F0" w:rsidP="00085D3C"/>
    <w:p w:rsidR="0066031B" w:rsidRPr="00BD05D3" w:rsidRDefault="0066031B" w:rsidP="00085D3C">
      <w:pPr>
        <w:rPr>
          <w:lang w:val="es-ES"/>
        </w:rPr>
      </w:pPr>
      <w:r>
        <w:fldChar w:fldCharType="begin"/>
      </w:r>
      <w:r>
        <w:instrText xml:space="preserve"> AUTONUM  </w:instrText>
      </w:r>
      <w:r>
        <w:fldChar w:fldCharType="end"/>
      </w:r>
      <w:r>
        <w:tab/>
      </w:r>
      <w:r w:rsidRPr="0066031B">
        <w:t>From April 20 to May 1, in Arusha, United Republic of Tanzania</w:t>
      </w:r>
      <w:r>
        <w:t>,</w:t>
      </w:r>
      <w:r w:rsidRPr="0066031B">
        <w:t xml:space="preserve"> </w:t>
      </w:r>
      <w:r>
        <w:t>t</w:t>
      </w:r>
      <w:r w:rsidRPr="0066031B">
        <w:t>he Office</w:t>
      </w:r>
      <w:r>
        <w:t>,</w:t>
      </w:r>
      <w:r w:rsidRPr="0066031B">
        <w:t xml:space="preserve"> in cooperation with </w:t>
      </w:r>
      <w:proofErr w:type="spellStart"/>
      <w:r w:rsidRPr="0066031B">
        <w:t>Naktuinbouw</w:t>
      </w:r>
      <w:proofErr w:type="spellEnd"/>
      <w:r w:rsidRPr="0066031B">
        <w:t xml:space="preserve"> and with the financial assistance of the Ministry of Economic Affairs of the Netherlands, </w:t>
      </w:r>
      <w:r>
        <w:t xml:space="preserve">organized </w:t>
      </w:r>
      <w:r w:rsidRPr="0066031B">
        <w:t>a Training Course on Plant Variety Protection</w:t>
      </w:r>
      <w:r>
        <w:t>.</w:t>
      </w:r>
      <w:r w:rsidR="00165A14">
        <w:t xml:space="preserve">  The </w:t>
      </w:r>
      <w:r w:rsidR="004A0D7B">
        <w:t>c</w:t>
      </w:r>
      <w:r w:rsidR="00165A14">
        <w:t xml:space="preserve">ourse was attended by participants from </w:t>
      </w:r>
      <w:r w:rsidR="00165A14" w:rsidRPr="00165A14">
        <w:t xml:space="preserve">Botswana, Ghana, Kenya, Malawi, Mozambique, Namibia, Rwanda, Senegal, Sierra Leone, </w:t>
      </w:r>
      <w:r w:rsidR="00165A14">
        <w:t xml:space="preserve">United Republic of </w:t>
      </w:r>
      <w:r w:rsidR="00165A14" w:rsidRPr="00165A14">
        <w:t xml:space="preserve">Tanzania, Uganda, Zambia, Zimbabwe </w:t>
      </w:r>
      <w:r w:rsidR="00165A14">
        <w:t xml:space="preserve">and </w:t>
      </w:r>
      <w:r w:rsidR="00165A14" w:rsidRPr="00165A14">
        <w:t>OAPI</w:t>
      </w:r>
      <w:r w:rsidR="00165A14">
        <w:t>.</w:t>
      </w:r>
    </w:p>
    <w:p w:rsidR="0066031B" w:rsidRPr="00BD05D3" w:rsidRDefault="0066031B" w:rsidP="00085D3C">
      <w:pPr>
        <w:rPr>
          <w:lang w:val="es-ES"/>
        </w:rPr>
      </w:pPr>
    </w:p>
    <w:p w:rsidR="00435F8A" w:rsidRPr="003B2710" w:rsidRDefault="00F166AF" w:rsidP="00085D3C">
      <w:pPr>
        <w:rPr>
          <w:lang w:val="es-ES"/>
        </w:rPr>
      </w:pPr>
      <w:r>
        <w:fldChar w:fldCharType="begin"/>
      </w:r>
      <w:r w:rsidRPr="003B2710">
        <w:rPr>
          <w:lang w:val="es-ES"/>
        </w:rPr>
        <w:instrText xml:space="preserve"> AUTONUM  </w:instrText>
      </w:r>
      <w:r>
        <w:fldChar w:fldCharType="end"/>
      </w:r>
      <w:r w:rsidRPr="003B2710">
        <w:rPr>
          <w:lang w:val="es-ES"/>
        </w:rPr>
        <w:tab/>
      </w:r>
      <w:proofErr w:type="spellStart"/>
      <w:r w:rsidRPr="003B2710">
        <w:rPr>
          <w:lang w:val="es-ES"/>
        </w:rPr>
        <w:t>From</w:t>
      </w:r>
      <w:proofErr w:type="spellEnd"/>
      <w:r w:rsidRPr="003B2710">
        <w:rPr>
          <w:lang w:val="es-ES"/>
        </w:rPr>
        <w:t xml:space="preserve"> </w:t>
      </w:r>
      <w:proofErr w:type="spellStart"/>
      <w:r w:rsidRPr="003B2710">
        <w:rPr>
          <w:lang w:val="es-ES"/>
        </w:rPr>
        <w:t>April</w:t>
      </w:r>
      <w:proofErr w:type="spellEnd"/>
      <w:r w:rsidRPr="003B2710">
        <w:rPr>
          <w:lang w:val="es-ES"/>
        </w:rPr>
        <w:t xml:space="preserve"> 20 to 22, in San Fernando de Henares (Madrid), </w:t>
      </w:r>
      <w:proofErr w:type="spellStart"/>
      <w:r w:rsidRPr="003B2710">
        <w:rPr>
          <w:lang w:val="es-ES"/>
        </w:rPr>
        <w:t>Spain</w:t>
      </w:r>
      <w:proofErr w:type="spellEnd"/>
      <w:r w:rsidRPr="003B2710">
        <w:rPr>
          <w:lang w:val="es-ES"/>
        </w:rPr>
        <w:t xml:space="preserve">, </w:t>
      </w:r>
      <w:proofErr w:type="spellStart"/>
      <w:r w:rsidRPr="003B2710">
        <w:rPr>
          <w:lang w:val="es-ES"/>
        </w:rPr>
        <w:t>the</w:t>
      </w:r>
      <w:proofErr w:type="spellEnd"/>
      <w:r w:rsidRPr="003B2710">
        <w:rPr>
          <w:lang w:val="es-ES"/>
        </w:rPr>
        <w:t xml:space="preserve"> Office </w:t>
      </w:r>
      <w:proofErr w:type="spellStart"/>
      <w:r w:rsidRPr="003B2710">
        <w:rPr>
          <w:lang w:val="es-ES"/>
        </w:rPr>
        <w:t>provided</w:t>
      </w:r>
      <w:proofErr w:type="spellEnd"/>
      <w:r w:rsidRPr="003B2710">
        <w:rPr>
          <w:lang w:val="es-ES"/>
        </w:rPr>
        <w:t xml:space="preserve"> </w:t>
      </w:r>
      <w:proofErr w:type="spellStart"/>
      <w:r w:rsidRPr="003B2710">
        <w:rPr>
          <w:lang w:val="es-ES"/>
        </w:rPr>
        <w:t>lectures</w:t>
      </w:r>
      <w:proofErr w:type="spellEnd"/>
      <w:r w:rsidRPr="003B2710">
        <w:rPr>
          <w:lang w:val="es-ES"/>
        </w:rPr>
        <w:t xml:space="preserve"> at a </w:t>
      </w:r>
      <w:proofErr w:type="spellStart"/>
      <w:r w:rsidRPr="003B2710">
        <w:rPr>
          <w:lang w:val="es-ES"/>
        </w:rPr>
        <w:t>national</w:t>
      </w:r>
      <w:proofErr w:type="spellEnd"/>
      <w:r w:rsidRPr="003B2710">
        <w:rPr>
          <w:lang w:val="es-ES"/>
        </w:rPr>
        <w:t xml:space="preserve"> training </w:t>
      </w:r>
      <w:proofErr w:type="spellStart"/>
      <w:r w:rsidRPr="003B2710">
        <w:rPr>
          <w:lang w:val="es-ES"/>
        </w:rPr>
        <w:t>course</w:t>
      </w:r>
      <w:proofErr w:type="spellEnd"/>
      <w:r w:rsidRPr="003B2710">
        <w:rPr>
          <w:lang w:val="es-ES"/>
        </w:rPr>
        <w:t xml:space="preserve"> </w:t>
      </w:r>
      <w:proofErr w:type="spellStart"/>
      <w:r w:rsidRPr="003B2710">
        <w:rPr>
          <w:lang w:val="es-ES"/>
        </w:rPr>
        <w:t>for</w:t>
      </w:r>
      <w:proofErr w:type="spellEnd"/>
      <w:r w:rsidRPr="003B2710">
        <w:rPr>
          <w:lang w:val="es-ES"/>
        </w:rPr>
        <w:t xml:space="preserve"> DUS </w:t>
      </w:r>
      <w:proofErr w:type="spellStart"/>
      <w:r w:rsidRPr="003B2710">
        <w:rPr>
          <w:lang w:val="es-ES"/>
        </w:rPr>
        <w:t>experts</w:t>
      </w:r>
      <w:proofErr w:type="spellEnd"/>
      <w:r w:rsidRPr="003B2710">
        <w:rPr>
          <w:lang w:val="es-ES"/>
        </w:rPr>
        <w:t xml:space="preserve"> </w:t>
      </w:r>
      <w:proofErr w:type="spellStart"/>
      <w:r w:rsidRPr="003B2710">
        <w:rPr>
          <w:lang w:val="es-ES"/>
        </w:rPr>
        <w:t>entitled</w:t>
      </w:r>
      <w:proofErr w:type="spellEnd"/>
      <w:r w:rsidRPr="003B2710">
        <w:rPr>
          <w:lang w:val="es-ES"/>
        </w:rPr>
        <w:t xml:space="preserve"> “</w:t>
      </w:r>
      <w:r w:rsidRPr="003B2710">
        <w:rPr>
          <w:i/>
          <w:lang w:val="es-ES"/>
        </w:rPr>
        <w:t>Armonización de los trabajos de distinción, homogeneidad y estabilidad de nuevas variedades para los centros acreditados por la OCVV. Normativa Española, de la UE y de la UPOV</w:t>
      </w:r>
      <w:r w:rsidRPr="003B2710">
        <w:rPr>
          <w:lang w:val="es-ES"/>
        </w:rPr>
        <w:t>”.</w:t>
      </w:r>
    </w:p>
    <w:p w:rsidR="001632B7" w:rsidRPr="003B2710" w:rsidRDefault="001632B7" w:rsidP="00085D3C">
      <w:pPr>
        <w:rPr>
          <w:lang w:val="es-ES"/>
        </w:rPr>
      </w:pPr>
    </w:p>
    <w:p w:rsidR="00B84977" w:rsidRDefault="00B84977" w:rsidP="00085D3C">
      <w:r>
        <w:fldChar w:fldCharType="begin"/>
      </w:r>
      <w:r>
        <w:instrText xml:space="preserve"> AUTONUM  </w:instrText>
      </w:r>
      <w:r>
        <w:fldChar w:fldCharType="end"/>
      </w:r>
      <w:r>
        <w:tab/>
        <w:t>On April 28 and 29, in Hamburg, Germany, the Office attended the Annual General Meeting of CIOPORA.</w:t>
      </w:r>
    </w:p>
    <w:p w:rsidR="00B84977" w:rsidRDefault="00B84977" w:rsidP="00085D3C"/>
    <w:p w:rsidR="0066031B" w:rsidRDefault="0066031B" w:rsidP="00085D3C">
      <w:r>
        <w:fldChar w:fldCharType="begin"/>
      </w:r>
      <w:r>
        <w:instrText xml:space="preserve"> AUTONUM  </w:instrText>
      </w:r>
      <w:r>
        <w:fldChar w:fldCharType="end"/>
      </w:r>
      <w:r>
        <w:tab/>
      </w:r>
      <w:r w:rsidR="004A0D7B">
        <w:t xml:space="preserve">From May 4 to 8, in Geneva, Switzerland, the Office, with the assistance of the USPTO, organized a Train the Trainer Course on Plant Variety Protection under the UPOV Convention.  The course was attended by participants from </w:t>
      </w:r>
      <w:r w:rsidR="008F05B6">
        <w:t xml:space="preserve">the following countries and organizations:  </w:t>
      </w:r>
      <w:r w:rsidR="00E66ABD">
        <w:t>Australia, China, Colombia, European Union, Germany, Ghana, Jamaica, Japan, Kenya, Lao People’s Democratic Republic, Mexico, Netherlands, Re</w:t>
      </w:r>
      <w:r w:rsidR="00F81642">
        <w:t xml:space="preserve">public of Korea, Serbia, United </w:t>
      </w:r>
      <w:r w:rsidR="00E66ABD">
        <w:t>Republic of Tanzania, United States of America, AFSTA, CGIAR and</w:t>
      </w:r>
      <w:r w:rsidR="00F81642">
        <w:t> </w:t>
      </w:r>
      <w:r w:rsidR="00E66ABD">
        <w:t>UPOV.</w:t>
      </w:r>
    </w:p>
    <w:p w:rsidR="00B84977" w:rsidRDefault="00B84977" w:rsidP="00085D3C"/>
    <w:p w:rsidR="0009529A" w:rsidRDefault="0009529A" w:rsidP="0009529A">
      <w:r>
        <w:fldChar w:fldCharType="begin"/>
      </w:r>
      <w:r>
        <w:instrText xml:space="preserve"> AUTONUM  </w:instrText>
      </w:r>
      <w:r>
        <w:fldChar w:fldCharType="end"/>
      </w:r>
      <w:r>
        <w:tab/>
        <w:t xml:space="preserve">On May 12, in Geneva, the Office met with Mr. Roosevelt L. Gould, Chief Legal Counsel, and </w:t>
      </w:r>
      <w:r w:rsidR="00393F05">
        <w:t>M</w:t>
      </w:r>
      <w:r w:rsidR="00C4662A">
        <w:t>r. </w:t>
      </w:r>
      <w:r w:rsidR="00393F05">
        <w:t xml:space="preserve">Roland Walter Morris, Consultant, </w:t>
      </w:r>
      <w:r w:rsidR="00C4662A">
        <w:t>Ministry of Commerce and Industry of Liberia</w:t>
      </w:r>
      <w:r>
        <w:t xml:space="preserve">.  The Office </w:t>
      </w:r>
      <w:r w:rsidRPr="0009529A">
        <w:t>explain</w:t>
      </w:r>
      <w:r>
        <w:t>ed</w:t>
      </w:r>
      <w:r w:rsidRPr="0009529A">
        <w:t xml:space="preserve"> </w:t>
      </w:r>
      <w:r w:rsidR="002A67C5">
        <w:t xml:space="preserve">the assistance that it could provide in the </w:t>
      </w:r>
      <w:r w:rsidRPr="0009529A">
        <w:t xml:space="preserve">drafting </w:t>
      </w:r>
      <w:r w:rsidR="002A67C5">
        <w:t xml:space="preserve">of </w:t>
      </w:r>
      <w:r w:rsidRPr="0009529A">
        <w:t xml:space="preserve">legislation in accordance with the UPOV Convention and </w:t>
      </w:r>
      <w:r w:rsidR="001732A1" w:rsidRPr="00F81642">
        <w:t xml:space="preserve">on </w:t>
      </w:r>
      <w:r>
        <w:t>how to become</w:t>
      </w:r>
      <w:r w:rsidR="00C4662A">
        <w:t xml:space="preserve"> a UPOV </w:t>
      </w:r>
      <w:r w:rsidRPr="0009529A">
        <w:t>member</w:t>
      </w:r>
      <w:r>
        <w:t>.</w:t>
      </w:r>
    </w:p>
    <w:p w:rsidR="0009529A" w:rsidRDefault="0009529A" w:rsidP="00085D3C"/>
    <w:p w:rsidR="008F05B6" w:rsidRDefault="008F05B6" w:rsidP="00085D3C">
      <w:r>
        <w:fldChar w:fldCharType="begin"/>
      </w:r>
      <w:r>
        <w:instrText xml:space="preserve"> AUTONUM  </w:instrText>
      </w:r>
      <w:r>
        <w:fldChar w:fldCharType="end"/>
      </w:r>
      <w:r>
        <w:tab/>
        <w:t>On May 18 and 19, in Bangkok, Thailand, the Office attended the Intellectual Property Rights Workshop organized by APSA and gave a presentation on the implementation of an effective system of plant variety protection.</w:t>
      </w:r>
    </w:p>
    <w:p w:rsidR="00610B3E" w:rsidRDefault="00610B3E" w:rsidP="00085D3C"/>
    <w:p w:rsidR="0042162B" w:rsidRDefault="0042162B" w:rsidP="00085D3C">
      <w:r>
        <w:fldChar w:fldCharType="begin"/>
      </w:r>
      <w:r>
        <w:instrText xml:space="preserve"> AUTONUM  </w:instrText>
      </w:r>
      <w:r>
        <w:fldChar w:fldCharType="end"/>
      </w:r>
      <w:r>
        <w:tab/>
        <w:t>On May 19, in Milan, Italy, the Office attended the launch of the DuPont/Economist World Food Security Index at the Expo Milan.  In particular, the Office attended a panel discussion on food security at the event “Food and agriculture:  rural and urban innovations, a forum to highlight innovations in the food security challenge”.</w:t>
      </w:r>
    </w:p>
    <w:p w:rsidR="0042162B" w:rsidRDefault="0042162B" w:rsidP="00085D3C"/>
    <w:p w:rsidR="00E55994" w:rsidRDefault="00E55994" w:rsidP="00085D3C">
      <w:r>
        <w:fldChar w:fldCharType="begin"/>
      </w:r>
      <w:r>
        <w:instrText xml:space="preserve"> AUTONUM  </w:instrText>
      </w:r>
      <w:r>
        <w:fldChar w:fldCharType="end"/>
      </w:r>
      <w:r>
        <w:tab/>
        <w:t>From May 25 to 27, in Krakow, Poland, the Office participated in the ISF World Seed Congress 2015 and made</w:t>
      </w:r>
      <w:r w:rsidRPr="00E55994">
        <w:t xml:space="preserve"> a brief presentation on recent developments at UPOV during the open meeting of the Breeders Committee</w:t>
      </w:r>
      <w:r>
        <w:t>.</w:t>
      </w:r>
      <w:r w:rsidR="00E73EEC">
        <w:t xml:space="preserve">  At the fringes of the congress, a meeting of the World Seed Project Steering Committee (FAO, ISF, ISTA, OECD and UPOV) was held.</w:t>
      </w:r>
      <w:r w:rsidR="00881C2A">
        <w:t xml:space="preserve">  The Office also had a meeting with representatives of CIOPORA, </w:t>
      </w:r>
      <w:proofErr w:type="spellStart"/>
      <w:r w:rsidR="00881C2A">
        <w:t>CropLife</w:t>
      </w:r>
      <w:proofErr w:type="spellEnd"/>
      <w:r w:rsidR="00881C2A">
        <w:t xml:space="preserve"> and ISF, during which the Office reported on recent developments in UPOV.</w:t>
      </w:r>
    </w:p>
    <w:p w:rsidR="001A0AF7" w:rsidRDefault="001A0AF7" w:rsidP="00085D3C"/>
    <w:p w:rsidR="005E278B" w:rsidRDefault="005E278B" w:rsidP="00085D3C">
      <w:r>
        <w:fldChar w:fldCharType="begin"/>
      </w:r>
      <w:r>
        <w:instrText xml:space="preserve"> AUTONUM  </w:instrText>
      </w:r>
      <w:r>
        <w:fldChar w:fldCharType="end"/>
      </w:r>
      <w:r>
        <w:tab/>
        <w:t>On May 28, at the Permanent Mission of Ireland in Geneva, the Office attended a presentation on the “Origin Green program:  Ireland’s</w:t>
      </w:r>
      <w:r w:rsidRPr="005E278B">
        <w:t xml:space="preserve"> natural advantages, developing the sustainability charter and current status</w:t>
      </w:r>
      <w:r>
        <w:t>”.</w:t>
      </w:r>
    </w:p>
    <w:p w:rsidR="005E278B" w:rsidRDefault="005E278B" w:rsidP="00085D3C"/>
    <w:p w:rsidR="002E6D85" w:rsidRDefault="002E6D85" w:rsidP="00085D3C">
      <w:r>
        <w:fldChar w:fldCharType="begin"/>
      </w:r>
      <w:r>
        <w:instrText xml:space="preserve"> AUTONUM  </w:instrText>
      </w:r>
      <w:r>
        <w:fldChar w:fldCharType="end"/>
      </w:r>
      <w:r>
        <w:tab/>
        <w:t>From June 2 to 5, in Paris, France, the Office participated in the Annual Meeting of the OECD Seed Schemes</w:t>
      </w:r>
      <w:r w:rsidR="009E04F3">
        <w:t xml:space="preserve"> and attended the </w:t>
      </w:r>
      <w:r w:rsidR="00260868">
        <w:t>OECD Forum 2015 “Investing in the Future: People, Planet, Prosperity”</w:t>
      </w:r>
      <w:r>
        <w:t>.</w:t>
      </w:r>
    </w:p>
    <w:p w:rsidR="002E6D85" w:rsidRDefault="002E6D85" w:rsidP="00085D3C"/>
    <w:p w:rsidR="004D057A" w:rsidRDefault="00C332F0" w:rsidP="00085D3C">
      <w:r>
        <w:fldChar w:fldCharType="begin"/>
      </w:r>
      <w:r>
        <w:instrText xml:space="preserve"> AUTONUM  </w:instrText>
      </w:r>
      <w:r>
        <w:fldChar w:fldCharType="end"/>
      </w:r>
      <w:r>
        <w:tab/>
      </w:r>
      <w:r w:rsidR="004E01DE">
        <w:t xml:space="preserve">From June 1 to 3, in </w:t>
      </w:r>
      <w:proofErr w:type="spellStart"/>
      <w:r w:rsidR="004E01DE">
        <w:t>Kimcheon</w:t>
      </w:r>
      <w:proofErr w:type="spellEnd"/>
      <w:r w:rsidR="004E01DE">
        <w:t xml:space="preserve">, Republic of Korea, the Office gave lectures on plant variety protection under the UPOV Convention at the Training Course “Plant Variety Protection and DUS Testing” organized by KOICA, in cooperation with the KSVS.  </w:t>
      </w:r>
      <w:r w:rsidR="004E01DE" w:rsidRPr="00CF3B03">
        <w:t>The course was attended by participants from Cambodia, Egypt, Indonesia, Kenya, Myanmar, Philippines, United Republic of Tanzania and Uganda, who were given the opportunity to participate in the UPOV Distance Learning Course DL-205</w:t>
      </w:r>
      <w:r w:rsidR="004E01DE" w:rsidRPr="00956D1D">
        <w:t>.</w:t>
      </w:r>
    </w:p>
    <w:p w:rsidR="004E01DE" w:rsidRDefault="004E01DE" w:rsidP="00085D3C"/>
    <w:p w:rsidR="00050F87" w:rsidRDefault="00050F87" w:rsidP="00085D3C">
      <w:r>
        <w:fldChar w:fldCharType="begin"/>
      </w:r>
      <w:r>
        <w:instrText xml:space="preserve"> AUTONUM  </w:instrText>
      </w:r>
      <w:r>
        <w:fldChar w:fldCharType="end"/>
      </w:r>
      <w:r>
        <w:tab/>
      </w:r>
      <w:r w:rsidRPr="00050F87">
        <w:t xml:space="preserve">On June 9, </w:t>
      </w:r>
      <w:r>
        <w:t xml:space="preserve">at UPOV headquarters in Geneva, </w:t>
      </w:r>
      <w:r w:rsidRPr="00050F87">
        <w:t>the Office made a presentation at the XML4IP Task Force Meeting in order to report on developments in relation to the UPOV Electronic Application Form Project and the PVP-XML Schema.</w:t>
      </w:r>
    </w:p>
    <w:p w:rsidR="00050F87" w:rsidRDefault="00050F87" w:rsidP="00085D3C"/>
    <w:p w:rsidR="00644666" w:rsidRDefault="00644666" w:rsidP="00644666">
      <w:r>
        <w:fldChar w:fldCharType="begin"/>
      </w:r>
      <w:r>
        <w:instrText xml:space="preserve"> AUTONUM  </w:instrText>
      </w:r>
      <w:r>
        <w:fldChar w:fldCharType="end"/>
      </w:r>
      <w:r>
        <w:tab/>
        <w:t>On June 9, at WTO headquarters in Geneva, the Office attended the relevant parts of the meeting of the Council for Trade Related Aspects of Intellectual Property Rights (Council for TRIPS).</w:t>
      </w:r>
    </w:p>
    <w:p w:rsidR="00644666" w:rsidRDefault="00644666" w:rsidP="00085D3C"/>
    <w:p w:rsidR="002128AE" w:rsidRDefault="002128AE" w:rsidP="008527D0">
      <w:r>
        <w:fldChar w:fldCharType="begin"/>
      </w:r>
      <w:r>
        <w:instrText xml:space="preserve"> AUTONUM  </w:instrText>
      </w:r>
      <w:r>
        <w:fldChar w:fldCharType="end"/>
      </w:r>
      <w:r>
        <w:tab/>
        <w:t>On June 11, in Madrid, Spain, the Office participated at the “</w:t>
      </w:r>
      <w:proofErr w:type="spellStart"/>
      <w:r w:rsidRPr="002128AE">
        <w:rPr>
          <w:i/>
        </w:rPr>
        <w:t>Jornada</w:t>
      </w:r>
      <w:proofErr w:type="spellEnd"/>
      <w:r w:rsidRPr="002128AE">
        <w:rPr>
          <w:i/>
        </w:rPr>
        <w:t xml:space="preserve"> de la </w:t>
      </w:r>
      <w:proofErr w:type="spellStart"/>
      <w:r w:rsidRPr="002128AE">
        <w:rPr>
          <w:i/>
        </w:rPr>
        <w:t>Protección</w:t>
      </w:r>
      <w:proofErr w:type="spellEnd"/>
      <w:r w:rsidRPr="002128AE">
        <w:rPr>
          <w:i/>
        </w:rPr>
        <w:t xml:space="preserve"> de las </w:t>
      </w:r>
      <w:proofErr w:type="spellStart"/>
      <w:r w:rsidRPr="002128AE">
        <w:rPr>
          <w:i/>
        </w:rPr>
        <w:t>Variedades</w:t>
      </w:r>
      <w:proofErr w:type="spellEnd"/>
      <w:r w:rsidRPr="002128AE">
        <w:rPr>
          <w:i/>
        </w:rPr>
        <w:t xml:space="preserve"> </w:t>
      </w:r>
      <w:proofErr w:type="spellStart"/>
      <w:r w:rsidRPr="002128AE">
        <w:rPr>
          <w:i/>
        </w:rPr>
        <w:t>Vegetales</w:t>
      </w:r>
      <w:proofErr w:type="spellEnd"/>
      <w:r w:rsidRPr="002128AE">
        <w:rPr>
          <w:i/>
        </w:rPr>
        <w:t xml:space="preserve"> y </w:t>
      </w:r>
      <w:proofErr w:type="spellStart"/>
      <w:r w:rsidRPr="002128AE">
        <w:rPr>
          <w:i/>
        </w:rPr>
        <w:t>otros</w:t>
      </w:r>
      <w:proofErr w:type="spellEnd"/>
      <w:r w:rsidRPr="002128AE">
        <w:rPr>
          <w:i/>
        </w:rPr>
        <w:t xml:space="preserve"> Derechos de </w:t>
      </w:r>
      <w:proofErr w:type="spellStart"/>
      <w:r w:rsidRPr="002128AE">
        <w:rPr>
          <w:i/>
        </w:rPr>
        <w:t>Propiedad</w:t>
      </w:r>
      <w:proofErr w:type="spellEnd"/>
      <w:r w:rsidRPr="002128AE">
        <w:rPr>
          <w:i/>
        </w:rPr>
        <w:t xml:space="preserve"> Industrial </w:t>
      </w:r>
      <w:proofErr w:type="spellStart"/>
      <w:r w:rsidRPr="002128AE">
        <w:rPr>
          <w:i/>
        </w:rPr>
        <w:t>en</w:t>
      </w:r>
      <w:proofErr w:type="spellEnd"/>
      <w:r w:rsidRPr="002128AE">
        <w:rPr>
          <w:i/>
        </w:rPr>
        <w:t xml:space="preserve"> el </w:t>
      </w:r>
      <w:proofErr w:type="spellStart"/>
      <w:r w:rsidRPr="002128AE">
        <w:rPr>
          <w:i/>
        </w:rPr>
        <w:t>Desarrollo</w:t>
      </w:r>
      <w:proofErr w:type="spellEnd"/>
      <w:r w:rsidRPr="002128AE">
        <w:rPr>
          <w:i/>
        </w:rPr>
        <w:t xml:space="preserve"> de la </w:t>
      </w:r>
      <w:proofErr w:type="spellStart"/>
      <w:r w:rsidRPr="002128AE">
        <w:rPr>
          <w:i/>
        </w:rPr>
        <w:t>Agricultura</w:t>
      </w:r>
      <w:proofErr w:type="spellEnd"/>
      <w:r>
        <w:t>”, organized by the Spanish Patent and Trademark Office (OEPM) and gave a presentation on plant variety protection under the UPOV Convention.</w:t>
      </w:r>
    </w:p>
    <w:p w:rsidR="008F05B6" w:rsidRDefault="008F05B6" w:rsidP="00610B3E">
      <w:r>
        <w:fldChar w:fldCharType="begin"/>
      </w:r>
      <w:r>
        <w:instrText xml:space="preserve"> AUTONUM  </w:instrText>
      </w:r>
      <w:r>
        <w:fldChar w:fldCharType="end"/>
      </w:r>
      <w:r>
        <w:tab/>
        <w:t xml:space="preserve">On June 16, in </w:t>
      </w:r>
      <w:proofErr w:type="spellStart"/>
      <w:r>
        <w:t>Wageningen</w:t>
      </w:r>
      <w:proofErr w:type="spellEnd"/>
      <w:r>
        <w:t>, Netherlands, the Office provided a train</w:t>
      </w:r>
      <w:r w:rsidR="00702A08">
        <w:t>ing session on UPOV at the 18</w:t>
      </w:r>
      <w:r w:rsidR="00702A08" w:rsidRPr="00702A08">
        <w:rPr>
          <w:vertAlign w:val="superscript"/>
        </w:rPr>
        <w:t>th</w:t>
      </w:r>
      <w:r w:rsidR="00702A08">
        <w:t> </w:t>
      </w:r>
      <w:r>
        <w:t xml:space="preserve">International Course on Plant Variety Protection, organized by </w:t>
      </w:r>
      <w:proofErr w:type="spellStart"/>
      <w:r>
        <w:t>Naktuinbouw</w:t>
      </w:r>
      <w:proofErr w:type="spellEnd"/>
      <w:r>
        <w:t>.  The course was attended by participants from the following countries and organization:</w:t>
      </w:r>
      <w:r w:rsidR="00610B3E">
        <w:t xml:space="preserve">  </w:t>
      </w:r>
      <w:r w:rsidR="00C55189" w:rsidRPr="004634D5">
        <w:t xml:space="preserve">Bosnia and Herzegovina, Egypt, Ethiopia, </w:t>
      </w:r>
      <w:r w:rsidR="00C55189" w:rsidRPr="00F81642">
        <w:t xml:space="preserve">Ghana, India, Indonesia, </w:t>
      </w:r>
      <w:r w:rsidR="004634D5" w:rsidRPr="00F81642">
        <w:t xml:space="preserve">Japan, </w:t>
      </w:r>
      <w:r w:rsidR="00C55189" w:rsidRPr="00F81642">
        <w:t xml:space="preserve">Kenya, Malaysia, Netherlands, Nigeria, </w:t>
      </w:r>
      <w:r w:rsidR="004634D5" w:rsidRPr="00F81642">
        <w:t xml:space="preserve">Oman, </w:t>
      </w:r>
      <w:r w:rsidR="00C55189" w:rsidRPr="00F81642">
        <w:t xml:space="preserve">Republic of Korea, South Africa, </w:t>
      </w:r>
      <w:r w:rsidR="004634D5" w:rsidRPr="00F81642">
        <w:rPr>
          <w:snapToGrid w:val="0"/>
        </w:rPr>
        <w:t xml:space="preserve">United Kingdom, </w:t>
      </w:r>
      <w:r w:rsidR="00C55189" w:rsidRPr="00F81642">
        <w:t>United Republic of Tanzania</w:t>
      </w:r>
      <w:r w:rsidR="004634D5" w:rsidRPr="00F81642">
        <w:t xml:space="preserve">, </w:t>
      </w:r>
      <w:r w:rsidR="00C55189" w:rsidRPr="00F81642">
        <w:t>and UPOV</w:t>
      </w:r>
      <w:r w:rsidR="00610B3E" w:rsidRPr="00F81642">
        <w:t xml:space="preserve">.  Prior to the course, the students participated in the UPOV Distance Learning Course DL-205.  Participants were also offered the possibility to hold bilateral discussions with </w:t>
      </w:r>
      <w:r w:rsidR="001732A1" w:rsidRPr="00F81642">
        <w:t xml:space="preserve">the Office </w:t>
      </w:r>
      <w:r w:rsidR="00610B3E" w:rsidRPr="00F81642">
        <w:t>at t</w:t>
      </w:r>
      <w:r w:rsidR="00F81642" w:rsidRPr="00F81642">
        <w:t>he end of the training session.</w:t>
      </w:r>
    </w:p>
    <w:p w:rsidR="008F05B6" w:rsidRDefault="008F05B6" w:rsidP="00085D3C"/>
    <w:p w:rsidR="00300985" w:rsidRDefault="00300985" w:rsidP="00300985">
      <w:r>
        <w:fldChar w:fldCharType="begin"/>
      </w:r>
      <w:r>
        <w:instrText xml:space="preserve"> AUTONUM  </w:instrText>
      </w:r>
      <w:r>
        <w:fldChar w:fldCharType="end"/>
      </w:r>
      <w:r>
        <w:tab/>
        <w:t>On June 18 and 19, in Tsukuba, Japan, the Office provided</w:t>
      </w:r>
      <w:r w:rsidR="00CC40FC">
        <w:t xml:space="preserve"> a training session on UPOV</w:t>
      </w:r>
      <w:r>
        <w:t xml:space="preserve"> at the training course “Quality Control System of Seeds and Seedlings to Facilitate Distribution of High Quality Seeds” organized by JICA in cooperation with the Government of Japan.  </w:t>
      </w:r>
      <w:r w:rsidR="00FB1121" w:rsidRPr="00030FB6">
        <w:rPr>
          <w:snapToGrid w:val="0"/>
          <w:color w:val="000000"/>
          <w:lang w:eastAsia="ja-JP"/>
        </w:rPr>
        <w:t xml:space="preserve">The course was attended by </w:t>
      </w:r>
      <w:r w:rsidR="00FB1121" w:rsidRPr="00030FB6">
        <w:rPr>
          <w:snapToGrid w:val="0"/>
          <w:color w:val="000000"/>
        </w:rPr>
        <w:t>participants from</w:t>
      </w:r>
      <w:r w:rsidR="00FB1121" w:rsidRPr="00030FB6">
        <w:rPr>
          <w:snapToGrid w:val="0"/>
          <w:color w:val="000000"/>
          <w:lang w:eastAsia="ja-JP"/>
        </w:rPr>
        <w:t xml:space="preserve"> </w:t>
      </w:r>
      <w:r w:rsidR="00FB1121" w:rsidRPr="002001D0">
        <w:rPr>
          <w:snapToGrid w:val="0"/>
          <w:color w:val="000000"/>
          <w:lang w:eastAsia="ja-JP"/>
        </w:rPr>
        <w:t>Burkina Faso, Cambodia, Ethiopia, Indonesia, Lao People’s Democratic Republic, Malaysia, Myanmar, Sri Lanka and Viet Nam</w:t>
      </w:r>
      <w:r w:rsidR="00FB1121">
        <w:rPr>
          <w:snapToGrid w:val="0"/>
          <w:color w:val="000000"/>
          <w:lang w:eastAsia="ja-JP"/>
        </w:rPr>
        <w:t xml:space="preserve"> and by a number of staff of the </w:t>
      </w:r>
      <w:r w:rsidR="00FB1121" w:rsidRPr="002001D0">
        <w:rPr>
          <w:rFonts w:eastAsiaTheme="minorEastAsia"/>
          <w:snapToGrid w:val="0"/>
          <w:color w:val="000000"/>
          <w:lang w:eastAsia="ja-JP"/>
        </w:rPr>
        <w:t>National Center for Seeds and Seedlings (NCSS)</w:t>
      </w:r>
      <w:r w:rsidR="00FB1121">
        <w:rPr>
          <w:snapToGrid w:val="0"/>
          <w:color w:val="000000"/>
          <w:lang w:eastAsia="ja-JP"/>
        </w:rPr>
        <w:t>, Japan</w:t>
      </w:r>
      <w:r w:rsidR="00FB1121" w:rsidRPr="002001D0">
        <w:rPr>
          <w:snapToGrid w:val="0"/>
          <w:color w:val="000000"/>
          <w:lang w:eastAsia="ja-JP"/>
        </w:rPr>
        <w:t xml:space="preserve">.  </w:t>
      </w:r>
      <w:r w:rsidR="00FB1121">
        <w:rPr>
          <w:snapToGrid w:val="0"/>
          <w:color w:val="000000"/>
          <w:lang w:eastAsia="ja-JP"/>
        </w:rPr>
        <w:t>As a part of the program, th</w:t>
      </w:r>
      <w:r w:rsidR="00FB1121" w:rsidRPr="002001D0">
        <w:rPr>
          <w:snapToGrid w:val="0"/>
          <w:color w:val="000000"/>
          <w:lang w:eastAsia="ja-JP"/>
        </w:rPr>
        <w:t xml:space="preserve">e JICA participants were </w:t>
      </w:r>
      <w:r w:rsidR="00FB1121">
        <w:rPr>
          <w:szCs w:val="24"/>
        </w:rPr>
        <w:t>invited</w:t>
      </w:r>
      <w:r w:rsidR="00FB1121" w:rsidRPr="00030FB6">
        <w:rPr>
          <w:szCs w:val="24"/>
        </w:rPr>
        <w:t xml:space="preserve"> to participate in the UPOV D</w:t>
      </w:r>
      <w:r w:rsidR="00FB1121">
        <w:rPr>
          <w:szCs w:val="24"/>
        </w:rPr>
        <w:t>istance Learning Course DL-205.</w:t>
      </w:r>
    </w:p>
    <w:p w:rsidR="002B5C8C" w:rsidRDefault="002B5C8C" w:rsidP="00300985"/>
    <w:p w:rsidR="002B5C8C" w:rsidRDefault="002B5C8C" w:rsidP="002B5C8C">
      <w:r>
        <w:fldChar w:fldCharType="begin"/>
      </w:r>
      <w:r>
        <w:instrText xml:space="preserve"> AUTONUM  </w:instrText>
      </w:r>
      <w:r>
        <w:fldChar w:fldCharType="end"/>
      </w:r>
      <w:r>
        <w:tab/>
        <w:t>On June 23, at WIPO headquarters in Geneva, the Office gave a presentation on the “</w:t>
      </w:r>
      <w:r w:rsidRPr="002B5C8C">
        <w:t>Implementation of the International Convention for the Protection of New Varieties of Plants</w:t>
      </w:r>
      <w:r>
        <w:t xml:space="preserve">” at the WIPO-WTO Colloquium for Teachers of Intellectual Property.  The Colloquium was attended by participants from Bangladesh, Brazil, Burkina Faso, Cambodia, Cameroon, China, Cuba, Egypt, Ghana, Guatemala, India, Indonesia, Israel, Jordan, Malaysia, Mexico, Nigeria, Nepal, Pakistan, Republic of Moldova, Thailand, the </w:t>
      </w:r>
      <w:proofErr w:type="gramStart"/>
      <w:r>
        <w:t>former</w:t>
      </w:r>
      <w:proofErr w:type="gramEnd"/>
      <w:r>
        <w:t xml:space="preserve"> Yugoslav Republic of Macedonia, Tunisia,</w:t>
      </w:r>
      <w:r w:rsidR="00FB1121">
        <w:t xml:space="preserve"> </w:t>
      </w:r>
      <w:r>
        <w:t>Turkey, Ukraine, Viet Nam and Zimbabwe.</w:t>
      </w:r>
    </w:p>
    <w:p w:rsidR="008F05B6" w:rsidRDefault="008F05B6" w:rsidP="00300985"/>
    <w:p w:rsidR="00DA22D5" w:rsidRDefault="00DA22D5" w:rsidP="00300985">
      <w:r>
        <w:fldChar w:fldCharType="begin"/>
      </w:r>
      <w:r>
        <w:instrText xml:space="preserve"> AUTONUM  </w:instrText>
      </w:r>
      <w:r>
        <w:fldChar w:fldCharType="end"/>
      </w:r>
      <w:r>
        <w:tab/>
        <w:t>From June 23 to 25, at WIPO headquarters in Geneva, the Office attended relevant parts of the WIPO </w:t>
      </w:r>
      <w:r w:rsidRPr="00A55082">
        <w:t xml:space="preserve">Seminar on Intellectual Property and Genetic Resources, Traditional Knowledge and Traditional Cultural Expressions: </w:t>
      </w:r>
      <w:r>
        <w:t xml:space="preserve">The </w:t>
      </w:r>
      <w:r w:rsidRPr="00A55082">
        <w:t xml:space="preserve">Regional </w:t>
      </w:r>
      <w:r w:rsidR="00F81642">
        <w:t>and International Dimensions.</w:t>
      </w:r>
    </w:p>
    <w:p w:rsidR="00DA22D5" w:rsidRDefault="00DA22D5" w:rsidP="00300985"/>
    <w:p w:rsidR="00153D00" w:rsidRDefault="00153D00" w:rsidP="00153D00">
      <w:r>
        <w:fldChar w:fldCharType="begin"/>
      </w:r>
      <w:r>
        <w:instrText xml:space="preserve"> AUTONUM  </w:instrText>
      </w:r>
      <w:r>
        <w:fldChar w:fldCharType="end"/>
      </w:r>
      <w:r>
        <w:tab/>
        <w:t xml:space="preserve">On June 26, at WIPO headquarters in Geneva, the Office made a presentation on “The protection of plant varieties and the International Union for the Protection of New Varieties of Plants (UPOV)” at the WIPO-University of Geneva (UNIGE) Summer School on Intellectual Property.  The WIPO-UNIGE Summer School was attended by participants from Azerbaijan, Brazil, China, Colombia, France, Germany, India, Italy, Israel, Lithuania, Nigeria, Oman, Pakistan, Portugal, Republic of Korea, Russian Federation, Slovakia, Spain, Switzerland, the </w:t>
      </w:r>
      <w:proofErr w:type="gramStart"/>
      <w:r>
        <w:t>former</w:t>
      </w:r>
      <w:proofErr w:type="gramEnd"/>
      <w:r>
        <w:t xml:space="preserve"> Yugoslav Republic of Macedonia, Ukraine, United S</w:t>
      </w:r>
      <w:r w:rsidR="00F81642">
        <w:t>tates of America and Venezuela.</w:t>
      </w:r>
    </w:p>
    <w:p w:rsidR="00153D00" w:rsidRDefault="00153D00" w:rsidP="00300985"/>
    <w:p w:rsidR="00023199" w:rsidRDefault="00023199" w:rsidP="00300985">
      <w:r>
        <w:fldChar w:fldCharType="begin"/>
      </w:r>
      <w:r>
        <w:instrText xml:space="preserve"> AUTONUM  </w:instrText>
      </w:r>
      <w:r>
        <w:fldChar w:fldCharType="end"/>
      </w:r>
      <w:r>
        <w:tab/>
        <w:t xml:space="preserve">From June 29 to July </w:t>
      </w:r>
      <w:r w:rsidR="00762E58">
        <w:t>1</w:t>
      </w:r>
      <w:r>
        <w:t xml:space="preserve">, in Arusha, United Republic of Tanzania, </w:t>
      </w:r>
      <w:r w:rsidR="00420619">
        <w:t>t</w:t>
      </w:r>
      <w:r w:rsidR="00420619" w:rsidRPr="00420619">
        <w:t>he Office attended</w:t>
      </w:r>
      <w:r w:rsidR="00762E58" w:rsidRPr="00762E58">
        <w:t xml:space="preserve"> </w:t>
      </w:r>
      <w:r w:rsidR="00762E58" w:rsidRPr="00420619">
        <w:t>an Expert Committee Meeting</w:t>
      </w:r>
      <w:r w:rsidR="00420619" w:rsidRPr="00420619">
        <w:t>,</w:t>
      </w:r>
      <w:r w:rsidR="00762E58">
        <w:t xml:space="preserve"> </w:t>
      </w:r>
      <w:r w:rsidR="00762E58" w:rsidRPr="00420619">
        <w:t xml:space="preserve">organized by ARIPO, in cooperation with UPOV and with the financial assistance of the USPTO.  </w:t>
      </w:r>
      <w:r w:rsidR="00762E58">
        <w:t xml:space="preserve">On July 2 and 3, </w:t>
      </w:r>
      <w:r w:rsidR="00762E58" w:rsidRPr="00420619">
        <w:t xml:space="preserve">the </w:t>
      </w:r>
      <w:r w:rsidR="00762E58">
        <w:t xml:space="preserve">Office attended the </w:t>
      </w:r>
      <w:r w:rsidR="00762E58" w:rsidRPr="00420619">
        <w:t>ARIPO Admin</w:t>
      </w:r>
      <w:r w:rsidR="00762E58">
        <w:t>istrative Council.  The Office also attended,</w:t>
      </w:r>
      <w:r w:rsidR="00420619" w:rsidRPr="00420619">
        <w:t xml:space="preserve"> in an observer capacity, the “Diplomatic Conference for the adoption of the Draft Protocol for the Protection of New Varieties of Plants (Plant breeders’ rights)”, held on July 6, 2015.  The Diplomatic Conference adopted the “Arusha Protocol for the Protection of New Varieties of Plants within the Framework of the African Regional Intellectual Property Organization (ARIPO)” (Arusha Protocol)</w:t>
      </w:r>
      <w:r w:rsidR="00420619">
        <w:t>.</w:t>
      </w:r>
    </w:p>
    <w:p w:rsidR="00023199" w:rsidRDefault="00023199" w:rsidP="00300985"/>
    <w:p w:rsidR="00EF7644" w:rsidRDefault="00EF7644" w:rsidP="00EF7644">
      <w:r>
        <w:fldChar w:fldCharType="begin"/>
      </w:r>
      <w:r>
        <w:instrText xml:space="preserve"> AUTONUM  </w:instrText>
      </w:r>
      <w:r>
        <w:fldChar w:fldCharType="end"/>
      </w:r>
      <w:r>
        <w:tab/>
        <w:t xml:space="preserve">On July 9 and 10, in Brisbane, Australia, at the Queensland University of Technology (QUT), lectures on plant variety protection under the UPOV </w:t>
      </w:r>
      <w:r w:rsidR="00D3083C">
        <w:t>Convention</w:t>
      </w:r>
      <w:r>
        <w:t xml:space="preserve"> were given by Mr. Doug Waterhouse, Chief, Plant Breeder’s Rights, IP Australia, on behalf of the Office, at the 6th Edition of the WIPO-QUT Master of Intellectual Property Law.  The program was attended by participants from </w:t>
      </w:r>
      <w:r w:rsidR="00B826E6">
        <w:t>Australia, Bangladesh, China, Colombia, India, Japan, Mongolia, Pakistan, Republic of Korea and Samoa.</w:t>
      </w:r>
    </w:p>
    <w:p w:rsidR="00EF7644" w:rsidRDefault="00EF7644" w:rsidP="00300985"/>
    <w:p w:rsidR="009E7CFA" w:rsidRDefault="009E7CFA" w:rsidP="00300985">
      <w:r>
        <w:fldChar w:fldCharType="begin"/>
      </w:r>
      <w:r>
        <w:instrText xml:space="preserve"> AUTONUM  </w:instrText>
      </w:r>
      <w:r>
        <w:fldChar w:fldCharType="end"/>
      </w:r>
      <w:r>
        <w:tab/>
        <w:t xml:space="preserve">On July 14, in Milan, Italy, the Office participated in </w:t>
      </w:r>
      <w:r w:rsidRPr="009E7CFA">
        <w:t xml:space="preserve">a conference at the Expo </w:t>
      </w:r>
      <w:r w:rsidR="00FD3A08">
        <w:t xml:space="preserve">Milano 2015 </w:t>
      </w:r>
      <w:r>
        <w:t>on “</w:t>
      </w:r>
      <w:r w:rsidRPr="009E7CFA">
        <w:t>Climate change and food security: challenges for plant health, plant breeding and genetic resources</w:t>
      </w:r>
      <w:r>
        <w:t>”, organized by the European Commission’</w:t>
      </w:r>
      <w:r w:rsidRPr="009E7CFA">
        <w:t>s Directorate</w:t>
      </w:r>
      <w:r>
        <w:t xml:space="preserve"> General Health and Food Safety.  The Office made a presentation on p</w:t>
      </w:r>
      <w:r w:rsidRPr="009E7CFA">
        <w:t>rotection of innovations in the plant breeding sector</w:t>
      </w:r>
      <w:r>
        <w:t>.</w:t>
      </w:r>
    </w:p>
    <w:p w:rsidR="009E7CFA" w:rsidRDefault="009E7CFA" w:rsidP="00300985"/>
    <w:p w:rsidR="000B13BD" w:rsidRDefault="000B13BD" w:rsidP="00085D3C">
      <w:r>
        <w:fldChar w:fldCharType="begin"/>
      </w:r>
      <w:r>
        <w:instrText xml:space="preserve"> AUTONUM  </w:instrText>
      </w:r>
      <w:r>
        <w:fldChar w:fldCharType="end"/>
      </w:r>
      <w:r>
        <w:tab/>
        <w:t xml:space="preserve">From July 27 to 29, in </w:t>
      </w:r>
      <w:proofErr w:type="spellStart"/>
      <w:r w:rsidR="00F82E64">
        <w:t>Buea</w:t>
      </w:r>
      <w:proofErr w:type="spellEnd"/>
      <w:r>
        <w:t xml:space="preserve">, Cameroon, the Office participated in an information and awareness seminar on the protection of new varieties of plants for experts from agricultural research </w:t>
      </w:r>
      <w:r w:rsidR="002306D8">
        <w:t>centers</w:t>
      </w:r>
      <w:r>
        <w:t xml:space="preserve"> and decision-makers in the field of agriculture, organized by OAPI in collaboration with the Government of Cameroon.  The Office made presentations on the protection of new varieties of plants under the UPOV</w:t>
      </w:r>
      <w:r w:rsidR="00F81642">
        <w:t> </w:t>
      </w:r>
      <w:r>
        <w:t>system, cooperation in DUS testing, UPOV Test Guidelines, and the relationship between UPOV and other international treaties.</w:t>
      </w:r>
    </w:p>
    <w:p w:rsidR="000B13BD" w:rsidRDefault="000B13BD" w:rsidP="00085D3C"/>
    <w:p w:rsidR="002306D8" w:rsidRDefault="002306D8" w:rsidP="00085D3C">
      <w:r>
        <w:fldChar w:fldCharType="begin"/>
      </w:r>
      <w:r>
        <w:instrText xml:space="preserve"> AUTONUM  </w:instrText>
      </w:r>
      <w:r>
        <w:fldChar w:fldCharType="end"/>
      </w:r>
      <w:r>
        <w:tab/>
      </w:r>
      <w:r w:rsidRPr="002306D8">
        <w:t>From August 3 to 6, in Abidjan, Côte d’Ivoire, the Office participated in the official launching workshops for the ECOWAS-UEMOA-CILSS Regional Seed Committee (</w:t>
      </w:r>
      <w:proofErr w:type="spellStart"/>
      <w:r w:rsidRPr="002306D8">
        <w:t>COASem</w:t>
      </w:r>
      <w:proofErr w:type="spellEnd"/>
      <w:r w:rsidRPr="002306D8">
        <w:t xml:space="preserve"> &amp; CRSU) and Alliance for Seed Industry in West Africa (ASIWA), organized by the West and Central African Council for Agricultural Research and Development (WECARD). </w:t>
      </w:r>
      <w:r>
        <w:t xml:space="preserve"> </w:t>
      </w:r>
      <w:r w:rsidRPr="002306D8">
        <w:t xml:space="preserve">The Office made a presentation on UPOV and benefits of an efficient system </w:t>
      </w:r>
      <w:r>
        <w:t xml:space="preserve">of </w:t>
      </w:r>
      <w:r w:rsidRPr="002306D8">
        <w:t>plant variety protection.</w:t>
      </w:r>
    </w:p>
    <w:p w:rsidR="002306D8" w:rsidRDefault="002306D8" w:rsidP="00085D3C"/>
    <w:p w:rsidR="004B5121" w:rsidRDefault="004B5121" w:rsidP="00085D3C">
      <w:r w:rsidRPr="005376FD">
        <w:fldChar w:fldCharType="begin"/>
      </w:r>
      <w:r w:rsidRPr="005376FD">
        <w:instrText xml:space="preserve"> AUTONUM  </w:instrText>
      </w:r>
      <w:r w:rsidRPr="005376FD">
        <w:fldChar w:fldCharType="end"/>
      </w:r>
      <w:r w:rsidRPr="005376FD">
        <w:tab/>
      </w:r>
      <w:r w:rsidR="004831D4" w:rsidRPr="005376FD">
        <w:t>On August 13</w:t>
      </w:r>
      <w:r w:rsidR="004831D4">
        <w:t xml:space="preserve"> and 14</w:t>
      </w:r>
      <w:r w:rsidR="004831D4" w:rsidRPr="005376FD">
        <w:t>, in Santa Cruz de la Sierra, Bolivia (</w:t>
      </w:r>
      <w:proofErr w:type="spellStart"/>
      <w:r w:rsidR="004831D4" w:rsidRPr="005376FD">
        <w:t>Plurinational</w:t>
      </w:r>
      <w:proofErr w:type="spellEnd"/>
      <w:r w:rsidR="004831D4" w:rsidRPr="005376FD">
        <w:t xml:space="preserve"> State of), the Office participated in the Second Bolivian Seed Congress, organized by the </w:t>
      </w:r>
      <w:r w:rsidR="00247589" w:rsidRPr="00247589">
        <w:t>National Institute for Agricultural and Forestry Research Innovation</w:t>
      </w:r>
      <w:r w:rsidR="004831D4" w:rsidRPr="005376FD">
        <w:t xml:space="preserve"> (INIAF), and made a presentation on </w:t>
      </w:r>
      <w:r w:rsidR="004831D4">
        <w:t>plant variety protection under the UPOV Convention and benefits for farmers and growers</w:t>
      </w:r>
      <w:r w:rsidR="004831D4" w:rsidRPr="005376FD">
        <w:t>.</w:t>
      </w:r>
    </w:p>
    <w:p w:rsidR="004B5121" w:rsidRDefault="004B5121" w:rsidP="00085D3C"/>
    <w:p w:rsidR="00724522" w:rsidRPr="008E4658" w:rsidRDefault="00724522" w:rsidP="00724522">
      <w:pPr>
        <w:autoSpaceDE w:val="0"/>
        <w:autoSpaceDN w:val="0"/>
        <w:adjustRightInd w:val="0"/>
        <w:rPr>
          <w:lang w:eastAsia="ja-JP"/>
        </w:rPr>
      </w:pPr>
      <w:r w:rsidRPr="00724522">
        <w:fldChar w:fldCharType="begin"/>
      </w:r>
      <w:r w:rsidRPr="00724522">
        <w:instrText xml:space="preserve"> AUTONUM  </w:instrText>
      </w:r>
      <w:r w:rsidRPr="00724522">
        <w:fldChar w:fldCharType="end"/>
      </w:r>
      <w:r w:rsidRPr="00724522">
        <w:tab/>
      </w:r>
      <w:r w:rsidR="00987029">
        <w:rPr>
          <w:lang w:eastAsia="ja-JP"/>
        </w:rPr>
        <w:t xml:space="preserve">On </w:t>
      </w:r>
      <w:r w:rsidRPr="00724522">
        <w:rPr>
          <w:rFonts w:hint="eastAsia"/>
          <w:lang w:eastAsia="ja-JP"/>
        </w:rPr>
        <w:t xml:space="preserve">September 2, </w:t>
      </w:r>
      <w:r w:rsidRPr="00724522">
        <w:rPr>
          <w:lang w:eastAsia="ja-JP"/>
        </w:rPr>
        <w:t>in Seoul, Republic of Korea, the Office participated in the Eighth Annual Meeting of the East Asia Plant Variety Protection Forum (EAPVP Forum), where it made a presentation on “</w:t>
      </w:r>
      <w:r w:rsidRPr="00724522">
        <w:rPr>
          <w:rFonts w:hint="eastAsia"/>
          <w:lang w:eastAsia="ja-JP"/>
        </w:rPr>
        <w:t>Developments in UPOV</w:t>
      </w:r>
      <w:r w:rsidRPr="00724522">
        <w:rPr>
          <w:lang w:eastAsia="ja-JP"/>
        </w:rPr>
        <w:t>”</w:t>
      </w:r>
      <w:r w:rsidR="00987029">
        <w:rPr>
          <w:lang w:eastAsia="ja-JP"/>
        </w:rPr>
        <w:t>.  On September 3 and 4,</w:t>
      </w:r>
      <w:r w:rsidRPr="00724522">
        <w:rPr>
          <w:lang w:eastAsia="ja-JP"/>
        </w:rPr>
        <w:t xml:space="preserve"> </w:t>
      </w:r>
      <w:r w:rsidR="00987029">
        <w:rPr>
          <w:lang w:eastAsia="ja-JP"/>
        </w:rPr>
        <w:t xml:space="preserve">the Office also participated </w:t>
      </w:r>
      <w:r w:rsidRPr="00724522">
        <w:rPr>
          <w:lang w:eastAsia="ja-JP"/>
        </w:rPr>
        <w:t xml:space="preserve">in the </w:t>
      </w:r>
      <w:r w:rsidRPr="00724522">
        <w:rPr>
          <w:rFonts w:hint="eastAsia"/>
          <w:lang w:eastAsia="ja-JP"/>
        </w:rPr>
        <w:t>Korea Seed and Variety Service</w:t>
      </w:r>
      <w:r w:rsidR="008E4658">
        <w:rPr>
          <w:lang w:eastAsia="ja-JP"/>
        </w:rPr>
        <w:t xml:space="preserve"> (</w:t>
      </w:r>
      <w:r w:rsidR="008E4658" w:rsidRPr="00724522">
        <w:rPr>
          <w:rFonts w:hint="eastAsia"/>
          <w:lang w:eastAsia="ja-JP"/>
        </w:rPr>
        <w:t>KSVS</w:t>
      </w:r>
      <w:r w:rsidR="008E4658">
        <w:rPr>
          <w:lang w:eastAsia="ja-JP"/>
        </w:rPr>
        <w:t>)</w:t>
      </w:r>
      <w:r w:rsidRPr="00724522">
        <w:rPr>
          <w:rFonts w:hint="eastAsia"/>
          <w:lang w:eastAsia="ja-JP"/>
        </w:rPr>
        <w:t xml:space="preserve"> </w:t>
      </w:r>
      <w:r w:rsidRPr="00724522">
        <w:rPr>
          <w:lang w:eastAsia="ja-JP"/>
        </w:rPr>
        <w:t>Symposium on Plant Variety Protection</w:t>
      </w:r>
      <w:r w:rsidRPr="00724522">
        <w:rPr>
          <w:rFonts w:hint="eastAsia"/>
          <w:lang w:eastAsia="ja-JP"/>
        </w:rPr>
        <w:t xml:space="preserve"> </w:t>
      </w:r>
      <w:r w:rsidRPr="00724522">
        <w:rPr>
          <w:lang w:eastAsia="ja-JP"/>
        </w:rPr>
        <w:t>“</w:t>
      </w:r>
      <w:r w:rsidRPr="00724522">
        <w:rPr>
          <w:rFonts w:hint="eastAsia"/>
          <w:lang w:eastAsia="ja-JP"/>
        </w:rPr>
        <w:t>Application procedure from foreign countries</w:t>
      </w:r>
      <w:r w:rsidRPr="00724522">
        <w:rPr>
          <w:lang w:eastAsia="ja-JP"/>
        </w:rPr>
        <w:t xml:space="preserve">”, where it made presentations on “UPOV mission for </w:t>
      </w:r>
      <w:r w:rsidRPr="008E4658">
        <w:rPr>
          <w:lang w:eastAsia="ja-JP"/>
        </w:rPr>
        <w:t xml:space="preserve">enhancing the effectiveness of the PVP system”.  These events were attended by participants from </w:t>
      </w:r>
      <w:r w:rsidR="008E4658" w:rsidRPr="008E4658">
        <w:rPr>
          <w:rFonts w:cs="Arial"/>
        </w:rPr>
        <w:t>Brunei </w:t>
      </w:r>
      <w:r w:rsidRPr="008E4658">
        <w:rPr>
          <w:rFonts w:cs="Arial"/>
        </w:rPr>
        <w:t>Darussalam, Cambodia,</w:t>
      </w:r>
      <w:r w:rsidRPr="008E4658">
        <w:rPr>
          <w:rFonts w:cs="Arial" w:hint="eastAsia"/>
          <w:lang w:eastAsia="ja-JP"/>
        </w:rPr>
        <w:t xml:space="preserve"> China, </w:t>
      </w:r>
      <w:r w:rsidRPr="008E4658">
        <w:rPr>
          <w:rFonts w:cs="Arial"/>
        </w:rPr>
        <w:t xml:space="preserve">Indonesia, </w:t>
      </w:r>
      <w:r w:rsidRPr="008E4658">
        <w:rPr>
          <w:rFonts w:cs="Arial" w:hint="eastAsia"/>
          <w:lang w:eastAsia="ja-JP"/>
        </w:rPr>
        <w:t xml:space="preserve">Japan, </w:t>
      </w:r>
      <w:r w:rsidRPr="008E4658">
        <w:rPr>
          <w:rFonts w:cs="Arial"/>
        </w:rPr>
        <w:t xml:space="preserve">Lao People’s Democratic Republic, Malaysia, Myanmar, </w:t>
      </w:r>
      <w:r w:rsidR="008E4658" w:rsidRPr="008E4658">
        <w:rPr>
          <w:rFonts w:cs="Arial" w:hint="eastAsia"/>
          <w:lang w:eastAsia="ja-JP"/>
        </w:rPr>
        <w:t xml:space="preserve">Republic of Korea, </w:t>
      </w:r>
      <w:r w:rsidRPr="008E4658">
        <w:rPr>
          <w:rFonts w:cs="Arial"/>
        </w:rPr>
        <w:t>Singapore, Thailand and</w:t>
      </w:r>
      <w:r w:rsidRPr="008E4658">
        <w:rPr>
          <w:rFonts w:cs="Arial" w:hint="eastAsia"/>
          <w:lang w:eastAsia="ja-JP"/>
        </w:rPr>
        <w:t xml:space="preserve"> </w:t>
      </w:r>
      <w:r w:rsidRPr="008E4658">
        <w:rPr>
          <w:rFonts w:cs="Arial"/>
        </w:rPr>
        <w:t>Viet</w:t>
      </w:r>
      <w:r w:rsidR="008E4658">
        <w:rPr>
          <w:rFonts w:cs="Arial"/>
        </w:rPr>
        <w:t> </w:t>
      </w:r>
      <w:r w:rsidRPr="008E4658">
        <w:rPr>
          <w:rFonts w:cs="Arial"/>
        </w:rPr>
        <w:t>Nam</w:t>
      </w:r>
      <w:r w:rsidR="00F81642">
        <w:rPr>
          <w:lang w:eastAsia="ja-JP"/>
        </w:rPr>
        <w:t>.</w:t>
      </w:r>
    </w:p>
    <w:p w:rsidR="00724522" w:rsidRDefault="00724522" w:rsidP="00724522">
      <w:pPr>
        <w:rPr>
          <w:lang w:eastAsia="ja-JP"/>
        </w:rPr>
      </w:pPr>
    </w:p>
    <w:p w:rsidR="00E34948" w:rsidRDefault="00E34948" w:rsidP="00724522">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On September 7, at the FAO headquarters in Rome, the Office participated in the </w:t>
      </w:r>
      <w:r w:rsidRPr="00E34948">
        <w:rPr>
          <w:lang w:eastAsia="ja-JP"/>
        </w:rPr>
        <w:t>Third Meeting of the Platform for the Co-Development and Transfer of Technologies</w:t>
      </w:r>
      <w:r>
        <w:rPr>
          <w:lang w:eastAsia="ja-JP"/>
        </w:rPr>
        <w:t>.</w:t>
      </w:r>
    </w:p>
    <w:p w:rsidR="00E34948" w:rsidRPr="00724522" w:rsidRDefault="00E34948" w:rsidP="00724522">
      <w:pPr>
        <w:rPr>
          <w:lang w:eastAsia="ja-JP"/>
        </w:rPr>
      </w:pPr>
    </w:p>
    <w:p w:rsidR="00724522" w:rsidRDefault="00724522" w:rsidP="00724522">
      <w:pPr>
        <w:rPr>
          <w:lang w:eastAsia="ja-JP"/>
        </w:rPr>
      </w:pPr>
      <w:r w:rsidRPr="00724522">
        <w:fldChar w:fldCharType="begin"/>
      </w:r>
      <w:r w:rsidRPr="00724522">
        <w:instrText xml:space="preserve"> AUTONUM  </w:instrText>
      </w:r>
      <w:r w:rsidRPr="00724522">
        <w:fldChar w:fldCharType="end"/>
      </w:r>
      <w:r w:rsidRPr="00724522">
        <w:tab/>
      </w:r>
      <w:r w:rsidRPr="00724522">
        <w:rPr>
          <w:rFonts w:hint="eastAsia"/>
          <w:lang w:eastAsia="ja-JP"/>
        </w:rPr>
        <w:t xml:space="preserve">From September 7 to 9, </w:t>
      </w:r>
      <w:r w:rsidRPr="00724522">
        <w:t xml:space="preserve">at </w:t>
      </w:r>
      <w:r w:rsidR="008E4658">
        <w:t>UPOV</w:t>
      </w:r>
      <w:r w:rsidRPr="00724522">
        <w:t xml:space="preserve"> headquarters in Geneva, the Office</w:t>
      </w:r>
      <w:r w:rsidRPr="00724522">
        <w:rPr>
          <w:rFonts w:hint="eastAsia"/>
          <w:lang w:eastAsia="ja-JP"/>
        </w:rPr>
        <w:t xml:space="preserve"> organized a Training Course </w:t>
      </w:r>
      <w:r w:rsidRPr="00724522">
        <w:rPr>
          <w:lang w:eastAsia="ja-JP"/>
        </w:rPr>
        <w:t>“</w:t>
      </w:r>
      <w:r w:rsidRPr="00724522">
        <w:rPr>
          <w:rFonts w:hint="eastAsia"/>
          <w:lang w:eastAsia="ja-JP"/>
        </w:rPr>
        <w:t>Contributing Data to the PLUTO Database</w:t>
      </w:r>
      <w:r w:rsidRPr="00724522">
        <w:rPr>
          <w:lang w:eastAsia="ja-JP"/>
        </w:rPr>
        <w:t>”</w:t>
      </w:r>
      <w:r w:rsidRPr="00724522">
        <w:rPr>
          <w:rFonts w:hint="eastAsia"/>
          <w:lang w:eastAsia="ja-JP"/>
        </w:rPr>
        <w:t xml:space="preserve"> in English</w:t>
      </w:r>
      <w:r w:rsidRPr="00724522">
        <w:t xml:space="preserve">.  The aim of the course was to </w:t>
      </w:r>
      <w:r w:rsidRPr="00724522">
        <w:rPr>
          <w:rFonts w:hint="eastAsia"/>
          <w:lang w:eastAsia="ja-JP"/>
        </w:rPr>
        <w:t xml:space="preserve">assist members of the Union that do not provide data for the PLUTO database, or do not provide data on a regular basis, to provide data for the PLUTO database on a regular basis.  </w:t>
      </w:r>
      <w:r w:rsidRPr="00724522">
        <w:t>The training course was attended by participants from</w:t>
      </w:r>
      <w:r w:rsidRPr="00724522">
        <w:rPr>
          <w:rFonts w:hint="eastAsia"/>
          <w:lang w:eastAsia="ja-JP"/>
        </w:rPr>
        <w:t xml:space="preserve"> </w:t>
      </w:r>
      <w:r w:rsidRPr="00F81642">
        <w:rPr>
          <w:rFonts w:hint="eastAsia"/>
          <w:lang w:eastAsia="ja-JP"/>
        </w:rPr>
        <w:t xml:space="preserve">Oman, South Africa and the </w:t>
      </w:r>
      <w:proofErr w:type="gramStart"/>
      <w:r w:rsidR="000601DF" w:rsidRPr="00F81642">
        <w:rPr>
          <w:lang w:eastAsia="ja-JP"/>
        </w:rPr>
        <w:t>f</w:t>
      </w:r>
      <w:r w:rsidRPr="00F81642">
        <w:rPr>
          <w:rFonts w:hint="eastAsia"/>
          <w:lang w:eastAsia="ja-JP"/>
        </w:rPr>
        <w:t>ormer</w:t>
      </w:r>
      <w:proofErr w:type="gramEnd"/>
      <w:r w:rsidRPr="00F81642">
        <w:rPr>
          <w:rFonts w:hint="eastAsia"/>
          <w:lang w:eastAsia="ja-JP"/>
        </w:rPr>
        <w:t xml:space="preserve"> Yugoslav Republic of Macedonia.</w:t>
      </w:r>
    </w:p>
    <w:p w:rsidR="00724522" w:rsidRDefault="00724522" w:rsidP="00724522">
      <w:pPr>
        <w:rPr>
          <w:lang w:eastAsia="ja-JP"/>
        </w:rPr>
      </w:pPr>
    </w:p>
    <w:p w:rsidR="004831D4" w:rsidRDefault="004831D4" w:rsidP="004831D4">
      <w:r>
        <w:fldChar w:fldCharType="begin"/>
      </w:r>
      <w:r>
        <w:instrText xml:space="preserve"> AUTONUM  </w:instrText>
      </w:r>
      <w:r>
        <w:fldChar w:fldCharType="end"/>
      </w:r>
      <w:r>
        <w:tab/>
        <w:t xml:space="preserve">From September 7 to 11, in Mexico City, Mexico, the Office, together with the </w:t>
      </w:r>
      <w:r w:rsidRPr="00145AC4">
        <w:t>National Seeds Certification and Inspection Service of Mexico (SNICS)</w:t>
      </w:r>
      <w:r>
        <w:t xml:space="preserve"> and the USPTO, organized an International Training Course on Plant Variety Protection and Examination of </w:t>
      </w:r>
      <w:r w:rsidRPr="00145AC4">
        <w:t xml:space="preserve">Distinctness, Uniformity and Stability </w:t>
      </w:r>
      <w:r>
        <w:t xml:space="preserve">(DUS) </w:t>
      </w:r>
      <w:r w:rsidRPr="00145AC4">
        <w:t>under the UPOV Convention</w:t>
      </w:r>
      <w:r>
        <w:t>.  The aim of the course was to provide training on the principles and methodologies for the examination of DUS under the UPOV Convention and the technical, legal and administrative aspects related to the protection of new varieties of plants.  The training course was attended by participants from Argentina, Bolivia (</w:t>
      </w:r>
      <w:proofErr w:type="spellStart"/>
      <w:r>
        <w:t>Plurinational</w:t>
      </w:r>
      <w:proofErr w:type="spellEnd"/>
      <w:r>
        <w:t xml:space="preserve"> State of), Brazil, Chile, Colombia, Costa Rica, Cuba, Dominican Republic, Ecuador, Guatemala, Honduras, Mexico, Nicaragua, Panama, Paraguay, Peru</w:t>
      </w:r>
      <w:r w:rsidRPr="00504D5B">
        <w:t xml:space="preserve"> </w:t>
      </w:r>
      <w:r>
        <w:t>and Uruguay.</w:t>
      </w:r>
    </w:p>
    <w:p w:rsidR="004831D4" w:rsidRDefault="004831D4" w:rsidP="004831D4"/>
    <w:p w:rsidR="004831D4" w:rsidRDefault="004831D4" w:rsidP="004831D4">
      <w:r>
        <w:fldChar w:fldCharType="begin"/>
      </w:r>
      <w:r>
        <w:instrText xml:space="preserve"> AUTONUM  </w:instrText>
      </w:r>
      <w:r>
        <w:fldChar w:fldCharType="end"/>
      </w:r>
      <w:r>
        <w:tab/>
        <w:t>On September 10, in Cancun, Mexico, the Office participated in the Fifth Seed Congress of the Americas, organized by the Seed Association of the Americas (SAA) and made a presentation on the use of molecular marker techniques in DUS examinat</w:t>
      </w:r>
      <w:r w:rsidRPr="00E424B3">
        <w:t>ion</w:t>
      </w:r>
      <w:r w:rsidR="00637524" w:rsidRPr="00E424B3">
        <w:t xml:space="preserve"> and on the prototype electronic application system.</w:t>
      </w:r>
    </w:p>
    <w:p w:rsidR="004831D4" w:rsidRDefault="004831D4" w:rsidP="004831D4"/>
    <w:p w:rsidR="00E67754" w:rsidRDefault="00E67754" w:rsidP="00E67754">
      <w:r>
        <w:fldChar w:fldCharType="begin"/>
      </w:r>
      <w:r>
        <w:instrText xml:space="preserve"> AUTONUM  </w:instrText>
      </w:r>
      <w:r>
        <w:fldChar w:fldCharType="end"/>
      </w:r>
      <w:r>
        <w:tab/>
        <w:t xml:space="preserve">On September 15, </w:t>
      </w:r>
      <w:r w:rsidR="00E424B3">
        <w:t>in</w:t>
      </w:r>
      <w:r>
        <w:t xml:space="preserve"> Geneva, the Office participated in a </w:t>
      </w:r>
      <w:r w:rsidR="00914C93">
        <w:t xml:space="preserve">meeting </w:t>
      </w:r>
      <w:r w:rsidR="00E424B3">
        <w:t xml:space="preserve">of </w:t>
      </w:r>
      <w:r>
        <w:t>the World Seed Project Steering Committee (FAO, ISF, ISTA, OECD and UPOV)</w:t>
      </w:r>
      <w:r w:rsidR="00F81642">
        <w:t>.</w:t>
      </w:r>
    </w:p>
    <w:p w:rsidR="00E67754" w:rsidRDefault="00E67754" w:rsidP="00085D3C"/>
    <w:p w:rsidR="000601DF" w:rsidRPr="000601DF" w:rsidRDefault="000601DF" w:rsidP="00085D3C">
      <w:r w:rsidRPr="00B8181B">
        <w:fldChar w:fldCharType="begin"/>
      </w:r>
      <w:r w:rsidRPr="00B8181B">
        <w:instrText xml:space="preserve"> AUTONUM  </w:instrText>
      </w:r>
      <w:r w:rsidRPr="00B8181B">
        <w:fldChar w:fldCharType="end"/>
      </w:r>
      <w:r w:rsidRPr="00B8181B">
        <w:tab/>
        <w:t xml:space="preserve">On September 19, </w:t>
      </w:r>
      <w:r w:rsidR="00235218" w:rsidRPr="00B8181B">
        <w:t xml:space="preserve">at the Swiss Pavilion at the Expo Milano 2015, </w:t>
      </w:r>
      <w:r w:rsidRPr="00B8181B">
        <w:t xml:space="preserve">the Office participated in </w:t>
      </w:r>
      <w:r w:rsidR="00235218" w:rsidRPr="00B8181B">
        <w:t>the</w:t>
      </w:r>
      <w:r w:rsidR="00235218" w:rsidRPr="00235218">
        <w:t xml:space="preserve"> “International Geneva Food Talks” event, </w:t>
      </w:r>
      <w:r w:rsidR="00235218">
        <w:t>organized by t</w:t>
      </w:r>
      <w:r w:rsidR="00235218" w:rsidRPr="00235218">
        <w:t>he City of Geneva and the Perception Change Project (PCP) of the United Nations Office in Geneva.  The aim of the event was to explain to the general public the role of international organizations based in Geneva in relation to food.</w:t>
      </w:r>
    </w:p>
    <w:p w:rsidR="005B0474" w:rsidRDefault="005B0474" w:rsidP="00085D3C"/>
    <w:p w:rsidR="00C332F0" w:rsidRDefault="00C332F0" w:rsidP="00085D3C"/>
    <w:p w:rsidR="00085D3C" w:rsidRPr="008F7B3F" w:rsidRDefault="00085D3C" w:rsidP="00085D3C">
      <w:pPr>
        <w:pStyle w:val="Heading2"/>
      </w:pPr>
      <w:bookmarkStart w:id="15" w:name="_Toc431820613"/>
      <w:r w:rsidRPr="008F7B3F">
        <w:t>Distance Learning Course</w:t>
      </w:r>
      <w:r w:rsidR="005F3348">
        <w:t>s</w:t>
      </w:r>
      <w:bookmarkEnd w:id="15"/>
    </w:p>
    <w:p w:rsidR="00085D3C" w:rsidRPr="008F7B3F" w:rsidRDefault="00085D3C" w:rsidP="00085D3C">
      <w:pPr>
        <w:keepNext/>
        <w:rPr>
          <w:szCs w:val="24"/>
        </w:rPr>
      </w:pPr>
    </w:p>
    <w:p w:rsidR="00EB3551" w:rsidRDefault="00EB3551" w:rsidP="00EB3551">
      <w:pPr>
        <w:rPr>
          <w:rFonts w:cs="Arial"/>
        </w:rPr>
      </w:pPr>
      <w:r w:rsidRPr="00EB3551">
        <w:fldChar w:fldCharType="begin"/>
      </w:r>
      <w:r w:rsidRPr="00EB3551">
        <w:instrText xml:space="preserve"> AUTONUM  </w:instrText>
      </w:r>
      <w:r w:rsidRPr="00EB3551">
        <w:fldChar w:fldCharType="end"/>
      </w:r>
      <w:r w:rsidRPr="00EB3551">
        <w:tab/>
        <w:t xml:space="preserve">A session of the UPOV Distance Learning Course </w:t>
      </w:r>
      <w:r w:rsidRPr="00EB3551">
        <w:rPr>
          <w:rFonts w:cs="Arial"/>
        </w:rPr>
        <w:t>DL-305A “A</w:t>
      </w:r>
      <w:r>
        <w:rPr>
          <w:rFonts w:cs="Arial"/>
        </w:rPr>
        <w:t>dministration of Plant Breeders’</w:t>
      </w:r>
      <w:r w:rsidRPr="00EB3551">
        <w:rPr>
          <w:rFonts w:cs="Arial"/>
        </w:rPr>
        <w:t xml:space="preserve"> Rights” </w:t>
      </w:r>
      <w:r>
        <w:rPr>
          <w:rFonts w:cs="Arial"/>
        </w:rPr>
        <w:t>(part A of DL</w:t>
      </w:r>
      <w:r>
        <w:rPr>
          <w:rFonts w:cs="Arial"/>
        </w:rPr>
        <w:noBreakHyphen/>
        <w:t xml:space="preserve">305 course) </w:t>
      </w:r>
      <w:r w:rsidRPr="00EB3551">
        <w:rPr>
          <w:rFonts w:cs="Arial"/>
        </w:rPr>
        <w:t>in English, French and Spanish was held from February 16 to March 22, 2015.</w:t>
      </w:r>
    </w:p>
    <w:p w:rsidR="00EB3551" w:rsidRDefault="00EB3551" w:rsidP="00EB3551">
      <w:pPr>
        <w:rPr>
          <w:rFonts w:cs="Arial"/>
        </w:rPr>
      </w:pPr>
    </w:p>
    <w:p w:rsidR="00085D3C" w:rsidRDefault="00085D3C" w:rsidP="00085D3C">
      <w:pPr>
        <w:rPr>
          <w:rFonts w:cs="Arial"/>
        </w:rPr>
      </w:pPr>
      <w:r w:rsidRPr="00EB3551">
        <w:fldChar w:fldCharType="begin"/>
      </w:r>
      <w:r w:rsidRPr="00EB3551">
        <w:instrText xml:space="preserve"> AUTONUM  </w:instrText>
      </w:r>
      <w:r w:rsidRPr="00EB3551">
        <w:fldChar w:fldCharType="end"/>
      </w:r>
      <w:r w:rsidRPr="00EB3551">
        <w:tab/>
      </w:r>
      <w:r w:rsidR="00C54B98" w:rsidRPr="00C712FC">
        <w:t xml:space="preserve">A session of the UPOV Distance Learning Course </w:t>
      </w:r>
      <w:r w:rsidR="00C54B98" w:rsidRPr="00C712FC">
        <w:rPr>
          <w:rFonts w:cs="Arial"/>
        </w:rPr>
        <w:t xml:space="preserve">DL-305 “Examination of applications for plant breeders’ rights” </w:t>
      </w:r>
      <w:r w:rsidR="00C54B98">
        <w:rPr>
          <w:rFonts w:cs="Arial"/>
        </w:rPr>
        <w:t>(DL-305A and DL305B in one course) and a</w:t>
      </w:r>
      <w:r w:rsidRPr="00EB3551">
        <w:t xml:space="preserve"> session of the UPOV Distance Learning Course </w:t>
      </w:r>
      <w:r w:rsidRPr="00EB3551">
        <w:rPr>
          <w:rFonts w:cs="Arial"/>
        </w:rPr>
        <w:t>DL-305</w:t>
      </w:r>
      <w:r w:rsidR="00EB3551" w:rsidRPr="00EB3551">
        <w:rPr>
          <w:rFonts w:cs="Arial"/>
        </w:rPr>
        <w:t>B</w:t>
      </w:r>
      <w:r w:rsidRPr="00EB3551">
        <w:rPr>
          <w:rFonts w:cs="Arial"/>
        </w:rPr>
        <w:t xml:space="preserve"> “</w:t>
      </w:r>
      <w:r w:rsidR="00EB3551" w:rsidRPr="00EB3551">
        <w:rPr>
          <w:rFonts w:cs="Arial"/>
        </w:rPr>
        <w:t>DUS Examination</w:t>
      </w:r>
      <w:r w:rsidRPr="00EB3551">
        <w:rPr>
          <w:rFonts w:cs="Arial"/>
        </w:rPr>
        <w:t>”</w:t>
      </w:r>
      <w:r w:rsidR="00EB3551" w:rsidRPr="00EB3551">
        <w:rPr>
          <w:rFonts w:cs="Arial"/>
        </w:rPr>
        <w:t xml:space="preserve"> (part B of DL</w:t>
      </w:r>
      <w:r w:rsidR="00EB3551" w:rsidRPr="00EB3551">
        <w:rPr>
          <w:rFonts w:cs="Arial"/>
        </w:rPr>
        <w:noBreakHyphen/>
        <w:t xml:space="preserve">305 course) </w:t>
      </w:r>
      <w:r w:rsidRPr="00EB3551">
        <w:rPr>
          <w:rFonts w:cs="Arial"/>
        </w:rPr>
        <w:t>in English</w:t>
      </w:r>
      <w:r w:rsidR="00F65734" w:rsidRPr="00EB3551">
        <w:rPr>
          <w:rFonts w:cs="Arial"/>
        </w:rPr>
        <w:t>, French and Spanish</w:t>
      </w:r>
      <w:r w:rsidRPr="00EB3551">
        <w:rPr>
          <w:rFonts w:cs="Arial"/>
        </w:rPr>
        <w:t xml:space="preserve"> </w:t>
      </w:r>
      <w:r w:rsidR="00C54B98">
        <w:rPr>
          <w:rFonts w:cs="Arial"/>
        </w:rPr>
        <w:t>were</w:t>
      </w:r>
      <w:r w:rsidRPr="00EB3551">
        <w:rPr>
          <w:rFonts w:cs="Arial"/>
        </w:rPr>
        <w:t xml:space="preserve"> held from </w:t>
      </w:r>
      <w:r w:rsidR="00EB3551" w:rsidRPr="00EB3551">
        <w:rPr>
          <w:rFonts w:cs="Arial"/>
        </w:rPr>
        <w:t>April 20 to May 24, 2015</w:t>
      </w:r>
      <w:r w:rsidRPr="00EB3551">
        <w:rPr>
          <w:rFonts w:cs="Arial"/>
        </w:rPr>
        <w:t>.</w:t>
      </w:r>
    </w:p>
    <w:p w:rsidR="00F65734" w:rsidRDefault="00F65734" w:rsidP="00F65734">
      <w:pPr>
        <w:rPr>
          <w:rFonts w:cs="Arial"/>
        </w:rPr>
      </w:pPr>
    </w:p>
    <w:p w:rsidR="00085D3C" w:rsidRPr="008F7B3F" w:rsidRDefault="00085D3C" w:rsidP="00085D3C">
      <w:r w:rsidRPr="00A43229">
        <w:fldChar w:fldCharType="begin"/>
      </w:r>
      <w:r w:rsidRPr="00A43229">
        <w:instrText xml:space="preserve"> AUTONUM  </w:instrText>
      </w:r>
      <w:r w:rsidRPr="00A43229">
        <w:fldChar w:fldCharType="end"/>
      </w:r>
      <w:r w:rsidRPr="00A43229">
        <w:tab/>
        <w:t>A breakdown of the students participating in the UPOV distance learning courses is available in Annex II.</w:t>
      </w:r>
      <w:r w:rsidR="00EB3551" w:rsidRPr="00EB3551">
        <w:t xml:space="preserve"> </w:t>
      </w:r>
    </w:p>
    <w:p w:rsidR="00085D3C" w:rsidRDefault="00085D3C" w:rsidP="00085D3C">
      <w:pPr>
        <w:rPr>
          <w:szCs w:val="24"/>
        </w:rPr>
      </w:pPr>
    </w:p>
    <w:p w:rsidR="005F3348" w:rsidRDefault="005F3348" w:rsidP="00085D3C">
      <w:pPr>
        <w:rPr>
          <w:szCs w:val="24"/>
        </w:rPr>
      </w:pPr>
    </w:p>
    <w:p w:rsidR="005F3348" w:rsidRPr="008F7B3F" w:rsidRDefault="005F3348" w:rsidP="00085D3C">
      <w:pPr>
        <w:rPr>
          <w:szCs w:val="24"/>
        </w:rPr>
      </w:pPr>
    </w:p>
    <w:p w:rsidR="00085D3C" w:rsidRPr="008F7B3F" w:rsidRDefault="00085D3C" w:rsidP="00085D3C">
      <w:pPr>
        <w:pStyle w:val="Heading1"/>
      </w:pPr>
      <w:bookmarkStart w:id="16" w:name="_Toc431820614"/>
      <w:r w:rsidRPr="008F7B3F">
        <w:t>IV.</w:t>
      </w:r>
      <w:r w:rsidRPr="008F7B3F">
        <w:tab/>
        <w:t>RELATIONS WITH STATES AND ORGANIZATIONS</w:t>
      </w:r>
      <w:bookmarkEnd w:id="16"/>
    </w:p>
    <w:p w:rsidR="00085D3C" w:rsidRPr="008F7B3F" w:rsidRDefault="00085D3C" w:rsidP="00085D3C">
      <w:pPr>
        <w:pStyle w:val="BodyText"/>
        <w:keepNext/>
      </w:pPr>
    </w:p>
    <w:p w:rsidR="007046D7" w:rsidRPr="00B8181B" w:rsidRDefault="00085D3C" w:rsidP="007046D7">
      <w:pPr>
        <w:pStyle w:val="BodyText"/>
        <w:rPr>
          <w:rFonts w:eastAsiaTheme="minorEastAsia"/>
        </w:rPr>
      </w:pPr>
      <w:r w:rsidRPr="00B8181B">
        <w:fldChar w:fldCharType="begin"/>
      </w:r>
      <w:r w:rsidRPr="00B8181B">
        <w:instrText xml:space="preserve"> AUTONUM  </w:instrText>
      </w:r>
      <w:r w:rsidRPr="00B8181B">
        <w:fldChar w:fldCharType="end"/>
      </w:r>
      <w:r w:rsidRPr="00B8181B">
        <w:tab/>
        <w:t xml:space="preserve">The Office provided assistance on plant variety protection legislation to the following members:  </w:t>
      </w:r>
      <w:r w:rsidR="00C92DF5" w:rsidRPr="00B8181B">
        <w:t xml:space="preserve">Brazil, </w:t>
      </w:r>
      <w:r w:rsidR="00A4431A" w:rsidRPr="00B8181B">
        <w:rPr>
          <w:rFonts w:eastAsiaTheme="minorEastAsia"/>
        </w:rPr>
        <w:t xml:space="preserve">Chile, </w:t>
      </w:r>
      <w:proofErr w:type="gramStart"/>
      <w:r w:rsidR="00A4431A" w:rsidRPr="00B8181B">
        <w:rPr>
          <w:rFonts w:eastAsiaTheme="minorEastAsia"/>
        </w:rPr>
        <w:t>Colombia</w:t>
      </w:r>
      <w:proofErr w:type="gramEnd"/>
      <w:r w:rsidR="00A4431A" w:rsidRPr="00B8181B">
        <w:rPr>
          <w:rFonts w:eastAsiaTheme="minorEastAsia"/>
        </w:rPr>
        <w:t>.</w:t>
      </w:r>
    </w:p>
    <w:p w:rsidR="00085D3C" w:rsidRPr="00B8181B" w:rsidRDefault="00085D3C" w:rsidP="00085D3C">
      <w:pPr>
        <w:pStyle w:val="BodyText"/>
      </w:pPr>
    </w:p>
    <w:p w:rsidR="007046D7" w:rsidRPr="007046D7" w:rsidRDefault="00085D3C" w:rsidP="007046D7">
      <w:pPr>
        <w:pStyle w:val="BodyText"/>
        <w:rPr>
          <w:rFonts w:eastAsiaTheme="minorEastAsia"/>
        </w:rPr>
      </w:pPr>
      <w:r w:rsidRPr="00B8181B">
        <w:fldChar w:fldCharType="begin"/>
      </w:r>
      <w:r w:rsidRPr="00B8181B">
        <w:instrText xml:space="preserve"> AUTONUM  </w:instrText>
      </w:r>
      <w:r w:rsidRPr="00B8181B">
        <w:fldChar w:fldCharType="end"/>
      </w:r>
      <w:r w:rsidRPr="00B8181B">
        <w:tab/>
        <w:t xml:space="preserve">The Office provided information on the elements required for the deposit of an instrument of accession to, or ratification of the 1991 Act of the UPOV Convention, to the following members:  </w:t>
      </w:r>
      <w:r w:rsidR="007046D7" w:rsidRPr="00B8181B">
        <w:rPr>
          <w:rFonts w:eastAsiaTheme="minorEastAsia"/>
        </w:rPr>
        <w:t>Belgium</w:t>
      </w:r>
      <w:r w:rsidR="00A4431A" w:rsidRPr="00B8181B">
        <w:rPr>
          <w:rFonts w:eastAsiaTheme="minorEastAsia"/>
        </w:rPr>
        <w:t xml:space="preserve">, Canada, Chile, Kenya and Montenegro. </w:t>
      </w:r>
    </w:p>
    <w:p w:rsidR="00085D3C" w:rsidRPr="003F7FE0" w:rsidRDefault="00085D3C" w:rsidP="00085D3C"/>
    <w:p w:rsidR="007046D7" w:rsidRPr="007046D7" w:rsidRDefault="00085D3C" w:rsidP="007046D7">
      <w:pPr>
        <w:rPr>
          <w:rFonts w:eastAsiaTheme="minorEastAsia"/>
        </w:rPr>
      </w:pPr>
      <w:r w:rsidRPr="008F7B3F">
        <w:fldChar w:fldCharType="begin"/>
      </w:r>
      <w:r w:rsidRPr="008F7B3F">
        <w:instrText xml:space="preserve"> AUTONUM  </w:instrText>
      </w:r>
      <w:r w:rsidRPr="008F7B3F">
        <w:fldChar w:fldCharType="end"/>
      </w:r>
      <w:r w:rsidRPr="008F7B3F">
        <w:tab/>
        <w:t xml:space="preserve">The Office provided advice and assistance on the development of plant variety protection legislation </w:t>
      </w:r>
      <w:r w:rsidRPr="00AD0796">
        <w:t xml:space="preserve">according to the 1991 Act of the UPOV Convention and/or on the procedure to accede to the UPOV </w:t>
      </w:r>
      <w:r w:rsidRPr="00B8181B">
        <w:t xml:space="preserve">Convention to potential members of the Union.  In this respect, the Office had contacts with </w:t>
      </w:r>
      <w:r w:rsidR="007046D7" w:rsidRPr="00B8181B">
        <w:rPr>
          <w:rFonts w:eastAsiaTheme="minorEastAsia"/>
        </w:rPr>
        <w:t xml:space="preserve">ARIPO, </w:t>
      </w:r>
      <w:r w:rsidR="00EB74F5" w:rsidRPr="00B8181B">
        <w:rPr>
          <w:rFonts w:eastAsiaTheme="minorEastAsia"/>
        </w:rPr>
        <w:t xml:space="preserve">Barbados, </w:t>
      </w:r>
      <w:r w:rsidR="007046D7" w:rsidRPr="00B8181B">
        <w:rPr>
          <w:rFonts w:eastAsiaTheme="minorEastAsia"/>
        </w:rPr>
        <w:t xml:space="preserve">Bosnia and Herzegovina, </w:t>
      </w:r>
      <w:r w:rsidR="00EB74F5" w:rsidRPr="00B8181B">
        <w:rPr>
          <w:rFonts w:eastAsiaTheme="minorEastAsia"/>
        </w:rPr>
        <w:t xml:space="preserve">Botswana, </w:t>
      </w:r>
      <w:r w:rsidR="007046D7" w:rsidRPr="00B8181B">
        <w:rPr>
          <w:rFonts w:eastAsiaTheme="minorEastAsia"/>
        </w:rPr>
        <w:t xml:space="preserve">Brunei Darussalam, Egypt, </w:t>
      </w:r>
      <w:r w:rsidR="00EB74F5" w:rsidRPr="00B8181B">
        <w:rPr>
          <w:rFonts w:cs="Arial"/>
          <w:lang w:val="pt-BR"/>
        </w:rPr>
        <w:t xml:space="preserve">Iran (Islamic Republic of), Jamaica, </w:t>
      </w:r>
      <w:r w:rsidR="00B65E5E" w:rsidRPr="00B8181B">
        <w:rPr>
          <w:rFonts w:cs="Arial"/>
          <w:lang w:val="pt-BR"/>
        </w:rPr>
        <w:t xml:space="preserve">Kazakhstan, </w:t>
      </w:r>
      <w:r w:rsidR="0063649A" w:rsidRPr="00B8181B">
        <w:rPr>
          <w:rFonts w:cs="Arial"/>
          <w:lang w:val="pt-BR"/>
        </w:rPr>
        <w:t xml:space="preserve">Liberia, </w:t>
      </w:r>
      <w:r w:rsidR="007046D7" w:rsidRPr="00B8181B">
        <w:rPr>
          <w:rFonts w:eastAsiaTheme="minorEastAsia"/>
        </w:rPr>
        <w:t xml:space="preserve">Malaysia, Mauritius, Myanmar, </w:t>
      </w:r>
      <w:r w:rsidR="00EB74F5" w:rsidRPr="00B8181B">
        <w:rPr>
          <w:rFonts w:eastAsiaTheme="minorEastAsia"/>
        </w:rPr>
        <w:t xml:space="preserve">Rwanda, </w:t>
      </w:r>
      <w:r w:rsidR="007046D7" w:rsidRPr="00B8181B">
        <w:rPr>
          <w:rFonts w:eastAsiaTheme="minorEastAsia"/>
        </w:rPr>
        <w:t>United Arab Emirates, United Republic of Tanzania and Zimbabwe.</w:t>
      </w:r>
    </w:p>
    <w:p w:rsidR="00085D3C" w:rsidRPr="00C75683" w:rsidRDefault="00085D3C" w:rsidP="007046D7"/>
    <w:p w:rsidR="007046D7" w:rsidRPr="007046D7" w:rsidRDefault="00085D3C" w:rsidP="007046D7">
      <w:pPr>
        <w:rPr>
          <w:rFonts w:eastAsiaTheme="minorEastAsia"/>
        </w:rPr>
      </w:pPr>
      <w:r w:rsidRPr="00B8181B">
        <w:fldChar w:fldCharType="begin"/>
      </w:r>
      <w:r w:rsidRPr="00B8181B">
        <w:instrText xml:space="preserve"> AUTONUM  </w:instrText>
      </w:r>
      <w:r w:rsidRPr="00B8181B">
        <w:fldChar w:fldCharType="end"/>
      </w:r>
      <w:r w:rsidRPr="00B8181B">
        <w:tab/>
        <w:t xml:space="preserve">The Office met with representatives of intergovernmental organizations to coordinate activities or to provide information on UPOV.  </w:t>
      </w:r>
      <w:r w:rsidR="007046D7" w:rsidRPr="00B8181B">
        <w:rPr>
          <w:rFonts w:eastAsiaTheme="minorEastAsia"/>
        </w:rPr>
        <w:t xml:space="preserve">The Office participated in meetings of, </w:t>
      </w:r>
      <w:r w:rsidR="00AC6009" w:rsidRPr="00B8181B">
        <w:rPr>
          <w:rFonts w:eastAsiaTheme="minorEastAsia"/>
        </w:rPr>
        <w:t>or had meetings</w:t>
      </w:r>
      <w:r w:rsidR="007046D7" w:rsidRPr="00B8181B">
        <w:rPr>
          <w:rFonts w:eastAsiaTheme="minorEastAsia"/>
        </w:rPr>
        <w:t xml:space="preserve"> with</w:t>
      </w:r>
      <w:r w:rsidR="00AC6009" w:rsidRPr="00B8181B">
        <w:rPr>
          <w:rFonts w:eastAsiaTheme="minorEastAsia"/>
        </w:rPr>
        <w:t>,</w:t>
      </w:r>
      <w:r w:rsidR="007046D7" w:rsidRPr="00B8181B">
        <w:rPr>
          <w:rFonts w:eastAsiaTheme="minorEastAsia"/>
        </w:rPr>
        <w:t xml:space="preserve"> ARIPO, </w:t>
      </w:r>
      <w:r w:rsidR="0063649A" w:rsidRPr="00B8181B">
        <w:t>CGIAR,</w:t>
      </w:r>
      <w:r w:rsidR="0063649A" w:rsidRPr="00B8181B">
        <w:rPr>
          <w:rFonts w:eastAsiaTheme="minorEastAsia"/>
        </w:rPr>
        <w:t xml:space="preserve"> </w:t>
      </w:r>
      <w:r w:rsidR="007046D7" w:rsidRPr="00B8181B">
        <w:rPr>
          <w:rFonts w:eastAsiaTheme="minorEastAsia"/>
        </w:rPr>
        <w:t>European Union (CPVO), FAO, ISTA</w:t>
      </w:r>
      <w:r w:rsidR="00B65E5E" w:rsidRPr="00B8181B">
        <w:rPr>
          <w:rFonts w:eastAsiaTheme="minorEastAsia"/>
        </w:rPr>
        <w:t xml:space="preserve">, </w:t>
      </w:r>
      <w:r w:rsidR="0063649A" w:rsidRPr="00B8181B">
        <w:t>ITPGRFA</w:t>
      </w:r>
      <w:r w:rsidR="0063649A" w:rsidRPr="00B8181B">
        <w:rPr>
          <w:rFonts w:eastAsiaTheme="minorEastAsia"/>
        </w:rPr>
        <w:t xml:space="preserve">, </w:t>
      </w:r>
      <w:r w:rsidR="007046D7" w:rsidRPr="00B8181B">
        <w:rPr>
          <w:rFonts w:eastAsiaTheme="minorEastAsia"/>
        </w:rPr>
        <w:t xml:space="preserve">OAPI, OECD, </w:t>
      </w:r>
      <w:r w:rsidR="00B65E5E" w:rsidRPr="00B8181B">
        <w:rPr>
          <w:rFonts w:eastAsiaTheme="minorEastAsia"/>
        </w:rPr>
        <w:t xml:space="preserve">United Nations, </w:t>
      </w:r>
      <w:r w:rsidR="007046D7" w:rsidRPr="00B8181B">
        <w:rPr>
          <w:rFonts w:eastAsiaTheme="minorEastAsia"/>
        </w:rPr>
        <w:t>WIPO and WTO.</w:t>
      </w:r>
    </w:p>
    <w:p w:rsidR="007046D7" w:rsidRPr="007046D7" w:rsidRDefault="007046D7" w:rsidP="007046D7">
      <w:pPr>
        <w:rPr>
          <w:rFonts w:eastAsiaTheme="minorEastAsia"/>
        </w:rPr>
      </w:pPr>
    </w:p>
    <w:p w:rsidR="007046D7" w:rsidRPr="007046D7" w:rsidRDefault="00085D3C" w:rsidP="007046D7">
      <w:pPr>
        <w:rPr>
          <w:rFonts w:eastAsiaTheme="minorEastAsia"/>
        </w:rPr>
      </w:pPr>
      <w:r w:rsidRPr="00AD0796">
        <w:fldChar w:fldCharType="begin"/>
      </w:r>
      <w:r w:rsidRPr="00AD0796">
        <w:instrText xml:space="preserve"> AUTONUM  </w:instrText>
      </w:r>
      <w:r w:rsidRPr="00AD0796">
        <w:fldChar w:fldCharType="end"/>
      </w:r>
      <w:r w:rsidRPr="00AD0796">
        <w:tab/>
      </w:r>
      <w:r w:rsidR="007046D7" w:rsidRPr="007046D7">
        <w:rPr>
          <w:rFonts w:eastAsiaTheme="minorEastAsia"/>
        </w:rPr>
        <w:t xml:space="preserve">The Office participated in events organized by the following professional associations in order to follow </w:t>
      </w:r>
      <w:r w:rsidR="007046D7" w:rsidRPr="00B8181B">
        <w:rPr>
          <w:rFonts w:eastAsiaTheme="minorEastAsia"/>
        </w:rPr>
        <w:t>developments in the practical application of plant variety protection at a global and regional level:  AFSTA,</w:t>
      </w:r>
      <w:r w:rsidR="007046D7" w:rsidRPr="00B8181B">
        <w:rPr>
          <w:rFonts w:eastAsiaTheme="minorEastAsia"/>
          <w:b/>
        </w:rPr>
        <w:t xml:space="preserve"> </w:t>
      </w:r>
      <w:r w:rsidR="007046D7" w:rsidRPr="00B8181B">
        <w:rPr>
          <w:rFonts w:eastAsiaTheme="minorEastAsia"/>
        </w:rPr>
        <w:t>APSA,</w:t>
      </w:r>
      <w:r w:rsidR="00B65E5E" w:rsidRPr="00B8181B">
        <w:rPr>
          <w:rFonts w:eastAsiaTheme="minorEastAsia"/>
        </w:rPr>
        <w:t xml:space="preserve"> </w:t>
      </w:r>
      <w:r w:rsidR="0063649A" w:rsidRPr="00B8181B">
        <w:rPr>
          <w:rFonts w:eastAsiaTheme="minorEastAsia"/>
        </w:rPr>
        <w:t xml:space="preserve">ASIPI, </w:t>
      </w:r>
      <w:r w:rsidR="00B65E5E" w:rsidRPr="00B8181B">
        <w:rPr>
          <w:rFonts w:eastAsiaTheme="minorEastAsia"/>
        </w:rPr>
        <w:t>CIOPORA</w:t>
      </w:r>
      <w:r w:rsidR="0063649A" w:rsidRPr="00B8181B">
        <w:rPr>
          <w:rFonts w:eastAsiaTheme="minorEastAsia"/>
        </w:rPr>
        <w:t xml:space="preserve">, </w:t>
      </w:r>
      <w:r w:rsidR="007046D7" w:rsidRPr="00B8181B">
        <w:rPr>
          <w:rFonts w:eastAsiaTheme="minorEastAsia"/>
        </w:rPr>
        <w:t>ISF</w:t>
      </w:r>
      <w:r w:rsidR="0063649A" w:rsidRPr="00B8181B">
        <w:rPr>
          <w:rFonts w:eastAsiaTheme="minorEastAsia"/>
        </w:rPr>
        <w:t xml:space="preserve">, SAA and </w:t>
      </w:r>
      <w:r w:rsidR="0063649A" w:rsidRPr="00B8181B">
        <w:t>WECARD.</w:t>
      </w:r>
    </w:p>
    <w:p w:rsidR="00085D3C" w:rsidRPr="00183FE6" w:rsidRDefault="00085D3C" w:rsidP="00085D3C">
      <w:pPr>
        <w:pStyle w:val="BodyText"/>
      </w:pPr>
    </w:p>
    <w:p w:rsidR="00085D3C" w:rsidRDefault="00085D3C" w:rsidP="00085D3C"/>
    <w:p w:rsidR="00E25484" w:rsidRPr="00183FE6" w:rsidRDefault="00E25484" w:rsidP="00085D3C"/>
    <w:p w:rsidR="00085D3C" w:rsidRPr="009A68A0" w:rsidRDefault="00085D3C" w:rsidP="00085D3C">
      <w:pPr>
        <w:pStyle w:val="Heading1"/>
      </w:pPr>
      <w:bookmarkStart w:id="17" w:name="_Toc431820615"/>
      <w:r w:rsidRPr="009A68A0">
        <w:t>V.</w:t>
      </w:r>
      <w:r w:rsidRPr="009A68A0">
        <w:tab/>
        <w:t>PUBLICATIONS</w:t>
      </w:r>
      <w:bookmarkEnd w:id="17"/>
    </w:p>
    <w:p w:rsidR="00085D3C" w:rsidRPr="009A68A0" w:rsidRDefault="00085D3C" w:rsidP="00085D3C">
      <w:pPr>
        <w:keepNext/>
      </w:pPr>
    </w:p>
    <w:p w:rsidR="00085D3C" w:rsidRPr="009A68A0" w:rsidRDefault="00085D3C" w:rsidP="00085D3C">
      <w:pPr>
        <w:keepNext/>
      </w:pPr>
      <w:r w:rsidRPr="009A68A0">
        <w:fldChar w:fldCharType="begin"/>
      </w:r>
      <w:r w:rsidRPr="009A68A0">
        <w:instrText xml:space="preserve"> AUTONUM  </w:instrText>
      </w:r>
      <w:r w:rsidRPr="009A68A0">
        <w:fldChar w:fldCharType="end"/>
      </w:r>
      <w:r w:rsidRPr="009A68A0">
        <w:tab/>
        <w:t>The Office published:</w:t>
      </w:r>
    </w:p>
    <w:p w:rsidR="00085D3C" w:rsidRPr="009A68A0" w:rsidRDefault="00085D3C" w:rsidP="00085D3C">
      <w:pPr>
        <w:keepNext/>
      </w:pPr>
    </w:p>
    <w:p w:rsidR="00B2433E" w:rsidRDefault="00B2433E" w:rsidP="00B2433E">
      <w:r>
        <w:tab/>
        <w:t>(a)</w:t>
      </w:r>
      <w:r>
        <w:tab/>
      </w:r>
      <w:proofErr w:type="gramStart"/>
      <w:r>
        <w:t>one</w:t>
      </w:r>
      <w:proofErr w:type="gramEnd"/>
      <w:r>
        <w:t xml:space="preserve"> issue (No. 107) of the UPOV Gazette and Newsletter “Plant Variety Protection” (UPOV Publication No. 438) in electronic format;</w:t>
      </w:r>
    </w:p>
    <w:p w:rsidR="00B2433E" w:rsidRDefault="00B2433E" w:rsidP="00085D3C"/>
    <w:p w:rsidR="00085D3C" w:rsidRDefault="00085D3C" w:rsidP="00085D3C">
      <w:pPr>
        <w:rPr>
          <w:rFonts w:cs="Arial"/>
        </w:rPr>
      </w:pPr>
      <w:r>
        <w:tab/>
      </w:r>
      <w:r w:rsidRPr="00E25484">
        <w:t>(</w:t>
      </w:r>
      <w:r w:rsidR="00B2433E" w:rsidRPr="00E25484">
        <w:t>b</w:t>
      </w:r>
      <w:r w:rsidRPr="00E25484">
        <w:t>)</w:t>
      </w:r>
      <w:r w:rsidRPr="00E25484">
        <w:tab/>
      </w:r>
      <w:r w:rsidR="00B96401" w:rsidRPr="00E25484">
        <w:t>79</w:t>
      </w:r>
      <w:r w:rsidRPr="00E25484">
        <w:rPr>
          <w:rFonts w:cs="Arial"/>
        </w:rPr>
        <w:t xml:space="preserve"> updates of the Plant Variety Database (PLUTO);</w:t>
      </w:r>
    </w:p>
    <w:p w:rsidR="00085D3C" w:rsidRDefault="00085D3C" w:rsidP="00085D3C">
      <w:pPr>
        <w:rPr>
          <w:rFonts w:cs="Arial"/>
        </w:rPr>
      </w:pPr>
    </w:p>
    <w:p w:rsidR="00B2433E" w:rsidRPr="00B2433E" w:rsidRDefault="00085D3C" w:rsidP="00B2433E">
      <w:pPr>
        <w:rPr>
          <w:rFonts w:cs="Arial"/>
        </w:rPr>
      </w:pPr>
      <w:r>
        <w:rPr>
          <w:rFonts w:cs="Arial"/>
        </w:rPr>
        <w:tab/>
      </w:r>
      <w:r w:rsidR="00B2433E">
        <w:rPr>
          <w:rFonts w:cs="Arial"/>
        </w:rPr>
        <w:t>(c</w:t>
      </w:r>
      <w:r w:rsidRPr="004E3D00">
        <w:rPr>
          <w:rFonts w:cs="Arial"/>
        </w:rPr>
        <w:t>)</w:t>
      </w:r>
      <w:r w:rsidRPr="004E3D00">
        <w:rPr>
          <w:rFonts w:cs="Arial"/>
        </w:rPr>
        <w:tab/>
      </w:r>
      <w:proofErr w:type="gramStart"/>
      <w:r w:rsidR="00B2433E">
        <w:rPr>
          <w:rFonts w:cs="Arial"/>
        </w:rPr>
        <w:t>a</w:t>
      </w:r>
      <w:proofErr w:type="gramEnd"/>
      <w:r w:rsidR="00B2433E">
        <w:rPr>
          <w:rFonts w:cs="Arial"/>
        </w:rPr>
        <w:t xml:space="preserve"> video on plant variety protection in Uruguay entitled “Use of Plant Variety Protection by the Faculty of Agronomy of the </w:t>
      </w:r>
      <w:r w:rsidR="00B2433E">
        <w:rPr>
          <w:rFonts w:cs="Arial"/>
          <w:i/>
        </w:rPr>
        <w:t xml:space="preserve">Universidad de la </w:t>
      </w:r>
      <w:proofErr w:type="spellStart"/>
      <w:r w:rsidR="00B2433E">
        <w:rPr>
          <w:rFonts w:cs="Arial"/>
          <w:i/>
        </w:rPr>
        <w:t>República</w:t>
      </w:r>
      <w:proofErr w:type="spellEnd"/>
      <w:r w:rsidR="00B2433E">
        <w:rPr>
          <w:rFonts w:cs="Arial"/>
        </w:rPr>
        <w:t xml:space="preserve"> of Uruguay”;</w:t>
      </w:r>
    </w:p>
    <w:p w:rsidR="00085D3C" w:rsidRDefault="00085D3C" w:rsidP="00085D3C">
      <w:pPr>
        <w:ind w:firstLine="567"/>
      </w:pPr>
    </w:p>
    <w:p w:rsidR="00B2433E" w:rsidRDefault="00B2433E" w:rsidP="000B317E">
      <w:pPr>
        <w:keepNext/>
        <w:ind w:firstLine="567"/>
      </w:pPr>
      <w:r>
        <w:t>(d)</w:t>
      </w:r>
      <w:r>
        <w:tab/>
      </w:r>
      <w:proofErr w:type="gramStart"/>
      <w:r>
        <w:t>three</w:t>
      </w:r>
      <w:proofErr w:type="gramEnd"/>
      <w:r>
        <w:t xml:space="preserve"> documents adopted by the Council at its thirty-second extraordinary session, held on March 27, 2015:</w:t>
      </w:r>
    </w:p>
    <w:p w:rsidR="00B2433E" w:rsidRDefault="00B2433E" w:rsidP="000B317E">
      <w:pPr>
        <w:keepNext/>
        <w:ind w:firstLine="567"/>
      </w:pPr>
    </w:p>
    <w:p w:rsidR="00B2433E" w:rsidRDefault="00B2433E" w:rsidP="000B317E">
      <w:pPr>
        <w:keepNext/>
        <w:spacing w:after="240"/>
        <w:ind w:left="2694" w:hanging="2121"/>
      </w:pPr>
      <w:r w:rsidRPr="00DF503D">
        <w:t>UPOV/INF/</w:t>
      </w:r>
      <w:r w:rsidR="007335D8">
        <w:t>4</w:t>
      </w:r>
      <w:r>
        <w:t>/4</w:t>
      </w:r>
      <w:r>
        <w:tab/>
      </w:r>
      <w:r w:rsidR="007335D8" w:rsidRPr="00A30CC4">
        <w:rPr>
          <w:rFonts w:cs="Arial"/>
        </w:rPr>
        <w:t>Financial Regulations and Rules</w:t>
      </w:r>
      <w:r w:rsidR="007335D8">
        <w:rPr>
          <w:rFonts w:cs="Arial"/>
        </w:rPr>
        <w:t xml:space="preserve"> of UPOV</w:t>
      </w:r>
      <w:r w:rsidRPr="00DF503D">
        <w:t xml:space="preserve"> (Revision)</w:t>
      </w:r>
    </w:p>
    <w:p w:rsidR="00B2433E" w:rsidRPr="00DF503D" w:rsidRDefault="00B2433E" w:rsidP="00B2433E">
      <w:pPr>
        <w:spacing w:after="240"/>
        <w:ind w:left="2694" w:hanging="2121"/>
      </w:pPr>
      <w:r>
        <w:t>UPOV/INF/</w:t>
      </w:r>
      <w:r w:rsidR="007335D8">
        <w:t>15</w:t>
      </w:r>
      <w:r>
        <w:t>/</w:t>
      </w:r>
      <w:r w:rsidR="007335D8">
        <w:t>3</w:t>
      </w:r>
      <w:r>
        <w:tab/>
      </w:r>
      <w:r w:rsidR="007335D8" w:rsidRPr="00A30CC4">
        <w:rPr>
          <w:rFonts w:cs="Arial"/>
        </w:rPr>
        <w:t>Guidance for Members of UPOV</w:t>
      </w:r>
      <w:r w:rsidR="007335D8">
        <w:rPr>
          <w:rFonts w:cs="Arial"/>
        </w:rPr>
        <w:t xml:space="preserve"> (Revision)</w:t>
      </w:r>
    </w:p>
    <w:p w:rsidR="00B2433E" w:rsidRPr="00DF503D" w:rsidRDefault="00B2433E" w:rsidP="00B2433E">
      <w:pPr>
        <w:spacing w:after="240"/>
        <w:ind w:left="2694" w:hanging="2121"/>
      </w:pPr>
      <w:r w:rsidRPr="00DF503D">
        <w:t>UPOV/INF-EXN</w:t>
      </w:r>
      <w:r>
        <w:t>/</w:t>
      </w:r>
      <w:r w:rsidR="007335D8">
        <w:t>7</w:t>
      </w:r>
      <w:r>
        <w:tab/>
      </w:r>
      <w:r w:rsidRPr="00DF503D">
        <w:t>List of INF-EXN Documents and Latest Issue Dates (Revision)</w:t>
      </w:r>
    </w:p>
    <w:p w:rsidR="00085D3C" w:rsidRPr="00863942" w:rsidRDefault="00144BE3" w:rsidP="00144BE3">
      <w:pPr>
        <w:keepNext/>
      </w:pPr>
      <w:r>
        <w:fldChar w:fldCharType="begin"/>
      </w:r>
      <w:r>
        <w:instrText xml:space="preserve"> AUTONUM  </w:instrText>
      </w:r>
      <w:r>
        <w:fldChar w:fldCharType="end"/>
      </w:r>
      <w:r>
        <w:tab/>
        <w:t>T</w:t>
      </w:r>
      <w:r w:rsidR="00085D3C" w:rsidRPr="00283564">
        <w:t>he following Test Guidelines</w:t>
      </w:r>
      <w:r w:rsidR="00085D3C">
        <w:t xml:space="preserve"> </w:t>
      </w:r>
      <w:r w:rsidR="00085D3C" w:rsidRPr="00283564">
        <w:t xml:space="preserve">were adopted by the TC at its </w:t>
      </w:r>
      <w:r w:rsidR="00085D3C">
        <w:t>fift</w:t>
      </w:r>
      <w:r w:rsidR="006A5A5C">
        <w:t>y-first</w:t>
      </w:r>
      <w:r w:rsidR="00085D3C" w:rsidRPr="00283564">
        <w:t xml:space="preserve"> session, held from </w:t>
      </w:r>
      <w:r w:rsidR="00D31A71">
        <w:t>March 23 to</w:t>
      </w:r>
      <w:r>
        <w:t> </w:t>
      </w:r>
      <w:r w:rsidR="00D31A71">
        <w:t>25, 2015</w:t>
      </w:r>
      <w:r w:rsidR="00B818F0">
        <w:t xml:space="preserve">, </w:t>
      </w:r>
      <w:r w:rsidR="00B818F0" w:rsidRPr="00B818F0">
        <w:t>and have been, or will be, published on the website</w:t>
      </w:r>
      <w:bookmarkStart w:id="18" w:name="_GoBack"/>
      <w:bookmarkEnd w:id="18"/>
      <w:r w:rsidR="00085D3C" w:rsidRPr="00283564">
        <w:t>:</w:t>
      </w:r>
    </w:p>
    <w:p w:rsidR="00D31A71" w:rsidRPr="009178F8" w:rsidRDefault="00D31A71" w:rsidP="00B96401">
      <w:pPr>
        <w:keepNext/>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D31A71" w:rsidRPr="009178F8" w:rsidTr="00BA5B38">
        <w:trPr>
          <w:cantSplit/>
          <w:trHeight w:val="1050"/>
          <w:tblHeader/>
        </w:trPr>
        <w:tc>
          <w:tcPr>
            <w:tcW w:w="484" w:type="dxa"/>
            <w:tcBorders>
              <w:top w:val="single" w:sz="4" w:space="0" w:color="auto"/>
              <w:bottom w:val="single" w:sz="4" w:space="0" w:color="auto"/>
            </w:tcBorders>
            <w:shd w:val="clear" w:color="auto" w:fill="D9D9D9"/>
            <w:noWrap/>
            <w:vAlign w:val="center"/>
          </w:tcPr>
          <w:p w:rsidR="00D31A71" w:rsidRPr="009178F8" w:rsidRDefault="00D31A71" w:rsidP="00BA5B38">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D31A71" w:rsidRPr="009178F8" w:rsidRDefault="00D31A71" w:rsidP="00BA5B38">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r>
            <w:proofErr w:type="spellStart"/>
            <w:r w:rsidRPr="00065FD6">
              <w:rPr>
                <w:rFonts w:eastAsia="MS Mincho" w:cs="Arial"/>
                <w:bCs/>
                <w:sz w:val="16"/>
                <w:szCs w:val="16"/>
                <w:lang w:val="fr-FR" w:eastAsia="ja-JP"/>
              </w:rPr>
              <w:t>Dokument</w:t>
            </w:r>
            <w:proofErr w:type="spellEnd"/>
            <w:r w:rsidRPr="00065FD6">
              <w:rPr>
                <w:rFonts w:eastAsia="MS Mincho" w:cs="Arial"/>
                <w:bCs/>
                <w:sz w:val="16"/>
                <w:szCs w:val="16"/>
                <w:lang w:val="fr-FR" w:eastAsia="ja-JP"/>
              </w:rPr>
              <w:t xml:space="preserve">-Nr. </w:t>
            </w:r>
            <w:r w:rsidRPr="00065FD6">
              <w:rPr>
                <w:rFonts w:eastAsia="MS Mincho" w:cs="Arial"/>
                <w:bCs/>
                <w:sz w:val="16"/>
                <w:szCs w:val="16"/>
                <w:lang w:val="fr-FR" w:eastAsia="ja-JP"/>
              </w:rPr>
              <w:br/>
            </w:r>
            <w:r w:rsidRPr="009178F8">
              <w:rPr>
                <w:rFonts w:eastAsia="MS Mincho" w:cs="Arial"/>
                <w:bCs/>
                <w:sz w:val="16"/>
                <w:szCs w:val="16"/>
                <w:lang w:eastAsia="ja-JP"/>
              </w:rPr>
              <w:t xml:space="preserve">No del </w:t>
            </w:r>
            <w:proofErr w:type="spellStart"/>
            <w:r w:rsidRPr="009178F8">
              <w:rPr>
                <w:rFonts w:eastAsia="MS Mincho" w:cs="Arial"/>
                <w:bCs/>
                <w:sz w:val="16"/>
                <w:szCs w:val="16"/>
                <w:lang w:eastAsia="ja-JP"/>
              </w:rPr>
              <w:t>documento</w:t>
            </w:r>
            <w:proofErr w:type="spellEnd"/>
          </w:p>
        </w:tc>
        <w:tc>
          <w:tcPr>
            <w:tcW w:w="1417"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sz w:val="16"/>
                <w:szCs w:val="16"/>
                <w:lang w:eastAsia="ja-JP"/>
              </w:rPr>
            </w:pPr>
            <w:proofErr w:type="spellStart"/>
            <w:r w:rsidRPr="009178F8">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sz w:val="16"/>
                <w:szCs w:val="16"/>
                <w:lang w:eastAsia="ja-JP"/>
              </w:rPr>
            </w:pPr>
            <w:proofErr w:type="spellStart"/>
            <w:r w:rsidRPr="009178F8">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D31A71" w:rsidRPr="009178F8" w:rsidRDefault="00D31A71" w:rsidP="00BA5B38">
            <w:pPr>
              <w:jc w:val="left"/>
              <w:rPr>
                <w:rFonts w:eastAsia="MS Mincho" w:cs="Arial"/>
                <w:sz w:val="16"/>
                <w:szCs w:val="16"/>
                <w:lang w:eastAsia="ja-JP"/>
              </w:rPr>
            </w:pPr>
            <w:r w:rsidRPr="009178F8">
              <w:rPr>
                <w:rFonts w:eastAsia="MS Mincho" w:cs="Arial"/>
                <w:sz w:val="16"/>
                <w:szCs w:val="16"/>
                <w:lang w:eastAsia="ja-JP"/>
              </w:rPr>
              <w:t>Botanical name</w:t>
            </w:r>
          </w:p>
        </w:tc>
      </w:tr>
      <w:tr w:rsidR="00D31A71" w:rsidRPr="00AC6009" w:rsidTr="00BA5B38">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D31A71" w:rsidRPr="00065FD6" w:rsidRDefault="00D31A71" w:rsidP="00BA5B38">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40242B"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706A2" w:rsidRDefault="0040242B" w:rsidP="00BA5B38">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706A2">
            <w:pPr>
              <w:ind w:left="-36"/>
              <w:rPr>
                <w:rFonts w:cs="Arial"/>
                <w:sz w:val="16"/>
                <w:szCs w:val="16"/>
              </w:rPr>
            </w:pPr>
            <w:r w:rsidRPr="00B706A2">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r w:rsidRPr="00B706A2">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r w:rsidRPr="00B706A2">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Kosmee</w:t>
            </w:r>
            <w:proofErr w:type="spellEnd"/>
            <w:r w:rsidRPr="00B706A2">
              <w:rPr>
                <w:rFonts w:cs="Arial"/>
                <w:sz w:val="16"/>
                <w:szCs w:val="16"/>
              </w:rPr>
              <w:t xml:space="preserve">, </w:t>
            </w:r>
            <w:proofErr w:type="spellStart"/>
            <w:r w:rsidRPr="00B706A2">
              <w:rPr>
                <w:rFonts w:cs="Arial"/>
                <w:sz w:val="16"/>
                <w:szCs w:val="16"/>
              </w:rPr>
              <w:t>Schmuckkörbchen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Mirasol</w:t>
            </w:r>
            <w:proofErr w:type="spellEnd"/>
            <w:r w:rsidRPr="00B706A2">
              <w:rPr>
                <w:rFonts w:cs="Arial"/>
                <w:sz w:val="16"/>
                <w:szCs w:val="16"/>
              </w:rPr>
              <w:t>, Cosmos</w:t>
            </w:r>
          </w:p>
        </w:tc>
        <w:tc>
          <w:tcPr>
            <w:tcW w:w="1700" w:type="dxa"/>
            <w:tcBorders>
              <w:top w:val="single" w:sz="4" w:space="0" w:color="auto"/>
              <w:left w:val="nil"/>
              <w:bottom w:val="single" w:sz="4" w:space="0" w:color="auto"/>
              <w:right w:val="single" w:sz="4" w:space="0" w:color="auto"/>
            </w:tcBorders>
            <w:shd w:val="clear" w:color="auto" w:fill="auto"/>
          </w:tcPr>
          <w:p w:rsidR="0040242B" w:rsidRPr="009178F8" w:rsidRDefault="0040242B" w:rsidP="00BA5B38">
            <w:pPr>
              <w:jc w:val="left"/>
              <w:rPr>
                <w:rFonts w:cs="Arial"/>
                <w:sz w:val="16"/>
                <w:szCs w:val="16"/>
              </w:rPr>
            </w:pPr>
            <w:r w:rsidRPr="00B706A2">
              <w:rPr>
                <w:rFonts w:cs="Arial"/>
                <w:sz w:val="16"/>
                <w:szCs w:val="16"/>
              </w:rPr>
              <w:t>Cosmos Cav.</w:t>
            </w:r>
          </w:p>
        </w:tc>
      </w:tr>
      <w:tr w:rsidR="0040242B" w:rsidRPr="009178F8" w:rsidTr="00BA5B38">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706A2" w:rsidRDefault="0040242B" w:rsidP="00BA5B38">
            <w:pPr>
              <w:rPr>
                <w:rFonts w:cs="Arial"/>
                <w:sz w:val="16"/>
                <w:szCs w:val="16"/>
              </w:rPr>
            </w:pPr>
            <w:r w:rsidRPr="00B706A2">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rPr>
                <w:rFonts w:cs="Arial"/>
                <w:color w:val="000000"/>
                <w:sz w:val="16"/>
                <w:szCs w:val="16"/>
              </w:rPr>
            </w:pPr>
            <w:r w:rsidRPr="00B706A2">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706A2">
            <w:pPr>
              <w:ind w:left="-36"/>
              <w:rPr>
                <w:rFonts w:cs="Arial"/>
                <w:sz w:val="16"/>
                <w:szCs w:val="16"/>
              </w:rPr>
            </w:pPr>
            <w:r w:rsidRPr="00B706A2">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r w:rsidRPr="00B706A2">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Campanule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Glockenblume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Campánula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0242B" w:rsidRPr="009178F8" w:rsidRDefault="0040242B" w:rsidP="00BA5B38">
            <w:pPr>
              <w:jc w:val="left"/>
              <w:rPr>
                <w:rFonts w:cs="Arial"/>
                <w:sz w:val="16"/>
                <w:szCs w:val="16"/>
              </w:rPr>
            </w:pPr>
            <w:r w:rsidRPr="00B706A2">
              <w:rPr>
                <w:rFonts w:cs="Arial"/>
                <w:sz w:val="16"/>
                <w:szCs w:val="16"/>
              </w:rPr>
              <w:t>Campanula L.</w:t>
            </w:r>
          </w:p>
        </w:tc>
      </w:tr>
      <w:tr w:rsidR="0040242B"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706A2" w:rsidRDefault="0040242B" w:rsidP="00BA5B38">
            <w:pPr>
              <w:rPr>
                <w:rFonts w:cs="Arial"/>
                <w:sz w:val="16"/>
                <w:szCs w:val="16"/>
              </w:rPr>
            </w:pPr>
            <w:r w:rsidRPr="00B706A2">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rPr>
                <w:rFonts w:cs="Arial"/>
                <w:color w:val="000000"/>
                <w:sz w:val="16"/>
                <w:szCs w:val="16"/>
              </w:rPr>
            </w:pPr>
            <w:r w:rsidRPr="00B706A2">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706A2">
            <w:pPr>
              <w:ind w:left="-36"/>
              <w:rPr>
                <w:rFonts w:cs="Arial"/>
                <w:sz w:val="16"/>
                <w:szCs w:val="16"/>
              </w:rPr>
            </w:pPr>
            <w:r w:rsidRPr="00B706A2">
              <w:rPr>
                <w:rFonts w:cs="Arial"/>
                <w:sz w:val="16"/>
                <w:szCs w:val="16"/>
              </w:rPr>
              <w:t>TG/</w:t>
            </w:r>
            <w:r>
              <w:rPr>
                <w:rFonts w:cs="Arial"/>
                <w:sz w:val="16"/>
                <w:szCs w:val="16"/>
              </w:rPr>
              <w:t>306/1</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Feijoa</w:t>
            </w:r>
            <w:proofErr w:type="spellEnd"/>
            <w:r w:rsidRPr="00B706A2">
              <w:rPr>
                <w:rFonts w:cs="Arial"/>
                <w:sz w:val="16"/>
                <w:szCs w:val="16"/>
              </w:rPr>
              <w:t xml:space="preserve">, Pineapple Guava, </w:t>
            </w:r>
            <w:proofErr w:type="spellStart"/>
            <w:r w:rsidRPr="00B706A2">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0242B" w:rsidRPr="009178F8" w:rsidRDefault="0040242B" w:rsidP="00BA5B38">
            <w:pPr>
              <w:jc w:val="left"/>
              <w:rPr>
                <w:rFonts w:cs="Arial"/>
                <w:sz w:val="16"/>
                <w:szCs w:val="16"/>
              </w:rPr>
            </w:pPr>
            <w:proofErr w:type="spellStart"/>
            <w:r w:rsidRPr="00B706A2">
              <w:rPr>
                <w:rFonts w:cs="Arial"/>
                <w:sz w:val="16"/>
                <w:szCs w:val="16"/>
              </w:rPr>
              <w:t>Acca</w:t>
            </w:r>
            <w:proofErr w:type="spellEnd"/>
            <w:r w:rsidRPr="00B706A2">
              <w:rPr>
                <w:rFonts w:cs="Arial"/>
                <w:sz w:val="16"/>
                <w:szCs w:val="16"/>
              </w:rPr>
              <w:t xml:space="preserve"> </w:t>
            </w:r>
            <w:proofErr w:type="spellStart"/>
            <w:r w:rsidRPr="00B706A2">
              <w:rPr>
                <w:rFonts w:cs="Arial"/>
                <w:sz w:val="16"/>
                <w:szCs w:val="16"/>
              </w:rPr>
              <w:t>sellowiana</w:t>
            </w:r>
            <w:proofErr w:type="spellEnd"/>
            <w:r w:rsidRPr="00B706A2">
              <w:rPr>
                <w:rFonts w:cs="Arial"/>
                <w:sz w:val="16"/>
                <w:szCs w:val="16"/>
              </w:rPr>
              <w:t xml:space="preserve"> (Berg) </w:t>
            </w:r>
            <w:proofErr w:type="spellStart"/>
            <w:r w:rsidRPr="00B706A2">
              <w:rPr>
                <w:rFonts w:cs="Arial"/>
                <w:sz w:val="16"/>
                <w:szCs w:val="16"/>
              </w:rPr>
              <w:t>Burret</w:t>
            </w:r>
            <w:proofErr w:type="spellEnd"/>
          </w:p>
        </w:tc>
      </w:tr>
      <w:tr w:rsidR="0040242B"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706A2" w:rsidRDefault="0040242B" w:rsidP="00BA5B38">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0242B" w:rsidRPr="00B706A2" w:rsidRDefault="0040242B" w:rsidP="00B706A2">
            <w:pPr>
              <w:ind w:left="-36"/>
              <w:rPr>
                <w:rFonts w:cs="Arial"/>
                <w:sz w:val="16"/>
                <w:szCs w:val="16"/>
              </w:rPr>
            </w:pPr>
            <w:r w:rsidRPr="00B706A2">
              <w:rPr>
                <w:rFonts w:cs="Arial"/>
                <w:sz w:val="16"/>
                <w:szCs w:val="16"/>
              </w:rPr>
              <w:t>TG/</w:t>
            </w:r>
            <w:r>
              <w:rPr>
                <w:rFonts w:cs="Arial"/>
                <w:sz w:val="16"/>
                <w:szCs w:val="16"/>
              </w:rPr>
              <w:t>307/1</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r w:rsidRPr="00B706A2">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lang w:val="fr-FR"/>
              </w:rPr>
            </w:pPr>
            <w:r w:rsidRPr="00B706A2">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proofErr w:type="spellStart"/>
            <w:r w:rsidRPr="00B706A2">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706A2" w:rsidRDefault="0040242B" w:rsidP="00BA5B38">
            <w:pPr>
              <w:jc w:val="left"/>
              <w:rPr>
                <w:rFonts w:cs="Arial"/>
                <w:sz w:val="16"/>
                <w:szCs w:val="16"/>
              </w:rPr>
            </w:pPr>
            <w:r w:rsidRPr="00B706A2">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40242B" w:rsidRPr="009178F8" w:rsidRDefault="0040242B" w:rsidP="00BA5B38">
            <w:pPr>
              <w:jc w:val="left"/>
              <w:rPr>
                <w:rFonts w:cs="Arial"/>
                <w:sz w:val="16"/>
                <w:szCs w:val="16"/>
              </w:rPr>
            </w:pPr>
            <w:proofErr w:type="spellStart"/>
            <w:r w:rsidRPr="00B706A2">
              <w:rPr>
                <w:rFonts w:cs="Arial"/>
                <w:sz w:val="16"/>
                <w:szCs w:val="16"/>
              </w:rPr>
              <w:t>Callistephus</w:t>
            </w:r>
            <w:proofErr w:type="spellEnd"/>
            <w:r w:rsidRPr="00B706A2">
              <w:rPr>
                <w:rFonts w:cs="Arial"/>
                <w:sz w:val="16"/>
                <w:szCs w:val="16"/>
              </w:rPr>
              <w:t xml:space="preserve"> </w:t>
            </w:r>
            <w:proofErr w:type="spellStart"/>
            <w:r w:rsidRPr="00B706A2">
              <w:rPr>
                <w:rFonts w:cs="Arial"/>
                <w:sz w:val="16"/>
                <w:szCs w:val="16"/>
              </w:rPr>
              <w:t>chinensis</w:t>
            </w:r>
            <w:proofErr w:type="spellEnd"/>
            <w:r w:rsidRPr="00B706A2">
              <w:rPr>
                <w:rFonts w:cs="Arial"/>
                <w:sz w:val="16"/>
                <w:szCs w:val="16"/>
              </w:rPr>
              <w:t xml:space="preserve"> (L.) </w:t>
            </w:r>
            <w:proofErr w:type="spellStart"/>
            <w:r w:rsidRPr="00B706A2">
              <w:rPr>
                <w:rFonts w:cs="Arial"/>
                <w:sz w:val="16"/>
                <w:szCs w:val="16"/>
              </w:rPr>
              <w:t>Nees</w:t>
            </w:r>
            <w:proofErr w:type="spellEnd"/>
          </w:p>
        </w:tc>
      </w:tr>
      <w:tr w:rsidR="0040242B" w:rsidRPr="00B962B5" w:rsidTr="00BA5B38">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 xml:space="preserve">Adzuki Bean; </w:t>
            </w:r>
            <w:proofErr w:type="spellStart"/>
            <w:r w:rsidRPr="00B962B5">
              <w:rPr>
                <w:rFonts w:cs="Arial"/>
                <w:sz w:val="16"/>
                <w:szCs w:val="16"/>
              </w:rPr>
              <w:t>Azuki</w:t>
            </w:r>
            <w:proofErr w:type="spellEnd"/>
            <w:r w:rsidRPr="00B962B5">
              <w:rPr>
                <w:rFonts w:cs="Arial"/>
                <w:sz w:val="16"/>
                <w:szCs w:val="16"/>
              </w:rPr>
              <w:t xml:space="preserve">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Judía</w:t>
            </w:r>
            <w:proofErr w:type="spellEnd"/>
            <w:r w:rsidRPr="00B962B5">
              <w:rPr>
                <w:rFonts w:cs="Arial"/>
                <w:sz w:val="16"/>
                <w:szCs w:val="16"/>
              </w:rPr>
              <w:t xml:space="preserve"> adzuki</w:t>
            </w:r>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Vigna</w:t>
            </w:r>
            <w:proofErr w:type="spellEnd"/>
            <w:r w:rsidRPr="00B962B5">
              <w:rPr>
                <w:rFonts w:cs="Arial"/>
                <w:sz w:val="16"/>
                <w:szCs w:val="16"/>
              </w:rPr>
              <w:t xml:space="preserve"> </w:t>
            </w:r>
            <w:proofErr w:type="spellStart"/>
            <w:r w:rsidRPr="00B962B5">
              <w:rPr>
                <w:rFonts w:cs="Arial"/>
                <w:sz w:val="16"/>
                <w:szCs w:val="16"/>
              </w:rPr>
              <w:t>angularis</w:t>
            </w:r>
            <w:proofErr w:type="spellEnd"/>
            <w:r w:rsidRPr="00B962B5">
              <w:rPr>
                <w:rFonts w:cs="Arial"/>
                <w:sz w:val="16"/>
                <w:szCs w:val="16"/>
              </w:rPr>
              <w:t xml:space="preserve"> (</w:t>
            </w:r>
            <w:proofErr w:type="spellStart"/>
            <w:r w:rsidRPr="00B962B5">
              <w:rPr>
                <w:rFonts w:cs="Arial"/>
                <w:sz w:val="16"/>
                <w:szCs w:val="16"/>
              </w:rPr>
              <w:t>Willd</w:t>
            </w:r>
            <w:proofErr w:type="spellEnd"/>
            <w:r w:rsidRPr="00B962B5">
              <w:rPr>
                <w:rFonts w:cs="Arial"/>
                <w:sz w:val="16"/>
                <w:szCs w:val="16"/>
              </w:rPr>
              <w:t xml:space="preserve">.) </w:t>
            </w:r>
            <w:proofErr w:type="spellStart"/>
            <w:r w:rsidRPr="00B962B5">
              <w:rPr>
                <w:rFonts w:cs="Arial"/>
                <w:sz w:val="16"/>
                <w:szCs w:val="16"/>
              </w:rPr>
              <w:t>Ohwi</w:t>
            </w:r>
            <w:proofErr w:type="spellEnd"/>
            <w:r w:rsidRPr="00B962B5">
              <w:rPr>
                <w:rFonts w:cs="Arial"/>
                <w:sz w:val="16"/>
                <w:szCs w:val="16"/>
              </w:rPr>
              <w:t xml:space="preserve"> &amp; H. </w:t>
            </w:r>
            <w:proofErr w:type="spellStart"/>
            <w:r w:rsidRPr="00B962B5">
              <w:rPr>
                <w:rFonts w:cs="Arial"/>
                <w:sz w:val="16"/>
                <w:szCs w:val="16"/>
              </w:rPr>
              <w:t>Ohashi</w:t>
            </w:r>
            <w:proofErr w:type="spellEnd"/>
            <w:r w:rsidRPr="00B962B5">
              <w:rPr>
                <w:rFonts w:cs="Arial"/>
                <w:sz w:val="16"/>
                <w:szCs w:val="16"/>
              </w:rPr>
              <w:t xml:space="preserve">, </w:t>
            </w:r>
            <w:proofErr w:type="spellStart"/>
            <w:r w:rsidRPr="00B962B5">
              <w:rPr>
                <w:rFonts w:cs="Arial"/>
                <w:sz w:val="16"/>
                <w:szCs w:val="16"/>
              </w:rPr>
              <w:t>Phaseolus</w:t>
            </w:r>
            <w:proofErr w:type="spellEnd"/>
            <w:r w:rsidRPr="00B962B5">
              <w:rPr>
                <w:rFonts w:cs="Arial"/>
                <w:sz w:val="16"/>
                <w:szCs w:val="16"/>
              </w:rPr>
              <w:t xml:space="preserve"> </w:t>
            </w:r>
            <w:proofErr w:type="spellStart"/>
            <w:r w:rsidRPr="00B962B5">
              <w:rPr>
                <w:rFonts w:cs="Arial"/>
                <w:sz w:val="16"/>
                <w:szCs w:val="16"/>
              </w:rPr>
              <w:t>angularis</w:t>
            </w:r>
            <w:proofErr w:type="spellEnd"/>
            <w:r w:rsidRPr="00B962B5">
              <w:rPr>
                <w:rFonts w:cs="Arial"/>
                <w:sz w:val="16"/>
                <w:szCs w:val="16"/>
              </w:rPr>
              <w:t xml:space="preserve"> (</w:t>
            </w:r>
            <w:proofErr w:type="spellStart"/>
            <w:r w:rsidRPr="00B962B5">
              <w:rPr>
                <w:rFonts w:cs="Arial"/>
                <w:sz w:val="16"/>
                <w:szCs w:val="16"/>
              </w:rPr>
              <w:t>Willd</w:t>
            </w:r>
            <w:proofErr w:type="spellEnd"/>
            <w:r w:rsidRPr="00B962B5">
              <w:rPr>
                <w:rFonts w:cs="Arial"/>
                <w:sz w:val="16"/>
                <w:szCs w:val="16"/>
              </w:rPr>
              <w:t>.) W. Wight</w:t>
            </w:r>
          </w:p>
        </w:tc>
      </w:tr>
      <w:tr w:rsidR="0040242B" w:rsidRPr="00B962B5" w:rsidTr="00BA5B38">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color w:val="000000"/>
                <w:sz w:val="16"/>
                <w:szCs w:val="16"/>
              </w:rPr>
            </w:pPr>
            <w:r w:rsidRPr="00B962B5">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 xml:space="preserve">Aloe, </w:t>
            </w:r>
            <w:proofErr w:type="spellStart"/>
            <w:r w:rsidRPr="00B962B5">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Aloe L.</w:t>
            </w:r>
          </w:p>
        </w:tc>
      </w:tr>
      <w:tr w:rsidR="0040242B"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40242B" w:rsidRPr="00B962B5" w:rsidRDefault="0040242B" w:rsidP="00BA5B38">
            <w:pPr>
              <w:rPr>
                <w:rFonts w:cs="Arial"/>
                <w:sz w:val="16"/>
                <w:szCs w:val="16"/>
              </w:rPr>
            </w:pPr>
            <w:r w:rsidRPr="00B962B5">
              <w:rPr>
                <w:rFonts w:cs="Arial"/>
                <w:sz w:val="16"/>
                <w:szCs w:val="16"/>
              </w:rPr>
              <w:t>TWA/TWV</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 Manioc</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Maniok</w:t>
            </w:r>
            <w:proofErr w:type="spellEnd"/>
            <w:r w:rsidRPr="00B962B5">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Mandioca</w:t>
            </w:r>
            <w:proofErr w:type="spellEnd"/>
            <w:r w:rsidRPr="00B962B5">
              <w:rPr>
                <w:rFonts w:cs="Arial"/>
                <w:sz w:val="16"/>
                <w:szCs w:val="16"/>
              </w:rPr>
              <w:t xml:space="preserve">, </w:t>
            </w:r>
            <w:proofErr w:type="spellStart"/>
            <w:r w:rsidRPr="00B962B5">
              <w:rPr>
                <w:rFonts w:cs="Arial"/>
                <w:sz w:val="16"/>
                <w:szCs w:val="16"/>
              </w:rPr>
              <w:t>Yuca</w:t>
            </w:r>
            <w:proofErr w:type="spellEnd"/>
            <w:r w:rsidRPr="00B962B5">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Manihot</w:t>
            </w:r>
            <w:proofErr w:type="spellEnd"/>
            <w:r w:rsidRPr="00B962B5">
              <w:rPr>
                <w:rFonts w:cs="Arial"/>
                <w:sz w:val="16"/>
                <w:szCs w:val="16"/>
              </w:rPr>
              <w:t xml:space="preserve"> </w:t>
            </w:r>
            <w:proofErr w:type="spellStart"/>
            <w:r w:rsidRPr="00B962B5">
              <w:rPr>
                <w:rFonts w:cs="Arial"/>
                <w:sz w:val="16"/>
                <w:szCs w:val="16"/>
              </w:rPr>
              <w:t>esculenta</w:t>
            </w:r>
            <w:proofErr w:type="spellEnd"/>
            <w:r w:rsidRPr="00B962B5">
              <w:rPr>
                <w:rFonts w:cs="Arial"/>
                <w:sz w:val="16"/>
                <w:szCs w:val="16"/>
              </w:rPr>
              <w:t xml:space="preserve"> </w:t>
            </w:r>
            <w:proofErr w:type="spellStart"/>
            <w:r w:rsidRPr="00B962B5">
              <w:rPr>
                <w:rFonts w:cs="Arial"/>
                <w:sz w:val="16"/>
                <w:szCs w:val="16"/>
              </w:rPr>
              <w:t>Crantz</w:t>
            </w:r>
            <w:proofErr w:type="spellEnd"/>
          </w:p>
        </w:tc>
      </w:tr>
      <w:tr w:rsidR="0040242B" w:rsidRPr="00B962B5" w:rsidTr="00BA5B38">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Adlay</w:t>
            </w:r>
            <w:proofErr w:type="spellEnd"/>
            <w:r w:rsidRPr="00B962B5">
              <w:rPr>
                <w:rFonts w:cs="Arial"/>
                <w:sz w:val="16"/>
                <w:szCs w:val="16"/>
              </w:rPr>
              <w:t>, Job's tears</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Larmes</w:t>
            </w:r>
            <w:proofErr w:type="spellEnd"/>
            <w:r w:rsidRPr="00B962B5">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Lágrimas</w:t>
            </w:r>
            <w:proofErr w:type="spellEnd"/>
            <w:r w:rsidRPr="00B962B5">
              <w:rPr>
                <w:rFonts w:cs="Arial"/>
                <w:sz w:val="16"/>
                <w:szCs w:val="16"/>
              </w:rPr>
              <w:t xml:space="preserve"> de San Pedro</w:t>
            </w:r>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Coix</w:t>
            </w:r>
            <w:proofErr w:type="spellEnd"/>
            <w:r w:rsidRPr="00B962B5">
              <w:rPr>
                <w:rFonts w:cs="Arial"/>
                <w:sz w:val="16"/>
                <w:szCs w:val="16"/>
              </w:rPr>
              <w:t xml:space="preserve"> </w:t>
            </w:r>
            <w:proofErr w:type="spellStart"/>
            <w:r w:rsidRPr="00B962B5">
              <w:rPr>
                <w:rFonts w:cs="Arial"/>
                <w:sz w:val="16"/>
                <w:szCs w:val="16"/>
              </w:rPr>
              <w:t>lacryma-jobi</w:t>
            </w:r>
            <w:proofErr w:type="spellEnd"/>
            <w:r w:rsidRPr="00B962B5">
              <w:rPr>
                <w:rFonts w:cs="Arial"/>
                <w:sz w:val="16"/>
                <w:szCs w:val="16"/>
              </w:rPr>
              <w:t xml:space="preserve"> L.</w:t>
            </w:r>
          </w:p>
        </w:tc>
      </w:tr>
      <w:tr w:rsidR="0040242B"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ight="-108"/>
              <w:rPr>
                <w:rFonts w:cs="Arial"/>
                <w:sz w:val="16"/>
                <w:szCs w:val="16"/>
              </w:rPr>
            </w:pPr>
            <w:r w:rsidRPr="00B962B5">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w:t>
            </w:r>
            <w:proofErr w:type="spellStart"/>
            <w:r w:rsidRPr="00B962B5">
              <w:rPr>
                <w:rFonts w:cs="Arial"/>
                <w:sz w:val="16"/>
                <w:szCs w:val="16"/>
                <w:lang w:val="es-ES"/>
              </w:rPr>
              <w:t>Duch</w:t>
            </w:r>
            <w:proofErr w:type="spellEnd"/>
            <w:r w:rsidRPr="00B962B5">
              <w:rPr>
                <w:rFonts w:cs="Arial"/>
                <w:sz w:val="16"/>
                <w:szCs w:val="16"/>
                <w:lang w:val="es-ES"/>
              </w:rPr>
              <w:t xml:space="preserve">. </w:t>
            </w:r>
            <w:proofErr w:type="gramStart"/>
            <w:r w:rsidRPr="00B962B5">
              <w:rPr>
                <w:rFonts w:cs="Arial"/>
                <w:sz w:val="16"/>
                <w:szCs w:val="16"/>
                <w:lang w:val="es-ES"/>
              </w:rPr>
              <w:t>x</w:t>
            </w:r>
            <w:proofErr w:type="gramEnd"/>
            <w:r w:rsidRPr="00B962B5">
              <w:rPr>
                <w:rFonts w:cs="Arial"/>
                <w:sz w:val="16"/>
                <w:szCs w:val="16"/>
                <w:lang w:val="es-ES"/>
              </w:rPr>
              <w:t xml:space="preserve">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r w:rsidRPr="00B962B5">
              <w:rPr>
                <w:rFonts w:cs="Arial"/>
                <w:sz w:val="16"/>
                <w:szCs w:val="16"/>
                <w:lang w:val="es-ES"/>
              </w:rPr>
              <w:t xml:space="preserve"> </w:t>
            </w:r>
            <w:proofErr w:type="spellStart"/>
            <w:r w:rsidRPr="00B962B5">
              <w:rPr>
                <w:rFonts w:cs="Arial"/>
                <w:sz w:val="16"/>
                <w:szCs w:val="16"/>
                <w:lang w:val="es-ES"/>
              </w:rPr>
              <w:t>Duch</w:t>
            </w:r>
            <w:proofErr w:type="spellEnd"/>
            <w:r w:rsidRPr="00B962B5">
              <w:rPr>
                <w:rFonts w:cs="Arial"/>
                <w:sz w:val="16"/>
                <w:szCs w:val="16"/>
                <w:lang w:val="es-ES"/>
              </w:rPr>
              <w:t>.</w:t>
            </w:r>
          </w:p>
        </w:tc>
      </w:tr>
      <w:tr w:rsidR="0040242B"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Calebassier</w:t>
            </w:r>
            <w:proofErr w:type="spellEnd"/>
            <w:r w:rsidRPr="00B962B5">
              <w:rPr>
                <w:rFonts w:cs="Arial"/>
                <w:sz w:val="16"/>
                <w:szCs w:val="16"/>
              </w:rPr>
              <w:t xml:space="preserve">; Gourde </w:t>
            </w:r>
            <w:proofErr w:type="spellStart"/>
            <w:r w:rsidRPr="00B962B5">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Flaschenfrucht</w:t>
            </w:r>
            <w:proofErr w:type="spellEnd"/>
            <w:r w:rsidRPr="00B962B5">
              <w:rPr>
                <w:rFonts w:cs="Arial"/>
                <w:sz w:val="16"/>
                <w:szCs w:val="16"/>
              </w:rPr>
              <w:t xml:space="preserve">; </w:t>
            </w:r>
            <w:proofErr w:type="spellStart"/>
            <w:r w:rsidRPr="00B962B5">
              <w:rPr>
                <w:rFonts w:cs="Arial"/>
                <w:sz w:val="16"/>
                <w:szCs w:val="16"/>
              </w:rPr>
              <w:t>Flaschenkürbis</w:t>
            </w:r>
            <w:proofErr w:type="spellEnd"/>
            <w:r w:rsidRPr="00B962B5">
              <w:rPr>
                <w:rFonts w:cs="Arial"/>
                <w:sz w:val="16"/>
                <w:szCs w:val="16"/>
              </w:rPr>
              <w:t xml:space="preserve">; </w:t>
            </w:r>
            <w:proofErr w:type="spellStart"/>
            <w:r w:rsidRPr="00B962B5">
              <w:rPr>
                <w:rFonts w:cs="Arial"/>
                <w:sz w:val="16"/>
                <w:szCs w:val="16"/>
              </w:rPr>
              <w:t>Gewöhnlicher</w:t>
            </w:r>
            <w:proofErr w:type="spellEnd"/>
            <w:r w:rsidRPr="00B962B5">
              <w:rPr>
                <w:rFonts w:cs="Arial"/>
                <w:sz w:val="16"/>
                <w:szCs w:val="16"/>
              </w:rPr>
              <w:t xml:space="preserve"> </w:t>
            </w:r>
            <w:proofErr w:type="spellStart"/>
            <w:r w:rsidRPr="00B962B5">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r w:rsidRPr="00B962B5">
              <w:rPr>
                <w:rFonts w:cs="Arial"/>
                <w:sz w:val="16"/>
                <w:szCs w:val="16"/>
                <w:lang w:val="es-ES"/>
              </w:rPr>
              <w:t xml:space="preserve">Acocote; </w:t>
            </w:r>
            <w:proofErr w:type="spellStart"/>
            <w:r w:rsidRPr="00B962B5">
              <w:rPr>
                <w:rFonts w:cs="Arial"/>
                <w:sz w:val="16"/>
                <w:szCs w:val="16"/>
                <w:lang w:val="es-ES"/>
              </w:rPr>
              <w:t>Cajombre</w:t>
            </w:r>
            <w:proofErr w:type="spellEnd"/>
            <w:r w:rsidRPr="00B962B5">
              <w:rPr>
                <w:rFonts w:cs="Arial"/>
                <w:sz w:val="16"/>
                <w:szCs w:val="16"/>
                <w:lang w:val="es-ES"/>
              </w:rPr>
              <w:t xml:space="preserve">; Calabaza; </w:t>
            </w:r>
            <w:proofErr w:type="spellStart"/>
            <w:r w:rsidRPr="00B962B5">
              <w:rPr>
                <w:rFonts w:cs="Arial"/>
                <w:sz w:val="16"/>
                <w:szCs w:val="16"/>
                <w:lang w:val="es-ES"/>
              </w:rPr>
              <w:t>Guiro</w:t>
            </w:r>
            <w:proofErr w:type="spellEnd"/>
            <w:r w:rsidRPr="00B962B5">
              <w:rPr>
                <w:rFonts w:cs="Arial"/>
                <w:sz w:val="16"/>
                <w:szCs w:val="16"/>
                <w:lang w:val="es-ES"/>
              </w:rPr>
              <w:t xml:space="preserve"> amargo</w:t>
            </w:r>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Lagenaria</w:t>
            </w:r>
            <w:proofErr w:type="spellEnd"/>
            <w:r w:rsidRPr="00B962B5">
              <w:rPr>
                <w:rFonts w:cs="Arial"/>
                <w:sz w:val="16"/>
                <w:szCs w:val="16"/>
              </w:rPr>
              <w:t xml:space="preserve"> </w:t>
            </w:r>
            <w:proofErr w:type="spellStart"/>
            <w:r w:rsidRPr="00B962B5">
              <w:rPr>
                <w:rFonts w:cs="Arial"/>
                <w:sz w:val="16"/>
                <w:szCs w:val="16"/>
              </w:rPr>
              <w:t>siceraria</w:t>
            </w:r>
            <w:proofErr w:type="spellEnd"/>
            <w:r w:rsidRPr="00B962B5">
              <w:rPr>
                <w:rFonts w:cs="Arial"/>
                <w:sz w:val="16"/>
                <w:szCs w:val="16"/>
              </w:rPr>
              <w:t xml:space="preserve"> (Molina) </w:t>
            </w:r>
            <w:proofErr w:type="spellStart"/>
            <w:r w:rsidRPr="00B962B5">
              <w:rPr>
                <w:rFonts w:cs="Arial"/>
                <w:sz w:val="16"/>
                <w:szCs w:val="16"/>
              </w:rPr>
              <w:t>Standl</w:t>
            </w:r>
            <w:proofErr w:type="spellEnd"/>
            <w:r w:rsidRPr="00B962B5">
              <w:rPr>
                <w:rFonts w:cs="Arial"/>
                <w:sz w:val="16"/>
                <w:szCs w:val="16"/>
              </w:rPr>
              <w:t>.</w:t>
            </w:r>
          </w:p>
        </w:tc>
      </w:tr>
      <w:tr w:rsidR="0040242B"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sz w:val="16"/>
                <w:szCs w:val="16"/>
              </w:rPr>
            </w:pPr>
            <w:r w:rsidRPr="00B962B5">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Noix</w:t>
            </w:r>
            <w:proofErr w:type="spellEnd"/>
            <w:r w:rsidRPr="00B962B5">
              <w:rPr>
                <w:rFonts w:cs="Arial"/>
                <w:sz w:val="16"/>
                <w:szCs w:val="16"/>
              </w:rPr>
              <w:t xml:space="preserve"> de </w:t>
            </w:r>
            <w:proofErr w:type="spellStart"/>
            <w:r w:rsidRPr="00B962B5">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Pekan</w:t>
            </w:r>
            <w:proofErr w:type="spellEnd"/>
            <w:r w:rsidRPr="00B962B5">
              <w:rPr>
                <w:rFonts w:cs="Arial"/>
                <w:sz w:val="16"/>
                <w:szCs w:val="16"/>
              </w:rPr>
              <w:t xml:space="preserve">, </w:t>
            </w:r>
            <w:proofErr w:type="spellStart"/>
            <w:r w:rsidRPr="00B962B5">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es-ES"/>
              </w:rPr>
            </w:pPr>
            <w:r w:rsidRPr="00B962B5">
              <w:rPr>
                <w:rFonts w:cs="Arial"/>
                <w:sz w:val="16"/>
                <w:szCs w:val="16"/>
                <w:lang w:val="es-ES"/>
              </w:rPr>
              <w:t xml:space="preserve">Nuez </w:t>
            </w:r>
            <w:proofErr w:type="spellStart"/>
            <w:r w:rsidRPr="00B962B5">
              <w:rPr>
                <w:rFonts w:cs="Arial"/>
                <w:sz w:val="16"/>
                <w:szCs w:val="16"/>
                <w:lang w:val="es-ES"/>
              </w:rPr>
              <w:t>pecán</w:t>
            </w:r>
            <w:proofErr w:type="spellEnd"/>
            <w:r w:rsidRPr="00B962B5">
              <w:rPr>
                <w:rFonts w:cs="Arial"/>
                <w:sz w:val="16"/>
                <w:szCs w:val="16"/>
                <w:lang w:val="es-ES"/>
              </w:rPr>
              <w:t xml:space="preserve">, Pecan, Nogal </w:t>
            </w:r>
            <w:proofErr w:type="spellStart"/>
            <w:r w:rsidRPr="00B962B5">
              <w:rPr>
                <w:rFonts w:cs="Arial"/>
                <w:sz w:val="16"/>
                <w:szCs w:val="16"/>
                <w:lang w:val="es-ES"/>
              </w:rPr>
              <w:t>pecanero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de-DE"/>
              </w:rPr>
            </w:pPr>
            <w:r w:rsidRPr="00B962B5">
              <w:rPr>
                <w:rFonts w:cs="Arial"/>
                <w:sz w:val="16"/>
                <w:szCs w:val="16"/>
                <w:lang w:val="de-DE"/>
              </w:rPr>
              <w:t>Carya illinoinensis (Wangenh.) K. Koch</w:t>
            </w:r>
          </w:p>
        </w:tc>
      </w:tr>
      <w:tr w:rsidR="0040242B"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0242B" w:rsidRPr="00B962B5" w:rsidRDefault="0040242B" w:rsidP="00BA5B38">
            <w:pPr>
              <w:rPr>
                <w:rFonts w:cs="Arial"/>
                <w:sz w:val="16"/>
                <w:szCs w:val="16"/>
              </w:rPr>
            </w:pPr>
            <w:r w:rsidRPr="00B962B5">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rPr>
                <w:rFonts w:cs="Arial"/>
                <w:sz w:val="16"/>
                <w:szCs w:val="16"/>
              </w:rPr>
            </w:pPr>
            <w:r w:rsidRPr="00B962B5">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ind w:left="-36"/>
              <w:rPr>
                <w:rFonts w:cs="Arial"/>
                <w:sz w:val="16"/>
                <w:szCs w:val="16"/>
              </w:rPr>
            </w:pPr>
            <w:r w:rsidRPr="00B962B5">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 xml:space="preserve">Bread Grass, Palisade Grass, Palisade Signal Grass, Signal Grass;  Basilisk Signal Grass, Signal Grass, Spreading </w:t>
            </w:r>
            <w:proofErr w:type="spellStart"/>
            <w:r w:rsidRPr="00B962B5">
              <w:rPr>
                <w:rFonts w:cs="Arial"/>
                <w:sz w:val="16"/>
                <w:szCs w:val="16"/>
              </w:rPr>
              <w:t>Liverseed</w:t>
            </w:r>
            <w:proofErr w:type="spellEnd"/>
            <w:r w:rsidRPr="00B962B5">
              <w:rPr>
                <w:rFonts w:cs="Arial"/>
                <w:sz w:val="16"/>
                <w:szCs w:val="16"/>
              </w:rPr>
              <w:t xml:space="preserve"> Grass, Surinam Grass; Creeping Signal Grass, </w:t>
            </w:r>
            <w:proofErr w:type="spellStart"/>
            <w:r w:rsidRPr="00B962B5">
              <w:rPr>
                <w:rFonts w:cs="Arial"/>
                <w:sz w:val="16"/>
                <w:szCs w:val="16"/>
              </w:rPr>
              <w:t>Koronivia</w:t>
            </w:r>
            <w:proofErr w:type="spellEnd"/>
            <w:r w:rsidRPr="00B962B5">
              <w:rPr>
                <w:rFonts w:cs="Arial"/>
                <w:sz w:val="16"/>
                <w:szCs w:val="16"/>
              </w:rPr>
              <w:t xml:space="preserve"> Grass; Congo Grass, Congo Signal Grass, </w:t>
            </w:r>
            <w:proofErr w:type="spellStart"/>
            <w:r w:rsidRPr="00B962B5">
              <w:rPr>
                <w:rFonts w:cs="Arial"/>
                <w:sz w:val="16"/>
                <w:szCs w:val="16"/>
              </w:rPr>
              <w:t>Ruzi</w:t>
            </w:r>
            <w:proofErr w:type="spellEnd"/>
            <w:r w:rsidRPr="00B962B5">
              <w:rPr>
                <w:rFonts w:cs="Arial"/>
                <w:sz w:val="16"/>
                <w:szCs w:val="16"/>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r w:rsidRPr="00B962B5">
              <w:rPr>
                <w:rFonts w:cs="Arial"/>
                <w:sz w:val="16"/>
                <w:szCs w:val="16"/>
              </w:rPr>
              <w:t xml:space="preserve">Signal; </w:t>
            </w:r>
            <w:proofErr w:type="spellStart"/>
            <w:r w:rsidRPr="00B962B5">
              <w:rPr>
                <w:rFonts w:cs="Arial"/>
                <w:sz w:val="16"/>
                <w:szCs w:val="16"/>
              </w:rPr>
              <w:t>Koronivia</w:t>
            </w:r>
            <w:proofErr w:type="spellEnd"/>
            <w:r w:rsidRPr="00B962B5">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rPr>
            </w:pPr>
            <w:proofErr w:type="spellStart"/>
            <w:r w:rsidRPr="00B962B5">
              <w:rPr>
                <w:rFonts w:cs="Arial"/>
                <w:sz w:val="16"/>
                <w:szCs w:val="16"/>
              </w:rPr>
              <w:t>Palisadengras</w:t>
            </w:r>
            <w:proofErr w:type="spellEnd"/>
            <w:r w:rsidRPr="00B962B5">
              <w:rPr>
                <w:rFonts w:cs="Arial"/>
                <w:sz w:val="16"/>
                <w:szCs w:val="16"/>
              </w:rPr>
              <w:t xml:space="preserve">; </w:t>
            </w:r>
            <w:proofErr w:type="spellStart"/>
            <w:r w:rsidRPr="00B962B5">
              <w:rPr>
                <w:rFonts w:cs="Arial"/>
                <w:sz w:val="16"/>
                <w:szCs w:val="16"/>
              </w:rPr>
              <w:t>Surinamgras</w:t>
            </w:r>
            <w:proofErr w:type="spellEnd"/>
            <w:r w:rsidRPr="00B962B5">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40242B" w:rsidRPr="00B962B5" w:rsidRDefault="0040242B" w:rsidP="00BA5B38">
            <w:pPr>
              <w:jc w:val="left"/>
              <w:rPr>
                <w:rFonts w:cs="Arial"/>
                <w:sz w:val="16"/>
                <w:szCs w:val="16"/>
                <w:lang w:val="pt-PT"/>
              </w:rPr>
            </w:pPr>
            <w:r w:rsidRPr="00B962B5">
              <w:rPr>
                <w:rFonts w:cs="Arial"/>
                <w:sz w:val="16"/>
                <w:szCs w:val="16"/>
                <w:lang w:val="pt-PT"/>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40242B" w:rsidRPr="009178F8" w:rsidRDefault="0040242B" w:rsidP="00BA5B38">
            <w:pPr>
              <w:jc w:val="left"/>
              <w:rPr>
                <w:rFonts w:cs="Arial"/>
                <w:sz w:val="16"/>
                <w:szCs w:val="16"/>
              </w:rPr>
            </w:pPr>
            <w:r w:rsidRPr="00B962B5">
              <w:rPr>
                <w:rFonts w:cs="Arial"/>
                <w:sz w:val="16"/>
                <w:szCs w:val="16"/>
                <w:lang w:val="pt-PT"/>
              </w:rPr>
              <w:t xml:space="preserve">Urochloa brizantha (Hochst. ex A. Rich.) R. D. Webster (Brachiaria brizantha (Hochst. ex A. Rich.) Stapf);  </w:t>
            </w:r>
            <w:r w:rsidRPr="00B962B5">
              <w:rPr>
                <w:rFonts w:cs="Arial"/>
                <w:sz w:val="16"/>
                <w:szCs w:val="16"/>
                <w:lang w:val="pt-PT"/>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B962B5">
              <w:rPr>
                <w:rFonts w:cs="Arial"/>
                <w:sz w:val="16"/>
                <w:szCs w:val="16"/>
                <w:lang w:val="pt-PT"/>
              </w:rPr>
              <w:br/>
              <w:t xml:space="preserve">Urochloa ruziziensis (R. Germ. </w:t>
            </w:r>
            <w:r w:rsidRPr="00B962B5">
              <w:rPr>
                <w:rFonts w:cs="Arial"/>
                <w:sz w:val="16"/>
                <w:szCs w:val="16"/>
              </w:rPr>
              <w:t xml:space="preserve">&amp; C. M. </w:t>
            </w:r>
            <w:proofErr w:type="spellStart"/>
            <w:r w:rsidRPr="00B962B5">
              <w:rPr>
                <w:rFonts w:cs="Arial"/>
                <w:sz w:val="16"/>
                <w:szCs w:val="16"/>
              </w:rPr>
              <w:t>Evrard</w:t>
            </w:r>
            <w:proofErr w:type="spellEnd"/>
            <w:r w:rsidRPr="00B962B5">
              <w:rPr>
                <w:rFonts w:cs="Arial"/>
                <w:sz w:val="16"/>
                <w:szCs w:val="16"/>
              </w:rPr>
              <w:t xml:space="preserve">) </w:t>
            </w:r>
            <w:proofErr w:type="spellStart"/>
            <w:r w:rsidRPr="00B962B5">
              <w:rPr>
                <w:rFonts w:cs="Arial"/>
                <w:sz w:val="16"/>
                <w:szCs w:val="16"/>
              </w:rPr>
              <w:t>Morrone</w:t>
            </w:r>
            <w:proofErr w:type="spellEnd"/>
            <w:r w:rsidRPr="00B962B5">
              <w:rPr>
                <w:rFonts w:cs="Arial"/>
                <w:sz w:val="16"/>
                <w:szCs w:val="16"/>
              </w:rPr>
              <w:t xml:space="preserve"> &amp; </w:t>
            </w:r>
            <w:proofErr w:type="spellStart"/>
            <w:r w:rsidRPr="00B962B5">
              <w:rPr>
                <w:rFonts w:cs="Arial"/>
                <w:sz w:val="16"/>
                <w:szCs w:val="16"/>
              </w:rPr>
              <w:t>Zuloaga</w:t>
            </w:r>
            <w:proofErr w:type="spellEnd"/>
            <w:r w:rsidRPr="00B962B5">
              <w:rPr>
                <w:rFonts w:cs="Arial"/>
                <w:sz w:val="16"/>
                <w:szCs w:val="16"/>
              </w:rPr>
              <w:t xml:space="preserve"> (</w:t>
            </w:r>
            <w:proofErr w:type="spellStart"/>
            <w:r w:rsidRPr="00B962B5">
              <w:rPr>
                <w:rFonts w:cs="Arial"/>
                <w:sz w:val="16"/>
                <w:szCs w:val="16"/>
              </w:rPr>
              <w:t>Brachiaria</w:t>
            </w:r>
            <w:proofErr w:type="spellEnd"/>
            <w:r w:rsidRPr="00B962B5">
              <w:rPr>
                <w:rFonts w:cs="Arial"/>
                <w:sz w:val="16"/>
                <w:szCs w:val="16"/>
              </w:rPr>
              <w:t xml:space="preserve"> </w:t>
            </w:r>
            <w:proofErr w:type="spellStart"/>
            <w:r w:rsidRPr="00B962B5">
              <w:rPr>
                <w:rFonts w:cs="Arial"/>
                <w:sz w:val="16"/>
                <w:szCs w:val="16"/>
              </w:rPr>
              <w:t>ruziziensis</w:t>
            </w:r>
            <w:proofErr w:type="spellEnd"/>
            <w:r w:rsidRPr="00B962B5">
              <w:rPr>
                <w:rFonts w:cs="Arial"/>
                <w:sz w:val="16"/>
                <w:szCs w:val="16"/>
              </w:rPr>
              <w:t xml:space="preserve"> R. Germ. &amp; C. M. </w:t>
            </w:r>
            <w:proofErr w:type="spellStart"/>
            <w:r w:rsidRPr="00B962B5">
              <w:rPr>
                <w:rFonts w:cs="Arial"/>
                <w:sz w:val="16"/>
                <w:szCs w:val="16"/>
              </w:rPr>
              <w:t>Evrard</w:t>
            </w:r>
            <w:proofErr w:type="spellEnd"/>
            <w:r w:rsidRPr="00B962B5">
              <w:rPr>
                <w:rFonts w:cs="Arial"/>
                <w:sz w:val="16"/>
                <w:szCs w:val="16"/>
              </w:rPr>
              <w:t>)</w:t>
            </w:r>
          </w:p>
        </w:tc>
      </w:tr>
      <w:tr w:rsidR="00D31A71" w:rsidRPr="00AC6009" w:rsidTr="00BA5B38">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31A71" w:rsidRPr="00065FD6" w:rsidRDefault="00D31A71" w:rsidP="00BA5B38">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rPr>
            </w:pPr>
            <w:r w:rsidRPr="00B706A2">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rPr>
                <w:rFonts w:cs="Arial"/>
                <w:sz w:val="16"/>
              </w:rPr>
            </w:pPr>
            <w:r w:rsidRPr="00B706A2">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r w:rsidRPr="00B706A2">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Œillet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Clavel</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rPr>
            </w:pPr>
            <w:r w:rsidRPr="00B706A2">
              <w:rPr>
                <w:rFonts w:cs="Arial"/>
                <w:sz w:val="16"/>
              </w:rPr>
              <w:t>Dianthus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rPr>
            </w:pPr>
            <w:r w:rsidRPr="00B706A2">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rPr>
                <w:rFonts w:cs="Arial"/>
                <w:sz w:val="16"/>
              </w:rPr>
            </w:pPr>
            <w:r w:rsidRPr="00B706A2">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lang w:val="pt-BR"/>
              </w:rPr>
            </w:pPr>
            <w:r w:rsidRPr="00B706A2">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Pélargonium</w:t>
            </w:r>
            <w:proofErr w:type="spellEnd"/>
            <w:r w:rsidRPr="00B706A2">
              <w:rPr>
                <w:rFonts w:cs="Arial"/>
                <w:sz w:val="16"/>
              </w:rPr>
              <w:t xml:space="preserve"> des </w:t>
            </w:r>
            <w:proofErr w:type="spellStart"/>
            <w:r w:rsidRPr="00B706A2">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Edelpelargonie</w:t>
            </w:r>
            <w:proofErr w:type="spellEnd"/>
            <w:r w:rsidRPr="00B706A2">
              <w:rPr>
                <w:rFonts w:cs="Arial"/>
                <w:sz w:val="16"/>
              </w:rPr>
              <w:t xml:space="preserve">; </w:t>
            </w:r>
            <w:proofErr w:type="spellStart"/>
            <w:r w:rsidRPr="00B706A2">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Pelargonio</w:t>
            </w:r>
            <w:proofErr w:type="spellEnd"/>
            <w:r w:rsidRPr="00B706A2">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rPr>
            </w:pPr>
            <w:r w:rsidRPr="00B706A2">
              <w:rPr>
                <w:rFonts w:cs="Arial"/>
                <w:sz w:val="16"/>
              </w:rPr>
              <w:t xml:space="preserve">Pelargonium grandiflorum (Andrews) </w:t>
            </w:r>
            <w:proofErr w:type="spellStart"/>
            <w:proofErr w:type="gramStart"/>
            <w:r w:rsidRPr="00B706A2">
              <w:rPr>
                <w:rFonts w:cs="Arial"/>
                <w:sz w:val="16"/>
              </w:rPr>
              <w:t>Willd</w:t>
            </w:r>
            <w:proofErr w:type="spellEnd"/>
            <w:r w:rsidRPr="00B706A2">
              <w:rPr>
                <w:rFonts w:cs="Arial"/>
                <w:sz w:val="16"/>
              </w:rPr>
              <w:t>.;</w:t>
            </w:r>
            <w:proofErr w:type="gramEnd"/>
            <w:r w:rsidRPr="00B706A2">
              <w:rPr>
                <w:rFonts w:cs="Arial"/>
                <w:sz w:val="16"/>
              </w:rPr>
              <w:t xml:space="preserve"> P. ×</w:t>
            </w:r>
            <w:proofErr w:type="spellStart"/>
            <w:r w:rsidRPr="00B706A2">
              <w:rPr>
                <w:rFonts w:cs="Arial"/>
                <w:sz w:val="16"/>
              </w:rPr>
              <w:t>domesticum</w:t>
            </w:r>
            <w:proofErr w:type="spellEnd"/>
            <w:r w:rsidRPr="00B706A2">
              <w:rPr>
                <w:rFonts w:cs="Arial"/>
                <w:sz w:val="16"/>
              </w:rPr>
              <w:t xml:space="preserve"> L. H. Bailey; P. </w:t>
            </w:r>
            <w:proofErr w:type="spellStart"/>
            <w:r w:rsidRPr="00B706A2">
              <w:rPr>
                <w:rFonts w:cs="Arial"/>
                <w:sz w:val="16"/>
              </w:rPr>
              <w:t>crispum</w:t>
            </w:r>
            <w:proofErr w:type="spellEnd"/>
            <w:r w:rsidRPr="00B706A2">
              <w:rPr>
                <w:rFonts w:cs="Arial"/>
                <w:sz w:val="16"/>
              </w:rPr>
              <w:t xml:space="preserve"> (P.J. Bergius) </w:t>
            </w:r>
            <w:proofErr w:type="spellStart"/>
            <w:r w:rsidRPr="00B706A2">
              <w:rPr>
                <w:rFonts w:cs="Arial"/>
                <w:sz w:val="16"/>
              </w:rPr>
              <w:t>L'Hér</w:t>
            </w:r>
            <w:proofErr w:type="spellEnd"/>
            <w:r w:rsidRPr="00B706A2">
              <w:rPr>
                <w:rFonts w:cs="Arial"/>
                <w:sz w:val="16"/>
              </w:rPr>
              <w:t xml:space="preserve">. and P. </w:t>
            </w:r>
            <w:proofErr w:type="spellStart"/>
            <w:r w:rsidRPr="00B706A2">
              <w:rPr>
                <w:rFonts w:cs="Arial"/>
                <w:sz w:val="16"/>
              </w:rPr>
              <w:t>crispum</w:t>
            </w:r>
            <w:proofErr w:type="spellEnd"/>
            <w:r w:rsidRPr="00B706A2">
              <w:rPr>
                <w:rFonts w:cs="Arial"/>
                <w:sz w:val="16"/>
              </w:rPr>
              <w:t xml:space="preserve"> x P. ×</w:t>
            </w:r>
            <w:proofErr w:type="spellStart"/>
            <w:r w:rsidRPr="00B706A2">
              <w:rPr>
                <w:rFonts w:cs="Arial"/>
                <w:sz w:val="16"/>
              </w:rPr>
              <w:t>domesticum</w:t>
            </w:r>
            <w:proofErr w:type="spellEnd"/>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962B5" w:rsidRDefault="00D31A71" w:rsidP="00BA5B38">
            <w:pPr>
              <w:rPr>
                <w:rFonts w:cs="Arial"/>
                <w:sz w:val="16"/>
              </w:rPr>
            </w:pPr>
            <w:r w:rsidRPr="00B962B5">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rPr>
                <w:rFonts w:cs="Arial"/>
                <w:sz w:val="16"/>
              </w:rPr>
            </w:pPr>
            <w:r w:rsidRPr="00B962B5">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ind w:left="-36"/>
              <w:rPr>
                <w:rFonts w:cs="Arial"/>
                <w:sz w:val="16"/>
              </w:rPr>
            </w:pPr>
            <w:r w:rsidRPr="00B962B5">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rPr>
            </w:pPr>
            <w:r w:rsidRPr="00B962B5">
              <w:rPr>
                <w:rFonts w:cs="Arial"/>
                <w:sz w:val="16"/>
              </w:rPr>
              <w:t xml:space="preserve">Broomcorn, Durra, </w:t>
            </w:r>
            <w:proofErr w:type="spellStart"/>
            <w:r w:rsidRPr="00B962B5">
              <w:rPr>
                <w:rFonts w:cs="Arial"/>
                <w:sz w:val="16"/>
              </w:rPr>
              <w:t>Feterita</w:t>
            </w:r>
            <w:proofErr w:type="spellEnd"/>
            <w:r w:rsidRPr="00B962B5">
              <w:rPr>
                <w:rFonts w:cs="Arial"/>
                <w:sz w:val="16"/>
              </w:rPr>
              <w:t xml:space="preserve">, </w:t>
            </w:r>
            <w:r w:rsidRPr="00B962B5">
              <w:rPr>
                <w:rFonts w:cs="Arial"/>
                <w:sz w:val="16"/>
              </w:rPr>
              <w:br/>
              <w:t xml:space="preserve">Forage Sorghum, Grain sorghum, Great Millet, </w:t>
            </w:r>
            <w:r w:rsidRPr="00B962B5">
              <w:rPr>
                <w:rFonts w:cs="Arial"/>
                <w:sz w:val="16"/>
              </w:rPr>
              <w:br/>
              <w:t xml:space="preserve">Kaffir-corn, Milo, </w:t>
            </w:r>
            <w:proofErr w:type="spellStart"/>
            <w:r w:rsidRPr="00B962B5">
              <w:rPr>
                <w:rFonts w:cs="Arial"/>
                <w:sz w:val="16"/>
              </w:rPr>
              <w:t>Shallu</w:t>
            </w:r>
            <w:proofErr w:type="spellEnd"/>
            <w:r w:rsidRPr="00B962B5">
              <w:rPr>
                <w:rFonts w:cs="Arial"/>
                <w:sz w:val="16"/>
              </w:rPr>
              <w:t>, Sorghum, Sweet sorghum;</w:t>
            </w:r>
            <w:r w:rsidRPr="00B962B5">
              <w:rPr>
                <w:rFonts w:cs="Arial"/>
                <w:sz w:val="16"/>
              </w:rPr>
              <w:br/>
              <w:t xml:space="preserve">Chicken-corn, </w:t>
            </w:r>
            <w:proofErr w:type="spellStart"/>
            <w:r w:rsidRPr="00B962B5">
              <w:rPr>
                <w:rFonts w:cs="Arial"/>
                <w:sz w:val="16"/>
              </w:rPr>
              <w:t>Shattercane</w:t>
            </w:r>
            <w:proofErr w:type="spellEnd"/>
            <w:r w:rsidRPr="00B962B5">
              <w:rPr>
                <w:rFonts w:cs="Arial"/>
                <w:sz w:val="16"/>
              </w:rPr>
              <w:t xml:space="preserve">, </w:t>
            </w:r>
            <w:proofErr w:type="spellStart"/>
            <w:r w:rsidRPr="00B962B5">
              <w:rPr>
                <w:rFonts w:cs="Arial"/>
                <w:sz w:val="16"/>
              </w:rPr>
              <w:t>Sordan</w:t>
            </w:r>
            <w:proofErr w:type="spellEnd"/>
            <w:r w:rsidRPr="00B962B5">
              <w:rPr>
                <w:rFonts w:cs="Arial"/>
                <w:sz w:val="16"/>
              </w:rPr>
              <w:t xml:space="preserve">, </w:t>
            </w:r>
            <w:r w:rsidRPr="00B962B5">
              <w:rPr>
                <w:rFonts w:cs="Arial"/>
                <w:sz w:val="16"/>
              </w:rPr>
              <w:br/>
              <w:t>Sorghum x Sudan Grass, Sorghum-</w:t>
            </w:r>
            <w:proofErr w:type="spellStart"/>
            <w:r w:rsidRPr="00B962B5">
              <w:rPr>
                <w:rFonts w:cs="Arial"/>
                <w:sz w:val="16"/>
              </w:rPr>
              <w:t>sudangrass</w:t>
            </w:r>
            <w:proofErr w:type="spellEnd"/>
            <w:r w:rsidRPr="00B962B5">
              <w:rPr>
                <w:rFonts w:cs="Arial"/>
                <w:sz w:val="16"/>
              </w:rPr>
              <w:t>, Sudan grass</w:t>
            </w:r>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lang w:val="fr-FR"/>
              </w:rPr>
            </w:pPr>
            <w:r w:rsidRPr="00B962B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rPr>
            </w:pPr>
            <w:proofErr w:type="spellStart"/>
            <w:r w:rsidRPr="00B962B5">
              <w:rPr>
                <w:rFonts w:cs="Arial"/>
                <w:sz w:val="16"/>
              </w:rPr>
              <w:t>Mohrenhirse</w:t>
            </w:r>
            <w:proofErr w:type="spellEnd"/>
            <w:r w:rsidRPr="00B962B5">
              <w:rPr>
                <w:rFonts w:cs="Arial"/>
                <w:sz w:val="16"/>
              </w:rPr>
              <w:t xml:space="preserve">; </w:t>
            </w:r>
            <w:proofErr w:type="spellStart"/>
            <w:r w:rsidRPr="00B962B5">
              <w:rPr>
                <w:rFonts w:cs="Arial"/>
                <w:sz w:val="16"/>
              </w:rPr>
              <w:t>Mohrenhirse</w:t>
            </w:r>
            <w:proofErr w:type="spellEnd"/>
            <w:r w:rsidRPr="00B962B5">
              <w:rPr>
                <w:rFonts w:cs="Arial"/>
                <w:sz w:val="16"/>
              </w:rPr>
              <w:t xml:space="preserve"> x </w:t>
            </w:r>
            <w:proofErr w:type="spellStart"/>
            <w:r w:rsidRPr="00B962B5">
              <w:rPr>
                <w:rFonts w:cs="Arial"/>
                <w:sz w:val="16"/>
              </w:rPr>
              <w:t>Sudangras</w:t>
            </w:r>
            <w:proofErr w:type="spellEnd"/>
            <w:r w:rsidRPr="00B962B5">
              <w:rPr>
                <w:rFonts w:cs="Arial"/>
                <w:sz w:val="16"/>
              </w:rPr>
              <w:t xml:space="preserve">, </w:t>
            </w:r>
            <w:proofErr w:type="spellStart"/>
            <w:r w:rsidRPr="00B962B5">
              <w:rPr>
                <w:rFonts w:cs="Arial"/>
                <w:sz w:val="16"/>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lang w:val="es-ES"/>
              </w:rPr>
            </w:pPr>
            <w:r w:rsidRPr="00B962B5">
              <w:rPr>
                <w:rFonts w:cs="Arial"/>
                <w:sz w:val="16"/>
                <w:lang w:val="es-ES"/>
              </w:rPr>
              <w:t xml:space="preserve">Daza, Sorgo, Sorgo forrajero;  Pasto del Sudán, Pasto Sudán, Sorgo x Pasto del Sudán, </w:t>
            </w:r>
            <w:proofErr w:type="spellStart"/>
            <w:r w:rsidRPr="00B962B5">
              <w:rPr>
                <w:rFonts w:cs="Arial"/>
                <w:sz w:val="16"/>
                <w:lang w:val="es-ES"/>
              </w:rPr>
              <w:t>Sudangrass</w:t>
            </w:r>
            <w:proofErr w:type="spellEnd"/>
            <w:r w:rsidRPr="00B962B5">
              <w:rPr>
                <w:rFonts w:cs="Arial"/>
                <w:sz w:val="16"/>
                <w:lang w:val="es-ES"/>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rPr>
            </w:pPr>
            <w:r w:rsidRPr="00B962B5">
              <w:rPr>
                <w:rFonts w:cs="Arial"/>
                <w:sz w:val="16"/>
              </w:rPr>
              <w:t xml:space="preserve">Sorghum bicolor (L.) </w:t>
            </w:r>
            <w:proofErr w:type="spellStart"/>
            <w:r w:rsidRPr="00B962B5">
              <w:rPr>
                <w:rFonts w:cs="Arial"/>
                <w:sz w:val="16"/>
              </w:rPr>
              <w:t>Moench</w:t>
            </w:r>
            <w:proofErr w:type="spellEnd"/>
            <w:r w:rsidRPr="00B962B5">
              <w:rPr>
                <w:rFonts w:cs="Arial"/>
                <w:sz w:val="16"/>
              </w:rPr>
              <w:t>; Sorghum ×</w:t>
            </w:r>
            <w:proofErr w:type="spellStart"/>
            <w:r w:rsidRPr="00B962B5">
              <w:rPr>
                <w:rFonts w:cs="Arial"/>
                <w:sz w:val="16"/>
              </w:rPr>
              <w:t>drummondii</w:t>
            </w:r>
            <w:proofErr w:type="spellEnd"/>
            <w:r w:rsidRPr="00B962B5">
              <w:rPr>
                <w:rFonts w:cs="Arial"/>
                <w:sz w:val="16"/>
              </w:rPr>
              <w:t xml:space="preserve"> (</w:t>
            </w:r>
            <w:proofErr w:type="spellStart"/>
            <w:r w:rsidRPr="00B962B5">
              <w:rPr>
                <w:rFonts w:cs="Arial"/>
                <w:sz w:val="16"/>
              </w:rPr>
              <w:t>Steud</w:t>
            </w:r>
            <w:proofErr w:type="spellEnd"/>
            <w:r w:rsidRPr="00B962B5">
              <w:rPr>
                <w:rFonts w:cs="Arial"/>
                <w:sz w:val="16"/>
              </w:rPr>
              <w:t xml:space="preserve">.) </w:t>
            </w:r>
            <w:proofErr w:type="spellStart"/>
            <w:r w:rsidRPr="00B962B5">
              <w:rPr>
                <w:rFonts w:cs="Arial"/>
                <w:sz w:val="16"/>
              </w:rPr>
              <w:t>Millsp</w:t>
            </w:r>
            <w:proofErr w:type="spellEnd"/>
            <w:r w:rsidRPr="00B962B5">
              <w:rPr>
                <w:rFonts w:cs="Arial"/>
                <w:sz w:val="16"/>
              </w:rPr>
              <w:t>. &amp; Chase</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color w:val="000000"/>
                <w:sz w:val="16"/>
              </w:rPr>
            </w:pPr>
            <w:r w:rsidRPr="00B706A2">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color w:val="000000"/>
                <w:sz w:val="16"/>
              </w:rPr>
            </w:pPr>
            <w:r w:rsidRPr="00B706A2">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rPr>
                <w:rFonts w:cs="Arial"/>
                <w:sz w:val="16"/>
              </w:rPr>
            </w:pPr>
            <w:r w:rsidRPr="00B706A2">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r w:rsidRPr="00B706A2">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r w:rsidRPr="00B706A2">
              <w:rPr>
                <w:rFonts w:cs="Arial"/>
                <w:sz w:val="16"/>
              </w:rPr>
              <w:t>Porte-</w:t>
            </w:r>
            <w:proofErr w:type="spellStart"/>
            <w:r w:rsidRPr="00B706A2">
              <w:rPr>
                <w:rFonts w:cs="Arial"/>
                <w:sz w:val="16"/>
              </w:rPr>
              <w:t>greffes</w:t>
            </w:r>
            <w:proofErr w:type="spellEnd"/>
            <w:r w:rsidRPr="00B706A2">
              <w:rPr>
                <w:rFonts w:cs="Arial"/>
                <w:sz w:val="16"/>
              </w:rPr>
              <w:t xml:space="preserve"> du </w:t>
            </w:r>
            <w:proofErr w:type="spellStart"/>
            <w:r w:rsidRPr="00B706A2">
              <w:rPr>
                <w:rFonts w:cs="Arial"/>
                <w:sz w:val="16"/>
              </w:rPr>
              <w:t>pommier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Portainjertos</w:t>
            </w:r>
            <w:proofErr w:type="spellEnd"/>
            <w:r w:rsidRPr="00B706A2">
              <w:rPr>
                <w:rFonts w:cs="Arial"/>
                <w:sz w:val="16"/>
              </w:rPr>
              <w:t xml:space="preserve"> de </w:t>
            </w:r>
            <w:proofErr w:type="spellStart"/>
            <w:r w:rsidRPr="00B706A2">
              <w:rPr>
                <w:rFonts w:cs="Arial"/>
                <w:sz w:val="16"/>
              </w:rPr>
              <w:t>manzano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rPr>
            </w:pPr>
            <w:r w:rsidRPr="00B706A2">
              <w:rPr>
                <w:rFonts w:cs="Arial"/>
                <w:sz w:val="16"/>
              </w:rPr>
              <w:t>Malus Mill.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rPr>
            </w:pPr>
            <w:r w:rsidRPr="00B706A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rPr>
            </w:pPr>
            <w:r w:rsidRPr="00B706A2">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rPr>
                <w:rFonts w:cs="Arial"/>
                <w:sz w:val="16"/>
              </w:rPr>
            </w:pPr>
            <w:r w:rsidRPr="00B706A2">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r w:rsidRPr="00B706A2">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Lentille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rPr>
            </w:pPr>
            <w:proofErr w:type="spellStart"/>
            <w:r w:rsidRPr="00B706A2">
              <w:rPr>
                <w:rFonts w:cs="Arial"/>
                <w:sz w:val="16"/>
              </w:rPr>
              <w:t>Lenteja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rPr>
            </w:pPr>
            <w:r w:rsidRPr="00B706A2">
              <w:rPr>
                <w:rFonts w:cs="Arial"/>
                <w:sz w:val="16"/>
              </w:rPr>
              <w:t xml:space="preserve">Lens </w:t>
            </w:r>
            <w:proofErr w:type="spellStart"/>
            <w:r w:rsidRPr="00B706A2">
              <w:rPr>
                <w:rFonts w:cs="Arial"/>
                <w:sz w:val="16"/>
              </w:rPr>
              <w:t>culinaris</w:t>
            </w:r>
            <w:proofErr w:type="spellEnd"/>
            <w:r w:rsidRPr="00B706A2">
              <w:rPr>
                <w:rFonts w:cs="Arial"/>
                <w:sz w:val="16"/>
              </w:rPr>
              <w:t xml:space="preserve"> </w:t>
            </w:r>
            <w:proofErr w:type="spellStart"/>
            <w:r w:rsidRPr="00B706A2">
              <w:rPr>
                <w:rFonts w:cs="Arial"/>
                <w:sz w:val="16"/>
              </w:rPr>
              <w:t>Medik</w:t>
            </w:r>
            <w:proofErr w:type="spellEnd"/>
            <w:r w:rsidRPr="00B706A2">
              <w:rPr>
                <w:rFonts w:cs="Arial"/>
                <w:sz w:val="16"/>
              </w:rPr>
              <w:t>.</w:t>
            </w:r>
          </w:p>
        </w:tc>
      </w:tr>
      <w:tr w:rsidR="00D31A71" w:rsidRPr="00AC6009" w:rsidTr="00BA5B38">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31A71" w:rsidRPr="00955310" w:rsidRDefault="00D31A71" w:rsidP="00BA5B38">
            <w:pPr>
              <w:keepNext/>
              <w:spacing w:before="60" w:after="120"/>
              <w:ind w:left="-36"/>
              <w:jc w:val="left"/>
              <w:rPr>
                <w:rFonts w:eastAsia="MS Mincho" w:cs="Arial"/>
                <w:bCs/>
                <w:sz w:val="16"/>
                <w:szCs w:val="16"/>
                <w:u w:val="single"/>
                <w:lang w:val="fr-FR" w:eastAsia="ja-JP"/>
              </w:rPr>
            </w:pPr>
            <w:r w:rsidRPr="00955310">
              <w:rPr>
                <w:rFonts w:cs="Arial"/>
                <w:bCs/>
                <w:sz w:val="16"/>
                <w:szCs w:val="16"/>
                <w:u w:val="single"/>
                <w:lang w:val="fr-FR"/>
              </w:rPr>
              <w:t xml:space="preserve">PARTIAL REVISIONS OF TEST GUIDELINES / </w:t>
            </w:r>
            <w:r w:rsidRPr="00955310">
              <w:rPr>
                <w:rFonts w:cs="Arial"/>
                <w:sz w:val="16"/>
                <w:szCs w:val="16"/>
                <w:u w:val="single"/>
                <w:lang w:val="fr-FR"/>
              </w:rPr>
              <w:t>RÉVISIONS PARTIELLES DE PRINCIPES DIRECTEURS D’EXAMEN ADOPTÉS /</w:t>
            </w:r>
            <w:r w:rsidRPr="00955310">
              <w:rPr>
                <w:rFonts w:cs="Arial"/>
                <w:sz w:val="16"/>
                <w:szCs w:val="16"/>
                <w:u w:val="single"/>
                <w:lang w:val="fr-FR"/>
              </w:rPr>
              <w:br/>
              <w:t>TEILREVISIONEN ANGENOMMENER PRÜFUNGSRICHTLINIEN / REVISIONES PARCIALES DE DIRECTRICES DE EXAMEN ADOPTADAS</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keepNext/>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keepNext/>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B706A2" w:rsidP="00B706A2">
            <w:pPr>
              <w:keepNext/>
              <w:ind w:left="-36"/>
              <w:jc w:val="left"/>
              <w:rPr>
                <w:rFonts w:cs="Arial"/>
                <w:sz w:val="16"/>
                <w:szCs w:val="16"/>
              </w:rPr>
            </w:pPr>
            <w:r w:rsidRPr="00B706A2">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keepNext/>
              <w:jc w:val="left"/>
              <w:rPr>
                <w:rFonts w:cs="Arial"/>
                <w:sz w:val="16"/>
                <w:szCs w:val="16"/>
              </w:rPr>
            </w:pPr>
            <w:r w:rsidRPr="00B706A2">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keepNext/>
              <w:jc w:val="left"/>
              <w:rPr>
                <w:rFonts w:cs="Arial"/>
                <w:sz w:val="16"/>
                <w:szCs w:val="16"/>
              </w:rPr>
            </w:pPr>
            <w:r w:rsidRPr="00B706A2">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keepNext/>
              <w:jc w:val="left"/>
              <w:rPr>
                <w:rFonts w:cs="Arial"/>
                <w:sz w:val="16"/>
                <w:szCs w:val="16"/>
              </w:rPr>
            </w:pPr>
            <w:proofErr w:type="spellStart"/>
            <w:r w:rsidRPr="00B706A2">
              <w:rPr>
                <w:rFonts w:cs="Arial"/>
                <w:sz w:val="16"/>
                <w:szCs w:val="16"/>
              </w:rPr>
              <w:t>Gartenbohne</w:t>
            </w:r>
            <w:proofErr w:type="spellEnd"/>
            <w:r w:rsidRPr="00B706A2">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keepNext/>
              <w:jc w:val="left"/>
              <w:rPr>
                <w:rFonts w:cs="Arial"/>
                <w:sz w:val="16"/>
                <w:szCs w:val="16"/>
              </w:rPr>
            </w:pPr>
            <w:proofErr w:type="spellStart"/>
            <w:r w:rsidRPr="00B706A2">
              <w:rPr>
                <w:rFonts w:cs="Arial"/>
                <w:sz w:val="16"/>
                <w:szCs w:val="16"/>
              </w:rPr>
              <w:t>Judía</w:t>
            </w:r>
            <w:proofErr w:type="spellEnd"/>
            <w:r w:rsidRPr="00B706A2">
              <w:rPr>
                <w:rFonts w:cs="Arial"/>
                <w:sz w:val="16"/>
                <w:szCs w:val="16"/>
              </w:rPr>
              <w:t xml:space="preserve"> </w:t>
            </w:r>
            <w:proofErr w:type="spellStart"/>
            <w:r w:rsidRPr="00B706A2">
              <w:rPr>
                <w:rFonts w:cs="Arial"/>
                <w:sz w:val="16"/>
                <w:szCs w:val="16"/>
              </w:rPr>
              <w:t>común</w:t>
            </w:r>
            <w:proofErr w:type="spellEnd"/>
            <w:r w:rsidRPr="00B706A2">
              <w:rPr>
                <w:rFonts w:cs="Arial"/>
                <w:sz w:val="16"/>
                <w:szCs w:val="16"/>
              </w:rPr>
              <w:t xml:space="preserve">, </w:t>
            </w:r>
            <w:proofErr w:type="spellStart"/>
            <w:r w:rsidRPr="00B706A2">
              <w:rPr>
                <w:rFonts w:cs="Arial"/>
                <w:sz w:val="16"/>
                <w:szCs w:val="16"/>
              </w:rPr>
              <w:t>Alubia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keepNext/>
              <w:jc w:val="left"/>
              <w:rPr>
                <w:rFonts w:cs="Arial"/>
                <w:sz w:val="16"/>
                <w:szCs w:val="16"/>
              </w:rPr>
            </w:pPr>
            <w:proofErr w:type="spellStart"/>
            <w:r w:rsidRPr="00B706A2">
              <w:rPr>
                <w:rFonts w:cs="Arial"/>
                <w:sz w:val="16"/>
                <w:szCs w:val="16"/>
              </w:rPr>
              <w:t>Phaseolus</w:t>
            </w:r>
            <w:proofErr w:type="spellEnd"/>
            <w:r w:rsidRPr="00B706A2">
              <w:rPr>
                <w:rFonts w:cs="Arial"/>
                <w:sz w:val="16"/>
                <w:szCs w:val="16"/>
              </w:rPr>
              <w:t xml:space="preserve"> vulgaris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jc w:val="left"/>
              <w:rPr>
                <w:rFonts w:cs="Arial"/>
                <w:sz w:val="16"/>
                <w:szCs w:val="16"/>
              </w:rPr>
            </w:pPr>
            <w:r w:rsidRPr="00B706A2">
              <w:rPr>
                <w:rFonts w:cs="Arial"/>
                <w:sz w:val="16"/>
                <w:szCs w:val="16"/>
              </w:rPr>
              <w:t>TG/55/7 Rev.</w:t>
            </w:r>
            <w:r w:rsidR="00B706A2" w:rsidRPr="00B706A2">
              <w:rPr>
                <w:rFonts w:cs="Arial"/>
                <w:sz w:val="16"/>
                <w:szCs w:val="16"/>
              </w:rPr>
              <w:t>3</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proofErr w:type="spellStart"/>
            <w:r w:rsidRPr="00B706A2">
              <w:rPr>
                <w:rFonts w:cs="Arial"/>
                <w:sz w:val="16"/>
                <w:szCs w:val="16"/>
              </w:rPr>
              <w:t>Spinacia</w:t>
            </w:r>
            <w:proofErr w:type="spellEnd"/>
            <w:r w:rsidRPr="00B706A2">
              <w:rPr>
                <w:rFonts w:cs="Arial"/>
                <w:sz w:val="16"/>
                <w:szCs w:val="16"/>
              </w:rPr>
              <w:t xml:space="preserve"> </w:t>
            </w:r>
            <w:proofErr w:type="spellStart"/>
            <w:r w:rsidRPr="00B706A2">
              <w:rPr>
                <w:rFonts w:cs="Arial"/>
                <w:sz w:val="16"/>
                <w:szCs w:val="16"/>
              </w:rPr>
              <w:t>oleracea</w:t>
            </w:r>
            <w:proofErr w:type="spellEnd"/>
            <w:r w:rsidRPr="00B706A2">
              <w:rPr>
                <w:rFonts w:cs="Arial"/>
                <w:sz w:val="16"/>
                <w:szCs w:val="16"/>
              </w:rPr>
              <w:t xml:space="preserve">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szCs w:val="16"/>
              </w:rPr>
            </w:pPr>
            <w:r w:rsidRPr="00B706A2">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B706A2" w:rsidP="00B706A2">
            <w:pPr>
              <w:ind w:left="-36"/>
              <w:jc w:val="left"/>
              <w:rPr>
                <w:rFonts w:cs="Arial"/>
                <w:sz w:val="16"/>
                <w:szCs w:val="16"/>
              </w:rPr>
            </w:pPr>
            <w:r w:rsidRPr="00B706A2">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Concombre</w:t>
            </w:r>
            <w:proofErr w:type="spellEnd"/>
            <w:r w:rsidRPr="00B706A2">
              <w:rPr>
                <w:rFonts w:cs="Arial"/>
                <w:sz w:val="16"/>
                <w:szCs w:val="16"/>
              </w:rPr>
              <w:t>, Cornichon</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Pepino</w:t>
            </w:r>
            <w:proofErr w:type="spellEnd"/>
            <w:r w:rsidRPr="00B706A2">
              <w:rPr>
                <w:rFonts w:cs="Arial"/>
                <w:sz w:val="16"/>
                <w:szCs w:val="16"/>
              </w:rPr>
              <w:t xml:space="preserve">, </w:t>
            </w:r>
            <w:proofErr w:type="spellStart"/>
            <w:r w:rsidRPr="00B706A2">
              <w:rPr>
                <w:rFonts w:cs="Arial"/>
                <w:sz w:val="16"/>
                <w:szCs w:val="16"/>
              </w:rPr>
              <w:t>Pepinillo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proofErr w:type="spellStart"/>
            <w:r w:rsidRPr="00B706A2">
              <w:rPr>
                <w:rFonts w:cs="Arial"/>
                <w:sz w:val="16"/>
                <w:szCs w:val="16"/>
              </w:rPr>
              <w:t>Cucumis</w:t>
            </w:r>
            <w:proofErr w:type="spellEnd"/>
            <w:r w:rsidRPr="00B706A2">
              <w:rPr>
                <w:rFonts w:cs="Arial"/>
                <w:sz w:val="16"/>
                <w:szCs w:val="16"/>
              </w:rPr>
              <w:t xml:space="preserve"> </w:t>
            </w:r>
            <w:proofErr w:type="spellStart"/>
            <w:r w:rsidRPr="00B706A2">
              <w:rPr>
                <w:rFonts w:cs="Arial"/>
                <w:sz w:val="16"/>
                <w:szCs w:val="16"/>
              </w:rPr>
              <w:t>sativus</w:t>
            </w:r>
            <w:proofErr w:type="spellEnd"/>
            <w:r w:rsidRPr="00B706A2">
              <w:rPr>
                <w:rFonts w:cs="Arial"/>
                <w:sz w:val="16"/>
                <w:szCs w:val="16"/>
              </w:rPr>
              <w:t xml:space="preserve"> L.</w:t>
            </w:r>
          </w:p>
        </w:tc>
      </w:tr>
      <w:tr w:rsidR="00D31A71"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962B5" w:rsidRDefault="00D31A71" w:rsidP="00BA5B38">
            <w:pPr>
              <w:rPr>
                <w:rFonts w:cs="Arial"/>
                <w:sz w:val="16"/>
                <w:szCs w:val="16"/>
              </w:rPr>
            </w:pPr>
            <w:r w:rsidRPr="00B962B5">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ind w:left="-36"/>
              <w:jc w:val="left"/>
              <w:rPr>
                <w:rFonts w:cs="Arial"/>
                <w:sz w:val="16"/>
                <w:szCs w:val="16"/>
              </w:rPr>
            </w:pPr>
            <w:r w:rsidRPr="00B962B5">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Piment</w:t>
            </w:r>
            <w:proofErr w:type="spellEnd"/>
            <w:r w:rsidRPr="00B962B5">
              <w:rPr>
                <w:rFonts w:cs="Arial"/>
                <w:sz w:val="16"/>
                <w:szCs w:val="16"/>
              </w:rPr>
              <w:t xml:space="preserve">, </w:t>
            </w:r>
            <w:proofErr w:type="spellStart"/>
            <w:r w:rsidRPr="00B962B5">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Aji</w:t>
            </w:r>
            <w:proofErr w:type="spellEnd"/>
            <w:r w:rsidRPr="00B962B5">
              <w:rPr>
                <w:rFonts w:cs="Arial"/>
                <w:sz w:val="16"/>
                <w:szCs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 xml:space="preserve">Capsicum </w:t>
            </w:r>
            <w:proofErr w:type="spellStart"/>
            <w:r w:rsidRPr="00B962B5">
              <w:rPr>
                <w:rFonts w:cs="Arial"/>
                <w:sz w:val="16"/>
                <w:szCs w:val="16"/>
              </w:rPr>
              <w:t>annuum</w:t>
            </w:r>
            <w:proofErr w:type="spellEnd"/>
            <w:r w:rsidRPr="00B962B5">
              <w:rPr>
                <w:rFonts w:cs="Arial"/>
                <w:sz w:val="16"/>
                <w:szCs w:val="16"/>
              </w:rPr>
              <w:t xml:space="preserve"> L.</w:t>
            </w:r>
          </w:p>
        </w:tc>
      </w:tr>
      <w:tr w:rsidR="00D31A71" w:rsidRPr="00B962B5"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962B5" w:rsidRDefault="00D31A71" w:rsidP="00BA5B38">
            <w:pPr>
              <w:rPr>
                <w:rFonts w:cs="Arial"/>
                <w:sz w:val="16"/>
                <w:szCs w:val="16"/>
              </w:rPr>
            </w:pPr>
            <w:r w:rsidRPr="00B962B5">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rPr>
                <w:rFonts w:cs="Arial"/>
                <w:sz w:val="16"/>
                <w:szCs w:val="16"/>
              </w:rPr>
            </w:pPr>
            <w:r w:rsidRPr="00B962B5">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706A2">
            <w:pPr>
              <w:ind w:left="-36"/>
              <w:jc w:val="left"/>
              <w:rPr>
                <w:rFonts w:cs="Arial"/>
                <w:sz w:val="16"/>
                <w:szCs w:val="16"/>
              </w:rPr>
            </w:pPr>
            <w:r w:rsidRPr="00B962B5">
              <w:rPr>
                <w:rFonts w:cs="Arial"/>
                <w:sz w:val="16"/>
                <w:szCs w:val="16"/>
              </w:rPr>
              <w:t xml:space="preserve">TG/108/4 </w:t>
            </w:r>
            <w:r w:rsidR="00B706A2" w:rsidRPr="00B962B5">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Gladiolo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Gladiolus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962B5" w:rsidRDefault="00D31A71" w:rsidP="00BA5B38">
            <w:pPr>
              <w:rPr>
                <w:rFonts w:cs="Arial"/>
                <w:color w:val="000000"/>
                <w:sz w:val="16"/>
                <w:szCs w:val="16"/>
              </w:rPr>
            </w:pPr>
            <w:r w:rsidRPr="00B962B5">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rPr>
                <w:rFonts w:cs="Arial"/>
                <w:color w:val="000000"/>
                <w:sz w:val="16"/>
                <w:szCs w:val="16"/>
              </w:rPr>
            </w:pPr>
            <w:r w:rsidRPr="00B962B5">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ind w:left="-36"/>
              <w:jc w:val="left"/>
              <w:rPr>
                <w:rFonts w:cs="Arial"/>
                <w:sz w:val="16"/>
                <w:szCs w:val="16"/>
              </w:rPr>
            </w:pPr>
            <w:r w:rsidRPr="00B962B5">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r w:rsidRPr="00B962B5">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962B5" w:rsidRDefault="00D31A71" w:rsidP="00BA5B38">
            <w:pPr>
              <w:jc w:val="left"/>
              <w:rPr>
                <w:rFonts w:cs="Arial"/>
                <w:sz w:val="16"/>
                <w:szCs w:val="16"/>
              </w:rPr>
            </w:pPr>
            <w:proofErr w:type="spellStart"/>
            <w:r w:rsidRPr="00B962B5">
              <w:rPr>
                <w:rFonts w:cs="Arial"/>
                <w:sz w:val="16"/>
                <w:szCs w:val="16"/>
              </w:rPr>
              <w:t>Mandarino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r w:rsidRPr="00B962B5">
              <w:rPr>
                <w:rFonts w:cs="Arial"/>
                <w:sz w:val="16"/>
                <w:szCs w:val="16"/>
              </w:rPr>
              <w:t>Citrus; Grp 1</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szCs w:val="16"/>
              </w:rPr>
            </w:pPr>
            <w:r w:rsidRPr="00B706A2">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jc w:val="left"/>
              <w:rPr>
                <w:rFonts w:cs="Arial"/>
                <w:sz w:val="16"/>
                <w:szCs w:val="16"/>
              </w:rPr>
            </w:pPr>
            <w:r w:rsidRPr="00B706A2">
              <w:rPr>
                <w:rFonts w:cs="Arial"/>
                <w:sz w:val="16"/>
                <w:szCs w:val="16"/>
              </w:rPr>
              <w:t xml:space="preserve">TG/263/1 </w:t>
            </w:r>
            <w:r w:rsidR="00B706A2" w:rsidRPr="00B706A2">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 xml:space="preserve">Buddleia, </w:t>
            </w:r>
            <w:proofErr w:type="spellStart"/>
            <w:r w:rsidRPr="00B706A2">
              <w:rPr>
                <w:rFonts w:cs="Arial"/>
                <w:sz w:val="16"/>
                <w:szCs w:val="16"/>
              </w:rPr>
              <w:t>Arbre</w:t>
            </w:r>
            <w:proofErr w:type="spellEnd"/>
            <w:r w:rsidRPr="00B706A2">
              <w:rPr>
                <w:rFonts w:cs="Arial"/>
                <w:sz w:val="16"/>
                <w:szCs w:val="16"/>
              </w:rPr>
              <w:t xml:space="preserve"> aux </w:t>
            </w:r>
            <w:proofErr w:type="spellStart"/>
            <w:r w:rsidRPr="00B706A2">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Buddleie</w:t>
            </w:r>
            <w:proofErr w:type="spellEnd"/>
            <w:r w:rsidRPr="00B706A2">
              <w:rPr>
                <w:rFonts w:cs="Arial"/>
                <w:sz w:val="16"/>
                <w:szCs w:val="16"/>
              </w:rPr>
              <w:t xml:space="preserve">, </w:t>
            </w:r>
            <w:proofErr w:type="spellStart"/>
            <w:r w:rsidRPr="00B706A2">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Budleya</w:t>
            </w:r>
            <w:proofErr w:type="spellEnd"/>
            <w:r w:rsidRPr="00B706A2">
              <w:rPr>
                <w:rFonts w:cs="Arial"/>
                <w:sz w:val="16"/>
                <w:szCs w:val="16"/>
              </w:rPr>
              <w:t>, Mariposa</w:t>
            </w:r>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proofErr w:type="spellStart"/>
            <w:r w:rsidRPr="00B706A2">
              <w:rPr>
                <w:rFonts w:cs="Arial"/>
                <w:sz w:val="16"/>
                <w:szCs w:val="16"/>
              </w:rPr>
              <w:t>Buddleja</w:t>
            </w:r>
            <w:proofErr w:type="spellEnd"/>
            <w:r w:rsidRPr="00B706A2">
              <w:rPr>
                <w:rFonts w:cs="Arial"/>
                <w:sz w:val="16"/>
                <w:szCs w:val="16"/>
              </w:rPr>
              <w:t xml:space="preserve">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szCs w:val="16"/>
              </w:rPr>
            </w:pPr>
            <w:r w:rsidRPr="00B706A2">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jc w:val="left"/>
              <w:rPr>
                <w:rFonts w:cs="Arial"/>
                <w:sz w:val="16"/>
                <w:szCs w:val="16"/>
              </w:rPr>
            </w:pPr>
            <w:r w:rsidRPr="00B706A2">
              <w:rPr>
                <w:rFonts w:cs="Arial"/>
                <w:sz w:val="16"/>
                <w:szCs w:val="16"/>
              </w:rPr>
              <w:t xml:space="preserve">TG/268/1 </w:t>
            </w:r>
            <w:r w:rsidR="00B706A2" w:rsidRPr="00B706A2">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 xml:space="preserve">Grande </w:t>
            </w:r>
            <w:proofErr w:type="spellStart"/>
            <w:r w:rsidRPr="00B706A2">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Acedera</w:t>
            </w:r>
            <w:proofErr w:type="spellEnd"/>
            <w:r w:rsidRPr="00B706A2">
              <w:rPr>
                <w:rFonts w:cs="Arial"/>
                <w:sz w:val="16"/>
                <w:szCs w:val="16"/>
              </w:rPr>
              <w:t xml:space="preserve"> </w:t>
            </w:r>
            <w:proofErr w:type="spellStart"/>
            <w:r w:rsidRPr="00B706A2">
              <w:rPr>
                <w:rFonts w:cs="Arial"/>
                <w:sz w:val="16"/>
                <w:szCs w:val="16"/>
              </w:rPr>
              <w:t>común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proofErr w:type="spellStart"/>
            <w:r w:rsidRPr="00B706A2">
              <w:rPr>
                <w:rFonts w:cs="Arial"/>
                <w:sz w:val="16"/>
                <w:szCs w:val="16"/>
              </w:rPr>
              <w:t>Rumex</w:t>
            </w:r>
            <w:proofErr w:type="spellEnd"/>
            <w:r w:rsidRPr="00B706A2">
              <w:rPr>
                <w:rFonts w:cs="Arial"/>
                <w:sz w:val="16"/>
                <w:szCs w:val="16"/>
              </w:rPr>
              <w:t xml:space="preserve"> </w:t>
            </w:r>
            <w:proofErr w:type="spellStart"/>
            <w:r w:rsidRPr="00B706A2">
              <w:rPr>
                <w:rFonts w:cs="Arial"/>
                <w:sz w:val="16"/>
                <w:szCs w:val="16"/>
              </w:rPr>
              <w:t>acetosa</w:t>
            </w:r>
            <w:proofErr w:type="spellEnd"/>
            <w:r w:rsidRPr="00B706A2">
              <w:rPr>
                <w:rFonts w:cs="Arial"/>
                <w:sz w:val="16"/>
                <w:szCs w:val="16"/>
              </w:rPr>
              <w:t xml:space="preserve"> L.</w:t>
            </w:r>
          </w:p>
        </w:tc>
      </w:tr>
      <w:tr w:rsidR="00D31A71" w:rsidRPr="009178F8" w:rsidTr="00BA5B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1A71" w:rsidRPr="00B706A2" w:rsidRDefault="00D31A71" w:rsidP="00BA5B38">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31A71" w:rsidRPr="00B706A2" w:rsidRDefault="00D31A71" w:rsidP="00B706A2">
            <w:pPr>
              <w:ind w:left="-36"/>
              <w:jc w:val="left"/>
              <w:rPr>
                <w:rFonts w:cs="Arial"/>
                <w:sz w:val="16"/>
                <w:szCs w:val="16"/>
              </w:rPr>
            </w:pPr>
            <w:r w:rsidRPr="00B706A2">
              <w:rPr>
                <w:rFonts w:cs="Arial"/>
                <w:sz w:val="16"/>
                <w:szCs w:val="16"/>
              </w:rPr>
              <w:t xml:space="preserve">TG/282/1 </w:t>
            </w:r>
            <w:r w:rsidR="00B706A2" w:rsidRPr="00B706A2">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proofErr w:type="spellStart"/>
            <w:r w:rsidRPr="00B706A2">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1A71" w:rsidRPr="00B706A2" w:rsidRDefault="00D31A71" w:rsidP="00BA5B38">
            <w:pPr>
              <w:jc w:val="left"/>
              <w:rPr>
                <w:rFonts w:cs="Arial"/>
                <w:sz w:val="16"/>
                <w:szCs w:val="16"/>
              </w:rPr>
            </w:pPr>
            <w:r w:rsidRPr="00B706A2">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D31A71" w:rsidRPr="009178F8" w:rsidRDefault="00D31A71" w:rsidP="00BA5B38">
            <w:pPr>
              <w:jc w:val="left"/>
              <w:rPr>
                <w:rFonts w:cs="Arial"/>
                <w:sz w:val="16"/>
                <w:szCs w:val="16"/>
              </w:rPr>
            </w:pPr>
            <w:r w:rsidRPr="00B706A2">
              <w:rPr>
                <w:rFonts w:cs="Arial"/>
                <w:sz w:val="16"/>
                <w:szCs w:val="16"/>
              </w:rPr>
              <w:t xml:space="preserve">Lentinula </w:t>
            </w:r>
            <w:proofErr w:type="spellStart"/>
            <w:r w:rsidRPr="00B706A2">
              <w:rPr>
                <w:rFonts w:cs="Arial"/>
                <w:sz w:val="16"/>
                <w:szCs w:val="16"/>
              </w:rPr>
              <w:t>edodes</w:t>
            </w:r>
            <w:proofErr w:type="spellEnd"/>
            <w:r w:rsidRPr="00B706A2">
              <w:rPr>
                <w:rFonts w:cs="Arial"/>
                <w:sz w:val="16"/>
                <w:szCs w:val="16"/>
              </w:rPr>
              <w:t xml:space="preserve"> (</w:t>
            </w:r>
            <w:proofErr w:type="spellStart"/>
            <w:r w:rsidRPr="00B706A2">
              <w:rPr>
                <w:rFonts w:cs="Arial"/>
                <w:sz w:val="16"/>
                <w:szCs w:val="16"/>
              </w:rPr>
              <w:t>Berk</w:t>
            </w:r>
            <w:proofErr w:type="spellEnd"/>
            <w:r w:rsidRPr="00B706A2">
              <w:rPr>
                <w:rFonts w:cs="Arial"/>
                <w:sz w:val="16"/>
                <w:szCs w:val="16"/>
              </w:rPr>
              <w:t>.) Pegler</w:t>
            </w:r>
          </w:p>
        </w:tc>
      </w:tr>
    </w:tbl>
    <w:p w:rsidR="00D31A71" w:rsidRPr="009178F8" w:rsidRDefault="00D31A71" w:rsidP="00D31A71">
      <w:pPr>
        <w:rPr>
          <w:rFonts w:cs="Arial"/>
        </w:rPr>
      </w:pPr>
    </w:p>
    <w:p w:rsidR="00085D3C" w:rsidRDefault="00B962B5" w:rsidP="00B962B5">
      <w:pPr>
        <w:numPr>
          <w:ilvl w:val="12"/>
          <w:numId w:val="0"/>
        </w:numPr>
        <w:tabs>
          <w:tab w:val="left" w:pos="5387"/>
        </w:tabs>
        <w:ind w:left="4820"/>
        <w:rPr>
          <w:i/>
        </w:rPr>
      </w:pPr>
      <w:r w:rsidRPr="00B962B5">
        <w:rPr>
          <w:i/>
          <w:noProof/>
        </w:rPr>
        <mc:AlternateContent>
          <mc:Choice Requires="wps">
            <w:drawing>
              <wp:anchor distT="0" distB="0" distL="114300" distR="114300" simplePos="0" relativeHeight="251659264" behindDoc="0" locked="0" layoutInCell="1" allowOverlap="1" wp14:anchorId="1BA4D2CE" wp14:editId="1D37EE99">
                <wp:simplePos x="0" y="0"/>
                <wp:positionH relativeFrom="column">
                  <wp:posOffset>3674110</wp:posOffset>
                </wp:positionH>
                <wp:positionV relativeFrom="paragraph">
                  <wp:posOffset>285750</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2862" w:rsidRDefault="00A52862" w:rsidP="00B962B5">
                            <w:pPr>
                              <w:jc w:val="right"/>
                            </w:pPr>
                            <w:r>
                              <w:t>[Annexes follow]</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3pt;margin-top: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" filled="f" stroked="f">
                <v:textbox style="mso-fit-shape-to-text:t" inset="0,0,0,0">
                  <w:txbxContent>
                    <w:p w:rsidR="00A52862" w:rsidRDefault="00A52862" w:rsidP="00B962B5">
                      <w:pPr>
                        <w:jc w:val="right"/>
                      </w:pPr>
                      <w:r>
                        <w:t>[Annexes follow]</w:t>
                      </w:r>
                    </w:p>
                  </w:txbxContent>
                </v:textbox>
              </v:shape>
            </w:pict>
          </mc:Fallback>
        </mc:AlternateContent>
      </w:r>
      <w:r w:rsidR="00085D3C" w:rsidRPr="00FC2279">
        <w:rPr>
          <w:i/>
        </w:rPr>
        <w:fldChar w:fldCharType="begin"/>
      </w:r>
      <w:r w:rsidR="00085D3C" w:rsidRPr="00FC2279">
        <w:rPr>
          <w:i/>
        </w:rPr>
        <w:instrText xml:space="preserve"> AUTONUM  </w:instrText>
      </w:r>
      <w:r w:rsidR="00085D3C" w:rsidRPr="00FC2279">
        <w:rPr>
          <w:i/>
        </w:rPr>
        <w:fldChar w:fldCharType="end"/>
      </w:r>
      <w:r w:rsidR="00085D3C" w:rsidRPr="00FC2279">
        <w:rPr>
          <w:i/>
        </w:rPr>
        <w:tab/>
        <w:t>The Council is invited to note this report.</w:t>
      </w:r>
    </w:p>
    <w:p w:rsidR="00B962B5" w:rsidRDefault="00B962B5" w:rsidP="00B962B5">
      <w:pPr>
        <w:numPr>
          <w:ilvl w:val="12"/>
          <w:numId w:val="0"/>
        </w:numPr>
        <w:tabs>
          <w:tab w:val="left" w:pos="5387"/>
        </w:tabs>
        <w:ind w:left="4820"/>
        <w:sectPr w:rsidR="00B962B5" w:rsidSect="00760057">
          <w:headerReference w:type="default" r:id="rId10"/>
          <w:pgSz w:w="11907" w:h="16840" w:code="9"/>
          <w:pgMar w:top="510" w:right="1134" w:bottom="1134" w:left="1134" w:header="510" w:footer="680" w:gutter="0"/>
          <w:cols w:space="720"/>
          <w:titlePg/>
        </w:sectPr>
      </w:pPr>
    </w:p>
    <w:p w:rsidR="00085D3C" w:rsidRPr="00443EC8" w:rsidRDefault="0018261E" w:rsidP="00085D3C">
      <w:pPr>
        <w:jc w:val="center"/>
      </w:pPr>
      <w:r>
        <w:t>C/49/3</w:t>
      </w:r>
    </w:p>
    <w:p w:rsidR="00085D3C" w:rsidRPr="00443EC8" w:rsidRDefault="00085D3C" w:rsidP="00085D3C">
      <w:pPr>
        <w:jc w:val="center"/>
      </w:pPr>
    </w:p>
    <w:p w:rsidR="00085D3C" w:rsidRDefault="00085D3C" w:rsidP="00085D3C">
      <w:pPr>
        <w:jc w:val="center"/>
      </w:pPr>
      <w:bookmarkStart w:id="19" w:name="_Toc207102117"/>
      <w:bookmarkStart w:id="20" w:name="_Toc207164762"/>
      <w:r w:rsidRPr="00443EC8">
        <w:t>ANNEX I</w:t>
      </w:r>
      <w:bookmarkEnd w:id="19"/>
      <w:bookmarkEnd w:id="20"/>
    </w:p>
    <w:p w:rsidR="00085D3C" w:rsidRDefault="00085D3C" w:rsidP="00085D3C">
      <w:pPr>
        <w:jc w:val="center"/>
      </w:pPr>
    </w:p>
    <w:p w:rsidR="00085D3C" w:rsidRDefault="00085D3C" w:rsidP="00085D3C">
      <w:pPr>
        <w:jc w:val="center"/>
      </w:pPr>
    </w:p>
    <w:p w:rsidR="00085D3C" w:rsidRDefault="00085D3C" w:rsidP="00085D3C">
      <w:pPr>
        <w:jc w:val="center"/>
      </w:pPr>
      <w:r w:rsidRPr="009A3DE8">
        <w:t>MEMBERS OF THE UNION</w:t>
      </w:r>
    </w:p>
    <w:p w:rsidR="00085D3C" w:rsidRPr="009A3DE8" w:rsidRDefault="00085D3C" w:rsidP="00085D3C">
      <w:pPr>
        <w:jc w:val="center"/>
      </w:pPr>
    </w:p>
    <w:p w:rsidR="00085D3C" w:rsidRPr="00E00B54" w:rsidRDefault="00085D3C" w:rsidP="00085D3C">
      <w:pPr>
        <w:jc w:val="center"/>
      </w:pPr>
      <w:r w:rsidRPr="00E00B54">
        <w:t>September 30, 201</w:t>
      </w:r>
      <w:r w:rsidR="00854C28">
        <w:t>5</w:t>
      </w:r>
    </w:p>
    <w:p w:rsidR="00085D3C" w:rsidRPr="00E00B54" w:rsidRDefault="00085D3C" w:rsidP="00085D3C">
      <w:pPr>
        <w:jc w:val="center"/>
      </w:pPr>
    </w:p>
    <w:p w:rsidR="00085D3C" w:rsidRPr="00E00B54" w:rsidRDefault="00085D3C" w:rsidP="00085D3C">
      <w:pPr>
        <w:jc w:val="center"/>
      </w:pPr>
    </w:p>
    <w:p w:rsidR="00085D3C" w:rsidRPr="00E00B54" w:rsidRDefault="00085D3C" w:rsidP="00085D3C">
      <w:r w:rsidRPr="00E00B54">
        <w:t>This document provides the status of the members of the Union in relation to the Convention and its various Acts, as of September 30, 201</w:t>
      </w:r>
      <w:r w:rsidR="00854C28">
        <w:t>5</w:t>
      </w:r>
      <w:r w:rsidRPr="00E00B54">
        <w:t xml:space="preserve"> (see Articles 31 and 32 of the 1961 Convention, Article 32(1) of the 1978 Act and Article 34(2) of the 1991 Act).</w:t>
      </w:r>
    </w:p>
    <w:p w:rsidR="00085D3C" w:rsidRPr="00E00B54" w:rsidRDefault="00085D3C" w:rsidP="00085D3C"/>
    <w:p w:rsidR="00085D3C" w:rsidRPr="00E00B54" w:rsidRDefault="00085D3C" w:rsidP="00085D3C">
      <w:r w:rsidRPr="00E00B54">
        <w:t>- 1</w:t>
      </w:r>
      <w:r w:rsidRPr="00E00B54">
        <w:rPr>
          <w:vertAlign w:val="superscript"/>
        </w:rPr>
        <w:t>st</w:t>
      </w:r>
      <w:r w:rsidRPr="00E00B54">
        <w:t xml:space="preserve"> line:</w:t>
      </w:r>
      <w:r w:rsidRPr="00E00B54">
        <w:tab/>
        <w:t>International Convention for the Protection of New Varieties of Plants of December 2, 1961</w:t>
      </w:r>
    </w:p>
    <w:p w:rsidR="00085D3C" w:rsidRPr="00E00B54" w:rsidRDefault="00085D3C" w:rsidP="00085D3C">
      <w:r w:rsidRPr="00E00B54">
        <w:t>- 2</w:t>
      </w:r>
      <w:r w:rsidRPr="00E00B54">
        <w:rPr>
          <w:vertAlign w:val="superscript"/>
        </w:rPr>
        <w:t>nd</w:t>
      </w:r>
      <w:r w:rsidRPr="00E00B54">
        <w:t xml:space="preserve"> line:</w:t>
      </w:r>
      <w:r w:rsidRPr="00E00B54">
        <w:tab/>
        <w:t>Additional Act of November 10, 1972</w:t>
      </w:r>
    </w:p>
    <w:p w:rsidR="00085D3C" w:rsidRPr="00E00B54" w:rsidRDefault="00085D3C" w:rsidP="00085D3C">
      <w:r w:rsidRPr="00E00B54">
        <w:t>- 3</w:t>
      </w:r>
      <w:r w:rsidRPr="00E00B54">
        <w:rPr>
          <w:vertAlign w:val="superscript"/>
        </w:rPr>
        <w:t>rd</w:t>
      </w:r>
      <w:r w:rsidRPr="00E00B54">
        <w:t xml:space="preserve"> line:</w:t>
      </w:r>
      <w:r w:rsidRPr="00E00B54">
        <w:tab/>
        <w:t>Act of October 23, 1978</w:t>
      </w:r>
    </w:p>
    <w:p w:rsidR="00085D3C" w:rsidRPr="00E00B54" w:rsidRDefault="00085D3C" w:rsidP="00085D3C">
      <w:r w:rsidRPr="00E00B54">
        <w:t>- 4</w:t>
      </w:r>
      <w:r w:rsidRPr="00E00B54">
        <w:rPr>
          <w:vertAlign w:val="superscript"/>
        </w:rPr>
        <w:t>th</w:t>
      </w:r>
      <w:r w:rsidRPr="00E00B54">
        <w:t xml:space="preserve"> line:</w:t>
      </w:r>
      <w:r w:rsidRPr="00E00B54">
        <w:tab/>
        <w:t>Act of March 19, 1991</w:t>
      </w:r>
    </w:p>
    <w:p w:rsidR="00854C28" w:rsidRPr="009A3DE8" w:rsidRDefault="00854C28" w:rsidP="00854C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854C28" w:rsidRPr="007F6BC2" w:rsidTr="001E581A">
        <w:trPr>
          <w:cantSplit/>
          <w:tblHeader/>
          <w:jc w:val="center"/>
        </w:trPr>
        <w:tc>
          <w:tcPr>
            <w:tcW w:w="2665" w:type="dxa"/>
            <w:shd w:val="pct10" w:color="auto" w:fill="FFFFFF"/>
            <w:vAlign w:val="center"/>
          </w:tcPr>
          <w:p w:rsidR="00854C28" w:rsidRPr="0019469B" w:rsidRDefault="00854C28" w:rsidP="001E581A">
            <w:pPr>
              <w:spacing w:before="80" w:after="80"/>
              <w:jc w:val="left"/>
              <w:rPr>
                <w:rFonts w:cs="Arial"/>
                <w:sz w:val="18"/>
                <w:szCs w:val="18"/>
              </w:rPr>
            </w:pPr>
            <w:r w:rsidRPr="0019469B">
              <w:rPr>
                <w:rFonts w:cs="Arial"/>
                <w:sz w:val="18"/>
                <w:szCs w:val="18"/>
              </w:rPr>
              <w:t>Member</w:t>
            </w:r>
          </w:p>
        </w:tc>
        <w:tc>
          <w:tcPr>
            <w:tcW w:w="2381" w:type="dxa"/>
            <w:shd w:val="pct10" w:color="auto" w:fill="FFFFFF"/>
            <w:vAlign w:val="center"/>
          </w:tcPr>
          <w:p w:rsidR="00854C28" w:rsidRPr="0019469B" w:rsidRDefault="00854C28" w:rsidP="001E581A">
            <w:pPr>
              <w:spacing w:before="80" w:after="80"/>
              <w:jc w:val="left"/>
              <w:rPr>
                <w:rFonts w:cs="Arial"/>
                <w:sz w:val="18"/>
                <w:szCs w:val="18"/>
              </w:rPr>
            </w:pPr>
            <w:r w:rsidRPr="0019469B">
              <w:rPr>
                <w:rFonts w:cs="Arial"/>
                <w:sz w:val="18"/>
                <w:szCs w:val="18"/>
              </w:rPr>
              <w:t>Date of signature</w:t>
            </w:r>
          </w:p>
        </w:tc>
        <w:tc>
          <w:tcPr>
            <w:tcW w:w="2268" w:type="dxa"/>
            <w:shd w:val="pct10" w:color="auto" w:fill="FFFFFF"/>
            <w:vAlign w:val="center"/>
          </w:tcPr>
          <w:p w:rsidR="00854C28" w:rsidRPr="0019469B" w:rsidRDefault="00854C28" w:rsidP="001E581A">
            <w:pPr>
              <w:spacing w:before="80" w:after="80"/>
              <w:jc w:val="left"/>
              <w:rPr>
                <w:rFonts w:cs="Arial"/>
                <w:sz w:val="18"/>
                <w:szCs w:val="18"/>
              </w:rPr>
            </w:pPr>
            <w:r w:rsidRPr="0019469B">
              <w:rPr>
                <w:rFonts w:cs="Arial"/>
                <w:sz w:val="18"/>
                <w:szCs w:val="18"/>
              </w:rPr>
              <w:t>Date of deposit of instrument of ratification, acceptance, approval or accession</w:t>
            </w:r>
          </w:p>
        </w:tc>
        <w:tc>
          <w:tcPr>
            <w:tcW w:w="2268" w:type="dxa"/>
            <w:shd w:val="pct10" w:color="auto" w:fill="FFFFFF"/>
            <w:vAlign w:val="center"/>
          </w:tcPr>
          <w:p w:rsidR="00854C28" w:rsidRPr="0019469B" w:rsidRDefault="00854C28" w:rsidP="001E581A">
            <w:pPr>
              <w:spacing w:before="80" w:after="80"/>
              <w:jc w:val="left"/>
              <w:rPr>
                <w:rFonts w:cs="Arial"/>
                <w:sz w:val="18"/>
                <w:szCs w:val="18"/>
              </w:rPr>
            </w:pPr>
            <w:r w:rsidRPr="0019469B">
              <w:rPr>
                <w:rFonts w:cs="Arial"/>
                <w:sz w:val="18"/>
                <w:szCs w:val="18"/>
              </w:rPr>
              <w:t>Date of entry into force</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African Intellectual Property Organization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10, 2014</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10, 2014</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Albania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15, 2005</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15, 2005</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Argentina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25, 1994</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25, 1994</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Australia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1, 1989</w:t>
            </w:r>
            <w:r w:rsidRPr="0019469B">
              <w:rPr>
                <w:rFonts w:cs="Arial"/>
                <w:sz w:val="18"/>
                <w:szCs w:val="18"/>
              </w:rPr>
              <w:br/>
              <w:t>December 20, 1999</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 1989</w:t>
            </w:r>
            <w:r w:rsidRPr="0019469B">
              <w:rPr>
                <w:rFonts w:cs="Arial"/>
                <w:sz w:val="18"/>
                <w:szCs w:val="18"/>
              </w:rPr>
              <w:br/>
              <w:t>January 20, 2000</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Austria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June 14, 1994</w:t>
            </w:r>
            <w:r w:rsidRPr="0019469B">
              <w:rPr>
                <w:rFonts w:cs="Arial"/>
                <w:sz w:val="18"/>
                <w:szCs w:val="18"/>
              </w:rPr>
              <w:br/>
              <w:t>June 1, 2004</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14, 1994</w:t>
            </w:r>
            <w:r w:rsidRPr="0019469B">
              <w:rPr>
                <w:rFonts w:cs="Arial"/>
                <w:sz w:val="18"/>
                <w:szCs w:val="18"/>
              </w:rPr>
              <w:br/>
              <w:t>July 1, 2004</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Azerbaijan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9, 2004</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9, 2004</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Belarus</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5, 2002</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5, 2003</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Belgium</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November 5, 1976</w:t>
            </w:r>
            <w:r w:rsidRPr="0019469B">
              <w:rPr>
                <w:rFonts w:cs="Arial"/>
                <w:sz w:val="18"/>
                <w:szCs w:val="18"/>
              </w:rPr>
              <w:br/>
              <w:t>November 5, 1976</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December 5, 1976</w:t>
            </w:r>
            <w:r w:rsidRPr="0019469B">
              <w:rPr>
                <w:rFonts w:cs="Arial"/>
                <w:sz w:val="18"/>
                <w:szCs w:val="18"/>
              </w:rPr>
              <w:br/>
              <w:t>February 11, 1977</w:t>
            </w:r>
            <w:r w:rsidRPr="0019469B">
              <w:rPr>
                <w:rFonts w:cs="Arial"/>
                <w:sz w:val="18"/>
                <w:szCs w:val="18"/>
              </w:rPr>
              <w:br/>
              <w:t>-</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Bolivia (</w:t>
            </w:r>
            <w:proofErr w:type="spellStart"/>
            <w:r w:rsidRPr="0019469B">
              <w:rPr>
                <w:rFonts w:cs="Arial"/>
                <w:sz w:val="18"/>
                <w:szCs w:val="18"/>
              </w:rPr>
              <w:t>Plurinational</w:t>
            </w:r>
            <w:proofErr w:type="spellEnd"/>
            <w:r w:rsidRPr="0019469B">
              <w:rPr>
                <w:rFonts w:cs="Arial"/>
                <w:sz w:val="18"/>
                <w:szCs w:val="18"/>
              </w:rPr>
              <w:t xml:space="preserve"> State of)</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21, 1999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21, 1999</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Brazil</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Bulgaria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24, 1998</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24, 1998</w:t>
            </w:r>
          </w:p>
        </w:tc>
      </w:tr>
      <w:tr w:rsidR="00854C28" w:rsidRPr="007F6BC2" w:rsidTr="001E581A">
        <w:trPr>
          <w:cantSplit/>
          <w:jc w:val="center"/>
        </w:trPr>
        <w:tc>
          <w:tcPr>
            <w:tcW w:w="2665" w:type="dxa"/>
          </w:tcPr>
          <w:p w:rsidR="00854C28" w:rsidRPr="00396590" w:rsidRDefault="00854C28" w:rsidP="001E581A">
            <w:pPr>
              <w:spacing w:before="80" w:after="80"/>
              <w:jc w:val="left"/>
              <w:rPr>
                <w:rFonts w:cs="Arial"/>
                <w:sz w:val="18"/>
                <w:szCs w:val="18"/>
              </w:rPr>
            </w:pPr>
            <w:r w:rsidRPr="00396590">
              <w:rPr>
                <w:rFonts w:cs="Arial"/>
                <w:sz w:val="18"/>
                <w:szCs w:val="18"/>
              </w:rPr>
              <w:t>Canada</w:t>
            </w:r>
          </w:p>
        </w:tc>
        <w:tc>
          <w:tcPr>
            <w:tcW w:w="2381" w:type="dxa"/>
          </w:tcPr>
          <w:p w:rsidR="00854C28" w:rsidRPr="00396590" w:rsidRDefault="00854C28" w:rsidP="001E581A">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October 31, 1979</w:t>
            </w:r>
            <w:r w:rsidRPr="00396590">
              <w:rPr>
                <w:rFonts w:cs="Arial"/>
                <w:sz w:val="18"/>
                <w:szCs w:val="18"/>
              </w:rPr>
              <w:br/>
              <w:t>March 9, 1992</w:t>
            </w:r>
          </w:p>
        </w:tc>
        <w:tc>
          <w:tcPr>
            <w:tcW w:w="2268" w:type="dxa"/>
          </w:tcPr>
          <w:p w:rsidR="00854C28" w:rsidRPr="00396590" w:rsidRDefault="0079586E" w:rsidP="001E581A">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February 4, 1991</w:t>
            </w:r>
            <w:r w:rsidRPr="00396590">
              <w:rPr>
                <w:rFonts w:cs="Arial"/>
                <w:sz w:val="18"/>
                <w:szCs w:val="18"/>
              </w:rPr>
              <w:br/>
              <w:t>June 19, 2015</w:t>
            </w:r>
          </w:p>
        </w:tc>
        <w:tc>
          <w:tcPr>
            <w:tcW w:w="2268" w:type="dxa"/>
          </w:tcPr>
          <w:p w:rsidR="00854C28" w:rsidRPr="0019469B" w:rsidRDefault="0079586E" w:rsidP="001E581A">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March 4, 1991</w:t>
            </w:r>
            <w:r w:rsidRPr="00396590">
              <w:rPr>
                <w:rFonts w:cs="Arial"/>
                <w:sz w:val="18"/>
                <w:szCs w:val="18"/>
              </w:rPr>
              <w:br/>
              <w:t>July 19, 2015</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Chile</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5, 1995</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5, 1996</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China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23, 1999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pStyle w:val="CommentText"/>
              <w:spacing w:before="80" w:after="80"/>
              <w:rPr>
                <w:rFonts w:ascii="Arial" w:hAnsi="Arial" w:cs="Arial"/>
                <w:sz w:val="18"/>
                <w:szCs w:val="18"/>
              </w:rPr>
            </w:pPr>
            <w:r w:rsidRPr="0019469B">
              <w:rPr>
                <w:rFonts w:ascii="Arial" w:hAnsi="Arial" w:cs="Arial"/>
                <w:sz w:val="18"/>
                <w:szCs w:val="18"/>
              </w:rPr>
              <w:t>Colombia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1996</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1996</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Costa Rica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12, 2008</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12, 2009</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Croatia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1, 2001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 2001</w:t>
            </w:r>
          </w:p>
        </w:tc>
      </w:tr>
      <w:tr w:rsidR="00854C28" w:rsidRPr="007F6BC2" w:rsidTr="001E581A">
        <w:trPr>
          <w:cantSplit/>
          <w:jc w:val="center"/>
        </w:trPr>
        <w:tc>
          <w:tcPr>
            <w:tcW w:w="2665" w:type="dxa"/>
          </w:tcPr>
          <w:p w:rsidR="00854C28" w:rsidRPr="0019469B" w:rsidRDefault="00854C28" w:rsidP="001E581A">
            <w:pPr>
              <w:keepNext/>
              <w:spacing w:before="80" w:after="80"/>
              <w:jc w:val="left"/>
              <w:rPr>
                <w:rFonts w:cs="Arial"/>
                <w:sz w:val="18"/>
                <w:szCs w:val="18"/>
              </w:rPr>
            </w:pPr>
            <w:r w:rsidRPr="0019469B">
              <w:rPr>
                <w:rFonts w:cs="Arial"/>
                <w:sz w:val="18"/>
                <w:szCs w:val="18"/>
              </w:rPr>
              <w:t>Czech Republic</w:t>
            </w:r>
            <w:r w:rsidRPr="0019469B">
              <w:rPr>
                <w:rStyle w:val="FootnoteReference"/>
                <w:rFonts w:cs="Arial"/>
                <w:sz w:val="18"/>
                <w:szCs w:val="18"/>
              </w:rPr>
              <w:footnoteReference w:id="3"/>
            </w:r>
            <w:r w:rsidRPr="0019469B">
              <w:rPr>
                <w:rFonts w:cs="Arial"/>
                <w:sz w:val="18"/>
                <w:szCs w:val="18"/>
                <w:vertAlign w:val="superscript"/>
              </w:rPr>
              <w:t>/</w:t>
            </w:r>
          </w:p>
        </w:tc>
        <w:tc>
          <w:tcPr>
            <w:tcW w:w="2381" w:type="dxa"/>
          </w:tcPr>
          <w:p w:rsidR="00854C28" w:rsidRPr="0019469B" w:rsidRDefault="00854C28" w:rsidP="001E581A">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2002</w:t>
            </w:r>
          </w:p>
        </w:tc>
        <w:tc>
          <w:tcPr>
            <w:tcW w:w="2268" w:type="dxa"/>
          </w:tcPr>
          <w:p w:rsidR="00854C28" w:rsidRPr="0019469B" w:rsidRDefault="00854C28" w:rsidP="001E581A">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November 24, 2002</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Denmark</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September 6, 1968</w:t>
            </w:r>
            <w:r w:rsidRPr="0019469B">
              <w:rPr>
                <w:rFonts w:cs="Arial"/>
                <w:sz w:val="18"/>
                <w:szCs w:val="18"/>
              </w:rPr>
              <w:br/>
              <w:t>February 8, 1974</w:t>
            </w:r>
            <w:r w:rsidRPr="0019469B">
              <w:rPr>
                <w:rFonts w:cs="Arial"/>
                <w:sz w:val="18"/>
                <w:szCs w:val="18"/>
              </w:rPr>
              <w:br/>
              <w:t>October 8, 1981</w:t>
            </w:r>
            <w:r w:rsidRPr="0019469B">
              <w:rPr>
                <w:rFonts w:cs="Arial"/>
                <w:sz w:val="18"/>
                <w:szCs w:val="18"/>
              </w:rPr>
              <w:br/>
              <w:t>April 26, 1996</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October 6, 1968</w:t>
            </w:r>
            <w:r w:rsidRPr="0019469B">
              <w:rPr>
                <w:rFonts w:cs="Arial"/>
                <w:sz w:val="18"/>
                <w:szCs w:val="18"/>
              </w:rPr>
              <w:br/>
              <w:t>February 11, 1977</w:t>
            </w:r>
            <w:r w:rsidRPr="0019469B">
              <w:rPr>
                <w:rFonts w:cs="Arial"/>
                <w:sz w:val="18"/>
                <w:szCs w:val="18"/>
              </w:rPr>
              <w:br/>
              <w:t>November 8, 1981</w:t>
            </w:r>
            <w:r w:rsidRPr="0019469B">
              <w:rPr>
                <w:rFonts w:cs="Arial"/>
                <w:sz w:val="18"/>
                <w:szCs w:val="18"/>
              </w:rPr>
              <w:br/>
              <w:t>April 24, 1998</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Dominican Republic</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16, 2007</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16, 2007</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Ecuador</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8, 1997</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8, 1997</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Estonia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24, 2000</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2000</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European Union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2005</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2005</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Finland</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1993</w:t>
            </w:r>
            <w:r w:rsidRPr="0019469B">
              <w:rPr>
                <w:rFonts w:cs="Arial"/>
                <w:sz w:val="18"/>
                <w:szCs w:val="18"/>
              </w:rPr>
              <w:br/>
              <w:t>June 20, 2001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1993</w:t>
            </w:r>
            <w:r w:rsidRPr="0019469B">
              <w:rPr>
                <w:rFonts w:cs="Arial"/>
                <w:sz w:val="18"/>
                <w:szCs w:val="18"/>
              </w:rPr>
              <w:br/>
              <w:t>July 20, 2001</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France</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September 3, 1971</w:t>
            </w:r>
            <w:r w:rsidRPr="0019469B">
              <w:rPr>
                <w:rFonts w:cs="Arial"/>
                <w:sz w:val="18"/>
                <w:szCs w:val="18"/>
              </w:rPr>
              <w:br/>
              <w:t>January 22, 1975</w:t>
            </w:r>
            <w:r w:rsidRPr="0019469B">
              <w:rPr>
                <w:rFonts w:cs="Arial"/>
                <w:sz w:val="18"/>
                <w:szCs w:val="18"/>
              </w:rPr>
              <w:br/>
              <w:t>February 17, 1983</w:t>
            </w:r>
            <w:r w:rsidRPr="0019469B">
              <w:rPr>
                <w:rFonts w:cs="Arial"/>
                <w:sz w:val="18"/>
                <w:szCs w:val="18"/>
              </w:rPr>
              <w:br/>
              <w:t>April 27, 2012</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October 3, 1971</w:t>
            </w:r>
            <w:r w:rsidRPr="0019469B">
              <w:rPr>
                <w:rFonts w:cs="Arial"/>
                <w:sz w:val="18"/>
                <w:szCs w:val="18"/>
              </w:rPr>
              <w:br/>
              <w:t>February 11, 1977</w:t>
            </w:r>
            <w:r w:rsidRPr="0019469B">
              <w:rPr>
                <w:rFonts w:cs="Arial"/>
                <w:sz w:val="18"/>
                <w:szCs w:val="18"/>
              </w:rPr>
              <w:br/>
              <w:t>March 17, 1983</w:t>
            </w:r>
            <w:r w:rsidRPr="0019469B">
              <w:rPr>
                <w:rFonts w:cs="Arial"/>
                <w:sz w:val="18"/>
                <w:szCs w:val="18"/>
              </w:rPr>
              <w:br/>
              <w:t>May 27, 2012</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Georgia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29, 2008</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29, 2008</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Germany</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July 11, 1968</w:t>
            </w:r>
            <w:r w:rsidRPr="0019469B">
              <w:rPr>
                <w:rFonts w:cs="Arial"/>
                <w:sz w:val="18"/>
                <w:szCs w:val="18"/>
              </w:rPr>
              <w:br/>
              <w:t>July 23, 1976</w:t>
            </w:r>
            <w:r w:rsidRPr="0019469B">
              <w:rPr>
                <w:rFonts w:cs="Arial"/>
                <w:sz w:val="18"/>
                <w:szCs w:val="18"/>
              </w:rPr>
              <w:br/>
              <w:t>March 12, 1986</w:t>
            </w:r>
            <w:r w:rsidRPr="0019469B">
              <w:rPr>
                <w:rFonts w:cs="Arial"/>
                <w:sz w:val="18"/>
                <w:szCs w:val="18"/>
              </w:rPr>
              <w:br/>
              <w:t>June 25, 1998</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April 12, 1986</w:t>
            </w:r>
            <w:r w:rsidRPr="0019469B">
              <w:rPr>
                <w:rFonts w:cs="Arial"/>
                <w:sz w:val="18"/>
                <w:szCs w:val="18"/>
              </w:rPr>
              <w:br/>
              <w:t>July 25, 1998</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Hungary</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1983</w:t>
            </w:r>
            <w:r w:rsidRPr="0019469B">
              <w:rPr>
                <w:rFonts w:cs="Arial"/>
                <w:sz w:val="18"/>
                <w:szCs w:val="18"/>
              </w:rPr>
              <w:br/>
              <w:t>December 1, 2002</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1983</w:t>
            </w:r>
            <w:r w:rsidRPr="0019469B">
              <w:rPr>
                <w:rFonts w:cs="Arial"/>
                <w:sz w:val="18"/>
                <w:szCs w:val="18"/>
              </w:rPr>
              <w:br/>
              <w:t>January 1, 2003</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Iceland</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3, 2006</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3, 2006</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Ireland</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27, 1979</w:t>
            </w:r>
            <w:r w:rsidRPr="0019469B">
              <w:rPr>
                <w:rFonts w:cs="Arial"/>
                <w:sz w:val="18"/>
                <w:szCs w:val="18"/>
              </w:rPr>
              <w:br/>
              <w:t>February 21, 1992</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19, 1981</w:t>
            </w:r>
            <w:r w:rsidRPr="0019469B">
              <w:rPr>
                <w:rFonts w:cs="Arial"/>
                <w:sz w:val="18"/>
                <w:szCs w:val="18"/>
              </w:rPr>
              <w:br/>
              <w:t>December 8, 2011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January 8, 2012</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Israel</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23,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November 12, 1979</w:t>
            </w:r>
            <w:r w:rsidRPr="0019469B">
              <w:rPr>
                <w:rFonts w:cs="Arial"/>
                <w:sz w:val="18"/>
                <w:szCs w:val="18"/>
              </w:rPr>
              <w:br/>
              <w:t>November 12, 1979</w:t>
            </w:r>
            <w:r w:rsidRPr="0019469B">
              <w:rPr>
                <w:rFonts w:cs="Arial"/>
                <w:sz w:val="18"/>
                <w:szCs w:val="18"/>
              </w:rPr>
              <w:br/>
              <w:t>April 12, 1984</w:t>
            </w:r>
            <w:r w:rsidRPr="0019469B">
              <w:rPr>
                <w:rFonts w:cs="Arial"/>
                <w:sz w:val="18"/>
                <w:szCs w:val="18"/>
              </w:rPr>
              <w:br/>
              <w:t>June 3, 1996</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December 12, 1979</w:t>
            </w:r>
            <w:r w:rsidRPr="0019469B">
              <w:rPr>
                <w:rFonts w:cs="Arial"/>
                <w:sz w:val="18"/>
                <w:szCs w:val="18"/>
              </w:rPr>
              <w:br/>
              <w:t>December 12, 1979</w:t>
            </w:r>
            <w:r w:rsidRPr="0019469B">
              <w:rPr>
                <w:rFonts w:cs="Arial"/>
                <w:sz w:val="18"/>
                <w:szCs w:val="18"/>
              </w:rPr>
              <w:br/>
              <w:t>May 12, 1984</w:t>
            </w:r>
            <w:r w:rsidRPr="0019469B">
              <w:rPr>
                <w:rFonts w:cs="Arial"/>
                <w:sz w:val="18"/>
                <w:szCs w:val="18"/>
              </w:rPr>
              <w:br/>
              <w:t>April 24, 1998</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Italy</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June 1, 1977</w:t>
            </w:r>
            <w:r w:rsidRPr="0019469B">
              <w:rPr>
                <w:rFonts w:cs="Arial"/>
                <w:sz w:val="18"/>
                <w:szCs w:val="18"/>
              </w:rPr>
              <w:br/>
              <w:t>June 1, 1977</w:t>
            </w:r>
            <w:r w:rsidRPr="0019469B">
              <w:rPr>
                <w:rFonts w:cs="Arial"/>
                <w:sz w:val="18"/>
                <w:szCs w:val="18"/>
              </w:rPr>
              <w:br/>
              <w:t>April 28, 1986</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July 1, 1977</w:t>
            </w:r>
            <w:r w:rsidRPr="0019469B">
              <w:rPr>
                <w:rFonts w:cs="Arial"/>
                <w:sz w:val="18"/>
                <w:szCs w:val="18"/>
              </w:rPr>
              <w:br/>
              <w:t>July 1, 1977</w:t>
            </w:r>
            <w:r w:rsidRPr="0019469B">
              <w:rPr>
                <w:rFonts w:cs="Arial"/>
                <w:sz w:val="18"/>
                <w:szCs w:val="18"/>
              </w:rPr>
              <w:br/>
              <w:t>May 28, 1986</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Japan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17, 1979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3, 1982</w:t>
            </w:r>
            <w:r w:rsidRPr="0019469B">
              <w:rPr>
                <w:rFonts w:cs="Arial"/>
                <w:sz w:val="18"/>
                <w:szCs w:val="18"/>
              </w:rPr>
              <w:br/>
              <w:t>November 24, 1998</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3, 1982</w:t>
            </w:r>
            <w:r w:rsidRPr="0019469B">
              <w:rPr>
                <w:rFonts w:cs="Arial"/>
                <w:sz w:val="18"/>
                <w:szCs w:val="18"/>
              </w:rPr>
              <w:br/>
              <w:t>December 24, 1998</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Jordan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2004</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2004</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Kenya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13, 1999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13, 1999</w:t>
            </w:r>
            <w:r w:rsidRPr="0019469B">
              <w:rPr>
                <w:rFonts w:cs="Arial"/>
                <w:sz w:val="18"/>
                <w:szCs w:val="18"/>
              </w:rPr>
              <w:br/>
              <w:t>-</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Kyrgyzstan</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26, 2000</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26, 2000</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Latvia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July 30, 2002</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30, 2002</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Lithuania</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November 10, 2003</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10, 2003</w:t>
            </w:r>
          </w:p>
        </w:tc>
      </w:tr>
      <w:tr w:rsidR="00854C28" w:rsidRPr="007F6BC2" w:rsidTr="001E581A">
        <w:trPr>
          <w:cantSplit/>
          <w:jc w:val="center"/>
        </w:trPr>
        <w:tc>
          <w:tcPr>
            <w:tcW w:w="2665" w:type="dxa"/>
          </w:tcPr>
          <w:p w:rsidR="00854C28" w:rsidRPr="0019469B" w:rsidRDefault="00854C28" w:rsidP="001E581A">
            <w:pPr>
              <w:spacing w:before="80" w:after="80"/>
              <w:jc w:val="left"/>
              <w:rPr>
                <w:rFonts w:cs="Arial"/>
                <w:sz w:val="18"/>
                <w:szCs w:val="18"/>
              </w:rPr>
            </w:pPr>
            <w:r w:rsidRPr="0019469B">
              <w:rPr>
                <w:rFonts w:cs="Arial"/>
                <w:sz w:val="18"/>
                <w:szCs w:val="18"/>
              </w:rPr>
              <w:t>Mexico</w:t>
            </w:r>
          </w:p>
        </w:tc>
        <w:tc>
          <w:tcPr>
            <w:tcW w:w="2381"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9, 1997</w:t>
            </w:r>
            <w:r w:rsidRPr="0019469B">
              <w:rPr>
                <w:rFonts w:cs="Arial"/>
                <w:sz w:val="18"/>
                <w:szCs w:val="18"/>
              </w:rPr>
              <w:br/>
              <w:t>-</w:t>
            </w:r>
          </w:p>
        </w:tc>
        <w:tc>
          <w:tcPr>
            <w:tcW w:w="2268" w:type="dxa"/>
          </w:tcPr>
          <w:p w:rsidR="00854C28" w:rsidRPr="0019469B" w:rsidRDefault="00854C28"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9, 1997</w:t>
            </w:r>
            <w:r w:rsidRPr="0019469B">
              <w:rPr>
                <w:rFonts w:cs="Arial"/>
                <w:sz w:val="18"/>
                <w:szCs w:val="18"/>
              </w:rPr>
              <w:br/>
              <w:t>-</w:t>
            </w:r>
          </w:p>
        </w:tc>
      </w:tr>
      <w:tr w:rsidR="007E0D89" w:rsidRPr="007F6BC2" w:rsidTr="001E581A">
        <w:trPr>
          <w:cantSplit/>
          <w:jc w:val="center"/>
        </w:trPr>
        <w:tc>
          <w:tcPr>
            <w:tcW w:w="2665" w:type="dxa"/>
          </w:tcPr>
          <w:p w:rsidR="007E0D89" w:rsidRPr="00396590" w:rsidRDefault="007E0D89" w:rsidP="001E581A">
            <w:pPr>
              <w:spacing w:before="80" w:after="80"/>
              <w:jc w:val="left"/>
              <w:rPr>
                <w:rFonts w:cs="Arial"/>
                <w:sz w:val="18"/>
                <w:szCs w:val="18"/>
              </w:rPr>
            </w:pPr>
            <w:r w:rsidRPr="00396590">
              <w:rPr>
                <w:rFonts w:cs="Arial"/>
                <w:sz w:val="18"/>
                <w:szCs w:val="18"/>
              </w:rPr>
              <w:t>Montenegro</w:t>
            </w:r>
          </w:p>
        </w:tc>
        <w:tc>
          <w:tcPr>
            <w:tcW w:w="2381" w:type="dxa"/>
          </w:tcPr>
          <w:p w:rsidR="007E0D89" w:rsidRPr="00396590" w:rsidRDefault="007E0D89" w:rsidP="00A43229">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w:t>
            </w:r>
          </w:p>
        </w:tc>
        <w:tc>
          <w:tcPr>
            <w:tcW w:w="2268" w:type="dxa"/>
          </w:tcPr>
          <w:p w:rsidR="007E0D89" w:rsidRPr="00396590" w:rsidRDefault="007E0D89" w:rsidP="007E0D89">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August 24, 2015</w:t>
            </w:r>
          </w:p>
        </w:tc>
        <w:tc>
          <w:tcPr>
            <w:tcW w:w="2268" w:type="dxa"/>
          </w:tcPr>
          <w:p w:rsidR="007E0D89" w:rsidRPr="0019469B" w:rsidRDefault="007E0D89" w:rsidP="007E0D89">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September 24, 2015</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Morocco</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September 8, 2006</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8, 2006</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Netherlands</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August 8, 1967</w:t>
            </w:r>
            <w:r w:rsidRPr="0019469B">
              <w:rPr>
                <w:rFonts w:cs="Arial"/>
                <w:sz w:val="18"/>
                <w:szCs w:val="18"/>
              </w:rPr>
              <w:br/>
              <w:t>January 12, 1977</w:t>
            </w:r>
            <w:r w:rsidRPr="0019469B">
              <w:rPr>
                <w:rFonts w:cs="Arial"/>
                <w:sz w:val="18"/>
                <w:szCs w:val="18"/>
              </w:rPr>
              <w:br/>
              <w:t>August 2, 1984</w:t>
            </w:r>
            <w:r w:rsidRPr="0019469B">
              <w:rPr>
                <w:rFonts w:cs="Arial"/>
                <w:sz w:val="18"/>
                <w:szCs w:val="18"/>
              </w:rPr>
              <w:br/>
              <w:t>October 14, 1996</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September 2, 1984</w:t>
            </w:r>
            <w:r w:rsidRPr="0019469B">
              <w:rPr>
                <w:rFonts w:cs="Arial"/>
                <w:sz w:val="18"/>
                <w:szCs w:val="18"/>
              </w:rPr>
              <w:br/>
              <w:t>April 24, 1998</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New Zealand</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December 19,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1980</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Nicaragua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6, 2001</w:t>
            </w:r>
            <w:r w:rsidRPr="0019469B">
              <w:rPr>
                <w:rFonts w:cs="Arial"/>
                <w:sz w:val="18"/>
                <w:szCs w:val="18"/>
              </w:rPr>
              <w:tab/>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6, 2001</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Norway</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1993</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1993</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Oman</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22, 2009</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22, 2009</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Panama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October 22, 2012</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November 22, 2012</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Paraguay</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8, 1997</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8, 1997</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Peru</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8, 2011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8, 2011</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Poland</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11, 1989</w:t>
            </w:r>
            <w:r w:rsidRPr="0019469B">
              <w:rPr>
                <w:rFonts w:cs="Arial"/>
                <w:sz w:val="18"/>
                <w:szCs w:val="18"/>
              </w:rPr>
              <w:br/>
              <w:t>July 15, 2003</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11, 1989</w:t>
            </w:r>
            <w:r w:rsidRPr="0019469B">
              <w:rPr>
                <w:rFonts w:cs="Arial"/>
                <w:sz w:val="18"/>
                <w:szCs w:val="18"/>
              </w:rPr>
              <w:br/>
              <w:t>August 15, 2003</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Portugal</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14, 1995</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14, 1995</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Republic of Korea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7, 2001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7, 2002</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Republic of Moldova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28, 1998</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28, 1998</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Romania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February 16, 2001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16, 2001</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kern w:val="2"/>
                <w:sz w:val="18"/>
                <w:szCs w:val="18"/>
              </w:rPr>
              <w:t>Russian Federation</w:t>
            </w:r>
          </w:p>
        </w:tc>
        <w:tc>
          <w:tcPr>
            <w:tcW w:w="2381"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March 24, 1998</w:t>
            </w:r>
          </w:p>
        </w:tc>
        <w:tc>
          <w:tcPr>
            <w:tcW w:w="2268"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April 24, 1998</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Serbia</w:t>
            </w:r>
          </w:p>
        </w:tc>
        <w:tc>
          <w:tcPr>
            <w:tcW w:w="2381"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December 5, 2012</w:t>
            </w:r>
          </w:p>
        </w:tc>
        <w:tc>
          <w:tcPr>
            <w:tcW w:w="2268" w:type="dxa"/>
          </w:tcPr>
          <w:p w:rsidR="007E0D89" w:rsidRPr="0019469B" w:rsidRDefault="007E0D89" w:rsidP="001E581A">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January 5, 2013</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Singapore</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30, 2004</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30, 2004</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Slovakia</w:t>
            </w:r>
            <w:r w:rsidRPr="0019469B">
              <w:rPr>
                <w:rStyle w:val="FootnoteReference"/>
                <w:rFonts w:cs="Arial"/>
                <w:sz w:val="18"/>
                <w:szCs w:val="18"/>
              </w:rPr>
              <w:footnoteReference w:customMarkFollows="1" w:id="4"/>
              <w:t>1</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12, 2009</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June 12, 2009</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Slovenia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1999</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1999</w:t>
            </w:r>
          </w:p>
        </w:tc>
      </w:tr>
      <w:tr w:rsidR="007E0D89" w:rsidRPr="007F6BC2" w:rsidTr="001E581A">
        <w:trPr>
          <w:cantSplit/>
          <w:jc w:val="center"/>
        </w:trPr>
        <w:tc>
          <w:tcPr>
            <w:tcW w:w="2665" w:type="dxa"/>
          </w:tcPr>
          <w:p w:rsidR="007E0D89" w:rsidRPr="0019469B" w:rsidRDefault="007E0D89" w:rsidP="001E581A">
            <w:pPr>
              <w:pStyle w:val="CommentText"/>
              <w:spacing w:before="80" w:after="80"/>
              <w:rPr>
                <w:rFonts w:ascii="Arial" w:hAnsi="Arial" w:cs="Arial"/>
                <w:sz w:val="18"/>
                <w:szCs w:val="18"/>
              </w:rPr>
            </w:pPr>
            <w:r w:rsidRPr="0019469B">
              <w:rPr>
                <w:rFonts w:ascii="Arial" w:hAnsi="Arial" w:cs="Arial"/>
                <w:sz w:val="18"/>
                <w:szCs w:val="18"/>
              </w:rPr>
              <w:t>South Africa</w:t>
            </w:r>
          </w:p>
        </w:tc>
        <w:tc>
          <w:tcPr>
            <w:tcW w:w="2381" w:type="dxa"/>
          </w:tcPr>
          <w:p w:rsidR="007E0D89" w:rsidRPr="0019469B" w:rsidRDefault="007E0D89" w:rsidP="001E581A">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March 19, 1991</w:t>
            </w:r>
          </w:p>
        </w:tc>
        <w:tc>
          <w:tcPr>
            <w:tcW w:w="2268" w:type="dxa"/>
          </w:tcPr>
          <w:p w:rsidR="007E0D89" w:rsidRPr="0019469B" w:rsidRDefault="007E0D89" w:rsidP="001E581A">
            <w:pPr>
              <w:keepNext/>
              <w:spacing w:before="80" w:after="80"/>
              <w:jc w:val="left"/>
              <w:rPr>
                <w:rFonts w:cs="Arial"/>
                <w:sz w:val="18"/>
                <w:szCs w:val="18"/>
              </w:rPr>
            </w:pPr>
            <w:r w:rsidRPr="0019469B">
              <w:rPr>
                <w:rFonts w:cs="Arial"/>
                <w:sz w:val="18"/>
                <w:szCs w:val="18"/>
              </w:rPr>
              <w:t>October 7, 1977</w:t>
            </w:r>
            <w:r w:rsidRPr="0019469B">
              <w:rPr>
                <w:rFonts w:cs="Arial"/>
                <w:sz w:val="18"/>
                <w:szCs w:val="18"/>
              </w:rPr>
              <w:br/>
              <w:t>October 7, 1977</w:t>
            </w:r>
            <w:r w:rsidRPr="0019469B">
              <w:rPr>
                <w:rFonts w:cs="Arial"/>
                <w:sz w:val="18"/>
                <w:szCs w:val="18"/>
              </w:rPr>
              <w:br/>
              <w:t>July 21, 1981</w:t>
            </w:r>
            <w:r w:rsidRPr="0019469B">
              <w:rPr>
                <w:rFonts w:cs="Arial"/>
                <w:sz w:val="18"/>
                <w:szCs w:val="18"/>
              </w:rPr>
              <w:br/>
              <w:t>-</w:t>
            </w:r>
          </w:p>
        </w:tc>
        <w:tc>
          <w:tcPr>
            <w:tcW w:w="2268" w:type="dxa"/>
          </w:tcPr>
          <w:p w:rsidR="007E0D89" w:rsidRPr="0019469B" w:rsidRDefault="007E0D89" w:rsidP="001E581A">
            <w:pPr>
              <w:keepNext/>
              <w:spacing w:before="80" w:after="80"/>
              <w:jc w:val="left"/>
              <w:rPr>
                <w:rFonts w:cs="Arial"/>
                <w:sz w:val="18"/>
                <w:szCs w:val="18"/>
              </w:rPr>
            </w:pPr>
            <w:r w:rsidRPr="0019469B">
              <w:rPr>
                <w:rFonts w:cs="Arial"/>
                <w:sz w:val="18"/>
                <w:szCs w:val="18"/>
              </w:rPr>
              <w:t>November 6, 1977</w:t>
            </w:r>
            <w:r w:rsidRPr="0019469B">
              <w:rPr>
                <w:rFonts w:cs="Arial"/>
                <w:sz w:val="18"/>
                <w:szCs w:val="18"/>
              </w:rPr>
              <w:br/>
              <w:t>November 6, 1977</w:t>
            </w:r>
            <w:r w:rsidRPr="0019469B">
              <w:rPr>
                <w:rFonts w:cs="Arial"/>
                <w:sz w:val="18"/>
                <w:szCs w:val="18"/>
              </w:rPr>
              <w:br/>
              <w:t>November 8, 1981</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Spain</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19,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April 18, 1980</w:t>
            </w:r>
            <w:r w:rsidRPr="0019469B">
              <w:rPr>
                <w:rFonts w:cs="Arial"/>
                <w:sz w:val="18"/>
                <w:szCs w:val="18"/>
              </w:rPr>
              <w:br/>
              <w:t>April 18, 1980</w:t>
            </w:r>
            <w:r w:rsidRPr="0019469B">
              <w:rPr>
                <w:rFonts w:cs="Arial"/>
                <w:sz w:val="18"/>
                <w:szCs w:val="18"/>
              </w:rPr>
              <w:br/>
              <w:t>-</w:t>
            </w:r>
            <w:r w:rsidRPr="0019469B">
              <w:rPr>
                <w:rFonts w:cs="Arial"/>
                <w:sz w:val="18"/>
                <w:szCs w:val="18"/>
              </w:rPr>
              <w:br/>
              <w:t>June 18, 2007</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May 18, 1980</w:t>
            </w:r>
            <w:r w:rsidRPr="0019469B">
              <w:rPr>
                <w:rFonts w:cs="Arial"/>
                <w:sz w:val="18"/>
                <w:szCs w:val="18"/>
              </w:rPr>
              <w:br/>
              <w:t>May 18, 1980</w:t>
            </w:r>
            <w:r w:rsidRPr="0019469B">
              <w:rPr>
                <w:rFonts w:cs="Arial"/>
                <w:sz w:val="18"/>
                <w:szCs w:val="18"/>
              </w:rPr>
              <w:br/>
              <w:t>-</w:t>
            </w:r>
            <w:r w:rsidRPr="0019469B">
              <w:rPr>
                <w:rFonts w:cs="Arial"/>
                <w:sz w:val="18"/>
                <w:szCs w:val="18"/>
              </w:rPr>
              <w:br/>
              <w:t>July 18, 2007</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Sweden</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January 11, 1973</w:t>
            </w:r>
            <w:r w:rsidRPr="0019469B">
              <w:rPr>
                <w:rFonts w:cs="Arial"/>
                <w:sz w:val="18"/>
                <w:szCs w:val="18"/>
              </w:rPr>
              <w:br/>
              <w:t>December 6, 1978</w:t>
            </w:r>
            <w:r w:rsidRPr="0019469B">
              <w:rPr>
                <w:rFonts w:cs="Arial"/>
                <w:sz w:val="18"/>
                <w:szCs w:val="18"/>
              </w:rPr>
              <w:br/>
              <w:t>December 17,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November 17, 1971</w:t>
            </w:r>
            <w:r w:rsidRPr="0019469B">
              <w:rPr>
                <w:rFonts w:cs="Arial"/>
                <w:sz w:val="18"/>
                <w:szCs w:val="18"/>
              </w:rPr>
              <w:br/>
              <w:t>January 11, 1973</w:t>
            </w:r>
            <w:r w:rsidRPr="0019469B">
              <w:rPr>
                <w:rFonts w:cs="Arial"/>
                <w:sz w:val="18"/>
                <w:szCs w:val="18"/>
              </w:rPr>
              <w:br/>
              <w:t>December 1, 1982</w:t>
            </w:r>
            <w:r w:rsidRPr="0019469B">
              <w:rPr>
                <w:rFonts w:cs="Arial"/>
                <w:sz w:val="18"/>
                <w:szCs w:val="18"/>
              </w:rPr>
              <w:br/>
              <w:t>December 18, 1997</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December 17, 1971</w:t>
            </w:r>
            <w:r w:rsidRPr="0019469B">
              <w:rPr>
                <w:rFonts w:cs="Arial"/>
                <w:sz w:val="18"/>
                <w:szCs w:val="18"/>
              </w:rPr>
              <w:br/>
              <w:t>February 11, 1977</w:t>
            </w:r>
            <w:r w:rsidRPr="0019469B">
              <w:rPr>
                <w:rFonts w:cs="Arial"/>
                <w:sz w:val="18"/>
                <w:szCs w:val="18"/>
              </w:rPr>
              <w:br/>
              <w:t>January 1, 1983</w:t>
            </w:r>
            <w:r w:rsidRPr="0019469B">
              <w:rPr>
                <w:rFonts w:cs="Arial"/>
                <w:sz w:val="18"/>
                <w:szCs w:val="18"/>
              </w:rPr>
              <w:br/>
              <w:t>April 24, 1998</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Switzerland</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November 30,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June 10, 1977</w:t>
            </w:r>
            <w:r w:rsidRPr="0019469B">
              <w:rPr>
                <w:rFonts w:cs="Arial"/>
                <w:sz w:val="18"/>
                <w:szCs w:val="18"/>
              </w:rPr>
              <w:br/>
              <w:t>June 10, 1977</w:t>
            </w:r>
            <w:r w:rsidRPr="0019469B">
              <w:rPr>
                <w:rFonts w:cs="Arial"/>
                <w:sz w:val="18"/>
                <w:szCs w:val="18"/>
              </w:rPr>
              <w:br/>
              <w:t>June 17, 1981</w:t>
            </w:r>
            <w:r w:rsidRPr="0019469B">
              <w:rPr>
                <w:rFonts w:cs="Arial"/>
                <w:sz w:val="18"/>
                <w:szCs w:val="18"/>
              </w:rPr>
              <w:br/>
              <w:t>August 1, 2008</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July 10, 1977</w:t>
            </w:r>
            <w:r w:rsidRPr="0019469B">
              <w:rPr>
                <w:rFonts w:cs="Arial"/>
                <w:sz w:val="18"/>
                <w:szCs w:val="18"/>
              </w:rPr>
              <w:br/>
              <w:t>July 10, 1977</w:t>
            </w:r>
            <w:r w:rsidRPr="0019469B">
              <w:rPr>
                <w:rFonts w:cs="Arial"/>
                <w:sz w:val="18"/>
                <w:szCs w:val="18"/>
              </w:rPr>
              <w:br/>
              <w:t>November 8, 1981</w:t>
            </w:r>
            <w:r w:rsidRPr="0019469B">
              <w:rPr>
                <w:rFonts w:cs="Arial"/>
                <w:sz w:val="18"/>
                <w:szCs w:val="18"/>
              </w:rPr>
              <w:br/>
              <w:t>September 1, 2008</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The former Yugoslav Republic of Macedonia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4, 2011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4, 2011</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Trinidad and Tobago</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30, 1997</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30, 1998</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Tunisia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31, 2003</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31, 2003</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Turkey</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18, 2007</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18, 2007</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Ukraine</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3, 1995</w:t>
            </w:r>
            <w:r w:rsidRPr="0019469B">
              <w:rPr>
                <w:rFonts w:cs="Arial"/>
                <w:sz w:val="18"/>
                <w:szCs w:val="18"/>
              </w:rPr>
              <w:br/>
              <w:t>December 19, 2006</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1995</w:t>
            </w:r>
            <w:r w:rsidRPr="0019469B">
              <w:rPr>
                <w:rFonts w:cs="Arial"/>
                <w:sz w:val="18"/>
                <w:szCs w:val="18"/>
              </w:rPr>
              <w:br/>
              <w:t>January 19, 2007</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United Kingdom</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September 17, 1965</w:t>
            </w:r>
            <w:r w:rsidRPr="0019469B">
              <w:rPr>
                <w:rFonts w:cs="Arial"/>
                <w:sz w:val="18"/>
                <w:szCs w:val="18"/>
              </w:rPr>
              <w:br/>
              <w:t>July 1, 1980</w:t>
            </w:r>
            <w:r w:rsidRPr="0019469B">
              <w:rPr>
                <w:rFonts w:cs="Arial"/>
                <w:sz w:val="18"/>
                <w:szCs w:val="18"/>
              </w:rPr>
              <w:br/>
              <w:t>August 24, 1983</w:t>
            </w:r>
            <w:r w:rsidRPr="0019469B">
              <w:rPr>
                <w:rFonts w:cs="Arial"/>
                <w:sz w:val="18"/>
                <w:szCs w:val="18"/>
              </w:rPr>
              <w:br/>
              <w:t>December 3, 1998</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August 10, 1968</w:t>
            </w:r>
            <w:r w:rsidRPr="0019469B">
              <w:rPr>
                <w:rFonts w:cs="Arial"/>
                <w:sz w:val="18"/>
                <w:szCs w:val="18"/>
              </w:rPr>
              <w:br/>
              <w:t>July 31, 1980</w:t>
            </w:r>
            <w:r w:rsidRPr="0019469B">
              <w:rPr>
                <w:rFonts w:cs="Arial"/>
                <w:sz w:val="18"/>
                <w:szCs w:val="18"/>
              </w:rPr>
              <w:br/>
              <w:t>September 24, 1983</w:t>
            </w:r>
            <w:r w:rsidRPr="0019469B">
              <w:rPr>
                <w:rFonts w:cs="Arial"/>
                <w:sz w:val="18"/>
                <w:szCs w:val="18"/>
              </w:rPr>
              <w:br/>
              <w:t>January 3, 1999</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United States of America</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October 25, 1991</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12, 1980</w:t>
            </w:r>
            <w:r w:rsidRPr="0019469B">
              <w:rPr>
                <w:rFonts w:cs="Arial"/>
                <w:sz w:val="18"/>
                <w:szCs w:val="18"/>
              </w:rPr>
              <w:br/>
              <w:t>January 22, 1999</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February 22, 1999</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Uruguay</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13, 1994</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13, 1994</w:t>
            </w:r>
            <w:r w:rsidRPr="0019469B">
              <w:rPr>
                <w:rFonts w:cs="Arial"/>
                <w:sz w:val="18"/>
                <w:szCs w:val="18"/>
              </w:rPr>
              <w:br/>
              <w:t>-</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Uzbekistan</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14, 2004</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14, 2004</w:t>
            </w:r>
          </w:p>
        </w:tc>
      </w:tr>
      <w:tr w:rsidR="007E0D89" w:rsidRPr="007F6BC2" w:rsidTr="001E581A">
        <w:trPr>
          <w:cantSplit/>
          <w:jc w:val="center"/>
        </w:trPr>
        <w:tc>
          <w:tcPr>
            <w:tcW w:w="2665" w:type="dxa"/>
          </w:tcPr>
          <w:p w:rsidR="007E0D89" w:rsidRPr="0019469B" w:rsidRDefault="007E0D89" w:rsidP="001E581A">
            <w:pPr>
              <w:spacing w:before="80" w:after="80"/>
              <w:jc w:val="left"/>
              <w:rPr>
                <w:rFonts w:cs="Arial"/>
                <w:sz w:val="18"/>
                <w:szCs w:val="18"/>
              </w:rPr>
            </w:pPr>
            <w:r w:rsidRPr="0019469B">
              <w:rPr>
                <w:rFonts w:cs="Arial"/>
                <w:sz w:val="18"/>
                <w:szCs w:val="18"/>
              </w:rPr>
              <w:t>Viet Nam</w:t>
            </w:r>
          </w:p>
        </w:tc>
        <w:tc>
          <w:tcPr>
            <w:tcW w:w="2381"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24, 2006</w:t>
            </w:r>
          </w:p>
        </w:tc>
        <w:tc>
          <w:tcPr>
            <w:tcW w:w="2268" w:type="dxa"/>
          </w:tcPr>
          <w:p w:rsidR="007E0D89" w:rsidRPr="0019469B" w:rsidRDefault="007E0D89" w:rsidP="001E581A">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24, 2006</w:t>
            </w:r>
          </w:p>
        </w:tc>
      </w:tr>
    </w:tbl>
    <w:p w:rsidR="00854C28" w:rsidRDefault="00854C28" w:rsidP="00854C28">
      <w:pPr>
        <w:rPr>
          <w:rFonts w:cs="Arial"/>
          <w:sz w:val="22"/>
        </w:rPr>
      </w:pPr>
    </w:p>
    <w:p w:rsidR="00854C28" w:rsidRPr="00277911" w:rsidRDefault="00854C28" w:rsidP="00854C28">
      <w:pPr>
        <w:rPr>
          <w:rFonts w:cs="Arial"/>
        </w:rPr>
      </w:pPr>
      <w:r w:rsidRPr="00396590">
        <w:rPr>
          <w:rFonts w:cs="Arial"/>
        </w:rPr>
        <w:t>Total:  7</w:t>
      </w:r>
      <w:r w:rsidR="007208E4" w:rsidRPr="00396590">
        <w:rPr>
          <w:rFonts w:cs="Arial"/>
        </w:rPr>
        <w:t>3</w:t>
      </w:r>
      <w:r w:rsidRPr="00396590">
        <w:rPr>
          <w:rFonts w:cs="Arial"/>
        </w:rPr>
        <w:t xml:space="preserve"> members</w:t>
      </w:r>
    </w:p>
    <w:p w:rsidR="00085D3C" w:rsidRDefault="00085D3C" w:rsidP="00085D3C">
      <w:pPr>
        <w:jc w:val="right"/>
      </w:pPr>
      <w:r w:rsidRPr="00443EC8">
        <w:t>[Annex II follows]</w:t>
      </w:r>
    </w:p>
    <w:p w:rsidR="00085D3C" w:rsidRDefault="00085D3C" w:rsidP="00085D3C">
      <w:pPr>
        <w:sectPr w:rsidR="00085D3C" w:rsidSect="00760057">
          <w:headerReference w:type="default" r:id="rId11"/>
          <w:footerReference w:type="first" r:id="rId12"/>
          <w:pgSz w:w="11907" w:h="16840" w:code="9"/>
          <w:pgMar w:top="510" w:right="1134" w:bottom="851" w:left="1134" w:header="510" w:footer="525" w:gutter="0"/>
          <w:pgNumType w:start="1"/>
          <w:cols w:space="720"/>
          <w:titlePg/>
        </w:sectPr>
      </w:pPr>
    </w:p>
    <w:p w:rsidR="00085D3C" w:rsidRPr="00443EC8" w:rsidRDefault="0018261E" w:rsidP="00085D3C">
      <w:pPr>
        <w:jc w:val="center"/>
      </w:pPr>
      <w:r>
        <w:t>C/49/3</w:t>
      </w:r>
    </w:p>
    <w:p w:rsidR="00085D3C" w:rsidRPr="00443EC8" w:rsidRDefault="00085D3C" w:rsidP="00085D3C">
      <w:pPr>
        <w:jc w:val="center"/>
      </w:pPr>
    </w:p>
    <w:p w:rsidR="001A5F89" w:rsidRDefault="00085D3C" w:rsidP="00085D3C">
      <w:pPr>
        <w:jc w:val="center"/>
      </w:pPr>
      <w:bookmarkStart w:id="21" w:name="_Toc207102119"/>
      <w:bookmarkStart w:id="22" w:name="_Toc207164764"/>
      <w:r w:rsidRPr="00D6515A">
        <w:t>ANNEX II</w:t>
      </w:r>
      <w:bookmarkEnd w:id="21"/>
      <w:bookmarkEnd w:id="22"/>
      <w:r w:rsidRPr="00D6515A">
        <w:br/>
      </w:r>
      <w:r w:rsidRPr="00D6515A">
        <w:br/>
      </w:r>
      <w:bookmarkStart w:id="23" w:name="_Toc207164765"/>
      <w:r>
        <w:t xml:space="preserve">PARTICIPATION IN </w:t>
      </w:r>
      <w:r w:rsidRPr="00D6515A">
        <w:t>THE</w:t>
      </w:r>
      <w:r>
        <w:t xml:space="preserve"> </w:t>
      </w:r>
      <w:r w:rsidRPr="00D6515A">
        <w:t>UPOV DISTANCE LEARNING COURSE</w:t>
      </w:r>
      <w:r w:rsidR="001A5F89">
        <w:t>S</w:t>
      </w:r>
    </w:p>
    <w:p w:rsidR="001A5F89" w:rsidRDefault="001A5F89" w:rsidP="00085D3C">
      <w:pPr>
        <w:jc w:val="center"/>
      </w:pPr>
    </w:p>
    <w:p w:rsidR="001A5F89" w:rsidRDefault="001A5F89" w:rsidP="00085D3C">
      <w:pPr>
        <w:jc w:val="center"/>
      </w:pPr>
    </w:p>
    <w:p w:rsidR="005B0240" w:rsidRPr="002F2521" w:rsidRDefault="005B0240" w:rsidP="005B0240">
      <w:pPr>
        <w:jc w:val="center"/>
        <w:rPr>
          <w:u w:val="single"/>
        </w:rPr>
      </w:pPr>
      <w:r w:rsidRPr="002F2521">
        <w:rPr>
          <w:u w:val="single"/>
        </w:rPr>
        <w:t>DL-305A “</w:t>
      </w:r>
      <w:r w:rsidRPr="002F2521">
        <w:rPr>
          <w:rFonts w:cs="Arial"/>
          <w:u w:val="single"/>
        </w:rPr>
        <w:t>Administration of Plant Breeders’ Rights”</w:t>
      </w:r>
    </w:p>
    <w:bookmarkEnd w:id="23"/>
    <w:p w:rsidR="002A0CA3" w:rsidRPr="00D6515A" w:rsidRDefault="002A0CA3" w:rsidP="002A0CA3">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2A0CA3" w:rsidRPr="00D6515A" w:rsidTr="00F123DC">
        <w:trPr>
          <w:trHeight w:val="308"/>
        </w:trPr>
        <w:tc>
          <w:tcPr>
            <w:tcW w:w="9781" w:type="dxa"/>
            <w:gridSpan w:val="3"/>
            <w:shd w:val="pct5" w:color="auto" w:fill="FFFFFF"/>
          </w:tcPr>
          <w:p w:rsidR="002A0CA3" w:rsidRPr="00D6515A" w:rsidRDefault="002A0CA3" w:rsidP="00F123DC">
            <w:pPr>
              <w:pStyle w:val="Header"/>
              <w:keepNext/>
              <w:keepLines/>
              <w:spacing w:before="120" w:after="120"/>
              <w:rPr>
                <w:lang w:val="en-GB"/>
              </w:rPr>
            </w:pPr>
            <w:r>
              <w:rPr>
                <w:lang w:val="en-GB"/>
              </w:rPr>
              <w:t>S</w:t>
            </w:r>
            <w:r w:rsidRPr="00031FDF">
              <w:rPr>
                <w:lang w:val="en-GB"/>
              </w:rPr>
              <w:t xml:space="preserve">ession </w:t>
            </w:r>
            <w:r>
              <w:rPr>
                <w:lang w:val="en-GB"/>
              </w:rPr>
              <w:t>I,</w:t>
            </w:r>
            <w:r w:rsidRPr="00031FDF">
              <w:rPr>
                <w:lang w:val="en-GB"/>
              </w:rPr>
              <w:t xml:space="preserve"> 201</w:t>
            </w:r>
            <w:r>
              <w:rPr>
                <w:lang w:val="en-GB"/>
              </w:rPr>
              <w:t>5</w:t>
            </w:r>
            <w:r w:rsidRPr="00031FDF">
              <w:rPr>
                <w:lang w:val="en-GB"/>
              </w:rPr>
              <w:t xml:space="preserve">:  </w:t>
            </w:r>
            <w:r>
              <w:rPr>
                <w:lang w:val="en-GB"/>
              </w:rPr>
              <w:t>February/March</w:t>
            </w:r>
          </w:p>
        </w:tc>
      </w:tr>
      <w:tr w:rsidR="002A0CA3" w:rsidRPr="00D6515A" w:rsidTr="00F123DC">
        <w:trPr>
          <w:trHeight w:val="308"/>
        </w:trPr>
        <w:tc>
          <w:tcPr>
            <w:tcW w:w="3828"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Category</w:t>
            </w:r>
          </w:p>
        </w:tc>
        <w:tc>
          <w:tcPr>
            <w:tcW w:w="4678" w:type="dxa"/>
            <w:shd w:val="pct5" w:color="auto" w:fill="FFFFFF"/>
            <w:vAlign w:val="center"/>
          </w:tcPr>
          <w:p w:rsidR="002A0CA3" w:rsidRPr="00D6515A" w:rsidRDefault="002A0CA3" w:rsidP="00F123DC">
            <w:pPr>
              <w:pStyle w:val="Header"/>
              <w:keepNext/>
              <w:keepLines/>
              <w:spacing w:before="60" w:after="60"/>
              <w:rPr>
                <w:lang w:val="en-GB"/>
              </w:rPr>
            </w:pPr>
            <w:r>
              <w:rPr>
                <w:lang w:val="en-GB"/>
              </w:rPr>
              <w:t xml:space="preserve">Participants </w:t>
            </w:r>
            <w:r w:rsidRPr="00D6515A">
              <w:rPr>
                <w:lang w:val="en-GB"/>
              </w:rPr>
              <w:t>from</w:t>
            </w:r>
          </w:p>
        </w:tc>
        <w:tc>
          <w:tcPr>
            <w:tcW w:w="1275"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 xml:space="preserve">Number of </w:t>
            </w:r>
            <w:r>
              <w:rPr>
                <w:lang w:val="en-GB"/>
              </w:rPr>
              <w:t>participants</w:t>
            </w:r>
          </w:p>
        </w:tc>
      </w:tr>
      <w:tr w:rsidR="002A0CA3" w:rsidRPr="007159FE" w:rsidTr="00F123DC">
        <w:trPr>
          <w:trHeight w:val="309"/>
        </w:trPr>
        <w:tc>
          <w:tcPr>
            <w:tcW w:w="3828" w:type="dxa"/>
          </w:tcPr>
          <w:p w:rsidR="002A0CA3" w:rsidRPr="007159FE" w:rsidRDefault="002A0CA3" w:rsidP="00F123DC">
            <w:pPr>
              <w:keepNext/>
              <w:keepLines/>
              <w:spacing w:before="60"/>
              <w:jc w:val="left"/>
              <w:rPr>
                <w:u w:val="single"/>
                <w:lang w:val="en-GB"/>
              </w:rPr>
            </w:pPr>
            <w:r w:rsidRPr="007159FE">
              <w:rPr>
                <w:u w:val="single"/>
                <w:lang w:val="en-GB"/>
              </w:rPr>
              <w:t>Category 1</w:t>
            </w:r>
          </w:p>
          <w:p w:rsidR="002A0CA3" w:rsidRPr="007159FE" w:rsidRDefault="002A0CA3" w:rsidP="00F123DC">
            <w:pPr>
              <w:keepNext/>
              <w:keepLines/>
              <w:jc w:val="left"/>
              <w:rPr>
                <w:snapToGrid w:val="0"/>
                <w:color w:val="000000"/>
              </w:rPr>
            </w:pPr>
            <w:r w:rsidRPr="007159FE">
              <w:t>Officials of members of the Union</w:t>
            </w:r>
          </w:p>
          <w:p w:rsidR="002A0CA3" w:rsidRPr="007159FE" w:rsidRDefault="002A0CA3" w:rsidP="00F123DC">
            <w:pPr>
              <w:keepNext/>
              <w:keepLines/>
              <w:jc w:val="left"/>
              <w:rPr>
                <w:lang w:val="en-GB"/>
              </w:rPr>
            </w:pPr>
          </w:p>
        </w:tc>
        <w:tc>
          <w:tcPr>
            <w:tcW w:w="4678" w:type="dxa"/>
          </w:tcPr>
          <w:p w:rsidR="002A0CA3" w:rsidRPr="007159FE" w:rsidRDefault="002A0CA3" w:rsidP="00F123DC">
            <w:pPr>
              <w:keepNext/>
              <w:keepLines/>
              <w:spacing w:before="60"/>
              <w:jc w:val="left"/>
              <w:rPr>
                <w:color w:val="000000"/>
                <w:szCs w:val="24"/>
                <w:lang w:val="en-GB"/>
              </w:rPr>
            </w:pPr>
          </w:p>
          <w:p w:rsidR="002A0CA3" w:rsidRPr="007159FE" w:rsidRDefault="002A0CA3" w:rsidP="00F123DC">
            <w:pPr>
              <w:jc w:val="left"/>
              <w:rPr>
                <w:rFonts w:cs="Arial"/>
                <w:lang w:val="en-GB"/>
              </w:rPr>
            </w:pPr>
            <w:r w:rsidRPr="007159FE">
              <w:rPr>
                <w:rFonts w:cs="Arial"/>
                <w:lang w:val="en-GB"/>
              </w:rPr>
              <w:t>Canada, Costa Rica, Czech Republic, Ecuador, Japan, Kenya, Mexico, Moldova, the Netherlands, Nicaragua, OAPI, Paraguay, Russian Federation, Slovakia, South Africa, Spain, United Kingdom, United States of America, Uruguay</w:t>
            </w:r>
          </w:p>
        </w:tc>
        <w:tc>
          <w:tcPr>
            <w:tcW w:w="1275" w:type="dxa"/>
          </w:tcPr>
          <w:p w:rsidR="002A0CA3" w:rsidRPr="007159FE" w:rsidRDefault="002A0CA3" w:rsidP="00F123DC">
            <w:pPr>
              <w:keepNext/>
              <w:keepLines/>
              <w:spacing w:before="60"/>
              <w:jc w:val="center"/>
              <w:rPr>
                <w:lang w:val="en-GB"/>
              </w:rPr>
            </w:pPr>
          </w:p>
          <w:p w:rsidR="002A0CA3" w:rsidRPr="007159FE" w:rsidRDefault="002A0CA3" w:rsidP="00F123DC">
            <w:pPr>
              <w:keepNext/>
              <w:keepLines/>
              <w:jc w:val="center"/>
              <w:rPr>
                <w:lang w:val="es-AR"/>
              </w:rPr>
            </w:pPr>
            <w:r w:rsidRPr="007159FE">
              <w:rPr>
                <w:lang w:val="es-AR"/>
              </w:rPr>
              <w:t>58</w:t>
            </w:r>
          </w:p>
        </w:tc>
      </w:tr>
      <w:tr w:rsidR="002A0CA3" w:rsidRPr="007159FE" w:rsidTr="00F123DC">
        <w:trPr>
          <w:trHeight w:val="308"/>
        </w:trPr>
        <w:tc>
          <w:tcPr>
            <w:tcW w:w="3828" w:type="dxa"/>
          </w:tcPr>
          <w:p w:rsidR="002A0CA3" w:rsidRPr="007159FE" w:rsidRDefault="002A0CA3" w:rsidP="00F123DC">
            <w:pPr>
              <w:keepNext/>
              <w:keepLines/>
              <w:spacing w:before="60"/>
              <w:jc w:val="left"/>
              <w:rPr>
                <w:u w:val="single"/>
                <w:lang w:val="en-GB"/>
              </w:rPr>
            </w:pPr>
            <w:r w:rsidRPr="007159FE">
              <w:rPr>
                <w:u w:val="single"/>
                <w:lang w:val="en-GB"/>
              </w:rPr>
              <w:t>Category 2</w:t>
            </w:r>
          </w:p>
          <w:p w:rsidR="002A0CA3" w:rsidRPr="00947133" w:rsidRDefault="002A0CA3" w:rsidP="00F123DC">
            <w:pPr>
              <w:keepNext/>
              <w:keepLines/>
              <w:jc w:val="left"/>
            </w:pPr>
            <w:r w:rsidRPr="007159FE">
              <w:t>Officials of observer States / intergovernmental organizations / others</w:t>
            </w:r>
          </w:p>
        </w:tc>
        <w:tc>
          <w:tcPr>
            <w:tcW w:w="4678" w:type="dxa"/>
          </w:tcPr>
          <w:p w:rsidR="002A0CA3" w:rsidRPr="007159FE" w:rsidRDefault="002A0CA3" w:rsidP="00F123DC">
            <w:pPr>
              <w:jc w:val="left"/>
              <w:rPr>
                <w:szCs w:val="24"/>
                <w:lang w:val="en-GB"/>
              </w:rPr>
            </w:pPr>
          </w:p>
          <w:p w:rsidR="002A0CA3" w:rsidRPr="007159FE" w:rsidRDefault="002A0CA3" w:rsidP="00F123DC">
            <w:pPr>
              <w:jc w:val="left"/>
            </w:pPr>
            <w:r w:rsidRPr="007159FE">
              <w:rPr>
                <w:szCs w:val="24"/>
                <w:lang w:val="en-GB"/>
              </w:rPr>
              <w:t>Malaysia</w:t>
            </w:r>
          </w:p>
        </w:tc>
        <w:tc>
          <w:tcPr>
            <w:tcW w:w="1275" w:type="dxa"/>
          </w:tcPr>
          <w:p w:rsidR="002A0CA3" w:rsidRPr="007159FE" w:rsidRDefault="002A0CA3" w:rsidP="00F123DC">
            <w:pPr>
              <w:keepNext/>
              <w:keepLines/>
              <w:spacing w:before="60"/>
              <w:jc w:val="center"/>
            </w:pPr>
          </w:p>
          <w:p w:rsidR="002A0CA3" w:rsidRPr="007159FE" w:rsidRDefault="002A0CA3" w:rsidP="00F123DC">
            <w:pPr>
              <w:keepNext/>
              <w:keepLines/>
              <w:jc w:val="center"/>
              <w:rPr>
                <w:lang w:val="es-ES"/>
              </w:rPr>
            </w:pPr>
            <w:r w:rsidRPr="007159FE">
              <w:rPr>
                <w:szCs w:val="24"/>
                <w:lang w:val="en-GB"/>
              </w:rPr>
              <w:t>2</w:t>
            </w:r>
          </w:p>
        </w:tc>
      </w:tr>
      <w:tr w:rsidR="002A0CA3" w:rsidRPr="007159FE" w:rsidTr="00F123DC">
        <w:tc>
          <w:tcPr>
            <w:tcW w:w="3828" w:type="dxa"/>
          </w:tcPr>
          <w:p w:rsidR="002A0CA3" w:rsidRPr="007159FE" w:rsidRDefault="002A0CA3" w:rsidP="00F123DC">
            <w:pPr>
              <w:spacing w:before="60"/>
              <w:jc w:val="left"/>
              <w:rPr>
                <w:u w:val="single"/>
                <w:lang w:val="en-GB"/>
              </w:rPr>
            </w:pPr>
            <w:r w:rsidRPr="007159FE">
              <w:rPr>
                <w:u w:val="single"/>
                <w:lang w:val="en-GB"/>
              </w:rPr>
              <w:t>Category 3</w:t>
            </w:r>
          </w:p>
          <w:p w:rsidR="002A0CA3" w:rsidRPr="007159FE" w:rsidRDefault="002A0CA3" w:rsidP="00F123DC">
            <w:pPr>
              <w:keepNext/>
              <w:keepLines/>
              <w:jc w:val="left"/>
              <w:rPr>
                <w:lang w:val="en-GB"/>
              </w:rPr>
            </w:pPr>
            <w:r w:rsidRPr="007159FE">
              <w:rPr>
                <w:lang w:val="en-GB"/>
              </w:rPr>
              <w:t>Other</w:t>
            </w:r>
          </w:p>
        </w:tc>
        <w:tc>
          <w:tcPr>
            <w:tcW w:w="4678" w:type="dxa"/>
          </w:tcPr>
          <w:p w:rsidR="002A0CA3" w:rsidRPr="007159FE" w:rsidRDefault="002A0CA3" w:rsidP="00F123DC">
            <w:pPr>
              <w:keepNext/>
              <w:keepLines/>
              <w:spacing w:before="60"/>
              <w:jc w:val="left"/>
              <w:rPr>
                <w:szCs w:val="24"/>
              </w:rPr>
            </w:pPr>
          </w:p>
          <w:p w:rsidR="002A0CA3" w:rsidRPr="007159FE" w:rsidRDefault="002A0CA3" w:rsidP="00F123DC">
            <w:pPr>
              <w:jc w:val="left"/>
              <w:rPr>
                <w:color w:val="000000"/>
                <w:szCs w:val="24"/>
              </w:rPr>
            </w:pPr>
            <w:r w:rsidRPr="007159FE">
              <w:rPr>
                <w:szCs w:val="24"/>
                <w:lang w:val="en-GB"/>
              </w:rPr>
              <w:t>0</w:t>
            </w:r>
          </w:p>
        </w:tc>
        <w:tc>
          <w:tcPr>
            <w:tcW w:w="1275" w:type="dxa"/>
          </w:tcPr>
          <w:p w:rsidR="002A0CA3" w:rsidRPr="007159FE" w:rsidRDefault="002A0CA3" w:rsidP="00F123DC">
            <w:pPr>
              <w:keepNext/>
              <w:keepLines/>
              <w:spacing w:before="60"/>
              <w:jc w:val="center"/>
              <w:rPr>
                <w:lang w:val="en-GB"/>
              </w:rPr>
            </w:pPr>
          </w:p>
          <w:p w:rsidR="002A0CA3" w:rsidRPr="007159FE" w:rsidRDefault="002A0CA3" w:rsidP="00F123DC">
            <w:pPr>
              <w:keepNext/>
              <w:keepLines/>
              <w:jc w:val="center"/>
              <w:rPr>
                <w:lang w:val="en-GB"/>
              </w:rPr>
            </w:pPr>
            <w:r w:rsidRPr="007159FE">
              <w:rPr>
                <w:szCs w:val="24"/>
                <w:lang w:val="en-GB"/>
              </w:rPr>
              <w:t>0</w:t>
            </w:r>
          </w:p>
        </w:tc>
      </w:tr>
      <w:tr w:rsidR="002A0CA3" w:rsidRPr="007159FE" w:rsidTr="00F123DC">
        <w:trPr>
          <w:trHeight w:val="427"/>
        </w:trPr>
        <w:tc>
          <w:tcPr>
            <w:tcW w:w="3828" w:type="dxa"/>
          </w:tcPr>
          <w:p w:rsidR="002A0CA3" w:rsidRPr="007159FE" w:rsidRDefault="002A0CA3" w:rsidP="00F123DC">
            <w:pPr>
              <w:keepNext/>
              <w:keepLines/>
              <w:spacing w:before="60"/>
              <w:jc w:val="left"/>
              <w:rPr>
                <w:rFonts w:eastAsia="MS Mincho"/>
              </w:rPr>
            </w:pPr>
            <w:r w:rsidRPr="007159FE">
              <w:rPr>
                <w:rFonts w:eastAsia="MS Mincho"/>
                <w:u w:val="single"/>
              </w:rPr>
              <w:t>Category 4:</w:t>
            </w:r>
          </w:p>
          <w:p w:rsidR="002A0CA3" w:rsidRPr="007159FE" w:rsidRDefault="002A0CA3" w:rsidP="00F123DC">
            <w:pPr>
              <w:keepNext/>
              <w:keepLines/>
              <w:jc w:val="left"/>
            </w:pPr>
            <w:r w:rsidRPr="007159FE">
              <w:t>Discretionary waiving of fee for selected students</w:t>
            </w:r>
          </w:p>
        </w:tc>
        <w:tc>
          <w:tcPr>
            <w:tcW w:w="4678" w:type="dxa"/>
          </w:tcPr>
          <w:p w:rsidR="002A0CA3" w:rsidRPr="007159FE" w:rsidRDefault="002A0CA3" w:rsidP="00F123DC">
            <w:pPr>
              <w:keepNext/>
              <w:keepLines/>
              <w:spacing w:before="60"/>
              <w:jc w:val="left"/>
            </w:pPr>
          </w:p>
          <w:p w:rsidR="002A0CA3" w:rsidRPr="007159FE" w:rsidRDefault="002A0CA3" w:rsidP="00F123DC">
            <w:pPr>
              <w:jc w:val="left"/>
            </w:pPr>
            <w:r w:rsidRPr="007159FE">
              <w:rPr>
                <w:szCs w:val="24"/>
                <w:lang w:val="en-GB"/>
              </w:rPr>
              <w:t>0</w:t>
            </w:r>
          </w:p>
        </w:tc>
        <w:tc>
          <w:tcPr>
            <w:tcW w:w="1275" w:type="dxa"/>
          </w:tcPr>
          <w:p w:rsidR="002A0CA3" w:rsidRPr="007159FE" w:rsidRDefault="002A0CA3" w:rsidP="00F123DC">
            <w:pPr>
              <w:keepNext/>
              <w:keepLines/>
              <w:spacing w:before="60"/>
              <w:jc w:val="center"/>
              <w:rPr>
                <w:lang w:val="en-GB"/>
              </w:rPr>
            </w:pPr>
          </w:p>
          <w:p w:rsidR="002A0CA3" w:rsidRPr="007159FE" w:rsidRDefault="002A0CA3" w:rsidP="00F123DC">
            <w:pPr>
              <w:spacing w:before="60"/>
              <w:jc w:val="center"/>
              <w:rPr>
                <w:b/>
                <w:lang w:val="en-GB"/>
              </w:rPr>
            </w:pPr>
            <w:r w:rsidRPr="007159FE">
              <w:rPr>
                <w:szCs w:val="24"/>
                <w:lang w:val="en-GB"/>
              </w:rPr>
              <w:t>0</w:t>
            </w:r>
          </w:p>
        </w:tc>
      </w:tr>
      <w:tr w:rsidR="002A0CA3" w:rsidRPr="007159FE" w:rsidTr="00F123DC">
        <w:trPr>
          <w:trHeight w:val="427"/>
        </w:trPr>
        <w:tc>
          <w:tcPr>
            <w:tcW w:w="3828" w:type="dxa"/>
          </w:tcPr>
          <w:p w:rsidR="002A0CA3" w:rsidRPr="007159FE" w:rsidRDefault="002A0CA3" w:rsidP="00F123DC">
            <w:pPr>
              <w:spacing w:before="60"/>
              <w:jc w:val="left"/>
              <w:rPr>
                <w:u w:val="single"/>
              </w:rPr>
            </w:pPr>
            <w:r w:rsidRPr="007159FE">
              <w:rPr>
                <w:lang w:val="en-GB"/>
              </w:rPr>
              <w:t>TOTAL</w:t>
            </w:r>
          </w:p>
        </w:tc>
        <w:tc>
          <w:tcPr>
            <w:tcW w:w="4678" w:type="dxa"/>
          </w:tcPr>
          <w:p w:rsidR="002A0CA3" w:rsidRPr="007159FE" w:rsidRDefault="002A0CA3" w:rsidP="00F123DC">
            <w:pPr>
              <w:keepNext/>
              <w:keepLines/>
              <w:spacing w:before="60"/>
              <w:jc w:val="left"/>
              <w:rPr>
                <w:color w:val="000000"/>
                <w:szCs w:val="24"/>
              </w:rPr>
            </w:pPr>
          </w:p>
        </w:tc>
        <w:tc>
          <w:tcPr>
            <w:tcW w:w="1275" w:type="dxa"/>
          </w:tcPr>
          <w:p w:rsidR="002A0CA3" w:rsidRPr="007159FE" w:rsidRDefault="002A0CA3" w:rsidP="00F123DC">
            <w:pPr>
              <w:spacing w:before="60"/>
              <w:jc w:val="center"/>
              <w:rPr>
                <w:b/>
                <w:lang w:val="en-GB"/>
              </w:rPr>
            </w:pPr>
            <w:r w:rsidRPr="007159FE">
              <w:rPr>
                <w:szCs w:val="24"/>
                <w:lang w:val="en-GB"/>
              </w:rPr>
              <w:t>60</w:t>
            </w:r>
            <w:r w:rsidRPr="007159FE">
              <w:rPr>
                <w:b/>
                <w:lang w:val="en-GB"/>
              </w:rPr>
              <w:t xml:space="preserve"> </w:t>
            </w:r>
          </w:p>
        </w:tc>
      </w:tr>
    </w:tbl>
    <w:p w:rsidR="002A0CA3" w:rsidRPr="007159FE" w:rsidRDefault="002A0CA3" w:rsidP="002A0CA3"/>
    <w:tbl>
      <w:tblPr>
        <w:tblStyle w:val="TableGrid"/>
        <w:tblW w:w="8505" w:type="dxa"/>
        <w:tblInd w:w="-34" w:type="dxa"/>
        <w:tblLook w:val="01E0" w:firstRow="1" w:lastRow="1" w:firstColumn="1" w:lastColumn="1" w:noHBand="0" w:noVBand="0"/>
      </w:tblPr>
      <w:tblGrid>
        <w:gridCol w:w="4678"/>
        <w:gridCol w:w="1275"/>
        <w:gridCol w:w="1276"/>
        <w:gridCol w:w="1276"/>
      </w:tblGrid>
      <w:tr w:rsidR="00B0294A" w:rsidRPr="007159FE" w:rsidTr="00B0294A">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left"/>
              <w:rPr>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English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French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Spanish</w:t>
            </w:r>
          </w:p>
        </w:tc>
      </w:tr>
      <w:tr w:rsidR="00B0294A" w:rsidTr="00B0294A">
        <w:tc>
          <w:tcPr>
            <w:tcW w:w="4678"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left"/>
              <w:rPr>
                <w:lang w:val="en-GB"/>
              </w:rPr>
            </w:pPr>
            <w:r w:rsidRPr="007159FE">
              <w:rPr>
                <w:szCs w:val="24"/>
              </w:rPr>
              <w:t>DL-305A, Session I, 2015:  Total by language</w:t>
            </w:r>
          </w:p>
        </w:tc>
        <w:tc>
          <w:tcPr>
            <w:tcW w:w="1275"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38</w:t>
            </w:r>
          </w:p>
        </w:tc>
        <w:tc>
          <w:tcPr>
            <w:tcW w:w="1276"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2</w:t>
            </w:r>
          </w:p>
        </w:tc>
        <w:tc>
          <w:tcPr>
            <w:tcW w:w="1276" w:type="dxa"/>
            <w:tcBorders>
              <w:top w:val="single" w:sz="4" w:space="0" w:color="auto"/>
              <w:left w:val="single" w:sz="4" w:space="0" w:color="auto"/>
              <w:bottom w:val="single" w:sz="4" w:space="0" w:color="auto"/>
              <w:right w:val="single" w:sz="4" w:space="0" w:color="auto"/>
            </w:tcBorders>
          </w:tcPr>
          <w:p w:rsidR="00B0294A" w:rsidRPr="0045640E" w:rsidRDefault="00B0294A" w:rsidP="00F123DC">
            <w:pPr>
              <w:spacing w:before="40" w:after="40"/>
              <w:jc w:val="center"/>
              <w:rPr>
                <w:lang w:val="en-GB"/>
              </w:rPr>
            </w:pPr>
            <w:r w:rsidRPr="007159FE">
              <w:rPr>
                <w:szCs w:val="24"/>
                <w:lang w:val="en-GB"/>
              </w:rPr>
              <w:t>20</w:t>
            </w:r>
          </w:p>
        </w:tc>
      </w:tr>
    </w:tbl>
    <w:p w:rsidR="002A0CA3" w:rsidRDefault="002A0CA3" w:rsidP="002A0CA3"/>
    <w:p w:rsidR="002A0CA3" w:rsidRDefault="002A0CA3" w:rsidP="002A0CA3"/>
    <w:p w:rsidR="002A0CA3" w:rsidRPr="002F2521" w:rsidRDefault="002A0CA3" w:rsidP="002A0CA3">
      <w:pPr>
        <w:jc w:val="center"/>
        <w:rPr>
          <w:u w:val="single"/>
        </w:rPr>
      </w:pPr>
      <w:r w:rsidRPr="002F2521">
        <w:rPr>
          <w:u w:val="single"/>
        </w:rPr>
        <w:t>DL-305B “</w:t>
      </w:r>
      <w:r w:rsidRPr="002F2521">
        <w:rPr>
          <w:rFonts w:cs="Arial"/>
          <w:u w:val="single"/>
        </w:rPr>
        <w:t>DUS Examination”</w:t>
      </w:r>
    </w:p>
    <w:p w:rsidR="002A0CA3" w:rsidRPr="00D6515A" w:rsidRDefault="002A0CA3" w:rsidP="002A0CA3">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2A0CA3" w:rsidRPr="00D6515A" w:rsidTr="00F123DC">
        <w:trPr>
          <w:trHeight w:val="308"/>
        </w:trPr>
        <w:tc>
          <w:tcPr>
            <w:tcW w:w="9781" w:type="dxa"/>
            <w:gridSpan w:val="3"/>
            <w:shd w:val="pct5" w:color="auto" w:fill="FFFFFF"/>
          </w:tcPr>
          <w:p w:rsidR="002A0CA3" w:rsidRPr="00D6515A" w:rsidRDefault="002A0CA3" w:rsidP="00F123DC">
            <w:pPr>
              <w:pStyle w:val="Header"/>
              <w:keepNext/>
              <w:keepLines/>
              <w:spacing w:before="120" w:after="120"/>
              <w:rPr>
                <w:lang w:val="en-GB"/>
              </w:rPr>
            </w:pPr>
            <w:r>
              <w:rPr>
                <w:lang w:val="en-GB"/>
              </w:rPr>
              <w:t>S</w:t>
            </w:r>
            <w:r w:rsidRPr="00031FDF">
              <w:rPr>
                <w:lang w:val="en-GB"/>
              </w:rPr>
              <w:t xml:space="preserve">ession </w:t>
            </w:r>
            <w:r>
              <w:rPr>
                <w:lang w:val="en-GB"/>
              </w:rPr>
              <w:t>I,</w:t>
            </w:r>
            <w:r w:rsidRPr="00031FDF">
              <w:rPr>
                <w:lang w:val="en-GB"/>
              </w:rPr>
              <w:t xml:space="preserve"> 201</w:t>
            </w:r>
            <w:r>
              <w:rPr>
                <w:lang w:val="en-GB"/>
              </w:rPr>
              <w:t>5</w:t>
            </w:r>
            <w:r w:rsidRPr="00031FDF">
              <w:rPr>
                <w:lang w:val="en-GB"/>
              </w:rPr>
              <w:t xml:space="preserve">:  </w:t>
            </w:r>
            <w:r>
              <w:rPr>
                <w:lang w:val="en-GB"/>
              </w:rPr>
              <w:t>April/</w:t>
            </w:r>
            <w:r w:rsidRPr="00031FDF">
              <w:rPr>
                <w:lang w:val="en-GB"/>
              </w:rPr>
              <w:t>May</w:t>
            </w:r>
          </w:p>
        </w:tc>
      </w:tr>
      <w:tr w:rsidR="002A0CA3" w:rsidRPr="00D6515A" w:rsidTr="00F123DC">
        <w:trPr>
          <w:trHeight w:val="308"/>
        </w:trPr>
        <w:tc>
          <w:tcPr>
            <w:tcW w:w="3828"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Category</w:t>
            </w:r>
          </w:p>
        </w:tc>
        <w:tc>
          <w:tcPr>
            <w:tcW w:w="4678" w:type="dxa"/>
            <w:shd w:val="pct5" w:color="auto" w:fill="FFFFFF"/>
            <w:vAlign w:val="center"/>
          </w:tcPr>
          <w:p w:rsidR="002A0CA3" w:rsidRPr="00D6515A" w:rsidRDefault="002A0CA3" w:rsidP="00F123DC">
            <w:pPr>
              <w:pStyle w:val="Header"/>
              <w:keepNext/>
              <w:keepLines/>
              <w:spacing w:before="60" w:after="60"/>
              <w:rPr>
                <w:lang w:val="en-GB"/>
              </w:rPr>
            </w:pPr>
            <w:r>
              <w:rPr>
                <w:lang w:val="en-GB"/>
              </w:rPr>
              <w:t xml:space="preserve">Participants </w:t>
            </w:r>
            <w:r w:rsidRPr="00D6515A">
              <w:rPr>
                <w:lang w:val="en-GB"/>
              </w:rPr>
              <w:t>from</w:t>
            </w:r>
          </w:p>
        </w:tc>
        <w:tc>
          <w:tcPr>
            <w:tcW w:w="1275"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 xml:space="preserve">Number of </w:t>
            </w:r>
            <w:r>
              <w:rPr>
                <w:lang w:val="en-GB"/>
              </w:rPr>
              <w:t>participants</w:t>
            </w:r>
          </w:p>
        </w:tc>
      </w:tr>
      <w:tr w:rsidR="002A0CA3" w:rsidRPr="000B7C58" w:rsidTr="00F123DC">
        <w:trPr>
          <w:trHeight w:val="309"/>
        </w:trPr>
        <w:tc>
          <w:tcPr>
            <w:tcW w:w="3828" w:type="dxa"/>
          </w:tcPr>
          <w:p w:rsidR="002A0CA3" w:rsidRPr="00031FDF" w:rsidRDefault="002A0CA3" w:rsidP="00F123DC">
            <w:pPr>
              <w:keepNext/>
              <w:keepLines/>
              <w:spacing w:before="60"/>
              <w:jc w:val="left"/>
              <w:rPr>
                <w:u w:val="single"/>
                <w:lang w:val="en-GB"/>
              </w:rPr>
            </w:pPr>
            <w:r w:rsidRPr="00031FDF">
              <w:rPr>
                <w:u w:val="single"/>
                <w:lang w:val="en-GB"/>
              </w:rPr>
              <w:t>Category 1</w:t>
            </w:r>
          </w:p>
          <w:p w:rsidR="002A0CA3" w:rsidRPr="00031FDF" w:rsidRDefault="002A0CA3" w:rsidP="00F123DC">
            <w:pPr>
              <w:keepNext/>
              <w:keepLines/>
              <w:jc w:val="left"/>
              <w:rPr>
                <w:snapToGrid w:val="0"/>
                <w:color w:val="000000"/>
              </w:rPr>
            </w:pPr>
            <w:r w:rsidRPr="00031FDF">
              <w:t>Officials of members of the Union</w:t>
            </w:r>
          </w:p>
          <w:p w:rsidR="002A0CA3" w:rsidRPr="00031FDF" w:rsidRDefault="002A0CA3" w:rsidP="00F123DC">
            <w:pPr>
              <w:keepNext/>
              <w:keepLines/>
              <w:jc w:val="left"/>
              <w:rPr>
                <w:lang w:val="en-GB"/>
              </w:rPr>
            </w:pPr>
          </w:p>
        </w:tc>
        <w:tc>
          <w:tcPr>
            <w:tcW w:w="4678" w:type="dxa"/>
          </w:tcPr>
          <w:p w:rsidR="002A0CA3" w:rsidRPr="002C12D8" w:rsidRDefault="002A0CA3" w:rsidP="00F123DC">
            <w:pPr>
              <w:keepNext/>
              <w:keepLines/>
              <w:spacing w:before="60"/>
              <w:jc w:val="left"/>
              <w:rPr>
                <w:color w:val="000000"/>
                <w:szCs w:val="24"/>
                <w:lang w:val="en-GB"/>
              </w:rPr>
            </w:pPr>
          </w:p>
          <w:p w:rsidR="002A0CA3" w:rsidRPr="00EA7F25" w:rsidRDefault="002A0CA3" w:rsidP="00F123DC">
            <w:pPr>
              <w:jc w:val="left"/>
              <w:rPr>
                <w:rFonts w:cs="Arial"/>
              </w:rPr>
            </w:pPr>
            <w:r w:rsidRPr="00EA7F25">
              <w:rPr>
                <w:rFonts w:cs="Arial"/>
              </w:rPr>
              <w:t xml:space="preserve">Canada, Costa Rica, Ecuador, Japan, Kenya, Mexico, the Netherlands, Nicaragua, People’s Democratic Republic of China, Poland, Russian Federation, </w:t>
            </w:r>
            <w:r w:rsidRPr="00263DB7">
              <w:rPr>
                <w:rFonts w:cs="Arial"/>
                <w:lang w:val="en-GB"/>
              </w:rPr>
              <w:t xml:space="preserve">Slovakia, </w:t>
            </w:r>
            <w:r>
              <w:rPr>
                <w:rFonts w:cs="Arial"/>
                <w:lang w:val="en-GB"/>
              </w:rPr>
              <w:t>South Africa, Spain, United Kingdom, Uruguay</w:t>
            </w:r>
          </w:p>
        </w:tc>
        <w:tc>
          <w:tcPr>
            <w:tcW w:w="1275" w:type="dxa"/>
          </w:tcPr>
          <w:p w:rsidR="002A0CA3" w:rsidRPr="00EA7F25" w:rsidRDefault="002A0CA3" w:rsidP="00F123DC">
            <w:pPr>
              <w:keepNext/>
              <w:keepLines/>
              <w:spacing w:before="60"/>
              <w:jc w:val="center"/>
            </w:pPr>
          </w:p>
          <w:p w:rsidR="002A0CA3" w:rsidRPr="00031FDF" w:rsidRDefault="002A0CA3" w:rsidP="00F123DC">
            <w:pPr>
              <w:keepNext/>
              <w:keepLines/>
              <w:jc w:val="center"/>
              <w:rPr>
                <w:lang w:val="es-AR"/>
              </w:rPr>
            </w:pPr>
            <w:r>
              <w:rPr>
                <w:lang w:val="es-AR"/>
              </w:rPr>
              <w:t>62</w:t>
            </w:r>
          </w:p>
        </w:tc>
      </w:tr>
      <w:tr w:rsidR="002A0CA3" w:rsidRPr="000B7C58" w:rsidTr="00F123DC">
        <w:trPr>
          <w:trHeight w:val="308"/>
        </w:trPr>
        <w:tc>
          <w:tcPr>
            <w:tcW w:w="3828" w:type="dxa"/>
          </w:tcPr>
          <w:p w:rsidR="002A0CA3" w:rsidRPr="00031FDF" w:rsidRDefault="002A0CA3" w:rsidP="00F123DC">
            <w:pPr>
              <w:keepNext/>
              <w:keepLines/>
              <w:spacing w:before="60"/>
              <w:jc w:val="left"/>
              <w:rPr>
                <w:u w:val="single"/>
                <w:lang w:val="en-GB"/>
              </w:rPr>
            </w:pPr>
            <w:r w:rsidRPr="00031FDF">
              <w:rPr>
                <w:u w:val="single"/>
                <w:lang w:val="en-GB"/>
              </w:rPr>
              <w:t>Category 2</w:t>
            </w:r>
          </w:p>
          <w:p w:rsidR="002A0CA3" w:rsidRPr="00947133" w:rsidRDefault="002A0CA3" w:rsidP="00F123DC">
            <w:pPr>
              <w:keepNext/>
              <w:keepLines/>
              <w:jc w:val="left"/>
            </w:pPr>
            <w:r w:rsidRPr="00031FDF">
              <w:t>Officials of observer States / intergovernmental organizations / others</w:t>
            </w:r>
          </w:p>
        </w:tc>
        <w:tc>
          <w:tcPr>
            <w:tcW w:w="4678" w:type="dxa"/>
          </w:tcPr>
          <w:p w:rsidR="002A0CA3" w:rsidRDefault="002A0CA3" w:rsidP="00F123DC">
            <w:pPr>
              <w:jc w:val="left"/>
              <w:rPr>
                <w:szCs w:val="24"/>
                <w:lang w:val="en-GB"/>
              </w:rPr>
            </w:pPr>
          </w:p>
          <w:p w:rsidR="002A0CA3" w:rsidRPr="00C33153" w:rsidRDefault="002A0CA3" w:rsidP="00F123DC">
            <w:pPr>
              <w:jc w:val="left"/>
            </w:pPr>
            <w:r>
              <w:rPr>
                <w:szCs w:val="24"/>
                <w:lang w:val="en-GB"/>
              </w:rPr>
              <w:t>Malaysia</w:t>
            </w:r>
          </w:p>
        </w:tc>
        <w:tc>
          <w:tcPr>
            <w:tcW w:w="1275" w:type="dxa"/>
          </w:tcPr>
          <w:p w:rsidR="002A0CA3" w:rsidRPr="00031FDF" w:rsidRDefault="002A0CA3" w:rsidP="00F123DC">
            <w:pPr>
              <w:keepNext/>
              <w:keepLines/>
              <w:spacing w:before="60"/>
              <w:jc w:val="center"/>
            </w:pPr>
          </w:p>
          <w:p w:rsidR="002A0CA3" w:rsidRPr="00031FDF" w:rsidRDefault="002A0CA3" w:rsidP="00F123DC">
            <w:pPr>
              <w:keepNext/>
              <w:keepLines/>
              <w:jc w:val="center"/>
              <w:rPr>
                <w:lang w:val="es-ES"/>
              </w:rPr>
            </w:pPr>
            <w:r>
              <w:rPr>
                <w:szCs w:val="24"/>
                <w:lang w:val="en-GB"/>
              </w:rPr>
              <w:t>2</w:t>
            </w:r>
          </w:p>
        </w:tc>
      </w:tr>
      <w:tr w:rsidR="002A0CA3" w:rsidRPr="000B7C58" w:rsidTr="00F123DC">
        <w:tc>
          <w:tcPr>
            <w:tcW w:w="3828" w:type="dxa"/>
          </w:tcPr>
          <w:p w:rsidR="002A0CA3" w:rsidRPr="00031FDF" w:rsidRDefault="002A0CA3" w:rsidP="00F123DC">
            <w:pPr>
              <w:spacing w:before="60"/>
              <w:jc w:val="left"/>
              <w:rPr>
                <w:u w:val="single"/>
                <w:lang w:val="en-GB"/>
              </w:rPr>
            </w:pPr>
            <w:r w:rsidRPr="00031FDF">
              <w:rPr>
                <w:u w:val="single"/>
                <w:lang w:val="en-GB"/>
              </w:rPr>
              <w:t>Category 3</w:t>
            </w:r>
          </w:p>
          <w:p w:rsidR="002A0CA3" w:rsidRPr="00031FDF" w:rsidRDefault="002A0CA3" w:rsidP="00F123DC">
            <w:pPr>
              <w:keepNext/>
              <w:keepLines/>
              <w:jc w:val="left"/>
              <w:rPr>
                <w:lang w:val="en-GB"/>
              </w:rPr>
            </w:pPr>
            <w:r w:rsidRPr="00031FDF">
              <w:rPr>
                <w:lang w:val="en-GB"/>
              </w:rPr>
              <w:t>Other</w:t>
            </w:r>
          </w:p>
        </w:tc>
        <w:tc>
          <w:tcPr>
            <w:tcW w:w="4678" w:type="dxa"/>
          </w:tcPr>
          <w:p w:rsidR="002A0CA3" w:rsidRPr="007667F8" w:rsidRDefault="002A0CA3" w:rsidP="00F123DC">
            <w:pPr>
              <w:keepNext/>
              <w:keepLines/>
              <w:spacing w:before="60"/>
              <w:jc w:val="left"/>
              <w:rPr>
                <w:szCs w:val="24"/>
              </w:rPr>
            </w:pPr>
          </w:p>
          <w:p w:rsidR="002A0CA3" w:rsidRPr="007667F8" w:rsidRDefault="002A0CA3" w:rsidP="00F123DC">
            <w:pPr>
              <w:jc w:val="left"/>
              <w:rPr>
                <w:color w:val="000000"/>
                <w:szCs w:val="24"/>
              </w:rPr>
            </w:pPr>
          </w:p>
        </w:tc>
        <w:tc>
          <w:tcPr>
            <w:tcW w:w="1275" w:type="dxa"/>
          </w:tcPr>
          <w:p w:rsidR="002A0CA3" w:rsidRPr="00031FDF" w:rsidRDefault="002A0CA3" w:rsidP="00F123DC">
            <w:pPr>
              <w:keepNext/>
              <w:keepLines/>
              <w:spacing w:before="60"/>
              <w:jc w:val="center"/>
              <w:rPr>
                <w:lang w:val="en-GB"/>
              </w:rPr>
            </w:pPr>
          </w:p>
          <w:p w:rsidR="002A0CA3" w:rsidRPr="00031FDF" w:rsidRDefault="002A0CA3" w:rsidP="00F123DC">
            <w:pPr>
              <w:keepNext/>
              <w:keepLines/>
              <w:jc w:val="center"/>
              <w:rPr>
                <w:lang w:val="en-GB"/>
              </w:rPr>
            </w:pPr>
            <w:r>
              <w:rPr>
                <w:szCs w:val="24"/>
                <w:lang w:val="en-GB"/>
              </w:rPr>
              <w:t>0</w:t>
            </w:r>
          </w:p>
        </w:tc>
      </w:tr>
      <w:tr w:rsidR="002A0CA3" w:rsidRPr="00536DFF" w:rsidTr="00F123DC">
        <w:trPr>
          <w:trHeight w:val="427"/>
        </w:trPr>
        <w:tc>
          <w:tcPr>
            <w:tcW w:w="3828" w:type="dxa"/>
          </w:tcPr>
          <w:p w:rsidR="002A0CA3" w:rsidRPr="00031FDF" w:rsidRDefault="002A0CA3" w:rsidP="00F123DC">
            <w:pPr>
              <w:keepNext/>
              <w:keepLines/>
              <w:spacing w:before="60"/>
              <w:jc w:val="left"/>
              <w:rPr>
                <w:rFonts w:eastAsia="MS Mincho"/>
              </w:rPr>
            </w:pPr>
            <w:r w:rsidRPr="00031FDF">
              <w:rPr>
                <w:rFonts w:eastAsia="MS Mincho"/>
                <w:u w:val="single"/>
              </w:rPr>
              <w:t>Category 4:</w:t>
            </w:r>
          </w:p>
          <w:p w:rsidR="002A0CA3" w:rsidRPr="00031FDF" w:rsidRDefault="002A0CA3" w:rsidP="00F123DC">
            <w:pPr>
              <w:keepNext/>
              <w:keepLines/>
              <w:jc w:val="left"/>
            </w:pPr>
            <w:r w:rsidRPr="00031FDF">
              <w:t>Discretionary waiving of fee for selected students</w:t>
            </w:r>
          </w:p>
        </w:tc>
        <w:tc>
          <w:tcPr>
            <w:tcW w:w="4678" w:type="dxa"/>
          </w:tcPr>
          <w:p w:rsidR="002A0CA3" w:rsidRDefault="002A0CA3" w:rsidP="00F123DC">
            <w:pPr>
              <w:keepNext/>
              <w:keepLines/>
              <w:spacing w:before="60"/>
              <w:jc w:val="left"/>
            </w:pPr>
          </w:p>
          <w:p w:rsidR="002A0CA3" w:rsidRPr="00031FDF" w:rsidRDefault="002A0CA3" w:rsidP="00F123DC">
            <w:pPr>
              <w:jc w:val="left"/>
            </w:pPr>
            <w:r>
              <w:rPr>
                <w:szCs w:val="24"/>
                <w:lang w:val="en-GB"/>
              </w:rPr>
              <w:t>UPOV</w:t>
            </w:r>
          </w:p>
        </w:tc>
        <w:tc>
          <w:tcPr>
            <w:tcW w:w="1275" w:type="dxa"/>
          </w:tcPr>
          <w:p w:rsidR="002A0CA3" w:rsidRPr="00031FDF" w:rsidRDefault="002A0CA3" w:rsidP="00F123DC">
            <w:pPr>
              <w:keepNext/>
              <w:keepLines/>
              <w:spacing w:before="60"/>
              <w:jc w:val="center"/>
              <w:rPr>
                <w:lang w:val="en-GB"/>
              </w:rPr>
            </w:pPr>
          </w:p>
          <w:p w:rsidR="002A0CA3" w:rsidRPr="00031FDF" w:rsidRDefault="002A0CA3" w:rsidP="00F123DC">
            <w:pPr>
              <w:spacing w:before="60"/>
              <w:jc w:val="center"/>
              <w:rPr>
                <w:b/>
                <w:lang w:val="en-GB"/>
              </w:rPr>
            </w:pPr>
            <w:r>
              <w:rPr>
                <w:szCs w:val="24"/>
                <w:lang w:val="en-GB"/>
              </w:rPr>
              <w:t>1</w:t>
            </w:r>
          </w:p>
        </w:tc>
      </w:tr>
      <w:tr w:rsidR="002A0CA3" w:rsidRPr="007159FE" w:rsidTr="00F123DC">
        <w:trPr>
          <w:trHeight w:val="427"/>
        </w:trPr>
        <w:tc>
          <w:tcPr>
            <w:tcW w:w="3828" w:type="dxa"/>
          </w:tcPr>
          <w:p w:rsidR="002A0CA3" w:rsidRPr="007159FE" w:rsidRDefault="002A0CA3" w:rsidP="00F123DC">
            <w:pPr>
              <w:spacing w:before="60"/>
              <w:jc w:val="left"/>
              <w:rPr>
                <w:u w:val="single"/>
              </w:rPr>
            </w:pPr>
            <w:r w:rsidRPr="007159FE">
              <w:rPr>
                <w:lang w:val="en-GB"/>
              </w:rPr>
              <w:t>TOTAL</w:t>
            </w:r>
          </w:p>
        </w:tc>
        <w:tc>
          <w:tcPr>
            <w:tcW w:w="4678" w:type="dxa"/>
          </w:tcPr>
          <w:p w:rsidR="002A0CA3" w:rsidRPr="007159FE" w:rsidRDefault="002A0CA3" w:rsidP="00F123DC">
            <w:pPr>
              <w:keepNext/>
              <w:keepLines/>
              <w:spacing w:before="60"/>
              <w:jc w:val="left"/>
              <w:rPr>
                <w:color w:val="000000"/>
                <w:szCs w:val="24"/>
              </w:rPr>
            </w:pPr>
          </w:p>
        </w:tc>
        <w:tc>
          <w:tcPr>
            <w:tcW w:w="1275" w:type="dxa"/>
          </w:tcPr>
          <w:p w:rsidR="002A0CA3" w:rsidRPr="007159FE" w:rsidRDefault="002A0CA3" w:rsidP="00F123DC">
            <w:pPr>
              <w:spacing w:before="60"/>
              <w:jc w:val="center"/>
              <w:rPr>
                <w:b/>
                <w:lang w:val="en-GB"/>
              </w:rPr>
            </w:pPr>
            <w:r w:rsidRPr="007159FE">
              <w:rPr>
                <w:szCs w:val="24"/>
                <w:lang w:val="en-GB"/>
              </w:rPr>
              <w:t>65</w:t>
            </w:r>
            <w:r w:rsidRPr="007159FE">
              <w:rPr>
                <w:b/>
                <w:lang w:val="en-GB"/>
              </w:rPr>
              <w:t xml:space="preserve"> </w:t>
            </w:r>
          </w:p>
        </w:tc>
      </w:tr>
    </w:tbl>
    <w:p w:rsidR="002A0CA3" w:rsidRPr="007159FE" w:rsidRDefault="002A0CA3" w:rsidP="002A0CA3"/>
    <w:tbl>
      <w:tblPr>
        <w:tblStyle w:val="TableGrid"/>
        <w:tblW w:w="8505" w:type="dxa"/>
        <w:tblInd w:w="-34" w:type="dxa"/>
        <w:tblLook w:val="01E0" w:firstRow="1" w:lastRow="1" w:firstColumn="1" w:lastColumn="1" w:noHBand="0" w:noVBand="0"/>
      </w:tblPr>
      <w:tblGrid>
        <w:gridCol w:w="4678"/>
        <w:gridCol w:w="1275"/>
        <w:gridCol w:w="1276"/>
        <w:gridCol w:w="1276"/>
      </w:tblGrid>
      <w:tr w:rsidR="00B0294A" w:rsidRPr="007159FE" w:rsidTr="00B0294A">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left"/>
              <w:rPr>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English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French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Spanish</w:t>
            </w:r>
          </w:p>
        </w:tc>
      </w:tr>
      <w:tr w:rsidR="00B0294A" w:rsidTr="00B0294A">
        <w:tc>
          <w:tcPr>
            <w:tcW w:w="4678"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left"/>
              <w:rPr>
                <w:lang w:val="en-GB"/>
              </w:rPr>
            </w:pPr>
            <w:r w:rsidRPr="007159FE">
              <w:rPr>
                <w:szCs w:val="24"/>
              </w:rPr>
              <w:t>DL-305B, Session I, 2015:  Total by language</w:t>
            </w:r>
          </w:p>
        </w:tc>
        <w:tc>
          <w:tcPr>
            <w:tcW w:w="1275"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48</w:t>
            </w:r>
          </w:p>
        </w:tc>
        <w:tc>
          <w:tcPr>
            <w:tcW w:w="1276"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1</w:t>
            </w:r>
          </w:p>
        </w:tc>
        <w:tc>
          <w:tcPr>
            <w:tcW w:w="1276"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16</w:t>
            </w:r>
          </w:p>
        </w:tc>
      </w:tr>
    </w:tbl>
    <w:p w:rsidR="002A0CA3" w:rsidRPr="002F2521" w:rsidRDefault="002A0CA3" w:rsidP="00947133">
      <w:pPr>
        <w:keepNext/>
        <w:jc w:val="center"/>
        <w:rPr>
          <w:u w:val="single"/>
        </w:rPr>
      </w:pPr>
      <w:r w:rsidRPr="002F2521">
        <w:rPr>
          <w:u w:val="single"/>
        </w:rPr>
        <w:t>DL-305 “</w:t>
      </w:r>
      <w:r w:rsidRPr="002F2521">
        <w:rPr>
          <w:rFonts w:cs="Arial"/>
          <w:u w:val="single"/>
        </w:rPr>
        <w:t>Examination of applications for plant breeders’ rights”</w:t>
      </w:r>
    </w:p>
    <w:p w:rsidR="002A0CA3" w:rsidRPr="00D6515A" w:rsidRDefault="002A0CA3" w:rsidP="00947133">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2A0CA3" w:rsidRPr="00D6515A" w:rsidTr="00F123DC">
        <w:trPr>
          <w:trHeight w:val="308"/>
        </w:trPr>
        <w:tc>
          <w:tcPr>
            <w:tcW w:w="9781" w:type="dxa"/>
            <w:gridSpan w:val="3"/>
            <w:shd w:val="pct5" w:color="auto" w:fill="FFFFFF"/>
          </w:tcPr>
          <w:p w:rsidR="002A0CA3" w:rsidRPr="00D6515A" w:rsidRDefault="002A0CA3" w:rsidP="00F123DC">
            <w:pPr>
              <w:pStyle w:val="Header"/>
              <w:keepNext/>
              <w:keepLines/>
              <w:spacing w:before="120" w:after="120"/>
              <w:rPr>
                <w:lang w:val="en-GB"/>
              </w:rPr>
            </w:pPr>
            <w:r>
              <w:rPr>
                <w:lang w:val="en-GB"/>
              </w:rPr>
              <w:t>S</w:t>
            </w:r>
            <w:r w:rsidRPr="00031FDF">
              <w:rPr>
                <w:lang w:val="en-GB"/>
              </w:rPr>
              <w:t xml:space="preserve">ession </w:t>
            </w:r>
            <w:r>
              <w:rPr>
                <w:lang w:val="en-GB"/>
              </w:rPr>
              <w:t>I,</w:t>
            </w:r>
            <w:r w:rsidRPr="00031FDF">
              <w:rPr>
                <w:lang w:val="en-GB"/>
              </w:rPr>
              <w:t xml:space="preserve"> 201</w:t>
            </w:r>
            <w:r>
              <w:rPr>
                <w:lang w:val="en-GB"/>
              </w:rPr>
              <w:t>5</w:t>
            </w:r>
            <w:r w:rsidRPr="00031FDF">
              <w:rPr>
                <w:lang w:val="en-GB"/>
              </w:rPr>
              <w:t xml:space="preserve">:  </w:t>
            </w:r>
            <w:r>
              <w:rPr>
                <w:lang w:val="en-GB"/>
              </w:rPr>
              <w:t>April/</w:t>
            </w:r>
            <w:r w:rsidRPr="00031FDF">
              <w:rPr>
                <w:lang w:val="en-GB"/>
              </w:rPr>
              <w:t>May</w:t>
            </w:r>
          </w:p>
        </w:tc>
      </w:tr>
      <w:tr w:rsidR="002A0CA3" w:rsidRPr="00D6515A" w:rsidTr="00F123DC">
        <w:trPr>
          <w:trHeight w:val="308"/>
        </w:trPr>
        <w:tc>
          <w:tcPr>
            <w:tcW w:w="3828"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Category</w:t>
            </w:r>
          </w:p>
        </w:tc>
        <w:tc>
          <w:tcPr>
            <w:tcW w:w="4678" w:type="dxa"/>
            <w:shd w:val="pct5" w:color="auto" w:fill="FFFFFF"/>
            <w:vAlign w:val="center"/>
          </w:tcPr>
          <w:p w:rsidR="002A0CA3" w:rsidRPr="00D6515A" w:rsidRDefault="002A0CA3" w:rsidP="00F123DC">
            <w:pPr>
              <w:pStyle w:val="Header"/>
              <w:keepNext/>
              <w:keepLines/>
              <w:spacing w:before="60" w:after="60"/>
              <w:rPr>
                <w:lang w:val="en-GB"/>
              </w:rPr>
            </w:pPr>
            <w:r>
              <w:rPr>
                <w:lang w:val="en-GB"/>
              </w:rPr>
              <w:t xml:space="preserve">Participants </w:t>
            </w:r>
            <w:r w:rsidRPr="00D6515A">
              <w:rPr>
                <w:lang w:val="en-GB"/>
              </w:rPr>
              <w:t>from</w:t>
            </w:r>
          </w:p>
        </w:tc>
        <w:tc>
          <w:tcPr>
            <w:tcW w:w="1275" w:type="dxa"/>
            <w:shd w:val="pct5" w:color="auto" w:fill="FFFFFF"/>
            <w:vAlign w:val="center"/>
          </w:tcPr>
          <w:p w:rsidR="002A0CA3" w:rsidRPr="00D6515A" w:rsidRDefault="002A0CA3" w:rsidP="00F123DC">
            <w:pPr>
              <w:pStyle w:val="Header"/>
              <w:keepNext/>
              <w:keepLines/>
              <w:spacing w:before="60" w:after="60"/>
              <w:rPr>
                <w:lang w:val="en-GB"/>
              </w:rPr>
            </w:pPr>
            <w:r w:rsidRPr="00D6515A">
              <w:rPr>
                <w:lang w:val="en-GB"/>
              </w:rPr>
              <w:t xml:space="preserve">Number of </w:t>
            </w:r>
            <w:r>
              <w:rPr>
                <w:lang w:val="en-GB"/>
              </w:rPr>
              <w:t>participants</w:t>
            </w:r>
          </w:p>
        </w:tc>
      </w:tr>
      <w:tr w:rsidR="002A0CA3" w:rsidRPr="000B7C58" w:rsidTr="00F123DC">
        <w:trPr>
          <w:trHeight w:val="309"/>
        </w:trPr>
        <w:tc>
          <w:tcPr>
            <w:tcW w:w="3828" w:type="dxa"/>
          </w:tcPr>
          <w:p w:rsidR="002A0CA3" w:rsidRPr="00031FDF" w:rsidRDefault="002A0CA3" w:rsidP="00F123DC">
            <w:pPr>
              <w:keepNext/>
              <w:keepLines/>
              <w:spacing w:before="60"/>
              <w:jc w:val="left"/>
              <w:rPr>
                <w:u w:val="single"/>
                <w:lang w:val="en-GB"/>
              </w:rPr>
            </w:pPr>
            <w:r w:rsidRPr="00031FDF">
              <w:rPr>
                <w:u w:val="single"/>
                <w:lang w:val="en-GB"/>
              </w:rPr>
              <w:t>Category 1</w:t>
            </w:r>
          </w:p>
          <w:p w:rsidR="002A0CA3" w:rsidRPr="00031FDF" w:rsidRDefault="002A0CA3" w:rsidP="00F123DC">
            <w:pPr>
              <w:keepNext/>
              <w:keepLines/>
              <w:jc w:val="left"/>
              <w:rPr>
                <w:snapToGrid w:val="0"/>
                <w:color w:val="000000"/>
              </w:rPr>
            </w:pPr>
            <w:r w:rsidRPr="00031FDF">
              <w:t>Officials of members of the Union</w:t>
            </w:r>
          </w:p>
          <w:p w:rsidR="002A0CA3" w:rsidRPr="00031FDF" w:rsidRDefault="002A0CA3" w:rsidP="00F123DC">
            <w:pPr>
              <w:keepNext/>
              <w:keepLines/>
              <w:jc w:val="left"/>
              <w:rPr>
                <w:lang w:val="en-GB"/>
              </w:rPr>
            </w:pPr>
          </w:p>
        </w:tc>
        <w:tc>
          <w:tcPr>
            <w:tcW w:w="4678" w:type="dxa"/>
          </w:tcPr>
          <w:p w:rsidR="002A0CA3" w:rsidRPr="002C12D8" w:rsidRDefault="002A0CA3" w:rsidP="00F123DC">
            <w:pPr>
              <w:keepNext/>
              <w:keepLines/>
              <w:spacing w:before="60"/>
              <w:jc w:val="left"/>
              <w:rPr>
                <w:color w:val="000000"/>
                <w:szCs w:val="24"/>
                <w:lang w:val="en-GB"/>
              </w:rPr>
            </w:pPr>
          </w:p>
          <w:p w:rsidR="002A0CA3" w:rsidRDefault="002A0CA3" w:rsidP="00F123DC">
            <w:pPr>
              <w:jc w:val="left"/>
              <w:rPr>
                <w:rFonts w:cs="Arial"/>
              </w:rPr>
            </w:pPr>
            <w:r>
              <w:rPr>
                <w:rFonts w:cs="Arial"/>
              </w:rPr>
              <w:t xml:space="preserve">Argentina, Bolivia, Canada, Chile, Costa Rica, Croatia, Czech Republic, Ecuador, Finland, France, Hungary, Italy, Japan, Kenya, Mexico, Moldova, New Zealand, the Netherlands, Nicaragua, OAPI, Paraguay, </w:t>
            </w:r>
            <w:r w:rsidRPr="00EA7F25">
              <w:rPr>
                <w:rFonts w:cs="Arial"/>
              </w:rPr>
              <w:t>People’s Democratic Republic of China</w:t>
            </w:r>
            <w:r>
              <w:rPr>
                <w:rFonts w:cs="Arial"/>
              </w:rPr>
              <w:t>, Peru, Republic of Korea, Russian Federation, Slovakia, South Africa, Spain, United Kingdom, United States of America, Uruguay</w:t>
            </w:r>
          </w:p>
          <w:p w:rsidR="002A0CA3" w:rsidRPr="00B72A23" w:rsidRDefault="002A0CA3" w:rsidP="00F123DC">
            <w:pPr>
              <w:jc w:val="left"/>
              <w:rPr>
                <w:rFonts w:cs="Arial"/>
              </w:rPr>
            </w:pPr>
          </w:p>
        </w:tc>
        <w:tc>
          <w:tcPr>
            <w:tcW w:w="1275" w:type="dxa"/>
          </w:tcPr>
          <w:p w:rsidR="002A0CA3" w:rsidRPr="00031FDF" w:rsidRDefault="002A0CA3" w:rsidP="00F123DC">
            <w:pPr>
              <w:keepNext/>
              <w:keepLines/>
              <w:spacing w:before="60"/>
              <w:jc w:val="center"/>
              <w:rPr>
                <w:lang w:val="en-GB"/>
              </w:rPr>
            </w:pPr>
          </w:p>
          <w:p w:rsidR="002A0CA3" w:rsidRPr="00031FDF" w:rsidRDefault="002A0CA3" w:rsidP="00F123DC">
            <w:pPr>
              <w:keepNext/>
              <w:keepLines/>
              <w:jc w:val="center"/>
              <w:rPr>
                <w:lang w:val="es-AR"/>
              </w:rPr>
            </w:pPr>
            <w:r>
              <w:rPr>
                <w:lang w:val="es-AR"/>
              </w:rPr>
              <w:t>112</w:t>
            </w:r>
          </w:p>
        </w:tc>
      </w:tr>
      <w:tr w:rsidR="002A0CA3" w:rsidRPr="000B7C58" w:rsidTr="00F123DC">
        <w:trPr>
          <w:trHeight w:val="308"/>
        </w:trPr>
        <w:tc>
          <w:tcPr>
            <w:tcW w:w="3828" w:type="dxa"/>
          </w:tcPr>
          <w:p w:rsidR="002A0CA3" w:rsidRPr="00031FDF" w:rsidRDefault="002A0CA3" w:rsidP="00F123DC">
            <w:pPr>
              <w:keepNext/>
              <w:keepLines/>
              <w:spacing w:before="60"/>
              <w:jc w:val="left"/>
              <w:rPr>
                <w:u w:val="single"/>
                <w:lang w:val="en-GB"/>
              </w:rPr>
            </w:pPr>
            <w:r w:rsidRPr="00031FDF">
              <w:rPr>
                <w:u w:val="single"/>
                <w:lang w:val="en-GB"/>
              </w:rPr>
              <w:t>Category 2</w:t>
            </w:r>
          </w:p>
          <w:p w:rsidR="002A0CA3" w:rsidRPr="00031FDF" w:rsidRDefault="002A0CA3" w:rsidP="00F123DC">
            <w:pPr>
              <w:keepNext/>
              <w:keepLines/>
              <w:jc w:val="left"/>
            </w:pPr>
            <w:r w:rsidRPr="00031FDF">
              <w:t>Officials of observer States / intergovernmental organizations / others</w:t>
            </w:r>
          </w:p>
          <w:p w:rsidR="002A0CA3" w:rsidRPr="00031FDF" w:rsidRDefault="002A0CA3" w:rsidP="00F123DC">
            <w:pPr>
              <w:keepNext/>
              <w:keepLines/>
              <w:jc w:val="left"/>
              <w:rPr>
                <w:lang w:val="en-GB"/>
              </w:rPr>
            </w:pPr>
          </w:p>
        </w:tc>
        <w:tc>
          <w:tcPr>
            <w:tcW w:w="4678" w:type="dxa"/>
          </w:tcPr>
          <w:p w:rsidR="002A0CA3" w:rsidRDefault="002A0CA3" w:rsidP="00F123DC">
            <w:pPr>
              <w:jc w:val="left"/>
              <w:rPr>
                <w:szCs w:val="24"/>
                <w:lang w:val="en-GB"/>
              </w:rPr>
            </w:pPr>
          </w:p>
          <w:p w:rsidR="002A0CA3" w:rsidRPr="00C33153" w:rsidRDefault="002A0CA3" w:rsidP="00F123DC">
            <w:pPr>
              <w:jc w:val="left"/>
            </w:pPr>
            <w:r>
              <w:rPr>
                <w:szCs w:val="24"/>
                <w:lang w:val="en-GB"/>
              </w:rPr>
              <w:t>Malaysia, Cuba, Honduras, Paraguay</w:t>
            </w:r>
          </w:p>
        </w:tc>
        <w:tc>
          <w:tcPr>
            <w:tcW w:w="1275" w:type="dxa"/>
          </w:tcPr>
          <w:p w:rsidR="002A0CA3" w:rsidRPr="00031FDF" w:rsidRDefault="002A0CA3" w:rsidP="00F123DC">
            <w:pPr>
              <w:keepNext/>
              <w:keepLines/>
              <w:spacing w:before="60"/>
              <w:jc w:val="center"/>
            </w:pPr>
          </w:p>
          <w:p w:rsidR="002A0CA3" w:rsidRPr="00031FDF" w:rsidRDefault="002A0CA3" w:rsidP="00F123DC">
            <w:pPr>
              <w:keepNext/>
              <w:keepLines/>
              <w:jc w:val="center"/>
              <w:rPr>
                <w:lang w:val="es-ES"/>
              </w:rPr>
            </w:pPr>
            <w:r>
              <w:rPr>
                <w:szCs w:val="24"/>
                <w:lang w:val="en-GB"/>
              </w:rPr>
              <w:t>4</w:t>
            </w:r>
          </w:p>
        </w:tc>
      </w:tr>
      <w:tr w:rsidR="002A0CA3" w:rsidRPr="000B7C58" w:rsidTr="00F123DC">
        <w:tc>
          <w:tcPr>
            <w:tcW w:w="3828" w:type="dxa"/>
          </w:tcPr>
          <w:p w:rsidR="002A0CA3" w:rsidRPr="00031FDF" w:rsidRDefault="002A0CA3" w:rsidP="00F123DC">
            <w:pPr>
              <w:spacing w:before="60"/>
              <w:jc w:val="left"/>
              <w:rPr>
                <w:u w:val="single"/>
                <w:lang w:val="en-GB"/>
              </w:rPr>
            </w:pPr>
            <w:r w:rsidRPr="00031FDF">
              <w:rPr>
                <w:u w:val="single"/>
                <w:lang w:val="en-GB"/>
              </w:rPr>
              <w:t>Category 3</w:t>
            </w:r>
          </w:p>
          <w:p w:rsidR="002A0CA3" w:rsidRDefault="002A0CA3" w:rsidP="00F123DC">
            <w:pPr>
              <w:keepNext/>
              <w:keepLines/>
              <w:jc w:val="left"/>
              <w:rPr>
                <w:lang w:val="en-GB"/>
              </w:rPr>
            </w:pPr>
            <w:r w:rsidRPr="00031FDF">
              <w:rPr>
                <w:lang w:val="en-GB"/>
              </w:rPr>
              <w:t>Other</w:t>
            </w:r>
          </w:p>
          <w:p w:rsidR="002A0CA3" w:rsidRPr="00031FDF" w:rsidRDefault="002A0CA3" w:rsidP="00F123DC">
            <w:pPr>
              <w:keepNext/>
              <w:keepLines/>
              <w:jc w:val="left"/>
              <w:rPr>
                <w:lang w:val="en-GB"/>
              </w:rPr>
            </w:pPr>
          </w:p>
        </w:tc>
        <w:tc>
          <w:tcPr>
            <w:tcW w:w="4678" w:type="dxa"/>
          </w:tcPr>
          <w:p w:rsidR="002A0CA3" w:rsidRPr="007667F8" w:rsidRDefault="002A0CA3" w:rsidP="00F123DC">
            <w:pPr>
              <w:keepNext/>
              <w:keepLines/>
              <w:spacing w:before="60"/>
              <w:jc w:val="left"/>
              <w:rPr>
                <w:szCs w:val="24"/>
              </w:rPr>
            </w:pPr>
          </w:p>
          <w:p w:rsidR="002A0CA3" w:rsidRPr="007667F8" w:rsidRDefault="002A0CA3" w:rsidP="00F123DC">
            <w:pPr>
              <w:jc w:val="left"/>
              <w:rPr>
                <w:color w:val="000000"/>
                <w:szCs w:val="24"/>
              </w:rPr>
            </w:pPr>
            <w:r>
              <w:rPr>
                <w:szCs w:val="24"/>
                <w:lang w:val="en-GB"/>
              </w:rPr>
              <w:t>United States of America</w:t>
            </w:r>
          </w:p>
        </w:tc>
        <w:tc>
          <w:tcPr>
            <w:tcW w:w="1275" w:type="dxa"/>
          </w:tcPr>
          <w:p w:rsidR="002A0CA3" w:rsidRPr="00031FDF" w:rsidRDefault="002A0CA3" w:rsidP="00F123DC">
            <w:pPr>
              <w:keepNext/>
              <w:keepLines/>
              <w:spacing w:before="60"/>
              <w:jc w:val="center"/>
              <w:rPr>
                <w:lang w:val="en-GB"/>
              </w:rPr>
            </w:pPr>
          </w:p>
          <w:p w:rsidR="002A0CA3" w:rsidRPr="00031FDF" w:rsidRDefault="002A0CA3" w:rsidP="00F123DC">
            <w:pPr>
              <w:keepNext/>
              <w:keepLines/>
              <w:jc w:val="center"/>
              <w:rPr>
                <w:lang w:val="en-GB"/>
              </w:rPr>
            </w:pPr>
            <w:r>
              <w:rPr>
                <w:lang w:val="en-GB"/>
              </w:rPr>
              <w:t>1</w:t>
            </w:r>
          </w:p>
        </w:tc>
      </w:tr>
      <w:tr w:rsidR="002A0CA3" w:rsidRPr="00536DFF" w:rsidTr="00F123DC">
        <w:trPr>
          <w:trHeight w:val="427"/>
        </w:trPr>
        <w:tc>
          <w:tcPr>
            <w:tcW w:w="3828" w:type="dxa"/>
          </w:tcPr>
          <w:p w:rsidR="002A0CA3" w:rsidRPr="00031FDF" w:rsidRDefault="002A0CA3" w:rsidP="00F123DC">
            <w:pPr>
              <w:keepNext/>
              <w:keepLines/>
              <w:spacing w:before="60"/>
              <w:jc w:val="left"/>
              <w:rPr>
                <w:rFonts w:eastAsia="MS Mincho"/>
              </w:rPr>
            </w:pPr>
            <w:r w:rsidRPr="00031FDF">
              <w:rPr>
                <w:rFonts w:eastAsia="MS Mincho"/>
                <w:u w:val="single"/>
              </w:rPr>
              <w:t>Category 4:</w:t>
            </w:r>
          </w:p>
          <w:p w:rsidR="002A0CA3" w:rsidRPr="00031FDF" w:rsidRDefault="002A0CA3" w:rsidP="00F123DC">
            <w:pPr>
              <w:keepNext/>
              <w:keepLines/>
              <w:jc w:val="left"/>
            </w:pPr>
            <w:r w:rsidRPr="00031FDF">
              <w:t>Discretionary waiving of fee for selected students</w:t>
            </w:r>
          </w:p>
        </w:tc>
        <w:tc>
          <w:tcPr>
            <w:tcW w:w="4678" w:type="dxa"/>
          </w:tcPr>
          <w:p w:rsidR="002A0CA3" w:rsidRDefault="002A0CA3" w:rsidP="00F123DC">
            <w:pPr>
              <w:keepNext/>
              <w:keepLines/>
              <w:spacing w:before="60"/>
              <w:jc w:val="left"/>
            </w:pPr>
          </w:p>
          <w:p w:rsidR="002A0CA3" w:rsidRPr="00031FDF" w:rsidRDefault="002A0CA3" w:rsidP="00F123DC">
            <w:pPr>
              <w:jc w:val="left"/>
            </w:pPr>
            <w:r>
              <w:rPr>
                <w:szCs w:val="24"/>
                <w:lang w:val="en-GB"/>
              </w:rPr>
              <w:t>UPOV</w:t>
            </w:r>
          </w:p>
        </w:tc>
        <w:tc>
          <w:tcPr>
            <w:tcW w:w="1275" w:type="dxa"/>
          </w:tcPr>
          <w:p w:rsidR="002A0CA3" w:rsidRPr="00031FDF" w:rsidRDefault="002A0CA3" w:rsidP="00F123DC">
            <w:pPr>
              <w:keepNext/>
              <w:keepLines/>
              <w:spacing w:before="60"/>
              <w:jc w:val="center"/>
              <w:rPr>
                <w:lang w:val="en-GB"/>
              </w:rPr>
            </w:pPr>
          </w:p>
          <w:p w:rsidR="002A0CA3" w:rsidRPr="00BA77B0" w:rsidRDefault="002A0CA3" w:rsidP="00F123DC">
            <w:pPr>
              <w:spacing w:before="60"/>
              <w:jc w:val="center"/>
              <w:rPr>
                <w:lang w:val="en-GB"/>
              </w:rPr>
            </w:pPr>
            <w:r w:rsidRPr="00BA77B0">
              <w:rPr>
                <w:lang w:val="en-GB"/>
              </w:rPr>
              <w:t>1</w:t>
            </w:r>
          </w:p>
        </w:tc>
      </w:tr>
      <w:tr w:rsidR="002A0CA3" w:rsidRPr="007159FE" w:rsidTr="00F123DC">
        <w:trPr>
          <w:trHeight w:val="427"/>
        </w:trPr>
        <w:tc>
          <w:tcPr>
            <w:tcW w:w="3828" w:type="dxa"/>
          </w:tcPr>
          <w:p w:rsidR="002A0CA3" w:rsidRPr="007159FE" w:rsidRDefault="002A0CA3" w:rsidP="00F123DC">
            <w:pPr>
              <w:spacing w:before="60"/>
              <w:jc w:val="left"/>
              <w:rPr>
                <w:u w:val="single"/>
              </w:rPr>
            </w:pPr>
            <w:r w:rsidRPr="007159FE">
              <w:rPr>
                <w:lang w:val="en-GB"/>
              </w:rPr>
              <w:t>TOTAL</w:t>
            </w:r>
          </w:p>
        </w:tc>
        <w:tc>
          <w:tcPr>
            <w:tcW w:w="4678" w:type="dxa"/>
          </w:tcPr>
          <w:p w:rsidR="002A0CA3" w:rsidRPr="007159FE" w:rsidRDefault="002A0CA3" w:rsidP="00F123DC">
            <w:pPr>
              <w:keepNext/>
              <w:keepLines/>
              <w:spacing w:before="60"/>
              <w:jc w:val="left"/>
              <w:rPr>
                <w:color w:val="000000"/>
                <w:szCs w:val="24"/>
              </w:rPr>
            </w:pPr>
          </w:p>
        </w:tc>
        <w:tc>
          <w:tcPr>
            <w:tcW w:w="1275" w:type="dxa"/>
          </w:tcPr>
          <w:p w:rsidR="002A0CA3" w:rsidRPr="007159FE" w:rsidRDefault="002A0CA3" w:rsidP="00F123DC">
            <w:pPr>
              <w:spacing w:before="60"/>
              <w:jc w:val="center"/>
              <w:rPr>
                <w:b/>
                <w:lang w:val="en-GB"/>
              </w:rPr>
            </w:pPr>
            <w:r w:rsidRPr="007159FE">
              <w:rPr>
                <w:szCs w:val="24"/>
                <w:lang w:val="en-GB"/>
              </w:rPr>
              <w:t>118</w:t>
            </w:r>
          </w:p>
        </w:tc>
      </w:tr>
    </w:tbl>
    <w:p w:rsidR="002A0CA3" w:rsidRPr="007159FE" w:rsidRDefault="002A0CA3" w:rsidP="002A0CA3"/>
    <w:tbl>
      <w:tblPr>
        <w:tblStyle w:val="TableGrid"/>
        <w:tblW w:w="8505" w:type="dxa"/>
        <w:tblInd w:w="-34" w:type="dxa"/>
        <w:tblLook w:val="01E0" w:firstRow="1" w:lastRow="1" w:firstColumn="1" w:lastColumn="1" w:noHBand="0" w:noVBand="0"/>
      </w:tblPr>
      <w:tblGrid>
        <w:gridCol w:w="4678"/>
        <w:gridCol w:w="1275"/>
        <w:gridCol w:w="1276"/>
        <w:gridCol w:w="1276"/>
      </w:tblGrid>
      <w:tr w:rsidR="00B0294A" w:rsidRPr="007159FE" w:rsidTr="00B0294A">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left"/>
              <w:rPr>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English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French</w:t>
            </w:r>
          </w:p>
        </w:tc>
        <w:tc>
          <w:tcPr>
            <w:tcW w:w="1276" w:type="dxa"/>
            <w:tcBorders>
              <w:top w:val="single" w:sz="4" w:space="0" w:color="auto"/>
              <w:left w:val="single" w:sz="4" w:space="0" w:color="auto"/>
              <w:bottom w:val="single" w:sz="4" w:space="0" w:color="auto"/>
              <w:right w:val="single" w:sz="4" w:space="0" w:color="auto"/>
            </w:tcBorders>
            <w:vAlign w:val="center"/>
          </w:tcPr>
          <w:p w:rsidR="00B0294A" w:rsidRPr="007159FE" w:rsidRDefault="00B0294A" w:rsidP="00F123DC">
            <w:pPr>
              <w:spacing w:before="40" w:after="40"/>
              <w:jc w:val="center"/>
              <w:rPr>
                <w:lang w:val="en-GB"/>
              </w:rPr>
            </w:pPr>
            <w:r w:rsidRPr="007159FE">
              <w:rPr>
                <w:lang w:val="en-GB"/>
              </w:rPr>
              <w:t>Spanish</w:t>
            </w:r>
          </w:p>
        </w:tc>
      </w:tr>
      <w:tr w:rsidR="00B0294A" w:rsidTr="00B0294A">
        <w:tc>
          <w:tcPr>
            <w:tcW w:w="4678"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left"/>
              <w:rPr>
                <w:lang w:val="en-GB"/>
              </w:rPr>
            </w:pPr>
            <w:r w:rsidRPr="007159FE">
              <w:rPr>
                <w:szCs w:val="24"/>
              </w:rPr>
              <w:t>DL-305, Session I, 2015:  Total by language</w:t>
            </w:r>
          </w:p>
        </w:tc>
        <w:tc>
          <w:tcPr>
            <w:tcW w:w="1275"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51</w:t>
            </w:r>
          </w:p>
        </w:tc>
        <w:tc>
          <w:tcPr>
            <w:tcW w:w="1276" w:type="dxa"/>
            <w:tcBorders>
              <w:top w:val="single" w:sz="4" w:space="0" w:color="auto"/>
              <w:left w:val="single" w:sz="4" w:space="0" w:color="auto"/>
              <w:bottom w:val="single" w:sz="4" w:space="0" w:color="auto"/>
              <w:right w:val="single" w:sz="4" w:space="0" w:color="auto"/>
            </w:tcBorders>
          </w:tcPr>
          <w:p w:rsidR="00B0294A" w:rsidRPr="007159FE" w:rsidRDefault="00B0294A" w:rsidP="00F123DC">
            <w:pPr>
              <w:spacing w:before="40" w:after="40"/>
              <w:jc w:val="center"/>
              <w:rPr>
                <w:lang w:val="en-GB"/>
              </w:rPr>
            </w:pPr>
            <w:r w:rsidRPr="007159FE">
              <w:rPr>
                <w:szCs w:val="24"/>
                <w:lang w:val="en-GB"/>
              </w:rPr>
              <w:t>4</w:t>
            </w:r>
          </w:p>
        </w:tc>
        <w:tc>
          <w:tcPr>
            <w:tcW w:w="1276" w:type="dxa"/>
            <w:tcBorders>
              <w:top w:val="single" w:sz="4" w:space="0" w:color="auto"/>
              <w:left w:val="single" w:sz="4" w:space="0" w:color="auto"/>
              <w:bottom w:val="single" w:sz="4" w:space="0" w:color="auto"/>
              <w:right w:val="single" w:sz="4" w:space="0" w:color="auto"/>
            </w:tcBorders>
          </w:tcPr>
          <w:p w:rsidR="00B0294A" w:rsidRPr="0045640E" w:rsidRDefault="00B0294A" w:rsidP="00F123DC">
            <w:pPr>
              <w:spacing w:before="40" w:after="40"/>
              <w:jc w:val="center"/>
              <w:rPr>
                <w:lang w:val="en-GB"/>
              </w:rPr>
            </w:pPr>
            <w:r w:rsidRPr="007159FE">
              <w:rPr>
                <w:szCs w:val="24"/>
                <w:lang w:val="en-GB"/>
              </w:rPr>
              <w:t>63</w:t>
            </w:r>
          </w:p>
        </w:tc>
      </w:tr>
    </w:tbl>
    <w:p w:rsidR="002A0CA3" w:rsidRDefault="002A0CA3" w:rsidP="002A0CA3"/>
    <w:p w:rsidR="002A0CA3" w:rsidRDefault="002A0CA3" w:rsidP="002A0CA3"/>
    <w:p w:rsidR="002A0CA3" w:rsidRPr="002F2521" w:rsidRDefault="002A0CA3" w:rsidP="002A0CA3">
      <w:pPr>
        <w:jc w:val="center"/>
        <w:rPr>
          <w:u w:val="single"/>
        </w:rPr>
      </w:pPr>
      <w:r>
        <w:rPr>
          <w:u w:val="single"/>
        </w:rPr>
        <w:t>Special sessions of</w:t>
      </w:r>
      <w:r>
        <w:rPr>
          <w:u w:val="single"/>
        </w:rPr>
        <w:br/>
      </w:r>
      <w:r w:rsidRPr="002F2521">
        <w:rPr>
          <w:u w:val="single"/>
        </w:rPr>
        <w:t>DL-</w:t>
      </w:r>
      <w:r>
        <w:rPr>
          <w:u w:val="single"/>
        </w:rPr>
        <w:t>2</w:t>
      </w:r>
      <w:r w:rsidRPr="002F2521">
        <w:rPr>
          <w:u w:val="single"/>
        </w:rPr>
        <w:t>05 “</w:t>
      </w:r>
      <w:r w:rsidRPr="002F2521">
        <w:rPr>
          <w:rFonts w:cs="Arial"/>
          <w:u w:val="single"/>
        </w:rPr>
        <w:t>Introduction to the UPOV System of Plant Variety Protection under the UPOV Convention”</w:t>
      </w:r>
    </w:p>
    <w:p w:rsidR="002A0CA3" w:rsidRDefault="002A0CA3" w:rsidP="002A0CA3">
      <w:pPr>
        <w:rPr>
          <w:lang w:val="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2A0CA3" w:rsidRPr="002F2521" w:rsidTr="00F123DC">
        <w:trPr>
          <w:trHeight w:val="308"/>
        </w:trPr>
        <w:tc>
          <w:tcPr>
            <w:tcW w:w="3828" w:type="dxa"/>
            <w:tcBorders>
              <w:bottom w:val="single" w:sz="4" w:space="0" w:color="auto"/>
            </w:tcBorders>
            <w:shd w:val="pct5" w:color="auto" w:fill="FFFFFF"/>
            <w:vAlign w:val="center"/>
          </w:tcPr>
          <w:p w:rsidR="002A0CA3" w:rsidRPr="002F2521" w:rsidRDefault="002A0CA3" w:rsidP="00F123DC">
            <w:pPr>
              <w:pStyle w:val="Header"/>
              <w:keepNext/>
              <w:keepLines/>
              <w:spacing w:before="60" w:after="60"/>
              <w:jc w:val="left"/>
              <w:rPr>
                <w:lang w:val="en-US"/>
              </w:rPr>
            </w:pPr>
            <w:r w:rsidRPr="002F2521">
              <w:rPr>
                <w:u w:val="single"/>
                <w:lang w:val="en-US"/>
              </w:rPr>
              <w:t xml:space="preserve">DL-205 </w:t>
            </w:r>
            <w:r>
              <w:rPr>
                <w:u w:val="single"/>
                <w:lang w:val="en-US"/>
              </w:rPr>
              <w:t>s</w:t>
            </w:r>
            <w:r w:rsidRPr="002F2521">
              <w:rPr>
                <w:u w:val="single"/>
                <w:lang w:val="en-US"/>
              </w:rPr>
              <w:t xml:space="preserve">pecial </w:t>
            </w:r>
            <w:r>
              <w:rPr>
                <w:u w:val="single"/>
                <w:lang w:val="en-US"/>
              </w:rPr>
              <w:t>s</w:t>
            </w:r>
            <w:r w:rsidRPr="002F2521">
              <w:rPr>
                <w:u w:val="single"/>
                <w:lang w:val="en-US"/>
              </w:rPr>
              <w:t>essions for</w:t>
            </w:r>
            <w:r w:rsidRPr="002F2521">
              <w:rPr>
                <w:lang w:val="en-US"/>
              </w:rPr>
              <w:t>:</w:t>
            </w:r>
          </w:p>
        </w:tc>
        <w:tc>
          <w:tcPr>
            <w:tcW w:w="4678" w:type="dxa"/>
            <w:tcBorders>
              <w:left w:val="nil"/>
              <w:bottom w:val="single" w:sz="4" w:space="0" w:color="auto"/>
              <w:right w:val="single" w:sz="4" w:space="0" w:color="auto"/>
            </w:tcBorders>
            <w:shd w:val="pct5" w:color="auto" w:fill="FFFFFF"/>
            <w:vAlign w:val="center"/>
          </w:tcPr>
          <w:p w:rsidR="002A0CA3" w:rsidRPr="002F2521" w:rsidRDefault="002A0CA3" w:rsidP="00F123DC">
            <w:pPr>
              <w:pStyle w:val="Header"/>
              <w:keepNext/>
              <w:keepLines/>
              <w:spacing w:before="60" w:after="60"/>
              <w:rPr>
                <w:lang w:val="en-US"/>
              </w:rPr>
            </w:pPr>
            <w:r w:rsidRPr="002F2521">
              <w:rPr>
                <w:lang w:val="en-US"/>
              </w:rPr>
              <w:t>Participants from</w:t>
            </w:r>
          </w:p>
        </w:tc>
        <w:tc>
          <w:tcPr>
            <w:tcW w:w="1275" w:type="dxa"/>
            <w:tcBorders>
              <w:left w:val="nil"/>
              <w:bottom w:val="single" w:sz="4" w:space="0" w:color="auto"/>
              <w:right w:val="single" w:sz="4" w:space="0" w:color="auto"/>
            </w:tcBorders>
            <w:shd w:val="pct5" w:color="auto" w:fill="FFFFFF"/>
            <w:vAlign w:val="center"/>
          </w:tcPr>
          <w:p w:rsidR="002A0CA3" w:rsidRPr="002F2521" w:rsidRDefault="002A0CA3" w:rsidP="00F123DC">
            <w:pPr>
              <w:pStyle w:val="Header"/>
              <w:keepNext/>
              <w:keepLines/>
              <w:spacing w:before="60" w:after="60"/>
              <w:rPr>
                <w:lang w:val="en-US"/>
              </w:rPr>
            </w:pPr>
            <w:r w:rsidRPr="002F2521">
              <w:rPr>
                <w:lang w:val="en-US"/>
              </w:rPr>
              <w:t>Number of participants</w:t>
            </w:r>
          </w:p>
        </w:tc>
      </w:tr>
      <w:tr w:rsidR="002A0CA3" w:rsidRPr="000B7C58" w:rsidTr="00F123DC">
        <w:trPr>
          <w:trHeight w:val="427"/>
        </w:trPr>
        <w:tc>
          <w:tcPr>
            <w:tcW w:w="3828" w:type="dxa"/>
            <w:tcBorders>
              <w:top w:val="single" w:sz="4" w:space="0" w:color="auto"/>
              <w:bottom w:val="single" w:sz="4" w:space="0" w:color="auto"/>
              <w:right w:val="single" w:sz="4" w:space="0" w:color="auto"/>
            </w:tcBorders>
          </w:tcPr>
          <w:p w:rsidR="002A0CA3" w:rsidRPr="004A093C" w:rsidRDefault="002A0CA3" w:rsidP="00F123DC">
            <w:pPr>
              <w:spacing w:before="60"/>
              <w:jc w:val="left"/>
            </w:pPr>
            <w:proofErr w:type="spellStart"/>
            <w:r w:rsidRPr="004A093C">
              <w:t>Naktuinbouw</w:t>
            </w:r>
            <w:proofErr w:type="spellEnd"/>
            <w:r w:rsidRPr="004A093C">
              <w:t xml:space="preserve"> International Course on Plant Variety Protection Course (Netherlands)</w:t>
            </w:r>
          </w:p>
        </w:tc>
        <w:tc>
          <w:tcPr>
            <w:tcW w:w="4678" w:type="dxa"/>
            <w:tcBorders>
              <w:top w:val="single" w:sz="4" w:space="0" w:color="auto"/>
              <w:left w:val="single" w:sz="4" w:space="0" w:color="auto"/>
              <w:bottom w:val="single" w:sz="4" w:space="0" w:color="auto"/>
              <w:right w:val="single" w:sz="4" w:space="0" w:color="auto"/>
            </w:tcBorders>
          </w:tcPr>
          <w:p w:rsidR="002A0CA3" w:rsidRPr="00F2725A" w:rsidRDefault="002A0CA3" w:rsidP="00F123DC">
            <w:pPr>
              <w:spacing w:before="60"/>
              <w:jc w:val="left"/>
              <w:rPr>
                <w:rFonts w:cs="Arial"/>
                <w:color w:val="000000"/>
              </w:rPr>
            </w:pPr>
            <w:r w:rsidRPr="00F2725A">
              <w:rPr>
                <w:szCs w:val="24"/>
              </w:rPr>
              <w:t>Egypt, Ethiopia, Ghana, India, Indonesia, Kenya, Malaysia, the Netherlands, Nigeria</w:t>
            </w:r>
            <w:r>
              <w:rPr>
                <w:szCs w:val="24"/>
              </w:rPr>
              <w:t xml:space="preserve">, Poland, South Africa, </w:t>
            </w:r>
          </w:p>
        </w:tc>
        <w:tc>
          <w:tcPr>
            <w:tcW w:w="1275" w:type="dxa"/>
            <w:tcBorders>
              <w:top w:val="single" w:sz="4" w:space="0" w:color="auto"/>
              <w:left w:val="single" w:sz="4" w:space="0" w:color="auto"/>
              <w:bottom w:val="single" w:sz="4" w:space="0" w:color="auto"/>
              <w:right w:val="single" w:sz="4" w:space="0" w:color="auto"/>
            </w:tcBorders>
          </w:tcPr>
          <w:p w:rsidR="002A0CA3" w:rsidRPr="00C7300B" w:rsidRDefault="002A0CA3" w:rsidP="00F123DC">
            <w:pPr>
              <w:spacing w:before="60"/>
              <w:jc w:val="center"/>
              <w:rPr>
                <w:lang w:val="en-GB"/>
              </w:rPr>
            </w:pPr>
            <w:r>
              <w:rPr>
                <w:szCs w:val="24"/>
                <w:lang w:val="en-GB"/>
              </w:rPr>
              <w:t>14</w:t>
            </w:r>
          </w:p>
        </w:tc>
      </w:tr>
      <w:tr w:rsidR="002A0CA3" w:rsidRPr="00E24DBC" w:rsidTr="00F123DC">
        <w:trPr>
          <w:trHeight w:val="427"/>
        </w:trPr>
        <w:tc>
          <w:tcPr>
            <w:tcW w:w="3828" w:type="dxa"/>
            <w:tcBorders>
              <w:top w:val="single" w:sz="4" w:space="0" w:color="auto"/>
              <w:right w:val="single" w:sz="4" w:space="0" w:color="auto"/>
            </w:tcBorders>
          </w:tcPr>
          <w:p w:rsidR="002A0CA3" w:rsidRPr="00E24DBC" w:rsidRDefault="002A0CA3" w:rsidP="00F123DC">
            <w:pPr>
              <w:spacing w:before="60"/>
              <w:jc w:val="left"/>
            </w:pPr>
            <w:r w:rsidRPr="00E24DBC">
              <w:t>JICA Training Course on “Internationally Harmonized Plant Variety Protection System”</w:t>
            </w:r>
          </w:p>
        </w:tc>
        <w:tc>
          <w:tcPr>
            <w:tcW w:w="4678" w:type="dxa"/>
            <w:tcBorders>
              <w:top w:val="single" w:sz="4" w:space="0" w:color="auto"/>
              <w:left w:val="single" w:sz="4" w:space="0" w:color="auto"/>
              <w:right w:val="single" w:sz="4" w:space="0" w:color="auto"/>
            </w:tcBorders>
            <w:shd w:val="clear" w:color="auto" w:fill="auto"/>
          </w:tcPr>
          <w:p w:rsidR="002A0CA3" w:rsidRPr="00E24DBC" w:rsidRDefault="002A0CA3" w:rsidP="00F123DC">
            <w:pPr>
              <w:spacing w:before="60"/>
              <w:jc w:val="left"/>
              <w:rPr>
                <w:color w:val="000000"/>
                <w:szCs w:val="24"/>
              </w:rPr>
            </w:pPr>
            <w:r w:rsidRPr="00E24DBC">
              <w:rPr>
                <w:color w:val="000000"/>
                <w:szCs w:val="24"/>
              </w:rPr>
              <w:t xml:space="preserve">Burkina Faso, Cambodia, Ethiopia, Indonesia, Lao People’s Democratic Republic, Malaysia, Myanmar, Sri Lanka, Vietnam </w:t>
            </w:r>
          </w:p>
        </w:tc>
        <w:tc>
          <w:tcPr>
            <w:tcW w:w="1275" w:type="dxa"/>
            <w:tcBorders>
              <w:top w:val="single" w:sz="4" w:space="0" w:color="auto"/>
              <w:left w:val="single" w:sz="4" w:space="0" w:color="auto"/>
              <w:bottom w:val="single" w:sz="4" w:space="0" w:color="auto"/>
              <w:right w:val="single" w:sz="4" w:space="0" w:color="auto"/>
            </w:tcBorders>
          </w:tcPr>
          <w:p w:rsidR="002A0CA3" w:rsidRPr="00E24DBC" w:rsidRDefault="002A0CA3" w:rsidP="00F123DC">
            <w:pPr>
              <w:spacing w:before="60"/>
              <w:jc w:val="center"/>
              <w:rPr>
                <w:lang w:val="en-GB"/>
              </w:rPr>
            </w:pPr>
            <w:r w:rsidRPr="00E24DBC">
              <w:rPr>
                <w:szCs w:val="24"/>
                <w:lang w:val="en-GB"/>
              </w:rPr>
              <w:t>10</w:t>
            </w:r>
          </w:p>
        </w:tc>
      </w:tr>
      <w:tr w:rsidR="002A0CA3" w:rsidRPr="00E24DBC" w:rsidTr="00F123DC">
        <w:trPr>
          <w:trHeight w:val="427"/>
        </w:trPr>
        <w:tc>
          <w:tcPr>
            <w:tcW w:w="3828" w:type="dxa"/>
            <w:tcBorders>
              <w:top w:val="single" w:sz="4" w:space="0" w:color="auto"/>
              <w:bottom w:val="single" w:sz="4" w:space="0" w:color="auto"/>
              <w:right w:val="single" w:sz="4" w:space="0" w:color="auto"/>
            </w:tcBorders>
            <w:shd w:val="clear" w:color="auto" w:fill="auto"/>
          </w:tcPr>
          <w:p w:rsidR="002A0CA3" w:rsidRPr="00E24DBC" w:rsidRDefault="002A0CA3" w:rsidP="00F123DC">
            <w:pPr>
              <w:spacing w:before="60"/>
              <w:jc w:val="left"/>
            </w:pPr>
            <w:r w:rsidRPr="00E24DBC">
              <w:t>KOICA Training Course on Plant Variety Protection</w:t>
            </w:r>
          </w:p>
        </w:tc>
        <w:tc>
          <w:tcPr>
            <w:tcW w:w="4678" w:type="dxa"/>
            <w:tcBorders>
              <w:top w:val="single" w:sz="4" w:space="0" w:color="auto"/>
              <w:left w:val="single" w:sz="4" w:space="0" w:color="auto"/>
              <w:bottom w:val="single" w:sz="4" w:space="0" w:color="auto"/>
              <w:right w:val="single" w:sz="4" w:space="0" w:color="auto"/>
            </w:tcBorders>
          </w:tcPr>
          <w:p w:rsidR="002A0CA3" w:rsidRPr="00E24DBC" w:rsidRDefault="002A0CA3" w:rsidP="00F123DC">
            <w:pPr>
              <w:spacing w:before="60"/>
              <w:jc w:val="left"/>
              <w:rPr>
                <w:color w:val="000000"/>
                <w:szCs w:val="24"/>
                <w:lang w:val="en-GB"/>
              </w:rPr>
            </w:pPr>
            <w:r w:rsidRPr="00E24DBC">
              <w:rPr>
                <w:szCs w:val="24"/>
                <w:lang w:val="en-GB"/>
              </w:rPr>
              <w:t xml:space="preserve">Egypt, Indonesia, Kenya, </w:t>
            </w:r>
            <w:proofErr w:type="spellStart"/>
            <w:r w:rsidRPr="00E24DBC">
              <w:rPr>
                <w:szCs w:val="24"/>
                <w:lang w:val="en-GB"/>
              </w:rPr>
              <w:t>Myanmar,Uganda</w:t>
            </w:r>
            <w:proofErr w:type="spellEnd"/>
          </w:p>
        </w:tc>
        <w:tc>
          <w:tcPr>
            <w:tcW w:w="1275" w:type="dxa"/>
            <w:tcBorders>
              <w:top w:val="single" w:sz="4" w:space="0" w:color="auto"/>
              <w:left w:val="single" w:sz="4" w:space="0" w:color="auto"/>
              <w:bottom w:val="single" w:sz="4" w:space="0" w:color="auto"/>
              <w:right w:val="single" w:sz="4" w:space="0" w:color="auto"/>
            </w:tcBorders>
          </w:tcPr>
          <w:p w:rsidR="002A0CA3" w:rsidRPr="00E24DBC" w:rsidRDefault="002A0CA3" w:rsidP="00F123DC">
            <w:pPr>
              <w:spacing w:before="60"/>
              <w:jc w:val="center"/>
              <w:rPr>
                <w:lang w:val="en-GB"/>
              </w:rPr>
            </w:pPr>
            <w:r w:rsidRPr="00E24DBC">
              <w:rPr>
                <w:szCs w:val="24"/>
                <w:lang w:val="en-GB"/>
              </w:rPr>
              <w:t>6</w:t>
            </w:r>
          </w:p>
        </w:tc>
      </w:tr>
      <w:tr w:rsidR="002A0CA3" w:rsidRPr="00E24DBC" w:rsidTr="00F123DC">
        <w:trPr>
          <w:trHeight w:val="427"/>
        </w:trPr>
        <w:tc>
          <w:tcPr>
            <w:tcW w:w="3828" w:type="dxa"/>
            <w:tcBorders>
              <w:right w:val="single" w:sz="4" w:space="0" w:color="auto"/>
            </w:tcBorders>
          </w:tcPr>
          <w:p w:rsidR="002A0CA3" w:rsidRPr="00E24DBC" w:rsidRDefault="002A0CA3" w:rsidP="00F123DC">
            <w:pPr>
              <w:spacing w:before="60"/>
              <w:jc w:val="left"/>
              <w:rPr>
                <w:lang w:val="en-GB"/>
              </w:rPr>
            </w:pPr>
            <w:r w:rsidRPr="00E24DBC">
              <w:rPr>
                <w:lang w:val="en-GB"/>
              </w:rPr>
              <w:t>Chile participants</w:t>
            </w:r>
          </w:p>
        </w:tc>
        <w:tc>
          <w:tcPr>
            <w:tcW w:w="4678" w:type="dxa"/>
            <w:tcBorders>
              <w:left w:val="single" w:sz="4" w:space="0" w:color="auto"/>
              <w:right w:val="single" w:sz="4" w:space="0" w:color="auto"/>
            </w:tcBorders>
          </w:tcPr>
          <w:p w:rsidR="002A0CA3" w:rsidRPr="00E24DBC" w:rsidRDefault="002A0CA3" w:rsidP="00F123DC">
            <w:pPr>
              <w:spacing w:before="60"/>
              <w:jc w:val="left"/>
              <w:rPr>
                <w:color w:val="000000"/>
                <w:szCs w:val="24"/>
                <w:lang w:val="en-GB"/>
              </w:rPr>
            </w:pPr>
            <w:r w:rsidRPr="00E24DBC">
              <w:rPr>
                <w:szCs w:val="24"/>
                <w:lang w:val="en-GB"/>
              </w:rPr>
              <w:t>Chile</w:t>
            </w:r>
          </w:p>
        </w:tc>
        <w:tc>
          <w:tcPr>
            <w:tcW w:w="1275" w:type="dxa"/>
            <w:tcBorders>
              <w:top w:val="single" w:sz="4" w:space="0" w:color="auto"/>
              <w:left w:val="single" w:sz="4" w:space="0" w:color="auto"/>
              <w:bottom w:val="single" w:sz="4" w:space="0" w:color="auto"/>
              <w:right w:val="single" w:sz="4" w:space="0" w:color="auto"/>
            </w:tcBorders>
          </w:tcPr>
          <w:p w:rsidR="002A0CA3" w:rsidRPr="00E24DBC" w:rsidRDefault="002A0CA3" w:rsidP="00F123DC">
            <w:pPr>
              <w:spacing w:before="60"/>
              <w:jc w:val="center"/>
              <w:rPr>
                <w:lang w:val="en-GB"/>
              </w:rPr>
            </w:pPr>
            <w:r w:rsidRPr="00E24DBC">
              <w:rPr>
                <w:szCs w:val="24"/>
                <w:lang w:val="en-GB"/>
              </w:rPr>
              <w:t>37</w:t>
            </w:r>
          </w:p>
        </w:tc>
      </w:tr>
      <w:tr w:rsidR="002A0CA3" w:rsidRPr="00E24DBC" w:rsidTr="00F123DC">
        <w:trPr>
          <w:trHeight w:val="427"/>
        </w:trPr>
        <w:tc>
          <w:tcPr>
            <w:tcW w:w="3828" w:type="dxa"/>
            <w:tcBorders>
              <w:right w:val="single" w:sz="4" w:space="0" w:color="auto"/>
            </w:tcBorders>
          </w:tcPr>
          <w:p w:rsidR="002A0CA3" w:rsidRPr="00E24DBC" w:rsidRDefault="002A0CA3" w:rsidP="00F123DC">
            <w:pPr>
              <w:spacing w:before="60"/>
              <w:jc w:val="left"/>
              <w:rPr>
                <w:lang w:val="en-GB"/>
              </w:rPr>
            </w:pPr>
            <w:r w:rsidRPr="00E24DBC">
              <w:rPr>
                <w:lang w:val="en-GB"/>
              </w:rPr>
              <w:t>Train the Trainer Geneva</w:t>
            </w:r>
          </w:p>
        </w:tc>
        <w:tc>
          <w:tcPr>
            <w:tcW w:w="4678" w:type="dxa"/>
            <w:tcBorders>
              <w:left w:val="single" w:sz="4" w:space="0" w:color="auto"/>
              <w:right w:val="single" w:sz="4" w:space="0" w:color="auto"/>
            </w:tcBorders>
          </w:tcPr>
          <w:p w:rsidR="002A0CA3" w:rsidRPr="00E24DBC" w:rsidRDefault="002A0CA3" w:rsidP="00F123DC">
            <w:pPr>
              <w:spacing w:before="60"/>
              <w:jc w:val="left"/>
              <w:rPr>
                <w:szCs w:val="24"/>
              </w:rPr>
            </w:pPr>
            <w:r w:rsidRPr="00E24DBC">
              <w:rPr>
                <w:szCs w:val="24"/>
              </w:rPr>
              <w:t>Australia, Colombia, France, Germany, Ghana, Kenya, Lao People’s Democratic Republic, Mexico, Republic of Korea, Trinidad and Tobago, United Republic of Tanzania, United States of America</w:t>
            </w:r>
          </w:p>
        </w:tc>
        <w:tc>
          <w:tcPr>
            <w:tcW w:w="1275" w:type="dxa"/>
            <w:tcBorders>
              <w:top w:val="single" w:sz="4" w:space="0" w:color="auto"/>
              <w:left w:val="single" w:sz="4" w:space="0" w:color="auto"/>
              <w:bottom w:val="single" w:sz="4" w:space="0" w:color="auto"/>
              <w:right w:val="single" w:sz="4" w:space="0" w:color="auto"/>
            </w:tcBorders>
          </w:tcPr>
          <w:p w:rsidR="002A0CA3" w:rsidRPr="00E24DBC" w:rsidRDefault="002A0CA3" w:rsidP="00F123DC">
            <w:pPr>
              <w:spacing w:before="60"/>
              <w:jc w:val="center"/>
              <w:rPr>
                <w:szCs w:val="24"/>
                <w:lang w:val="en-GB"/>
              </w:rPr>
            </w:pPr>
            <w:r w:rsidRPr="00E24DBC">
              <w:rPr>
                <w:szCs w:val="24"/>
                <w:lang w:val="en-GB"/>
              </w:rPr>
              <w:t>12</w:t>
            </w:r>
          </w:p>
        </w:tc>
      </w:tr>
      <w:tr w:rsidR="002A0CA3" w:rsidRPr="00D6515A" w:rsidTr="00F123DC">
        <w:trPr>
          <w:trHeight w:val="427"/>
        </w:trPr>
        <w:tc>
          <w:tcPr>
            <w:tcW w:w="3828" w:type="dxa"/>
            <w:tcBorders>
              <w:right w:val="single" w:sz="4" w:space="0" w:color="auto"/>
            </w:tcBorders>
          </w:tcPr>
          <w:p w:rsidR="002A0CA3" w:rsidRPr="00E24DBC" w:rsidRDefault="002A0CA3" w:rsidP="00F123DC">
            <w:pPr>
              <w:spacing w:before="60"/>
              <w:jc w:val="left"/>
              <w:rPr>
                <w:lang w:val="en-GB"/>
              </w:rPr>
            </w:pPr>
            <w:r w:rsidRPr="00E24DBC">
              <w:rPr>
                <w:lang w:val="en-GB"/>
              </w:rPr>
              <w:t>TOTAL</w:t>
            </w:r>
          </w:p>
        </w:tc>
        <w:tc>
          <w:tcPr>
            <w:tcW w:w="4678" w:type="dxa"/>
            <w:tcBorders>
              <w:left w:val="single" w:sz="4" w:space="0" w:color="auto"/>
              <w:right w:val="single" w:sz="4" w:space="0" w:color="auto"/>
            </w:tcBorders>
          </w:tcPr>
          <w:p w:rsidR="002A0CA3" w:rsidRPr="00E24DBC" w:rsidRDefault="002A0CA3" w:rsidP="00F123DC">
            <w:pPr>
              <w:keepNext/>
              <w:keepLines/>
              <w:spacing w:before="60"/>
              <w:jc w:val="left"/>
              <w:rPr>
                <w:b/>
                <w:lang w:val="en-GB"/>
              </w:rPr>
            </w:pPr>
          </w:p>
        </w:tc>
        <w:tc>
          <w:tcPr>
            <w:tcW w:w="1275" w:type="dxa"/>
            <w:tcBorders>
              <w:top w:val="single" w:sz="4" w:space="0" w:color="auto"/>
              <w:left w:val="single" w:sz="4" w:space="0" w:color="auto"/>
              <w:bottom w:val="single" w:sz="4" w:space="0" w:color="auto"/>
              <w:right w:val="single" w:sz="4" w:space="0" w:color="auto"/>
            </w:tcBorders>
          </w:tcPr>
          <w:p w:rsidR="002A0CA3" w:rsidRPr="00BA2973" w:rsidRDefault="002A0CA3" w:rsidP="00F123DC">
            <w:pPr>
              <w:spacing w:before="60"/>
              <w:jc w:val="center"/>
              <w:rPr>
                <w:b/>
                <w:lang w:val="en-GB"/>
              </w:rPr>
            </w:pPr>
            <w:r w:rsidRPr="00E24DBC">
              <w:rPr>
                <w:szCs w:val="24"/>
                <w:lang w:val="en-GB"/>
              </w:rPr>
              <w:t>79</w:t>
            </w:r>
          </w:p>
        </w:tc>
      </w:tr>
    </w:tbl>
    <w:p w:rsidR="002A0CA3" w:rsidRDefault="002A0CA3" w:rsidP="002A0CA3">
      <w:pPr>
        <w:rPr>
          <w:lang w:val="en-GB"/>
        </w:rPr>
      </w:pPr>
    </w:p>
    <w:p w:rsidR="00085D3C" w:rsidRPr="000A68B4" w:rsidRDefault="00085D3C" w:rsidP="00947133">
      <w:pPr>
        <w:jc w:val="right"/>
      </w:pPr>
      <w:r w:rsidRPr="00D6515A">
        <w:t>[</w:t>
      </w:r>
      <w:r>
        <w:t>Appendix follows</w:t>
      </w:r>
      <w:r w:rsidRPr="00D6515A">
        <w:t>]</w:t>
      </w:r>
    </w:p>
    <w:p w:rsidR="00085D3C" w:rsidRDefault="00085D3C" w:rsidP="00085D3C">
      <w:pPr>
        <w:jc w:val="left"/>
        <w:sectPr w:rsidR="00085D3C" w:rsidSect="00760057">
          <w:headerReference w:type="default" r:id="rId13"/>
          <w:footerReference w:type="default" r:id="rId14"/>
          <w:footerReference w:type="first" r:id="rId15"/>
          <w:pgSz w:w="11907" w:h="16840" w:code="9"/>
          <w:pgMar w:top="510" w:right="1134" w:bottom="1134" w:left="1134" w:header="510" w:footer="680" w:gutter="0"/>
          <w:pgNumType w:start="1"/>
          <w:cols w:space="720"/>
          <w:titlePg/>
        </w:sectPr>
      </w:pPr>
    </w:p>
    <w:p w:rsidR="00085D3C" w:rsidRPr="008179F5" w:rsidRDefault="0018261E" w:rsidP="00085D3C">
      <w:pPr>
        <w:jc w:val="center"/>
      </w:pPr>
      <w:r w:rsidRPr="008179F5">
        <w:t>C/49/3</w:t>
      </w:r>
    </w:p>
    <w:p w:rsidR="00085D3C" w:rsidRPr="00615F5F" w:rsidRDefault="00085D3C" w:rsidP="00085D3C">
      <w:pPr>
        <w:jc w:val="center"/>
      </w:pPr>
    </w:p>
    <w:p w:rsidR="008179F5" w:rsidRPr="003E7FB1" w:rsidRDefault="008179F5" w:rsidP="008179F5">
      <w:pPr>
        <w:jc w:val="center"/>
      </w:pPr>
      <w:r w:rsidRPr="003E7FB1">
        <w:t>APPENDIX</w:t>
      </w:r>
    </w:p>
    <w:p w:rsidR="008179F5" w:rsidRPr="003E7FB1" w:rsidRDefault="008179F5" w:rsidP="008179F5">
      <w:pPr>
        <w:jc w:val="center"/>
      </w:pPr>
    </w:p>
    <w:p w:rsidR="008179F5" w:rsidRPr="003E7FB1" w:rsidRDefault="008179F5" w:rsidP="008179F5">
      <w:pPr>
        <w:jc w:val="center"/>
      </w:pPr>
      <w:r w:rsidRPr="003E7FB1">
        <w:t>ACRONYMS AND ABBREVIATIONS</w:t>
      </w:r>
    </w:p>
    <w:p w:rsidR="008179F5" w:rsidRPr="003E7FB1" w:rsidRDefault="008179F5" w:rsidP="008179F5"/>
    <w:p w:rsidR="008179F5" w:rsidRPr="003E7FB1" w:rsidRDefault="008179F5" w:rsidP="008179F5"/>
    <w:p w:rsidR="008179F5" w:rsidRPr="003E7FB1" w:rsidRDefault="008179F5" w:rsidP="008179F5">
      <w:pPr>
        <w:jc w:val="center"/>
      </w:pPr>
      <w:r w:rsidRPr="003E7FB1">
        <w:rPr>
          <w:u w:val="single"/>
        </w:rPr>
        <w:t>UPOV terms</w:t>
      </w:r>
    </w:p>
    <w:p w:rsidR="008179F5" w:rsidRPr="003E7FB1" w:rsidRDefault="008179F5" w:rsidP="008179F5"/>
    <w:p w:rsidR="008179F5" w:rsidRPr="003E7FB1" w:rsidRDefault="008179F5" w:rsidP="008179F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179F5" w:rsidRPr="003E7FB1" w:rsidTr="00C90E15">
        <w:tc>
          <w:tcPr>
            <w:tcW w:w="1904" w:type="dxa"/>
          </w:tcPr>
          <w:p w:rsidR="008179F5" w:rsidRPr="003E7FB1" w:rsidRDefault="008179F5" w:rsidP="00C90E15">
            <w:pPr>
              <w:jc w:val="left"/>
            </w:pPr>
            <w:r w:rsidRPr="003E7FB1">
              <w:t>BMT</w:t>
            </w:r>
          </w:p>
        </w:tc>
        <w:tc>
          <w:tcPr>
            <w:tcW w:w="7985" w:type="dxa"/>
          </w:tcPr>
          <w:p w:rsidR="008179F5" w:rsidRPr="003E7FB1" w:rsidRDefault="008179F5" w:rsidP="00C90E15">
            <w:pPr>
              <w:jc w:val="left"/>
            </w:pPr>
            <w:r w:rsidRPr="003E7FB1">
              <w:t>Working Group on Biochemical and Molecular Techniques, and DNA-Profiling in Particular</w:t>
            </w:r>
          </w:p>
        </w:tc>
      </w:tr>
      <w:tr w:rsidR="008179F5" w:rsidRPr="003E7FB1" w:rsidTr="00C90E15">
        <w:tc>
          <w:tcPr>
            <w:tcW w:w="1904" w:type="dxa"/>
          </w:tcPr>
          <w:p w:rsidR="008179F5" w:rsidRPr="003E7FB1" w:rsidRDefault="008179F5" w:rsidP="00C90E15">
            <w:pPr>
              <w:jc w:val="left"/>
            </w:pPr>
            <w:r w:rsidRPr="003E7FB1">
              <w:t>CAJ</w:t>
            </w:r>
          </w:p>
        </w:tc>
        <w:tc>
          <w:tcPr>
            <w:tcW w:w="7985" w:type="dxa"/>
          </w:tcPr>
          <w:p w:rsidR="008179F5" w:rsidRPr="003E7FB1" w:rsidRDefault="008179F5" w:rsidP="00C90E15">
            <w:pPr>
              <w:jc w:val="left"/>
            </w:pPr>
            <w:r w:rsidRPr="003E7FB1">
              <w:t xml:space="preserve">Administrative and Legal Committee </w:t>
            </w:r>
          </w:p>
        </w:tc>
      </w:tr>
      <w:tr w:rsidR="008179F5" w:rsidRPr="003E7FB1" w:rsidTr="00C90E15">
        <w:tc>
          <w:tcPr>
            <w:tcW w:w="1904" w:type="dxa"/>
          </w:tcPr>
          <w:p w:rsidR="008179F5" w:rsidRPr="003E7FB1" w:rsidRDefault="008179F5" w:rsidP="00C90E15">
            <w:pPr>
              <w:autoSpaceDE w:val="0"/>
              <w:autoSpaceDN w:val="0"/>
              <w:adjustRightInd w:val="0"/>
              <w:jc w:val="left"/>
            </w:pPr>
            <w:r w:rsidRPr="003E7FB1">
              <w:t>DL-205</w:t>
            </w:r>
          </w:p>
        </w:tc>
        <w:tc>
          <w:tcPr>
            <w:tcW w:w="7985" w:type="dxa"/>
          </w:tcPr>
          <w:p w:rsidR="008179F5" w:rsidRPr="003E7FB1" w:rsidRDefault="008179F5" w:rsidP="00C90E15">
            <w:pPr>
              <w:autoSpaceDE w:val="0"/>
              <w:autoSpaceDN w:val="0"/>
              <w:adjustRightInd w:val="0"/>
              <w:jc w:val="left"/>
            </w:pPr>
            <w:r w:rsidRPr="003E7FB1">
              <w:t>UPOV distance learning course “Introduction to the UPOV System of Plant Variety Protection under the UPOV Convention”</w:t>
            </w:r>
          </w:p>
        </w:tc>
      </w:tr>
      <w:tr w:rsidR="008179F5" w:rsidRPr="003E7FB1" w:rsidTr="00C90E15">
        <w:tc>
          <w:tcPr>
            <w:tcW w:w="1904" w:type="dxa"/>
          </w:tcPr>
          <w:p w:rsidR="008179F5" w:rsidRPr="003E7FB1" w:rsidRDefault="008179F5" w:rsidP="00C90E15">
            <w:pPr>
              <w:autoSpaceDE w:val="0"/>
              <w:autoSpaceDN w:val="0"/>
              <w:adjustRightInd w:val="0"/>
              <w:jc w:val="left"/>
            </w:pPr>
            <w:r w:rsidRPr="003E7FB1">
              <w:t>DL-305</w:t>
            </w:r>
          </w:p>
        </w:tc>
        <w:tc>
          <w:tcPr>
            <w:tcW w:w="7985" w:type="dxa"/>
          </w:tcPr>
          <w:p w:rsidR="008179F5" w:rsidRPr="003E7FB1" w:rsidRDefault="008179F5" w:rsidP="00C90E15">
            <w:pPr>
              <w:autoSpaceDE w:val="0"/>
              <w:autoSpaceDN w:val="0"/>
              <w:adjustRightInd w:val="0"/>
              <w:jc w:val="left"/>
            </w:pPr>
            <w:r w:rsidRPr="003E7FB1">
              <w:t>UPOV distance learning course “Examination of Applications for Plant Breeders’ Rights”</w:t>
            </w:r>
          </w:p>
        </w:tc>
      </w:tr>
      <w:tr w:rsidR="008179F5" w:rsidRPr="003E7FB1" w:rsidTr="00C90E15">
        <w:tc>
          <w:tcPr>
            <w:tcW w:w="1904" w:type="dxa"/>
          </w:tcPr>
          <w:p w:rsidR="008179F5" w:rsidRPr="003E7FB1" w:rsidRDefault="008179F5" w:rsidP="00C90E15">
            <w:pPr>
              <w:jc w:val="left"/>
            </w:pPr>
            <w:r w:rsidRPr="003E7FB1">
              <w:t>DUS</w:t>
            </w:r>
          </w:p>
        </w:tc>
        <w:tc>
          <w:tcPr>
            <w:tcW w:w="7985" w:type="dxa"/>
          </w:tcPr>
          <w:p w:rsidR="008179F5" w:rsidRPr="003E7FB1" w:rsidRDefault="008179F5" w:rsidP="00C90E15">
            <w:pPr>
              <w:jc w:val="left"/>
            </w:pPr>
            <w:r w:rsidRPr="003E7FB1">
              <w:t>Distinctness, Uniformity and Stability</w:t>
            </w:r>
          </w:p>
        </w:tc>
      </w:tr>
      <w:tr w:rsidR="008179F5" w:rsidRPr="003E7FB1" w:rsidTr="00C90E15">
        <w:tc>
          <w:tcPr>
            <w:tcW w:w="1904" w:type="dxa"/>
          </w:tcPr>
          <w:p w:rsidR="008179F5" w:rsidRPr="003E7FB1" w:rsidRDefault="008179F5" w:rsidP="00C90E15">
            <w:pPr>
              <w:autoSpaceDE w:val="0"/>
              <w:autoSpaceDN w:val="0"/>
              <w:adjustRightInd w:val="0"/>
              <w:jc w:val="left"/>
              <w:rPr>
                <w:snapToGrid w:val="0"/>
              </w:rPr>
            </w:pPr>
            <w:r w:rsidRPr="003E7FB1">
              <w:t>EDV</w:t>
            </w:r>
          </w:p>
        </w:tc>
        <w:tc>
          <w:tcPr>
            <w:tcW w:w="7985" w:type="dxa"/>
          </w:tcPr>
          <w:p w:rsidR="008179F5" w:rsidRPr="003E7FB1" w:rsidRDefault="008179F5" w:rsidP="00C90E15">
            <w:pPr>
              <w:autoSpaceDE w:val="0"/>
              <w:autoSpaceDN w:val="0"/>
              <w:adjustRightInd w:val="0"/>
              <w:jc w:val="left"/>
              <w:rPr>
                <w:snapToGrid w:val="0"/>
              </w:rPr>
            </w:pPr>
            <w:r w:rsidRPr="003E7FB1">
              <w:t>essentially derived variety</w:t>
            </w:r>
          </w:p>
        </w:tc>
      </w:tr>
      <w:tr w:rsidR="008179F5" w:rsidRPr="003E7FB1" w:rsidTr="00C90E15">
        <w:tc>
          <w:tcPr>
            <w:tcW w:w="1904" w:type="dxa"/>
          </w:tcPr>
          <w:p w:rsidR="008179F5" w:rsidRPr="003E7FB1" w:rsidRDefault="008179F5" w:rsidP="00C90E15">
            <w:pPr>
              <w:jc w:val="left"/>
            </w:pPr>
            <w:r w:rsidRPr="003E7FB1">
              <w:t>Office</w:t>
            </w:r>
          </w:p>
        </w:tc>
        <w:tc>
          <w:tcPr>
            <w:tcW w:w="7985" w:type="dxa"/>
          </w:tcPr>
          <w:p w:rsidR="008179F5" w:rsidRPr="003E7FB1" w:rsidRDefault="008179F5" w:rsidP="00C90E15">
            <w:pPr>
              <w:jc w:val="left"/>
            </w:pPr>
            <w:r w:rsidRPr="003E7FB1">
              <w:t>Office of the Union</w:t>
            </w:r>
          </w:p>
        </w:tc>
      </w:tr>
      <w:tr w:rsidR="008179F5" w:rsidRPr="003E7FB1" w:rsidTr="00C90E15">
        <w:tc>
          <w:tcPr>
            <w:tcW w:w="1904" w:type="dxa"/>
          </w:tcPr>
          <w:p w:rsidR="008179F5" w:rsidRPr="003E7FB1" w:rsidRDefault="008179F5" w:rsidP="00C90E15">
            <w:pPr>
              <w:jc w:val="left"/>
            </w:pPr>
            <w:r w:rsidRPr="003E7FB1">
              <w:t>PBR</w:t>
            </w:r>
          </w:p>
        </w:tc>
        <w:tc>
          <w:tcPr>
            <w:tcW w:w="7985" w:type="dxa"/>
          </w:tcPr>
          <w:p w:rsidR="008179F5" w:rsidRPr="003E7FB1" w:rsidRDefault="008179F5" w:rsidP="00C90E15">
            <w:pPr>
              <w:jc w:val="left"/>
            </w:pPr>
            <w:r w:rsidRPr="003E7FB1">
              <w:t>Plant Breeder’s Right</w:t>
            </w:r>
          </w:p>
        </w:tc>
      </w:tr>
      <w:tr w:rsidR="008179F5" w:rsidRPr="003E7FB1" w:rsidTr="00C90E15">
        <w:tc>
          <w:tcPr>
            <w:tcW w:w="1904" w:type="dxa"/>
          </w:tcPr>
          <w:p w:rsidR="008179F5" w:rsidRPr="003E7FB1" w:rsidRDefault="008179F5" w:rsidP="00C90E15">
            <w:pPr>
              <w:jc w:val="left"/>
            </w:pPr>
            <w:r w:rsidRPr="003E7FB1">
              <w:t>TC</w:t>
            </w:r>
          </w:p>
        </w:tc>
        <w:tc>
          <w:tcPr>
            <w:tcW w:w="7985" w:type="dxa"/>
          </w:tcPr>
          <w:p w:rsidR="008179F5" w:rsidRPr="003E7FB1" w:rsidRDefault="008179F5" w:rsidP="00C90E15">
            <w:pPr>
              <w:jc w:val="left"/>
            </w:pPr>
            <w:r w:rsidRPr="003E7FB1">
              <w:t>Technical Committee</w:t>
            </w:r>
          </w:p>
        </w:tc>
      </w:tr>
      <w:tr w:rsidR="008179F5" w:rsidRPr="003E7FB1" w:rsidTr="00C90E15">
        <w:tc>
          <w:tcPr>
            <w:tcW w:w="1904" w:type="dxa"/>
          </w:tcPr>
          <w:p w:rsidR="008179F5" w:rsidRPr="003E7FB1" w:rsidRDefault="008179F5" w:rsidP="00C90E15">
            <w:pPr>
              <w:jc w:val="left"/>
            </w:pPr>
            <w:r w:rsidRPr="003E7FB1">
              <w:t>TC</w:t>
            </w:r>
            <w:r w:rsidRPr="003E7FB1">
              <w:noBreakHyphen/>
              <w:t>EDC</w:t>
            </w:r>
          </w:p>
        </w:tc>
        <w:tc>
          <w:tcPr>
            <w:tcW w:w="7985" w:type="dxa"/>
          </w:tcPr>
          <w:p w:rsidR="008179F5" w:rsidRPr="003E7FB1" w:rsidRDefault="008179F5" w:rsidP="00C90E15">
            <w:pPr>
              <w:jc w:val="left"/>
            </w:pPr>
            <w:r w:rsidRPr="003E7FB1">
              <w:t>Enlarged Editorial Committee</w:t>
            </w:r>
          </w:p>
        </w:tc>
      </w:tr>
      <w:tr w:rsidR="008179F5" w:rsidRPr="003E7FB1" w:rsidTr="00C90E15">
        <w:tc>
          <w:tcPr>
            <w:tcW w:w="1904" w:type="dxa"/>
          </w:tcPr>
          <w:p w:rsidR="008179F5" w:rsidRPr="003E7FB1" w:rsidRDefault="008179F5" w:rsidP="00C90E15">
            <w:pPr>
              <w:jc w:val="left"/>
            </w:pPr>
            <w:r w:rsidRPr="003E7FB1">
              <w:t>TWA</w:t>
            </w:r>
          </w:p>
        </w:tc>
        <w:tc>
          <w:tcPr>
            <w:tcW w:w="7985" w:type="dxa"/>
          </w:tcPr>
          <w:p w:rsidR="008179F5" w:rsidRPr="003E7FB1" w:rsidRDefault="008179F5" w:rsidP="00C90E15">
            <w:pPr>
              <w:jc w:val="left"/>
            </w:pPr>
            <w:r w:rsidRPr="003E7FB1">
              <w:t>Technical Working Party for Agricultural Crops</w:t>
            </w:r>
          </w:p>
        </w:tc>
      </w:tr>
      <w:tr w:rsidR="008179F5" w:rsidRPr="003E7FB1" w:rsidTr="00C90E15">
        <w:tc>
          <w:tcPr>
            <w:tcW w:w="1904" w:type="dxa"/>
          </w:tcPr>
          <w:p w:rsidR="008179F5" w:rsidRPr="003E7FB1" w:rsidRDefault="008179F5" w:rsidP="00C90E15">
            <w:pPr>
              <w:jc w:val="left"/>
            </w:pPr>
            <w:r w:rsidRPr="003E7FB1">
              <w:t>TWC</w:t>
            </w:r>
          </w:p>
        </w:tc>
        <w:tc>
          <w:tcPr>
            <w:tcW w:w="7985" w:type="dxa"/>
          </w:tcPr>
          <w:p w:rsidR="008179F5" w:rsidRPr="003E7FB1" w:rsidRDefault="008179F5" w:rsidP="00C90E15">
            <w:pPr>
              <w:jc w:val="left"/>
            </w:pPr>
            <w:r w:rsidRPr="003E7FB1">
              <w:t>Technical Working Party on Automation and Computer Programs</w:t>
            </w:r>
          </w:p>
        </w:tc>
      </w:tr>
      <w:tr w:rsidR="008179F5" w:rsidRPr="003E7FB1" w:rsidTr="00C90E15">
        <w:tc>
          <w:tcPr>
            <w:tcW w:w="1904" w:type="dxa"/>
          </w:tcPr>
          <w:p w:rsidR="008179F5" w:rsidRPr="003E7FB1" w:rsidRDefault="008179F5" w:rsidP="00C90E15">
            <w:pPr>
              <w:jc w:val="left"/>
            </w:pPr>
            <w:r w:rsidRPr="003E7FB1">
              <w:t>TWF</w:t>
            </w:r>
          </w:p>
        </w:tc>
        <w:tc>
          <w:tcPr>
            <w:tcW w:w="7985" w:type="dxa"/>
          </w:tcPr>
          <w:p w:rsidR="008179F5" w:rsidRPr="003E7FB1" w:rsidRDefault="008179F5" w:rsidP="00C90E15">
            <w:pPr>
              <w:jc w:val="left"/>
            </w:pPr>
            <w:r w:rsidRPr="003E7FB1">
              <w:t>Technical Working Party for Fruit Crops</w:t>
            </w:r>
          </w:p>
        </w:tc>
      </w:tr>
      <w:tr w:rsidR="008179F5" w:rsidRPr="003E7FB1" w:rsidTr="00C90E15">
        <w:tc>
          <w:tcPr>
            <w:tcW w:w="1904" w:type="dxa"/>
          </w:tcPr>
          <w:p w:rsidR="008179F5" w:rsidRPr="003E7FB1" w:rsidRDefault="008179F5" w:rsidP="00C90E15">
            <w:pPr>
              <w:jc w:val="left"/>
            </w:pPr>
            <w:r w:rsidRPr="003E7FB1">
              <w:t>TWO</w:t>
            </w:r>
          </w:p>
        </w:tc>
        <w:tc>
          <w:tcPr>
            <w:tcW w:w="7985" w:type="dxa"/>
          </w:tcPr>
          <w:p w:rsidR="008179F5" w:rsidRPr="003E7FB1" w:rsidRDefault="008179F5" w:rsidP="00C90E15">
            <w:pPr>
              <w:jc w:val="left"/>
            </w:pPr>
            <w:r w:rsidRPr="003E7FB1">
              <w:t>Technical Working Party for Ornamental Plants and Forest Trees</w:t>
            </w:r>
          </w:p>
        </w:tc>
      </w:tr>
      <w:tr w:rsidR="008179F5" w:rsidRPr="003E7FB1" w:rsidTr="00C90E15">
        <w:tc>
          <w:tcPr>
            <w:tcW w:w="1904" w:type="dxa"/>
          </w:tcPr>
          <w:p w:rsidR="008179F5" w:rsidRPr="003E7FB1" w:rsidRDefault="008179F5" w:rsidP="00C90E15">
            <w:pPr>
              <w:jc w:val="left"/>
            </w:pPr>
            <w:r w:rsidRPr="003E7FB1">
              <w:t>TWP(s)</w:t>
            </w:r>
          </w:p>
        </w:tc>
        <w:tc>
          <w:tcPr>
            <w:tcW w:w="7985" w:type="dxa"/>
          </w:tcPr>
          <w:p w:rsidR="008179F5" w:rsidRPr="003E7FB1" w:rsidRDefault="008179F5" w:rsidP="00C90E15">
            <w:pPr>
              <w:jc w:val="left"/>
            </w:pPr>
            <w:r w:rsidRPr="003E7FB1">
              <w:t>Technical Working Party(</w:t>
            </w:r>
            <w:proofErr w:type="spellStart"/>
            <w:r w:rsidRPr="003E7FB1">
              <w:t>ies</w:t>
            </w:r>
            <w:proofErr w:type="spellEnd"/>
            <w:r w:rsidRPr="003E7FB1">
              <w:t>)</w:t>
            </w:r>
          </w:p>
        </w:tc>
      </w:tr>
      <w:tr w:rsidR="008179F5" w:rsidRPr="003E7FB1" w:rsidTr="00C90E15">
        <w:tc>
          <w:tcPr>
            <w:tcW w:w="1904" w:type="dxa"/>
          </w:tcPr>
          <w:p w:rsidR="008179F5" w:rsidRPr="003E7FB1" w:rsidRDefault="008179F5" w:rsidP="00C90E15">
            <w:pPr>
              <w:jc w:val="left"/>
            </w:pPr>
            <w:r w:rsidRPr="003E7FB1">
              <w:t>TWV</w:t>
            </w:r>
          </w:p>
        </w:tc>
        <w:tc>
          <w:tcPr>
            <w:tcW w:w="7985" w:type="dxa"/>
          </w:tcPr>
          <w:p w:rsidR="008179F5" w:rsidRPr="003E7FB1" w:rsidRDefault="008179F5" w:rsidP="00C90E15">
            <w:pPr>
              <w:jc w:val="left"/>
            </w:pPr>
            <w:r w:rsidRPr="003E7FB1">
              <w:t>Technical Working Party for Vegetables</w:t>
            </w:r>
          </w:p>
        </w:tc>
      </w:tr>
    </w:tbl>
    <w:p w:rsidR="008179F5" w:rsidRPr="003E7FB1" w:rsidRDefault="008179F5" w:rsidP="008179F5"/>
    <w:p w:rsidR="008179F5" w:rsidRPr="003E7FB1" w:rsidRDefault="008179F5" w:rsidP="008179F5">
      <w:pPr>
        <w:ind w:left="1418" w:hanging="1418"/>
      </w:pPr>
    </w:p>
    <w:p w:rsidR="008179F5" w:rsidRPr="003E7FB1" w:rsidRDefault="008179F5" w:rsidP="008179F5">
      <w:pPr>
        <w:ind w:left="1418" w:hanging="1418"/>
        <w:jc w:val="center"/>
        <w:rPr>
          <w:u w:val="single"/>
        </w:rPr>
      </w:pPr>
      <w:r w:rsidRPr="003E7FB1">
        <w:rPr>
          <w:u w:val="single"/>
        </w:rPr>
        <w:t>Acronyms</w:t>
      </w:r>
    </w:p>
    <w:p w:rsidR="008179F5" w:rsidRDefault="008179F5" w:rsidP="008179F5"/>
    <w:p w:rsidR="008179F5" w:rsidRPr="003E7FB1" w:rsidRDefault="008179F5" w:rsidP="008179F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179F5" w:rsidRPr="00D76025" w:rsidTr="00C90E15">
        <w:tc>
          <w:tcPr>
            <w:tcW w:w="1904" w:type="dxa"/>
          </w:tcPr>
          <w:p w:rsidR="008179F5" w:rsidRPr="00D76025" w:rsidRDefault="008179F5" w:rsidP="00C90E15">
            <w:pPr>
              <w:jc w:val="left"/>
            </w:pPr>
            <w:r w:rsidRPr="00D76025">
              <w:t>AFSTA</w:t>
            </w:r>
          </w:p>
        </w:tc>
        <w:tc>
          <w:tcPr>
            <w:tcW w:w="7985" w:type="dxa"/>
          </w:tcPr>
          <w:p w:rsidR="008179F5" w:rsidRPr="00D76025" w:rsidRDefault="008179F5" w:rsidP="00C90E15">
            <w:pPr>
              <w:jc w:val="left"/>
            </w:pPr>
            <w:r w:rsidRPr="00D76025">
              <w:t>African Seed Trade Association</w:t>
            </w:r>
          </w:p>
        </w:tc>
      </w:tr>
      <w:tr w:rsidR="008179F5" w:rsidRPr="00D76025" w:rsidTr="00C90E15">
        <w:tc>
          <w:tcPr>
            <w:tcW w:w="1904" w:type="dxa"/>
          </w:tcPr>
          <w:p w:rsidR="008179F5" w:rsidRPr="00D76025" w:rsidRDefault="008179F5" w:rsidP="00C90E15">
            <w:pPr>
              <w:jc w:val="left"/>
            </w:pPr>
            <w:r w:rsidRPr="00D76025">
              <w:t>APSA</w:t>
            </w:r>
          </w:p>
        </w:tc>
        <w:tc>
          <w:tcPr>
            <w:tcW w:w="7985" w:type="dxa"/>
          </w:tcPr>
          <w:p w:rsidR="008179F5" w:rsidRPr="00D76025" w:rsidRDefault="008179F5" w:rsidP="00C90E15">
            <w:pPr>
              <w:jc w:val="left"/>
            </w:pPr>
            <w:r w:rsidRPr="00D76025">
              <w:t>Asia and Pacific Seed Association</w:t>
            </w:r>
          </w:p>
        </w:tc>
      </w:tr>
      <w:tr w:rsidR="008179F5" w:rsidRPr="00D76025" w:rsidTr="00C90E15">
        <w:tc>
          <w:tcPr>
            <w:tcW w:w="1904" w:type="dxa"/>
          </w:tcPr>
          <w:p w:rsidR="008179F5" w:rsidRPr="00D76025" w:rsidRDefault="008179F5" w:rsidP="00C90E15">
            <w:pPr>
              <w:jc w:val="left"/>
            </w:pPr>
            <w:r w:rsidRPr="00D76025">
              <w:t>ARIPO</w:t>
            </w:r>
          </w:p>
        </w:tc>
        <w:tc>
          <w:tcPr>
            <w:tcW w:w="7985" w:type="dxa"/>
          </w:tcPr>
          <w:p w:rsidR="008179F5" w:rsidRPr="00D76025" w:rsidRDefault="008179F5" w:rsidP="00C90E15">
            <w:pPr>
              <w:jc w:val="left"/>
            </w:pPr>
            <w:r w:rsidRPr="00D76025">
              <w:t>African Regional Intellectual Property Organization</w:t>
            </w:r>
          </w:p>
        </w:tc>
      </w:tr>
      <w:tr w:rsidR="009B2B7D" w:rsidRPr="00D76025" w:rsidTr="00C90E15">
        <w:tc>
          <w:tcPr>
            <w:tcW w:w="1904" w:type="dxa"/>
          </w:tcPr>
          <w:p w:rsidR="009B2B7D" w:rsidRPr="00D76025" w:rsidRDefault="009B2B7D" w:rsidP="00C90E15">
            <w:pPr>
              <w:jc w:val="left"/>
            </w:pPr>
            <w:r w:rsidRPr="00D76025">
              <w:t>ASIPI</w:t>
            </w:r>
          </w:p>
        </w:tc>
        <w:tc>
          <w:tcPr>
            <w:tcW w:w="7985" w:type="dxa"/>
          </w:tcPr>
          <w:p w:rsidR="009B2B7D" w:rsidRPr="00D76025" w:rsidRDefault="009B2B7D" w:rsidP="00C90E15">
            <w:pPr>
              <w:jc w:val="left"/>
            </w:pPr>
            <w:r w:rsidRPr="00D76025">
              <w:t>Inter-American Association of Intellectual Property</w:t>
            </w:r>
          </w:p>
        </w:tc>
      </w:tr>
      <w:tr w:rsidR="009B2B7D" w:rsidRPr="00D76025" w:rsidTr="00C90E15">
        <w:tc>
          <w:tcPr>
            <w:tcW w:w="1904" w:type="dxa"/>
          </w:tcPr>
          <w:p w:rsidR="009B2B7D" w:rsidRPr="00D76025" w:rsidRDefault="009B2B7D" w:rsidP="00C90E15">
            <w:pPr>
              <w:jc w:val="left"/>
            </w:pPr>
            <w:r w:rsidRPr="00D76025">
              <w:t>ASIWA</w:t>
            </w:r>
          </w:p>
        </w:tc>
        <w:tc>
          <w:tcPr>
            <w:tcW w:w="7985" w:type="dxa"/>
          </w:tcPr>
          <w:p w:rsidR="009B2B7D" w:rsidRPr="00D76025" w:rsidRDefault="009B2B7D" w:rsidP="00C90E15">
            <w:pPr>
              <w:jc w:val="left"/>
            </w:pPr>
            <w:r w:rsidRPr="00D76025">
              <w:t>Alliance for Seed Industry in West Africa</w:t>
            </w:r>
          </w:p>
        </w:tc>
      </w:tr>
      <w:tr w:rsidR="00672210" w:rsidRPr="00F81642" w:rsidTr="00C90E15">
        <w:tc>
          <w:tcPr>
            <w:tcW w:w="1904" w:type="dxa"/>
          </w:tcPr>
          <w:p w:rsidR="00672210" w:rsidRPr="00F81642" w:rsidRDefault="00672210" w:rsidP="00C90E15">
            <w:pPr>
              <w:jc w:val="left"/>
              <w:rPr>
                <w:snapToGrid w:val="0"/>
              </w:rPr>
            </w:pPr>
            <w:r w:rsidRPr="00F81642">
              <w:rPr>
                <w:snapToGrid w:val="0"/>
              </w:rPr>
              <w:t>CGIAR</w:t>
            </w:r>
          </w:p>
        </w:tc>
        <w:tc>
          <w:tcPr>
            <w:tcW w:w="7985" w:type="dxa"/>
          </w:tcPr>
          <w:p w:rsidR="00672210" w:rsidRPr="00F81642" w:rsidRDefault="009B2B7D" w:rsidP="009B2B7D">
            <w:pPr>
              <w:jc w:val="left"/>
              <w:rPr>
                <w:snapToGrid w:val="0"/>
              </w:rPr>
            </w:pPr>
            <w:r w:rsidRPr="00F81642">
              <w:rPr>
                <w:snapToGrid w:val="0"/>
                <w:szCs w:val="24"/>
              </w:rPr>
              <w:t>Consultative Group on International Agricultural Research</w:t>
            </w:r>
          </w:p>
        </w:tc>
      </w:tr>
      <w:tr w:rsidR="008179F5" w:rsidRPr="00D76025" w:rsidTr="00C90E15">
        <w:tc>
          <w:tcPr>
            <w:tcW w:w="1904" w:type="dxa"/>
          </w:tcPr>
          <w:p w:rsidR="008179F5" w:rsidRPr="00D76025" w:rsidRDefault="008179F5" w:rsidP="00C90E15">
            <w:pPr>
              <w:jc w:val="left"/>
              <w:rPr>
                <w:snapToGrid w:val="0"/>
              </w:rPr>
            </w:pPr>
            <w:r w:rsidRPr="00D76025">
              <w:rPr>
                <w:snapToGrid w:val="0"/>
              </w:rPr>
              <w:t>CGRFA</w:t>
            </w:r>
          </w:p>
        </w:tc>
        <w:tc>
          <w:tcPr>
            <w:tcW w:w="7985" w:type="dxa"/>
          </w:tcPr>
          <w:p w:rsidR="008179F5" w:rsidRPr="00D76025" w:rsidRDefault="008179F5" w:rsidP="00C90E15">
            <w:pPr>
              <w:jc w:val="left"/>
              <w:rPr>
                <w:snapToGrid w:val="0"/>
              </w:rPr>
            </w:pPr>
            <w:r w:rsidRPr="00D76025">
              <w:rPr>
                <w:snapToGrid w:val="0"/>
              </w:rPr>
              <w:t>Commission on Genetic Resources for Food and Agriculture</w:t>
            </w:r>
          </w:p>
        </w:tc>
      </w:tr>
      <w:tr w:rsidR="008179F5" w:rsidRPr="00D76025" w:rsidTr="00C90E15">
        <w:tc>
          <w:tcPr>
            <w:tcW w:w="1904" w:type="dxa"/>
          </w:tcPr>
          <w:p w:rsidR="008179F5" w:rsidRPr="00D76025" w:rsidRDefault="008179F5" w:rsidP="00C90E15">
            <w:pPr>
              <w:jc w:val="left"/>
              <w:rPr>
                <w:rFonts w:cs="Arial"/>
              </w:rPr>
            </w:pPr>
            <w:r w:rsidRPr="00D76025">
              <w:rPr>
                <w:rFonts w:cs="Arial"/>
              </w:rPr>
              <w:t>CIOPORA</w:t>
            </w:r>
          </w:p>
        </w:tc>
        <w:tc>
          <w:tcPr>
            <w:tcW w:w="7985" w:type="dxa"/>
          </w:tcPr>
          <w:p w:rsidR="008179F5" w:rsidRPr="00D76025" w:rsidRDefault="008179F5" w:rsidP="00C90E15">
            <w:pPr>
              <w:jc w:val="left"/>
              <w:rPr>
                <w:rFonts w:cs="Arial"/>
              </w:rPr>
            </w:pPr>
            <w:r w:rsidRPr="00D76025">
              <w:rPr>
                <w:rFonts w:cs="Arial"/>
              </w:rPr>
              <w:t>International Community of Breeders of Asexually Reproduced Ornamental and Fruit Varieties</w:t>
            </w:r>
          </w:p>
        </w:tc>
      </w:tr>
      <w:tr w:rsidR="008179F5" w:rsidRPr="00D76025" w:rsidTr="00C90E15">
        <w:tc>
          <w:tcPr>
            <w:tcW w:w="1904" w:type="dxa"/>
          </w:tcPr>
          <w:p w:rsidR="008179F5" w:rsidRPr="00D76025" w:rsidRDefault="008179F5" w:rsidP="00C90E15">
            <w:pPr>
              <w:jc w:val="left"/>
            </w:pPr>
            <w:r w:rsidRPr="00D76025">
              <w:t>CPVO</w:t>
            </w:r>
          </w:p>
        </w:tc>
        <w:tc>
          <w:tcPr>
            <w:tcW w:w="7985" w:type="dxa"/>
          </w:tcPr>
          <w:p w:rsidR="008179F5" w:rsidRPr="00D76025" w:rsidRDefault="008179F5" w:rsidP="00C90E15">
            <w:pPr>
              <w:jc w:val="left"/>
            </w:pPr>
            <w:r w:rsidRPr="00D76025">
              <w:t>Community Plant Variety Office of the European Union</w:t>
            </w:r>
          </w:p>
        </w:tc>
      </w:tr>
      <w:tr w:rsidR="008179F5" w:rsidRPr="00D76025" w:rsidTr="00C90E15">
        <w:tc>
          <w:tcPr>
            <w:tcW w:w="1904" w:type="dxa"/>
          </w:tcPr>
          <w:p w:rsidR="008179F5" w:rsidRPr="00D76025" w:rsidRDefault="008179F5" w:rsidP="00C90E15">
            <w:pPr>
              <w:jc w:val="left"/>
              <w:rPr>
                <w:snapToGrid w:val="0"/>
              </w:rPr>
            </w:pPr>
            <w:r w:rsidRPr="00D76025">
              <w:rPr>
                <w:snapToGrid w:val="0"/>
              </w:rPr>
              <w:t>EAPVP Forum</w:t>
            </w:r>
          </w:p>
        </w:tc>
        <w:tc>
          <w:tcPr>
            <w:tcW w:w="7985" w:type="dxa"/>
          </w:tcPr>
          <w:p w:rsidR="008179F5" w:rsidRPr="00D76025" w:rsidRDefault="008179F5" w:rsidP="00C90E15">
            <w:pPr>
              <w:jc w:val="left"/>
              <w:rPr>
                <w:snapToGrid w:val="0"/>
              </w:rPr>
            </w:pPr>
            <w:r w:rsidRPr="00D76025">
              <w:rPr>
                <w:snapToGrid w:val="0"/>
              </w:rPr>
              <w:t>East Asia Plant Variety Protection Forum</w:t>
            </w:r>
          </w:p>
        </w:tc>
      </w:tr>
      <w:tr w:rsidR="008179F5" w:rsidRPr="00D76025" w:rsidTr="00C90E15">
        <w:tc>
          <w:tcPr>
            <w:tcW w:w="1904" w:type="dxa"/>
          </w:tcPr>
          <w:p w:rsidR="008179F5" w:rsidRPr="00D76025" w:rsidRDefault="008179F5" w:rsidP="00C90E15">
            <w:pPr>
              <w:jc w:val="left"/>
            </w:pPr>
            <w:r w:rsidRPr="00D76025">
              <w:t>FAO</w:t>
            </w:r>
          </w:p>
        </w:tc>
        <w:tc>
          <w:tcPr>
            <w:tcW w:w="7985" w:type="dxa"/>
          </w:tcPr>
          <w:p w:rsidR="008179F5" w:rsidRPr="00D76025" w:rsidRDefault="008179F5" w:rsidP="00C90E15">
            <w:pPr>
              <w:jc w:val="left"/>
            </w:pPr>
            <w:r w:rsidRPr="00D76025">
              <w:t>Food and Agriculture Organization of the United Nations</w:t>
            </w:r>
          </w:p>
        </w:tc>
      </w:tr>
      <w:tr w:rsidR="008179F5" w:rsidRPr="00D76025" w:rsidTr="00C90E15">
        <w:tc>
          <w:tcPr>
            <w:tcW w:w="1904" w:type="dxa"/>
          </w:tcPr>
          <w:p w:rsidR="008179F5" w:rsidRPr="00D76025" w:rsidRDefault="008179F5" w:rsidP="00C90E15">
            <w:pPr>
              <w:jc w:val="left"/>
            </w:pPr>
            <w:r w:rsidRPr="00D76025">
              <w:t>IAOC</w:t>
            </w:r>
          </w:p>
        </w:tc>
        <w:tc>
          <w:tcPr>
            <w:tcW w:w="7985" w:type="dxa"/>
          </w:tcPr>
          <w:p w:rsidR="008179F5" w:rsidRPr="00D76025" w:rsidRDefault="008179F5" w:rsidP="00C90E15">
            <w:pPr>
              <w:jc w:val="left"/>
            </w:pPr>
            <w:r w:rsidRPr="00D76025">
              <w:t>WIPO Independent Advisory Oversight Committee</w:t>
            </w:r>
          </w:p>
        </w:tc>
      </w:tr>
      <w:tr w:rsidR="008179F5" w:rsidRPr="00D76025" w:rsidTr="00C90E15">
        <w:tc>
          <w:tcPr>
            <w:tcW w:w="1904" w:type="dxa"/>
          </w:tcPr>
          <w:p w:rsidR="008179F5" w:rsidRPr="00D76025" w:rsidRDefault="008179F5" w:rsidP="00C90E15">
            <w:pPr>
              <w:autoSpaceDE w:val="0"/>
              <w:autoSpaceDN w:val="0"/>
              <w:adjustRightInd w:val="0"/>
              <w:jc w:val="left"/>
            </w:pPr>
            <w:r w:rsidRPr="00D76025">
              <w:t>IAOD</w:t>
            </w:r>
          </w:p>
        </w:tc>
        <w:tc>
          <w:tcPr>
            <w:tcW w:w="7985" w:type="dxa"/>
          </w:tcPr>
          <w:p w:rsidR="008179F5" w:rsidRPr="00D76025" w:rsidRDefault="008179F5" w:rsidP="00C90E15">
            <w:pPr>
              <w:autoSpaceDE w:val="0"/>
              <w:autoSpaceDN w:val="0"/>
              <w:adjustRightInd w:val="0"/>
              <w:jc w:val="left"/>
            </w:pPr>
            <w:r w:rsidRPr="00D76025">
              <w:t>WIPO Audit and Oversight Division</w:t>
            </w:r>
          </w:p>
        </w:tc>
      </w:tr>
      <w:tr w:rsidR="002117C1" w:rsidRPr="00D76025" w:rsidTr="00C90E15">
        <w:tc>
          <w:tcPr>
            <w:tcW w:w="1904" w:type="dxa"/>
          </w:tcPr>
          <w:p w:rsidR="002117C1" w:rsidRPr="00D76025" w:rsidRDefault="002117C1" w:rsidP="00C90E15">
            <w:pPr>
              <w:jc w:val="left"/>
            </w:pPr>
            <w:r w:rsidRPr="00D76025">
              <w:t>INASE</w:t>
            </w:r>
          </w:p>
        </w:tc>
        <w:tc>
          <w:tcPr>
            <w:tcW w:w="7985" w:type="dxa"/>
          </w:tcPr>
          <w:p w:rsidR="002117C1" w:rsidRPr="00D76025" w:rsidRDefault="002117C1" w:rsidP="00C90E15">
            <w:pPr>
              <w:jc w:val="left"/>
            </w:pPr>
            <w:r w:rsidRPr="00D76025">
              <w:t>National Seed Institute (Argentina)</w:t>
            </w:r>
          </w:p>
        </w:tc>
      </w:tr>
      <w:tr w:rsidR="00247589" w:rsidRPr="00D76025" w:rsidTr="00C90E15">
        <w:tc>
          <w:tcPr>
            <w:tcW w:w="1904" w:type="dxa"/>
          </w:tcPr>
          <w:p w:rsidR="00247589" w:rsidRPr="00D76025" w:rsidRDefault="00247589" w:rsidP="00C90E15">
            <w:pPr>
              <w:jc w:val="left"/>
            </w:pPr>
            <w:r w:rsidRPr="00D76025">
              <w:t>INIAF</w:t>
            </w:r>
          </w:p>
        </w:tc>
        <w:tc>
          <w:tcPr>
            <w:tcW w:w="7985" w:type="dxa"/>
          </w:tcPr>
          <w:p w:rsidR="00247589" w:rsidRPr="00D76025" w:rsidRDefault="00247589" w:rsidP="00C90E15">
            <w:pPr>
              <w:jc w:val="left"/>
            </w:pPr>
            <w:r w:rsidRPr="00D76025">
              <w:t>National Institute for Agricultural and Forestry Research Innovation (</w:t>
            </w:r>
            <w:proofErr w:type="spellStart"/>
            <w:r w:rsidRPr="00D76025">
              <w:t>Plurinational</w:t>
            </w:r>
            <w:proofErr w:type="spellEnd"/>
            <w:r w:rsidRPr="00D76025">
              <w:t xml:space="preserve"> State of Bolivia</w:t>
            </w:r>
          </w:p>
        </w:tc>
      </w:tr>
      <w:tr w:rsidR="008179F5" w:rsidRPr="00D76025" w:rsidTr="00C90E15">
        <w:tc>
          <w:tcPr>
            <w:tcW w:w="1904" w:type="dxa"/>
          </w:tcPr>
          <w:p w:rsidR="008179F5" w:rsidRPr="00D76025" w:rsidRDefault="008179F5" w:rsidP="00C90E15">
            <w:pPr>
              <w:jc w:val="left"/>
            </w:pPr>
            <w:r w:rsidRPr="00D76025">
              <w:t>ISF</w:t>
            </w:r>
          </w:p>
        </w:tc>
        <w:tc>
          <w:tcPr>
            <w:tcW w:w="7985" w:type="dxa"/>
          </w:tcPr>
          <w:p w:rsidR="008179F5" w:rsidRPr="00D76025" w:rsidRDefault="008179F5" w:rsidP="00C90E15">
            <w:pPr>
              <w:jc w:val="left"/>
            </w:pPr>
            <w:r w:rsidRPr="00D76025">
              <w:t>International Seed Federation</w:t>
            </w:r>
          </w:p>
        </w:tc>
      </w:tr>
      <w:tr w:rsidR="008179F5" w:rsidRPr="00D76025" w:rsidTr="00C90E15">
        <w:tc>
          <w:tcPr>
            <w:tcW w:w="1904" w:type="dxa"/>
          </w:tcPr>
          <w:p w:rsidR="008179F5" w:rsidRPr="00D76025" w:rsidRDefault="008179F5" w:rsidP="00C90E15">
            <w:pPr>
              <w:jc w:val="left"/>
            </w:pPr>
            <w:r w:rsidRPr="00D76025">
              <w:t>ISTA</w:t>
            </w:r>
          </w:p>
        </w:tc>
        <w:tc>
          <w:tcPr>
            <w:tcW w:w="7985" w:type="dxa"/>
          </w:tcPr>
          <w:p w:rsidR="008179F5" w:rsidRPr="00D76025" w:rsidRDefault="008179F5" w:rsidP="00C90E15">
            <w:pPr>
              <w:jc w:val="left"/>
            </w:pPr>
            <w:r w:rsidRPr="00D76025">
              <w:t>International Seed Testing Association</w:t>
            </w:r>
          </w:p>
        </w:tc>
      </w:tr>
      <w:tr w:rsidR="008179F5" w:rsidRPr="00D76025" w:rsidTr="00C90E15">
        <w:tc>
          <w:tcPr>
            <w:tcW w:w="1904" w:type="dxa"/>
          </w:tcPr>
          <w:p w:rsidR="008179F5" w:rsidRPr="00D76025" w:rsidRDefault="008179F5" w:rsidP="00C90E15">
            <w:pPr>
              <w:jc w:val="left"/>
              <w:rPr>
                <w:snapToGrid w:val="0"/>
              </w:rPr>
            </w:pPr>
            <w:r w:rsidRPr="00D76025">
              <w:rPr>
                <w:snapToGrid w:val="0"/>
              </w:rPr>
              <w:t>ITPGRFA</w:t>
            </w:r>
          </w:p>
        </w:tc>
        <w:tc>
          <w:tcPr>
            <w:tcW w:w="7985" w:type="dxa"/>
          </w:tcPr>
          <w:p w:rsidR="008179F5" w:rsidRPr="00D76025" w:rsidRDefault="008179F5" w:rsidP="00C90E15">
            <w:pPr>
              <w:jc w:val="left"/>
              <w:rPr>
                <w:snapToGrid w:val="0"/>
              </w:rPr>
            </w:pPr>
            <w:r w:rsidRPr="00D76025">
              <w:rPr>
                <w:snapToGrid w:val="0"/>
              </w:rPr>
              <w:t>International Treaty on Plant Genetic Resources for Food and Agriculture</w:t>
            </w:r>
          </w:p>
        </w:tc>
      </w:tr>
      <w:tr w:rsidR="008179F5" w:rsidRPr="00D76025" w:rsidTr="00C90E15">
        <w:tc>
          <w:tcPr>
            <w:tcW w:w="1904" w:type="dxa"/>
          </w:tcPr>
          <w:p w:rsidR="008179F5" w:rsidRPr="00D76025" w:rsidRDefault="008179F5" w:rsidP="00C90E15">
            <w:pPr>
              <w:jc w:val="left"/>
            </w:pPr>
            <w:r w:rsidRPr="00D76025">
              <w:t>JICA</w:t>
            </w:r>
          </w:p>
        </w:tc>
        <w:tc>
          <w:tcPr>
            <w:tcW w:w="7985" w:type="dxa"/>
          </w:tcPr>
          <w:p w:rsidR="008179F5" w:rsidRPr="00D76025" w:rsidRDefault="008179F5" w:rsidP="00C90E15">
            <w:pPr>
              <w:jc w:val="left"/>
            </w:pPr>
            <w:r w:rsidRPr="00D76025">
              <w:t>Japan International Cooperation Agency</w:t>
            </w:r>
          </w:p>
        </w:tc>
      </w:tr>
      <w:tr w:rsidR="008179F5" w:rsidRPr="00D76025" w:rsidTr="00C90E15">
        <w:tc>
          <w:tcPr>
            <w:tcW w:w="1904" w:type="dxa"/>
          </w:tcPr>
          <w:p w:rsidR="008179F5" w:rsidRPr="00D76025" w:rsidRDefault="008179F5" w:rsidP="00C90E15">
            <w:pPr>
              <w:jc w:val="left"/>
              <w:rPr>
                <w:snapToGrid w:val="0"/>
                <w:color w:val="000000"/>
                <w:lang w:eastAsia="ja-JP"/>
              </w:rPr>
            </w:pPr>
            <w:r w:rsidRPr="00D76025">
              <w:rPr>
                <w:snapToGrid w:val="0"/>
                <w:color w:val="000000"/>
                <w:lang w:eastAsia="ja-JP"/>
              </w:rPr>
              <w:t>KOICA</w:t>
            </w:r>
          </w:p>
        </w:tc>
        <w:tc>
          <w:tcPr>
            <w:tcW w:w="7985" w:type="dxa"/>
          </w:tcPr>
          <w:p w:rsidR="008179F5" w:rsidRPr="00D76025" w:rsidRDefault="008179F5" w:rsidP="00C90E15">
            <w:pPr>
              <w:jc w:val="left"/>
              <w:rPr>
                <w:snapToGrid w:val="0"/>
                <w:color w:val="000000"/>
                <w:lang w:eastAsia="ja-JP"/>
              </w:rPr>
            </w:pPr>
            <w:r w:rsidRPr="00D76025">
              <w:rPr>
                <w:snapToGrid w:val="0"/>
                <w:color w:val="000000"/>
                <w:lang w:eastAsia="ja-JP"/>
              </w:rPr>
              <w:t>Korea International Cooperation Agency</w:t>
            </w:r>
          </w:p>
        </w:tc>
      </w:tr>
      <w:tr w:rsidR="008179F5" w:rsidRPr="00D76025" w:rsidTr="00C90E15">
        <w:tc>
          <w:tcPr>
            <w:tcW w:w="1904" w:type="dxa"/>
          </w:tcPr>
          <w:p w:rsidR="008179F5" w:rsidRPr="00D76025" w:rsidRDefault="008179F5" w:rsidP="00C90E15">
            <w:pPr>
              <w:jc w:val="left"/>
              <w:rPr>
                <w:rFonts w:cs="Arial"/>
                <w:noProof/>
                <w:color w:val="000000"/>
                <w:lang w:eastAsia="ja-JP" w:bidi="km-KH"/>
              </w:rPr>
            </w:pPr>
            <w:r w:rsidRPr="00D76025">
              <w:rPr>
                <w:rFonts w:cs="Arial"/>
                <w:noProof/>
                <w:color w:val="000000"/>
                <w:lang w:eastAsia="ja-JP" w:bidi="km-KH"/>
              </w:rPr>
              <w:t>KSVS</w:t>
            </w:r>
          </w:p>
        </w:tc>
        <w:tc>
          <w:tcPr>
            <w:tcW w:w="7985" w:type="dxa"/>
          </w:tcPr>
          <w:p w:rsidR="008179F5" w:rsidRPr="00D76025" w:rsidRDefault="008179F5" w:rsidP="00C90E15">
            <w:pPr>
              <w:jc w:val="left"/>
              <w:rPr>
                <w:rFonts w:cs="Arial"/>
                <w:noProof/>
                <w:color w:val="000000"/>
                <w:lang w:eastAsia="ja-JP" w:bidi="km-KH"/>
              </w:rPr>
            </w:pPr>
            <w:r w:rsidRPr="00D76025">
              <w:rPr>
                <w:rFonts w:cs="Arial"/>
                <w:noProof/>
                <w:color w:val="000000"/>
                <w:lang w:eastAsia="ja-JP" w:bidi="km-KH"/>
              </w:rPr>
              <w:t>Korea Seed and Variety Service</w:t>
            </w:r>
          </w:p>
        </w:tc>
      </w:tr>
      <w:tr w:rsidR="009B2B7D" w:rsidRPr="00D76025" w:rsidTr="00C90E15">
        <w:tc>
          <w:tcPr>
            <w:tcW w:w="1904" w:type="dxa"/>
          </w:tcPr>
          <w:p w:rsidR="009B2B7D" w:rsidRPr="00D76025" w:rsidRDefault="009B2B7D" w:rsidP="00C90E15">
            <w:pPr>
              <w:jc w:val="left"/>
            </w:pPr>
            <w:r w:rsidRPr="00D76025">
              <w:t>NCSS</w:t>
            </w:r>
          </w:p>
        </w:tc>
        <w:tc>
          <w:tcPr>
            <w:tcW w:w="7985" w:type="dxa"/>
          </w:tcPr>
          <w:p w:rsidR="009B2B7D" w:rsidRPr="00D76025" w:rsidRDefault="009B2B7D" w:rsidP="00C90E15">
            <w:pPr>
              <w:jc w:val="left"/>
            </w:pPr>
            <w:r w:rsidRPr="00D76025">
              <w:rPr>
                <w:rFonts w:eastAsiaTheme="minorEastAsia"/>
                <w:snapToGrid w:val="0"/>
                <w:color w:val="000000"/>
                <w:lang w:eastAsia="ja-JP"/>
              </w:rPr>
              <w:t>National Center for Seeds and Seedlings (Japan)</w:t>
            </w:r>
          </w:p>
        </w:tc>
      </w:tr>
      <w:tr w:rsidR="008179F5" w:rsidRPr="00D76025" w:rsidTr="00C90E15">
        <w:tc>
          <w:tcPr>
            <w:tcW w:w="1904" w:type="dxa"/>
          </w:tcPr>
          <w:p w:rsidR="008179F5" w:rsidRPr="00D76025" w:rsidRDefault="008179F5" w:rsidP="00C90E15">
            <w:pPr>
              <w:jc w:val="left"/>
            </w:pPr>
            <w:r w:rsidRPr="00D76025">
              <w:t>OAPI</w:t>
            </w:r>
          </w:p>
        </w:tc>
        <w:tc>
          <w:tcPr>
            <w:tcW w:w="7985" w:type="dxa"/>
          </w:tcPr>
          <w:p w:rsidR="008179F5" w:rsidRPr="00D76025" w:rsidRDefault="008179F5" w:rsidP="00C90E15">
            <w:pPr>
              <w:jc w:val="left"/>
            </w:pPr>
            <w:r w:rsidRPr="00D76025">
              <w:t>African Intellectual Property Organization</w:t>
            </w:r>
          </w:p>
        </w:tc>
      </w:tr>
      <w:tr w:rsidR="008179F5" w:rsidRPr="00D76025" w:rsidTr="00C90E15">
        <w:tc>
          <w:tcPr>
            <w:tcW w:w="1904" w:type="dxa"/>
          </w:tcPr>
          <w:p w:rsidR="008179F5" w:rsidRPr="00D76025" w:rsidRDefault="008179F5" w:rsidP="00C90E15">
            <w:pPr>
              <w:jc w:val="left"/>
            </w:pPr>
            <w:r w:rsidRPr="00D76025">
              <w:t>OECD</w:t>
            </w:r>
          </w:p>
        </w:tc>
        <w:tc>
          <w:tcPr>
            <w:tcW w:w="7985" w:type="dxa"/>
          </w:tcPr>
          <w:p w:rsidR="008179F5" w:rsidRPr="00D76025" w:rsidRDefault="008179F5" w:rsidP="00C90E15">
            <w:pPr>
              <w:jc w:val="left"/>
            </w:pPr>
            <w:proofErr w:type="spellStart"/>
            <w:r w:rsidRPr="00D76025">
              <w:t>Organisation</w:t>
            </w:r>
            <w:proofErr w:type="spellEnd"/>
            <w:r w:rsidRPr="00D76025">
              <w:t xml:space="preserve"> for Economic Co-Operation and Development</w:t>
            </w:r>
          </w:p>
        </w:tc>
      </w:tr>
      <w:tr w:rsidR="009B2B7D" w:rsidRPr="00D76025" w:rsidTr="00C90E15">
        <w:tc>
          <w:tcPr>
            <w:tcW w:w="1904" w:type="dxa"/>
          </w:tcPr>
          <w:p w:rsidR="009B2B7D" w:rsidRPr="00D76025" w:rsidRDefault="009B2B7D" w:rsidP="00C90E15">
            <w:pPr>
              <w:autoSpaceDE w:val="0"/>
              <w:autoSpaceDN w:val="0"/>
              <w:adjustRightInd w:val="0"/>
              <w:jc w:val="left"/>
              <w:rPr>
                <w:szCs w:val="24"/>
              </w:rPr>
            </w:pPr>
            <w:r w:rsidRPr="00D76025">
              <w:rPr>
                <w:szCs w:val="24"/>
              </w:rPr>
              <w:t>OEPM</w:t>
            </w:r>
          </w:p>
        </w:tc>
        <w:tc>
          <w:tcPr>
            <w:tcW w:w="7985" w:type="dxa"/>
          </w:tcPr>
          <w:p w:rsidR="009B2B7D" w:rsidRPr="00D76025" w:rsidRDefault="009B2B7D" w:rsidP="00C90E15">
            <w:pPr>
              <w:autoSpaceDE w:val="0"/>
              <w:autoSpaceDN w:val="0"/>
              <w:adjustRightInd w:val="0"/>
              <w:jc w:val="left"/>
              <w:rPr>
                <w:szCs w:val="24"/>
              </w:rPr>
            </w:pPr>
            <w:r w:rsidRPr="00D76025">
              <w:t>Spanish Patent and Trademark Office</w:t>
            </w:r>
          </w:p>
        </w:tc>
      </w:tr>
      <w:tr w:rsidR="008179F5" w:rsidRPr="00D76025" w:rsidTr="00C90E15">
        <w:tc>
          <w:tcPr>
            <w:tcW w:w="1904" w:type="dxa"/>
          </w:tcPr>
          <w:p w:rsidR="008179F5" w:rsidRPr="00D76025" w:rsidRDefault="008179F5" w:rsidP="00C90E15">
            <w:pPr>
              <w:jc w:val="left"/>
            </w:pPr>
            <w:r w:rsidRPr="00D76025">
              <w:t>QUT</w:t>
            </w:r>
          </w:p>
        </w:tc>
        <w:tc>
          <w:tcPr>
            <w:tcW w:w="7985" w:type="dxa"/>
          </w:tcPr>
          <w:p w:rsidR="008179F5" w:rsidRPr="00D76025" w:rsidRDefault="008179F5" w:rsidP="00C90E15">
            <w:pPr>
              <w:jc w:val="left"/>
            </w:pPr>
            <w:r w:rsidRPr="00D76025">
              <w:t>Queensland University of Technology</w:t>
            </w:r>
          </w:p>
        </w:tc>
      </w:tr>
      <w:tr w:rsidR="008179F5" w:rsidRPr="00D76025" w:rsidTr="00C90E15">
        <w:tc>
          <w:tcPr>
            <w:tcW w:w="1904" w:type="dxa"/>
          </w:tcPr>
          <w:p w:rsidR="008179F5" w:rsidRPr="00D76025" w:rsidRDefault="008179F5" w:rsidP="00C90E15">
            <w:pPr>
              <w:jc w:val="left"/>
            </w:pPr>
            <w:r w:rsidRPr="00D76025">
              <w:t>SAA</w:t>
            </w:r>
          </w:p>
        </w:tc>
        <w:tc>
          <w:tcPr>
            <w:tcW w:w="7985" w:type="dxa"/>
          </w:tcPr>
          <w:p w:rsidR="008179F5" w:rsidRPr="00D76025" w:rsidRDefault="008179F5" w:rsidP="00C90E15">
            <w:pPr>
              <w:jc w:val="left"/>
            </w:pPr>
            <w:r w:rsidRPr="00D76025">
              <w:t>Seed Association of the Americas</w:t>
            </w:r>
          </w:p>
        </w:tc>
      </w:tr>
      <w:tr w:rsidR="00F467D4" w:rsidRPr="00D76025" w:rsidTr="00C90E15">
        <w:tc>
          <w:tcPr>
            <w:tcW w:w="1904" w:type="dxa"/>
          </w:tcPr>
          <w:p w:rsidR="00F467D4" w:rsidRPr="00D76025" w:rsidRDefault="00F467D4" w:rsidP="00C90E15">
            <w:pPr>
              <w:jc w:val="left"/>
              <w:rPr>
                <w:szCs w:val="24"/>
              </w:rPr>
            </w:pPr>
            <w:r w:rsidRPr="00D76025">
              <w:rPr>
                <w:szCs w:val="24"/>
              </w:rPr>
              <w:t>SNICS</w:t>
            </w:r>
          </w:p>
        </w:tc>
        <w:tc>
          <w:tcPr>
            <w:tcW w:w="7985" w:type="dxa"/>
          </w:tcPr>
          <w:p w:rsidR="00F467D4" w:rsidRPr="00D76025" w:rsidRDefault="00F467D4" w:rsidP="00F467D4">
            <w:pPr>
              <w:jc w:val="left"/>
              <w:rPr>
                <w:szCs w:val="24"/>
              </w:rPr>
            </w:pPr>
            <w:r w:rsidRPr="00D76025">
              <w:t>National Seeds Certification and Inspection Service (Mexico)</w:t>
            </w:r>
          </w:p>
        </w:tc>
      </w:tr>
      <w:tr w:rsidR="00891B4A" w:rsidRPr="00D76025" w:rsidTr="00C90E15">
        <w:tc>
          <w:tcPr>
            <w:tcW w:w="1904" w:type="dxa"/>
          </w:tcPr>
          <w:p w:rsidR="00891B4A" w:rsidRPr="00D76025" w:rsidRDefault="00891B4A" w:rsidP="00C90E15">
            <w:pPr>
              <w:jc w:val="left"/>
              <w:rPr>
                <w:szCs w:val="24"/>
              </w:rPr>
            </w:pPr>
            <w:r w:rsidRPr="00D76025">
              <w:t>SPCRI</w:t>
            </w:r>
          </w:p>
        </w:tc>
        <w:tc>
          <w:tcPr>
            <w:tcW w:w="7985" w:type="dxa"/>
          </w:tcPr>
          <w:p w:rsidR="00891B4A" w:rsidRPr="00D76025" w:rsidRDefault="00891B4A" w:rsidP="00891B4A">
            <w:pPr>
              <w:jc w:val="left"/>
              <w:rPr>
                <w:szCs w:val="24"/>
              </w:rPr>
            </w:pPr>
            <w:r w:rsidRPr="00D76025">
              <w:t>Seed and Plant Certification and Registration Institute (Islamic Republic of Iran)</w:t>
            </w:r>
          </w:p>
        </w:tc>
      </w:tr>
      <w:tr w:rsidR="008179F5" w:rsidRPr="00D76025" w:rsidTr="00C90E15">
        <w:tc>
          <w:tcPr>
            <w:tcW w:w="1904" w:type="dxa"/>
          </w:tcPr>
          <w:p w:rsidR="008179F5" w:rsidRPr="00D76025" w:rsidRDefault="008179F5" w:rsidP="00C90E15">
            <w:pPr>
              <w:jc w:val="left"/>
              <w:rPr>
                <w:szCs w:val="24"/>
              </w:rPr>
            </w:pPr>
            <w:r w:rsidRPr="00D76025">
              <w:rPr>
                <w:szCs w:val="24"/>
              </w:rPr>
              <w:t>TRIPS</w:t>
            </w:r>
          </w:p>
        </w:tc>
        <w:tc>
          <w:tcPr>
            <w:tcW w:w="7985" w:type="dxa"/>
          </w:tcPr>
          <w:p w:rsidR="008179F5" w:rsidRPr="00D76025" w:rsidRDefault="008179F5" w:rsidP="00C90E15">
            <w:pPr>
              <w:jc w:val="left"/>
              <w:rPr>
                <w:szCs w:val="24"/>
              </w:rPr>
            </w:pPr>
            <w:r w:rsidRPr="00D76025">
              <w:rPr>
                <w:szCs w:val="24"/>
              </w:rPr>
              <w:t>Trade Related Aspects of Intellectual Property Rights</w:t>
            </w:r>
          </w:p>
        </w:tc>
      </w:tr>
      <w:tr w:rsidR="008179F5" w:rsidRPr="00D76025" w:rsidTr="00C90E15">
        <w:tc>
          <w:tcPr>
            <w:tcW w:w="1904" w:type="dxa"/>
          </w:tcPr>
          <w:p w:rsidR="008179F5" w:rsidRPr="00D76025" w:rsidRDefault="008179F5" w:rsidP="00C90E15">
            <w:pPr>
              <w:autoSpaceDE w:val="0"/>
              <w:autoSpaceDN w:val="0"/>
              <w:adjustRightInd w:val="0"/>
              <w:jc w:val="left"/>
            </w:pPr>
            <w:r w:rsidRPr="00D76025">
              <w:t>UN</w:t>
            </w:r>
          </w:p>
        </w:tc>
        <w:tc>
          <w:tcPr>
            <w:tcW w:w="7985" w:type="dxa"/>
          </w:tcPr>
          <w:p w:rsidR="008179F5" w:rsidRPr="00D76025" w:rsidRDefault="008179F5" w:rsidP="00C90E15">
            <w:pPr>
              <w:autoSpaceDE w:val="0"/>
              <w:autoSpaceDN w:val="0"/>
              <w:adjustRightInd w:val="0"/>
              <w:jc w:val="left"/>
            </w:pPr>
            <w:r w:rsidRPr="00D76025">
              <w:t>United Nations</w:t>
            </w:r>
          </w:p>
        </w:tc>
      </w:tr>
      <w:tr w:rsidR="002117C1" w:rsidRPr="00D76025" w:rsidTr="00C90E15">
        <w:tc>
          <w:tcPr>
            <w:tcW w:w="1904" w:type="dxa"/>
          </w:tcPr>
          <w:p w:rsidR="002117C1" w:rsidRPr="00D76025" w:rsidRDefault="002117C1" w:rsidP="00C90E15">
            <w:pPr>
              <w:jc w:val="left"/>
            </w:pPr>
            <w:r w:rsidRPr="00D76025">
              <w:t>UN CEB</w:t>
            </w:r>
          </w:p>
        </w:tc>
        <w:tc>
          <w:tcPr>
            <w:tcW w:w="7985" w:type="dxa"/>
          </w:tcPr>
          <w:p w:rsidR="002117C1" w:rsidRPr="00D76025" w:rsidRDefault="002117C1" w:rsidP="00C90E15">
            <w:pPr>
              <w:jc w:val="left"/>
            </w:pPr>
            <w:r w:rsidRPr="00D76025">
              <w:t>United Nations System Chief Executives Board for Coordination (CEB)</w:t>
            </w:r>
          </w:p>
        </w:tc>
      </w:tr>
      <w:tr w:rsidR="008179F5" w:rsidRPr="00D76025" w:rsidTr="00C90E15">
        <w:tc>
          <w:tcPr>
            <w:tcW w:w="1904" w:type="dxa"/>
          </w:tcPr>
          <w:p w:rsidR="008179F5" w:rsidRPr="00D76025" w:rsidRDefault="008179F5" w:rsidP="00C90E15">
            <w:pPr>
              <w:jc w:val="left"/>
            </w:pPr>
            <w:r w:rsidRPr="00D76025">
              <w:t>UNIGE</w:t>
            </w:r>
          </w:p>
        </w:tc>
        <w:tc>
          <w:tcPr>
            <w:tcW w:w="7985" w:type="dxa"/>
          </w:tcPr>
          <w:p w:rsidR="008179F5" w:rsidRPr="00D76025" w:rsidRDefault="008179F5" w:rsidP="00C90E15">
            <w:pPr>
              <w:jc w:val="left"/>
            </w:pPr>
            <w:r w:rsidRPr="00D76025">
              <w:t>University of Geneva</w:t>
            </w:r>
          </w:p>
        </w:tc>
      </w:tr>
      <w:tr w:rsidR="008179F5" w:rsidRPr="00D76025" w:rsidTr="00C90E15">
        <w:tc>
          <w:tcPr>
            <w:tcW w:w="1904" w:type="dxa"/>
          </w:tcPr>
          <w:p w:rsidR="008179F5" w:rsidRPr="00D76025" w:rsidRDefault="008179F5" w:rsidP="00C90E15">
            <w:pPr>
              <w:jc w:val="left"/>
            </w:pPr>
            <w:r w:rsidRPr="00D76025">
              <w:t>USPTO</w:t>
            </w:r>
          </w:p>
        </w:tc>
        <w:tc>
          <w:tcPr>
            <w:tcW w:w="7985" w:type="dxa"/>
          </w:tcPr>
          <w:p w:rsidR="008179F5" w:rsidRPr="00D76025" w:rsidRDefault="008179F5" w:rsidP="00C90E15">
            <w:pPr>
              <w:jc w:val="left"/>
            </w:pPr>
            <w:r w:rsidRPr="00D76025">
              <w:t>United States Patent and Trademark Office</w:t>
            </w:r>
          </w:p>
        </w:tc>
      </w:tr>
      <w:tr w:rsidR="009B2B7D" w:rsidRPr="00D76025" w:rsidTr="00C90E15">
        <w:tc>
          <w:tcPr>
            <w:tcW w:w="1904" w:type="dxa"/>
          </w:tcPr>
          <w:p w:rsidR="009B2B7D" w:rsidRPr="00D76025" w:rsidRDefault="009B2B7D" w:rsidP="00C90E15">
            <w:pPr>
              <w:jc w:val="left"/>
              <w:rPr>
                <w:spacing w:val="-2"/>
              </w:rPr>
            </w:pPr>
            <w:r w:rsidRPr="00D76025">
              <w:rPr>
                <w:spacing w:val="-2"/>
              </w:rPr>
              <w:t>WECARD</w:t>
            </w:r>
          </w:p>
        </w:tc>
        <w:tc>
          <w:tcPr>
            <w:tcW w:w="7985" w:type="dxa"/>
          </w:tcPr>
          <w:p w:rsidR="009B2B7D" w:rsidRPr="00D76025" w:rsidRDefault="009B2B7D" w:rsidP="00C90E15">
            <w:pPr>
              <w:jc w:val="left"/>
              <w:rPr>
                <w:spacing w:val="-2"/>
              </w:rPr>
            </w:pPr>
            <w:r w:rsidRPr="00D76025">
              <w:t>West and Central African Council for Agricultural Research and Development</w:t>
            </w:r>
          </w:p>
        </w:tc>
      </w:tr>
      <w:tr w:rsidR="008179F5" w:rsidRPr="00D76025" w:rsidTr="00C90E15">
        <w:tc>
          <w:tcPr>
            <w:tcW w:w="1904" w:type="dxa"/>
          </w:tcPr>
          <w:p w:rsidR="008179F5" w:rsidRPr="00D76025" w:rsidRDefault="008179F5" w:rsidP="00C90E15">
            <w:pPr>
              <w:jc w:val="left"/>
              <w:rPr>
                <w:snapToGrid w:val="0"/>
              </w:rPr>
            </w:pPr>
            <w:r w:rsidRPr="00D76025">
              <w:rPr>
                <w:snapToGrid w:val="0"/>
              </w:rPr>
              <w:t>WIPO</w:t>
            </w:r>
          </w:p>
        </w:tc>
        <w:tc>
          <w:tcPr>
            <w:tcW w:w="7985" w:type="dxa"/>
          </w:tcPr>
          <w:p w:rsidR="008179F5" w:rsidRPr="00D76025" w:rsidRDefault="008179F5" w:rsidP="00C90E15">
            <w:pPr>
              <w:jc w:val="left"/>
              <w:rPr>
                <w:snapToGrid w:val="0"/>
              </w:rPr>
            </w:pPr>
            <w:r w:rsidRPr="00D76025">
              <w:rPr>
                <w:snapToGrid w:val="0"/>
              </w:rPr>
              <w:t>World Intellectual Property Organization</w:t>
            </w:r>
          </w:p>
        </w:tc>
      </w:tr>
      <w:tr w:rsidR="002117C1" w:rsidRPr="00D76025" w:rsidTr="00C90E15">
        <w:tc>
          <w:tcPr>
            <w:tcW w:w="1904" w:type="dxa"/>
          </w:tcPr>
          <w:p w:rsidR="002117C1" w:rsidRPr="00D76025" w:rsidRDefault="002117C1" w:rsidP="00C90E15">
            <w:pPr>
              <w:jc w:val="left"/>
            </w:pPr>
            <w:r w:rsidRPr="00D76025">
              <w:t>WIPO IAOC</w:t>
            </w:r>
          </w:p>
        </w:tc>
        <w:tc>
          <w:tcPr>
            <w:tcW w:w="7985" w:type="dxa"/>
          </w:tcPr>
          <w:p w:rsidR="002117C1" w:rsidRPr="00D76025" w:rsidRDefault="002117C1" w:rsidP="002117C1">
            <w:pPr>
              <w:jc w:val="left"/>
            </w:pPr>
            <w:r w:rsidRPr="00D76025">
              <w:t>WIPO Independent Advisory Oversight Committee</w:t>
            </w:r>
          </w:p>
        </w:tc>
      </w:tr>
      <w:tr w:rsidR="002117C1" w:rsidRPr="00D76025" w:rsidTr="00C90E15">
        <w:tc>
          <w:tcPr>
            <w:tcW w:w="1904" w:type="dxa"/>
          </w:tcPr>
          <w:p w:rsidR="002117C1" w:rsidRPr="00D76025" w:rsidRDefault="002117C1" w:rsidP="00C90E15">
            <w:pPr>
              <w:jc w:val="left"/>
            </w:pPr>
            <w:r w:rsidRPr="00D76025">
              <w:t>WIPO IOD</w:t>
            </w:r>
          </w:p>
        </w:tc>
        <w:tc>
          <w:tcPr>
            <w:tcW w:w="7985" w:type="dxa"/>
          </w:tcPr>
          <w:p w:rsidR="002117C1" w:rsidRPr="00D76025" w:rsidRDefault="002117C1" w:rsidP="002117C1">
            <w:pPr>
              <w:jc w:val="left"/>
            </w:pPr>
            <w:r w:rsidRPr="00D76025">
              <w:t xml:space="preserve">WIPO Internal Oversight Division </w:t>
            </w:r>
          </w:p>
        </w:tc>
      </w:tr>
      <w:tr w:rsidR="008179F5" w:rsidRPr="00104173" w:rsidTr="00C90E15">
        <w:tc>
          <w:tcPr>
            <w:tcW w:w="1904" w:type="dxa"/>
          </w:tcPr>
          <w:p w:rsidR="008179F5" w:rsidRPr="00D76025" w:rsidRDefault="008179F5" w:rsidP="00C90E15">
            <w:pPr>
              <w:jc w:val="left"/>
            </w:pPr>
            <w:r w:rsidRPr="00D76025">
              <w:t>WTO</w:t>
            </w:r>
          </w:p>
        </w:tc>
        <w:tc>
          <w:tcPr>
            <w:tcW w:w="7985" w:type="dxa"/>
          </w:tcPr>
          <w:p w:rsidR="008179F5" w:rsidRPr="003E7FB1" w:rsidRDefault="008179F5" w:rsidP="00C90E15">
            <w:pPr>
              <w:jc w:val="left"/>
            </w:pPr>
            <w:r w:rsidRPr="00D76025">
              <w:t>World Trade Organization</w:t>
            </w:r>
          </w:p>
        </w:tc>
      </w:tr>
    </w:tbl>
    <w:p w:rsidR="008179F5" w:rsidRPr="003F2C62" w:rsidRDefault="008179F5" w:rsidP="008179F5">
      <w:pPr>
        <w:ind w:left="1418" w:hanging="1418"/>
        <w:jc w:val="right"/>
      </w:pPr>
    </w:p>
    <w:p w:rsidR="008179F5" w:rsidRPr="003F2C62" w:rsidRDefault="008179F5" w:rsidP="008179F5">
      <w:pPr>
        <w:ind w:left="1418" w:hanging="1418"/>
        <w:jc w:val="right"/>
      </w:pPr>
    </w:p>
    <w:p w:rsidR="008179F5" w:rsidRPr="003F2C62" w:rsidRDefault="008179F5" w:rsidP="008179F5">
      <w:pPr>
        <w:ind w:left="1418" w:hanging="1418"/>
        <w:jc w:val="right"/>
      </w:pPr>
    </w:p>
    <w:p w:rsidR="008179F5" w:rsidRPr="00B04B62" w:rsidRDefault="008179F5" w:rsidP="008179F5">
      <w:pPr>
        <w:ind w:left="1418" w:hanging="1418"/>
        <w:jc w:val="right"/>
      </w:pPr>
      <w:r w:rsidRPr="003F2C62">
        <w:t>[End of appendix and of document]</w:t>
      </w:r>
    </w:p>
    <w:p w:rsidR="006B17D2" w:rsidRPr="00260678" w:rsidRDefault="006B17D2" w:rsidP="00260678"/>
    <w:sectPr w:rsidR="006B17D2" w:rsidRPr="00260678" w:rsidSect="00395A6C">
      <w:headerReference w:type="default" r:id="rId16"/>
      <w:foot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62" w:rsidRDefault="00A52862" w:rsidP="006655D3">
      <w:r>
        <w:separator/>
      </w:r>
    </w:p>
    <w:p w:rsidR="00A52862" w:rsidRDefault="00A52862" w:rsidP="006655D3"/>
    <w:p w:rsidR="00A52862" w:rsidRDefault="00A52862" w:rsidP="006655D3"/>
  </w:endnote>
  <w:endnote w:type="continuationSeparator" w:id="0">
    <w:p w:rsidR="00A52862" w:rsidRDefault="00A52862" w:rsidP="006655D3">
      <w:r>
        <w:separator/>
      </w:r>
    </w:p>
    <w:p w:rsidR="00A52862" w:rsidRPr="00560A6D" w:rsidRDefault="00A52862">
      <w:pPr>
        <w:pStyle w:val="Footer"/>
        <w:spacing w:after="60"/>
        <w:rPr>
          <w:sz w:val="18"/>
          <w:lang w:val="fr-FR"/>
        </w:rPr>
      </w:pPr>
      <w:r w:rsidRPr="00560A6D">
        <w:rPr>
          <w:sz w:val="18"/>
          <w:lang w:val="fr-FR"/>
        </w:rPr>
        <w:t>[Suite de la note de la page précédente]</w:t>
      </w:r>
    </w:p>
    <w:p w:rsidR="00A52862" w:rsidRPr="00560A6D" w:rsidRDefault="00A52862" w:rsidP="006655D3">
      <w:pPr>
        <w:rPr>
          <w:lang w:val="fr-FR"/>
        </w:rPr>
      </w:pPr>
    </w:p>
    <w:p w:rsidR="00A52862" w:rsidRPr="00560A6D" w:rsidRDefault="00A52862" w:rsidP="006655D3">
      <w:pPr>
        <w:rPr>
          <w:lang w:val="fr-FR"/>
        </w:rPr>
      </w:pPr>
    </w:p>
  </w:endnote>
  <w:endnote w:type="continuationNotice" w:id="1">
    <w:p w:rsidR="00A52862" w:rsidRPr="00560A6D" w:rsidRDefault="00A52862" w:rsidP="006655D3">
      <w:pPr>
        <w:rPr>
          <w:lang w:val="fr-FR"/>
        </w:rPr>
      </w:pPr>
      <w:r w:rsidRPr="00560A6D">
        <w:rPr>
          <w:lang w:val="fr-FR"/>
        </w:rPr>
        <w:t>[Suite de la note page suivante]</w:t>
      </w:r>
    </w:p>
    <w:p w:rsidR="00A52862" w:rsidRPr="00560A6D" w:rsidRDefault="00A52862" w:rsidP="006655D3">
      <w:pPr>
        <w:rPr>
          <w:lang w:val="fr-FR"/>
        </w:rPr>
      </w:pPr>
    </w:p>
    <w:p w:rsidR="00A52862" w:rsidRPr="00560A6D" w:rsidRDefault="00A528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0B7C58" w:rsidRDefault="00A52862" w:rsidP="00760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Default="00A52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6D77F4" w:rsidRDefault="00A52862" w:rsidP="007600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23543B" w:rsidRDefault="00A52862" w:rsidP="0023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62" w:rsidRDefault="00A52862" w:rsidP="00C95616">
      <w:pPr>
        <w:spacing w:before="120"/>
      </w:pPr>
      <w:r>
        <w:separator/>
      </w:r>
    </w:p>
  </w:footnote>
  <w:footnote w:type="continuationSeparator" w:id="0">
    <w:p w:rsidR="00A52862" w:rsidRDefault="00A52862" w:rsidP="006655D3">
      <w:r>
        <w:separator/>
      </w:r>
    </w:p>
  </w:footnote>
  <w:footnote w:type="continuationNotice" w:id="1">
    <w:p w:rsidR="00A52862" w:rsidRPr="00A56FAA" w:rsidRDefault="00A52862" w:rsidP="00A56FAA">
      <w:pPr>
        <w:pStyle w:val="Footer"/>
        <w:rPr>
          <w:szCs w:val="18"/>
        </w:rPr>
      </w:pPr>
    </w:p>
  </w:footnote>
  <w:footnote w:id="2">
    <w:p w:rsidR="00A52862" w:rsidRDefault="00A52862" w:rsidP="00085D3C">
      <w:pPr>
        <w:pStyle w:val="FootnoteText"/>
      </w:pPr>
      <w:r>
        <w:rPr>
          <w:rStyle w:val="FootnoteReference"/>
        </w:rPr>
        <w:t>*</w:t>
      </w:r>
      <w:r>
        <w:tab/>
        <w:t>Missions relate to events held outside UPOV headquarters.</w:t>
      </w:r>
    </w:p>
  </w:footnote>
  <w:footnote w:id="3">
    <w:p w:rsidR="00A52862" w:rsidRPr="008346A7" w:rsidRDefault="00A52862" w:rsidP="00854C28">
      <w:pPr>
        <w:pStyle w:val="FootnoteText"/>
      </w:pPr>
      <w:r w:rsidRPr="008346A7">
        <w:rPr>
          <w:rStyle w:val="FootnoteReference"/>
          <w:rFonts w:cs="Arial"/>
          <w:szCs w:val="16"/>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4">
    <w:p w:rsidR="00A52862" w:rsidRPr="008346A7" w:rsidRDefault="00A52862" w:rsidP="00854C28">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C5280D" w:rsidRDefault="00A52862" w:rsidP="00EB048E">
    <w:pPr>
      <w:pStyle w:val="Header"/>
      <w:rPr>
        <w:rStyle w:val="PageNumber"/>
        <w:lang w:val="en-US"/>
      </w:rPr>
    </w:pPr>
    <w:r>
      <w:rPr>
        <w:rStyle w:val="PageNumber"/>
        <w:lang w:val="en-US"/>
      </w:rPr>
      <w:t>C/49/3</w:t>
    </w:r>
  </w:p>
  <w:p w:rsidR="00A52862" w:rsidRPr="00C5280D" w:rsidRDefault="00A5286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18F0">
      <w:rPr>
        <w:rStyle w:val="PageNumber"/>
        <w:noProof/>
        <w:lang w:val="en-US"/>
      </w:rPr>
      <w:t>10</w:t>
    </w:r>
    <w:r w:rsidRPr="00C5280D">
      <w:rPr>
        <w:rStyle w:val="PageNumber"/>
        <w:lang w:val="en-US"/>
      </w:rPr>
      <w:fldChar w:fldCharType="end"/>
    </w:r>
  </w:p>
  <w:p w:rsidR="00A52862" w:rsidRPr="00C5280D" w:rsidRDefault="00A5286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C5280D" w:rsidRDefault="00A52862" w:rsidP="00EB048E">
    <w:pPr>
      <w:pStyle w:val="Header"/>
      <w:rPr>
        <w:rStyle w:val="PageNumber"/>
        <w:lang w:val="en-US"/>
      </w:rPr>
    </w:pPr>
    <w:r>
      <w:rPr>
        <w:rStyle w:val="PageNumber"/>
        <w:lang w:val="en-US"/>
      </w:rPr>
      <w:t>C/49/3</w:t>
    </w:r>
  </w:p>
  <w:p w:rsidR="00A52862" w:rsidRPr="00C5280D" w:rsidRDefault="00A52862"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18F0">
      <w:rPr>
        <w:rStyle w:val="PageNumber"/>
        <w:noProof/>
        <w:lang w:val="en-US"/>
      </w:rPr>
      <w:t>6</w:t>
    </w:r>
    <w:r w:rsidRPr="00C5280D">
      <w:rPr>
        <w:rStyle w:val="PageNumber"/>
        <w:lang w:val="en-US"/>
      </w:rPr>
      <w:fldChar w:fldCharType="end"/>
    </w:r>
  </w:p>
  <w:p w:rsidR="00A52862" w:rsidRPr="00C5280D" w:rsidRDefault="00A5286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C5280D" w:rsidRDefault="00A52862" w:rsidP="00EB048E">
    <w:pPr>
      <w:pStyle w:val="Header"/>
      <w:rPr>
        <w:rStyle w:val="PageNumber"/>
        <w:lang w:val="en-US"/>
      </w:rPr>
    </w:pPr>
    <w:r>
      <w:rPr>
        <w:rStyle w:val="PageNumber"/>
        <w:lang w:val="en-US"/>
      </w:rPr>
      <w:t>C/49/3</w:t>
    </w:r>
  </w:p>
  <w:p w:rsidR="00A52862" w:rsidRPr="00C5280D" w:rsidRDefault="00A52862"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18F0">
      <w:rPr>
        <w:rStyle w:val="PageNumber"/>
        <w:noProof/>
        <w:lang w:val="en-US"/>
      </w:rPr>
      <w:t>2</w:t>
    </w:r>
    <w:r w:rsidRPr="00C5280D">
      <w:rPr>
        <w:rStyle w:val="PageNumber"/>
        <w:lang w:val="en-US"/>
      </w:rPr>
      <w:fldChar w:fldCharType="end"/>
    </w:r>
  </w:p>
  <w:p w:rsidR="00A52862" w:rsidRPr="00C5280D" w:rsidRDefault="00A52862"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62" w:rsidRPr="00C5280D" w:rsidRDefault="00A52862" w:rsidP="00EB048E">
    <w:pPr>
      <w:pStyle w:val="Header"/>
      <w:rPr>
        <w:rStyle w:val="PageNumber"/>
        <w:lang w:val="en-US"/>
      </w:rPr>
    </w:pPr>
    <w:r>
      <w:rPr>
        <w:rStyle w:val="PageNumber"/>
        <w:lang w:val="en-US"/>
      </w:rPr>
      <w:t>C/49/3</w:t>
    </w:r>
  </w:p>
  <w:p w:rsidR="00A52862" w:rsidRPr="00C5280D" w:rsidRDefault="00A52862"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18F0">
      <w:rPr>
        <w:rStyle w:val="PageNumber"/>
        <w:noProof/>
        <w:lang w:val="en-US"/>
      </w:rPr>
      <w:t>2</w:t>
    </w:r>
    <w:r w:rsidRPr="00C5280D">
      <w:rPr>
        <w:rStyle w:val="PageNumber"/>
        <w:lang w:val="en-US"/>
      </w:rPr>
      <w:fldChar w:fldCharType="end"/>
    </w:r>
  </w:p>
  <w:p w:rsidR="00A52862" w:rsidRPr="00C5280D" w:rsidRDefault="00A5286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C7"/>
    <w:rsid w:val="00010CF3"/>
    <w:rsid w:val="00011E27"/>
    <w:rsid w:val="000148BC"/>
    <w:rsid w:val="000156D3"/>
    <w:rsid w:val="00017221"/>
    <w:rsid w:val="00023199"/>
    <w:rsid w:val="00024AB8"/>
    <w:rsid w:val="00030012"/>
    <w:rsid w:val="00030854"/>
    <w:rsid w:val="00036028"/>
    <w:rsid w:val="00044642"/>
    <w:rsid w:val="000446B9"/>
    <w:rsid w:val="00045182"/>
    <w:rsid w:val="00047E21"/>
    <w:rsid w:val="00050F87"/>
    <w:rsid w:val="00051C2A"/>
    <w:rsid w:val="00054081"/>
    <w:rsid w:val="00056130"/>
    <w:rsid w:val="000601DF"/>
    <w:rsid w:val="00060568"/>
    <w:rsid w:val="00080FD6"/>
    <w:rsid w:val="00085505"/>
    <w:rsid w:val="00085D3C"/>
    <w:rsid w:val="0009529A"/>
    <w:rsid w:val="000A68B4"/>
    <w:rsid w:val="000B0052"/>
    <w:rsid w:val="000B13BD"/>
    <w:rsid w:val="000B317E"/>
    <w:rsid w:val="000C0EB9"/>
    <w:rsid w:val="000C7021"/>
    <w:rsid w:val="000D6BBC"/>
    <w:rsid w:val="000D7780"/>
    <w:rsid w:val="000E0B9B"/>
    <w:rsid w:val="000E1779"/>
    <w:rsid w:val="00105929"/>
    <w:rsid w:val="00110121"/>
    <w:rsid w:val="00111082"/>
    <w:rsid w:val="001131D5"/>
    <w:rsid w:val="00141DB8"/>
    <w:rsid w:val="00144BE3"/>
    <w:rsid w:val="00145AC4"/>
    <w:rsid w:val="00153D00"/>
    <w:rsid w:val="001632B7"/>
    <w:rsid w:val="00165A14"/>
    <w:rsid w:val="001732A1"/>
    <w:rsid w:val="0017474A"/>
    <w:rsid w:val="001758C6"/>
    <w:rsid w:val="0018261E"/>
    <w:rsid w:val="00182B99"/>
    <w:rsid w:val="00190846"/>
    <w:rsid w:val="001A0080"/>
    <w:rsid w:val="001A0AF7"/>
    <w:rsid w:val="001A4DA5"/>
    <w:rsid w:val="001A5F89"/>
    <w:rsid w:val="001B3091"/>
    <w:rsid w:val="001D0621"/>
    <w:rsid w:val="001E0CF9"/>
    <w:rsid w:val="001E4B45"/>
    <w:rsid w:val="001E581A"/>
    <w:rsid w:val="001F094A"/>
    <w:rsid w:val="00201F28"/>
    <w:rsid w:val="00207566"/>
    <w:rsid w:val="002117C1"/>
    <w:rsid w:val="002128AE"/>
    <w:rsid w:val="0021332C"/>
    <w:rsid w:val="00213982"/>
    <w:rsid w:val="002306D8"/>
    <w:rsid w:val="00235218"/>
    <w:rsid w:val="00235312"/>
    <w:rsid w:val="0023543B"/>
    <w:rsid w:val="0024416D"/>
    <w:rsid w:val="00247589"/>
    <w:rsid w:val="002521B6"/>
    <w:rsid w:val="00255BB4"/>
    <w:rsid w:val="0025776F"/>
    <w:rsid w:val="00260678"/>
    <w:rsid w:val="00260868"/>
    <w:rsid w:val="00261D57"/>
    <w:rsid w:val="002800A0"/>
    <w:rsid w:val="002801B3"/>
    <w:rsid w:val="0028098F"/>
    <w:rsid w:val="00281060"/>
    <w:rsid w:val="00286BCB"/>
    <w:rsid w:val="002940E8"/>
    <w:rsid w:val="00296120"/>
    <w:rsid w:val="002A0CA3"/>
    <w:rsid w:val="002A67C5"/>
    <w:rsid w:val="002A6E50"/>
    <w:rsid w:val="002B12D7"/>
    <w:rsid w:val="002B5C8C"/>
    <w:rsid w:val="002C256A"/>
    <w:rsid w:val="002C61F9"/>
    <w:rsid w:val="002E3D8D"/>
    <w:rsid w:val="002E6D85"/>
    <w:rsid w:val="002F2521"/>
    <w:rsid w:val="00300985"/>
    <w:rsid w:val="00301625"/>
    <w:rsid w:val="00305A7F"/>
    <w:rsid w:val="0031021E"/>
    <w:rsid w:val="00315280"/>
    <w:rsid w:val="003152FE"/>
    <w:rsid w:val="00327436"/>
    <w:rsid w:val="0033507D"/>
    <w:rsid w:val="003357DB"/>
    <w:rsid w:val="003360F7"/>
    <w:rsid w:val="00344BD6"/>
    <w:rsid w:val="0034517E"/>
    <w:rsid w:val="0035528D"/>
    <w:rsid w:val="00356920"/>
    <w:rsid w:val="00360921"/>
    <w:rsid w:val="00361821"/>
    <w:rsid w:val="00363BBA"/>
    <w:rsid w:val="003726EC"/>
    <w:rsid w:val="00386653"/>
    <w:rsid w:val="00391B92"/>
    <w:rsid w:val="00393F05"/>
    <w:rsid w:val="00395A6C"/>
    <w:rsid w:val="00396590"/>
    <w:rsid w:val="003B2710"/>
    <w:rsid w:val="003B6093"/>
    <w:rsid w:val="003C3876"/>
    <w:rsid w:val="003D227C"/>
    <w:rsid w:val="003D2B4D"/>
    <w:rsid w:val="003E26B0"/>
    <w:rsid w:val="003E7EC7"/>
    <w:rsid w:val="003F3112"/>
    <w:rsid w:val="0040242B"/>
    <w:rsid w:val="0041443F"/>
    <w:rsid w:val="00420619"/>
    <w:rsid w:val="0042162B"/>
    <w:rsid w:val="00435F8A"/>
    <w:rsid w:val="00444A88"/>
    <w:rsid w:val="00446C1F"/>
    <w:rsid w:val="004634D5"/>
    <w:rsid w:val="00474DA4"/>
    <w:rsid w:val="00476B4D"/>
    <w:rsid w:val="004805FA"/>
    <w:rsid w:val="004831D4"/>
    <w:rsid w:val="004969DC"/>
    <w:rsid w:val="004A093C"/>
    <w:rsid w:val="004A0D7B"/>
    <w:rsid w:val="004A123E"/>
    <w:rsid w:val="004B5121"/>
    <w:rsid w:val="004D047D"/>
    <w:rsid w:val="004D057A"/>
    <w:rsid w:val="004E01DE"/>
    <w:rsid w:val="004F305A"/>
    <w:rsid w:val="00505248"/>
    <w:rsid w:val="00512164"/>
    <w:rsid w:val="00520297"/>
    <w:rsid w:val="005338F9"/>
    <w:rsid w:val="00536FB4"/>
    <w:rsid w:val="005376FD"/>
    <w:rsid w:val="0054281C"/>
    <w:rsid w:val="00547E47"/>
    <w:rsid w:val="00551F8E"/>
    <w:rsid w:val="0055268D"/>
    <w:rsid w:val="0055454F"/>
    <w:rsid w:val="00560A6D"/>
    <w:rsid w:val="00562ADF"/>
    <w:rsid w:val="00576BE4"/>
    <w:rsid w:val="00590A33"/>
    <w:rsid w:val="005A400A"/>
    <w:rsid w:val="005B0240"/>
    <w:rsid w:val="005B0474"/>
    <w:rsid w:val="005B659B"/>
    <w:rsid w:val="005D158D"/>
    <w:rsid w:val="005E278B"/>
    <w:rsid w:val="005F05B6"/>
    <w:rsid w:val="005F278F"/>
    <w:rsid w:val="005F3348"/>
    <w:rsid w:val="00610B3E"/>
    <w:rsid w:val="00612379"/>
    <w:rsid w:val="0061555F"/>
    <w:rsid w:val="00615F5F"/>
    <w:rsid w:val="00621F87"/>
    <w:rsid w:val="0063649A"/>
    <w:rsid w:val="00636905"/>
    <w:rsid w:val="00637524"/>
    <w:rsid w:val="00637603"/>
    <w:rsid w:val="00641200"/>
    <w:rsid w:val="00644666"/>
    <w:rsid w:val="0066031B"/>
    <w:rsid w:val="00663239"/>
    <w:rsid w:val="006655D3"/>
    <w:rsid w:val="0067078A"/>
    <w:rsid w:val="00672210"/>
    <w:rsid w:val="00687EB4"/>
    <w:rsid w:val="00697F91"/>
    <w:rsid w:val="006A57C6"/>
    <w:rsid w:val="006A5A5C"/>
    <w:rsid w:val="006B17D2"/>
    <w:rsid w:val="006C224E"/>
    <w:rsid w:val="006D780A"/>
    <w:rsid w:val="006E3D7D"/>
    <w:rsid w:val="00702A08"/>
    <w:rsid w:val="007046D7"/>
    <w:rsid w:val="007208E4"/>
    <w:rsid w:val="00724522"/>
    <w:rsid w:val="00732DEC"/>
    <w:rsid w:val="007335D8"/>
    <w:rsid w:val="00735BD5"/>
    <w:rsid w:val="00735F00"/>
    <w:rsid w:val="007377C5"/>
    <w:rsid w:val="0074057D"/>
    <w:rsid w:val="00755540"/>
    <w:rsid w:val="007556F6"/>
    <w:rsid w:val="00760057"/>
    <w:rsid w:val="00760EEF"/>
    <w:rsid w:val="00762E58"/>
    <w:rsid w:val="0076750E"/>
    <w:rsid w:val="00777EE5"/>
    <w:rsid w:val="00780004"/>
    <w:rsid w:val="00784836"/>
    <w:rsid w:val="0079023E"/>
    <w:rsid w:val="0079586E"/>
    <w:rsid w:val="007A2854"/>
    <w:rsid w:val="007A51CF"/>
    <w:rsid w:val="007B19B3"/>
    <w:rsid w:val="007D0B9D"/>
    <w:rsid w:val="007D19B0"/>
    <w:rsid w:val="007D2467"/>
    <w:rsid w:val="007E0D89"/>
    <w:rsid w:val="007F498F"/>
    <w:rsid w:val="0080679D"/>
    <w:rsid w:val="008108B0"/>
    <w:rsid w:val="00811B20"/>
    <w:rsid w:val="008179F5"/>
    <w:rsid w:val="008211DD"/>
    <w:rsid w:val="0082296E"/>
    <w:rsid w:val="00823B53"/>
    <w:rsid w:val="00824099"/>
    <w:rsid w:val="008375C7"/>
    <w:rsid w:val="00841B75"/>
    <w:rsid w:val="0084339F"/>
    <w:rsid w:val="00843A64"/>
    <w:rsid w:val="00845126"/>
    <w:rsid w:val="008527D0"/>
    <w:rsid w:val="00854C28"/>
    <w:rsid w:val="00867AC1"/>
    <w:rsid w:val="00871171"/>
    <w:rsid w:val="00875094"/>
    <w:rsid w:val="00881C2A"/>
    <w:rsid w:val="00886A9C"/>
    <w:rsid w:val="00891B4A"/>
    <w:rsid w:val="008A3C6D"/>
    <w:rsid w:val="008A41AB"/>
    <w:rsid w:val="008A743F"/>
    <w:rsid w:val="008C0970"/>
    <w:rsid w:val="008D2CF7"/>
    <w:rsid w:val="008E32B1"/>
    <w:rsid w:val="008E4658"/>
    <w:rsid w:val="008F05B6"/>
    <w:rsid w:val="00900C26"/>
    <w:rsid w:val="0090197F"/>
    <w:rsid w:val="00901A3F"/>
    <w:rsid w:val="00901F2C"/>
    <w:rsid w:val="00906DDC"/>
    <w:rsid w:val="00914C93"/>
    <w:rsid w:val="00915734"/>
    <w:rsid w:val="00934E09"/>
    <w:rsid w:val="00936253"/>
    <w:rsid w:val="009401FD"/>
    <w:rsid w:val="009407D8"/>
    <w:rsid w:val="00947133"/>
    <w:rsid w:val="00947760"/>
    <w:rsid w:val="00947B45"/>
    <w:rsid w:val="00947E28"/>
    <w:rsid w:val="00952DD4"/>
    <w:rsid w:val="00955310"/>
    <w:rsid w:val="00956D1D"/>
    <w:rsid w:val="00970FED"/>
    <w:rsid w:val="00987029"/>
    <w:rsid w:val="009903B1"/>
    <w:rsid w:val="00994253"/>
    <w:rsid w:val="00995541"/>
    <w:rsid w:val="00997029"/>
    <w:rsid w:val="009B2B7D"/>
    <w:rsid w:val="009C221C"/>
    <w:rsid w:val="009C2761"/>
    <w:rsid w:val="009D690D"/>
    <w:rsid w:val="009D69A5"/>
    <w:rsid w:val="009E04F3"/>
    <w:rsid w:val="009E44A2"/>
    <w:rsid w:val="009E6471"/>
    <w:rsid w:val="009E65B6"/>
    <w:rsid w:val="009E7CFA"/>
    <w:rsid w:val="009F7D0F"/>
    <w:rsid w:val="00A0705C"/>
    <w:rsid w:val="00A14DD7"/>
    <w:rsid w:val="00A21127"/>
    <w:rsid w:val="00A30CC4"/>
    <w:rsid w:val="00A42AC3"/>
    <w:rsid w:val="00A430CF"/>
    <w:rsid w:val="00A43229"/>
    <w:rsid w:val="00A4431A"/>
    <w:rsid w:val="00A52862"/>
    <w:rsid w:val="00A54309"/>
    <w:rsid w:val="00A55082"/>
    <w:rsid w:val="00A56FAA"/>
    <w:rsid w:val="00A94FFC"/>
    <w:rsid w:val="00AB2B93"/>
    <w:rsid w:val="00AB7E5B"/>
    <w:rsid w:val="00AC2706"/>
    <w:rsid w:val="00AC5713"/>
    <w:rsid w:val="00AC6009"/>
    <w:rsid w:val="00AE0C87"/>
    <w:rsid w:val="00AE0EF1"/>
    <w:rsid w:val="00AE2937"/>
    <w:rsid w:val="00AF1E06"/>
    <w:rsid w:val="00B0294A"/>
    <w:rsid w:val="00B07301"/>
    <w:rsid w:val="00B224DE"/>
    <w:rsid w:val="00B2433E"/>
    <w:rsid w:val="00B312D0"/>
    <w:rsid w:val="00B46575"/>
    <w:rsid w:val="00B57282"/>
    <w:rsid w:val="00B65E5E"/>
    <w:rsid w:val="00B706A2"/>
    <w:rsid w:val="00B8181B"/>
    <w:rsid w:val="00B818F0"/>
    <w:rsid w:val="00B826E6"/>
    <w:rsid w:val="00B84977"/>
    <w:rsid w:val="00B84BBD"/>
    <w:rsid w:val="00B962B5"/>
    <w:rsid w:val="00B96401"/>
    <w:rsid w:val="00BA3630"/>
    <w:rsid w:val="00BA43FB"/>
    <w:rsid w:val="00BA5B38"/>
    <w:rsid w:val="00BB3A82"/>
    <w:rsid w:val="00BC127D"/>
    <w:rsid w:val="00BC19E7"/>
    <w:rsid w:val="00BC1FE6"/>
    <w:rsid w:val="00BD05D3"/>
    <w:rsid w:val="00BD4135"/>
    <w:rsid w:val="00BF1B95"/>
    <w:rsid w:val="00C061B6"/>
    <w:rsid w:val="00C10E03"/>
    <w:rsid w:val="00C2446C"/>
    <w:rsid w:val="00C312E5"/>
    <w:rsid w:val="00C332F0"/>
    <w:rsid w:val="00C36AE5"/>
    <w:rsid w:val="00C41F17"/>
    <w:rsid w:val="00C42A4C"/>
    <w:rsid w:val="00C461DE"/>
    <w:rsid w:val="00C4662A"/>
    <w:rsid w:val="00C51D44"/>
    <w:rsid w:val="00C5280D"/>
    <w:rsid w:val="00C54326"/>
    <w:rsid w:val="00C54B98"/>
    <w:rsid w:val="00C55189"/>
    <w:rsid w:val="00C5791C"/>
    <w:rsid w:val="00C615DF"/>
    <w:rsid w:val="00C651CE"/>
    <w:rsid w:val="00C66290"/>
    <w:rsid w:val="00C668E2"/>
    <w:rsid w:val="00C72B7A"/>
    <w:rsid w:val="00C76404"/>
    <w:rsid w:val="00C85FBC"/>
    <w:rsid w:val="00C867B1"/>
    <w:rsid w:val="00C90E15"/>
    <w:rsid w:val="00C91D9D"/>
    <w:rsid w:val="00C92DF5"/>
    <w:rsid w:val="00C94AEA"/>
    <w:rsid w:val="00C95616"/>
    <w:rsid w:val="00C973F2"/>
    <w:rsid w:val="00CA304C"/>
    <w:rsid w:val="00CA774A"/>
    <w:rsid w:val="00CB3D4F"/>
    <w:rsid w:val="00CC11B0"/>
    <w:rsid w:val="00CC281F"/>
    <w:rsid w:val="00CC40FC"/>
    <w:rsid w:val="00CC4AF2"/>
    <w:rsid w:val="00CE61B1"/>
    <w:rsid w:val="00CF401F"/>
    <w:rsid w:val="00CF7E36"/>
    <w:rsid w:val="00D152F0"/>
    <w:rsid w:val="00D3083C"/>
    <w:rsid w:val="00D31A71"/>
    <w:rsid w:val="00D34521"/>
    <w:rsid w:val="00D3708D"/>
    <w:rsid w:val="00D40426"/>
    <w:rsid w:val="00D5601F"/>
    <w:rsid w:val="00D570E6"/>
    <w:rsid w:val="00D57C96"/>
    <w:rsid w:val="00D64434"/>
    <w:rsid w:val="00D732D7"/>
    <w:rsid w:val="00D76025"/>
    <w:rsid w:val="00D91203"/>
    <w:rsid w:val="00D95174"/>
    <w:rsid w:val="00DA22D5"/>
    <w:rsid w:val="00DA6F36"/>
    <w:rsid w:val="00DB1783"/>
    <w:rsid w:val="00DB596E"/>
    <w:rsid w:val="00DC00EA"/>
    <w:rsid w:val="00DD1336"/>
    <w:rsid w:val="00DF6C0E"/>
    <w:rsid w:val="00E0776B"/>
    <w:rsid w:val="00E10CFB"/>
    <w:rsid w:val="00E24DBC"/>
    <w:rsid w:val="00E25484"/>
    <w:rsid w:val="00E32F7E"/>
    <w:rsid w:val="00E34948"/>
    <w:rsid w:val="00E40218"/>
    <w:rsid w:val="00E424B3"/>
    <w:rsid w:val="00E55994"/>
    <w:rsid w:val="00E61A94"/>
    <w:rsid w:val="00E66ABD"/>
    <w:rsid w:val="00E67754"/>
    <w:rsid w:val="00E72D49"/>
    <w:rsid w:val="00E73EEC"/>
    <w:rsid w:val="00E7593C"/>
    <w:rsid w:val="00E7678A"/>
    <w:rsid w:val="00E935F1"/>
    <w:rsid w:val="00E94A81"/>
    <w:rsid w:val="00E97280"/>
    <w:rsid w:val="00EA1FFB"/>
    <w:rsid w:val="00EA3C0D"/>
    <w:rsid w:val="00EB048E"/>
    <w:rsid w:val="00EB3551"/>
    <w:rsid w:val="00EB6093"/>
    <w:rsid w:val="00EB74F5"/>
    <w:rsid w:val="00EE34DF"/>
    <w:rsid w:val="00EF2F89"/>
    <w:rsid w:val="00EF7644"/>
    <w:rsid w:val="00EF771F"/>
    <w:rsid w:val="00F1237A"/>
    <w:rsid w:val="00F123DC"/>
    <w:rsid w:val="00F166AF"/>
    <w:rsid w:val="00F22CBD"/>
    <w:rsid w:val="00F33B04"/>
    <w:rsid w:val="00F45372"/>
    <w:rsid w:val="00F467D4"/>
    <w:rsid w:val="00F560F7"/>
    <w:rsid w:val="00F56C99"/>
    <w:rsid w:val="00F6334D"/>
    <w:rsid w:val="00F65734"/>
    <w:rsid w:val="00F72B06"/>
    <w:rsid w:val="00F80602"/>
    <w:rsid w:val="00F81642"/>
    <w:rsid w:val="00F82E64"/>
    <w:rsid w:val="00FA49AB"/>
    <w:rsid w:val="00FB1121"/>
    <w:rsid w:val="00FB2D38"/>
    <w:rsid w:val="00FD3A08"/>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D3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85D3C"/>
    <w:pPr>
      <w:tabs>
        <w:tab w:val="right" w:leader="dot" w:pos="9639"/>
      </w:tabs>
      <w:spacing w:before="120" w:after="240"/>
      <w:ind w:left="567"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85D3C"/>
    <w:pPr>
      <w:tabs>
        <w:tab w:val="right" w:leader="dot" w:pos="9639"/>
      </w:tabs>
      <w:spacing w:before="120" w:after="240"/>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85D3C"/>
    <w:pPr>
      <w:jc w:val="left"/>
    </w:pPr>
    <w:rPr>
      <w:rFonts w:ascii="Times New Roman" w:hAnsi="Times New Roman"/>
      <w:sz w:val="22"/>
    </w:rPr>
  </w:style>
  <w:style w:type="character" w:customStyle="1" w:styleId="CommentTextChar">
    <w:name w:val="Comment Text Char"/>
    <w:basedOn w:val="DefaultParagraphFont"/>
    <w:link w:val="CommentText"/>
    <w:rsid w:val="00085D3C"/>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85D3C"/>
    <w:rPr>
      <w:rFonts w:ascii="Arial" w:hAnsi="Arial"/>
      <w:sz w:val="16"/>
    </w:rPr>
  </w:style>
  <w:style w:type="table" w:styleId="TableGrid">
    <w:name w:val="Table Grid"/>
    <w:basedOn w:val="TableNormal"/>
    <w:rsid w:val="00085D3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085D3C"/>
    <w:rPr>
      <w:rFonts w:ascii="Arial" w:hAnsi="Arial"/>
    </w:rPr>
  </w:style>
  <w:style w:type="paragraph" w:styleId="ListParagraph">
    <w:name w:val="List Paragraph"/>
    <w:basedOn w:val="Normal"/>
    <w:uiPriority w:val="34"/>
    <w:qFormat/>
    <w:rsid w:val="00085D3C"/>
    <w:pPr>
      <w:ind w:left="720"/>
      <w:contextualSpacing/>
    </w:pPr>
  </w:style>
  <w:style w:type="character" w:customStyle="1" w:styleId="HeaderChar">
    <w:name w:val="Header Char"/>
    <w:basedOn w:val="DefaultParagraphFont"/>
    <w:link w:val="Header"/>
    <w:rsid w:val="00085D3C"/>
    <w:rPr>
      <w:rFonts w:ascii="Arial" w:hAnsi="Arial"/>
      <w:lang w:val="fr-FR"/>
    </w:rPr>
  </w:style>
  <w:style w:type="character" w:styleId="CommentReference">
    <w:name w:val="annotation reference"/>
    <w:basedOn w:val="DefaultParagraphFont"/>
    <w:rsid w:val="00085D3C"/>
    <w:rPr>
      <w:sz w:val="16"/>
      <w:szCs w:val="16"/>
    </w:rPr>
  </w:style>
  <w:style w:type="paragraph" w:customStyle="1" w:styleId="Inf4Normal">
    <w:name w:val="Inf_4_Normal"/>
    <w:basedOn w:val="Normal"/>
    <w:rsid w:val="009407D8"/>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D3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85D3C"/>
    <w:pPr>
      <w:tabs>
        <w:tab w:val="right" w:leader="dot" w:pos="9639"/>
      </w:tabs>
      <w:spacing w:before="120" w:after="240"/>
      <w:ind w:left="567"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85D3C"/>
    <w:pPr>
      <w:tabs>
        <w:tab w:val="right" w:leader="dot" w:pos="9639"/>
      </w:tabs>
      <w:spacing w:before="120" w:after="240"/>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85D3C"/>
    <w:pPr>
      <w:jc w:val="left"/>
    </w:pPr>
    <w:rPr>
      <w:rFonts w:ascii="Times New Roman" w:hAnsi="Times New Roman"/>
      <w:sz w:val="22"/>
    </w:rPr>
  </w:style>
  <w:style w:type="character" w:customStyle="1" w:styleId="CommentTextChar">
    <w:name w:val="Comment Text Char"/>
    <w:basedOn w:val="DefaultParagraphFont"/>
    <w:link w:val="CommentText"/>
    <w:rsid w:val="00085D3C"/>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85D3C"/>
    <w:rPr>
      <w:rFonts w:ascii="Arial" w:hAnsi="Arial"/>
      <w:sz w:val="16"/>
    </w:rPr>
  </w:style>
  <w:style w:type="table" w:styleId="TableGrid">
    <w:name w:val="Table Grid"/>
    <w:basedOn w:val="TableNormal"/>
    <w:rsid w:val="00085D3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085D3C"/>
    <w:rPr>
      <w:rFonts w:ascii="Arial" w:hAnsi="Arial"/>
    </w:rPr>
  </w:style>
  <w:style w:type="paragraph" w:styleId="ListParagraph">
    <w:name w:val="List Paragraph"/>
    <w:basedOn w:val="Normal"/>
    <w:uiPriority w:val="34"/>
    <w:qFormat/>
    <w:rsid w:val="00085D3C"/>
    <w:pPr>
      <w:ind w:left="720"/>
      <w:contextualSpacing/>
    </w:pPr>
  </w:style>
  <w:style w:type="character" w:customStyle="1" w:styleId="HeaderChar">
    <w:name w:val="Header Char"/>
    <w:basedOn w:val="DefaultParagraphFont"/>
    <w:link w:val="Header"/>
    <w:rsid w:val="00085D3C"/>
    <w:rPr>
      <w:rFonts w:ascii="Arial" w:hAnsi="Arial"/>
      <w:lang w:val="fr-FR"/>
    </w:rPr>
  </w:style>
  <w:style w:type="character" w:styleId="CommentReference">
    <w:name w:val="annotation reference"/>
    <w:basedOn w:val="DefaultParagraphFont"/>
    <w:rsid w:val="00085D3C"/>
    <w:rPr>
      <w:sz w:val="16"/>
      <w:szCs w:val="16"/>
    </w:rPr>
  </w:style>
  <w:style w:type="paragraph" w:customStyle="1" w:styleId="Inf4Normal">
    <w:name w:val="Inf_4_Normal"/>
    <w:basedOn w:val="Normal"/>
    <w:rsid w:val="009407D8"/>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members/en/pvp_offices.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73</TotalTime>
  <Pages>22</Pages>
  <Words>8289</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C/49/3</vt:lpstr>
    </vt:vector>
  </TitlesOfParts>
  <Company>UPOV</Company>
  <LinksUpToDate>false</LinksUpToDate>
  <CharactersWithSpaces>55432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C/49/3</dc:title>
  <dc:creator>SANCHEZ-VIZCAINO GOMEZ Rosa Maria</dc:creator>
  <cp:lastModifiedBy>SANCHEZ-VIZCAINO GOMEZ Rosa Maria</cp:lastModifiedBy>
  <cp:revision>25</cp:revision>
  <cp:lastPrinted>2015-10-05T13:01:00Z</cp:lastPrinted>
  <dcterms:created xsi:type="dcterms:W3CDTF">2015-10-05T10:06:00Z</dcterms:created>
  <dcterms:modified xsi:type="dcterms:W3CDTF">2015-10-07T14:28:00Z</dcterms:modified>
</cp:coreProperties>
</file>