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532F43">
        <w:trPr>
          <w:trHeight w:val="1760"/>
        </w:trPr>
        <w:tc>
          <w:tcPr>
            <w:tcW w:w="3993" w:type="dxa"/>
          </w:tcPr>
          <w:p w:rsidR="0067078A" w:rsidRPr="00C5280D" w:rsidRDefault="0067078A" w:rsidP="00532F43">
            <w:bookmarkStart w:id="0" w:name="TitleOfDoc"/>
            <w:bookmarkEnd w:id="0"/>
          </w:p>
        </w:tc>
        <w:tc>
          <w:tcPr>
            <w:tcW w:w="1549" w:type="dxa"/>
            <w:vAlign w:val="center"/>
          </w:tcPr>
          <w:p w:rsidR="0067078A" w:rsidRPr="00C5280D" w:rsidRDefault="0067078A" w:rsidP="00532F43">
            <w:pPr>
              <w:pStyle w:val="LogoUPOV"/>
            </w:pPr>
            <w:r>
              <w:rPr>
                <w:noProof/>
              </w:rPr>
              <w:drawing>
                <wp:inline distT="0" distB="0" distL="0" distR="0" wp14:anchorId="403D1F3F" wp14:editId="03E48CC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C5280D" w:rsidRDefault="0067078A" w:rsidP="00532F43">
            <w:pPr>
              <w:pStyle w:val="Lettrine"/>
            </w:pPr>
            <w:r w:rsidRPr="00C5280D">
              <w:t>E</w:t>
            </w:r>
          </w:p>
          <w:p w:rsidR="0067078A" w:rsidRPr="00C5280D" w:rsidRDefault="0067078A" w:rsidP="00532F43">
            <w:pPr>
              <w:pStyle w:val="Docoriginal"/>
            </w:pPr>
            <w:r>
              <w:t>C/48/</w:t>
            </w:r>
            <w:bookmarkStart w:id="1" w:name="Code"/>
            <w:bookmarkEnd w:id="1"/>
            <w:r w:rsidR="003E322A">
              <w:t>4</w:t>
            </w:r>
          </w:p>
          <w:p w:rsidR="0067078A" w:rsidRPr="00B46575" w:rsidRDefault="0067078A" w:rsidP="00532F43">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33507D">
              <w:t xml:space="preserve"> </w:t>
            </w:r>
            <w:bookmarkStart w:id="2" w:name="Original"/>
            <w:bookmarkEnd w:id="2"/>
            <w:r w:rsidRPr="00B46575">
              <w:rPr>
                <w:b w:val="0"/>
                <w:spacing w:val="0"/>
              </w:rPr>
              <w:t>English</w:t>
            </w:r>
          </w:p>
          <w:p w:rsidR="0067078A" w:rsidRPr="00C5280D" w:rsidRDefault="0067078A" w:rsidP="007A4E51">
            <w:pPr>
              <w:pStyle w:val="Docoriginal"/>
            </w:pPr>
            <w:r w:rsidRPr="0033507D">
              <w:t xml:space="preserve">DATE: </w:t>
            </w:r>
            <w:r w:rsidRPr="00B46575">
              <w:rPr>
                <w:rStyle w:val="StyleDocoriginalNotBold1"/>
                <w:spacing w:val="0"/>
              </w:rPr>
              <w:t xml:space="preserve"> </w:t>
            </w:r>
            <w:bookmarkStart w:id="3" w:name="Date"/>
            <w:bookmarkEnd w:id="3"/>
            <w:r w:rsidR="002F4B84">
              <w:rPr>
                <w:b w:val="0"/>
                <w:spacing w:val="0"/>
              </w:rPr>
              <w:t xml:space="preserve">July </w:t>
            </w:r>
            <w:r w:rsidR="007A4E51">
              <w:rPr>
                <w:b w:val="0"/>
                <w:spacing w:val="0"/>
              </w:rPr>
              <w:t>28</w:t>
            </w:r>
            <w:r w:rsidRPr="002F4B84">
              <w:rPr>
                <w:b w:val="0"/>
                <w:spacing w:val="0"/>
              </w:rPr>
              <w:t>, 2014</w:t>
            </w:r>
          </w:p>
        </w:tc>
      </w:tr>
      <w:tr w:rsidR="0067078A" w:rsidRPr="00C5280D" w:rsidTr="00532F43">
        <w:tc>
          <w:tcPr>
            <w:tcW w:w="9534" w:type="dxa"/>
            <w:gridSpan w:val="3"/>
          </w:tcPr>
          <w:p w:rsidR="0067078A" w:rsidRPr="00C5280D" w:rsidRDefault="0067078A" w:rsidP="00532F43">
            <w:pPr>
              <w:pStyle w:val="upove"/>
              <w:rPr>
                <w:sz w:val="28"/>
              </w:rPr>
            </w:pPr>
            <w:r w:rsidRPr="00C5280D">
              <w:rPr>
                <w:snapToGrid w:val="0"/>
              </w:rPr>
              <w:t xml:space="preserve">INTERNATIONAL UNION FOR THE PROTECTION OF NEW VARIETIES OF PLANTS </w:t>
            </w:r>
          </w:p>
        </w:tc>
      </w:tr>
      <w:tr w:rsidR="0067078A" w:rsidRPr="00C5280D" w:rsidTr="00532F43">
        <w:tc>
          <w:tcPr>
            <w:tcW w:w="9534" w:type="dxa"/>
            <w:gridSpan w:val="3"/>
          </w:tcPr>
          <w:p w:rsidR="0067078A" w:rsidRPr="00C5280D" w:rsidRDefault="0067078A" w:rsidP="00532F43">
            <w:pPr>
              <w:pStyle w:val="Country"/>
            </w:pPr>
            <w:r w:rsidRPr="00C5280D">
              <w:t>Geneva</w:t>
            </w:r>
          </w:p>
        </w:tc>
      </w:tr>
    </w:tbl>
    <w:p w:rsidR="0067078A" w:rsidRPr="00C5280D" w:rsidRDefault="0067078A" w:rsidP="0067078A">
      <w:pPr>
        <w:pStyle w:val="Sessiontc"/>
      </w:pPr>
      <w:r>
        <w:t>COUNCIL</w:t>
      </w:r>
    </w:p>
    <w:p w:rsidR="0067078A" w:rsidRPr="00C5280D" w:rsidRDefault="0067078A" w:rsidP="0067078A">
      <w:pPr>
        <w:pStyle w:val="Sessiontcplacedate"/>
      </w:pPr>
      <w:r w:rsidRPr="00C5280D">
        <w:t>Forty-</w:t>
      </w:r>
      <w:r>
        <w:t xml:space="preserve">Eighth Ordinary </w:t>
      </w:r>
      <w:r w:rsidRPr="00C5280D">
        <w:t>Session</w:t>
      </w:r>
      <w:r w:rsidRPr="00C5280D">
        <w:br/>
        <w:t xml:space="preserve">Geneva, </w:t>
      </w:r>
      <w:r>
        <w:t>October 16</w:t>
      </w:r>
      <w:r w:rsidRPr="00C5280D">
        <w:t>, 201</w:t>
      </w:r>
      <w:r>
        <w:t>4</w:t>
      </w:r>
    </w:p>
    <w:p w:rsidR="000D7780" w:rsidRPr="00C5280D" w:rsidRDefault="003E322A" w:rsidP="006655D3">
      <w:pPr>
        <w:pStyle w:val="Titleofdoc0"/>
      </w:pPr>
      <w:r w:rsidRPr="003E322A">
        <w:t>Financial Management Report for the 2012-2013 Biennium</w:t>
      </w:r>
    </w:p>
    <w:p w:rsidR="000D7780" w:rsidRPr="00C5280D" w:rsidRDefault="00AE0EF1" w:rsidP="006655D3">
      <w:pPr>
        <w:pStyle w:val="preparedby1"/>
      </w:pPr>
      <w:bookmarkStart w:id="4" w:name="Prepared"/>
      <w:bookmarkEnd w:id="4"/>
      <w:r w:rsidRPr="009316C4">
        <w:t>Document</w:t>
      </w:r>
      <w:r w:rsidRPr="00C5280D">
        <w:t xml:space="preserve"> </w:t>
      </w:r>
      <w:r w:rsidR="0061555F" w:rsidRPr="00C5280D">
        <w:t>prepared by the Office of the Union</w:t>
      </w:r>
      <w:r w:rsidR="00560A6D">
        <w:br/>
      </w:r>
      <w:r w:rsidR="00560A6D">
        <w:br/>
      </w:r>
      <w:r w:rsidR="00560A6D">
        <w:rPr>
          <w:color w:val="A6A6A6" w:themeColor="background1" w:themeShade="A6"/>
        </w:rPr>
        <w:t>Disclaimer:  this document does not represent UPOV policies or guidance</w:t>
      </w:r>
    </w:p>
    <w:p w:rsidR="00532F43" w:rsidRDefault="00BD5E7F" w:rsidP="00BD5E7F">
      <w:pPr>
        <w:rPr>
          <w:snapToGrid w:val="0"/>
        </w:rPr>
      </w:pPr>
      <w:r w:rsidRPr="00BD5E7F">
        <w:rPr>
          <w:caps/>
          <w:snapToGrid w:val="0"/>
        </w:rPr>
        <w:fldChar w:fldCharType="begin"/>
      </w:r>
      <w:r w:rsidRPr="00BD5E7F">
        <w:rPr>
          <w:caps/>
          <w:snapToGrid w:val="0"/>
        </w:rPr>
        <w:instrText xml:space="preserve"> AUTONUM  </w:instrText>
      </w:r>
      <w:r w:rsidRPr="00BD5E7F">
        <w:rPr>
          <w:caps/>
          <w:snapToGrid w:val="0"/>
        </w:rPr>
        <w:fldChar w:fldCharType="end"/>
      </w:r>
      <w:r w:rsidRPr="00BD5E7F">
        <w:rPr>
          <w:caps/>
          <w:snapToGrid w:val="0"/>
        </w:rPr>
        <w:tab/>
      </w:r>
      <w:r>
        <w:rPr>
          <w:snapToGrid w:val="0"/>
        </w:rPr>
        <w:t xml:space="preserve">The annex to this document contains the </w:t>
      </w:r>
      <w:r w:rsidR="00532F43" w:rsidRPr="00BD5E7F">
        <w:rPr>
          <w:snapToGrid w:val="0"/>
        </w:rPr>
        <w:t>Financial Management Report</w:t>
      </w:r>
      <w:r w:rsidR="00532F43">
        <w:rPr>
          <w:snapToGrid w:val="0"/>
        </w:rPr>
        <w:t xml:space="preserve"> (FMR) </w:t>
      </w:r>
      <w:r w:rsidR="006C4E45">
        <w:rPr>
          <w:snapToGrid w:val="0"/>
        </w:rPr>
        <w:t xml:space="preserve">of the </w:t>
      </w:r>
      <w:r w:rsidR="006C4E45" w:rsidRPr="006C4E45">
        <w:rPr>
          <w:snapToGrid w:val="0"/>
        </w:rPr>
        <w:t>International Union for the Protection of New Varieties of Plants (UPOV)</w:t>
      </w:r>
      <w:r w:rsidR="006C4E45">
        <w:rPr>
          <w:snapToGrid w:val="0"/>
        </w:rPr>
        <w:t xml:space="preserve"> </w:t>
      </w:r>
      <w:r w:rsidRPr="00BD5E7F">
        <w:rPr>
          <w:snapToGrid w:val="0"/>
        </w:rPr>
        <w:t>for the 2012-2013 financial period</w:t>
      </w:r>
      <w:r w:rsidR="00FF45AD">
        <w:rPr>
          <w:snapToGrid w:val="0"/>
        </w:rPr>
        <w:t>,</w:t>
      </w:r>
      <w:r w:rsidRPr="00BD5E7F">
        <w:rPr>
          <w:snapToGrid w:val="0"/>
        </w:rPr>
        <w:t xml:space="preserve"> </w:t>
      </w:r>
      <w:r w:rsidR="000F305E">
        <w:rPr>
          <w:snapToGrid w:val="0"/>
        </w:rPr>
        <w:t xml:space="preserve">in accordance with Regulations 6.6 and 6.7 of the </w:t>
      </w:r>
      <w:r w:rsidR="000F305E" w:rsidRPr="00532F43">
        <w:rPr>
          <w:snapToGrid w:val="0"/>
        </w:rPr>
        <w:t>Financia</w:t>
      </w:r>
      <w:r w:rsidR="000F305E">
        <w:rPr>
          <w:snapToGrid w:val="0"/>
        </w:rPr>
        <w:t xml:space="preserve">l Regulations and Rules of UPOV (FRR) (see </w:t>
      </w:r>
      <w:r w:rsidR="000F305E" w:rsidRPr="00532F43">
        <w:rPr>
          <w:snapToGrid w:val="0"/>
        </w:rPr>
        <w:t>document UPOV/INF/4/3 “Financial Regulations and Rules of UPOV”</w:t>
      </w:r>
      <w:r w:rsidR="000F305E">
        <w:rPr>
          <w:snapToGrid w:val="0"/>
        </w:rPr>
        <w:t xml:space="preserve">), </w:t>
      </w:r>
      <w:r w:rsidRPr="00BD5E7F">
        <w:rPr>
          <w:snapToGrid w:val="0"/>
        </w:rPr>
        <w:t>for approval</w:t>
      </w:r>
      <w:r>
        <w:rPr>
          <w:snapToGrid w:val="0"/>
        </w:rPr>
        <w:t xml:space="preserve"> </w:t>
      </w:r>
      <w:r w:rsidRPr="00BD5E7F">
        <w:rPr>
          <w:snapToGrid w:val="0"/>
        </w:rPr>
        <w:t>by the Council</w:t>
      </w:r>
      <w:r w:rsidR="00532F43">
        <w:rPr>
          <w:snapToGrid w:val="0"/>
        </w:rPr>
        <w:t xml:space="preserve">.  </w:t>
      </w:r>
    </w:p>
    <w:p w:rsidR="00532F43" w:rsidRDefault="00532F43" w:rsidP="00BD5E7F">
      <w:pPr>
        <w:rPr>
          <w:snapToGrid w:val="0"/>
        </w:rPr>
      </w:pPr>
    </w:p>
    <w:p w:rsidR="00532F43" w:rsidRPr="00532F43" w:rsidRDefault="00532F43" w:rsidP="00532F43">
      <w:pPr>
        <w:rPr>
          <w:snapToGrid w:val="0"/>
        </w:rPr>
      </w:pPr>
      <w:r>
        <w:rPr>
          <w:snapToGrid w:val="0"/>
        </w:rPr>
        <w:fldChar w:fldCharType="begin"/>
      </w:r>
      <w:r>
        <w:rPr>
          <w:snapToGrid w:val="0"/>
        </w:rPr>
        <w:instrText xml:space="preserve"> AUTONUM  </w:instrText>
      </w:r>
      <w:r>
        <w:rPr>
          <w:snapToGrid w:val="0"/>
        </w:rPr>
        <w:fldChar w:fldCharType="end"/>
      </w:r>
      <w:r>
        <w:rPr>
          <w:snapToGrid w:val="0"/>
        </w:rPr>
        <w:tab/>
        <w:t>T</w:t>
      </w:r>
      <w:r w:rsidRPr="00532F43">
        <w:rPr>
          <w:snapToGrid w:val="0"/>
        </w:rPr>
        <w:t xml:space="preserve">he FMR is not subject to an external audit. </w:t>
      </w:r>
    </w:p>
    <w:p w:rsidR="00532F43" w:rsidRDefault="00532F43" w:rsidP="00BD5E7F">
      <w:pPr>
        <w:rPr>
          <w:snapToGrid w:val="0"/>
        </w:rPr>
      </w:pPr>
    </w:p>
    <w:p w:rsidR="00532F43" w:rsidRDefault="00532F43" w:rsidP="00BD5E7F">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Regulations 6.6 and 6.7 of the FRR state as follows: </w:t>
      </w:r>
    </w:p>
    <w:p w:rsidR="00D81BFB" w:rsidRDefault="00D81BFB" w:rsidP="00BD5E7F">
      <w:pPr>
        <w:rPr>
          <w:snapToGrid w:val="0"/>
        </w:rPr>
      </w:pPr>
    </w:p>
    <w:p w:rsidR="00D81BFB" w:rsidRPr="00D81BFB" w:rsidRDefault="00D81BFB" w:rsidP="00D81BFB">
      <w:pPr>
        <w:ind w:left="567"/>
        <w:rPr>
          <w:b/>
          <w:sz w:val="18"/>
        </w:rPr>
      </w:pPr>
      <w:r w:rsidRPr="00D81BFB">
        <w:rPr>
          <w:sz w:val="18"/>
        </w:rPr>
        <w:t>“</w:t>
      </w:r>
      <w:r w:rsidRPr="00D81BFB">
        <w:rPr>
          <w:b/>
          <w:sz w:val="18"/>
        </w:rPr>
        <w:t>Regulation 6.6</w:t>
      </w:r>
    </w:p>
    <w:p w:rsidR="00D81BFB" w:rsidRPr="00D81BFB" w:rsidRDefault="00D81BFB" w:rsidP="00D81BFB">
      <w:pPr>
        <w:ind w:left="567"/>
        <w:rPr>
          <w:snapToGrid w:val="0"/>
          <w:sz w:val="18"/>
        </w:rPr>
      </w:pPr>
    </w:p>
    <w:p w:rsidR="00D81BFB" w:rsidRDefault="00D81BFB" w:rsidP="00D81BFB">
      <w:pPr>
        <w:ind w:left="567"/>
        <w:rPr>
          <w:snapToGrid w:val="0"/>
        </w:rPr>
      </w:pPr>
      <w:r>
        <w:rPr>
          <w:snapToGrid w:val="0"/>
        </w:rPr>
        <w:t>“[…]</w:t>
      </w:r>
    </w:p>
    <w:p w:rsidR="00D81BFB" w:rsidRPr="00D81BFB" w:rsidRDefault="00D81BFB" w:rsidP="00D81BFB">
      <w:pPr>
        <w:pStyle w:val="Inf4Heading6"/>
        <w:ind w:left="1134" w:right="567"/>
        <w:rPr>
          <w:sz w:val="18"/>
        </w:rPr>
      </w:pPr>
      <w:r w:rsidRPr="00D81BFB">
        <w:rPr>
          <w:b w:val="0"/>
          <w:sz w:val="18"/>
        </w:rPr>
        <w:t>“</w:t>
      </w:r>
      <w:r w:rsidRPr="00D81BFB">
        <w:rPr>
          <w:sz w:val="18"/>
        </w:rPr>
        <w:t>Rule 106.12</w:t>
      </w:r>
    </w:p>
    <w:p w:rsidR="00D81BFB" w:rsidRPr="00D81BFB" w:rsidRDefault="00D81BFB" w:rsidP="00D81BFB">
      <w:pPr>
        <w:pStyle w:val="Inf4Normal"/>
        <w:ind w:left="1134" w:right="567"/>
        <w:rPr>
          <w:sz w:val="18"/>
        </w:rPr>
      </w:pPr>
      <w:r>
        <w:rPr>
          <w:sz w:val="18"/>
        </w:rPr>
        <w:t>“[…]</w:t>
      </w:r>
    </w:p>
    <w:p w:rsidR="00D81BFB" w:rsidRPr="00D81BFB" w:rsidRDefault="00D81BFB" w:rsidP="00D81BFB">
      <w:pPr>
        <w:pStyle w:val="Inf4Normal"/>
        <w:ind w:left="1134" w:right="567"/>
        <w:rPr>
          <w:sz w:val="18"/>
        </w:rPr>
      </w:pPr>
      <w:r>
        <w:rPr>
          <w:sz w:val="18"/>
        </w:rPr>
        <w:t>“</w:t>
      </w:r>
      <w:r w:rsidRPr="00D81BFB">
        <w:rPr>
          <w:sz w:val="18"/>
        </w:rPr>
        <w:t>(b)</w:t>
      </w:r>
      <w:r w:rsidRPr="00D81BFB">
        <w:rPr>
          <w:sz w:val="18"/>
        </w:rPr>
        <w:tab/>
        <w:t>Within eight months after the end of each financial period, the Secretary</w:t>
      </w:r>
      <w:r w:rsidRPr="00D81BFB">
        <w:rPr>
          <w:sz w:val="18"/>
        </w:rPr>
        <w:noBreakHyphen/>
        <w:t>General shall submit to the Council the financial management report prepared in accordance with Regulation 6.3.</w:t>
      </w:r>
    </w:p>
    <w:p w:rsidR="00D81BFB" w:rsidRDefault="00D81BFB" w:rsidP="00BD5E7F">
      <w:pPr>
        <w:rPr>
          <w:snapToGrid w:val="0"/>
        </w:rPr>
      </w:pPr>
    </w:p>
    <w:p w:rsidR="00BD5E7F" w:rsidRPr="00D81BFB" w:rsidRDefault="00D81BFB" w:rsidP="00D81BFB">
      <w:pPr>
        <w:ind w:left="567"/>
        <w:rPr>
          <w:sz w:val="16"/>
        </w:rPr>
      </w:pPr>
      <w:bookmarkStart w:id="5" w:name="_Toc173661770"/>
      <w:bookmarkStart w:id="6" w:name="_Toc173748751"/>
      <w:bookmarkStart w:id="7" w:name="_Toc355190048"/>
      <w:r w:rsidRPr="00D81BFB">
        <w:rPr>
          <w:sz w:val="18"/>
        </w:rPr>
        <w:t>“</w:t>
      </w:r>
      <w:r w:rsidR="00BD5E7F" w:rsidRPr="00D81BFB">
        <w:rPr>
          <w:b/>
          <w:sz w:val="18"/>
        </w:rPr>
        <w:t>Regulation 6</w:t>
      </w:r>
      <w:bookmarkEnd w:id="5"/>
      <w:bookmarkEnd w:id="6"/>
      <w:bookmarkEnd w:id="7"/>
      <w:r w:rsidRPr="00D81BFB">
        <w:rPr>
          <w:b/>
          <w:sz w:val="18"/>
        </w:rPr>
        <w:t>.7</w:t>
      </w:r>
    </w:p>
    <w:p w:rsidR="00E93B7E" w:rsidRDefault="00D81BFB" w:rsidP="00D81BFB">
      <w:pPr>
        <w:pStyle w:val="Inf4Normal"/>
        <w:ind w:left="567" w:right="567"/>
        <w:rPr>
          <w:sz w:val="18"/>
          <w:szCs w:val="18"/>
        </w:rPr>
      </w:pPr>
      <w:r>
        <w:rPr>
          <w:sz w:val="18"/>
          <w:szCs w:val="18"/>
        </w:rPr>
        <w:t>“</w:t>
      </w:r>
      <w:r w:rsidR="00E93B7E" w:rsidRPr="002F4B84">
        <w:rPr>
          <w:sz w:val="18"/>
          <w:szCs w:val="18"/>
        </w:rPr>
        <w:t xml:space="preserve">After the annual audit and examination by the Council, the annual financial statements and the report of </w:t>
      </w:r>
      <w:proofErr w:type="gramStart"/>
      <w:r w:rsidR="00E93B7E" w:rsidRPr="002F4B84">
        <w:rPr>
          <w:sz w:val="18"/>
          <w:szCs w:val="18"/>
        </w:rPr>
        <w:t>the</w:t>
      </w:r>
      <w:proofErr w:type="gramEnd"/>
      <w:r w:rsidR="00E93B7E" w:rsidRPr="002F4B84">
        <w:rPr>
          <w:sz w:val="18"/>
          <w:szCs w:val="18"/>
        </w:rPr>
        <w:t xml:space="preserve"> External Auditor shall be transmitted to all the interested members of UPOV.  Every two years following the end of the biennium, the financial management report shall also be transmitted to all the interested members of UPOV.”</w:t>
      </w:r>
    </w:p>
    <w:p w:rsidR="00E93B7E" w:rsidRPr="00E93B7E" w:rsidRDefault="00E93B7E" w:rsidP="00E93B7E">
      <w:pPr>
        <w:pStyle w:val="Inf4Normal"/>
        <w:ind w:left="1418" w:right="1179"/>
        <w:rPr>
          <w:sz w:val="18"/>
          <w:szCs w:val="18"/>
        </w:rPr>
      </w:pPr>
    </w:p>
    <w:p w:rsidR="000F305E" w:rsidRDefault="00E93B7E" w:rsidP="000F305E">
      <w:pPr>
        <w:tabs>
          <w:tab w:val="left" w:pos="5387"/>
          <w:tab w:val="left" w:pos="5954"/>
        </w:tabs>
        <w:ind w:left="4820"/>
        <w:rPr>
          <w:i/>
        </w:rPr>
      </w:pPr>
      <w:r w:rsidRPr="00E043A9">
        <w:rPr>
          <w:i/>
        </w:rPr>
        <w:fldChar w:fldCharType="begin"/>
      </w:r>
      <w:r w:rsidRPr="00E043A9">
        <w:rPr>
          <w:i/>
        </w:rPr>
        <w:instrText xml:space="preserve"> AUTONUM  </w:instrText>
      </w:r>
      <w:r w:rsidRPr="00E043A9">
        <w:rPr>
          <w:i/>
        </w:rPr>
        <w:fldChar w:fldCharType="end"/>
      </w:r>
      <w:r w:rsidRPr="00E043A9">
        <w:rPr>
          <w:i/>
        </w:rPr>
        <w:tab/>
        <w:t>The Council is invited to</w:t>
      </w:r>
      <w:r w:rsidR="000F305E">
        <w:rPr>
          <w:i/>
        </w:rPr>
        <w:t xml:space="preserve"> </w:t>
      </w:r>
      <w:r>
        <w:rPr>
          <w:i/>
        </w:rPr>
        <w:t xml:space="preserve">approve </w:t>
      </w:r>
      <w:r w:rsidR="000F305E">
        <w:rPr>
          <w:i/>
        </w:rPr>
        <w:t xml:space="preserve">the financial management </w:t>
      </w:r>
      <w:r w:rsidRPr="00E93B7E">
        <w:rPr>
          <w:i/>
        </w:rPr>
        <w:t>report for</w:t>
      </w:r>
      <w:r>
        <w:rPr>
          <w:i/>
        </w:rPr>
        <w:t xml:space="preserve"> the 2012-2013 financial </w:t>
      </w:r>
      <w:proofErr w:type="gramStart"/>
      <w:r>
        <w:rPr>
          <w:i/>
        </w:rPr>
        <w:t>period</w:t>
      </w:r>
      <w:proofErr w:type="gramEnd"/>
      <w:r w:rsidR="000F305E">
        <w:rPr>
          <w:i/>
        </w:rPr>
        <w:t>.</w:t>
      </w:r>
    </w:p>
    <w:p w:rsidR="006C4E45" w:rsidRPr="00E043A9" w:rsidRDefault="006C4E45" w:rsidP="00D81BFB">
      <w:pPr>
        <w:tabs>
          <w:tab w:val="left" w:pos="5387"/>
          <w:tab w:val="left" w:pos="5954"/>
        </w:tabs>
        <w:ind w:left="4820" w:hanging="4820"/>
        <w:rPr>
          <w:i/>
        </w:rPr>
      </w:pPr>
    </w:p>
    <w:p w:rsidR="00C651CE" w:rsidRPr="00C651CE" w:rsidRDefault="00C651CE" w:rsidP="00C651CE"/>
    <w:p w:rsidR="000A68B4" w:rsidRPr="000A68B4" w:rsidRDefault="000A68B4" w:rsidP="000A68B4"/>
    <w:p w:rsidR="000F209C" w:rsidRDefault="0061555F" w:rsidP="005F05B6">
      <w:pPr>
        <w:jc w:val="right"/>
      </w:pPr>
      <w:r w:rsidRPr="00C5280D">
        <w:t>[</w:t>
      </w:r>
      <w:r w:rsidR="000E7048">
        <w:t>Annex follows</w:t>
      </w:r>
      <w:r w:rsidR="000F305E">
        <w:t>]</w:t>
      </w:r>
    </w:p>
    <w:p w:rsidR="005C7018" w:rsidRDefault="005C7018" w:rsidP="005C7018">
      <w:pPr>
        <w:jc w:val="center"/>
      </w:pPr>
    </w:p>
    <w:p w:rsidR="00A4653A" w:rsidRDefault="00A4653A" w:rsidP="005F05B6">
      <w:pPr>
        <w:jc w:val="right"/>
        <w:sectPr w:rsidR="00A4653A" w:rsidSect="00141316">
          <w:headerReference w:type="default" r:id="rId10"/>
          <w:footerReference w:type="first" r:id="rId11"/>
          <w:pgSz w:w="11907" w:h="16840" w:code="9"/>
          <w:pgMar w:top="510" w:right="1134" w:bottom="1134" w:left="1134" w:header="510" w:footer="680" w:gutter="0"/>
          <w:cols w:space="720"/>
          <w:titlePg/>
        </w:sectPr>
      </w:pPr>
    </w:p>
    <w:p w:rsidR="000F209C" w:rsidRDefault="000F209C" w:rsidP="00D81BFB"/>
    <w:p w:rsidR="00A4653A" w:rsidRDefault="00A4653A" w:rsidP="00D81BFB"/>
    <w:p w:rsidR="00A4653A" w:rsidRPr="00E44689" w:rsidRDefault="00A4653A" w:rsidP="00A4653A">
      <w:pPr>
        <w:jc w:val="center"/>
        <w:rPr>
          <w:b/>
        </w:rPr>
      </w:pPr>
      <w:r w:rsidRPr="00E44689">
        <w:rPr>
          <w:b/>
          <w:snapToGrid w:val="0"/>
        </w:rPr>
        <w:t>INTERNATIONAL UNION FOR THE PROTECTION OF NEW VARIETIES OF PLANTS</w:t>
      </w:r>
    </w:p>
    <w:p w:rsidR="00A4653A" w:rsidRDefault="00A4653A" w:rsidP="00A4653A">
      <w:pPr>
        <w:jc w:val="center"/>
      </w:pPr>
    </w:p>
    <w:p w:rsidR="00A4653A" w:rsidRDefault="00A4653A" w:rsidP="00A4653A">
      <w:pPr>
        <w:jc w:val="center"/>
      </w:pPr>
      <w:r>
        <w:t>Financial Management Report</w:t>
      </w:r>
      <w:r w:rsidR="00743DC1">
        <w:t xml:space="preserve"> for the</w:t>
      </w:r>
      <w:r>
        <w:t xml:space="preserve"> 2012-13</w:t>
      </w:r>
      <w:r w:rsidR="00743DC1">
        <w:t xml:space="preserve"> Biennium</w:t>
      </w:r>
    </w:p>
    <w:p w:rsidR="00A4653A" w:rsidRDefault="00A4653A" w:rsidP="00A4653A">
      <w:pPr>
        <w:jc w:val="center"/>
      </w:pPr>
    </w:p>
    <w:p w:rsidR="00A4653A" w:rsidRDefault="00A4653A" w:rsidP="00A4653A">
      <w:pPr>
        <w:jc w:val="center"/>
      </w:pPr>
    </w:p>
    <w:p w:rsidR="006603C1" w:rsidRDefault="006603C1" w:rsidP="002F4B84">
      <w:pPr>
        <w:tabs>
          <w:tab w:val="right" w:pos="9639"/>
        </w:tabs>
        <w:rPr>
          <w:b/>
        </w:rPr>
      </w:pPr>
    </w:p>
    <w:p w:rsidR="006603C1" w:rsidRDefault="006603C1" w:rsidP="002F4B84">
      <w:pPr>
        <w:tabs>
          <w:tab w:val="right" w:pos="9639"/>
        </w:tabs>
        <w:rPr>
          <w:b/>
        </w:rPr>
      </w:pPr>
    </w:p>
    <w:p w:rsidR="00140793" w:rsidRDefault="00140793" w:rsidP="00D81BFB">
      <w:pPr>
        <w:tabs>
          <w:tab w:val="right" w:pos="9639"/>
        </w:tabs>
      </w:pPr>
      <w:r w:rsidRPr="002F4B84">
        <w:rPr>
          <w:b/>
        </w:rPr>
        <w:t>TABLE OF CONTENTS</w:t>
      </w:r>
      <w:r w:rsidR="002F4B84">
        <w:rPr>
          <w:b/>
        </w:rPr>
        <w:tab/>
      </w:r>
      <w:r w:rsidRPr="002F4B84">
        <w:rPr>
          <w:rFonts w:ascii="Arial Bold" w:hAnsi="Arial Bold"/>
          <w:b/>
          <w:caps/>
        </w:rPr>
        <w:t>page</w:t>
      </w:r>
    </w:p>
    <w:p w:rsidR="00140793" w:rsidRDefault="00140793" w:rsidP="002D7DB5">
      <w:pPr>
        <w:pStyle w:val="TOC1"/>
      </w:pPr>
    </w:p>
    <w:p w:rsidR="00D12AAF" w:rsidRDefault="008518D2" w:rsidP="002D7DB5">
      <w:pPr>
        <w:pStyle w:val="TOC1"/>
        <w:rPr>
          <w:rFonts w:asciiTheme="minorHAnsi" w:eastAsiaTheme="minorEastAsia" w:hAnsiTheme="minorHAnsi" w:cstheme="minorBidi"/>
          <w:sz w:val="22"/>
          <w:szCs w:val="22"/>
        </w:rPr>
      </w:pPr>
      <w:r>
        <w:fldChar w:fldCharType="begin"/>
      </w:r>
      <w:r>
        <w:instrText xml:space="preserve"> TOC \o "1-1" \h \z \u \t "Heading 2,1,Heading 3,2,Heading 4,2,Heading 5,2" </w:instrText>
      </w:r>
      <w:r>
        <w:fldChar w:fldCharType="separate"/>
      </w:r>
      <w:hyperlink w:anchor="_Toc393377909" w:history="1">
        <w:r w:rsidR="00D12AAF" w:rsidRPr="00E60289">
          <w:rPr>
            <w:rStyle w:val="Hyperlink"/>
          </w:rPr>
          <w:t>SUMMARY and analysis OF RESULTS</w:t>
        </w:r>
        <w:r w:rsidR="00D12AAF">
          <w:rPr>
            <w:webHidden/>
          </w:rPr>
          <w:tab/>
        </w:r>
        <w:r w:rsidR="00D12AAF">
          <w:rPr>
            <w:webHidden/>
          </w:rPr>
          <w:fldChar w:fldCharType="begin"/>
        </w:r>
        <w:r w:rsidR="00D12AAF">
          <w:rPr>
            <w:webHidden/>
          </w:rPr>
          <w:instrText xml:space="preserve"> PAGEREF _Toc393377909 \h </w:instrText>
        </w:r>
        <w:r w:rsidR="00D12AAF">
          <w:rPr>
            <w:webHidden/>
          </w:rPr>
        </w:r>
        <w:r w:rsidR="00D12AAF">
          <w:rPr>
            <w:webHidden/>
          </w:rPr>
          <w:fldChar w:fldCharType="separate"/>
        </w:r>
        <w:r w:rsidR="007A4E51">
          <w:rPr>
            <w:webHidden/>
          </w:rPr>
          <w:t>2</w:t>
        </w:r>
        <w:r w:rsidR="00D12AAF">
          <w:rPr>
            <w:webHidden/>
          </w:rPr>
          <w:fldChar w:fldCharType="end"/>
        </w:r>
      </w:hyperlink>
    </w:p>
    <w:p w:rsidR="00D12AAF" w:rsidRDefault="002D7DB5" w:rsidP="00D81BFB">
      <w:pPr>
        <w:pStyle w:val="TOC2"/>
        <w:jc w:val="both"/>
        <w:rPr>
          <w:rFonts w:asciiTheme="minorHAnsi" w:eastAsiaTheme="minorEastAsia" w:hAnsiTheme="minorHAnsi" w:cstheme="minorBidi"/>
          <w:sz w:val="22"/>
          <w:szCs w:val="22"/>
        </w:rPr>
      </w:pPr>
      <w:hyperlink w:anchor="_Toc393377910" w:history="1">
        <w:r w:rsidR="00D12AAF" w:rsidRPr="00E60289">
          <w:rPr>
            <w:rStyle w:val="Hyperlink"/>
          </w:rPr>
          <w:t>Table 1. 2012/13 Income, Expenditure and Reserve and Working Capital Funds (RWCF)</w:t>
        </w:r>
        <w:r w:rsidR="00D12AAF">
          <w:rPr>
            <w:webHidden/>
          </w:rPr>
          <w:tab/>
        </w:r>
        <w:r w:rsidR="00D12AAF">
          <w:rPr>
            <w:webHidden/>
          </w:rPr>
          <w:fldChar w:fldCharType="begin"/>
        </w:r>
        <w:r w:rsidR="00D12AAF">
          <w:rPr>
            <w:webHidden/>
          </w:rPr>
          <w:instrText xml:space="preserve"> PAGEREF _Toc393377910 \h </w:instrText>
        </w:r>
        <w:r w:rsidR="00D12AAF">
          <w:rPr>
            <w:webHidden/>
          </w:rPr>
        </w:r>
        <w:r w:rsidR="00D12AAF">
          <w:rPr>
            <w:webHidden/>
          </w:rPr>
          <w:fldChar w:fldCharType="separate"/>
        </w:r>
        <w:r w:rsidR="007A4E51">
          <w:rPr>
            <w:webHidden/>
          </w:rPr>
          <w:t>2</w:t>
        </w:r>
        <w:r w:rsidR="00D12AAF">
          <w:rPr>
            <w:webHidden/>
          </w:rPr>
          <w:fldChar w:fldCharType="end"/>
        </w:r>
      </w:hyperlink>
    </w:p>
    <w:p w:rsidR="00D12AAF" w:rsidRDefault="002D7DB5" w:rsidP="00D81BFB">
      <w:pPr>
        <w:pStyle w:val="TOC2"/>
        <w:jc w:val="both"/>
        <w:rPr>
          <w:rFonts w:asciiTheme="minorHAnsi" w:eastAsiaTheme="minorEastAsia" w:hAnsiTheme="minorHAnsi" w:cstheme="minorBidi"/>
          <w:sz w:val="22"/>
          <w:szCs w:val="22"/>
        </w:rPr>
      </w:pPr>
      <w:hyperlink w:anchor="_Toc393377911" w:history="1">
        <w:r w:rsidR="00D12AAF" w:rsidRPr="00E60289">
          <w:rPr>
            <w:rStyle w:val="Hyperlink"/>
          </w:rPr>
          <w:t>Table 2. 2012/13 Budgeted and Actual Income by Source</w:t>
        </w:r>
        <w:r w:rsidR="00D12AAF">
          <w:rPr>
            <w:webHidden/>
          </w:rPr>
          <w:tab/>
        </w:r>
        <w:r w:rsidR="00D12AAF">
          <w:rPr>
            <w:webHidden/>
          </w:rPr>
          <w:fldChar w:fldCharType="begin"/>
        </w:r>
        <w:r w:rsidR="00D12AAF">
          <w:rPr>
            <w:webHidden/>
          </w:rPr>
          <w:instrText xml:space="preserve"> PAGEREF _Toc393377911 \h </w:instrText>
        </w:r>
        <w:r w:rsidR="00D12AAF">
          <w:rPr>
            <w:webHidden/>
          </w:rPr>
        </w:r>
        <w:r w:rsidR="00D12AAF">
          <w:rPr>
            <w:webHidden/>
          </w:rPr>
          <w:fldChar w:fldCharType="separate"/>
        </w:r>
        <w:r w:rsidR="007A4E51">
          <w:rPr>
            <w:webHidden/>
          </w:rPr>
          <w:t>3</w:t>
        </w:r>
        <w:r w:rsidR="00D12AAF">
          <w:rPr>
            <w:webHidden/>
          </w:rPr>
          <w:fldChar w:fldCharType="end"/>
        </w:r>
      </w:hyperlink>
    </w:p>
    <w:p w:rsidR="00D12AAF" w:rsidRDefault="002D7DB5" w:rsidP="00D81BFB">
      <w:pPr>
        <w:pStyle w:val="TOC2"/>
        <w:jc w:val="both"/>
        <w:rPr>
          <w:rFonts w:asciiTheme="minorHAnsi" w:eastAsiaTheme="minorEastAsia" w:hAnsiTheme="minorHAnsi" w:cstheme="minorBidi"/>
          <w:sz w:val="22"/>
          <w:szCs w:val="22"/>
        </w:rPr>
      </w:pPr>
      <w:hyperlink w:anchor="_Toc393377912" w:history="1">
        <w:r w:rsidR="00D12AAF" w:rsidRPr="00E60289">
          <w:rPr>
            <w:rStyle w:val="Hyperlink"/>
          </w:rPr>
          <w:t>Table 3. 2012/13 Approved Budget and Expenditure by Object of Expenditure</w:t>
        </w:r>
        <w:r w:rsidR="00D12AAF">
          <w:rPr>
            <w:webHidden/>
          </w:rPr>
          <w:tab/>
        </w:r>
        <w:r w:rsidR="00D12AAF">
          <w:rPr>
            <w:webHidden/>
          </w:rPr>
          <w:fldChar w:fldCharType="begin"/>
        </w:r>
        <w:r w:rsidR="00D12AAF">
          <w:rPr>
            <w:webHidden/>
          </w:rPr>
          <w:instrText xml:space="preserve"> PAGEREF _Toc393377912 \h </w:instrText>
        </w:r>
        <w:r w:rsidR="00D12AAF">
          <w:rPr>
            <w:webHidden/>
          </w:rPr>
        </w:r>
        <w:r w:rsidR="00D12AAF">
          <w:rPr>
            <w:webHidden/>
          </w:rPr>
          <w:fldChar w:fldCharType="separate"/>
        </w:r>
        <w:r w:rsidR="007A4E51">
          <w:rPr>
            <w:webHidden/>
          </w:rPr>
          <w:t>4</w:t>
        </w:r>
        <w:r w:rsidR="00D12AAF">
          <w:rPr>
            <w:webHidden/>
          </w:rPr>
          <w:fldChar w:fldCharType="end"/>
        </w:r>
      </w:hyperlink>
    </w:p>
    <w:p w:rsidR="00D12AAF" w:rsidRDefault="002D7DB5" w:rsidP="00D81BFB">
      <w:pPr>
        <w:pStyle w:val="TOC2"/>
        <w:jc w:val="both"/>
        <w:rPr>
          <w:rFonts w:asciiTheme="minorHAnsi" w:eastAsiaTheme="minorEastAsia" w:hAnsiTheme="minorHAnsi" w:cstheme="minorBidi"/>
          <w:sz w:val="22"/>
          <w:szCs w:val="22"/>
        </w:rPr>
      </w:pPr>
      <w:hyperlink w:anchor="_Toc393377913" w:history="1">
        <w:r w:rsidR="00D12AAF" w:rsidRPr="00E60289">
          <w:rPr>
            <w:rStyle w:val="Hyperlink"/>
          </w:rPr>
          <w:t>Table 4. 2012/13 Approved Budget and Expenditure by Sub-Programs</w:t>
        </w:r>
        <w:r w:rsidR="00D12AAF">
          <w:rPr>
            <w:webHidden/>
          </w:rPr>
          <w:tab/>
        </w:r>
        <w:r w:rsidR="00D12AAF">
          <w:rPr>
            <w:webHidden/>
          </w:rPr>
          <w:fldChar w:fldCharType="begin"/>
        </w:r>
        <w:r w:rsidR="00D12AAF">
          <w:rPr>
            <w:webHidden/>
          </w:rPr>
          <w:instrText xml:space="preserve"> PAGEREF _Toc393377913 \h </w:instrText>
        </w:r>
        <w:r w:rsidR="00D12AAF">
          <w:rPr>
            <w:webHidden/>
          </w:rPr>
        </w:r>
        <w:r w:rsidR="00D12AAF">
          <w:rPr>
            <w:webHidden/>
          </w:rPr>
          <w:fldChar w:fldCharType="separate"/>
        </w:r>
        <w:r w:rsidR="007A4E51">
          <w:rPr>
            <w:webHidden/>
          </w:rPr>
          <w:t>4</w:t>
        </w:r>
        <w:r w:rsidR="00D12AAF">
          <w:rPr>
            <w:webHidden/>
          </w:rPr>
          <w:fldChar w:fldCharType="end"/>
        </w:r>
      </w:hyperlink>
    </w:p>
    <w:p w:rsidR="00D12AAF" w:rsidRDefault="002D7DB5" w:rsidP="00D81BFB">
      <w:pPr>
        <w:pStyle w:val="TOC2"/>
        <w:jc w:val="both"/>
        <w:rPr>
          <w:rFonts w:asciiTheme="minorHAnsi" w:eastAsiaTheme="minorEastAsia" w:hAnsiTheme="minorHAnsi" w:cstheme="minorBidi"/>
          <w:sz w:val="22"/>
          <w:szCs w:val="22"/>
        </w:rPr>
      </w:pPr>
      <w:hyperlink w:anchor="_Toc393377914" w:history="1">
        <w:r w:rsidR="00D12AAF" w:rsidRPr="00E60289">
          <w:rPr>
            <w:rStyle w:val="Hyperlink"/>
          </w:rPr>
          <w:t>Table 5. 2012/13 Expenditure Details by Sub-Programs</w:t>
        </w:r>
        <w:r w:rsidR="00D12AAF">
          <w:rPr>
            <w:webHidden/>
          </w:rPr>
          <w:tab/>
        </w:r>
        <w:r w:rsidR="00D12AAF">
          <w:rPr>
            <w:webHidden/>
          </w:rPr>
          <w:fldChar w:fldCharType="begin"/>
        </w:r>
        <w:r w:rsidR="00D12AAF">
          <w:rPr>
            <w:webHidden/>
          </w:rPr>
          <w:instrText xml:space="preserve"> PAGEREF _Toc393377914 \h </w:instrText>
        </w:r>
        <w:r w:rsidR="00D12AAF">
          <w:rPr>
            <w:webHidden/>
          </w:rPr>
        </w:r>
        <w:r w:rsidR="00D12AAF">
          <w:rPr>
            <w:webHidden/>
          </w:rPr>
          <w:fldChar w:fldCharType="separate"/>
        </w:r>
        <w:r w:rsidR="007A4E51">
          <w:rPr>
            <w:webHidden/>
          </w:rPr>
          <w:t>6</w:t>
        </w:r>
        <w:r w:rsidR="00D12AAF">
          <w:rPr>
            <w:webHidden/>
          </w:rPr>
          <w:fldChar w:fldCharType="end"/>
        </w:r>
      </w:hyperlink>
    </w:p>
    <w:p w:rsidR="00D12AAF" w:rsidRDefault="002D7DB5" w:rsidP="00D81BFB">
      <w:pPr>
        <w:pStyle w:val="TOC2"/>
        <w:jc w:val="both"/>
        <w:rPr>
          <w:rFonts w:asciiTheme="minorHAnsi" w:eastAsiaTheme="minorEastAsia" w:hAnsiTheme="minorHAnsi" w:cstheme="minorBidi"/>
          <w:sz w:val="22"/>
          <w:szCs w:val="22"/>
        </w:rPr>
      </w:pPr>
      <w:hyperlink w:anchor="_Toc393377915" w:history="1">
        <w:r w:rsidR="00D12AAF" w:rsidRPr="00E60289">
          <w:rPr>
            <w:rStyle w:val="Hyperlink"/>
          </w:rPr>
          <w:t>Table 6. 2012/13 Budgeted and Actual Posts</w:t>
        </w:r>
        <w:r w:rsidR="00D12AAF">
          <w:rPr>
            <w:webHidden/>
          </w:rPr>
          <w:tab/>
        </w:r>
        <w:r w:rsidR="00D12AAF">
          <w:rPr>
            <w:webHidden/>
          </w:rPr>
          <w:fldChar w:fldCharType="begin"/>
        </w:r>
        <w:r w:rsidR="00D12AAF">
          <w:rPr>
            <w:webHidden/>
          </w:rPr>
          <w:instrText xml:space="preserve"> PAGEREF _Toc393377915 \h </w:instrText>
        </w:r>
        <w:r w:rsidR="00D12AAF">
          <w:rPr>
            <w:webHidden/>
          </w:rPr>
        </w:r>
        <w:r w:rsidR="00D12AAF">
          <w:rPr>
            <w:webHidden/>
          </w:rPr>
          <w:fldChar w:fldCharType="separate"/>
        </w:r>
        <w:r w:rsidR="007A4E51">
          <w:rPr>
            <w:webHidden/>
          </w:rPr>
          <w:t>6</w:t>
        </w:r>
        <w:r w:rsidR="00D12AAF">
          <w:rPr>
            <w:webHidden/>
          </w:rPr>
          <w:fldChar w:fldCharType="end"/>
        </w:r>
      </w:hyperlink>
    </w:p>
    <w:p w:rsidR="00D12AAF" w:rsidRDefault="002D7DB5" w:rsidP="00D81BFB">
      <w:pPr>
        <w:pStyle w:val="TOC2"/>
        <w:jc w:val="both"/>
        <w:rPr>
          <w:rFonts w:asciiTheme="minorHAnsi" w:eastAsiaTheme="minorEastAsia" w:hAnsiTheme="minorHAnsi" w:cstheme="minorBidi"/>
          <w:sz w:val="22"/>
          <w:szCs w:val="22"/>
        </w:rPr>
      </w:pPr>
      <w:hyperlink w:anchor="_Toc393377916" w:history="1">
        <w:r w:rsidR="00D12AAF" w:rsidRPr="00E60289">
          <w:rPr>
            <w:rStyle w:val="Hyperlink"/>
          </w:rPr>
          <w:t>Table 7. Evolution of Actual Income and Expenditure during 2008-2013</w:t>
        </w:r>
        <w:r w:rsidR="00D12AAF">
          <w:rPr>
            <w:webHidden/>
          </w:rPr>
          <w:tab/>
        </w:r>
        <w:r w:rsidR="00D12AAF">
          <w:rPr>
            <w:webHidden/>
          </w:rPr>
          <w:fldChar w:fldCharType="begin"/>
        </w:r>
        <w:r w:rsidR="00D12AAF">
          <w:rPr>
            <w:webHidden/>
          </w:rPr>
          <w:instrText xml:space="preserve"> PAGEREF _Toc393377916 \h </w:instrText>
        </w:r>
        <w:r w:rsidR="00D12AAF">
          <w:rPr>
            <w:webHidden/>
          </w:rPr>
        </w:r>
        <w:r w:rsidR="00D12AAF">
          <w:rPr>
            <w:webHidden/>
          </w:rPr>
          <w:fldChar w:fldCharType="separate"/>
        </w:r>
        <w:r w:rsidR="007A4E51">
          <w:rPr>
            <w:webHidden/>
          </w:rPr>
          <w:t>7</w:t>
        </w:r>
        <w:r w:rsidR="00D12AAF">
          <w:rPr>
            <w:webHidden/>
          </w:rPr>
          <w:fldChar w:fldCharType="end"/>
        </w:r>
      </w:hyperlink>
    </w:p>
    <w:p w:rsidR="00D12AAF" w:rsidRDefault="002D7DB5" w:rsidP="002D7DB5">
      <w:pPr>
        <w:pStyle w:val="TOC1"/>
        <w:rPr>
          <w:rFonts w:asciiTheme="minorHAnsi" w:eastAsiaTheme="minorEastAsia" w:hAnsiTheme="minorHAnsi" w:cstheme="minorBidi"/>
          <w:sz w:val="22"/>
          <w:szCs w:val="22"/>
        </w:rPr>
      </w:pPr>
      <w:hyperlink w:anchor="_Toc393377917" w:history="1">
        <w:r w:rsidR="00D12AAF" w:rsidRPr="00E60289">
          <w:rPr>
            <w:rStyle w:val="Hyperlink"/>
          </w:rPr>
          <w:t>INVESTMENTS</w:t>
        </w:r>
        <w:r w:rsidR="00D12AAF">
          <w:rPr>
            <w:webHidden/>
          </w:rPr>
          <w:tab/>
        </w:r>
        <w:r w:rsidR="00D12AAF">
          <w:rPr>
            <w:webHidden/>
          </w:rPr>
          <w:fldChar w:fldCharType="begin"/>
        </w:r>
        <w:r w:rsidR="00D12AAF">
          <w:rPr>
            <w:webHidden/>
          </w:rPr>
          <w:instrText xml:space="preserve"> PAGEREF _Toc393377917 \h </w:instrText>
        </w:r>
        <w:r w:rsidR="00D12AAF">
          <w:rPr>
            <w:webHidden/>
          </w:rPr>
        </w:r>
        <w:r w:rsidR="00D12AAF">
          <w:rPr>
            <w:webHidden/>
          </w:rPr>
          <w:fldChar w:fldCharType="separate"/>
        </w:r>
        <w:r w:rsidR="007A4E51">
          <w:rPr>
            <w:webHidden/>
          </w:rPr>
          <w:t>8</w:t>
        </w:r>
        <w:r w:rsidR="00D12AAF">
          <w:rPr>
            <w:webHidden/>
          </w:rPr>
          <w:fldChar w:fldCharType="end"/>
        </w:r>
      </w:hyperlink>
    </w:p>
    <w:p w:rsidR="00D12AAF" w:rsidRDefault="002D7DB5" w:rsidP="002D7DB5">
      <w:pPr>
        <w:pStyle w:val="TOC1"/>
        <w:rPr>
          <w:rFonts w:asciiTheme="minorHAnsi" w:eastAsiaTheme="minorEastAsia" w:hAnsiTheme="minorHAnsi" w:cstheme="minorBidi"/>
          <w:sz w:val="22"/>
          <w:szCs w:val="22"/>
        </w:rPr>
      </w:pPr>
      <w:hyperlink w:anchor="_Toc393377918" w:history="1">
        <w:r w:rsidR="00D12AAF" w:rsidRPr="00E60289">
          <w:rPr>
            <w:rStyle w:val="Hyperlink"/>
          </w:rPr>
          <w:t>FINANCIAL STATEMENTS</w:t>
        </w:r>
        <w:r w:rsidR="00D12AAF">
          <w:rPr>
            <w:webHidden/>
          </w:rPr>
          <w:tab/>
        </w:r>
        <w:r w:rsidR="00D12AAF">
          <w:rPr>
            <w:webHidden/>
          </w:rPr>
          <w:fldChar w:fldCharType="begin"/>
        </w:r>
        <w:r w:rsidR="00D12AAF">
          <w:rPr>
            <w:webHidden/>
          </w:rPr>
          <w:instrText xml:space="preserve"> PAGEREF _Toc393377918 \h </w:instrText>
        </w:r>
        <w:r w:rsidR="00D12AAF">
          <w:rPr>
            <w:webHidden/>
          </w:rPr>
        </w:r>
        <w:r w:rsidR="00D12AAF">
          <w:rPr>
            <w:webHidden/>
          </w:rPr>
          <w:fldChar w:fldCharType="separate"/>
        </w:r>
        <w:r w:rsidR="007A4E51">
          <w:rPr>
            <w:webHidden/>
          </w:rPr>
          <w:t>9</w:t>
        </w:r>
        <w:r w:rsidR="00D12AAF">
          <w:rPr>
            <w:webHidden/>
          </w:rPr>
          <w:fldChar w:fldCharType="end"/>
        </w:r>
      </w:hyperlink>
    </w:p>
    <w:p w:rsidR="00D12AAF" w:rsidRDefault="002D7DB5" w:rsidP="00D81BFB">
      <w:pPr>
        <w:pStyle w:val="TOC2"/>
        <w:jc w:val="both"/>
        <w:rPr>
          <w:rFonts w:asciiTheme="minorHAnsi" w:eastAsiaTheme="minorEastAsia" w:hAnsiTheme="minorHAnsi" w:cstheme="minorBidi"/>
          <w:sz w:val="22"/>
          <w:szCs w:val="22"/>
        </w:rPr>
      </w:pPr>
      <w:hyperlink w:anchor="_Toc393377919" w:history="1">
        <w:r w:rsidR="00D12AAF" w:rsidRPr="00E60289">
          <w:rPr>
            <w:rStyle w:val="Hyperlink"/>
          </w:rPr>
          <w:t>Statement of Financial Position</w:t>
        </w:r>
        <w:r w:rsidR="00D12AAF">
          <w:rPr>
            <w:webHidden/>
          </w:rPr>
          <w:tab/>
        </w:r>
        <w:r w:rsidR="00D12AAF">
          <w:rPr>
            <w:webHidden/>
          </w:rPr>
          <w:fldChar w:fldCharType="begin"/>
        </w:r>
        <w:r w:rsidR="00D12AAF">
          <w:rPr>
            <w:webHidden/>
          </w:rPr>
          <w:instrText xml:space="preserve"> PAGEREF _Toc393377919 \h </w:instrText>
        </w:r>
        <w:r w:rsidR="00D12AAF">
          <w:rPr>
            <w:webHidden/>
          </w:rPr>
        </w:r>
        <w:r w:rsidR="00D12AAF">
          <w:rPr>
            <w:webHidden/>
          </w:rPr>
          <w:fldChar w:fldCharType="separate"/>
        </w:r>
        <w:r w:rsidR="007A4E51">
          <w:rPr>
            <w:webHidden/>
          </w:rPr>
          <w:t>1</w:t>
        </w:r>
        <w:r w:rsidR="007A4E51">
          <w:rPr>
            <w:webHidden/>
          </w:rPr>
          <w:t>1</w:t>
        </w:r>
        <w:r w:rsidR="00D12AAF">
          <w:rPr>
            <w:webHidden/>
          </w:rPr>
          <w:fldChar w:fldCharType="end"/>
        </w:r>
      </w:hyperlink>
    </w:p>
    <w:p w:rsidR="00D12AAF" w:rsidRDefault="002D7DB5" w:rsidP="00D81BFB">
      <w:pPr>
        <w:pStyle w:val="TOC2"/>
        <w:jc w:val="both"/>
        <w:rPr>
          <w:rFonts w:asciiTheme="minorHAnsi" w:eastAsiaTheme="minorEastAsia" w:hAnsiTheme="minorHAnsi" w:cstheme="minorBidi"/>
          <w:sz w:val="22"/>
          <w:szCs w:val="22"/>
        </w:rPr>
      </w:pPr>
      <w:hyperlink w:anchor="_Toc393377920" w:history="1">
        <w:r w:rsidR="00D12AAF" w:rsidRPr="00E60289">
          <w:rPr>
            <w:rStyle w:val="Hyperlink"/>
            <w:lang w:eastAsia="en-GB"/>
          </w:rPr>
          <w:t>Statement of Financial Performance</w:t>
        </w:r>
        <w:r w:rsidR="00D12AAF">
          <w:rPr>
            <w:webHidden/>
          </w:rPr>
          <w:tab/>
        </w:r>
        <w:r w:rsidR="00D12AAF">
          <w:rPr>
            <w:webHidden/>
          </w:rPr>
          <w:fldChar w:fldCharType="begin"/>
        </w:r>
        <w:r w:rsidR="00D12AAF">
          <w:rPr>
            <w:webHidden/>
          </w:rPr>
          <w:instrText xml:space="preserve"> PAGEREF _Toc393377920 \h </w:instrText>
        </w:r>
        <w:r w:rsidR="00D12AAF">
          <w:rPr>
            <w:webHidden/>
          </w:rPr>
        </w:r>
        <w:r w:rsidR="00D12AAF">
          <w:rPr>
            <w:webHidden/>
          </w:rPr>
          <w:fldChar w:fldCharType="separate"/>
        </w:r>
        <w:r w:rsidR="007A4E51">
          <w:rPr>
            <w:webHidden/>
          </w:rPr>
          <w:t>12</w:t>
        </w:r>
        <w:r w:rsidR="00D12AAF">
          <w:rPr>
            <w:webHidden/>
          </w:rPr>
          <w:fldChar w:fldCharType="end"/>
        </w:r>
      </w:hyperlink>
    </w:p>
    <w:p w:rsidR="00D12AAF" w:rsidRDefault="002D7DB5" w:rsidP="00D81BFB">
      <w:pPr>
        <w:pStyle w:val="TOC2"/>
        <w:jc w:val="both"/>
        <w:rPr>
          <w:rFonts w:asciiTheme="minorHAnsi" w:eastAsiaTheme="minorEastAsia" w:hAnsiTheme="minorHAnsi" w:cstheme="minorBidi"/>
          <w:sz w:val="22"/>
          <w:szCs w:val="22"/>
        </w:rPr>
      </w:pPr>
      <w:hyperlink w:anchor="_Toc393377921" w:history="1">
        <w:r w:rsidR="00D12AAF" w:rsidRPr="00E60289">
          <w:rPr>
            <w:rStyle w:val="Hyperlink"/>
            <w:lang w:eastAsia="en-GB"/>
          </w:rPr>
          <w:t>Statement of Changes in Net Assets</w:t>
        </w:r>
        <w:r w:rsidR="00D12AAF">
          <w:rPr>
            <w:webHidden/>
          </w:rPr>
          <w:tab/>
        </w:r>
        <w:r w:rsidR="00D12AAF">
          <w:rPr>
            <w:webHidden/>
          </w:rPr>
          <w:fldChar w:fldCharType="begin"/>
        </w:r>
        <w:r w:rsidR="00D12AAF">
          <w:rPr>
            <w:webHidden/>
          </w:rPr>
          <w:instrText xml:space="preserve"> PAGEREF _Toc393377921 \h </w:instrText>
        </w:r>
        <w:r w:rsidR="00D12AAF">
          <w:rPr>
            <w:webHidden/>
          </w:rPr>
        </w:r>
        <w:r w:rsidR="00D12AAF">
          <w:rPr>
            <w:webHidden/>
          </w:rPr>
          <w:fldChar w:fldCharType="separate"/>
        </w:r>
        <w:r w:rsidR="007A4E51">
          <w:rPr>
            <w:webHidden/>
          </w:rPr>
          <w:t>13</w:t>
        </w:r>
        <w:r w:rsidR="00D12AAF">
          <w:rPr>
            <w:webHidden/>
          </w:rPr>
          <w:fldChar w:fldCharType="end"/>
        </w:r>
      </w:hyperlink>
    </w:p>
    <w:p w:rsidR="00D12AAF" w:rsidRDefault="002D7DB5" w:rsidP="00D81BFB">
      <w:pPr>
        <w:pStyle w:val="TOC2"/>
        <w:jc w:val="both"/>
        <w:rPr>
          <w:rFonts w:asciiTheme="minorHAnsi" w:eastAsiaTheme="minorEastAsia" w:hAnsiTheme="minorHAnsi" w:cstheme="minorBidi"/>
          <w:sz w:val="22"/>
          <w:szCs w:val="22"/>
        </w:rPr>
      </w:pPr>
      <w:hyperlink w:anchor="_Toc393377922" w:history="1">
        <w:r w:rsidR="00D12AAF" w:rsidRPr="00E60289">
          <w:rPr>
            <w:rStyle w:val="Hyperlink"/>
            <w:lang w:eastAsia="en-GB"/>
          </w:rPr>
          <w:t>Statement of Cash Flow</w:t>
        </w:r>
        <w:r w:rsidR="00D12AAF">
          <w:rPr>
            <w:webHidden/>
          </w:rPr>
          <w:tab/>
        </w:r>
        <w:r w:rsidR="00D12AAF">
          <w:rPr>
            <w:webHidden/>
          </w:rPr>
          <w:fldChar w:fldCharType="begin"/>
        </w:r>
        <w:r w:rsidR="00D12AAF">
          <w:rPr>
            <w:webHidden/>
          </w:rPr>
          <w:instrText xml:space="preserve"> PAGEREF _Toc393377922 \h </w:instrText>
        </w:r>
        <w:r w:rsidR="00D12AAF">
          <w:rPr>
            <w:webHidden/>
          </w:rPr>
        </w:r>
        <w:r w:rsidR="00D12AAF">
          <w:rPr>
            <w:webHidden/>
          </w:rPr>
          <w:fldChar w:fldCharType="separate"/>
        </w:r>
        <w:r w:rsidR="007A4E51">
          <w:rPr>
            <w:webHidden/>
          </w:rPr>
          <w:t>14</w:t>
        </w:r>
        <w:r w:rsidR="00D12AAF">
          <w:rPr>
            <w:webHidden/>
          </w:rPr>
          <w:fldChar w:fldCharType="end"/>
        </w:r>
      </w:hyperlink>
    </w:p>
    <w:p w:rsidR="00D12AAF" w:rsidRDefault="002D7DB5" w:rsidP="00D81BFB">
      <w:pPr>
        <w:pStyle w:val="TOC2"/>
        <w:jc w:val="both"/>
        <w:rPr>
          <w:rFonts w:asciiTheme="minorHAnsi" w:eastAsiaTheme="minorEastAsia" w:hAnsiTheme="minorHAnsi" w:cstheme="minorBidi"/>
          <w:sz w:val="22"/>
          <w:szCs w:val="22"/>
        </w:rPr>
      </w:pPr>
      <w:hyperlink w:anchor="_Toc393377923" w:history="1">
        <w:r w:rsidR="00D12AAF" w:rsidRPr="00E60289">
          <w:rPr>
            <w:rStyle w:val="Hyperlink"/>
            <w:lang w:eastAsia="en-GB"/>
          </w:rPr>
          <w:t>Statement of Comparison of Budget and Actual Amounts</w:t>
        </w:r>
        <w:r w:rsidR="00D12AAF">
          <w:rPr>
            <w:webHidden/>
          </w:rPr>
          <w:tab/>
        </w:r>
        <w:r w:rsidR="00D12AAF">
          <w:rPr>
            <w:webHidden/>
          </w:rPr>
          <w:fldChar w:fldCharType="begin"/>
        </w:r>
        <w:r w:rsidR="00D12AAF">
          <w:rPr>
            <w:webHidden/>
          </w:rPr>
          <w:instrText xml:space="preserve"> PAGEREF _Toc393377923 \h </w:instrText>
        </w:r>
        <w:r w:rsidR="00D12AAF">
          <w:rPr>
            <w:webHidden/>
          </w:rPr>
        </w:r>
        <w:r w:rsidR="00D12AAF">
          <w:rPr>
            <w:webHidden/>
          </w:rPr>
          <w:fldChar w:fldCharType="separate"/>
        </w:r>
        <w:r w:rsidR="007A4E51">
          <w:rPr>
            <w:webHidden/>
          </w:rPr>
          <w:t>15</w:t>
        </w:r>
        <w:r w:rsidR="00D12AAF">
          <w:rPr>
            <w:webHidden/>
          </w:rPr>
          <w:fldChar w:fldCharType="end"/>
        </w:r>
      </w:hyperlink>
    </w:p>
    <w:p w:rsidR="00D12AAF" w:rsidRDefault="002D7DB5" w:rsidP="00D81BFB">
      <w:pPr>
        <w:pStyle w:val="TOC2"/>
        <w:jc w:val="both"/>
        <w:rPr>
          <w:rFonts w:asciiTheme="minorHAnsi" w:eastAsiaTheme="minorEastAsia" w:hAnsiTheme="minorHAnsi" w:cstheme="minorBidi"/>
          <w:sz w:val="22"/>
          <w:szCs w:val="22"/>
        </w:rPr>
      </w:pPr>
      <w:hyperlink w:anchor="_Toc393377924" w:history="1">
        <w:r w:rsidR="00D12AAF" w:rsidRPr="00E60289">
          <w:rPr>
            <w:rStyle w:val="Hyperlink"/>
          </w:rPr>
          <w:t>Analysis of the Statement of Financial Position</w:t>
        </w:r>
        <w:r w:rsidR="00D12AAF">
          <w:rPr>
            <w:webHidden/>
          </w:rPr>
          <w:tab/>
        </w:r>
        <w:r w:rsidR="00D12AAF">
          <w:rPr>
            <w:webHidden/>
          </w:rPr>
          <w:fldChar w:fldCharType="begin"/>
        </w:r>
        <w:r w:rsidR="00D12AAF">
          <w:rPr>
            <w:webHidden/>
          </w:rPr>
          <w:instrText xml:space="preserve"> PAGEREF _Toc393377924 \h </w:instrText>
        </w:r>
        <w:r w:rsidR="00D12AAF">
          <w:rPr>
            <w:webHidden/>
          </w:rPr>
        </w:r>
        <w:r w:rsidR="00D12AAF">
          <w:rPr>
            <w:webHidden/>
          </w:rPr>
          <w:fldChar w:fldCharType="separate"/>
        </w:r>
        <w:r w:rsidR="007A4E51">
          <w:rPr>
            <w:webHidden/>
          </w:rPr>
          <w:t>16</w:t>
        </w:r>
        <w:r w:rsidR="00D12AAF">
          <w:rPr>
            <w:webHidden/>
          </w:rPr>
          <w:fldChar w:fldCharType="end"/>
        </w:r>
      </w:hyperlink>
    </w:p>
    <w:p w:rsidR="00D12AAF" w:rsidRDefault="002D7DB5" w:rsidP="00D81BFB">
      <w:pPr>
        <w:pStyle w:val="TOC2"/>
        <w:jc w:val="both"/>
        <w:rPr>
          <w:rFonts w:asciiTheme="minorHAnsi" w:eastAsiaTheme="minorEastAsia" w:hAnsiTheme="minorHAnsi" w:cstheme="minorBidi"/>
          <w:sz w:val="22"/>
          <w:szCs w:val="22"/>
        </w:rPr>
      </w:pPr>
      <w:hyperlink w:anchor="_Toc393377925" w:history="1">
        <w:r w:rsidR="00D12AAF" w:rsidRPr="00E60289">
          <w:rPr>
            <w:rStyle w:val="Hyperlink"/>
          </w:rPr>
          <w:t>Analysis of Statement of  Financial Performance</w:t>
        </w:r>
        <w:r w:rsidR="00D12AAF">
          <w:rPr>
            <w:webHidden/>
          </w:rPr>
          <w:tab/>
        </w:r>
        <w:r w:rsidR="00D12AAF">
          <w:rPr>
            <w:webHidden/>
          </w:rPr>
          <w:fldChar w:fldCharType="begin"/>
        </w:r>
        <w:r w:rsidR="00D12AAF">
          <w:rPr>
            <w:webHidden/>
          </w:rPr>
          <w:instrText xml:space="preserve"> PAGEREF _Toc393377925 \h </w:instrText>
        </w:r>
        <w:r w:rsidR="00D12AAF">
          <w:rPr>
            <w:webHidden/>
          </w:rPr>
        </w:r>
        <w:r w:rsidR="00D12AAF">
          <w:rPr>
            <w:webHidden/>
          </w:rPr>
          <w:fldChar w:fldCharType="separate"/>
        </w:r>
        <w:r w:rsidR="007A4E51">
          <w:rPr>
            <w:webHidden/>
          </w:rPr>
          <w:t>19</w:t>
        </w:r>
        <w:r w:rsidR="00D12AAF">
          <w:rPr>
            <w:webHidden/>
          </w:rPr>
          <w:fldChar w:fldCharType="end"/>
        </w:r>
      </w:hyperlink>
    </w:p>
    <w:p w:rsidR="00D12AAF" w:rsidRDefault="002D7DB5" w:rsidP="002D7DB5">
      <w:pPr>
        <w:pStyle w:val="TOC1"/>
        <w:rPr>
          <w:rFonts w:asciiTheme="minorHAnsi" w:eastAsiaTheme="minorEastAsia" w:hAnsiTheme="minorHAnsi" w:cstheme="minorBidi"/>
          <w:sz w:val="22"/>
          <w:szCs w:val="22"/>
        </w:rPr>
      </w:pPr>
      <w:hyperlink w:anchor="_Toc393377926" w:history="1">
        <w:r w:rsidR="00D12AAF" w:rsidRPr="00E60289">
          <w:rPr>
            <w:rStyle w:val="Hyperlink"/>
          </w:rPr>
          <w:t>WORKING CAPITAL FUND AND CONTRIBUTIONS</w:t>
        </w:r>
        <w:r w:rsidR="00D12AAF">
          <w:rPr>
            <w:webHidden/>
          </w:rPr>
          <w:tab/>
        </w:r>
        <w:r w:rsidR="00D12AAF">
          <w:rPr>
            <w:webHidden/>
          </w:rPr>
          <w:fldChar w:fldCharType="begin"/>
        </w:r>
        <w:r w:rsidR="00D12AAF">
          <w:rPr>
            <w:webHidden/>
          </w:rPr>
          <w:instrText xml:space="preserve"> PAGEREF _Toc393377926 \h </w:instrText>
        </w:r>
        <w:r w:rsidR="00D12AAF">
          <w:rPr>
            <w:webHidden/>
          </w:rPr>
        </w:r>
        <w:r w:rsidR="00D12AAF">
          <w:rPr>
            <w:webHidden/>
          </w:rPr>
          <w:fldChar w:fldCharType="separate"/>
        </w:r>
        <w:r w:rsidR="007A4E51">
          <w:rPr>
            <w:webHidden/>
          </w:rPr>
          <w:t>2</w:t>
        </w:r>
        <w:r w:rsidR="007A4E51">
          <w:rPr>
            <w:webHidden/>
          </w:rPr>
          <w:t>1</w:t>
        </w:r>
        <w:r w:rsidR="00D12AAF">
          <w:rPr>
            <w:webHidden/>
          </w:rPr>
          <w:fldChar w:fldCharType="end"/>
        </w:r>
      </w:hyperlink>
    </w:p>
    <w:p w:rsidR="00D12AAF" w:rsidRDefault="002D7DB5" w:rsidP="00D81BFB">
      <w:pPr>
        <w:pStyle w:val="TOC2"/>
        <w:jc w:val="both"/>
        <w:rPr>
          <w:rFonts w:asciiTheme="minorHAnsi" w:eastAsiaTheme="minorEastAsia" w:hAnsiTheme="minorHAnsi" w:cstheme="minorBidi"/>
          <w:sz w:val="22"/>
          <w:szCs w:val="22"/>
        </w:rPr>
      </w:pPr>
      <w:hyperlink w:anchor="_Toc393377927" w:history="1">
        <w:r w:rsidR="00D12AAF" w:rsidRPr="00E60289">
          <w:rPr>
            <w:rStyle w:val="Hyperlink"/>
          </w:rPr>
          <w:t>Working Capital Fund as at December 31, 2013</w:t>
        </w:r>
        <w:r w:rsidR="00D12AAF">
          <w:rPr>
            <w:webHidden/>
          </w:rPr>
          <w:tab/>
        </w:r>
        <w:r w:rsidR="00D12AAF">
          <w:rPr>
            <w:webHidden/>
          </w:rPr>
          <w:fldChar w:fldCharType="begin"/>
        </w:r>
        <w:r w:rsidR="00D12AAF">
          <w:rPr>
            <w:webHidden/>
          </w:rPr>
          <w:instrText xml:space="preserve"> PAGEREF _Toc393377927 \h </w:instrText>
        </w:r>
        <w:r w:rsidR="00D12AAF">
          <w:rPr>
            <w:webHidden/>
          </w:rPr>
        </w:r>
        <w:r w:rsidR="00D12AAF">
          <w:rPr>
            <w:webHidden/>
          </w:rPr>
          <w:fldChar w:fldCharType="separate"/>
        </w:r>
        <w:r w:rsidR="007A4E51">
          <w:rPr>
            <w:webHidden/>
          </w:rPr>
          <w:t>2</w:t>
        </w:r>
        <w:r w:rsidR="007A4E51">
          <w:rPr>
            <w:webHidden/>
          </w:rPr>
          <w:t>1</w:t>
        </w:r>
        <w:r w:rsidR="00D12AAF">
          <w:rPr>
            <w:webHidden/>
          </w:rPr>
          <w:fldChar w:fldCharType="end"/>
        </w:r>
      </w:hyperlink>
    </w:p>
    <w:p w:rsidR="00D12AAF" w:rsidRDefault="002D7DB5" w:rsidP="00D81BFB">
      <w:pPr>
        <w:pStyle w:val="TOC2"/>
        <w:jc w:val="both"/>
        <w:rPr>
          <w:rFonts w:asciiTheme="minorHAnsi" w:eastAsiaTheme="minorEastAsia" w:hAnsiTheme="minorHAnsi" w:cstheme="minorBidi"/>
          <w:sz w:val="22"/>
          <w:szCs w:val="22"/>
        </w:rPr>
      </w:pPr>
      <w:hyperlink w:anchor="_Toc393377928" w:history="1">
        <w:r w:rsidR="00D12AAF" w:rsidRPr="00E60289">
          <w:rPr>
            <w:rStyle w:val="Hyperlink"/>
          </w:rPr>
          <w:t>Contributions of members of the Union</w:t>
        </w:r>
        <w:r w:rsidR="00D12AAF">
          <w:rPr>
            <w:webHidden/>
          </w:rPr>
          <w:tab/>
        </w:r>
        <w:r w:rsidR="00D12AAF">
          <w:rPr>
            <w:webHidden/>
          </w:rPr>
          <w:fldChar w:fldCharType="begin"/>
        </w:r>
        <w:r w:rsidR="00D12AAF">
          <w:rPr>
            <w:webHidden/>
          </w:rPr>
          <w:instrText xml:space="preserve"> PAGEREF _Toc393377928 \h </w:instrText>
        </w:r>
        <w:r w:rsidR="00D12AAF">
          <w:rPr>
            <w:webHidden/>
          </w:rPr>
        </w:r>
        <w:r w:rsidR="00D12AAF">
          <w:rPr>
            <w:webHidden/>
          </w:rPr>
          <w:fldChar w:fldCharType="separate"/>
        </w:r>
        <w:r w:rsidR="007A4E51">
          <w:rPr>
            <w:webHidden/>
          </w:rPr>
          <w:t>22</w:t>
        </w:r>
        <w:r w:rsidR="00D12AAF">
          <w:rPr>
            <w:webHidden/>
          </w:rPr>
          <w:fldChar w:fldCharType="end"/>
        </w:r>
      </w:hyperlink>
    </w:p>
    <w:p w:rsidR="00D12AAF" w:rsidRDefault="002D7DB5" w:rsidP="00D81BFB">
      <w:pPr>
        <w:pStyle w:val="TOC2"/>
        <w:jc w:val="both"/>
        <w:rPr>
          <w:rFonts w:asciiTheme="minorHAnsi" w:eastAsiaTheme="minorEastAsia" w:hAnsiTheme="minorHAnsi" w:cstheme="minorBidi"/>
          <w:sz w:val="22"/>
          <w:szCs w:val="22"/>
        </w:rPr>
      </w:pPr>
      <w:hyperlink w:anchor="_Toc393377929" w:history="1">
        <w:r w:rsidR="00D12AAF" w:rsidRPr="00E60289">
          <w:rPr>
            <w:rStyle w:val="Hyperlink"/>
          </w:rPr>
          <w:t>Contribution payments received in advance</w:t>
        </w:r>
        <w:r w:rsidR="00D12AAF">
          <w:rPr>
            <w:webHidden/>
          </w:rPr>
          <w:tab/>
        </w:r>
        <w:r w:rsidR="00D12AAF">
          <w:rPr>
            <w:webHidden/>
          </w:rPr>
          <w:fldChar w:fldCharType="begin"/>
        </w:r>
        <w:r w:rsidR="00D12AAF">
          <w:rPr>
            <w:webHidden/>
          </w:rPr>
          <w:instrText xml:space="preserve"> PAGEREF _Toc393377929 \h </w:instrText>
        </w:r>
        <w:r w:rsidR="00D12AAF">
          <w:rPr>
            <w:webHidden/>
          </w:rPr>
        </w:r>
        <w:r w:rsidR="00D12AAF">
          <w:rPr>
            <w:webHidden/>
          </w:rPr>
          <w:fldChar w:fldCharType="separate"/>
        </w:r>
        <w:r w:rsidR="007A4E51">
          <w:rPr>
            <w:webHidden/>
          </w:rPr>
          <w:t>24</w:t>
        </w:r>
        <w:r w:rsidR="00D12AAF">
          <w:rPr>
            <w:webHidden/>
          </w:rPr>
          <w:fldChar w:fldCharType="end"/>
        </w:r>
      </w:hyperlink>
    </w:p>
    <w:p w:rsidR="00D12AAF" w:rsidRDefault="002D7DB5" w:rsidP="00D81BFB">
      <w:pPr>
        <w:pStyle w:val="TOC2"/>
        <w:jc w:val="both"/>
        <w:rPr>
          <w:rFonts w:asciiTheme="minorHAnsi" w:eastAsiaTheme="minorEastAsia" w:hAnsiTheme="minorHAnsi" w:cstheme="minorBidi"/>
          <w:sz w:val="22"/>
          <w:szCs w:val="22"/>
        </w:rPr>
      </w:pPr>
      <w:hyperlink w:anchor="_Toc393377930" w:history="1">
        <w:r w:rsidR="00D12AAF" w:rsidRPr="00E60289">
          <w:rPr>
            <w:rStyle w:val="Hyperlink"/>
          </w:rPr>
          <w:t>Amounts of the contributions due and unpaid working capital as at December 31, 2013</w:t>
        </w:r>
        <w:r w:rsidR="00D12AAF">
          <w:rPr>
            <w:webHidden/>
          </w:rPr>
          <w:tab/>
        </w:r>
        <w:r w:rsidR="00D12AAF">
          <w:rPr>
            <w:webHidden/>
          </w:rPr>
          <w:fldChar w:fldCharType="begin"/>
        </w:r>
        <w:r w:rsidR="00D12AAF">
          <w:rPr>
            <w:webHidden/>
          </w:rPr>
          <w:instrText xml:space="preserve"> PAGEREF _Toc393377930 \h </w:instrText>
        </w:r>
        <w:r w:rsidR="00D12AAF">
          <w:rPr>
            <w:webHidden/>
          </w:rPr>
        </w:r>
        <w:r w:rsidR="00D12AAF">
          <w:rPr>
            <w:webHidden/>
          </w:rPr>
          <w:fldChar w:fldCharType="separate"/>
        </w:r>
        <w:r w:rsidR="007A4E51">
          <w:rPr>
            <w:webHidden/>
          </w:rPr>
          <w:t>25</w:t>
        </w:r>
        <w:r w:rsidR="00D12AAF">
          <w:rPr>
            <w:webHidden/>
          </w:rPr>
          <w:fldChar w:fldCharType="end"/>
        </w:r>
      </w:hyperlink>
      <w:bookmarkStart w:id="8" w:name="_GoBack"/>
      <w:bookmarkEnd w:id="8"/>
    </w:p>
    <w:p w:rsidR="00D12AAF" w:rsidRDefault="002D7DB5" w:rsidP="002D7DB5">
      <w:pPr>
        <w:pStyle w:val="TOC1"/>
        <w:rPr>
          <w:rFonts w:asciiTheme="minorHAnsi" w:eastAsiaTheme="minorEastAsia" w:hAnsiTheme="minorHAnsi" w:cstheme="minorBidi"/>
          <w:sz w:val="22"/>
          <w:szCs w:val="22"/>
        </w:rPr>
      </w:pPr>
      <w:hyperlink w:anchor="_Toc393377931" w:history="1">
        <w:r w:rsidR="00D12AAF" w:rsidRPr="00E60289">
          <w:rPr>
            <w:rStyle w:val="Hyperlink"/>
          </w:rPr>
          <w:t>Extrabudgetary funds (funds in trust)</w:t>
        </w:r>
        <w:r w:rsidR="00D12AAF">
          <w:rPr>
            <w:webHidden/>
          </w:rPr>
          <w:tab/>
        </w:r>
        <w:r w:rsidR="00D12AAF">
          <w:rPr>
            <w:webHidden/>
          </w:rPr>
          <w:fldChar w:fldCharType="begin"/>
        </w:r>
        <w:r w:rsidR="00D12AAF">
          <w:rPr>
            <w:webHidden/>
          </w:rPr>
          <w:instrText xml:space="preserve"> PAGEREF _Toc393377931 \h </w:instrText>
        </w:r>
        <w:r w:rsidR="00D12AAF">
          <w:rPr>
            <w:webHidden/>
          </w:rPr>
        </w:r>
        <w:r w:rsidR="00D12AAF">
          <w:rPr>
            <w:webHidden/>
          </w:rPr>
          <w:fldChar w:fldCharType="separate"/>
        </w:r>
        <w:r w:rsidR="007A4E51">
          <w:rPr>
            <w:webHidden/>
          </w:rPr>
          <w:t>27</w:t>
        </w:r>
        <w:r w:rsidR="00D12AAF">
          <w:rPr>
            <w:webHidden/>
          </w:rPr>
          <w:fldChar w:fldCharType="end"/>
        </w:r>
      </w:hyperlink>
    </w:p>
    <w:p w:rsidR="0018246F" w:rsidRDefault="008518D2" w:rsidP="00D81BFB">
      <w:r>
        <w:rPr>
          <w:b/>
          <w:caps/>
          <w:noProof/>
        </w:rPr>
        <w:fldChar w:fldCharType="end"/>
      </w:r>
    </w:p>
    <w:p w:rsidR="0018246F" w:rsidRDefault="0018246F" w:rsidP="002F09F3">
      <w:pPr>
        <w:jc w:val="center"/>
      </w:pPr>
    </w:p>
    <w:p w:rsidR="0018246F" w:rsidRDefault="0018246F" w:rsidP="005C7018"/>
    <w:p w:rsidR="007A5B7C" w:rsidRDefault="007A5B7C" w:rsidP="005C7018">
      <w:pPr>
        <w:sectPr w:rsidR="007A5B7C" w:rsidSect="00141316">
          <w:headerReference w:type="default" r:id="rId12"/>
          <w:headerReference w:type="first" r:id="rId13"/>
          <w:footerReference w:type="first" r:id="rId14"/>
          <w:pgSz w:w="11907" w:h="16840" w:code="9"/>
          <w:pgMar w:top="510" w:right="1134" w:bottom="1134" w:left="1134" w:header="510" w:footer="680" w:gutter="0"/>
          <w:pgNumType w:start="1"/>
          <w:cols w:space="720"/>
          <w:titlePg/>
        </w:sectPr>
      </w:pPr>
    </w:p>
    <w:p w:rsidR="00917841" w:rsidRDefault="003D5268" w:rsidP="00D81BFB">
      <w:pPr>
        <w:pStyle w:val="Heading1"/>
        <w:jc w:val="both"/>
      </w:pPr>
      <w:bookmarkStart w:id="9" w:name="_Toc393377909"/>
      <w:r>
        <w:lastRenderedPageBreak/>
        <w:t>SUMMARY</w:t>
      </w:r>
      <w:r w:rsidR="00780E2C">
        <w:t xml:space="preserve"> and analysis</w:t>
      </w:r>
      <w:r>
        <w:t xml:space="preserve"> OF RESULTS</w:t>
      </w:r>
      <w:bookmarkEnd w:id="9"/>
    </w:p>
    <w:p w:rsidR="003D5268" w:rsidRDefault="003D5268" w:rsidP="006360C1"/>
    <w:p w:rsidR="00917841" w:rsidRPr="00917841" w:rsidRDefault="00917841" w:rsidP="00D81BFB">
      <w:pPr>
        <w:spacing w:after="200" w:line="276" w:lineRule="auto"/>
        <w:rPr>
          <w:rFonts w:eastAsiaTheme="minorHAnsi" w:cs="Arial"/>
        </w:rPr>
      </w:pPr>
      <w:r w:rsidRPr="000E15D4">
        <w:rPr>
          <w:rFonts w:eastAsiaTheme="minorHAnsi" w:cs="Arial"/>
        </w:rPr>
        <w:t>T</w:t>
      </w:r>
      <w:r w:rsidRPr="00917841">
        <w:rPr>
          <w:rFonts w:eastAsiaTheme="minorHAnsi" w:cs="Arial"/>
        </w:rPr>
        <w:t>able 1</w:t>
      </w:r>
      <w:r w:rsidRPr="000E15D4">
        <w:rPr>
          <w:rFonts w:eastAsiaTheme="minorHAnsi" w:cs="Arial"/>
          <w:vertAlign w:val="superscript"/>
        </w:rPr>
        <w:footnoteReference w:id="2"/>
      </w:r>
      <w:r w:rsidRPr="00917841">
        <w:rPr>
          <w:rFonts w:asciiTheme="minorHAnsi" w:eastAsiaTheme="minorHAnsi" w:hAnsiTheme="minorHAnsi" w:cstheme="minorBidi"/>
          <w:sz w:val="22"/>
          <w:szCs w:val="22"/>
        </w:rPr>
        <w:t xml:space="preserve"> </w:t>
      </w:r>
      <w:r w:rsidRPr="00917841">
        <w:rPr>
          <w:rFonts w:eastAsiaTheme="minorHAnsi" w:cs="Arial"/>
        </w:rPr>
        <w:t>below presents the overall budgetary result for UPOV in the 2012/13 Biennium as well as the Reserve and Working Capital Funds (RWCF) as of the end of 2013.  The total budgetary income amounted to 6.8 million Swiss francs, and the total budgetary expenditure amounted to 6.3 million Swiss francs, producing a budgetary result of 0.5 million Swiss francs for the 2012/13 Biennium.   This compares with the net zero budgetary result foreseen under the 2012/13 Approved Budget (see document C/45/4 Rev.2 “Program and Budget for the 2012-2013 Biennium”).</w:t>
      </w:r>
    </w:p>
    <w:p w:rsidR="00917841" w:rsidRPr="00917841" w:rsidRDefault="00917841" w:rsidP="00D81BFB">
      <w:pPr>
        <w:spacing w:after="200" w:line="276" w:lineRule="auto"/>
        <w:rPr>
          <w:rFonts w:eastAsiaTheme="minorHAnsi" w:cs="Arial"/>
        </w:rPr>
      </w:pPr>
      <w:r w:rsidRPr="00917841">
        <w:rPr>
          <w:rFonts w:eastAsiaTheme="minorHAnsi" w:cs="Arial"/>
        </w:rPr>
        <w:t xml:space="preserve">The total RWCF on an IPSAS basis amounted to 1.7 million Swiss francs, comprising 1.2 million Swiss francs for the Reserve Fund and 0.5 million Swiss francs for the Working Capital Fund.  </w:t>
      </w:r>
    </w:p>
    <w:p w:rsidR="00917841" w:rsidRPr="003D5268" w:rsidRDefault="00917841" w:rsidP="008518D2">
      <w:pPr>
        <w:pStyle w:val="Heading3"/>
      </w:pPr>
      <w:bookmarkStart w:id="10" w:name="_Toc393377910"/>
      <w:proofErr w:type="gramStart"/>
      <w:r w:rsidRPr="003D5268">
        <w:t>Table 1.</w:t>
      </w:r>
      <w:proofErr w:type="gramEnd"/>
      <w:r w:rsidRPr="003D5268">
        <w:t xml:space="preserve"> 2012/13 Income, Expenditure and Reserve and Working Capital Funds (RWCF)</w:t>
      </w:r>
      <w:bookmarkEnd w:id="10"/>
    </w:p>
    <w:p w:rsidR="00917841" w:rsidRPr="00917841" w:rsidRDefault="00917841" w:rsidP="00917841">
      <w:pPr>
        <w:spacing w:after="200" w:line="276" w:lineRule="auto"/>
        <w:jc w:val="center"/>
        <w:rPr>
          <w:rFonts w:eastAsiaTheme="minorHAnsi" w:cs="Arial"/>
          <w:i/>
        </w:rPr>
      </w:pPr>
      <w:r w:rsidRPr="00917841">
        <w:rPr>
          <w:rFonts w:eastAsiaTheme="minorHAnsi" w:cs="Arial"/>
          <w:i/>
        </w:rPr>
        <w:t>(</w:t>
      </w:r>
      <w:proofErr w:type="gramStart"/>
      <w:r w:rsidRPr="00917841">
        <w:rPr>
          <w:rFonts w:eastAsiaTheme="minorHAnsi" w:cs="Arial"/>
          <w:i/>
        </w:rPr>
        <w:t>in</w:t>
      </w:r>
      <w:proofErr w:type="gramEnd"/>
      <w:r w:rsidRPr="00917841">
        <w:rPr>
          <w:rFonts w:eastAsiaTheme="minorHAnsi" w:cs="Arial"/>
          <w:i/>
        </w:rPr>
        <w:t xml:space="preserve"> thousands of Swiss francs)</w:t>
      </w:r>
    </w:p>
    <w:p w:rsidR="004A4D0E" w:rsidRPr="00917841" w:rsidRDefault="004A4D0E" w:rsidP="00917841">
      <w:pPr>
        <w:spacing w:after="200" w:line="276" w:lineRule="auto"/>
        <w:jc w:val="center"/>
        <w:rPr>
          <w:rFonts w:asciiTheme="minorHAnsi" w:eastAsiaTheme="minorHAnsi" w:hAnsiTheme="minorHAnsi" w:cstheme="minorBidi"/>
          <w:i/>
          <w:sz w:val="22"/>
          <w:szCs w:val="22"/>
        </w:rPr>
      </w:pPr>
      <w:r w:rsidRPr="004A4D0E">
        <w:rPr>
          <w:rFonts w:eastAsiaTheme="minorHAnsi"/>
          <w:noProof/>
        </w:rPr>
        <w:drawing>
          <wp:inline distT="0" distB="0" distL="0" distR="0">
            <wp:extent cx="5359400" cy="21545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9400" cy="2154555"/>
                    </a:xfrm>
                    <a:prstGeom prst="rect">
                      <a:avLst/>
                    </a:prstGeom>
                    <a:noFill/>
                    <a:ln>
                      <a:noFill/>
                    </a:ln>
                  </pic:spPr>
                </pic:pic>
              </a:graphicData>
            </a:graphic>
          </wp:inline>
        </w:drawing>
      </w:r>
    </w:p>
    <w:p w:rsidR="00917841" w:rsidRPr="00917841" w:rsidRDefault="00917841" w:rsidP="00917841">
      <w:pPr>
        <w:spacing w:after="200" w:line="276" w:lineRule="auto"/>
        <w:jc w:val="center"/>
        <w:rPr>
          <w:rFonts w:asciiTheme="minorHAnsi" w:eastAsiaTheme="minorHAnsi" w:hAnsiTheme="minorHAnsi" w:cstheme="minorBidi"/>
          <w:i/>
          <w:sz w:val="22"/>
          <w:szCs w:val="22"/>
        </w:rPr>
      </w:pPr>
      <w:r w:rsidRPr="00917841">
        <w:rPr>
          <w:rFonts w:asciiTheme="minorHAnsi" w:eastAsiaTheme="minorHAnsi" w:hAnsiTheme="minorHAnsi" w:cstheme="minorBidi"/>
          <w:i/>
          <w:noProof/>
          <w:sz w:val="22"/>
          <w:szCs w:val="22"/>
        </w:rPr>
        <w:drawing>
          <wp:inline distT="0" distB="0" distL="0" distR="0" wp14:anchorId="63E21548" wp14:editId="73574AFD">
            <wp:extent cx="4157821" cy="2514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9568" cy="2515657"/>
                    </a:xfrm>
                    <a:prstGeom prst="rect">
                      <a:avLst/>
                    </a:prstGeom>
                    <a:noFill/>
                  </pic:spPr>
                </pic:pic>
              </a:graphicData>
            </a:graphic>
          </wp:inline>
        </w:drawing>
      </w:r>
    </w:p>
    <w:p w:rsidR="00917841" w:rsidRPr="00917841" w:rsidRDefault="00917841" w:rsidP="00917841">
      <w:pPr>
        <w:spacing w:after="200" w:line="276" w:lineRule="auto"/>
        <w:jc w:val="center"/>
        <w:rPr>
          <w:rFonts w:asciiTheme="minorHAnsi" w:eastAsiaTheme="minorHAnsi" w:hAnsiTheme="minorHAnsi" w:cstheme="minorBidi"/>
          <w:i/>
          <w:sz w:val="22"/>
          <w:szCs w:val="22"/>
        </w:rPr>
      </w:pPr>
    </w:p>
    <w:p w:rsidR="00917841" w:rsidRPr="00917841" w:rsidRDefault="00917841" w:rsidP="00D81BFB">
      <w:pPr>
        <w:spacing w:after="200" w:line="276" w:lineRule="auto"/>
      </w:pPr>
      <w:r w:rsidRPr="00917841">
        <w:rPr>
          <w:rFonts w:asciiTheme="minorHAnsi" w:eastAsiaTheme="minorHAnsi" w:hAnsiTheme="minorHAnsi" w:cstheme="minorBidi"/>
          <w:sz w:val="22"/>
          <w:szCs w:val="22"/>
        </w:rPr>
        <w:t>T</w:t>
      </w:r>
      <w:r w:rsidRPr="00917841">
        <w:t>he actual budgetary income amounted to 6.8 million Swiss francs in the 2012/13 Biennium, in line with the bud</w:t>
      </w:r>
      <w:r w:rsidR="00DB3D83">
        <w:t xml:space="preserve">geted target (Table 2 below).  </w:t>
      </w:r>
      <w:proofErr w:type="gramStart"/>
      <w:r w:rsidRPr="00917841">
        <w:t>Income from contributions, which makes up the single largest source of income (98% of the total), was 11 thousand Swiss francs less than the budgeted figure.</w:t>
      </w:r>
      <w:proofErr w:type="gramEnd"/>
      <w:r w:rsidRPr="00917841">
        <w:t xml:space="preserve">  The 2012/13 Approved Budget anticipated one new member of the Union per year.  However, there was only one new member of the </w:t>
      </w:r>
      <w:r w:rsidR="00DB3D83">
        <w:t xml:space="preserve">Union in the 2012/13 Biennium. </w:t>
      </w:r>
      <w:r w:rsidRPr="00917841">
        <w:t xml:space="preserve"> Income from publications was 6 thousand Swiss francs less than the budgeted figure.  The shortfall is explained by the replacement of the UPOV-ROM Plant Variety </w:t>
      </w:r>
      <w:r w:rsidRPr="00917841">
        <w:lastRenderedPageBreak/>
        <w:t>Database, which had paying subscribers, by the PLUTO database</w:t>
      </w:r>
      <w:r w:rsidR="00DB3D83">
        <w:t xml:space="preserve">, which is free to all users.  </w:t>
      </w:r>
      <w:r w:rsidRPr="00917841">
        <w:t xml:space="preserve">Income from interest was 41 thousand Swiss francs less than the budgeted figure because the interest rates on the funds deposited with the Swiss National Bank were lower than expected.  Other income was 51 thousand Swiss francs more than the budgeted figure.  Other income includes administrative support costs under Funds in Trust, income from participants’ fees in the UPOV distance learning program and accounting adjustments for previous years. </w:t>
      </w:r>
    </w:p>
    <w:p w:rsidR="00917841" w:rsidRPr="00917841" w:rsidRDefault="00917841" w:rsidP="008518D2">
      <w:pPr>
        <w:pStyle w:val="Heading3"/>
      </w:pPr>
      <w:bookmarkStart w:id="11" w:name="_Toc393377911"/>
      <w:proofErr w:type="gramStart"/>
      <w:r>
        <w:t>T</w:t>
      </w:r>
      <w:r w:rsidRPr="00917841">
        <w:t>able 2.</w:t>
      </w:r>
      <w:proofErr w:type="gramEnd"/>
      <w:r w:rsidRPr="00917841">
        <w:t xml:space="preserve"> 2012/13 Budgeted and Actual Income by Source</w:t>
      </w:r>
      <w:bookmarkEnd w:id="11"/>
    </w:p>
    <w:p w:rsidR="00917841" w:rsidRPr="00917841" w:rsidRDefault="00917841" w:rsidP="00917841">
      <w:pPr>
        <w:spacing w:after="200" w:line="276" w:lineRule="auto"/>
        <w:jc w:val="center"/>
        <w:rPr>
          <w:rFonts w:eastAsiaTheme="minorHAnsi" w:cs="Arial"/>
          <w:i/>
        </w:rPr>
      </w:pPr>
      <w:r w:rsidRPr="00917841">
        <w:rPr>
          <w:rFonts w:eastAsiaTheme="minorHAnsi" w:cs="Arial"/>
          <w:i/>
        </w:rPr>
        <w:t>(</w:t>
      </w:r>
      <w:proofErr w:type="gramStart"/>
      <w:r w:rsidRPr="00917841">
        <w:rPr>
          <w:rFonts w:eastAsiaTheme="minorHAnsi" w:cs="Arial"/>
          <w:i/>
        </w:rPr>
        <w:t>in</w:t>
      </w:r>
      <w:proofErr w:type="gramEnd"/>
      <w:r w:rsidRPr="00917841">
        <w:rPr>
          <w:rFonts w:eastAsiaTheme="minorHAnsi" w:cs="Arial"/>
          <w:i/>
        </w:rPr>
        <w:t xml:space="preserve"> thousands of Swiss francs)</w:t>
      </w:r>
    </w:p>
    <w:p w:rsidR="004A4D0E" w:rsidRPr="00917841" w:rsidRDefault="004A4D0E" w:rsidP="00917841">
      <w:pPr>
        <w:spacing w:after="200" w:line="276" w:lineRule="auto"/>
        <w:jc w:val="center"/>
        <w:rPr>
          <w:rFonts w:asciiTheme="minorHAnsi" w:eastAsiaTheme="minorHAnsi" w:hAnsiTheme="minorHAnsi" w:cstheme="minorBidi"/>
          <w:b/>
          <w:sz w:val="22"/>
          <w:szCs w:val="22"/>
        </w:rPr>
      </w:pPr>
      <w:r w:rsidRPr="004A4D0E">
        <w:rPr>
          <w:rFonts w:eastAsiaTheme="minorHAnsi"/>
          <w:noProof/>
        </w:rPr>
        <w:drawing>
          <wp:inline distT="0" distB="0" distL="0" distR="0">
            <wp:extent cx="4714875" cy="1574165"/>
            <wp:effectExtent l="0" t="0" r="9525"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14875" cy="1574165"/>
                    </a:xfrm>
                    <a:prstGeom prst="rect">
                      <a:avLst/>
                    </a:prstGeom>
                    <a:noFill/>
                    <a:ln>
                      <a:noFill/>
                    </a:ln>
                  </pic:spPr>
                </pic:pic>
              </a:graphicData>
            </a:graphic>
          </wp:inline>
        </w:drawing>
      </w:r>
    </w:p>
    <w:p w:rsidR="00917841" w:rsidRPr="00917841" w:rsidRDefault="00917841" w:rsidP="00917841">
      <w:pPr>
        <w:spacing w:after="200" w:line="276" w:lineRule="auto"/>
        <w:jc w:val="center"/>
        <w:rPr>
          <w:rFonts w:asciiTheme="minorHAnsi" w:eastAsiaTheme="minorHAnsi" w:hAnsiTheme="minorHAnsi" w:cstheme="minorBidi"/>
          <w:b/>
          <w:sz w:val="22"/>
          <w:szCs w:val="22"/>
        </w:rPr>
      </w:pPr>
      <w:r w:rsidRPr="00917841">
        <w:rPr>
          <w:rFonts w:asciiTheme="minorHAnsi" w:eastAsiaTheme="minorHAnsi" w:hAnsiTheme="minorHAnsi" w:cstheme="minorBidi"/>
          <w:b/>
          <w:noProof/>
          <w:sz w:val="22"/>
          <w:szCs w:val="22"/>
        </w:rPr>
        <w:drawing>
          <wp:inline distT="0" distB="0" distL="0" distR="0" wp14:anchorId="5E90A736" wp14:editId="6E6B9AE1">
            <wp:extent cx="4175705" cy="25050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76285" cy="2505423"/>
                    </a:xfrm>
                    <a:prstGeom prst="rect">
                      <a:avLst/>
                    </a:prstGeom>
                    <a:noFill/>
                  </pic:spPr>
                </pic:pic>
              </a:graphicData>
            </a:graphic>
          </wp:inline>
        </w:drawing>
      </w:r>
    </w:p>
    <w:p w:rsidR="00917841" w:rsidRPr="00917841" w:rsidRDefault="00917841" w:rsidP="00D81BFB">
      <w:pPr>
        <w:spacing w:after="200" w:line="276" w:lineRule="auto"/>
        <w:rPr>
          <w:rFonts w:asciiTheme="minorHAnsi" w:eastAsiaTheme="minorHAnsi" w:hAnsiTheme="minorHAnsi" w:cstheme="minorBidi"/>
          <w:sz w:val="22"/>
          <w:szCs w:val="22"/>
        </w:rPr>
      </w:pPr>
    </w:p>
    <w:p w:rsidR="00EE7438" w:rsidRPr="00EE7438" w:rsidRDefault="00917841" w:rsidP="00D81BFB">
      <w:pPr>
        <w:spacing w:after="200" w:line="276" w:lineRule="auto"/>
      </w:pPr>
      <w:r w:rsidRPr="00917841">
        <w:rPr>
          <w:rFonts w:asciiTheme="minorHAnsi" w:eastAsiaTheme="minorHAnsi" w:hAnsiTheme="minorHAnsi" w:cstheme="minorBidi"/>
          <w:sz w:val="22"/>
          <w:szCs w:val="22"/>
        </w:rPr>
        <w:t>C</w:t>
      </w:r>
      <w:r w:rsidRPr="00917841">
        <w:t xml:space="preserve">omparisons of the actual budgetary expenditure and the 2012/13 Approved Budget are presented below in Table 3 by cost categories and Table 4 by sub-programs.   </w:t>
      </w:r>
    </w:p>
    <w:p w:rsidR="00EE7438" w:rsidRDefault="00EE7438" w:rsidP="00D81BFB">
      <w:pPr>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rsidR="00917841" w:rsidRPr="00917841" w:rsidRDefault="00917841" w:rsidP="008518D2">
      <w:pPr>
        <w:pStyle w:val="Heading3"/>
      </w:pPr>
      <w:bookmarkStart w:id="12" w:name="_Toc393377912"/>
      <w:proofErr w:type="gramStart"/>
      <w:r w:rsidRPr="00917841">
        <w:lastRenderedPageBreak/>
        <w:t>Table 3.</w:t>
      </w:r>
      <w:proofErr w:type="gramEnd"/>
      <w:r w:rsidR="000E15D4">
        <w:t xml:space="preserve"> </w:t>
      </w:r>
      <w:r w:rsidRPr="00917841">
        <w:t>2012/13 Approved Budget and Expenditure by Object of Expenditure</w:t>
      </w:r>
      <w:bookmarkEnd w:id="12"/>
    </w:p>
    <w:p w:rsidR="00917841" w:rsidRPr="00917841" w:rsidRDefault="00917841" w:rsidP="00917841">
      <w:pPr>
        <w:spacing w:after="200" w:line="276" w:lineRule="auto"/>
        <w:jc w:val="center"/>
        <w:rPr>
          <w:rFonts w:eastAsiaTheme="minorHAnsi" w:cs="Arial"/>
          <w:i/>
        </w:rPr>
      </w:pPr>
      <w:r w:rsidRPr="00917841">
        <w:rPr>
          <w:rFonts w:eastAsiaTheme="minorHAnsi" w:cs="Arial"/>
          <w:i/>
        </w:rPr>
        <w:t>(</w:t>
      </w:r>
      <w:proofErr w:type="gramStart"/>
      <w:r w:rsidRPr="00917841">
        <w:rPr>
          <w:rFonts w:eastAsiaTheme="minorHAnsi" w:cs="Arial"/>
          <w:i/>
        </w:rPr>
        <w:t>in</w:t>
      </w:r>
      <w:proofErr w:type="gramEnd"/>
      <w:r w:rsidRPr="00917841">
        <w:rPr>
          <w:rFonts w:eastAsiaTheme="minorHAnsi" w:cs="Arial"/>
          <w:i/>
        </w:rPr>
        <w:t xml:space="preserve"> thousands of Swiss francs)</w:t>
      </w:r>
    </w:p>
    <w:p w:rsidR="00FC393E" w:rsidRPr="00917841" w:rsidRDefault="00FC393E" w:rsidP="00917841">
      <w:pPr>
        <w:spacing w:after="200" w:line="276" w:lineRule="auto"/>
        <w:jc w:val="center"/>
        <w:rPr>
          <w:rFonts w:asciiTheme="minorHAnsi" w:eastAsiaTheme="minorHAnsi" w:hAnsiTheme="minorHAnsi" w:cstheme="minorBidi"/>
          <w:sz w:val="22"/>
          <w:szCs w:val="22"/>
        </w:rPr>
      </w:pPr>
      <w:r w:rsidRPr="00FC393E">
        <w:rPr>
          <w:rFonts w:eastAsiaTheme="minorHAnsi"/>
          <w:noProof/>
        </w:rPr>
        <w:drawing>
          <wp:inline distT="0" distB="0" distL="0" distR="0">
            <wp:extent cx="5645426" cy="46357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5238" cy="4635630"/>
                    </a:xfrm>
                    <a:prstGeom prst="rect">
                      <a:avLst/>
                    </a:prstGeom>
                    <a:noFill/>
                    <a:ln>
                      <a:noFill/>
                    </a:ln>
                  </pic:spPr>
                </pic:pic>
              </a:graphicData>
            </a:graphic>
          </wp:inline>
        </w:drawing>
      </w:r>
    </w:p>
    <w:p w:rsidR="00235388" w:rsidRDefault="00235388" w:rsidP="008518D2">
      <w:pPr>
        <w:pStyle w:val="Heading3"/>
      </w:pPr>
      <w:bookmarkStart w:id="13" w:name="_Toc393377913"/>
    </w:p>
    <w:p w:rsidR="00917841" w:rsidRPr="00917841" w:rsidRDefault="00917841" w:rsidP="008518D2">
      <w:pPr>
        <w:pStyle w:val="Heading3"/>
      </w:pPr>
      <w:proofErr w:type="gramStart"/>
      <w:r w:rsidRPr="00917841">
        <w:t>Table 4.</w:t>
      </w:r>
      <w:proofErr w:type="gramEnd"/>
      <w:r w:rsidR="000E15D4">
        <w:t xml:space="preserve"> </w:t>
      </w:r>
      <w:r w:rsidRPr="00917841">
        <w:t>2012/13 Approved Budget and Expenditure by Sub-Programs</w:t>
      </w:r>
      <w:bookmarkEnd w:id="13"/>
    </w:p>
    <w:p w:rsidR="00917841" w:rsidRPr="00917841" w:rsidRDefault="00917841" w:rsidP="00917841">
      <w:pPr>
        <w:spacing w:after="200" w:line="276" w:lineRule="auto"/>
        <w:jc w:val="center"/>
        <w:rPr>
          <w:rFonts w:eastAsiaTheme="minorHAnsi" w:cs="Arial"/>
          <w:i/>
        </w:rPr>
      </w:pPr>
      <w:r w:rsidRPr="00917841">
        <w:rPr>
          <w:rFonts w:eastAsiaTheme="minorHAnsi" w:cs="Arial"/>
          <w:i/>
        </w:rPr>
        <w:t>(</w:t>
      </w:r>
      <w:proofErr w:type="gramStart"/>
      <w:r w:rsidRPr="00917841">
        <w:rPr>
          <w:rFonts w:eastAsiaTheme="minorHAnsi" w:cs="Arial"/>
          <w:i/>
        </w:rPr>
        <w:t>in</w:t>
      </w:r>
      <w:proofErr w:type="gramEnd"/>
      <w:r w:rsidRPr="00917841">
        <w:rPr>
          <w:rFonts w:eastAsiaTheme="minorHAnsi" w:cs="Arial"/>
          <w:i/>
        </w:rPr>
        <w:t xml:space="preserve"> thousands of Swiss francs)</w:t>
      </w:r>
    </w:p>
    <w:p w:rsidR="00235388" w:rsidRDefault="00235388" w:rsidP="00D81BFB">
      <w:pPr>
        <w:rPr>
          <w:rFonts w:asciiTheme="minorHAnsi" w:eastAsiaTheme="minorHAnsi" w:hAnsiTheme="minorHAnsi" w:cstheme="minorBidi"/>
          <w:b/>
          <w:sz w:val="22"/>
          <w:szCs w:val="22"/>
        </w:rPr>
      </w:pPr>
      <w:r w:rsidRPr="00235388">
        <w:rPr>
          <w:rFonts w:eastAsiaTheme="minorHAnsi"/>
          <w:noProof/>
        </w:rPr>
        <w:drawing>
          <wp:inline distT="0" distB="0" distL="0" distR="0" wp14:anchorId="60E0F811" wp14:editId="31997E77">
            <wp:extent cx="6035040" cy="2068819"/>
            <wp:effectExtent l="0" t="0" r="381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3326" cy="2068231"/>
                    </a:xfrm>
                    <a:prstGeom prst="rect">
                      <a:avLst/>
                    </a:prstGeom>
                    <a:noFill/>
                    <a:ln>
                      <a:noFill/>
                    </a:ln>
                  </pic:spPr>
                </pic:pic>
              </a:graphicData>
            </a:graphic>
          </wp:inline>
        </w:drawing>
      </w:r>
    </w:p>
    <w:p w:rsidR="000E15D4" w:rsidRDefault="000E15D4" w:rsidP="00D81BFB">
      <w:pPr>
        <w:rPr>
          <w:rFonts w:asciiTheme="minorHAnsi" w:eastAsiaTheme="minorHAnsi" w:hAnsiTheme="minorHAnsi" w:cstheme="minorBidi"/>
          <w:b/>
          <w:sz w:val="22"/>
          <w:szCs w:val="22"/>
        </w:rPr>
      </w:pPr>
      <w:r>
        <w:rPr>
          <w:rFonts w:asciiTheme="minorHAnsi" w:eastAsiaTheme="minorHAnsi" w:hAnsiTheme="minorHAnsi" w:cstheme="minorBidi"/>
          <w:b/>
          <w:sz w:val="22"/>
          <w:szCs w:val="22"/>
        </w:rPr>
        <w:br w:type="page"/>
      </w:r>
    </w:p>
    <w:p w:rsidR="00917841" w:rsidRPr="00917841" w:rsidRDefault="00917841" w:rsidP="00D81BFB">
      <w:pPr>
        <w:spacing w:after="200" w:line="276" w:lineRule="auto"/>
        <w:rPr>
          <w:u w:val="single"/>
        </w:rPr>
      </w:pPr>
      <w:r w:rsidRPr="00917841">
        <w:rPr>
          <w:u w:val="single"/>
        </w:rPr>
        <w:lastRenderedPageBreak/>
        <w:t>Personnel Resources</w:t>
      </w:r>
    </w:p>
    <w:p w:rsidR="00917841" w:rsidRPr="00917841" w:rsidRDefault="00917841" w:rsidP="00D81BFB">
      <w:pPr>
        <w:spacing w:after="200" w:line="276" w:lineRule="auto"/>
      </w:pPr>
      <w:r w:rsidRPr="00917841">
        <w:t xml:space="preserve">Personnel resources amounted to 4.1 million Swiss francs in 2012/13, 0.5 million Swiss francs less than the 2012/13 </w:t>
      </w:r>
      <w:r w:rsidR="00DB3D83">
        <w:t xml:space="preserve">Approved Budget.  </w:t>
      </w:r>
      <w:r w:rsidRPr="00917841">
        <w:t>This reduction was the result of one of the posts in the professional category being vacant and changes of grade due to personnel changes.  The reduction under Posts of 1.0</w:t>
      </w:r>
      <w:r w:rsidR="000E15D4">
        <w:t> </w:t>
      </w:r>
      <w:r w:rsidRPr="00917841">
        <w:rPr>
          <w:rFonts w:asciiTheme="minorHAnsi" w:eastAsiaTheme="minorHAnsi" w:hAnsiTheme="minorHAnsi" w:cstheme="minorBidi"/>
          <w:sz w:val="22"/>
          <w:szCs w:val="22"/>
        </w:rPr>
        <w:t>million</w:t>
      </w:r>
      <w:r w:rsidR="000E15D4">
        <w:rPr>
          <w:rFonts w:asciiTheme="minorHAnsi" w:eastAsiaTheme="minorHAnsi" w:hAnsiTheme="minorHAnsi" w:cstheme="minorBidi"/>
          <w:sz w:val="22"/>
          <w:szCs w:val="22"/>
        </w:rPr>
        <w:t> </w:t>
      </w:r>
      <w:r w:rsidRPr="00917841">
        <w:t xml:space="preserve">Swiss francs was offset by an increase by 0.5 million Swiss francs under Temporary staff.  Two staff members, previously employed at 80%, returned to work at 100% during the 2012/13 Biennium. </w:t>
      </w:r>
    </w:p>
    <w:p w:rsidR="00917841" w:rsidRPr="00917841" w:rsidRDefault="00917841" w:rsidP="00D81BFB">
      <w:pPr>
        <w:spacing w:after="200" w:line="276" w:lineRule="auto"/>
        <w:rPr>
          <w:u w:val="single"/>
        </w:rPr>
      </w:pPr>
      <w:r w:rsidRPr="00917841">
        <w:rPr>
          <w:u w:val="single"/>
        </w:rPr>
        <w:t>Non-Personnel Resources</w:t>
      </w:r>
    </w:p>
    <w:p w:rsidR="00917841" w:rsidRPr="00917841" w:rsidRDefault="00917841" w:rsidP="00D81BFB">
      <w:pPr>
        <w:spacing w:after="200" w:line="276" w:lineRule="auto"/>
        <w:rPr>
          <w:rFonts w:eastAsiaTheme="minorHAnsi" w:cs="Arial"/>
        </w:rPr>
      </w:pPr>
      <w:r w:rsidRPr="00917841">
        <w:rPr>
          <w:rFonts w:eastAsiaTheme="minorHAnsi" w:cs="Arial"/>
        </w:rPr>
        <w:t xml:space="preserve">Total Non-Personnel expenditure amounted to 2.2 million Swiss francs, in line with the budgeted target (99% of the budget).  Explanations by cost categories are provided below. </w:t>
      </w:r>
    </w:p>
    <w:p w:rsidR="00917841" w:rsidRPr="00917841" w:rsidRDefault="00917841" w:rsidP="00D81BFB">
      <w:pPr>
        <w:spacing w:after="200" w:line="276" w:lineRule="auto"/>
        <w:rPr>
          <w:rFonts w:eastAsiaTheme="minorHAnsi" w:cs="Arial"/>
          <w:i/>
        </w:rPr>
      </w:pPr>
      <w:r w:rsidRPr="00917841">
        <w:rPr>
          <w:rFonts w:eastAsiaTheme="minorHAnsi" w:cs="Arial"/>
          <w:i/>
        </w:rPr>
        <w:t>Travel</w:t>
      </w:r>
    </w:p>
    <w:p w:rsidR="00917841" w:rsidRPr="00917841" w:rsidRDefault="00917841" w:rsidP="00D81BFB">
      <w:pPr>
        <w:spacing w:after="200" w:line="276" w:lineRule="auto"/>
        <w:rPr>
          <w:rFonts w:eastAsiaTheme="minorHAnsi" w:cs="Arial"/>
        </w:rPr>
      </w:pPr>
      <w:r w:rsidRPr="00917841">
        <w:rPr>
          <w:rFonts w:eastAsiaTheme="minorHAnsi" w:cs="Arial"/>
        </w:rPr>
        <w:t>Travel costs were broadly in line with budgeted costs in the 2012/13 Biennium (95% of the budget).</w:t>
      </w:r>
    </w:p>
    <w:p w:rsidR="00917841" w:rsidRPr="00917841" w:rsidRDefault="00917841" w:rsidP="00D81BFB">
      <w:pPr>
        <w:spacing w:after="200" w:line="276" w:lineRule="auto"/>
        <w:rPr>
          <w:rFonts w:eastAsiaTheme="minorHAnsi" w:cs="Arial"/>
          <w:i/>
        </w:rPr>
      </w:pPr>
      <w:r w:rsidRPr="00917841">
        <w:rPr>
          <w:rFonts w:eastAsiaTheme="minorHAnsi" w:cs="Arial"/>
          <w:i/>
        </w:rPr>
        <w:t>Contractual Services</w:t>
      </w:r>
    </w:p>
    <w:p w:rsidR="00917841" w:rsidRPr="00917841" w:rsidRDefault="00917841" w:rsidP="00D81BFB">
      <w:pPr>
        <w:spacing w:after="200" w:line="276" w:lineRule="auto"/>
        <w:rPr>
          <w:rFonts w:eastAsiaTheme="minorHAnsi" w:cs="Arial"/>
        </w:rPr>
      </w:pPr>
      <w:r w:rsidRPr="00917841">
        <w:rPr>
          <w:rFonts w:eastAsiaTheme="minorHAnsi" w:cs="Arial"/>
        </w:rPr>
        <w:t xml:space="preserve">Total Contractual Services were in line with budgeted costs (102% of the budget).  Conference costs were significantly below the budgeted figure at 175 thousand Swiss francs compared to 250 thousand Swiss francs (70% of the budget).  The remaining Contractual Services costs were significantly above the budgeted figure at 262 thousand Swiss francs compared to 180 thousand Swiss francs (146% of the budget).  Most of the costs initially budgeted under “Experts” were categorized under “Other Contractual Services” as a result of changes in the cost categories.  The expenditure for “Other Contractual Services” includes the expenditure on information technology (IT) experts in relation to the development of an electronic application form and an electronic template for Test Guidelines, experts to supplement the work of the UPOV staff in the development of the advanced distance learning training course “Examination of applications for plant breeders’ rights” (DL­305) and the administration of the DL-205 course “Introduction to the UPOV System of Plant Variety Protection under the UPOV Convention”.  </w:t>
      </w:r>
    </w:p>
    <w:p w:rsidR="00917841" w:rsidRPr="00917841" w:rsidRDefault="00917841" w:rsidP="00D81BFB">
      <w:pPr>
        <w:spacing w:after="200" w:line="276" w:lineRule="auto"/>
        <w:rPr>
          <w:rFonts w:eastAsiaTheme="minorHAnsi" w:cs="Arial"/>
          <w:i/>
        </w:rPr>
      </w:pPr>
      <w:r w:rsidRPr="00917841">
        <w:rPr>
          <w:rFonts w:eastAsiaTheme="minorHAnsi" w:cs="Arial"/>
          <w:i/>
        </w:rPr>
        <w:t>Operating Expenses</w:t>
      </w:r>
    </w:p>
    <w:p w:rsidR="00917841" w:rsidRPr="00917841" w:rsidRDefault="00917841" w:rsidP="00D81BFB">
      <w:pPr>
        <w:spacing w:after="200" w:line="276" w:lineRule="auto"/>
        <w:rPr>
          <w:rFonts w:eastAsiaTheme="minorHAnsi" w:cs="Arial"/>
        </w:rPr>
      </w:pPr>
      <w:r w:rsidRPr="00917841">
        <w:rPr>
          <w:rFonts w:eastAsiaTheme="minorHAnsi" w:cs="Arial"/>
        </w:rPr>
        <w:t>Operating Expenses were in line with budgeted costs for the 2012/13 Biennium (101% of the budget).</w:t>
      </w:r>
    </w:p>
    <w:p w:rsidR="00917841" w:rsidRPr="00917841" w:rsidRDefault="00917841" w:rsidP="00D81BFB">
      <w:pPr>
        <w:spacing w:after="200" w:line="276" w:lineRule="auto"/>
        <w:rPr>
          <w:rFonts w:eastAsiaTheme="minorHAnsi" w:cs="Arial"/>
          <w:i/>
        </w:rPr>
      </w:pPr>
      <w:r w:rsidRPr="00917841">
        <w:rPr>
          <w:rFonts w:eastAsiaTheme="minorHAnsi" w:cs="Arial"/>
          <w:i/>
        </w:rPr>
        <w:t>Equipment and Supplies</w:t>
      </w:r>
    </w:p>
    <w:p w:rsidR="00917841" w:rsidRPr="00917841" w:rsidRDefault="00917841" w:rsidP="00D81BFB">
      <w:pPr>
        <w:spacing w:after="200" w:line="276" w:lineRule="auto"/>
        <w:rPr>
          <w:rFonts w:eastAsiaTheme="minorHAnsi" w:cs="Arial"/>
        </w:rPr>
      </w:pPr>
      <w:r w:rsidRPr="00917841">
        <w:rPr>
          <w:rFonts w:eastAsiaTheme="minorHAnsi" w:cs="Arial"/>
        </w:rPr>
        <w:t>Expenditure on Equipment and Supplies for the 2012/13 Biennium was broadly in line with budgeted costs (90%).</w:t>
      </w:r>
    </w:p>
    <w:p w:rsidR="00EE7438" w:rsidRDefault="00EE7438" w:rsidP="00D81BFB">
      <w:pPr>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rsidR="00917841" w:rsidRPr="00917841" w:rsidRDefault="00917841" w:rsidP="00D81BFB">
      <w:pPr>
        <w:spacing w:after="200" w:line="276" w:lineRule="auto"/>
        <w:rPr>
          <w:rFonts w:eastAsiaTheme="minorHAnsi" w:cs="Arial"/>
        </w:rPr>
      </w:pPr>
      <w:r w:rsidRPr="00917841">
        <w:rPr>
          <w:rFonts w:eastAsiaTheme="minorHAnsi" w:cs="Arial"/>
        </w:rPr>
        <w:lastRenderedPageBreak/>
        <w:t xml:space="preserve">The breakdown of the 2012/13 expenditure by Sub-programs and Cost categories is presented below in Table 5.  </w:t>
      </w:r>
    </w:p>
    <w:p w:rsidR="00917841" w:rsidRPr="00917841" w:rsidRDefault="00917841" w:rsidP="008518D2">
      <w:pPr>
        <w:pStyle w:val="Heading3"/>
      </w:pPr>
      <w:bookmarkStart w:id="14" w:name="_Toc393377914"/>
      <w:proofErr w:type="gramStart"/>
      <w:r w:rsidRPr="00917841">
        <w:t>Table 5.</w:t>
      </w:r>
      <w:proofErr w:type="gramEnd"/>
      <w:r w:rsidRPr="00917841">
        <w:t xml:space="preserve"> 2012/13 Expenditure Details by Sub-Programs</w:t>
      </w:r>
      <w:bookmarkEnd w:id="14"/>
    </w:p>
    <w:p w:rsidR="00917841" w:rsidRPr="00BA6252" w:rsidRDefault="00917841" w:rsidP="00917841">
      <w:pPr>
        <w:spacing w:after="200" w:line="276" w:lineRule="auto"/>
        <w:jc w:val="center"/>
        <w:rPr>
          <w:rFonts w:eastAsiaTheme="minorHAnsi" w:cs="Arial"/>
          <w:i/>
        </w:rPr>
      </w:pPr>
      <w:r w:rsidRPr="00BA6252">
        <w:rPr>
          <w:rFonts w:eastAsiaTheme="minorHAnsi" w:cs="Arial"/>
          <w:i/>
        </w:rPr>
        <w:t>(</w:t>
      </w:r>
      <w:proofErr w:type="gramStart"/>
      <w:r w:rsidRPr="00BA6252">
        <w:rPr>
          <w:rFonts w:eastAsiaTheme="minorHAnsi" w:cs="Arial"/>
          <w:i/>
        </w:rPr>
        <w:t>in</w:t>
      </w:r>
      <w:proofErr w:type="gramEnd"/>
      <w:r w:rsidRPr="00BA6252">
        <w:rPr>
          <w:rFonts w:eastAsiaTheme="minorHAnsi" w:cs="Arial"/>
          <w:i/>
        </w:rPr>
        <w:t xml:space="preserve"> thousands of Swiss francs)</w:t>
      </w:r>
    </w:p>
    <w:p w:rsidR="00965A10" w:rsidRDefault="00965A10" w:rsidP="00D81BFB">
      <w:pPr>
        <w:spacing w:after="200" w:line="276" w:lineRule="auto"/>
        <w:rPr>
          <w:rFonts w:eastAsiaTheme="minorHAnsi" w:cs="Arial"/>
        </w:rPr>
      </w:pPr>
      <w:r w:rsidRPr="00965A10">
        <w:rPr>
          <w:rFonts w:eastAsiaTheme="minorHAnsi"/>
          <w:noProof/>
        </w:rPr>
        <w:drawing>
          <wp:inline distT="0" distB="0" distL="0" distR="0" wp14:anchorId="15ED4BA8" wp14:editId="4B7C2E6B">
            <wp:extent cx="6120765" cy="438443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4384439"/>
                    </a:xfrm>
                    <a:prstGeom prst="rect">
                      <a:avLst/>
                    </a:prstGeom>
                    <a:noFill/>
                    <a:ln>
                      <a:noFill/>
                    </a:ln>
                  </pic:spPr>
                </pic:pic>
              </a:graphicData>
            </a:graphic>
          </wp:inline>
        </w:drawing>
      </w:r>
    </w:p>
    <w:p w:rsidR="00965A10" w:rsidRDefault="00965A10" w:rsidP="00D81BFB">
      <w:pPr>
        <w:spacing w:after="200" w:line="276" w:lineRule="auto"/>
        <w:rPr>
          <w:rFonts w:eastAsiaTheme="minorHAnsi" w:cs="Arial"/>
        </w:rPr>
      </w:pPr>
    </w:p>
    <w:p w:rsidR="00917841" w:rsidRPr="00917841" w:rsidRDefault="00917841" w:rsidP="00D81BFB">
      <w:pPr>
        <w:spacing w:after="200" w:line="276" w:lineRule="auto"/>
        <w:rPr>
          <w:rFonts w:eastAsiaTheme="minorHAnsi" w:cs="Arial"/>
        </w:rPr>
      </w:pPr>
      <w:r w:rsidRPr="00825887">
        <w:rPr>
          <w:rFonts w:eastAsiaTheme="minorHAnsi" w:cs="Arial"/>
        </w:rPr>
        <w:fldChar w:fldCharType="begin"/>
      </w:r>
      <w:r w:rsidRPr="00825887">
        <w:rPr>
          <w:rFonts w:eastAsiaTheme="minorHAnsi" w:cs="Arial"/>
        </w:rPr>
        <w:instrText xml:space="preserve"> AUTONUM  </w:instrText>
      </w:r>
      <w:r w:rsidRPr="00825887">
        <w:rPr>
          <w:rFonts w:eastAsiaTheme="minorHAnsi" w:cs="Arial"/>
        </w:rPr>
        <w:fldChar w:fldCharType="end"/>
      </w:r>
      <w:r w:rsidRPr="00917841">
        <w:rPr>
          <w:rFonts w:asciiTheme="minorHAnsi" w:eastAsiaTheme="minorHAnsi" w:hAnsiTheme="minorHAnsi" w:cstheme="minorBidi"/>
          <w:sz w:val="22"/>
          <w:szCs w:val="22"/>
        </w:rPr>
        <w:tab/>
      </w:r>
      <w:r w:rsidRPr="00917841">
        <w:rPr>
          <w:rFonts w:eastAsiaTheme="minorHAnsi" w:cs="Arial"/>
        </w:rPr>
        <w:t xml:space="preserve">As indicated in Table 6 below, there was no change in the total number of Posts and their breakdown by categories in the 2012/13 Biennium. </w:t>
      </w:r>
    </w:p>
    <w:p w:rsidR="00917841" w:rsidRPr="00780E2C" w:rsidRDefault="00917841" w:rsidP="00780E2C">
      <w:pPr>
        <w:pStyle w:val="Heading3"/>
      </w:pPr>
      <w:bookmarkStart w:id="15" w:name="_Toc393377915"/>
      <w:proofErr w:type="gramStart"/>
      <w:r w:rsidRPr="00780E2C">
        <w:t>Table 6.</w:t>
      </w:r>
      <w:proofErr w:type="gramEnd"/>
      <w:r w:rsidRPr="00780E2C">
        <w:t xml:space="preserve"> 2012/13 Budgeted and Actual Posts</w:t>
      </w:r>
      <w:bookmarkEnd w:id="15"/>
    </w:p>
    <w:p w:rsidR="00BA6252" w:rsidRPr="00BA6252" w:rsidRDefault="00BA6252" w:rsidP="00BA6252">
      <w:pPr>
        <w:rPr>
          <w:rFonts w:eastAsiaTheme="minorHAnsi"/>
        </w:rPr>
      </w:pPr>
    </w:p>
    <w:p w:rsidR="00965A10" w:rsidRDefault="00965A10" w:rsidP="00965A10">
      <w:pPr>
        <w:spacing w:after="200" w:line="276" w:lineRule="auto"/>
        <w:jc w:val="center"/>
        <w:rPr>
          <w:rFonts w:eastAsiaTheme="minorHAnsi" w:cs="Arial"/>
        </w:rPr>
      </w:pPr>
      <w:r w:rsidRPr="00965A10">
        <w:rPr>
          <w:rFonts w:eastAsiaTheme="minorHAnsi"/>
          <w:noProof/>
        </w:rPr>
        <w:drawing>
          <wp:inline distT="0" distB="0" distL="0" distR="0">
            <wp:extent cx="3832225" cy="140716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32225" cy="1407160"/>
                    </a:xfrm>
                    <a:prstGeom prst="rect">
                      <a:avLst/>
                    </a:prstGeom>
                    <a:noFill/>
                    <a:ln>
                      <a:noFill/>
                    </a:ln>
                  </pic:spPr>
                </pic:pic>
              </a:graphicData>
            </a:graphic>
          </wp:inline>
        </w:drawing>
      </w:r>
    </w:p>
    <w:p w:rsidR="00917841" w:rsidRPr="00917841" w:rsidRDefault="00917841" w:rsidP="00D81BFB">
      <w:pPr>
        <w:spacing w:after="200" w:line="276" w:lineRule="auto"/>
        <w:rPr>
          <w:rFonts w:eastAsiaTheme="minorHAnsi" w:cs="Arial"/>
        </w:rPr>
      </w:pPr>
      <w:r w:rsidRPr="00917841">
        <w:rPr>
          <w:rFonts w:eastAsiaTheme="minorHAnsi" w:cs="Arial"/>
        </w:rPr>
        <w:t>The Program and Budget for the 2012-2013 Biennium anticipated three posts in the director category and three posts in the professional category.  However, due to unforeseen personnel changes, the actual number of posts was two in the director category and four in the professional category.</w:t>
      </w:r>
    </w:p>
    <w:p w:rsidR="00917841" w:rsidRPr="00917841" w:rsidRDefault="00917841" w:rsidP="00D81BFB">
      <w:pPr>
        <w:keepNext/>
        <w:spacing w:after="200" w:line="276" w:lineRule="auto"/>
        <w:rPr>
          <w:rFonts w:eastAsiaTheme="minorHAnsi" w:cs="Arial"/>
        </w:rPr>
      </w:pPr>
      <w:r w:rsidRPr="00917841">
        <w:rPr>
          <w:rFonts w:eastAsiaTheme="minorHAnsi" w:cs="Arial"/>
        </w:rPr>
        <w:lastRenderedPageBreak/>
        <w:t>Finally, the overall evolution of actual income and expenditure on a budgetar</w:t>
      </w:r>
      <w:r w:rsidR="00FD7918">
        <w:rPr>
          <w:rFonts w:eastAsiaTheme="minorHAnsi" w:cs="Arial"/>
        </w:rPr>
        <w:t>y basis is shown below in Table </w:t>
      </w:r>
      <w:r w:rsidRPr="00917841">
        <w:rPr>
          <w:rFonts w:eastAsiaTheme="minorHAnsi" w:cs="Arial"/>
        </w:rPr>
        <w:t xml:space="preserve">7 for the period from 2008 to 2013. </w:t>
      </w:r>
    </w:p>
    <w:p w:rsidR="00917841" w:rsidRPr="00917841" w:rsidRDefault="00917841" w:rsidP="008518D2">
      <w:pPr>
        <w:pStyle w:val="Heading3"/>
      </w:pPr>
      <w:bookmarkStart w:id="16" w:name="_Toc393377916"/>
      <w:proofErr w:type="gramStart"/>
      <w:r w:rsidRPr="00917841">
        <w:t>Table 7.</w:t>
      </w:r>
      <w:proofErr w:type="gramEnd"/>
      <w:r w:rsidRPr="00917841">
        <w:t xml:space="preserve"> Evolution of Actual Income and Expenditure during 2008-2013</w:t>
      </w:r>
      <w:bookmarkEnd w:id="16"/>
    </w:p>
    <w:p w:rsidR="00917841" w:rsidRPr="00917841" w:rsidRDefault="00917841" w:rsidP="00917841">
      <w:pPr>
        <w:spacing w:after="200" w:line="276" w:lineRule="auto"/>
        <w:jc w:val="center"/>
        <w:rPr>
          <w:rFonts w:eastAsiaTheme="minorHAnsi" w:cs="Arial"/>
          <w:i/>
        </w:rPr>
      </w:pPr>
      <w:r w:rsidRPr="00917841">
        <w:rPr>
          <w:rFonts w:eastAsiaTheme="minorHAnsi" w:cs="Arial"/>
          <w:i/>
        </w:rPr>
        <w:t>(</w:t>
      </w:r>
      <w:proofErr w:type="gramStart"/>
      <w:r w:rsidRPr="00917841">
        <w:rPr>
          <w:rFonts w:eastAsiaTheme="minorHAnsi" w:cs="Arial"/>
          <w:i/>
        </w:rPr>
        <w:t>in</w:t>
      </w:r>
      <w:proofErr w:type="gramEnd"/>
      <w:r w:rsidRPr="00917841">
        <w:rPr>
          <w:rFonts w:eastAsiaTheme="minorHAnsi" w:cs="Arial"/>
          <w:i/>
        </w:rPr>
        <w:t xml:space="preserve"> thousands of Swiss francs)</w:t>
      </w:r>
    </w:p>
    <w:p w:rsidR="001377BE" w:rsidRPr="00917841" w:rsidRDefault="001377BE" w:rsidP="00917841">
      <w:pPr>
        <w:spacing w:after="200" w:line="276" w:lineRule="auto"/>
        <w:jc w:val="center"/>
        <w:rPr>
          <w:rFonts w:asciiTheme="minorHAnsi" w:eastAsiaTheme="minorHAnsi" w:hAnsiTheme="minorHAnsi" w:cstheme="minorBidi"/>
          <w:b/>
          <w:sz w:val="22"/>
          <w:szCs w:val="22"/>
        </w:rPr>
      </w:pPr>
      <w:r w:rsidRPr="001377BE">
        <w:rPr>
          <w:rFonts w:eastAsiaTheme="minorHAnsi"/>
          <w:noProof/>
        </w:rPr>
        <w:drawing>
          <wp:inline distT="0" distB="0" distL="0" distR="0">
            <wp:extent cx="5057140" cy="1073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57140" cy="1073150"/>
                    </a:xfrm>
                    <a:prstGeom prst="rect">
                      <a:avLst/>
                    </a:prstGeom>
                    <a:noFill/>
                    <a:ln>
                      <a:noFill/>
                    </a:ln>
                  </pic:spPr>
                </pic:pic>
              </a:graphicData>
            </a:graphic>
          </wp:inline>
        </w:drawing>
      </w:r>
    </w:p>
    <w:p w:rsidR="00917841" w:rsidRPr="00917841" w:rsidRDefault="00917841" w:rsidP="00917841">
      <w:pPr>
        <w:spacing w:after="200" w:line="276" w:lineRule="auto"/>
        <w:jc w:val="center"/>
        <w:rPr>
          <w:rFonts w:asciiTheme="minorHAnsi" w:eastAsiaTheme="minorHAnsi" w:hAnsiTheme="minorHAnsi" w:cstheme="minorBidi"/>
          <w:b/>
          <w:sz w:val="22"/>
          <w:szCs w:val="22"/>
        </w:rPr>
      </w:pPr>
      <w:r w:rsidRPr="00917841">
        <w:rPr>
          <w:rFonts w:asciiTheme="minorHAnsi" w:eastAsiaTheme="minorHAnsi" w:hAnsiTheme="minorHAnsi" w:cstheme="minorBidi"/>
          <w:b/>
          <w:noProof/>
          <w:sz w:val="22"/>
          <w:szCs w:val="22"/>
        </w:rPr>
        <w:drawing>
          <wp:inline distT="0" distB="0" distL="0" distR="0" wp14:anchorId="743A9C0B" wp14:editId="078146F7">
            <wp:extent cx="4399741" cy="2581275"/>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5727" cy="2584787"/>
                    </a:xfrm>
                    <a:prstGeom prst="rect">
                      <a:avLst/>
                    </a:prstGeom>
                    <a:noFill/>
                  </pic:spPr>
                </pic:pic>
              </a:graphicData>
            </a:graphic>
          </wp:inline>
        </w:drawing>
      </w:r>
    </w:p>
    <w:p w:rsidR="00917841" w:rsidRDefault="00917841" w:rsidP="00D81BFB">
      <w:pPr>
        <w:spacing w:after="200" w:line="276" w:lineRule="auto"/>
      </w:pPr>
    </w:p>
    <w:p w:rsidR="00917841" w:rsidRDefault="00917841" w:rsidP="006360C1"/>
    <w:p w:rsidR="00917841" w:rsidRDefault="00917841" w:rsidP="006360C1"/>
    <w:p w:rsidR="00917841" w:rsidRDefault="00917841" w:rsidP="006360C1"/>
    <w:p w:rsidR="00917841" w:rsidRDefault="00917841" w:rsidP="006360C1"/>
    <w:p w:rsidR="00917841" w:rsidRDefault="00917841" w:rsidP="006360C1"/>
    <w:p w:rsidR="00917841" w:rsidRDefault="00917841" w:rsidP="006360C1"/>
    <w:p w:rsidR="00917841" w:rsidRDefault="00917841" w:rsidP="006360C1"/>
    <w:p w:rsidR="00917841" w:rsidRDefault="00917841" w:rsidP="006360C1"/>
    <w:p w:rsidR="005C7018" w:rsidRDefault="005C7018" w:rsidP="00D81BFB">
      <w:r>
        <w:br w:type="page"/>
      </w:r>
    </w:p>
    <w:p w:rsidR="00CE47DD" w:rsidRDefault="00CE47DD" w:rsidP="00D81BFB">
      <w:pPr>
        <w:pStyle w:val="Heading1"/>
        <w:jc w:val="both"/>
      </w:pPr>
      <w:bookmarkStart w:id="17" w:name="_Toc393377917"/>
      <w:r>
        <w:lastRenderedPageBreak/>
        <w:t>INVESTMENTS</w:t>
      </w:r>
      <w:bookmarkEnd w:id="17"/>
    </w:p>
    <w:p w:rsidR="00CE47DD" w:rsidRDefault="00CE47DD" w:rsidP="006360C1"/>
    <w:p w:rsidR="00073668" w:rsidRDefault="00073668" w:rsidP="00D81BFB">
      <w:pPr>
        <w:spacing w:after="200" w:line="276" w:lineRule="auto"/>
      </w:pPr>
      <w:r>
        <w:t>In accordance with Regulation 4.10 of UPOV’s Financial Regulations and Rules, the Secretary General may make short-term investments of money not needed for immediate requirements in accordance with UPOV’s investment policy, as approved by the Council, and shall inform the Consultative Committee regularly of any such investments.</w:t>
      </w:r>
    </w:p>
    <w:p w:rsidR="00CE47DD" w:rsidRDefault="00073668" w:rsidP="00D81BFB">
      <w:pPr>
        <w:spacing w:after="200" w:line="276" w:lineRule="auto"/>
      </w:pPr>
      <w:r>
        <w:t>Furthermore, in accordance with Regulation 4.11, the Secretary General may make long-term investments or monies standing to the credit of UPOV in accordance with WIPO’s investment policy, as approved by the Council, and shall inform the Consultative Committee regularly of any such investments.  UPOV’s investment policy is the same as that of WIPO and investments are therefore made as follows:</w:t>
      </w:r>
    </w:p>
    <w:p w:rsidR="00073668" w:rsidRDefault="00073668" w:rsidP="00073668">
      <w:pPr>
        <w:ind w:left="567" w:hanging="567"/>
      </w:pPr>
      <w:r>
        <w:t>(a)</w:t>
      </w:r>
      <w:r>
        <w:tab/>
        <w:t>All Swiss franc investments for UPOV are held with the Swiss National Bank (BNS) provided that the rate offered is higher than that available from commercial banks having the required credit rating.</w:t>
      </w:r>
    </w:p>
    <w:p w:rsidR="00073668" w:rsidRDefault="00073668" w:rsidP="00073668"/>
    <w:p w:rsidR="00073668" w:rsidRDefault="00073668" w:rsidP="00073668">
      <w:pPr>
        <w:ind w:left="567" w:hanging="567"/>
      </w:pPr>
      <w:r>
        <w:t>(b)</w:t>
      </w:r>
      <w:r>
        <w:tab/>
        <w:t>Investments other than those made with BNS are linked to money market funds and time deposits held by banks with a credit worthiness rating of AA-/Aa3 (Standard and Poor’s / Moody’s) or higher and to high grade corporate or government banks rated AA-/Aa3 or higher.</w:t>
      </w:r>
    </w:p>
    <w:p w:rsidR="00073668" w:rsidRDefault="00073668" w:rsidP="00073668"/>
    <w:p w:rsidR="00073668" w:rsidRDefault="00073668" w:rsidP="00073668">
      <w:pPr>
        <w:ind w:left="567" w:hanging="567"/>
      </w:pPr>
      <w:r>
        <w:t>(c)</w:t>
      </w:r>
      <w:r>
        <w:tab/>
        <w:t>Monies held for Funds in Trust (Special Accounts) are placed in money market funds and time deposits with banks meeting the required credit rating.</w:t>
      </w:r>
    </w:p>
    <w:p w:rsidR="00073668" w:rsidRDefault="00073668" w:rsidP="00073668"/>
    <w:p w:rsidR="00CE47DD" w:rsidRDefault="00AE793E" w:rsidP="00073668">
      <w:r>
        <w:t>The table below</w:t>
      </w:r>
      <w:r w:rsidR="00073668">
        <w:t xml:space="preserve"> details investments made during the biennium.  It is worth noting that, under the terms of the Policy on Investments, the Organization is currently unable to make deposits with either of its two principal relationship banks, UBS and </w:t>
      </w:r>
      <w:proofErr w:type="spellStart"/>
      <w:r w:rsidR="00073668">
        <w:t>Crédit</w:t>
      </w:r>
      <w:proofErr w:type="spellEnd"/>
      <w:r w:rsidR="00073668">
        <w:t xml:space="preserve"> Suisse, as their long-term credit ratings are below the minimum level stipulated in the policy.</w:t>
      </w:r>
    </w:p>
    <w:p w:rsidR="00CE47DD" w:rsidRDefault="00CE47DD" w:rsidP="006360C1"/>
    <w:tbl>
      <w:tblPr>
        <w:tblW w:w="0" w:type="auto"/>
        <w:tblLook w:val="0000" w:firstRow="0" w:lastRow="0" w:firstColumn="0" w:lastColumn="0" w:noHBand="0" w:noVBand="0"/>
      </w:tblPr>
      <w:tblGrid>
        <w:gridCol w:w="9855"/>
      </w:tblGrid>
      <w:tr w:rsidR="00FD7918">
        <w:tc>
          <w:tcPr>
            <w:tcW w:w="9855" w:type="dxa"/>
          </w:tcPr>
          <w:p w:rsidR="00FD7918" w:rsidRDefault="00FD7918" w:rsidP="00FD7918">
            <w:pPr>
              <w:jc w:val="center"/>
            </w:pPr>
            <w:r w:rsidRPr="007137EB">
              <w:rPr>
                <w:noProof/>
              </w:rPr>
              <w:drawing>
                <wp:inline distT="0" distB="0" distL="0" distR="0" wp14:anchorId="7CF98078" wp14:editId="0AC2810B">
                  <wp:extent cx="4942205" cy="46259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42205" cy="4625975"/>
                          </a:xfrm>
                          <a:prstGeom prst="rect">
                            <a:avLst/>
                          </a:prstGeom>
                          <a:noFill/>
                          <a:ln>
                            <a:noFill/>
                          </a:ln>
                        </pic:spPr>
                      </pic:pic>
                    </a:graphicData>
                  </a:graphic>
                </wp:inline>
              </w:drawing>
            </w:r>
          </w:p>
        </w:tc>
      </w:tr>
    </w:tbl>
    <w:p w:rsidR="00D4237F" w:rsidRDefault="00D4237F" w:rsidP="006360C1"/>
    <w:p w:rsidR="00D4237F" w:rsidRDefault="00D4237F" w:rsidP="006360C1"/>
    <w:p w:rsidR="002F09F3" w:rsidRDefault="002F09F3" w:rsidP="00D81BFB">
      <w:pPr>
        <w:pStyle w:val="Heading1"/>
        <w:jc w:val="both"/>
      </w:pPr>
      <w:bookmarkStart w:id="18" w:name="_Toc393377918"/>
      <w:r>
        <w:lastRenderedPageBreak/>
        <w:t>FINANCIAL STATEMENTS</w:t>
      </w:r>
      <w:bookmarkEnd w:id="18"/>
    </w:p>
    <w:p w:rsidR="002F09F3" w:rsidRDefault="002F09F3" w:rsidP="00532F43">
      <w:pPr>
        <w:spacing w:after="200" w:line="276" w:lineRule="auto"/>
        <w:jc w:val="center"/>
        <w:rPr>
          <w:b/>
          <w:u w:val="single"/>
        </w:rPr>
      </w:pPr>
    </w:p>
    <w:p w:rsidR="002F09F3" w:rsidRDefault="002F09F3" w:rsidP="00532F43">
      <w:pPr>
        <w:spacing w:after="200" w:line="276" w:lineRule="auto"/>
      </w:pPr>
      <w:r w:rsidRPr="00CA0F1B">
        <w:t>For e</w:t>
      </w:r>
      <w:r>
        <w:t>ach of the two years of the 2012/13</w:t>
      </w:r>
      <w:r w:rsidRPr="00CA0F1B">
        <w:t xml:space="preserve"> biennium, the ann</w:t>
      </w:r>
      <w:r>
        <w:t>ual financial statements of UPOV</w:t>
      </w:r>
      <w:r w:rsidRPr="00CA0F1B">
        <w:t xml:space="preserve"> have been prepared in accordance with International Public Sector Accounting Standards (IPSA</w:t>
      </w:r>
      <w:r>
        <w:t>S). Until the 2010/11 biennium</w:t>
      </w:r>
      <w:r w:rsidRPr="00CA0F1B">
        <w:t>, the financial statements were prepared in accordance with the United Nations System Accounting Standards (UNSAS), and were audited on a biennial basis.</w:t>
      </w:r>
    </w:p>
    <w:p w:rsidR="002F09F3" w:rsidRPr="00CA0F1B" w:rsidRDefault="002F09F3" w:rsidP="00532F43">
      <w:pPr>
        <w:spacing w:after="200" w:line="276" w:lineRule="auto"/>
        <w:rPr>
          <w:b/>
        </w:rPr>
      </w:pPr>
      <w:r w:rsidRPr="00CA0F1B">
        <w:rPr>
          <w:b/>
        </w:rPr>
        <w:t>The Move to IPSAS</w:t>
      </w:r>
    </w:p>
    <w:p w:rsidR="002F09F3" w:rsidRDefault="002F09F3" w:rsidP="00532F43">
      <w:pPr>
        <w:spacing w:after="200" w:line="276" w:lineRule="auto"/>
        <w:rPr>
          <w:szCs w:val="22"/>
        </w:rPr>
      </w:pPr>
      <w:r w:rsidRPr="0073645E">
        <w:rPr>
          <w:szCs w:val="22"/>
        </w:rPr>
        <w:t>At its forty-fifth ordinary session, held in Geneva on October 20, 2011, the Council agreed to the adoption of IPSAS by UPOV beginning with the financi</w:t>
      </w:r>
      <w:r>
        <w:rPr>
          <w:szCs w:val="22"/>
        </w:rPr>
        <w:t>al period starting in 2012 (</w:t>
      </w:r>
      <w:r w:rsidRPr="0073645E">
        <w:rPr>
          <w:szCs w:val="22"/>
        </w:rPr>
        <w:t xml:space="preserve">document C/45/18 “Report”, paragraph 9(b)). This agreement led to the replacement of the previously applied </w:t>
      </w:r>
      <w:r>
        <w:rPr>
          <w:szCs w:val="22"/>
        </w:rPr>
        <w:t>UNSAS</w:t>
      </w:r>
      <w:r w:rsidRPr="0073645E">
        <w:rPr>
          <w:szCs w:val="22"/>
        </w:rPr>
        <w:t xml:space="preserve"> with IPSAS which are internationally recognized.</w:t>
      </w:r>
      <w:r>
        <w:rPr>
          <w:szCs w:val="22"/>
        </w:rPr>
        <w:t xml:space="preserve"> The IPSAS standards are developed by the International Public Sector Accounting Standards Board (IPSASB) which is part of the International Federation of Accountants.</w:t>
      </w:r>
    </w:p>
    <w:p w:rsidR="002F09F3" w:rsidRPr="00CA0F1B" w:rsidRDefault="002F09F3" w:rsidP="00532F43">
      <w:pPr>
        <w:spacing w:after="200" w:line="276" w:lineRule="auto"/>
        <w:rPr>
          <w:b/>
          <w:szCs w:val="22"/>
        </w:rPr>
      </w:pPr>
      <w:r w:rsidRPr="00CA0F1B">
        <w:rPr>
          <w:b/>
          <w:szCs w:val="22"/>
        </w:rPr>
        <w:t>The Benefits of IPSAS</w:t>
      </w:r>
    </w:p>
    <w:p w:rsidR="002F09F3" w:rsidRDefault="002F09F3" w:rsidP="00532F43">
      <w:pPr>
        <w:pStyle w:val="Default"/>
        <w:jc w:val="both"/>
        <w:rPr>
          <w:sz w:val="20"/>
          <w:szCs w:val="20"/>
        </w:rPr>
      </w:pPr>
      <w:r w:rsidRPr="00CA0F1B">
        <w:rPr>
          <w:sz w:val="20"/>
          <w:szCs w:val="20"/>
        </w:rPr>
        <w:t>The adoption of IPSAS means the applicati</w:t>
      </w:r>
      <w:r>
        <w:rPr>
          <w:sz w:val="20"/>
          <w:szCs w:val="20"/>
        </w:rPr>
        <w:t>on of accounting standards that</w:t>
      </w:r>
      <w:r w:rsidRPr="00CA0F1B">
        <w:rPr>
          <w:sz w:val="20"/>
          <w:szCs w:val="20"/>
        </w:rPr>
        <w:t xml:space="preserve"> represent best management practices and which keep up to date with the latest developments in financial</w:t>
      </w:r>
      <w:r>
        <w:rPr>
          <w:sz w:val="20"/>
          <w:szCs w:val="20"/>
        </w:rPr>
        <w:t xml:space="preserve"> matters. It will also lead to </w:t>
      </w:r>
      <w:r w:rsidRPr="00CA0F1B">
        <w:rPr>
          <w:sz w:val="20"/>
          <w:szCs w:val="20"/>
        </w:rPr>
        <w:t xml:space="preserve">better comparability of financial statements with other international organizations and national governments. </w:t>
      </w:r>
    </w:p>
    <w:p w:rsidR="002F09F3" w:rsidRPr="00CA0F1B" w:rsidRDefault="002F09F3" w:rsidP="00532F43">
      <w:pPr>
        <w:pStyle w:val="Default"/>
        <w:jc w:val="both"/>
        <w:rPr>
          <w:sz w:val="20"/>
          <w:szCs w:val="20"/>
        </w:rPr>
      </w:pPr>
    </w:p>
    <w:p w:rsidR="002F09F3" w:rsidRDefault="002F09F3" w:rsidP="00532F43">
      <w:pPr>
        <w:pStyle w:val="Default"/>
        <w:jc w:val="both"/>
        <w:rPr>
          <w:sz w:val="20"/>
          <w:szCs w:val="20"/>
        </w:rPr>
      </w:pPr>
      <w:r w:rsidRPr="00CA0F1B">
        <w:rPr>
          <w:sz w:val="20"/>
          <w:szCs w:val="20"/>
        </w:rPr>
        <w:t xml:space="preserve">Financial statements prepared in accordance with IPSAS provide much more insight into the assets, liabilities, revenues </w:t>
      </w:r>
      <w:r>
        <w:rPr>
          <w:sz w:val="20"/>
          <w:szCs w:val="20"/>
        </w:rPr>
        <w:t>and expenses of UPOV</w:t>
      </w:r>
      <w:r w:rsidRPr="00CA0F1B">
        <w:rPr>
          <w:sz w:val="20"/>
          <w:szCs w:val="20"/>
        </w:rPr>
        <w:t>. Increased transparency with respect to assets and liabilities results in greater internal control and enhanced management of resources. Comprehensive information about revenues and expenses better supports decision making and enhances strategic planning.</w:t>
      </w:r>
    </w:p>
    <w:p w:rsidR="002F09F3" w:rsidRPr="00CA0F1B" w:rsidRDefault="002F09F3" w:rsidP="00532F43">
      <w:pPr>
        <w:pStyle w:val="Default"/>
        <w:jc w:val="both"/>
        <w:rPr>
          <w:sz w:val="20"/>
          <w:szCs w:val="20"/>
        </w:rPr>
      </w:pPr>
    </w:p>
    <w:p w:rsidR="002F09F3" w:rsidRDefault="002F09F3" w:rsidP="00532F43">
      <w:pPr>
        <w:spacing w:after="200" w:line="276" w:lineRule="auto"/>
      </w:pPr>
      <w:r w:rsidRPr="00CA0F1B">
        <w:t>The overall result is financial statements of higher quality, transparency and reliability, which contain more detailed and relevant information for stakeholders. Member</w:t>
      </w:r>
      <w:r>
        <w:t xml:space="preserve">s of the Union </w:t>
      </w:r>
      <w:r w:rsidRPr="00CA0F1B">
        <w:t>are now provided with a set of financial statements reflecti</w:t>
      </w:r>
      <w:r>
        <w:t>ng the full cost of running UPOV</w:t>
      </w:r>
      <w:r w:rsidRPr="00CA0F1B">
        <w:t>’s activities, including items not covered by current budgets.</w:t>
      </w:r>
    </w:p>
    <w:p w:rsidR="002F09F3" w:rsidRPr="00CA0F1B" w:rsidRDefault="002F09F3" w:rsidP="00532F43">
      <w:pPr>
        <w:spacing w:after="200" w:line="276" w:lineRule="auto"/>
        <w:rPr>
          <w:b/>
        </w:rPr>
      </w:pPr>
      <w:r w:rsidRPr="00CA0F1B">
        <w:rPr>
          <w:b/>
        </w:rPr>
        <w:t>The Accounting Impacts of IPSAS</w:t>
      </w:r>
    </w:p>
    <w:p w:rsidR="002F09F3" w:rsidRPr="0073645E" w:rsidRDefault="002F09F3" w:rsidP="00532F43">
      <w:pPr>
        <w:autoSpaceDE w:val="0"/>
        <w:autoSpaceDN w:val="0"/>
        <w:adjustRightInd w:val="0"/>
        <w:rPr>
          <w:szCs w:val="22"/>
        </w:rPr>
      </w:pPr>
      <w:r w:rsidRPr="0073645E">
        <w:t>Applying IPSAS requires the introduction of the full accrual basis of accounting, a significant change from the modified accrual basis of accounting applied under UNSAS. Accrual basis accounting means the recognition of transact</w:t>
      </w:r>
      <w:r>
        <w:t xml:space="preserve">ions and events when they occur. As such they are </w:t>
      </w:r>
      <w:r w:rsidRPr="0073645E">
        <w:t>recorded in the accounting records and reported in the financial statements of the financial periods to which they relate, and not only when cash or its equivalent is received or paid.</w:t>
      </w:r>
    </w:p>
    <w:p w:rsidR="002F09F3" w:rsidRPr="0073645E" w:rsidRDefault="002F09F3" w:rsidP="00532F43">
      <w:pPr>
        <w:autoSpaceDE w:val="0"/>
        <w:autoSpaceDN w:val="0"/>
        <w:adjustRightInd w:val="0"/>
        <w:rPr>
          <w:szCs w:val="22"/>
        </w:rPr>
      </w:pPr>
      <w:r w:rsidRPr="0073645E">
        <w:t xml:space="preserve"> </w:t>
      </w:r>
    </w:p>
    <w:p w:rsidR="002F09F3" w:rsidRPr="0073645E" w:rsidRDefault="002F09F3" w:rsidP="00532F43">
      <w:pPr>
        <w:autoSpaceDE w:val="0"/>
        <w:autoSpaceDN w:val="0"/>
        <w:adjustRightInd w:val="0"/>
        <w:rPr>
          <w:szCs w:val="22"/>
        </w:rPr>
      </w:pPr>
      <w:r w:rsidRPr="0073645E">
        <w:t>Under IPSAS, revenue for both contributions</w:t>
      </w:r>
      <w:r>
        <w:t xml:space="preserve"> and </w:t>
      </w:r>
      <w:proofErr w:type="spellStart"/>
      <w:r w:rsidRPr="00DB5369">
        <w:t>extrabudgetary</w:t>
      </w:r>
      <w:proofErr w:type="spellEnd"/>
      <w:r w:rsidRPr="00DB5369">
        <w:t xml:space="preserve"> funds</w:t>
      </w:r>
      <w:r>
        <w:t xml:space="preserve"> (funds in trust)</w:t>
      </w:r>
      <w:r w:rsidRPr="0073645E">
        <w:t xml:space="preserve"> is recognized when UPOV has a right to receive the contribution. Where contributions are due to UPOV, a recei</w:t>
      </w:r>
      <w:r>
        <w:t>vable balance is shown, but the total balance</w:t>
      </w:r>
      <w:r w:rsidRPr="0073645E">
        <w:t xml:space="preserve"> is reduced to reflect amou</w:t>
      </w:r>
      <w:r>
        <w:t>nts still outstanding from previous</w:t>
      </w:r>
      <w:r w:rsidRPr="0073645E">
        <w:t xml:space="preserve"> periods. </w:t>
      </w:r>
      <w:proofErr w:type="spellStart"/>
      <w:r>
        <w:t>Extrabudgetary</w:t>
      </w:r>
      <w:proofErr w:type="spellEnd"/>
      <w:r>
        <w:t xml:space="preserve"> fund</w:t>
      </w:r>
      <w:r w:rsidRPr="00E36CA5">
        <w:t xml:space="preserve"> </w:t>
      </w:r>
      <w:r w:rsidRPr="0073645E">
        <w:t xml:space="preserve">arrangements are analyzed to see if UPOV needs to meet performance conditions, and if these are present, revenue is only recognized when the conditions are fulfilled. </w:t>
      </w:r>
    </w:p>
    <w:p w:rsidR="002F09F3" w:rsidRPr="0073645E" w:rsidRDefault="002F09F3" w:rsidP="00532F43">
      <w:pPr>
        <w:rPr>
          <w:szCs w:val="22"/>
        </w:rPr>
      </w:pPr>
    </w:p>
    <w:p w:rsidR="002F09F3" w:rsidRPr="0073645E" w:rsidRDefault="002F09F3" w:rsidP="00532F43">
      <w:r w:rsidRPr="0073645E">
        <w:rPr>
          <w:szCs w:val="22"/>
        </w:rPr>
        <w:t>The value of future employee benefits (for example, accumulated an</w:t>
      </w:r>
      <w:r>
        <w:rPr>
          <w:szCs w:val="22"/>
        </w:rPr>
        <w:t>nual leave, repatriation grants and</w:t>
      </w:r>
      <w:r w:rsidRPr="0073645E">
        <w:rPr>
          <w:szCs w:val="22"/>
        </w:rPr>
        <w:t xml:space="preserve"> After Service Health Insurance</w:t>
      </w:r>
      <w:r>
        <w:rPr>
          <w:szCs w:val="22"/>
        </w:rPr>
        <w:t xml:space="preserve"> (ASHI)</w:t>
      </w:r>
      <w:r w:rsidRPr="0073645E">
        <w:rPr>
          <w:szCs w:val="22"/>
        </w:rPr>
        <w:t>) that UPOV staff have earned but no</w:t>
      </w:r>
      <w:r>
        <w:rPr>
          <w:szCs w:val="22"/>
        </w:rPr>
        <w:t>t yet received is</w:t>
      </w:r>
      <w:r w:rsidRPr="0073645E">
        <w:rPr>
          <w:szCs w:val="22"/>
        </w:rPr>
        <w:t xml:space="preserve"> now recorded to capture the full cost of employing staff. In previous financial statements these types of benefits were shown as an expen</w:t>
      </w:r>
      <w:r>
        <w:rPr>
          <w:szCs w:val="22"/>
        </w:rPr>
        <w:t>se only when paid</w:t>
      </w:r>
      <w:r w:rsidRPr="0073645E">
        <w:rPr>
          <w:szCs w:val="22"/>
        </w:rPr>
        <w:t>.</w:t>
      </w:r>
    </w:p>
    <w:p w:rsidR="002F09F3" w:rsidRPr="0073645E" w:rsidRDefault="002F09F3" w:rsidP="00532F43">
      <w:pPr>
        <w:rPr>
          <w:szCs w:val="22"/>
        </w:rPr>
      </w:pPr>
    </w:p>
    <w:p w:rsidR="002F09F3" w:rsidRDefault="002F09F3" w:rsidP="00532F43">
      <w:pPr>
        <w:spacing w:after="200" w:line="276" w:lineRule="auto"/>
        <w:rPr>
          <w:szCs w:val="22"/>
        </w:rPr>
      </w:pPr>
      <w:r w:rsidRPr="0073645E">
        <w:rPr>
          <w:szCs w:val="22"/>
        </w:rPr>
        <w:t>The implementation of IPSAS does not currently impact the preparation of the Program and Budget, which is still presented on a modified accrual basis. As this basis differs from the full accrual basis applied to the financial statements,</w:t>
      </w:r>
      <w:r>
        <w:rPr>
          <w:szCs w:val="22"/>
        </w:rPr>
        <w:t xml:space="preserve"> </w:t>
      </w:r>
      <w:proofErr w:type="gramStart"/>
      <w:r>
        <w:rPr>
          <w:szCs w:val="22"/>
        </w:rPr>
        <w:t>a</w:t>
      </w:r>
      <w:r w:rsidRPr="0073645E">
        <w:rPr>
          <w:szCs w:val="22"/>
        </w:rPr>
        <w:t xml:space="preserve"> reconciliation</w:t>
      </w:r>
      <w:proofErr w:type="gramEnd"/>
      <w:r w:rsidRPr="0073645E">
        <w:rPr>
          <w:szCs w:val="22"/>
        </w:rPr>
        <w:t xml:space="preserve"> between the budget and the principal financial statements is provided in accordance with the requirements of IPSAS.</w:t>
      </w:r>
    </w:p>
    <w:p w:rsidR="002F09F3" w:rsidRPr="00D00D30" w:rsidRDefault="002F09F3" w:rsidP="00532F43">
      <w:pPr>
        <w:spacing w:after="200" w:line="276" w:lineRule="auto"/>
        <w:rPr>
          <w:b/>
          <w:szCs w:val="22"/>
        </w:rPr>
      </w:pPr>
      <w:r>
        <w:rPr>
          <w:szCs w:val="22"/>
        </w:rPr>
        <w:br w:type="page"/>
      </w:r>
      <w:r w:rsidRPr="00D00D30">
        <w:rPr>
          <w:b/>
          <w:szCs w:val="22"/>
        </w:rPr>
        <w:lastRenderedPageBreak/>
        <w:t>Presentation of Financial Information under IPSAS</w:t>
      </w:r>
    </w:p>
    <w:p w:rsidR="002F09F3" w:rsidRDefault="002F09F3" w:rsidP="00532F43">
      <w:pPr>
        <w:autoSpaceDE w:val="0"/>
        <w:autoSpaceDN w:val="0"/>
        <w:adjustRightInd w:val="0"/>
        <w:rPr>
          <w:rFonts w:cs="Arial"/>
          <w:color w:val="000000"/>
          <w:lang w:val="en-GB" w:eastAsia="en-GB"/>
        </w:rPr>
      </w:pPr>
      <w:r w:rsidRPr="00CA0F1B">
        <w:rPr>
          <w:rFonts w:cs="Arial"/>
          <w:color w:val="000000"/>
          <w:lang w:val="en-GB" w:eastAsia="en-GB"/>
        </w:rPr>
        <w:t>As IPSAS requires the preparation of annual financial state</w:t>
      </w:r>
      <w:r>
        <w:rPr>
          <w:rFonts w:cs="Arial"/>
          <w:color w:val="000000"/>
          <w:lang w:val="en-GB" w:eastAsia="en-GB"/>
        </w:rPr>
        <w:t>ments, UPOV</w:t>
      </w:r>
      <w:r w:rsidRPr="00CA0F1B">
        <w:rPr>
          <w:rFonts w:cs="Arial"/>
          <w:color w:val="000000"/>
          <w:lang w:val="en-GB" w:eastAsia="en-GB"/>
        </w:rPr>
        <w:t xml:space="preserve"> financial statements are now prepared individually for each calendar year of the biennium. These annual financial statements are presented separately from the Financial Management Report, and to see complete fina</w:t>
      </w:r>
      <w:r>
        <w:rPr>
          <w:rFonts w:cs="Arial"/>
          <w:color w:val="000000"/>
          <w:lang w:val="en-GB" w:eastAsia="en-GB"/>
        </w:rPr>
        <w:t>ncial information of UPOV</w:t>
      </w:r>
      <w:r w:rsidRPr="00CA0F1B">
        <w:rPr>
          <w:rFonts w:cs="Arial"/>
          <w:color w:val="000000"/>
          <w:lang w:val="en-GB" w:eastAsia="en-GB"/>
        </w:rPr>
        <w:t xml:space="preserve"> prepared in accordance with IPSAS requirements, refe</w:t>
      </w:r>
      <w:r>
        <w:rPr>
          <w:rFonts w:cs="Arial"/>
          <w:color w:val="000000"/>
          <w:lang w:val="en-GB" w:eastAsia="en-GB"/>
        </w:rPr>
        <w:t>rence should be made to the UPOV</w:t>
      </w:r>
      <w:r w:rsidRPr="00CA0F1B">
        <w:rPr>
          <w:rFonts w:cs="Arial"/>
          <w:color w:val="000000"/>
          <w:lang w:val="en-GB" w:eastAsia="en-GB"/>
        </w:rPr>
        <w:t xml:space="preserve"> annual financial statements. Under IPSAS, the financial statements include the following elements: </w:t>
      </w:r>
    </w:p>
    <w:p w:rsidR="002F09F3" w:rsidRPr="00CA0F1B" w:rsidRDefault="002F09F3" w:rsidP="00532F43">
      <w:pPr>
        <w:autoSpaceDE w:val="0"/>
        <w:autoSpaceDN w:val="0"/>
        <w:adjustRightInd w:val="0"/>
        <w:rPr>
          <w:rFonts w:cs="Arial"/>
          <w:color w:val="000000"/>
          <w:lang w:val="en-GB" w:eastAsia="en-GB"/>
        </w:rPr>
      </w:pPr>
    </w:p>
    <w:p w:rsidR="002F09F3" w:rsidRPr="00CA0F1B" w:rsidRDefault="002F09F3" w:rsidP="00D81BFB">
      <w:pPr>
        <w:numPr>
          <w:ilvl w:val="0"/>
          <w:numId w:val="22"/>
        </w:numPr>
        <w:autoSpaceDE w:val="0"/>
        <w:autoSpaceDN w:val="0"/>
        <w:adjustRightInd w:val="0"/>
        <w:rPr>
          <w:rFonts w:cs="Arial"/>
          <w:color w:val="000000"/>
          <w:lang w:val="en-GB" w:eastAsia="en-GB"/>
        </w:rPr>
      </w:pPr>
      <w:r w:rsidRPr="00CA0F1B">
        <w:rPr>
          <w:rFonts w:cs="Arial"/>
          <w:color w:val="000000"/>
          <w:lang w:val="en-GB" w:eastAsia="en-GB"/>
        </w:rPr>
        <w:t xml:space="preserve">Statement I - Statement of Financial Position </w:t>
      </w:r>
    </w:p>
    <w:p w:rsidR="002F09F3" w:rsidRPr="00CA0F1B" w:rsidRDefault="002F09F3" w:rsidP="00D81BFB">
      <w:pPr>
        <w:numPr>
          <w:ilvl w:val="0"/>
          <w:numId w:val="22"/>
        </w:numPr>
        <w:autoSpaceDE w:val="0"/>
        <w:autoSpaceDN w:val="0"/>
        <w:adjustRightInd w:val="0"/>
        <w:rPr>
          <w:rFonts w:cs="Arial"/>
          <w:color w:val="000000"/>
          <w:lang w:val="en-GB" w:eastAsia="en-GB"/>
        </w:rPr>
      </w:pPr>
      <w:r w:rsidRPr="00CA0F1B">
        <w:rPr>
          <w:rFonts w:cs="Arial"/>
          <w:color w:val="000000"/>
          <w:lang w:val="en-GB" w:eastAsia="en-GB"/>
        </w:rPr>
        <w:t xml:space="preserve">Statement II - Statement of Financial Performance </w:t>
      </w:r>
    </w:p>
    <w:p w:rsidR="002F09F3" w:rsidRPr="00CA0F1B" w:rsidRDefault="002F09F3" w:rsidP="00D81BFB">
      <w:pPr>
        <w:numPr>
          <w:ilvl w:val="0"/>
          <w:numId w:val="22"/>
        </w:numPr>
        <w:autoSpaceDE w:val="0"/>
        <w:autoSpaceDN w:val="0"/>
        <w:adjustRightInd w:val="0"/>
        <w:rPr>
          <w:rFonts w:cs="Arial"/>
          <w:color w:val="000000"/>
          <w:lang w:val="en-GB" w:eastAsia="en-GB"/>
        </w:rPr>
      </w:pPr>
      <w:r w:rsidRPr="00CA0F1B">
        <w:rPr>
          <w:rFonts w:cs="Arial"/>
          <w:color w:val="000000"/>
          <w:lang w:val="en-GB" w:eastAsia="en-GB"/>
        </w:rPr>
        <w:t xml:space="preserve">Statement III - Statement of Changes in Net Assets </w:t>
      </w:r>
    </w:p>
    <w:p w:rsidR="002F09F3" w:rsidRPr="00CA0F1B" w:rsidRDefault="002F09F3" w:rsidP="00D81BFB">
      <w:pPr>
        <w:numPr>
          <w:ilvl w:val="0"/>
          <w:numId w:val="22"/>
        </w:numPr>
        <w:autoSpaceDE w:val="0"/>
        <w:autoSpaceDN w:val="0"/>
        <w:adjustRightInd w:val="0"/>
        <w:rPr>
          <w:rFonts w:cs="Arial"/>
          <w:color w:val="000000"/>
          <w:lang w:val="en-GB" w:eastAsia="en-GB"/>
        </w:rPr>
      </w:pPr>
      <w:r w:rsidRPr="00CA0F1B">
        <w:rPr>
          <w:rFonts w:cs="Arial"/>
          <w:color w:val="000000"/>
          <w:lang w:val="en-GB" w:eastAsia="en-GB"/>
        </w:rPr>
        <w:t xml:space="preserve">Statement IV - Statement of Cash Flow </w:t>
      </w:r>
    </w:p>
    <w:p w:rsidR="002F09F3" w:rsidRPr="00CA0F1B" w:rsidRDefault="002F09F3" w:rsidP="00D81BFB">
      <w:pPr>
        <w:numPr>
          <w:ilvl w:val="0"/>
          <w:numId w:val="22"/>
        </w:numPr>
        <w:autoSpaceDE w:val="0"/>
        <w:autoSpaceDN w:val="0"/>
        <w:adjustRightInd w:val="0"/>
        <w:rPr>
          <w:rFonts w:cs="Arial"/>
          <w:color w:val="000000"/>
          <w:lang w:val="en-GB" w:eastAsia="en-GB"/>
        </w:rPr>
      </w:pPr>
      <w:r w:rsidRPr="00CA0F1B">
        <w:rPr>
          <w:rFonts w:cs="Arial"/>
          <w:color w:val="000000"/>
          <w:lang w:val="en-GB" w:eastAsia="en-GB"/>
        </w:rPr>
        <w:t xml:space="preserve">Statement V - Statement of Comparison of Budget and Actual Amounts </w:t>
      </w:r>
    </w:p>
    <w:p w:rsidR="002F09F3" w:rsidRPr="00CA0F1B" w:rsidRDefault="002F09F3" w:rsidP="00D81BFB">
      <w:pPr>
        <w:numPr>
          <w:ilvl w:val="0"/>
          <w:numId w:val="22"/>
        </w:numPr>
        <w:autoSpaceDE w:val="0"/>
        <w:autoSpaceDN w:val="0"/>
        <w:adjustRightInd w:val="0"/>
        <w:rPr>
          <w:rFonts w:cs="Arial"/>
          <w:color w:val="000000"/>
          <w:lang w:val="en-GB" w:eastAsia="en-GB"/>
        </w:rPr>
      </w:pPr>
      <w:r w:rsidRPr="00CA0F1B">
        <w:rPr>
          <w:rFonts w:cs="Arial"/>
          <w:color w:val="000000"/>
          <w:lang w:val="en-GB" w:eastAsia="en-GB"/>
        </w:rPr>
        <w:t xml:space="preserve">Notes to the Financial Statements </w:t>
      </w:r>
    </w:p>
    <w:p w:rsidR="002F09F3" w:rsidRPr="00CA0F1B" w:rsidRDefault="002F09F3" w:rsidP="00D81BFB">
      <w:pPr>
        <w:autoSpaceDE w:val="0"/>
        <w:autoSpaceDN w:val="0"/>
        <w:adjustRightInd w:val="0"/>
        <w:rPr>
          <w:rFonts w:cs="Arial"/>
          <w:color w:val="000000"/>
          <w:lang w:val="en-GB" w:eastAsia="en-GB"/>
        </w:rPr>
      </w:pPr>
    </w:p>
    <w:p w:rsidR="002F09F3" w:rsidRDefault="002F09F3" w:rsidP="00532F43">
      <w:pPr>
        <w:autoSpaceDE w:val="0"/>
        <w:autoSpaceDN w:val="0"/>
        <w:adjustRightInd w:val="0"/>
        <w:rPr>
          <w:rFonts w:cs="Arial"/>
          <w:color w:val="000000"/>
          <w:lang w:val="en-GB" w:eastAsia="en-GB"/>
        </w:rPr>
      </w:pPr>
      <w:r w:rsidRPr="00CA0F1B">
        <w:rPr>
          <w:rFonts w:cs="Arial"/>
          <w:color w:val="000000"/>
          <w:lang w:val="en-GB" w:eastAsia="en-GB"/>
        </w:rPr>
        <w:t xml:space="preserve">In the Financial Management Report, statements I-V </w:t>
      </w:r>
      <w:proofErr w:type="gramStart"/>
      <w:r w:rsidRPr="00CA0F1B">
        <w:rPr>
          <w:rFonts w:cs="Arial"/>
          <w:color w:val="000000"/>
          <w:lang w:val="en-GB" w:eastAsia="en-GB"/>
        </w:rPr>
        <w:t>are</w:t>
      </w:r>
      <w:proofErr w:type="gramEnd"/>
      <w:r>
        <w:rPr>
          <w:rFonts w:cs="Arial"/>
          <w:color w:val="000000"/>
          <w:lang w:val="en-GB" w:eastAsia="en-GB"/>
        </w:rPr>
        <w:t xml:space="preserve"> presented for the 2012/13 biennium</w:t>
      </w:r>
      <w:r w:rsidRPr="00CA0F1B">
        <w:rPr>
          <w:rFonts w:cs="Arial"/>
          <w:color w:val="000000"/>
          <w:lang w:val="en-GB" w:eastAsia="en-GB"/>
        </w:rPr>
        <w:t>. Financial information is provided to give an understanding of the differences betwee</w:t>
      </w:r>
      <w:r>
        <w:rPr>
          <w:rFonts w:cs="Arial"/>
          <w:color w:val="000000"/>
          <w:lang w:val="en-GB" w:eastAsia="en-GB"/>
        </w:rPr>
        <w:t>n the result of UPOV</w:t>
      </w:r>
      <w:r w:rsidRPr="00CA0F1B">
        <w:rPr>
          <w:rFonts w:cs="Arial"/>
          <w:color w:val="000000"/>
          <w:lang w:val="en-GB" w:eastAsia="en-GB"/>
        </w:rPr>
        <w:t xml:space="preserve"> on a budgetary basis an</w:t>
      </w:r>
      <w:r>
        <w:rPr>
          <w:rFonts w:cs="Arial"/>
          <w:color w:val="000000"/>
          <w:lang w:val="en-GB" w:eastAsia="en-GB"/>
        </w:rPr>
        <w:t xml:space="preserve">d the result according to </w:t>
      </w:r>
      <w:r w:rsidRPr="00CA0F1B">
        <w:rPr>
          <w:rFonts w:cs="Arial"/>
          <w:color w:val="000000"/>
          <w:lang w:val="en-GB" w:eastAsia="en-GB"/>
        </w:rPr>
        <w:t>the IPSAS financial statements. Other extracts from the annual financia</w:t>
      </w:r>
      <w:r>
        <w:rPr>
          <w:rFonts w:cs="Arial"/>
          <w:color w:val="000000"/>
          <w:lang w:val="en-GB" w:eastAsia="en-GB"/>
        </w:rPr>
        <w:t>l statements provide further details of UPOV’s</w:t>
      </w:r>
      <w:r w:rsidRPr="00CA0F1B">
        <w:rPr>
          <w:rFonts w:cs="Arial"/>
          <w:color w:val="000000"/>
          <w:lang w:val="en-GB" w:eastAsia="en-GB"/>
        </w:rPr>
        <w:t xml:space="preserve"> assets and</w:t>
      </w:r>
      <w:r>
        <w:rPr>
          <w:rFonts w:cs="Arial"/>
          <w:color w:val="000000"/>
          <w:lang w:val="en-GB" w:eastAsia="en-GB"/>
        </w:rPr>
        <w:t xml:space="preserve"> liabilities</w:t>
      </w:r>
      <w:r w:rsidRPr="00CA0F1B">
        <w:rPr>
          <w:rFonts w:cs="Arial"/>
          <w:color w:val="000000"/>
          <w:lang w:val="en-GB" w:eastAsia="en-GB"/>
        </w:rPr>
        <w:t xml:space="preserve">. </w:t>
      </w:r>
    </w:p>
    <w:p w:rsidR="002F09F3" w:rsidRPr="00CA0F1B" w:rsidRDefault="002F09F3" w:rsidP="00532F43">
      <w:pPr>
        <w:autoSpaceDE w:val="0"/>
        <w:autoSpaceDN w:val="0"/>
        <w:adjustRightInd w:val="0"/>
        <w:rPr>
          <w:rFonts w:cs="Arial"/>
          <w:color w:val="000000"/>
          <w:lang w:val="en-GB" w:eastAsia="en-GB"/>
        </w:rPr>
      </w:pPr>
    </w:p>
    <w:p w:rsidR="002F09F3" w:rsidRDefault="002F09F3" w:rsidP="00532F43">
      <w:pPr>
        <w:spacing w:after="200" w:line="276" w:lineRule="auto"/>
        <w:rPr>
          <w:rFonts w:cs="Arial"/>
          <w:color w:val="000000"/>
          <w:lang w:val="en-GB" w:eastAsia="en-GB"/>
        </w:rPr>
      </w:pPr>
      <w:r>
        <w:rPr>
          <w:rFonts w:cs="Arial"/>
          <w:color w:val="000000"/>
          <w:lang w:val="en-GB" w:eastAsia="en-GB"/>
        </w:rPr>
        <w:t>As the 2012/13 biennium</w:t>
      </w:r>
      <w:r w:rsidRPr="00CA0F1B">
        <w:rPr>
          <w:rFonts w:cs="Arial"/>
          <w:color w:val="000000"/>
          <w:lang w:val="en-GB" w:eastAsia="en-GB"/>
        </w:rPr>
        <w:t xml:space="preserve"> is the first biennium for which financial information prepared on a full accrual basis in accordance with IPSAS is available, comparative i</w:t>
      </w:r>
      <w:r>
        <w:rPr>
          <w:rFonts w:cs="Arial"/>
          <w:color w:val="000000"/>
          <w:lang w:val="en-GB" w:eastAsia="en-GB"/>
        </w:rPr>
        <w:t xml:space="preserve">nformation for the 2010/11 biennium </w:t>
      </w:r>
      <w:r w:rsidRPr="00CA0F1B">
        <w:rPr>
          <w:rFonts w:cs="Arial"/>
          <w:color w:val="000000"/>
          <w:lang w:val="en-GB" w:eastAsia="en-GB"/>
        </w:rPr>
        <w:t>is not provided in the Statement of Financial Performance or the Cash Flow Statement. In the Statement of Financial Position and supporting notes, balances a</w:t>
      </w:r>
      <w:r>
        <w:rPr>
          <w:rFonts w:cs="Arial"/>
          <w:color w:val="000000"/>
          <w:lang w:val="en-GB" w:eastAsia="en-GB"/>
        </w:rPr>
        <w:t>re shown as at December 31, 2013, De</w:t>
      </w:r>
      <w:r w:rsidR="003F0534">
        <w:rPr>
          <w:rFonts w:cs="Arial"/>
          <w:color w:val="000000"/>
          <w:lang w:val="en-GB" w:eastAsia="en-GB"/>
        </w:rPr>
        <w:t>cember 31, 2012, and January 1, </w:t>
      </w:r>
      <w:r>
        <w:rPr>
          <w:rFonts w:cs="Arial"/>
          <w:color w:val="000000"/>
          <w:lang w:val="en-GB" w:eastAsia="en-GB"/>
        </w:rPr>
        <w:t>2012. Balances as at January 1, 2012 are the December 31, 2011</w:t>
      </w:r>
      <w:r w:rsidRPr="00CA0F1B">
        <w:rPr>
          <w:rFonts w:cs="Arial"/>
          <w:color w:val="000000"/>
          <w:lang w:val="en-GB" w:eastAsia="en-GB"/>
        </w:rPr>
        <w:t xml:space="preserve"> balances restated for the opening balance impacts of IPSAS implementation.</w:t>
      </w:r>
    </w:p>
    <w:p w:rsidR="002F09F3" w:rsidRPr="00CA0F1B" w:rsidRDefault="002F09F3" w:rsidP="00532F43">
      <w:pPr>
        <w:spacing w:after="200" w:line="276" w:lineRule="auto"/>
        <w:jc w:val="center"/>
        <w:rPr>
          <w:rFonts w:cs="Arial"/>
          <w:b/>
          <w:color w:val="000000"/>
          <w:lang w:val="en-GB" w:eastAsia="en-GB"/>
        </w:rPr>
      </w:pPr>
      <w:r>
        <w:rPr>
          <w:rFonts w:cs="Arial"/>
          <w:color w:val="000000"/>
          <w:lang w:val="en-GB" w:eastAsia="en-GB"/>
        </w:rPr>
        <w:br w:type="page"/>
      </w:r>
      <w:r w:rsidRPr="00CA0F1B">
        <w:rPr>
          <w:rFonts w:cs="Arial"/>
          <w:b/>
          <w:color w:val="000000"/>
          <w:lang w:val="en-GB" w:eastAsia="en-GB"/>
        </w:rPr>
        <w:lastRenderedPageBreak/>
        <w:t>STATEMENT I</w:t>
      </w:r>
    </w:p>
    <w:p w:rsidR="002F09F3" w:rsidRDefault="002F09F3" w:rsidP="009A0C8C">
      <w:pPr>
        <w:jc w:val="center"/>
        <w:rPr>
          <w:rStyle w:val="PageNumber"/>
          <w:b/>
        </w:rPr>
      </w:pPr>
      <w:r w:rsidRPr="009A0C8C">
        <w:rPr>
          <w:rStyle w:val="PageNumber"/>
          <w:b/>
        </w:rPr>
        <w:t>STATEMENT OF FINANCIAL POSITION</w:t>
      </w:r>
    </w:p>
    <w:p w:rsidR="009A0C8C" w:rsidRPr="00CE47DD" w:rsidRDefault="009A0C8C" w:rsidP="009A0C8C">
      <w:pPr>
        <w:pStyle w:val="Heading4"/>
        <w:rPr>
          <w:lang w:val="en-US"/>
        </w:rPr>
      </w:pPr>
      <w:bookmarkStart w:id="19" w:name="_Toc393377919"/>
      <w:r w:rsidRPr="00CE47DD">
        <w:rPr>
          <w:rStyle w:val="PageNumber"/>
          <w:rFonts w:ascii="Arial Bold" w:hAnsi="Arial Bold"/>
          <w:sz w:val="16"/>
          <w:lang w:val="en-US"/>
        </w:rPr>
        <w:t>Statement of Financial Position</w:t>
      </w:r>
      <w:bookmarkEnd w:id="19"/>
    </w:p>
    <w:p w:rsidR="002F09F3" w:rsidRDefault="002F09F3" w:rsidP="009A0C8C">
      <w:pPr>
        <w:jc w:val="center"/>
        <w:rPr>
          <w:rFonts w:cs="Arial"/>
          <w:b/>
          <w:color w:val="000000"/>
          <w:lang w:val="en-GB" w:eastAsia="en-GB"/>
        </w:rPr>
      </w:pPr>
      <w:proofErr w:type="gramStart"/>
      <w:r>
        <w:rPr>
          <w:rFonts w:cs="Arial"/>
          <w:b/>
          <w:color w:val="000000"/>
          <w:lang w:val="en-GB" w:eastAsia="en-GB"/>
        </w:rPr>
        <w:t>a</w:t>
      </w:r>
      <w:r w:rsidRPr="00CA0F1B">
        <w:rPr>
          <w:rFonts w:cs="Arial"/>
          <w:b/>
          <w:color w:val="000000"/>
          <w:lang w:val="en-GB" w:eastAsia="en-GB"/>
        </w:rPr>
        <w:t>s</w:t>
      </w:r>
      <w:proofErr w:type="gramEnd"/>
      <w:r w:rsidRPr="00CA0F1B">
        <w:rPr>
          <w:rFonts w:cs="Arial"/>
          <w:b/>
          <w:color w:val="000000"/>
          <w:lang w:val="en-GB" w:eastAsia="en-GB"/>
        </w:rPr>
        <w:t xml:space="preserve"> at December 31, 2013</w:t>
      </w:r>
    </w:p>
    <w:p w:rsidR="002F09F3" w:rsidRDefault="002F09F3" w:rsidP="009A0C8C">
      <w:pPr>
        <w:jc w:val="center"/>
        <w:rPr>
          <w:b/>
        </w:rPr>
      </w:pPr>
      <w:r>
        <w:rPr>
          <w:b/>
        </w:rPr>
        <w:t>(</w:t>
      </w:r>
      <w:proofErr w:type="gramStart"/>
      <w:r>
        <w:rPr>
          <w:b/>
        </w:rPr>
        <w:t>in</w:t>
      </w:r>
      <w:proofErr w:type="gramEnd"/>
      <w:r>
        <w:rPr>
          <w:b/>
        </w:rPr>
        <w:t xml:space="preserve"> Swiss francs)</w:t>
      </w:r>
      <w:r w:rsidRPr="00A5749D">
        <w:rPr>
          <w:b/>
        </w:rPr>
        <w:t xml:space="preserve"> </w:t>
      </w:r>
    </w:p>
    <w:p w:rsidR="002F09F3" w:rsidRDefault="002F09F3" w:rsidP="00532F43">
      <w:pPr>
        <w:spacing w:line="276" w:lineRule="auto"/>
        <w:jc w:val="center"/>
        <w:rPr>
          <w:b/>
        </w:rPr>
      </w:pPr>
    </w:p>
    <w:p w:rsidR="002F09F3" w:rsidRDefault="002D7DB5" w:rsidP="00532F43">
      <w:pPr>
        <w:spacing w:line="276" w:lineRule="auto"/>
        <w:jc w:val="center"/>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85pt;height:377.7pt">
            <v:imagedata r:id="rId26" o:title=""/>
          </v:shape>
        </w:pict>
      </w:r>
    </w:p>
    <w:p w:rsidR="002F09F3" w:rsidRPr="00A5749D" w:rsidRDefault="002F09F3" w:rsidP="00532F43">
      <w:pPr>
        <w:spacing w:line="276" w:lineRule="auto"/>
        <w:jc w:val="center"/>
        <w:rPr>
          <w:b/>
        </w:rPr>
      </w:pPr>
    </w:p>
    <w:p w:rsidR="002F09F3" w:rsidRPr="00CA0F1B" w:rsidRDefault="002F09F3" w:rsidP="00532F43">
      <w:pPr>
        <w:spacing w:after="200" w:line="276" w:lineRule="auto"/>
        <w:jc w:val="center"/>
        <w:rPr>
          <w:rFonts w:cs="Arial"/>
          <w:b/>
          <w:color w:val="000000"/>
          <w:lang w:val="en-GB" w:eastAsia="en-GB"/>
        </w:rPr>
      </w:pPr>
      <w:r>
        <w:br w:type="page"/>
      </w:r>
      <w:r w:rsidRPr="00CA0F1B">
        <w:rPr>
          <w:rFonts w:cs="Arial"/>
          <w:b/>
          <w:color w:val="000000"/>
          <w:lang w:val="en-GB" w:eastAsia="en-GB"/>
        </w:rPr>
        <w:lastRenderedPageBreak/>
        <w:t>STATEMENT I</w:t>
      </w:r>
      <w:r>
        <w:rPr>
          <w:rFonts w:cs="Arial"/>
          <w:b/>
          <w:color w:val="000000"/>
          <w:lang w:val="en-GB" w:eastAsia="en-GB"/>
        </w:rPr>
        <w:t>I</w:t>
      </w:r>
    </w:p>
    <w:p w:rsidR="002F09F3" w:rsidRDefault="002F09F3" w:rsidP="009A0C8C">
      <w:pPr>
        <w:spacing w:after="200"/>
        <w:jc w:val="center"/>
        <w:rPr>
          <w:rFonts w:cs="Arial"/>
          <w:b/>
          <w:color w:val="000000"/>
          <w:lang w:val="en-GB" w:eastAsia="en-GB"/>
        </w:rPr>
      </w:pPr>
      <w:r w:rsidRPr="00CA0F1B">
        <w:rPr>
          <w:rFonts w:cs="Arial"/>
          <w:b/>
          <w:color w:val="000000"/>
          <w:lang w:val="en-GB" w:eastAsia="en-GB"/>
        </w:rPr>
        <w:t>STATEMENT OF FINANCIAL P</w:t>
      </w:r>
      <w:r>
        <w:rPr>
          <w:rFonts w:cs="Arial"/>
          <w:b/>
          <w:color w:val="000000"/>
          <w:lang w:val="en-GB" w:eastAsia="en-GB"/>
        </w:rPr>
        <w:t>ERFORMANCE</w:t>
      </w:r>
    </w:p>
    <w:p w:rsidR="009A0C8C" w:rsidRPr="009A0C8C" w:rsidRDefault="009A0C8C" w:rsidP="009A0C8C">
      <w:pPr>
        <w:pStyle w:val="Heading4"/>
        <w:rPr>
          <w:lang w:val="en-US" w:eastAsia="en-GB"/>
        </w:rPr>
      </w:pPr>
      <w:bookmarkStart w:id="20" w:name="_Toc393377920"/>
      <w:r w:rsidRPr="009A0C8C">
        <w:rPr>
          <w:lang w:val="en-US" w:eastAsia="en-GB"/>
        </w:rPr>
        <w:t>Statement of Financial Performance</w:t>
      </w:r>
      <w:bookmarkEnd w:id="20"/>
    </w:p>
    <w:p w:rsidR="002F09F3" w:rsidRDefault="002F09F3" w:rsidP="009A0C8C">
      <w:pPr>
        <w:jc w:val="center"/>
        <w:rPr>
          <w:rFonts w:cs="Arial"/>
          <w:b/>
          <w:color w:val="000000"/>
          <w:lang w:val="en-GB" w:eastAsia="en-GB"/>
        </w:rPr>
      </w:pPr>
      <w:proofErr w:type="gramStart"/>
      <w:r>
        <w:rPr>
          <w:rFonts w:cs="Arial"/>
          <w:b/>
          <w:color w:val="000000"/>
          <w:lang w:val="en-GB" w:eastAsia="en-GB"/>
        </w:rPr>
        <w:t>for</w:t>
      </w:r>
      <w:proofErr w:type="gramEnd"/>
      <w:r>
        <w:rPr>
          <w:rFonts w:cs="Arial"/>
          <w:b/>
          <w:color w:val="000000"/>
          <w:lang w:val="en-GB" w:eastAsia="en-GB"/>
        </w:rPr>
        <w:t xml:space="preserve"> the biennium ended</w:t>
      </w:r>
      <w:r w:rsidRPr="00CA0F1B">
        <w:rPr>
          <w:rFonts w:cs="Arial"/>
          <w:b/>
          <w:color w:val="000000"/>
          <w:lang w:val="en-GB" w:eastAsia="en-GB"/>
        </w:rPr>
        <w:t xml:space="preserve"> December 31, 2013</w:t>
      </w:r>
    </w:p>
    <w:p w:rsidR="002F09F3" w:rsidRDefault="002F09F3" w:rsidP="009A0C8C">
      <w:pPr>
        <w:jc w:val="center"/>
        <w:rPr>
          <w:b/>
        </w:rPr>
      </w:pPr>
      <w:r w:rsidRPr="00CA0F1B">
        <w:rPr>
          <w:b/>
        </w:rPr>
        <w:t>(</w:t>
      </w:r>
      <w:proofErr w:type="gramStart"/>
      <w:r w:rsidRPr="00CA0F1B">
        <w:rPr>
          <w:b/>
        </w:rPr>
        <w:t>in</w:t>
      </w:r>
      <w:proofErr w:type="gramEnd"/>
      <w:r w:rsidRPr="00CA0F1B">
        <w:rPr>
          <w:b/>
        </w:rPr>
        <w:t xml:space="preserve"> Swiss francs)</w:t>
      </w:r>
      <w:r w:rsidRPr="00A5749D">
        <w:rPr>
          <w:b/>
        </w:rPr>
        <w:t xml:space="preserve"> </w:t>
      </w:r>
    </w:p>
    <w:p w:rsidR="002F09F3" w:rsidRDefault="002F09F3" w:rsidP="009A0C8C">
      <w:pPr>
        <w:jc w:val="center"/>
        <w:rPr>
          <w:b/>
        </w:rPr>
      </w:pPr>
    </w:p>
    <w:p w:rsidR="002F09F3" w:rsidRDefault="002D7DB5" w:rsidP="00532F43">
      <w:pPr>
        <w:spacing w:line="276" w:lineRule="auto"/>
        <w:jc w:val="center"/>
        <w:rPr>
          <w:b/>
        </w:rPr>
      </w:pPr>
      <w:r>
        <w:pict>
          <v:shape id="_x0000_i1026" type="#_x0000_t75" style="width:453.85pt;height:279.15pt">
            <v:imagedata r:id="rId27" o:title=""/>
          </v:shape>
        </w:pict>
      </w:r>
    </w:p>
    <w:p w:rsidR="002F09F3" w:rsidRPr="00A5749D" w:rsidRDefault="002F09F3" w:rsidP="00532F43">
      <w:pPr>
        <w:spacing w:line="276" w:lineRule="auto"/>
        <w:jc w:val="center"/>
        <w:rPr>
          <w:b/>
        </w:rPr>
      </w:pPr>
    </w:p>
    <w:p w:rsidR="002F09F3" w:rsidRPr="00CA0F1B" w:rsidRDefault="002F09F3" w:rsidP="009A0C8C">
      <w:pPr>
        <w:spacing w:after="200"/>
        <w:jc w:val="center"/>
        <w:rPr>
          <w:rFonts w:cs="Arial"/>
          <w:b/>
          <w:color w:val="000000"/>
          <w:lang w:val="en-GB" w:eastAsia="en-GB"/>
        </w:rPr>
      </w:pPr>
      <w:r>
        <w:br w:type="page"/>
      </w:r>
      <w:r w:rsidRPr="00CA0F1B">
        <w:rPr>
          <w:rFonts w:cs="Arial"/>
          <w:b/>
          <w:color w:val="000000"/>
          <w:lang w:val="en-GB" w:eastAsia="en-GB"/>
        </w:rPr>
        <w:lastRenderedPageBreak/>
        <w:t>STATEMENT I</w:t>
      </w:r>
      <w:r>
        <w:rPr>
          <w:rFonts w:cs="Arial"/>
          <w:b/>
          <w:color w:val="000000"/>
          <w:lang w:val="en-GB" w:eastAsia="en-GB"/>
        </w:rPr>
        <w:t>II</w:t>
      </w:r>
    </w:p>
    <w:p w:rsidR="002F09F3" w:rsidRDefault="002F09F3" w:rsidP="009A0C8C">
      <w:pPr>
        <w:spacing w:after="200"/>
        <w:jc w:val="center"/>
        <w:rPr>
          <w:rFonts w:cs="Arial"/>
          <w:b/>
          <w:color w:val="000000"/>
          <w:lang w:val="en-GB" w:eastAsia="en-GB"/>
        </w:rPr>
      </w:pPr>
      <w:r w:rsidRPr="00CA0F1B">
        <w:rPr>
          <w:rFonts w:cs="Arial"/>
          <w:b/>
          <w:color w:val="000000"/>
          <w:lang w:val="en-GB" w:eastAsia="en-GB"/>
        </w:rPr>
        <w:t xml:space="preserve">STATEMENT OF </w:t>
      </w:r>
      <w:r>
        <w:rPr>
          <w:rFonts w:cs="Arial"/>
          <w:b/>
          <w:color w:val="000000"/>
          <w:lang w:val="en-GB" w:eastAsia="en-GB"/>
        </w:rPr>
        <w:t>CHANGES IN NET ASSETS</w:t>
      </w:r>
    </w:p>
    <w:p w:rsidR="009A0C8C" w:rsidRPr="00CE47DD" w:rsidRDefault="009A0C8C" w:rsidP="009A0C8C">
      <w:pPr>
        <w:pStyle w:val="Heading4"/>
        <w:rPr>
          <w:lang w:val="en-US" w:eastAsia="en-GB"/>
        </w:rPr>
      </w:pPr>
      <w:bookmarkStart w:id="21" w:name="_Toc393377921"/>
      <w:r w:rsidRPr="00CE47DD">
        <w:rPr>
          <w:lang w:val="en-US" w:eastAsia="en-GB"/>
        </w:rPr>
        <w:t>Statement of Changes in Net Assets</w:t>
      </w:r>
      <w:bookmarkEnd w:id="21"/>
    </w:p>
    <w:p w:rsidR="002F09F3" w:rsidRDefault="002F09F3" w:rsidP="009A0C8C">
      <w:pPr>
        <w:jc w:val="center"/>
        <w:rPr>
          <w:rFonts w:cs="Arial"/>
          <w:b/>
          <w:color w:val="000000"/>
          <w:lang w:val="en-GB" w:eastAsia="en-GB"/>
        </w:rPr>
      </w:pPr>
      <w:proofErr w:type="gramStart"/>
      <w:r>
        <w:rPr>
          <w:rFonts w:cs="Arial"/>
          <w:b/>
          <w:color w:val="000000"/>
          <w:lang w:val="en-GB" w:eastAsia="en-GB"/>
        </w:rPr>
        <w:t>for</w:t>
      </w:r>
      <w:proofErr w:type="gramEnd"/>
      <w:r>
        <w:rPr>
          <w:rFonts w:cs="Arial"/>
          <w:b/>
          <w:color w:val="000000"/>
          <w:lang w:val="en-GB" w:eastAsia="en-GB"/>
        </w:rPr>
        <w:t xml:space="preserve"> the biennium ended</w:t>
      </w:r>
      <w:r w:rsidRPr="00CA0F1B">
        <w:rPr>
          <w:rFonts w:cs="Arial"/>
          <w:b/>
          <w:color w:val="000000"/>
          <w:lang w:val="en-GB" w:eastAsia="en-GB"/>
        </w:rPr>
        <w:t xml:space="preserve"> December 31, 2013</w:t>
      </w:r>
    </w:p>
    <w:p w:rsidR="002F09F3" w:rsidRDefault="002F09F3" w:rsidP="009A0C8C">
      <w:pPr>
        <w:jc w:val="center"/>
        <w:rPr>
          <w:b/>
        </w:rPr>
      </w:pPr>
      <w:r w:rsidRPr="00CA0F1B">
        <w:rPr>
          <w:b/>
        </w:rPr>
        <w:t>(</w:t>
      </w:r>
      <w:proofErr w:type="gramStart"/>
      <w:r w:rsidRPr="00CA0F1B">
        <w:rPr>
          <w:b/>
        </w:rPr>
        <w:t>in</w:t>
      </w:r>
      <w:proofErr w:type="gramEnd"/>
      <w:r w:rsidRPr="00CA0F1B">
        <w:rPr>
          <w:b/>
        </w:rPr>
        <w:t xml:space="preserve"> Swiss francs)</w:t>
      </w:r>
      <w:r w:rsidRPr="00F84F24">
        <w:rPr>
          <w:b/>
        </w:rPr>
        <w:t xml:space="preserve"> </w:t>
      </w:r>
    </w:p>
    <w:p w:rsidR="002F09F3" w:rsidRDefault="002F09F3" w:rsidP="009A0C8C">
      <w:pPr>
        <w:jc w:val="center"/>
        <w:rPr>
          <w:b/>
        </w:rPr>
      </w:pPr>
    </w:p>
    <w:p w:rsidR="002F09F3" w:rsidRDefault="002D7DB5" w:rsidP="00532F43">
      <w:pPr>
        <w:spacing w:line="276" w:lineRule="auto"/>
        <w:jc w:val="center"/>
        <w:rPr>
          <w:b/>
        </w:rPr>
      </w:pPr>
      <w:r>
        <w:pict>
          <v:shape id="_x0000_i1027" type="#_x0000_t75" style="width:453.25pt;height:285.05pt">
            <v:imagedata r:id="rId28" o:title=""/>
          </v:shape>
        </w:pict>
      </w:r>
    </w:p>
    <w:p w:rsidR="002F09F3" w:rsidRPr="00A5749D" w:rsidRDefault="002F09F3" w:rsidP="00532F43">
      <w:pPr>
        <w:spacing w:line="276" w:lineRule="auto"/>
        <w:jc w:val="center"/>
        <w:rPr>
          <w:b/>
        </w:rPr>
      </w:pPr>
    </w:p>
    <w:p w:rsidR="002F09F3" w:rsidRDefault="002F09F3" w:rsidP="00532F43">
      <w:pPr>
        <w:spacing w:line="276" w:lineRule="auto"/>
        <w:jc w:val="center"/>
      </w:pPr>
    </w:p>
    <w:p w:rsidR="002F09F3" w:rsidRPr="00CA0F1B" w:rsidRDefault="002F09F3" w:rsidP="00532F43">
      <w:pPr>
        <w:spacing w:after="200" w:line="276" w:lineRule="auto"/>
        <w:jc w:val="center"/>
        <w:rPr>
          <w:rFonts w:cs="Arial"/>
          <w:b/>
          <w:color w:val="000000"/>
          <w:lang w:val="en-GB" w:eastAsia="en-GB"/>
        </w:rPr>
      </w:pPr>
      <w:r>
        <w:br w:type="page"/>
      </w:r>
      <w:r w:rsidRPr="00CA0F1B">
        <w:rPr>
          <w:rFonts w:cs="Arial"/>
          <w:b/>
          <w:color w:val="000000"/>
          <w:lang w:val="en-GB" w:eastAsia="en-GB"/>
        </w:rPr>
        <w:lastRenderedPageBreak/>
        <w:t>STATEMENT I</w:t>
      </w:r>
      <w:r>
        <w:rPr>
          <w:rFonts w:cs="Arial"/>
          <w:b/>
          <w:color w:val="000000"/>
          <w:lang w:val="en-GB" w:eastAsia="en-GB"/>
        </w:rPr>
        <w:t>V</w:t>
      </w:r>
    </w:p>
    <w:p w:rsidR="002F09F3" w:rsidRDefault="002F09F3" w:rsidP="00532F43">
      <w:pPr>
        <w:spacing w:after="200" w:line="276" w:lineRule="auto"/>
        <w:jc w:val="center"/>
        <w:rPr>
          <w:rFonts w:cs="Arial"/>
          <w:b/>
          <w:color w:val="000000"/>
          <w:lang w:val="en-GB" w:eastAsia="en-GB"/>
        </w:rPr>
      </w:pPr>
      <w:r w:rsidRPr="00CA0F1B">
        <w:rPr>
          <w:rFonts w:cs="Arial"/>
          <w:b/>
          <w:color w:val="000000"/>
          <w:lang w:val="en-GB" w:eastAsia="en-GB"/>
        </w:rPr>
        <w:t xml:space="preserve">STATEMENT OF </w:t>
      </w:r>
      <w:r>
        <w:rPr>
          <w:rFonts w:cs="Arial"/>
          <w:b/>
          <w:color w:val="000000"/>
          <w:lang w:val="en-GB" w:eastAsia="en-GB"/>
        </w:rPr>
        <w:t>CASH FLOW</w:t>
      </w:r>
    </w:p>
    <w:p w:rsidR="009A0C8C" w:rsidRPr="006E514C" w:rsidRDefault="009A0C8C" w:rsidP="009A0C8C">
      <w:pPr>
        <w:pStyle w:val="Heading4"/>
        <w:rPr>
          <w:lang w:val="en-US" w:eastAsia="en-GB"/>
        </w:rPr>
      </w:pPr>
      <w:bookmarkStart w:id="22" w:name="_Toc393377922"/>
      <w:r w:rsidRPr="006E514C">
        <w:rPr>
          <w:lang w:val="en-US" w:eastAsia="en-GB"/>
        </w:rPr>
        <w:t>Statement of Cash Flow</w:t>
      </w:r>
      <w:bookmarkEnd w:id="22"/>
    </w:p>
    <w:p w:rsidR="002F09F3" w:rsidRDefault="002F09F3" w:rsidP="00532F43">
      <w:pPr>
        <w:spacing w:line="276" w:lineRule="auto"/>
        <w:jc w:val="center"/>
        <w:rPr>
          <w:rFonts w:cs="Arial"/>
          <w:b/>
          <w:color w:val="000000"/>
          <w:lang w:val="en-GB" w:eastAsia="en-GB"/>
        </w:rPr>
      </w:pPr>
      <w:proofErr w:type="gramStart"/>
      <w:r>
        <w:rPr>
          <w:rFonts w:cs="Arial"/>
          <w:b/>
          <w:color w:val="000000"/>
          <w:lang w:val="en-GB" w:eastAsia="en-GB"/>
        </w:rPr>
        <w:t>for</w:t>
      </w:r>
      <w:proofErr w:type="gramEnd"/>
      <w:r>
        <w:rPr>
          <w:rFonts w:cs="Arial"/>
          <w:b/>
          <w:color w:val="000000"/>
          <w:lang w:val="en-GB" w:eastAsia="en-GB"/>
        </w:rPr>
        <w:t xml:space="preserve"> the biennium ended</w:t>
      </w:r>
      <w:r w:rsidRPr="00CA0F1B">
        <w:rPr>
          <w:rFonts w:cs="Arial"/>
          <w:b/>
          <w:color w:val="000000"/>
          <w:lang w:val="en-GB" w:eastAsia="en-GB"/>
        </w:rPr>
        <w:t xml:space="preserve"> December 31, 2013</w:t>
      </w:r>
    </w:p>
    <w:p w:rsidR="002F09F3" w:rsidRDefault="002F09F3" w:rsidP="00532F43">
      <w:pPr>
        <w:spacing w:line="276" w:lineRule="auto"/>
        <w:jc w:val="center"/>
        <w:rPr>
          <w:b/>
        </w:rPr>
      </w:pPr>
      <w:r w:rsidRPr="00CA0F1B">
        <w:rPr>
          <w:b/>
        </w:rPr>
        <w:t>(</w:t>
      </w:r>
      <w:proofErr w:type="gramStart"/>
      <w:r w:rsidRPr="00CA0F1B">
        <w:rPr>
          <w:b/>
        </w:rPr>
        <w:t>in</w:t>
      </w:r>
      <w:proofErr w:type="gramEnd"/>
      <w:r w:rsidRPr="00CA0F1B">
        <w:rPr>
          <w:b/>
        </w:rPr>
        <w:t xml:space="preserve"> Swiss francs)</w:t>
      </w:r>
      <w:r w:rsidRPr="00F84F24">
        <w:rPr>
          <w:b/>
        </w:rPr>
        <w:t xml:space="preserve"> </w:t>
      </w:r>
    </w:p>
    <w:p w:rsidR="002F09F3" w:rsidRDefault="002F09F3" w:rsidP="00532F43">
      <w:pPr>
        <w:spacing w:line="276" w:lineRule="auto"/>
        <w:jc w:val="center"/>
        <w:rPr>
          <w:b/>
        </w:rPr>
      </w:pPr>
    </w:p>
    <w:p w:rsidR="002F09F3" w:rsidRDefault="002D7DB5" w:rsidP="00532F43">
      <w:pPr>
        <w:spacing w:line="276" w:lineRule="auto"/>
        <w:jc w:val="center"/>
        <w:rPr>
          <w:b/>
        </w:rPr>
      </w:pPr>
      <w:r>
        <w:pict>
          <v:shape id="_x0000_i1028" type="#_x0000_t75" style="width:453.85pt;height:322.25pt">
            <v:imagedata r:id="rId29" o:title=""/>
          </v:shape>
        </w:pict>
      </w:r>
    </w:p>
    <w:p w:rsidR="002F09F3" w:rsidRDefault="002F09F3" w:rsidP="00532F43">
      <w:pPr>
        <w:spacing w:line="276" w:lineRule="auto"/>
        <w:jc w:val="center"/>
      </w:pPr>
    </w:p>
    <w:p w:rsidR="002F09F3" w:rsidRDefault="002F09F3" w:rsidP="00532F43">
      <w:pPr>
        <w:spacing w:line="276" w:lineRule="auto"/>
        <w:jc w:val="center"/>
      </w:pPr>
    </w:p>
    <w:p w:rsidR="002F09F3" w:rsidRPr="00CA0F1B" w:rsidRDefault="002F09F3" w:rsidP="00532F43">
      <w:pPr>
        <w:spacing w:after="200" w:line="276" w:lineRule="auto"/>
        <w:jc w:val="center"/>
        <w:rPr>
          <w:rFonts w:cs="Arial"/>
          <w:b/>
          <w:color w:val="000000"/>
          <w:lang w:val="en-GB" w:eastAsia="en-GB"/>
        </w:rPr>
      </w:pPr>
      <w:r>
        <w:br w:type="page"/>
      </w:r>
      <w:r w:rsidRPr="00CA0F1B">
        <w:rPr>
          <w:rFonts w:cs="Arial"/>
          <w:b/>
          <w:color w:val="000000"/>
          <w:lang w:val="en-GB" w:eastAsia="en-GB"/>
        </w:rPr>
        <w:lastRenderedPageBreak/>
        <w:t xml:space="preserve">STATEMENT </w:t>
      </w:r>
      <w:r>
        <w:rPr>
          <w:rFonts w:cs="Arial"/>
          <w:b/>
          <w:color w:val="000000"/>
          <w:lang w:val="en-GB" w:eastAsia="en-GB"/>
        </w:rPr>
        <w:t>V</w:t>
      </w:r>
    </w:p>
    <w:p w:rsidR="002F09F3" w:rsidRDefault="002F09F3" w:rsidP="009A0C8C">
      <w:pPr>
        <w:spacing w:after="200"/>
        <w:jc w:val="center"/>
        <w:rPr>
          <w:rFonts w:cs="Arial"/>
          <w:b/>
          <w:color w:val="000000"/>
          <w:lang w:val="en-GB" w:eastAsia="en-GB"/>
        </w:rPr>
      </w:pPr>
      <w:r w:rsidRPr="00CA0F1B">
        <w:rPr>
          <w:rFonts w:cs="Arial"/>
          <w:b/>
          <w:color w:val="000000"/>
          <w:lang w:val="en-GB" w:eastAsia="en-GB"/>
        </w:rPr>
        <w:t xml:space="preserve">STATEMENT OF </w:t>
      </w:r>
      <w:r>
        <w:rPr>
          <w:rFonts w:cs="Arial"/>
          <w:b/>
          <w:color w:val="000000"/>
          <w:lang w:val="en-GB" w:eastAsia="en-GB"/>
        </w:rPr>
        <w:t>COMPARISON OF BUDGET AND ACTUAL AMOUNTS</w:t>
      </w:r>
    </w:p>
    <w:p w:rsidR="009A0C8C" w:rsidRPr="00CE47DD" w:rsidRDefault="009A0C8C" w:rsidP="009A0C8C">
      <w:pPr>
        <w:pStyle w:val="Heading4"/>
        <w:rPr>
          <w:lang w:val="en-US" w:eastAsia="en-GB"/>
        </w:rPr>
      </w:pPr>
      <w:bookmarkStart w:id="23" w:name="_Toc393377923"/>
      <w:r w:rsidRPr="00CE47DD">
        <w:rPr>
          <w:lang w:val="en-US" w:eastAsia="en-GB"/>
        </w:rPr>
        <w:t>Statement of Comparison of Budget and Actual Amounts</w:t>
      </w:r>
      <w:bookmarkEnd w:id="23"/>
    </w:p>
    <w:p w:rsidR="002F09F3" w:rsidRDefault="002F09F3" w:rsidP="009A0C8C">
      <w:pPr>
        <w:jc w:val="center"/>
        <w:rPr>
          <w:rFonts w:cs="Arial"/>
          <w:b/>
          <w:color w:val="000000"/>
          <w:lang w:val="en-GB" w:eastAsia="en-GB"/>
        </w:rPr>
      </w:pPr>
      <w:proofErr w:type="gramStart"/>
      <w:r>
        <w:rPr>
          <w:rFonts w:cs="Arial"/>
          <w:b/>
          <w:color w:val="000000"/>
          <w:lang w:val="en-GB" w:eastAsia="en-GB"/>
        </w:rPr>
        <w:t>for</w:t>
      </w:r>
      <w:proofErr w:type="gramEnd"/>
      <w:r>
        <w:rPr>
          <w:rFonts w:cs="Arial"/>
          <w:b/>
          <w:color w:val="000000"/>
          <w:lang w:val="en-GB" w:eastAsia="en-GB"/>
        </w:rPr>
        <w:t xml:space="preserve"> the biennium ended</w:t>
      </w:r>
      <w:r w:rsidRPr="00CA0F1B">
        <w:rPr>
          <w:rFonts w:cs="Arial"/>
          <w:b/>
          <w:color w:val="000000"/>
          <w:lang w:val="en-GB" w:eastAsia="en-GB"/>
        </w:rPr>
        <w:t xml:space="preserve"> December 31, 2013</w:t>
      </w:r>
    </w:p>
    <w:p w:rsidR="002F09F3" w:rsidRDefault="002F09F3" w:rsidP="00532F43">
      <w:pPr>
        <w:spacing w:line="276" w:lineRule="auto"/>
        <w:jc w:val="center"/>
        <w:rPr>
          <w:b/>
        </w:rPr>
      </w:pPr>
      <w:r w:rsidRPr="00CA0F1B">
        <w:rPr>
          <w:b/>
        </w:rPr>
        <w:t>(</w:t>
      </w:r>
      <w:proofErr w:type="gramStart"/>
      <w:r w:rsidRPr="00CA0F1B">
        <w:rPr>
          <w:b/>
        </w:rPr>
        <w:t>in</w:t>
      </w:r>
      <w:proofErr w:type="gramEnd"/>
      <w:r>
        <w:rPr>
          <w:b/>
        </w:rPr>
        <w:t xml:space="preserve"> thousands of</w:t>
      </w:r>
      <w:r w:rsidRPr="00CA0F1B">
        <w:rPr>
          <w:b/>
        </w:rPr>
        <w:t xml:space="preserve"> Swiss francs)</w:t>
      </w:r>
    </w:p>
    <w:p w:rsidR="002F09F3" w:rsidRDefault="002F09F3" w:rsidP="00532F43">
      <w:pPr>
        <w:spacing w:line="276" w:lineRule="auto"/>
        <w:jc w:val="center"/>
      </w:pPr>
    </w:p>
    <w:p w:rsidR="002F09F3" w:rsidRDefault="002D7DB5" w:rsidP="00532F43">
      <w:pPr>
        <w:spacing w:line="276" w:lineRule="auto"/>
        <w:jc w:val="center"/>
      </w:pPr>
      <w:r>
        <w:pict>
          <v:shape id="_x0000_i1029" type="#_x0000_t75" style="width:432.6pt;height:399.55pt">
            <v:imagedata r:id="rId30" o:title=""/>
          </v:shape>
        </w:pict>
      </w:r>
    </w:p>
    <w:p w:rsidR="002F09F3" w:rsidRPr="002A361D" w:rsidRDefault="002F09F3" w:rsidP="00532F43"/>
    <w:p w:rsidR="002F09F3" w:rsidRPr="0073645E" w:rsidRDefault="002F09F3" w:rsidP="00D81BFB">
      <w:pPr>
        <w:numPr>
          <w:ilvl w:val="0"/>
          <w:numId w:val="23"/>
        </w:numPr>
        <w:rPr>
          <w:sz w:val="18"/>
          <w:szCs w:val="18"/>
        </w:rPr>
      </w:pPr>
      <w:r>
        <w:rPr>
          <w:sz w:val="18"/>
          <w:szCs w:val="18"/>
        </w:rPr>
        <w:t>– represents the</w:t>
      </w:r>
      <w:r w:rsidRPr="0073645E">
        <w:rPr>
          <w:sz w:val="18"/>
          <w:szCs w:val="18"/>
        </w:rPr>
        <w:t xml:space="preserve"> approved 2012-2013 biennial budget;</w:t>
      </w:r>
    </w:p>
    <w:p w:rsidR="002F09F3" w:rsidRDefault="002F09F3" w:rsidP="00D81BFB">
      <w:pPr>
        <w:numPr>
          <w:ilvl w:val="0"/>
          <w:numId w:val="23"/>
        </w:numPr>
        <w:rPr>
          <w:sz w:val="18"/>
          <w:szCs w:val="18"/>
        </w:rPr>
      </w:pPr>
      <w:r w:rsidRPr="0073645E">
        <w:rPr>
          <w:sz w:val="18"/>
          <w:szCs w:val="18"/>
        </w:rPr>
        <w:t>– represents the difference between the final (revised) budget and actual expense on a comparable basis</w:t>
      </w:r>
      <w:r>
        <w:rPr>
          <w:sz w:val="18"/>
          <w:szCs w:val="18"/>
        </w:rPr>
        <w:t xml:space="preserve"> (before IPSAS adjustments).</w:t>
      </w:r>
    </w:p>
    <w:p w:rsidR="002F09F3" w:rsidRPr="009A0C8C" w:rsidRDefault="002F09F3" w:rsidP="00D81BFB">
      <w:pPr>
        <w:rPr>
          <w:rFonts w:ascii="Arial Bold" w:hAnsi="Arial Bold"/>
          <w:b/>
          <w:sz w:val="18"/>
          <w:szCs w:val="18"/>
        </w:rPr>
      </w:pPr>
      <w:r>
        <w:rPr>
          <w:sz w:val="18"/>
          <w:szCs w:val="18"/>
        </w:rPr>
        <w:br w:type="page"/>
      </w:r>
      <w:r w:rsidR="009A0C8C" w:rsidRPr="009A0C8C">
        <w:rPr>
          <w:rFonts w:ascii="Arial Bold" w:hAnsi="Arial Bold"/>
          <w:b/>
          <w:sz w:val="18"/>
          <w:szCs w:val="18"/>
        </w:rPr>
        <w:lastRenderedPageBreak/>
        <w:t>A</w:t>
      </w:r>
      <w:r w:rsidRPr="009A0C8C">
        <w:rPr>
          <w:rFonts w:ascii="Arial Bold" w:hAnsi="Arial Bold"/>
          <w:b/>
          <w:sz w:val="18"/>
          <w:szCs w:val="18"/>
        </w:rPr>
        <w:t>NALYSIS OF THE STATEMENT OF FINANCIAL POSITION</w:t>
      </w:r>
    </w:p>
    <w:p w:rsidR="002F09F3" w:rsidRPr="00CE47DD" w:rsidRDefault="009A0C8C" w:rsidP="009A0C8C">
      <w:pPr>
        <w:pStyle w:val="Heading4"/>
        <w:rPr>
          <w:lang w:val="en-US"/>
        </w:rPr>
      </w:pPr>
      <w:bookmarkStart w:id="24" w:name="_Toc393377924"/>
      <w:r w:rsidRPr="00CE47DD">
        <w:rPr>
          <w:lang w:val="en-US"/>
        </w:rPr>
        <w:t>Analysis of the Statement of Financial Position</w:t>
      </w:r>
      <w:bookmarkEnd w:id="24"/>
    </w:p>
    <w:p w:rsidR="002F09F3" w:rsidRPr="00C825FC" w:rsidRDefault="002F09F3" w:rsidP="00D81BFB">
      <w:pPr>
        <w:autoSpaceDE w:val="0"/>
        <w:autoSpaceDN w:val="0"/>
        <w:adjustRightInd w:val="0"/>
        <w:rPr>
          <w:rFonts w:cs="Arial"/>
          <w:color w:val="000000"/>
          <w:lang w:val="en-GB" w:eastAsia="en-GB"/>
        </w:rPr>
      </w:pPr>
      <w:r w:rsidRPr="00C825FC">
        <w:rPr>
          <w:rFonts w:cs="Arial"/>
          <w:b/>
          <w:bCs/>
          <w:color w:val="000000"/>
          <w:lang w:val="en-GB" w:eastAsia="en-GB"/>
        </w:rPr>
        <w:t>Movement in Net Assets</w:t>
      </w:r>
    </w:p>
    <w:p w:rsidR="002F09F3" w:rsidRDefault="002F09F3" w:rsidP="00D81BFB">
      <w:pPr>
        <w:rPr>
          <w:rFonts w:cs="Arial"/>
          <w:color w:val="000000"/>
          <w:lang w:val="en-GB" w:eastAsia="en-GB"/>
        </w:rPr>
      </w:pPr>
    </w:p>
    <w:p w:rsidR="002F09F3" w:rsidRDefault="002F09F3" w:rsidP="00532F43">
      <w:pPr>
        <w:rPr>
          <w:rFonts w:cs="Arial"/>
          <w:color w:val="000000"/>
          <w:sz w:val="22"/>
          <w:szCs w:val="22"/>
          <w:lang w:val="en-GB" w:eastAsia="en-GB"/>
        </w:rPr>
      </w:pPr>
      <w:r>
        <w:rPr>
          <w:rFonts w:cs="Arial"/>
          <w:color w:val="000000"/>
          <w:lang w:val="en-GB" w:eastAsia="en-GB"/>
        </w:rPr>
        <w:t>As at December 31, 2013, UPOV has net assets on an IPSAS basis of 1,744,294 Swiss francs.  Prior to the adoption of IPSAS, UPOV had net assets of 1,995,900</w:t>
      </w:r>
      <w:r w:rsidRPr="00C825FC">
        <w:rPr>
          <w:rFonts w:cs="Arial"/>
          <w:color w:val="000000"/>
          <w:lang w:val="en-GB" w:eastAsia="en-GB"/>
        </w:rPr>
        <w:t xml:space="preserve"> Swiss francs as at December 31, 20</w:t>
      </w:r>
      <w:r>
        <w:rPr>
          <w:rFonts w:cs="Arial"/>
          <w:color w:val="000000"/>
          <w:lang w:val="en-GB" w:eastAsia="en-GB"/>
        </w:rPr>
        <w:t>11</w:t>
      </w:r>
      <w:r w:rsidRPr="00C825FC">
        <w:rPr>
          <w:rFonts w:cs="Arial"/>
          <w:color w:val="000000"/>
          <w:sz w:val="22"/>
          <w:szCs w:val="22"/>
          <w:lang w:val="en-GB" w:eastAsia="en-GB"/>
        </w:rPr>
        <w:t>.</w:t>
      </w:r>
      <w:r>
        <w:rPr>
          <w:rFonts w:cs="Arial"/>
          <w:color w:val="000000"/>
          <w:sz w:val="22"/>
          <w:szCs w:val="22"/>
          <w:lang w:val="en-GB" w:eastAsia="en-GB"/>
        </w:rPr>
        <w:t xml:space="preserve"> </w:t>
      </w:r>
    </w:p>
    <w:p w:rsidR="002F09F3" w:rsidRDefault="002F09F3" w:rsidP="00532F43">
      <w:pPr>
        <w:rPr>
          <w:rFonts w:cs="Arial"/>
          <w:color w:val="000000"/>
          <w:sz w:val="22"/>
          <w:szCs w:val="22"/>
          <w:lang w:val="en-GB" w:eastAsia="en-GB"/>
        </w:rPr>
      </w:pPr>
    </w:p>
    <w:p w:rsidR="002F09F3" w:rsidRDefault="002F09F3" w:rsidP="00532F43">
      <w:pPr>
        <w:rPr>
          <w:szCs w:val="22"/>
        </w:rPr>
      </w:pPr>
      <w:r w:rsidRPr="0073645E">
        <w:rPr>
          <w:szCs w:val="22"/>
        </w:rPr>
        <w:t>The</w:t>
      </w:r>
      <w:r>
        <w:rPr>
          <w:szCs w:val="22"/>
        </w:rPr>
        <w:t xml:space="preserve"> IPSAS opening balance</w:t>
      </w:r>
      <w:r w:rsidRPr="0073645E">
        <w:rPr>
          <w:szCs w:val="22"/>
        </w:rPr>
        <w:t xml:space="preserve"> adjustments made to generate the January 1, 2012</w:t>
      </w:r>
      <w:r>
        <w:rPr>
          <w:szCs w:val="22"/>
        </w:rPr>
        <w:t>,</w:t>
      </w:r>
      <w:r w:rsidRPr="0073645E">
        <w:rPr>
          <w:szCs w:val="22"/>
        </w:rPr>
        <w:t xml:space="preserve"> opening Statement of Financial Pos</w:t>
      </w:r>
      <w:r>
        <w:rPr>
          <w:szCs w:val="22"/>
        </w:rPr>
        <w:t xml:space="preserve">ition resulted in a reduction of 759,147 Swiss francs </w:t>
      </w:r>
      <w:r w:rsidRPr="0073645E">
        <w:rPr>
          <w:szCs w:val="22"/>
        </w:rPr>
        <w:t>in total net assets. The most significant adjustments relate</w:t>
      </w:r>
      <w:r>
        <w:rPr>
          <w:szCs w:val="22"/>
        </w:rPr>
        <w:t>d</w:t>
      </w:r>
      <w:r w:rsidRPr="0073645E">
        <w:rPr>
          <w:szCs w:val="22"/>
        </w:rPr>
        <w:t xml:space="preserve"> to employee benefit lia</w:t>
      </w:r>
      <w:r>
        <w:rPr>
          <w:szCs w:val="22"/>
        </w:rPr>
        <w:t>bilities, totaling 747,429 Swiss </w:t>
      </w:r>
      <w:r w:rsidRPr="0073645E">
        <w:rPr>
          <w:szCs w:val="22"/>
        </w:rPr>
        <w:t>francs. The adjustments result from the recognition</w:t>
      </w:r>
      <w:r>
        <w:rPr>
          <w:szCs w:val="22"/>
        </w:rPr>
        <w:t xml:space="preserve"> in</w:t>
      </w:r>
      <w:r w:rsidRPr="0073645E">
        <w:rPr>
          <w:szCs w:val="22"/>
        </w:rPr>
        <w:t xml:space="preserve"> the financial statements of these liabilities based on their valuation as at January 1, 2012</w:t>
      </w:r>
      <w:r>
        <w:rPr>
          <w:szCs w:val="22"/>
        </w:rPr>
        <w:t>. An adjustment of 11,718 Swiss </w:t>
      </w:r>
      <w:r w:rsidRPr="0073645E">
        <w:rPr>
          <w:szCs w:val="22"/>
        </w:rPr>
        <w:t xml:space="preserve">francs has also been made </w:t>
      </w:r>
      <w:r>
        <w:rPr>
          <w:szCs w:val="22"/>
        </w:rPr>
        <w:t xml:space="preserve">for </w:t>
      </w:r>
      <w:r w:rsidRPr="0073645E">
        <w:rPr>
          <w:szCs w:val="22"/>
        </w:rPr>
        <w:t xml:space="preserve">allowances against </w:t>
      </w:r>
      <w:r>
        <w:rPr>
          <w:szCs w:val="22"/>
        </w:rPr>
        <w:t>contributions</w:t>
      </w:r>
      <w:r w:rsidRPr="0073645E">
        <w:rPr>
          <w:szCs w:val="22"/>
        </w:rPr>
        <w:t xml:space="preserve"> receivable.</w:t>
      </w:r>
    </w:p>
    <w:p w:rsidR="002F09F3" w:rsidRDefault="002F09F3" w:rsidP="00D81BFB">
      <w:pPr>
        <w:rPr>
          <w:szCs w:val="22"/>
        </w:rPr>
      </w:pPr>
    </w:p>
    <w:p w:rsidR="002F09F3" w:rsidRPr="00792F4C" w:rsidRDefault="002F09F3" w:rsidP="00532F43">
      <w:r w:rsidRPr="00792F4C">
        <w:t>Following this IPSAS opening balance reduction in net assets, a surplus in the Statement of Financial Performance in both 2012 and 2013 with a total of 504,207 Swiss francs led to an increase in net assets over the biennium.</w:t>
      </w:r>
    </w:p>
    <w:p w:rsidR="002F09F3" w:rsidRDefault="002F09F3" w:rsidP="00D81BFB">
      <w:pPr>
        <w:rPr>
          <w:sz w:val="18"/>
          <w:szCs w:val="18"/>
        </w:rPr>
      </w:pPr>
    </w:p>
    <w:p w:rsidR="002F09F3" w:rsidRDefault="002F09F3" w:rsidP="00D81BFB">
      <w:pPr>
        <w:rPr>
          <w:b/>
          <w:sz w:val="18"/>
          <w:szCs w:val="18"/>
        </w:rPr>
      </w:pPr>
      <w:r>
        <w:rPr>
          <w:b/>
          <w:sz w:val="18"/>
          <w:szCs w:val="18"/>
        </w:rPr>
        <w:t>Summary of Assets and Liabilities</w:t>
      </w:r>
    </w:p>
    <w:p w:rsidR="002F09F3" w:rsidRDefault="002F09F3" w:rsidP="00D81BFB">
      <w:pPr>
        <w:rPr>
          <w:b/>
          <w:sz w:val="18"/>
          <w:szCs w:val="18"/>
        </w:rPr>
      </w:pPr>
    </w:p>
    <w:p w:rsidR="002F09F3" w:rsidRDefault="002F09F3" w:rsidP="00D81BFB">
      <w:r w:rsidRPr="00302FA5">
        <w:t>The chart below provides a summary of the Statement of Financial Position of UPOV as at December 31, 2013:</w:t>
      </w:r>
    </w:p>
    <w:p w:rsidR="002F09F3" w:rsidRDefault="002F09F3" w:rsidP="00D81BFB"/>
    <w:p w:rsidR="002F09F3" w:rsidRDefault="002F09F3" w:rsidP="00532F43">
      <w:pPr>
        <w:jc w:val="center"/>
      </w:pPr>
      <w:r>
        <w:t>Summary of Assets and Liabilities December 31, 2013</w:t>
      </w:r>
    </w:p>
    <w:p w:rsidR="002F09F3" w:rsidRDefault="002F09F3" w:rsidP="00D81BFB"/>
    <w:p w:rsidR="002F09F3" w:rsidRPr="00666D57" w:rsidRDefault="002D7DB5" w:rsidP="00D81BFB">
      <w:r>
        <w:pict>
          <v:shape id="_x0000_i1030" type="#_x0000_t75" style="width:453.25pt;height:244.35pt">
            <v:imagedata r:id="rId31" o:title=""/>
          </v:shape>
        </w:pict>
      </w:r>
    </w:p>
    <w:p w:rsidR="002F09F3" w:rsidRDefault="002F09F3" w:rsidP="00532F43">
      <w:pPr>
        <w:spacing w:line="276" w:lineRule="auto"/>
        <w:jc w:val="center"/>
      </w:pPr>
    </w:p>
    <w:p w:rsidR="002F09F3" w:rsidRDefault="002F09F3" w:rsidP="00532F43">
      <w:pPr>
        <w:spacing w:line="276" w:lineRule="auto"/>
      </w:pPr>
      <w:r>
        <w:t>UPOV has cash balances of 3,728,930 Swiss francs, representing 95.7 per cent of total assets. However, as shown in the table overleaf, this includes amounts classified under IPSAS as restricted. The remaining assets are accounts receivable totaling 167,373 Swiss francs.</w:t>
      </w:r>
    </w:p>
    <w:p w:rsidR="002F09F3" w:rsidRDefault="002F09F3" w:rsidP="00532F43">
      <w:pPr>
        <w:spacing w:line="276" w:lineRule="auto"/>
      </w:pPr>
    </w:p>
    <w:p w:rsidR="002F09F3" w:rsidRDefault="002F09F3" w:rsidP="00532F43">
      <w:pPr>
        <w:spacing w:line="276" w:lineRule="auto"/>
      </w:pPr>
      <w:r>
        <w:t>The most significant liability of UPOV is employee benefits of 1,207,420 Swiss francs, including primarily After Service Health Insurance liability of 967,815 Swiss francs. Advance receipts of 402,648 Swiss francs mainly concern contributions paid in advance (236,484 Swiss francs). The other liabilities (541,941 Swiss francs) represent the amount payable to the World Intellectual Property Organization (WIPO) at December 31, 2013.</w:t>
      </w:r>
    </w:p>
    <w:p w:rsidR="002F09F3" w:rsidRDefault="002F09F3" w:rsidP="00532F43">
      <w:pPr>
        <w:spacing w:line="276" w:lineRule="auto"/>
      </w:pPr>
    </w:p>
    <w:p w:rsidR="002F09F3" w:rsidRDefault="002F09F3" w:rsidP="00532F43">
      <w:pPr>
        <w:spacing w:line="276" w:lineRule="auto"/>
        <w:rPr>
          <w:b/>
        </w:rPr>
      </w:pPr>
      <w:r>
        <w:rPr>
          <w:b/>
        </w:rPr>
        <w:br w:type="page"/>
      </w:r>
      <w:r w:rsidRPr="00302FA5">
        <w:rPr>
          <w:b/>
        </w:rPr>
        <w:lastRenderedPageBreak/>
        <w:t>Cash and Cash Equivalents</w:t>
      </w:r>
    </w:p>
    <w:p w:rsidR="002F09F3" w:rsidRDefault="002F09F3" w:rsidP="00532F43">
      <w:pPr>
        <w:spacing w:line="276" w:lineRule="auto"/>
        <w:rPr>
          <w:b/>
        </w:rPr>
      </w:pPr>
    </w:p>
    <w:p w:rsidR="002F09F3" w:rsidRDefault="002D7DB5" w:rsidP="00532F43">
      <w:pPr>
        <w:spacing w:line="276" w:lineRule="auto"/>
        <w:rPr>
          <w:b/>
        </w:rPr>
      </w:pPr>
      <w:r>
        <w:pict>
          <v:shape id="_x0000_i1031" type="#_x0000_t75" style="width:453.85pt;height:110.95pt">
            <v:imagedata r:id="rId32" o:title=""/>
          </v:shape>
        </w:pict>
      </w:r>
    </w:p>
    <w:p w:rsidR="002F09F3" w:rsidRPr="001E7C20" w:rsidRDefault="002F09F3" w:rsidP="00532F43">
      <w:pPr>
        <w:spacing w:line="276" w:lineRule="auto"/>
        <w:rPr>
          <w:b/>
        </w:rPr>
      </w:pPr>
      <w:r w:rsidRPr="001E7C20">
        <w:t>Total cash and cash equivalent balan</w:t>
      </w:r>
      <w:r>
        <w:t>ces have increased over the biennium by 16.0 per cent between January 1, 2012 and December 31, 2013</w:t>
      </w:r>
      <w:r w:rsidRPr="001E7C20">
        <w:t xml:space="preserve">. For the purposes of IPSAS presentation, cash balances are split between unrestricted and restricted. </w:t>
      </w:r>
      <w:r>
        <w:t>Cash balances relating to the Working Capital Fund or</w:t>
      </w:r>
      <w:r w:rsidRPr="0073645E">
        <w:t xml:space="preserve"> </w:t>
      </w:r>
      <w:proofErr w:type="spellStart"/>
      <w:r>
        <w:t>extrabudgetary</w:t>
      </w:r>
      <w:proofErr w:type="spellEnd"/>
      <w:r>
        <w:t xml:space="preserve"> funds (funds in trust) are considered to be restricted.</w:t>
      </w:r>
    </w:p>
    <w:p w:rsidR="002F09F3" w:rsidRDefault="002F09F3" w:rsidP="00532F43">
      <w:pPr>
        <w:spacing w:line="276" w:lineRule="auto"/>
        <w:rPr>
          <w:b/>
        </w:rPr>
      </w:pPr>
    </w:p>
    <w:p w:rsidR="002F09F3" w:rsidRDefault="002F09F3" w:rsidP="00532F43">
      <w:pPr>
        <w:spacing w:line="276" w:lineRule="auto"/>
        <w:rPr>
          <w:b/>
        </w:rPr>
      </w:pPr>
      <w:r>
        <w:rPr>
          <w:b/>
        </w:rPr>
        <w:t>Other Assets</w:t>
      </w:r>
    </w:p>
    <w:p w:rsidR="002F09F3" w:rsidRDefault="002F09F3" w:rsidP="00532F43">
      <w:pPr>
        <w:spacing w:line="276" w:lineRule="auto"/>
        <w:rPr>
          <w:b/>
        </w:rPr>
      </w:pPr>
    </w:p>
    <w:p w:rsidR="002F09F3" w:rsidRDefault="002D7DB5" w:rsidP="00532F43">
      <w:pPr>
        <w:spacing w:line="276" w:lineRule="auto"/>
        <w:rPr>
          <w:b/>
        </w:rPr>
      </w:pPr>
      <w:r>
        <w:pict>
          <v:shape id="_x0000_i1032" type="#_x0000_t75" style="width:452.05pt;height:157.55pt">
            <v:imagedata r:id="rId33" o:title=""/>
          </v:shape>
        </w:pict>
      </w:r>
    </w:p>
    <w:p w:rsidR="002F09F3" w:rsidRDefault="002F09F3" w:rsidP="00532F43">
      <w:pPr>
        <w:spacing w:line="276" w:lineRule="auto"/>
        <w:rPr>
          <w:b/>
        </w:rPr>
      </w:pPr>
      <w:r>
        <w:rPr>
          <w:szCs w:val="22"/>
        </w:rPr>
        <w:t>Total account</w:t>
      </w:r>
      <w:r w:rsidRPr="00F931C2">
        <w:rPr>
          <w:szCs w:val="22"/>
        </w:rPr>
        <w:t xml:space="preserve">s receivable at December 31, 2013 </w:t>
      </w:r>
      <w:r>
        <w:rPr>
          <w:color w:val="000000"/>
          <w:szCs w:val="22"/>
        </w:rPr>
        <w:t>were 167,373</w:t>
      </w:r>
      <w:r w:rsidRPr="00F931C2">
        <w:rPr>
          <w:color w:val="000000"/>
          <w:szCs w:val="22"/>
        </w:rPr>
        <w:t xml:space="preserve"> Swiss francs, </w:t>
      </w:r>
      <w:r w:rsidRPr="00F931C2">
        <w:rPr>
          <w:szCs w:val="22"/>
        </w:rPr>
        <w:t>c</w:t>
      </w:r>
      <w:r>
        <w:rPr>
          <w:szCs w:val="22"/>
        </w:rPr>
        <w:t xml:space="preserve">ompared to 297,631 as at January </w:t>
      </w:r>
      <w:r w:rsidRPr="00F931C2">
        <w:rPr>
          <w:szCs w:val="22"/>
        </w:rPr>
        <w:t>1, 2012.</w:t>
      </w:r>
      <w:r w:rsidR="00C76EE9">
        <w:rPr>
          <w:szCs w:val="22"/>
        </w:rPr>
        <w:t xml:space="preserve">  </w:t>
      </w:r>
      <w:r>
        <w:rPr>
          <w:szCs w:val="22"/>
        </w:rPr>
        <w:t xml:space="preserve">This fall reflects the collection during the biennium of a significant amount of those contributions which were formerly in arrears. This was partly offset by an increase in receivables from </w:t>
      </w:r>
      <w:proofErr w:type="spellStart"/>
      <w:r>
        <w:rPr>
          <w:szCs w:val="22"/>
        </w:rPr>
        <w:t>extrabudgetary</w:t>
      </w:r>
      <w:proofErr w:type="spellEnd"/>
      <w:r>
        <w:rPr>
          <w:szCs w:val="22"/>
        </w:rPr>
        <w:t xml:space="preserve"> funds (funds in trust), although these were subsequently paid in January 2014.</w:t>
      </w:r>
    </w:p>
    <w:p w:rsidR="002F09F3" w:rsidRDefault="002F09F3" w:rsidP="00532F43">
      <w:pPr>
        <w:spacing w:line="276" w:lineRule="auto"/>
        <w:rPr>
          <w:b/>
        </w:rPr>
      </w:pPr>
    </w:p>
    <w:p w:rsidR="002F09F3" w:rsidRDefault="002F09F3" w:rsidP="00532F43">
      <w:pPr>
        <w:spacing w:line="276" w:lineRule="auto"/>
        <w:rPr>
          <w:b/>
        </w:rPr>
      </w:pPr>
      <w:r>
        <w:rPr>
          <w:b/>
        </w:rPr>
        <w:t>Payables and Advance Receipts</w:t>
      </w:r>
    </w:p>
    <w:p w:rsidR="002F09F3" w:rsidRDefault="002F09F3" w:rsidP="00532F43">
      <w:pPr>
        <w:spacing w:line="276" w:lineRule="auto"/>
        <w:rPr>
          <w:b/>
        </w:rPr>
      </w:pPr>
    </w:p>
    <w:p w:rsidR="002F09F3" w:rsidRDefault="002D7DB5" w:rsidP="00532F43">
      <w:pPr>
        <w:spacing w:line="276" w:lineRule="auto"/>
        <w:rPr>
          <w:b/>
        </w:rPr>
      </w:pPr>
      <w:r>
        <w:pict>
          <v:shape id="_x0000_i1033" type="#_x0000_t75" style="width:452.05pt;height:148.15pt">
            <v:imagedata r:id="rId34" o:title=""/>
          </v:shape>
        </w:pict>
      </w:r>
    </w:p>
    <w:p w:rsidR="002F09F3" w:rsidRPr="0073645E" w:rsidRDefault="002F09F3" w:rsidP="00532F43">
      <w:pPr>
        <w:pStyle w:val="Style3"/>
        <w:spacing w:after="0"/>
      </w:pPr>
      <w:r w:rsidRPr="003276C4">
        <w:rPr>
          <w:sz w:val="20"/>
        </w:rPr>
        <w:t xml:space="preserve">Contributions received in advance are recorded as advance receipt liabilities and are recognized as revenue in the year to which they relate. </w:t>
      </w:r>
      <w:proofErr w:type="spellStart"/>
      <w:r w:rsidRPr="003276C4">
        <w:rPr>
          <w:sz w:val="20"/>
        </w:rPr>
        <w:t>Extrabudgetary</w:t>
      </w:r>
      <w:proofErr w:type="spellEnd"/>
      <w:r w:rsidRPr="003276C4">
        <w:rPr>
          <w:sz w:val="20"/>
        </w:rPr>
        <w:t xml:space="preserve"> funds from donors to Funds in Trust containing conditions requiring UPOV to provide goods or services to recipient governments or other third </w:t>
      </w:r>
      <w:proofErr w:type="gramStart"/>
      <w:r w:rsidRPr="003276C4">
        <w:rPr>
          <w:sz w:val="20"/>
        </w:rPr>
        <w:t>parties,</w:t>
      </w:r>
      <w:proofErr w:type="gramEnd"/>
      <w:r w:rsidRPr="003276C4">
        <w:rPr>
          <w:sz w:val="20"/>
        </w:rPr>
        <w:t xml:space="preserve"> are treated as deferred revenue until the services covered by the </w:t>
      </w:r>
      <w:proofErr w:type="spellStart"/>
      <w:r w:rsidRPr="003276C4">
        <w:rPr>
          <w:sz w:val="20"/>
        </w:rPr>
        <w:t>extrabudgetary</w:t>
      </w:r>
      <w:proofErr w:type="spellEnd"/>
      <w:r w:rsidRPr="003276C4">
        <w:rPr>
          <w:sz w:val="20"/>
        </w:rPr>
        <w:t xml:space="preserve"> fund</w:t>
      </w:r>
      <w:r>
        <w:rPr>
          <w:sz w:val="20"/>
        </w:rPr>
        <w:t>s (funds in trust) are provided</w:t>
      </w:r>
      <w:r w:rsidRPr="003276C4">
        <w:rPr>
          <w:sz w:val="20"/>
        </w:rPr>
        <w:t>, whereupon revenue is recognized</w:t>
      </w:r>
      <w:r w:rsidRPr="0073645E">
        <w:t>.</w:t>
      </w:r>
    </w:p>
    <w:p w:rsidR="002F09F3" w:rsidRDefault="002F09F3" w:rsidP="00532F43">
      <w:pPr>
        <w:spacing w:line="276" w:lineRule="auto"/>
        <w:rPr>
          <w:b/>
        </w:rPr>
      </w:pPr>
    </w:p>
    <w:p w:rsidR="002F09F3" w:rsidRDefault="002F09F3" w:rsidP="00532F43">
      <w:pPr>
        <w:spacing w:line="276" w:lineRule="auto"/>
        <w:rPr>
          <w:b/>
        </w:rPr>
      </w:pPr>
    </w:p>
    <w:p w:rsidR="002F09F3" w:rsidRDefault="002F09F3" w:rsidP="00532F43">
      <w:pPr>
        <w:spacing w:line="276" w:lineRule="auto"/>
        <w:rPr>
          <w:b/>
        </w:rPr>
      </w:pPr>
      <w:r>
        <w:rPr>
          <w:b/>
        </w:rPr>
        <w:br w:type="page"/>
      </w:r>
      <w:r>
        <w:rPr>
          <w:b/>
        </w:rPr>
        <w:lastRenderedPageBreak/>
        <w:t>Employee Benefits</w:t>
      </w:r>
    </w:p>
    <w:p w:rsidR="002F09F3" w:rsidRDefault="002F09F3" w:rsidP="00532F43">
      <w:pPr>
        <w:spacing w:line="276" w:lineRule="auto"/>
        <w:rPr>
          <w:b/>
        </w:rPr>
      </w:pPr>
    </w:p>
    <w:p w:rsidR="002F09F3" w:rsidRDefault="002D7DB5" w:rsidP="00532F43">
      <w:pPr>
        <w:spacing w:line="276" w:lineRule="auto"/>
        <w:rPr>
          <w:b/>
        </w:rPr>
      </w:pPr>
      <w:r>
        <w:pict>
          <v:shape id="_x0000_i1034" type="#_x0000_t75" style="width:453.25pt;height:122.15pt">
            <v:imagedata r:id="rId35" o:title=""/>
          </v:shape>
        </w:pict>
      </w:r>
    </w:p>
    <w:p w:rsidR="002F09F3" w:rsidRDefault="002F09F3" w:rsidP="00532F43">
      <w:pPr>
        <w:spacing w:line="276" w:lineRule="auto"/>
      </w:pPr>
      <w:r w:rsidRPr="001E7C20">
        <w:t>As can be seen from the table above, by far the most significant employee benefi</w:t>
      </w:r>
      <w:r>
        <w:t>t liability for UPOV</w:t>
      </w:r>
      <w:r w:rsidRPr="001E7C20">
        <w:t xml:space="preserve"> is post-employment medical benefits (After Service Health Insura</w:t>
      </w:r>
      <w:r>
        <w:t>nce – ASHI), which represents 80.2</w:t>
      </w:r>
      <w:r w:rsidRPr="001E7C20">
        <w:t>% of the total l</w:t>
      </w:r>
      <w:r>
        <w:t>iability as at December 31, 2013</w:t>
      </w:r>
      <w:r w:rsidRPr="001E7C20">
        <w:t xml:space="preserve">. The ASHI </w:t>
      </w:r>
      <w:r>
        <w:t>liability increased by 83,239</w:t>
      </w:r>
      <w:r w:rsidRPr="001E7C20">
        <w:t xml:space="preserve"> Swiss francs over</w:t>
      </w:r>
      <w:r>
        <w:t xml:space="preserve"> the period of the 2012/13 Biennium</w:t>
      </w:r>
      <w:r w:rsidRPr="001E7C20">
        <w:t>, and this movement is detailed in the table below:</w:t>
      </w:r>
    </w:p>
    <w:p w:rsidR="002F09F3" w:rsidRPr="001E7C20" w:rsidRDefault="002F09F3" w:rsidP="00532F43">
      <w:pPr>
        <w:spacing w:line="276" w:lineRule="auto"/>
        <w:rPr>
          <w:b/>
        </w:rPr>
      </w:pPr>
    </w:p>
    <w:p w:rsidR="002F09F3" w:rsidRPr="001E7C20" w:rsidRDefault="002D7DB5" w:rsidP="00532F43">
      <w:pPr>
        <w:spacing w:line="276" w:lineRule="auto"/>
        <w:jc w:val="center"/>
        <w:rPr>
          <w:b/>
        </w:rPr>
      </w:pPr>
      <w:r>
        <w:pict>
          <v:shape id="_x0000_i1035" type="#_x0000_t75" style="width:370.05pt;height:130.45pt">
            <v:imagedata r:id="rId36" o:title=""/>
          </v:shape>
        </w:pict>
      </w:r>
    </w:p>
    <w:p w:rsidR="002F09F3" w:rsidRPr="001E7C20" w:rsidRDefault="002F09F3" w:rsidP="00532F43">
      <w:pPr>
        <w:spacing w:line="276" w:lineRule="auto"/>
        <w:rPr>
          <w:b/>
        </w:rPr>
      </w:pPr>
      <w:r w:rsidRPr="001E7C20">
        <w:t>The liability is calculated by an independent actuary, and reflec</w:t>
      </w:r>
      <w:r>
        <w:t>ts the total future cost of UPOV</w:t>
      </w:r>
      <w:r w:rsidRPr="001E7C20">
        <w:t>’s share of health insurance</w:t>
      </w:r>
      <w:r>
        <w:t xml:space="preserve"> premiums for both existing UPOV</w:t>
      </w:r>
      <w:r w:rsidRPr="001E7C20">
        <w:t xml:space="preserve"> retirees and the</w:t>
      </w:r>
      <w:r>
        <w:t xml:space="preserve"> projected number of active UPOV</w:t>
      </w:r>
      <w:r w:rsidRPr="001E7C20">
        <w:t xml:space="preserve"> staff who will retire in the future. The current service cost in the table above is the net impact for the period resulting from the increase in age of current staff and their dependents, the number of persons retiring, new hires and separations other than retirement. The interest cost is the impact resulting from the fact that each member of the active staff is one year closer to reaching the age of eligibility for ASHI retirement.</w:t>
      </w:r>
    </w:p>
    <w:p w:rsidR="002F09F3" w:rsidRDefault="002F09F3" w:rsidP="00532F43">
      <w:pPr>
        <w:spacing w:line="276" w:lineRule="auto"/>
        <w:rPr>
          <w:b/>
        </w:rPr>
      </w:pPr>
    </w:p>
    <w:p w:rsidR="002F09F3" w:rsidRDefault="002F09F3" w:rsidP="00532F43">
      <w:pPr>
        <w:spacing w:line="276" w:lineRule="auto"/>
        <w:rPr>
          <w:b/>
        </w:rPr>
      </w:pPr>
      <w:r>
        <w:rPr>
          <w:b/>
        </w:rPr>
        <w:t>Financial Position by Segment</w:t>
      </w:r>
    </w:p>
    <w:p w:rsidR="002F09F3" w:rsidRDefault="002F09F3" w:rsidP="00532F43">
      <w:pPr>
        <w:spacing w:line="276" w:lineRule="auto"/>
        <w:rPr>
          <w:b/>
        </w:rPr>
      </w:pPr>
    </w:p>
    <w:p w:rsidR="002F09F3" w:rsidRDefault="002F09F3" w:rsidP="00532F43">
      <w:pPr>
        <w:spacing w:line="276" w:lineRule="auto"/>
      </w:pPr>
      <w:r w:rsidRPr="00302FA5">
        <w:t>According to the requirements of IPSAS, UPOV has to disclose its assets and liabilities by each of the segments of which it is comprised.</w:t>
      </w:r>
      <w:r>
        <w:rPr>
          <w:b/>
        </w:rPr>
        <w:t xml:space="preserve"> </w:t>
      </w:r>
      <w:r w:rsidRPr="0073645E">
        <w:rPr>
          <w:rFonts w:cs="Arial"/>
          <w:szCs w:val="22"/>
        </w:rPr>
        <w:t>Segment information is based on the principal activities and sourc</w:t>
      </w:r>
      <w:r>
        <w:rPr>
          <w:rFonts w:cs="Arial"/>
          <w:szCs w:val="22"/>
        </w:rPr>
        <w:t>es of financing of UPOV</w:t>
      </w:r>
      <w:r w:rsidRPr="0073645E">
        <w:rPr>
          <w:rFonts w:cs="Arial"/>
          <w:szCs w:val="22"/>
        </w:rPr>
        <w:t xml:space="preserve">. </w:t>
      </w:r>
      <w:r w:rsidRPr="0073645E">
        <w:t>UPOV reports separate financial informatio</w:t>
      </w:r>
      <w:r>
        <w:t>n for two segments: the Regular</w:t>
      </w:r>
      <w:r w:rsidRPr="0073645E">
        <w:t xml:space="preserve"> Program and Budget and Funds in Trust (</w:t>
      </w:r>
      <w:proofErr w:type="spellStart"/>
      <w:r>
        <w:t>extrabudgetary</w:t>
      </w:r>
      <w:proofErr w:type="spellEnd"/>
      <w:r>
        <w:t xml:space="preserve"> funds</w:t>
      </w:r>
      <w:r w:rsidRPr="0073645E">
        <w:t xml:space="preserve">). Funds in Trust represent amounts administered by UPOV on behalf of individual donors to carry out programs consistent with the policies, aims and activities of UPOV. </w:t>
      </w:r>
      <w:r>
        <w:t>The Regular</w:t>
      </w:r>
      <w:r w:rsidRPr="0073645E">
        <w:t xml:space="preserve"> Program and Budget and Funds in Trust are accounted for separately in the financial accounting system.</w:t>
      </w:r>
    </w:p>
    <w:p w:rsidR="002F09F3" w:rsidRDefault="002F09F3" w:rsidP="00532F43">
      <w:pPr>
        <w:spacing w:line="276" w:lineRule="auto"/>
        <w:rPr>
          <w:b/>
        </w:rPr>
      </w:pPr>
    </w:p>
    <w:p w:rsidR="002F09F3" w:rsidRDefault="002D7DB5" w:rsidP="00532F43">
      <w:pPr>
        <w:spacing w:line="276" w:lineRule="auto"/>
      </w:pPr>
      <w:r>
        <w:lastRenderedPageBreak/>
        <w:pict>
          <v:shape id="_x0000_i1036" type="#_x0000_t75" style="width:453.85pt;height:459.75pt">
            <v:imagedata r:id="rId37" o:title=""/>
          </v:shape>
        </w:pict>
      </w:r>
    </w:p>
    <w:p w:rsidR="002F09F3" w:rsidRDefault="002F09F3" w:rsidP="00532F43">
      <w:pPr>
        <w:spacing w:line="276" w:lineRule="auto"/>
      </w:pPr>
    </w:p>
    <w:p w:rsidR="002F09F3" w:rsidRDefault="002F09F3" w:rsidP="002F09F3">
      <w:pPr>
        <w:keepNext/>
        <w:spacing w:line="276" w:lineRule="auto"/>
        <w:rPr>
          <w:b/>
        </w:rPr>
      </w:pPr>
      <w:r>
        <w:rPr>
          <w:b/>
        </w:rPr>
        <w:t>ANALYSIS OF STATEMENT OF FINANCIAL PERFORMANCE</w:t>
      </w:r>
    </w:p>
    <w:p w:rsidR="002F09F3" w:rsidRPr="00CE47DD" w:rsidRDefault="00191B7D" w:rsidP="00191B7D">
      <w:pPr>
        <w:pStyle w:val="Heading4"/>
        <w:rPr>
          <w:lang w:val="en-US"/>
        </w:rPr>
      </w:pPr>
      <w:bookmarkStart w:id="25" w:name="_Toc393377925"/>
      <w:r w:rsidRPr="00CE47DD">
        <w:rPr>
          <w:lang w:val="en-US"/>
        </w:rPr>
        <w:t xml:space="preserve">Analysis of Statement </w:t>
      </w:r>
      <w:proofErr w:type="gramStart"/>
      <w:r w:rsidRPr="00CE47DD">
        <w:rPr>
          <w:lang w:val="en-US"/>
        </w:rPr>
        <w:t>of  Financial</w:t>
      </w:r>
      <w:proofErr w:type="gramEnd"/>
      <w:r w:rsidRPr="00CE47DD">
        <w:rPr>
          <w:lang w:val="en-US"/>
        </w:rPr>
        <w:t xml:space="preserve"> Performance</w:t>
      </w:r>
      <w:bookmarkEnd w:id="25"/>
    </w:p>
    <w:p w:rsidR="002F09F3" w:rsidRDefault="002F09F3" w:rsidP="002F09F3">
      <w:pPr>
        <w:keepNext/>
        <w:spacing w:line="276" w:lineRule="auto"/>
        <w:rPr>
          <w:b/>
        </w:rPr>
      </w:pPr>
      <w:r>
        <w:rPr>
          <w:b/>
        </w:rPr>
        <w:t>Revenue</w:t>
      </w:r>
    </w:p>
    <w:p w:rsidR="002F09F3" w:rsidRDefault="002F09F3" w:rsidP="002F09F3">
      <w:pPr>
        <w:keepNext/>
        <w:spacing w:line="276" w:lineRule="auto"/>
        <w:rPr>
          <w:b/>
        </w:rPr>
      </w:pPr>
    </w:p>
    <w:p w:rsidR="002F09F3" w:rsidRDefault="002D7DB5" w:rsidP="00532F43">
      <w:pPr>
        <w:spacing w:line="276" w:lineRule="auto"/>
        <w:jc w:val="center"/>
        <w:rPr>
          <w:b/>
        </w:rPr>
      </w:pPr>
      <w:r>
        <w:pict>
          <v:shape id="_x0000_i1037" type="#_x0000_t75" style="width:439.1pt;height:198.3pt">
            <v:imagedata r:id="rId38" o:title=""/>
          </v:shape>
        </w:pict>
      </w:r>
    </w:p>
    <w:p w:rsidR="002F09F3" w:rsidRDefault="002F09F3" w:rsidP="00532F43">
      <w:pPr>
        <w:spacing w:line="276" w:lineRule="auto"/>
        <w:rPr>
          <w:b/>
        </w:rPr>
      </w:pPr>
      <w:r>
        <w:rPr>
          <w:rFonts w:cs="Arial"/>
          <w:szCs w:val="22"/>
        </w:rPr>
        <w:lastRenderedPageBreak/>
        <w:t>Contributions</w:t>
      </w:r>
      <w:r w:rsidRPr="0073645E">
        <w:rPr>
          <w:rFonts w:cs="Arial"/>
          <w:szCs w:val="22"/>
        </w:rPr>
        <w:t xml:space="preserve"> under the</w:t>
      </w:r>
      <w:r>
        <w:rPr>
          <w:rFonts w:cs="Arial"/>
          <w:szCs w:val="22"/>
        </w:rPr>
        <w:t xml:space="preserve"> Regular</w:t>
      </w:r>
      <w:r w:rsidRPr="0073645E">
        <w:rPr>
          <w:rFonts w:cs="Arial"/>
          <w:szCs w:val="22"/>
        </w:rPr>
        <w:t xml:space="preserve"> Program and Budget represent</w:t>
      </w:r>
      <w:r>
        <w:rPr>
          <w:rFonts w:cs="Arial"/>
          <w:szCs w:val="22"/>
        </w:rPr>
        <w:t xml:space="preserve"> amounts payable at the start of each year of the biennium</w:t>
      </w:r>
      <w:r w:rsidRPr="0073645E">
        <w:rPr>
          <w:rFonts w:cs="Arial"/>
          <w:szCs w:val="22"/>
        </w:rPr>
        <w:t xml:space="preserve">. </w:t>
      </w:r>
      <w:proofErr w:type="spellStart"/>
      <w:r>
        <w:rPr>
          <w:rFonts w:cs="Arial"/>
          <w:szCs w:val="22"/>
        </w:rPr>
        <w:t>Extrabudgetary</w:t>
      </w:r>
      <w:proofErr w:type="spellEnd"/>
      <w:r>
        <w:rPr>
          <w:rFonts w:cs="Arial"/>
          <w:szCs w:val="22"/>
        </w:rPr>
        <w:t xml:space="preserve"> funds </w:t>
      </w:r>
      <w:r w:rsidRPr="0073645E">
        <w:rPr>
          <w:rFonts w:cs="Arial"/>
          <w:szCs w:val="22"/>
        </w:rPr>
        <w:t xml:space="preserve">under Funds in Trust represent revenue received in connection with contributions made by donors to individual projects not included in the </w:t>
      </w:r>
      <w:r>
        <w:rPr>
          <w:rFonts w:cs="Arial"/>
          <w:szCs w:val="22"/>
        </w:rPr>
        <w:t xml:space="preserve">Regular </w:t>
      </w:r>
      <w:r w:rsidRPr="0073645E">
        <w:rPr>
          <w:rFonts w:cs="Arial"/>
          <w:szCs w:val="22"/>
        </w:rPr>
        <w:t xml:space="preserve">Program and Budget. Revenue from </w:t>
      </w:r>
      <w:proofErr w:type="spellStart"/>
      <w:r>
        <w:rPr>
          <w:rFonts w:cs="Arial"/>
          <w:szCs w:val="22"/>
        </w:rPr>
        <w:t>extrabudgetary</w:t>
      </w:r>
      <w:proofErr w:type="spellEnd"/>
      <w:r>
        <w:rPr>
          <w:rFonts w:cs="Arial"/>
          <w:szCs w:val="22"/>
        </w:rPr>
        <w:t xml:space="preserve"> funds (funds in trust)</w:t>
      </w:r>
      <w:r w:rsidRPr="0073645E">
        <w:rPr>
          <w:rFonts w:cs="Arial"/>
          <w:szCs w:val="22"/>
        </w:rPr>
        <w:t xml:space="preserve"> is deferred until earned through the delivery of the specific services provided in the plan of work agreed with the donor.</w:t>
      </w:r>
    </w:p>
    <w:p w:rsidR="002F09F3" w:rsidRDefault="002F09F3" w:rsidP="00532F43">
      <w:pPr>
        <w:spacing w:line="276" w:lineRule="auto"/>
        <w:rPr>
          <w:b/>
        </w:rPr>
      </w:pPr>
    </w:p>
    <w:p w:rsidR="002F09F3" w:rsidRDefault="002F09F3" w:rsidP="00532F43">
      <w:pPr>
        <w:spacing w:line="276" w:lineRule="auto"/>
        <w:rPr>
          <w:b/>
        </w:rPr>
      </w:pPr>
      <w:r>
        <w:rPr>
          <w:b/>
        </w:rPr>
        <w:t>Expenses</w:t>
      </w:r>
    </w:p>
    <w:p w:rsidR="002F09F3" w:rsidRDefault="002F09F3" w:rsidP="00532F43">
      <w:pPr>
        <w:spacing w:line="276" w:lineRule="auto"/>
        <w:rPr>
          <w:b/>
        </w:rPr>
      </w:pPr>
    </w:p>
    <w:p w:rsidR="002F09F3" w:rsidRDefault="002D7DB5" w:rsidP="00532F43">
      <w:pPr>
        <w:spacing w:line="276" w:lineRule="auto"/>
        <w:jc w:val="center"/>
      </w:pPr>
      <w:r>
        <w:pict>
          <v:shape id="_x0000_i1038" type="#_x0000_t75" style="width:418.45pt;height:236.05pt">
            <v:imagedata r:id="rId39" o:title=""/>
          </v:shape>
        </w:pict>
      </w:r>
    </w:p>
    <w:p w:rsidR="002F09F3" w:rsidRPr="00302FA5" w:rsidRDefault="002F09F3" w:rsidP="00532F43">
      <w:pPr>
        <w:pStyle w:val="Styletexte"/>
        <w:spacing w:after="0"/>
        <w:rPr>
          <w:color w:val="000000"/>
          <w:sz w:val="20"/>
        </w:rPr>
      </w:pPr>
      <w:r w:rsidRPr="00302FA5">
        <w:rPr>
          <w:rFonts w:cs="Arial"/>
          <w:sz w:val="20"/>
        </w:rPr>
        <w:t>Personnel expenditure includes short-term employee benefits such as base salary, post adjustment, dependents’</w:t>
      </w:r>
      <w:r w:rsidRPr="00302FA5">
        <w:rPr>
          <w:sz w:val="20"/>
        </w:rPr>
        <w:t xml:space="preserve"> allowance, pension contribution, health and other insurance contributions, home leave and other entitlements for permanent and short-term staff. As a result of the implementation of IPSAS, personnel expenditure also includes amounts </w:t>
      </w:r>
      <w:r w:rsidRPr="00302FA5">
        <w:rPr>
          <w:color w:val="000000"/>
          <w:sz w:val="20"/>
        </w:rPr>
        <w:t>for the movements in provisions f</w:t>
      </w:r>
      <w:r>
        <w:rPr>
          <w:color w:val="000000"/>
          <w:sz w:val="20"/>
        </w:rPr>
        <w:t>or employee benefit liabilities</w:t>
      </w:r>
      <w:r w:rsidRPr="00302FA5">
        <w:rPr>
          <w:color w:val="000000"/>
          <w:sz w:val="20"/>
        </w:rPr>
        <w:t>.</w:t>
      </w:r>
    </w:p>
    <w:p w:rsidR="002F09F3" w:rsidRPr="00302FA5" w:rsidRDefault="002F09F3" w:rsidP="00532F43">
      <w:pPr>
        <w:pStyle w:val="Styletexte"/>
        <w:spacing w:after="0"/>
        <w:rPr>
          <w:sz w:val="20"/>
        </w:rPr>
      </w:pPr>
    </w:p>
    <w:p w:rsidR="002F09F3" w:rsidRPr="00302FA5" w:rsidRDefault="002F09F3" w:rsidP="00532F43">
      <w:pPr>
        <w:spacing w:line="276" w:lineRule="auto"/>
      </w:pPr>
      <w:r w:rsidRPr="00302FA5">
        <w:t>Travel and fellowships includes the costs of airfare, daily subsistence allowances, terminal allowances and other travel costs for staff on official business and travel for participants, lecturers and fellows in connection with training activities. Contractual services include translators, interpreters and other non-staff service agreements. Operating expenses include items such as premises rent, maintenance and bank charges.</w:t>
      </w:r>
    </w:p>
    <w:p w:rsidR="002F09F3" w:rsidRDefault="002F09F3" w:rsidP="00D81BFB">
      <w:pPr>
        <w:spacing w:after="200" w:line="276" w:lineRule="auto"/>
        <w:rPr>
          <w:u w:val="single"/>
        </w:rPr>
      </w:pPr>
      <w:r>
        <w:rPr>
          <w:u w:val="single"/>
        </w:rPr>
        <w:br w:type="page"/>
      </w:r>
    </w:p>
    <w:p w:rsidR="00140793" w:rsidRDefault="00140793" w:rsidP="00D81BFB">
      <w:pPr>
        <w:pStyle w:val="Heading1"/>
        <w:jc w:val="both"/>
      </w:pPr>
      <w:bookmarkStart w:id="26" w:name="_Toc393377926"/>
      <w:r>
        <w:lastRenderedPageBreak/>
        <w:t>WORKING CAPITAL FUND</w:t>
      </w:r>
      <w:r w:rsidR="00C76EE9" w:rsidRPr="00C76EE9">
        <w:t xml:space="preserve"> </w:t>
      </w:r>
      <w:r w:rsidR="00C76EE9">
        <w:t>AND CONTRIBUTIONS</w:t>
      </w:r>
      <w:bookmarkEnd w:id="26"/>
    </w:p>
    <w:p w:rsidR="008518D2" w:rsidRPr="008518D2" w:rsidRDefault="008518D2" w:rsidP="008518D2"/>
    <w:p w:rsidR="002F09F3" w:rsidRPr="008518D2" w:rsidRDefault="002F09F3" w:rsidP="008518D2">
      <w:pPr>
        <w:pStyle w:val="Heading5"/>
      </w:pPr>
      <w:bookmarkStart w:id="27" w:name="_Toc393377927"/>
      <w:r w:rsidRPr="008518D2">
        <w:t>Working Capital Fund</w:t>
      </w:r>
      <w:r w:rsidR="00140793" w:rsidRPr="008518D2">
        <w:t xml:space="preserve"> as at December 31, 2013</w:t>
      </w:r>
      <w:bookmarkEnd w:id="27"/>
    </w:p>
    <w:p w:rsidR="002F09F3" w:rsidRPr="00604A6F" w:rsidRDefault="002F09F3" w:rsidP="008B6109">
      <w:pPr>
        <w:pStyle w:val="Heading2"/>
        <w:rPr>
          <w:snapToGrid w:val="0"/>
        </w:rPr>
      </w:pPr>
    </w:p>
    <w:p w:rsidR="002F09F3" w:rsidRPr="00604A6F" w:rsidRDefault="002F09F3" w:rsidP="00532F43">
      <w:pPr>
        <w:rPr>
          <w:snapToGrid w:val="0"/>
        </w:rPr>
      </w:pPr>
      <w:r>
        <w:rPr>
          <w:snapToGrid w:val="0"/>
        </w:rPr>
        <w:t>Under Regulation 4.2</w:t>
      </w:r>
      <w:r w:rsidRPr="00604A6F">
        <w:rPr>
          <w:snapToGrid w:val="0"/>
        </w:rPr>
        <w:t xml:space="preserve"> of the Financial Regulations, UPOV has a Working Capital Fund</w:t>
      </w:r>
      <w:r>
        <w:rPr>
          <w:snapToGrid w:val="0"/>
        </w:rPr>
        <w:t xml:space="preserve"> (see document UPOV/INF/4/3). </w:t>
      </w:r>
      <w:r w:rsidR="00BB23C2">
        <w:rPr>
          <w:snapToGrid w:val="0"/>
        </w:rPr>
        <w:t>According to the Statement of Financial Position</w:t>
      </w:r>
      <w:r>
        <w:rPr>
          <w:snapToGrid w:val="0"/>
        </w:rPr>
        <w:t xml:space="preserve"> as at December 31, 2013</w:t>
      </w:r>
      <w:r w:rsidRPr="00604A6F">
        <w:rPr>
          <w:snapToGrid w:val="0"/>
        </w:rPr>
        <w:t xml:space="preserve">, the Working Capital Fund stands at </w:t>
      </w:r>
      <w:r>
        <w:rPr>
          <w:snapToGrid w:val="0"/>
        </w:rPr>
        <w:t>540,011 Swiss francs</w:t>
      </w:r>
      <w:r w:rsidRPr="00604A6F">
        <w:rPr>
          <w:snapToGrid w:val="0"/>
        </w:rPr>
        <w:t xml:space="preserve">.  The share of each member of the Union, calculated in accordance with the decisions taken by the Council at its sessions in November 1972 (document UPOV/C/VI/12, paragraph 57), October 1992 (document C/26/15, paragraph 14) and April 2006 (document </w:t>
      </w:r>
      <w:proofErr w:type="gramStart"/>
      <w:r w:rsidRPr="00604A6F">
        <w:rPr>
          <w:snapToGrid w:val="0"/>
        </w:rPr>
        <w:t>C(</w:t>
      </w:r>
      <w:proofErr w:type="spellStart"/>
      <w:proofErr w:type="gramEnd"/>
      <w:r w:rsidRPr="00604A6F">
        <w:rPr>
          <w:snapToGrid w:val="0"/>
        </w:rPr>
        <w:t>Extr</w:t>
      </w:r>
      <w:proofErr w:type="spellEnd"/>
      <w:r w:rsidRPr="00604A6F">
        <w:rPr>
          <w:snapToGrid w:val="0"/>
        </w:rPr>
        <w:t>.)/23/4, paragraph 10, and document UPOV/INF/13, Annex) is as follows:</w:t>
      </w:r>
    </w:p>
    <w:p w:rsidR="002F09F3" w:rsidRDefault="002F09F3" w:rsidP="00532F43">
      <w:pPr>
        <w:ind w:firstLine="567"/>
      </w:pPr>
    </w:p>
    <w:tbl>
      <w:tblPr>
        <w:tblW w:w="0" w:type="auto"/>
        <w:tblInd w:w="675"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3062"/>
        <w:gridCol w:w="1043"/>
        <w:gridCol w:w="360"/>
        <w:gridCol w:w="3045"/>
        <w:gridCol w:w="1041"/>
        <w:gridCol w:w="381"/>
      </w:tblGrid>
      <w:tr w:rsidR="002F09F3" w:rsidRPr="00604A6F" w:rsidTr="00532F43">
        <w:trPr>
          <w:tblHeader/>
        </w:trPr>
        <w:tc>
          <w:tcPr>
            <w:tcW w:w="3062" w:type="dxa"/>
            <w:tcBorders>
              <w:top w:val="single" w:sz="8" w:space="0" w:color="auto"/>
              <w:left w:val="single" w:sz="8" w:space="0" w:color="auto"/>
              <w:bottom w:val="single" w:sz="8" w:space="0" w:color="auto"/>
              <w:right w:val="nil"/>
            </w:tcBorders>
            <w:shd w:val="clear" w:color="auto" w:fill="CCFF99"/>
            <w:vAlign w:val="center"/>
          </w:tcPr>
          <w:p w:rsidR="002F09F3" w:rsidRPr="00604A6F" w:rsidRDefault="002F09F3" w:rsidP="00D81BFB">
            <w:pPr>
              <w:spacing w:before="120" w:after="120"/>
              <w:rPr>
                <w:rFonts w:cs="Arial"/>
              </w:rPr>
            </w:pPr>
            <w:r w:rsidRPr="00604A6F">
              <w:rPr>
                <w:rFonts w:cs="Arial"/>
              </w:rPr>
              <w:t>Member of the Union</w:t>
            </w:r>
          </w:p>
        </w:tc>
        <w:tc>
          <w:tcPr>
            <w:tcW w:w="1403" w:type="dxa"/>
            <w:gridSpan w:val="2"/>
            <w:tcBorders>
              <w:top w:val="single" w:sz="8" w:space="0" w:color="auto"/>
              <w:left w:val="nil"/>
              <w:bottom w:val="single" w:sz="8" w:space="0" w:color="auto"/>
              <w:right w:val="single" w:sz="8" w:space="0" w:color="auto"/>
            </w:tcBorders>
            <w:shd w:val="clear" w:color="auto" w:fill="CCFF99"/>
            <w:vAlign w:val="center"/>
          </w:tcPr>
          <w:p w:rsidR="002F09F3" w:rsidRPr="00604A6F" w:rsidRDefault="002F09F3" w:rsidP="00532F43">
            <w:pPr>
              <w:spacing w:before="120" w:after="120"/>
              <w:jc w:val="center"/>
              <w:rPr>
                <w:rFonts w:cs="Arial"/>
              </w:rPr>
            </w:pPr>
            <w:r>
              <w:rPr>
                <w:rFonts w:cs="Arial"/>
              </w:rPr>
              <w:t>Swiss francs</w:t>
            </w:r>
          </w:p>
        </w:tc>
        <w:tc>
          <w:tcPr>
            <w:tcW w:w="3045" w:type="dxa"/>
            <w:tcBorders>
              <w:top w:val="single" w:sz="8" w:space="0" w:color="auto"/>
              <w:left w:val="single" w:sz="8" w:space="0" w:color="auto"/>
              <w:bottom w:val="single" w:sz="8" w:space="0" w:color="auto"/>
              <w:right w:val="nil"/>
            </w:tcBorders>
            <w:shd w:val="clear" w:color="auto" w:fill="CCFF99"/>
            <w:vAlign w:val="center"/>
          </w:tcPr>
          <w:p w:rsidR="002F09F3" w:rsidRPr="00604A6F" w:rsidRDefault="002F09F3" w:rsidP="00D81BFB">
            <w:pPr>
              <w:spacing w:before="120" w:after="120"/>
              <w:rPr>
                <w:rFonts w:cs="Arial"/>
              </w:rPr>
            </w:pPr>
            <w:r w:rsidRPr="00604A6F">
              <w:rPr>
                <w:rFonts w:cs="Arial"/>
              </w:rPr>
              <w:t>Member of the Union</w:t>
            </w:r>
          </w:p>
        </w:tc>
        <w:tc>
          <w:tcPr>
            <w:tcW w:w="1422" w:type="dxa"/>
            <w:gridSpan w:val="2"/>
            <w:tcBorders>
              <w:top w:val="single" w:sz="8" w:space="0" w:color="auto"/>
              <w:left w:val="nil"/>
              <w:bottom w:val="single" w:sz="8" w:space="0" w:color="auto"/>
              <w:right w:val="single" w:sz="8" w:space="0" w:color="auto"/>
            </w:tcBorders>
            <w:shd w:val="clear" w:color="auto" w:fill="CCFF99"/>
            <w:vAlign w:val="center"/>
          </w:tcPr>
          <w:p w:rsidR="002F09F3" w:rsidRPr="00604A6F" w:rsidRDefault="002F09F3" w:rsidP="00532F43">
            <w:pPr>
              <w:spacing w:before="120" w:after="120"/>
              <w:jc w:val="center"/>
              <w:rPr>
                <w:rFonts w:cs="Arial"/>
              </w:rPr>
            </w:pPr>
            <w:r>
              <w:rPr>
                <w:rFonts w:cs="Arial"/>
              </w:rPr>
              <w:t>Swiss francs</w:t>
            </w:r>
          </w:p>
        </w:tc>
      </w:tr>
      <w:tr w:rsidR="002F09F3" w:rsidRPr="005A409F" w:rsidTr="00532F43">
        <w:trPr>
          <w:tblHeader/>
        </w:trPr>
        <w:tc>
          <w:tcPr>
            <w:tcW w:w="3062" w:type="dxa"/>
            <w:tcBorders>
              <w:top w:val="single" w:sz="8" w:space="0" w:color="auto"/>
              <w:bottom w:val="nil"/>
              <w:right w:val="nil"/>
            </w:tcBorders>
            <w:vAlign w:val="center"/>
          </w:tcPr>
          <w:p w:rsidR="002F09F3" w:rsidRPr="005A409F" w:rsidRDefault="002F09F3" w:rsidP="00D81BFB">
            <w:pPr>
              <w:rPr>
                <w:rFonts w:cs="Arial"/>
                <w:sz w:val="10"/>
                <w:szCs w:val="10"/>
              </w:rPr>
            </w:pPr>
          </w:p>
        </w:tc>
        <w:tc>
          <w:tcPr>
            <w:tcW w:w="1043" w:type="dxa"/>
            <w:tcBorders>
              <w:top w:val="single" w:sz="8" w:space="0" w:color="auto"/>
              <w:left w:val="nil"/>
              <w:bottom w:val="nil"/>
              <w:right w:val="nil"/>
            </w:tcBorders>
          </w:tcPr>
          <w:p w:rsidR="002F09F3" w:rsidRPr="005A409F" w:rsidRDefault="002F09F3" w:rsidP="00532F43">
            <w:pPr>
              <w:jc w:val="right"/>
              <w:rPr>
                <w:rFonts w:cs="Arial"/>
                <w:sz w:val="10"/>
                <w:szCs w:val="10"/>
              </w:rPr>
            </w:pPr>
          </w:p>
        </w:tc>
        <w:tc>
          <w:tcPr>
            <w:tcW w:w="360" w:type="dxa"/>
            <w:tcBorders>
              <w:top w:val="single" w:sz="8" w:space="0" w:color="auto"/>
              <w:left w:val="nil"/>
              <w:bottom w:val="nil"/>
              <w:right w:val="single" w:sz="8" w:space="0" w:color="auto"/>
            </w:tcBorders>
          </w:tcPr>
          <w:p w:rsidR="002F09F3" w:rsidRPr="005A409F" w:rsidRDefault="002F09F3" w:rsidP="00D81BFB">
            <w:pPr>
              <w:rPr>
                <w:rFonts w:cs="Arial"/>
                <w:sz w:val="10"/>
                <w:szCs w:val="10"/>
              </w:rPr>
            </w:pPr>
          </w:p>
        </w:tc>
        <w:tc>
          <w:tcPr>
            <w:tcW w:w="3045" w:type="dxa"/>
            <w:tcBorders>
              <w:top w:val="single" w:sz="8" w:space="0" w:color="auto"/>
              <w:left w:val="single" w:sz="8" w:space="0" w:color="auto"/>
              <w:bottom w:val="nil"/>
              <w:right w:val="nil"/>
            </w:tcBorders>
          </w:tcPr>
          <w:p w:rsidR="002F09F3" w:rsidRPr="005A409F" w:rsidRDefault="002F09F3" w:rsidP="00532F43">
            <w:pPr>
              <w:rPr>
                <w:rFonts w:cs="Arial"/>
                <w:sz w:val="10"/>
                <w:szCs w:val="10"/>
              </w:rPr>
            </w:pPr>
          </w:p>
        </w:tc>
        <w:tc>
          <w:tcPr>
            <w:tcW w:w="1041" w:type="dxa"/>
            <w:tcBorders>
              <w:top w:val="single" w:sz="8" w:space="0" w:color="auto"/>
              <w:left w:val="nil"/>
              <w:bottom w:val="nil"/>
              <w:right w:val="nil"/>
            </w:tcBorders>
          </w:tcPr>
          <w:p w:rsidR="002F09F3" w:rsidRPr="005A409F" w:rsidRDefault="002F09F3" w:rsidP="00532F43">
            <w:pPr>
              <w:jc w:val="right"/>
              <w:rPr>
                <w:rFonts w:cs="Arial"/>
                <w:sz w:val="10"/>
                <w:szCs w:val="10"/>
              </w:rPr>
            </w:pPr>
          </w:p>
        </w:tc>
        <w:tc>
          <w:tcPr>
            <w:tcW w:w="381" w:type="dxa"/>
            <w:tcBorders>
              <w:top w:val="single" w:sz="8" w:space="0" w:color="auto"/>
              <w:left w:val="nil"/>
              <w:bottom w:val="nil"/>
              <w:right w:val="single" w:sz="8" w:space="0" w:color="auto"/>
            </w:tcBorders>
          </w:tcPr>
          <w:p w:rsidR="002F09F3" w:rsidRPr="005A409F" w:rsidRDefault="002F09F3" w:rsidP="00532F43">
            <w:pPr>
              <w:jc w:val="left"/>
              <w:rPr>
                <w:rFonts w:cs="Arial"/>
                <w:sz w:val="10"/>
                <w:szCs w:val="10"/>
              </w:rPr>
            </w:pPr>
          </w:p>
        </w:tc>
      </w:tr>
      <w:tr w:rsidR="002F09F3" w:rsidRPr="00604A6F" w:rsidTr="00532F43">
        <w:tc>
          <w:tcPr>
            <w:tcW w:w="3062" w:type="dxa"/>
            <w:tcBorders>
              <w:top w:val="nil"/>
              <w:bottom w:val="nil"/>
              <w:right w:val="nil"/>
            </w:tcBorders>
            <w:vAlign w:val="center"/>
          </w:tcPr>
          <w:p w:rsidR="002F09F3" w:rsidRPr="00604A6F" w:rsidRDefault="002F09F3" w:rsidP="00D81BFB">
            <w:pPr>
              <w:rPr>
                <w:rFonts w:cs="Arial"/>
              </w:rPr>
            </w:pPr>
            <w:r w:rsidRPr="00604A6F">
              <w:rPr>
                <w:rFonts w:cs="Arial"/>
              </w:rPr>
              <w:t>Albania</w:t>
            </w:r>
          </w:p>
        </w:tc>
        <w:tc>
          <w:tcPr>
            <w:tcW w:w="1043" w:type="dxa"/>
            <w:tcBorders>
              <w:top w:val="nil"/>
              <w:left w:val="nil"/>
              <w:bottom w:val="nil"/>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60" w:type="dxa"/>
            <w:tcBorders>
              <w:top w:val="nil"/>
              <w:left w:val="nil"/>
              <w:bottom w:val="nil"/>
              <w:right w:val="single" w:sz="8" w:space="0" w:color="auto"/>
            </w:tcBorders>
          </w:tcPr>
          <w:p w:rsidR="002F09F3" w:rsidRPr="00604A6F" w:rsidRDefault="002F09F3" w:rsidP="00D81BFB">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Lithuania</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81" w:type="dxa"/>
            <w:tcBorders>
              <w:top w:val="nil"/>
              <w:left w:val="nil"/>
              <w:bottom w:val="nil"/>
              <w:right w:val="single" w:sz="8" w:space="0" w:color="auto"/>
            </w:tcBorders>
          </w:tcPr>
          <w:p w:rsidR="002F09F3" w:rsidRPr="00604A6F" w:rsidRDefault="002F09F3" w:rsidP="00532F43">
            <w:pPr>
              <w:jc w:val="left"/>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sidRPr="00604A6F">
              <w:rPr>
                <w:rFonts w:cs="Arial"/>
              </w:rPr>
              <w:t>Argentina</w:t>
            </w:r>
          </w:p>
        </w:tc>
        <w:tc>
          <w:tcPr>
            <w:tcW w:w="1043" w:type="dxa"/>
            <w:tcBorders>
              <w:top w:val="nil"/>
              <w:left w:val="nil"/>
              <w:bottom w:val="nil"/>
              <w:right w:val="nil"/>
            </w:tcBorders>
          </w:tcPr>
          <w:p w:rsidR="002F09F3" w:rsidRPr="00604A6F" w:rsidRDefault="002F09F3" w:rsidP="00532F43">
            <w:pPr>
              <w:jc w:val="right"/>
              <w:rPr>
                <w:rFonts w:cs="Arial"/>
              </w:rPr>
            </w:pPr>
            <w:r w:rsidRPr="00604A6F">
              <w:rPr>
                <w:rFonts w:cs="Arial"/>
              </w:rPr>
              <w:t>4</w:t>
            </w:r>
            <w:r>
              <w:rPr>
                <w:rFonts w:cs="Arial"/>
              </w:rPr>
              <w:t>,</w:t>
            </w:r>
            <w:r w:rsidRPr="00604A6F">
              <w:rPr>
                <w:rFonts w:cs="Arial"/>
              </w:rPr>
              <w:t>167</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Mexico</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6</w:t>
            </w:r>
            <w:r>
              <w:rPr>
                <w:rFonts w:cs="Arial"/>
              </w:rPr>
              <w:t>,</w:t>
            </w:r>
            <w:r w:rsidRPr="00604A6F">
              <w:rPr>
                <w:rFonts w:cs="Arial"/>
              </w:rPr>
              <w:t>250</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sidRPr="00604A6F">
              <w:rPr>
                <w:rFonts w:cs="Arial"/>
              </w:rPr>
              <w:t>Australia</w:t>
            </w:r>
          </w:p>
        </w:tc>
        <w:tc>
          <w:tcPr>
            <w:tcW w:w="1043" w:type="dxa"/>
            <w:tcBorders>
              <w:top w:val="nil"/>
              <w:left w:val="nil"/>
              <w:bottom w:val="nil"/>
              <w:right w:val="nil"/>
            </w:tcBorders>
          </w:tcPr>
          <w:p w:rsidR="002F09F3" w:rsidRPr="00604A6F" w:rsidRDefault="002F09F3" w:rsidP="00532F43">
            <w:pPr>
              <w:jc w:val="right"/>
              <w:rPr>
                <w:rFonts w:cs="Arial"/>
              </w:rPr>
            </w:pPr>
            <w:r w:rsidRPr="00604A6F">
              <w:rPr>
                <w:rFonts w:cs="Arial"/>
              </w:rPr>
              <w:t>8</w:t>
            </w:r>
            <w:r>
              <w:rPr>
                <w:rFonts w:cs="Arial"/>
              </w:rPr>
              <w:t>,</w:t>
            </w:r>
            <w:r w:rsidRPr="00604A6F">
              <w:rPr>
                <w:rFonts w:cs="Arial"/>
              </w:rPr>
              <w:t>333</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Morocco</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sidRPr="00604A6F">
              <w:rPr>
                <w:rFonts w:cs="Arial"/>
              </w:rPr>
              <w:t>Austria</w:t>
            </w:r>
          </w:p>
        </w:tc>
        <w:tc>
          <w:tcPr>
            <w:tcW w:w="1043" w:type="dxa"/>
            <w:tcBorders>
              <w:top w:val="nil"/>
              <w:left w:val="nil"/>
              <w:bottom w:val="nil"/>
              <w:right w:val="nil"/>
            </w:tcBorders>
          </w:tcPr>
          <w:p w:rsidR="002F09F3" w:rsidRPr="00604A6F" w:rsidRDefault="002F09F3" w:rsidP="00532F43">
            <w:pPr>
              <w:jc w:val="right"/>
              <w:rPr>
                <w:rFonts w:cs="Arial"/>
              </w:rPr>
            </w:pPr>
            <w:r w:rsidRPr="00604A6F">
              <w:rPr>
                <w:rFonts w:cs="Arial"/>
              </w:rPr>
              <w:t>12</w:t>
            </w:r>
            <w:r>
              <w:rPr>
                <w:rFonts w:cs="Arial"/>
              </w:rPr>
              <w:t>,</w:t>
            </w:r>
            <w:r w:rsidRPr="00604A6F">
              <w:rPr>
                <w:rFonts w:cs="Arial"/>
              </w:rPr>
              <w:t>500</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Netherlands</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24</w:t>
            </w:r>
            <w:r>
              <w:rPr>
                <w:rFonts w:cs="Arial"/>
              </w:rPr>
              <w:t>,</w:t>
            </w:r>
            <w:r w:rsidRPr="00604A6F">
              <w:rPr>
                <w:rFonts w:cs="Arial"/>
              </w:rPr>
              <w:t>999</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sidRPr="00604A6F">
              <w:rPr>
                <w:rFonts w:cs="Arial"/>
              </w:rPr>
              <w:t>Azerbaijan</w:t>
            </w:r>
          </w:p>
        </w:tc>
        <w:tc>
          <w:tcPr>
            <w:tcW w:w="1043" w:type="dxa"/>
            <w:tcBorders>
              <w:top w:val="nil"/>
              <w:left w:val="nil"/>
              <w:bottom w:val="nil"/>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New Zealand</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8</w:t>
            </w:r>
            <w:r>
              <w:rPr>
                <w:rFonts w:cs="Arial"/>
              </w:rPr>
              <w:t>,</w:t>
            </w:r>
            <w:r w:rsidRPr="00604A6F">
              <w:rPr>
                <w:rFonts w:cs="Arial"/>
              </w:rPr>
              <w:t>333</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sidRPr="00604A6F">
              <w:rPr>
                <w:rFonts w:cs="Arial"/>
              </w:rPr>
              <w:t>Belarus</w:t>
            </w:r>
          </w:p>
        </w:tc>
        <w:tc>
          <w:tcPr>
            <w:tcW w:w="1043" w:type="dxa"/>
            <w:tcBorders>
              <w:top w:val="nil"/>
              <w:left w:val="nil"/>
              <w:bottom w:val="nil"/>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Nicaragua</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sidRPr="00604A6F">
              <w:rPr>
                <w:rFonts w:cs="Arial"/>
              </w:rPr>
              <w:t>Belgium</w:t>
            </w:r>
          </w:p>
        </w:tc>
        <w:tc>
          <w:tcPr>
            <w:tcW w:w="1043" w:type="dxa"/>
            <w:tcBorders>
              <w:top w:val="nil"/>
              <w:left w:val="nil"/>
              <w:bottom w:val="nil"/>
              <w:right w:val="nil"/>
            </w:tcBorders>
          </w:tcPr>
          <w:p w:rsidR="002F09F3" w:rsidRPr="00604A6F" w:rsidRDefault="002F09F3" w:rsidP="00532F43">
            <w:pPr>
              <w:jc w:val="right"/>
              <w:rPr>
                <w:rFonts w:cs="Arial"/>
              </w:rPr>
            </w:pPr>
            <w:r w:rsidRPr="00604A6F">
              <w:rPr>
                <w:rFonts w:cs="Arial"/>
              </w:rPr>
              <w:t>8</w:t>
            </w:r>
            <w:r>
              <w:rPr>
                <w:rFonts w:cs="Arial"/>
              </w:rPr>
              <w:t>,</w:t>
            </w:r>
            <w:r w:rsidRPr="00604A6F">
              <w:rPr>
                <w:rFonts w:cs="Arial"/>
              </w:rPr>
              <w:t>333</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Norway</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8</w:t>
            </w:r>
            <w:r>
              <w:rPr>
                <w:rFonts w:cs="Arial"/>
              </w:rPr>
              <w:t>,</w:t>
            </w:r>
            <w:r w:rsidRPr="00604A6F">
              <w:rPr>
                <w:rFonts w:cs="Arial"/>
              </w:rPr>
              <w:t>333</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sidRPr="00604A6F">
              <w:rPr>
                <w:rFonts w:cs="Arial"/>
              </w:rPr>
              <w:t>Bolivia (</w:t>
            </w:r>
            <w:proofErr w:type="spellStart"/>
            <w:r w:rsidRPr="00604A6F">
              <w:rPr>
                <w:rFonts w:cs="Arial"/>
              </w:rPr>
              <w:t>Plurinational</w:t>
            </w:r>
            <w:proofErr w:type="spellEnd"/>
            <w:r w:rsidRPr="00604A6F">
              <w:rPr>
                <w:rFonts w:cs="Arial"/>
              </w:rPr>
              <w:t xml:space="preserve"> State of)</w:t>
            </w:r>
          </w:p>
        </w:tc>
        <w:tc>
          <w:tcPr>
            <w:tcW w:w="1043" w:type="dxa"/>
            <w:tcBorders>
              <w:top w:val="nil"/>
              <w:left w:val="nil"/>
              <w:bottom w:val="nil"/>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Oman</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8</w:t>
            </w:r>
            <w:r>
              <w:rPr>
                <w:rFonts w:cs="Arial"/>
              </w:rPr>
              <w:t>,</w:t>
            </w:r>
            <w:r w:rsidRPr="00604A6F">
              <w:rPr>
                <w:rFonts w:cs="Arial"/>
              </w:rPr>
              <w:t>333</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sidRPr="00604A6F">
              <w:rPr>
                <w:rFonts w:cs="Arial"/>
              </w:rPr>
              <w:t>Brazil</w:t>
            </w:r>
          </w:p>
        </w:tc>
        <w:tc>
          <w:tcPr>
            <w:tcW w:w="1043" w:type="dxa"/>
            <w:tcBorders>
              <w:top w:val="nil"/>
              <w:left w:val="nil"/>
              <w:bottom w:val="nil"/>
              <w:right w:val="nil"/>
            </w:tcBorders>
          </w:tcPr>
          <w:p w:rsidR="002F09F3" w:rsidRPr="00604A6F" w:rsidRDefault="002F09F3" w:rsidP="00532F43">
            <w:pPr>
              <w:jc w:val="right"/>
              <w:rPr>
                <w:rFonts w:cs="Arial"/>
              </w:rPr>
            </w:pPr>
            <w:r w:rsidRPr="00604A6F">
              <w:rPr>
                <w:rFonts w:cs="Arial"/>
              </w:rPr>
              <w:t>2</w:t>
            </w:r>
            <w:r>
              <w:rPr>
                <w:rFonts w:cs="Arial"/>
              </w:rPr>
              <w:t>,</w:t>
            </w:r>
            <w:r w:rsidRPr="00604A6F">
              <w:rPr>
                <w:rFonts w:cs="Arial"/>
              </w:rPr>
              <w:t>083</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Panama</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Default="002F09F3" w:rsidP="00532F43">
            <w:pPr>
              <w:rPr>
                <w:rFonts w:cs="Arial"/>
              </w:rPr>
            </w:pPr>
            <w:r w:rsidRPr="00604A6F">
              <w:rPr>
                <w:rFonts w:cs="Arial"/>
              </w:rPr>
              <w:t>Bulgaria</w:t>
            </w:r>
          </w:p>
          <w:p w:rsidR="002F09F3" w:rsidRPr="00604A6F" w:rsidRDefault="002F09F3" w:rsidP="00532F43">
            <w:pPr>
              <w:rPr>
                <w:rFonts w:cs="Arial"/>
              </w:rPr>
            </w:pPr>
            <w:r>
              <w:rPr>
                <w:rFonts w:cs="Arial"/>
              </w:rPr>
              <w:t>Canada</w:t>
            </w:r>
          </w:p>
        </w:tc>
        <w:tc>
          <w:tcPr>
            <w:tcW w:w="1043" w:type="dxa"/>
            <w:tcBorders>
              <w:top w:val="nil"/>
              <w:left w:val="nil"/>
              <w:bottom w:val="nil"/>
              <w:right w:val="nil"/>
            </w:tcBorders>
          </w:tcPr>
          <w:p w:rsidR="002F09F3" w:rsidRDefault="002F09F3" w:rsidP="00532F43">
            <w:pPr>
              <w:jc w:val="right"/>
              <w:rPr>
                <w:rFonts w:cs="Arial"/>
              </w:rPr>
            </w:pPr>
            <w:r w:rsidRPr="00604A6F">
              <w:rPr>
                <w:rFonts w:cs="Arial"/>
              </w:rPr>
              <w:t>1</w:t>
            </w:r>
            <w:r>
              <w:rPr>
                <w:rFonts w:cs="Arial"/>
              </w:rPr>
              <w:t>,</w:t>
            </w:r>
            <w:r w:rsidRPr="00604A6F">
              <w:rPr>
                <w:rFonts w:cs="Arial"/>
              </w:rPr>
              <w:t>667</w:t>
            </w:r>
          </w:p>
          <w:p w:rsidR="002F09F3" w:rsidRPr="00604A6F" w:rsidRDefault="002F09F3" w:rsidP="00532F43">
            <w:pPr>
              <w:jc w:val="right"/>
              <w:rPr>
                <w:rFonts w:cs="Arial"/>
              </w:rPr>
            </w:pPr>
            <w:r>
              <w:rPr>
                <w:rFonts w:cs="Arial"/>
              </w:rPr>
              <w:t>8,333</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Default="002F09F3" w:rsidP="00532F43">
            <w:pPr>
              <w:rPr>
                <w:rFonts w:cs="Arial"/>
              </w:rPr>
            </w:pPr>
            <w:r w:rsidRPr="00604A6F">
              <w:rPr>
                <w:rFonts w:cs="Arial"/>
              </w:rPr>
              <w:t>Paraguay</w:t>
            </w:r>
          </w:p>
          <w:p w:rsidR="002F09F3" w:rsidRPr="00604A6F" w:rsidRDefault="002F09F3" w:rsidP="00532F43">
            <w:pPr>
              <w:rPr>
                <w:rFonts w:cs="Arial"/>
              </w:rPr>
            </w:pPr>
            <w:r>
              <w:rPr>
                <w:rFonts w:cs="Arial"/>
              </w:rPr>
              <w:t>Peru</w:t>
            </w:r>
          </w:p>
        </w:tc>
        <w:tc>
          <w:tcPr>
            <w:tcW w:w="1041" w:type="dxa"/>
            <w:tcBorders>
              <w:top w:val="nil"/>
              <w:left w:val="nil"/>
              <w:bottom w:val="nil"/>
              <w:right w:val="nil"/>
            </w:tcBorders>
          </w:tcPr>
          <w:p w:rsidR="002F09F3" w:rsidRDefault="002F09F3" w:rsidP="00532F43">
            <w:pPr>
              <w:jc w:val="right"/>
              <w:rPr>
                <w:rFonts w:cs="Arial"/>
              </w:rPr>
            </w:pPr>
            <w:r w:rsidRPr="00604A6F">
              <w:rPr>
                <w:rFonts w:cs="Arial"/>
              </w:rPr>
              <w:t>1</w:t>
            </w:r>
            <w:r>
              <w:rPr>
                <w:rFonts w:cs="Arial"/>
              </w:rPr>
              <w:t>,</w:t>
            </w:r>
            <w:r w:rsidRPr="00604A6F">
              <w:rPr>
                <w:rFonts w:cs="Arial"/>
              </w:rPr>
              <w:t>667</w:t>
            </w:r>
          </w:p>
          <w:p w:rsidR="002F09F3" w:rsidRPr="00604A6F" w:rsidRDefault="002F09F3" w:rsidP="00532F43">
            <w:pPr>
              <w:jc w:val="right"/>
              <w:rPr>
                <w:rFonts w:cs="Arial"/>
              </w:rPr>
            </w:pPr>
            <w:r>
              <w:rPr>
                <w:rFonts w:cs="Arial"/>
              </w:rPr>
              <w:t>1,667</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Pr>
                <w:rFonts w:cs="Arial"/>
              </w:rPr>
              <w:t>Chile</w:t>
            </w:r>
          </w:p>
        </w:tc>
        <w:tc>
          <w:tcPr>
            <w:tcW w:w="1043" w:type="dxa"/>
            <w:tcBorders>
              <w:top w:val="nil"/>
              <w:left w:val="nil"/>
              <w:bottom w:val="nil"/>
              <w:right w:val="nil"/>
            </w:tcBorders>
          </w:tcPr>
          <w:p w:rsidR="002F09F3" w:rsidRPr="00604A6F" w:rsidRDefault="002F09F3" w:rsidP="00532F43">
            <w:pPr>
              <w:jc w:val="right"/>
              <w:rPr>
                <w:rFonts w:cs="Arial"/>
              </w:rPr>
            </w:pPr>
            <w:r>
              <w:rPr>
                <w:rFonts w:cs="Arial"/>
              </w:rPr>
              <w:t>1,667</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Poland</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4</w:t>
            </w:r>
            <w:r>
              <w:rPr>
                <w:rFonts w:cs="Arial"/>
              </w:rPr>
              <w:t>,</w:t>
            </w:r>
            <w:r w:rsidRPr="00604A6F">
              <w:rPr>
                <w:rFonts w:cs="Arial"/>
              </w:rPr>
              <w:t>167</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Pr>
                <w:rFonts w:cs="Arial"/>
              </w:rPr>
              <w:t>China</w:t>
            </w:r>
          </w:p>
        </w:tc>
        <w:tc>
          <w:tcPr>
            <w:tcW w:w="1043" w:type="dxa"/>
            <w:tcBorders>
              <w:top w:val="nil"/>
              <w:left w:val="nil"/>
              <w:bottom w:val="nil"/>
              <w:right w:val="nil"/>
            </w:tcBorders>
          </w:tcPr>
          <w:p w:rsidR="002F09F3" w:rsidRPr="00604A6F" w:rsidRDefault="002F09F3" w:rsidP="00532F43">
            <w:pPr>
              <w:jc w:val="right"/>
              <w:rPr>
                <w:rFonts w:cs="Arial"/>
              </w:rPr>
            </w:pPr>
            <w:r>
              <w:rPr>
                <w:rFonts w:cs="Arial"/>
              </w:rPr>
              <w:t>4,1</w:t>
            </w:r>
            <w:r w:rsidRPr="00604A6F">
              <w:rPr>
                <w:rFonts w:cs="Arial"/>
              </w:rPr>
              <w:t>67</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Portugal</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4</w:t>
            </w:r>
            <w:r>
              <w:rPr>
                <w:rFonts w:cs="Arial"/>
              </w:rPr>
              <w:t>,</w:t>
            </w:r>
            <w:r w:rsidRPr="00604A6F">
              <w:rPr>
                <w:rFonts w:cs="Arial"/>
              </w:rPr>
              <w:t>167</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Pr>
                <w:rFonts w:cs="Arial"/>
              </w:rPr>
              <w:t>Colombia</w:t>
            </w:r>
          </w:p>
        </w:tc>
        <w:tc>
          <w:tcPr>
            <w:tcW w:w="1043" w:type="dxa"/>
            <w:tcBorders>
              <w:top w:val="nil"/>
              <w:left w:val="nil"/>
              <w:bottom w:val="nil"/>
              <w:right w:val="nil"/>
            </w:tcBorders>
          </w:tcPr>
          <w:p w:rsidR="002F09F3" w:rsidRPr="00604A6F" w:rsidRDefault="002F09F3" w:rsidP="00532F43">
            <w:pPr>
              <w:jc w:val="right"/>
              <w:rPr>
                <w:rFonts w:cs="Arial"/>
              </w:rPr>
            </w:pPr>
            <w:r>
              <w:rPr>
                <w:rFonts w:cs="Arial"/>
              </w:rPr>
              <w:t>1,6</w:t>
            </w:r>
            <w:r w:rsidRPr="00604A6F">
              <w:rPr>
                <w:rFonts w:cs="Arial"/>
              </w:rPr>
              <w:t>67</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Republic of Korea</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12</w:t>
            </w:r>
            <w:r>
              <w:rPr>
                <w:rFonts w:cs="Arial"/>
              </w:rPr>
              <w:t>,</w:t>
            </w:r>
            <w:r w:rsidRPr="00604A6F">
              <w:rPr>
                <w:rFonts w:cs="Arial"/>
              </w:rPr>
              <w:t>500</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Pr>
                <w:rFonts w:cs="Arial"/>
              </w:rPr>
              <w:t>Costa Rica</w:t>
            </w:r>
          </w:p>
        </w:tc>
        <w:tc>
          <w:tcPr>
            <w:tcW w:w="1043" w:type="dxa"/>
            <w:tcBorders>
              <w:top w:val="nil"/>
              <w:left w:val="nil"/>
              <w:bottom w:val="nil"/>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Republic of Moldova</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Pr>
                <w:rFonts w:cs="Arial"/>
              </w:rPr>
              <w:t>Croatia</w:t>
            </w:r>
          </w:p>
        </w:tc>
        <w:tc>
          <w:tcPr>
            <w:tcW w:w="1043" w:type="dxa"/>
            <w:tcBorders>
              <w:top w:val="nil"/>
              <w:left w:val="nil"/>
              <w:bottom w:val="nil"/>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Romania</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Pr>
                <w:rFonts w:cs="Arial"/>
              </w:rPr>
              <w:t>Czech Republic</w:t>
            </w:r>
          </w:p>
        </w:tc>
        <w:tc>
          <w:tcPr>
            <w:tcW w:w="1043" w:type="dxa"/>
            <w:tcBorders>
              <w:top w:val="nil"/>
              <w:left w:val="nil"/>
              <w:bottom w:val="nil"/>
              <w:right w:val="nil"/>
            </w:tcBorders>
          </w:tcPr>
          <w:p w:rsidR="002F09F3" w:rsidRPr="00604A6F" w:rsidRDefault="002F09F3" w:rsidP="00532F43">
            <w:pPr>
              <w:jc w:val="right"/>
              <w:rPr>
                <w:rFonts w:cs="Arial"/>
              </w:rPr>
            </w:pPr>
            <w:r>
              <w:rPr>
                <w:rFonts w:cs="Arial"/>
              </w:rPr>
              <w:t>4,1</w:t>
            </w:r>
            <w:r w:rsidRPr="00604A6F">
              <w:rPr>
                <w:rFonts w:cs="Arial"/>
              </w:rPr>
              <w:t>67</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Russian Federation</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4</w:t>
            </w:r>
            <w:r>
              <w:rPr>
                <w:rFonts w:cs="Arial"/>
              </w:rPr>
              <w:t>,</w:t>
            </w:r>
            <w:r w:rsidRPr="00604A6F">
              <w:rPr>
                <w:rFonts w:cs="Arial"/>
              </w:rPr>
              <w:t>167</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Pr>
                <w:rFonts w:cs="Arial"/>
              </w:rPr>
              <w:t>Denmark</w:t>
            </w:r>
          </w:p>
        </w:tc>
        <w:tc>
          <w:tcPr>
            <w:tcW w:w="1043" w:type="dxa"/>
            <w:tcBorders>
              <w:top w:val="nil"/>
              <w:left w:val="nil"/>
              <w:bottom w:val="nil"/>
              <w:right w:val="nil"/>
            </w:tcBorders>
          </w:tcPr>
          <w:p w:rsidR="002F09F3" w:rsidRPr="00604A6F" w:rsidRDefault="002F09F3" w:rsidP="00532F43">
            <w:pPr>
              <w:jc w:val="right"/>
              <w:rPr>
                <w:rFonts w:cs="Arial"/>
              </w:rPr>
            </w:pPr>
            <w:r>
              <w:rPr>
                <w:rFonts w:cs="Arial"/>
              </w:rPr>
              <w:t>8,333</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Singapore</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Pr>
                <w:rFonts w:cs="Arial"/>
              </w:rPr>
              <w:t>Dominican Republic</w:t>
            </w:r>
          </w:p>
        </w:tc>
        <w:tc>
          <w:tcPr>
            <w:tcW w:w="1043" w:type="dxa"/>
            <w:tcBorders>
              <w:top w:val="nil"/>
              <w:left w:val="nil"/>
              <w:bottom w:val="nil"/>
              <w:right w:val="nil"/>
            </w:tcBorders>
          </w:tcPr>
          <w:p w:rsidR="002F09F3" w:rsidRPr="00604A6F" w:rsidRDefault="002F09F3" w:rsidP="00532F43">
            <w:pPr>
              <w:jc w:val="right"/>
              <w:rPr>
                <w:rFonts w:cs="Arial"/>
              </w:rPr>
            </w:pPr>
            <w:r>
              <w:rPr>
                <w:rFonts w:cs="Arial"/>
              </w:rPr>
              <w:t>1,667</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Slovakia</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4</w:t>
            </w:r>
            <w:r>
              <w:rPr>
                <w:rFonts w:cs="Arial"/>
              </w:rPr>
              <w:t>,</w:t>
            </w:r>
            <w:r w:rsidRPr="00604A6F">
              <w:rPr>
                <w:rFonts w:cs="Arial"/>
              </w:rPr>
              <w:t>167</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Pr>
                <w:rFonts w:cs="Arial"/>
              </w:rPr>
              <w:t>Ecuador</w:t>
            </w:r>
          </w:p>
        </w:tc>
        <w:tc>
          <w:tcPr>
            <w:tcW w:w="1043" w:type="dxa"/>
            <w:tcBorders>
              <w:top w:val="nil"/>
              <w:left w:val="nil"/>
              <w:bottom w:val="nil"/>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vAlign w:val="center"/>
          </w:tcPr>
          <w:p w:rsidR="002F09F3" w:rsidRPr="00604A6F" w:rsidRDefault="002F09F3" w:rsidP="00D81BFB">
            <w:pPr>
              <w:rPr>
                <w:rFonts w:cs="Arial"/>
              </w:rPr>
            </w:pPr>
            <w:r w:rsidRPr="00604A6F">
              <w:rPr>
                <w:rFonts w:cs="Arial"/>
              </w:rPr>
              <w:t>Slovenia</w:t>
            </w:r>
          </w:p>
        </w:tc>
        <w:tc>
          <w:tcPr>
            <w:tcW w:w="1041" w:type="dxa"/>
            <w:tcBorders>
              <w:top w:val="nil"/>
              <w:left w:val="nil"/>
              <w:bottom w:val="nil"/>
              <w:right w:val="nil"/>
            </w:tcBorders>
            <w:vAlign w:val="center"/>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Pr>
                <w:rFonts w:cs="Arial"/>
              </w:rPr>
              <w:t>Estonia</w:t>
            </w:r>
          </w:p>
        </w:tc>
        <w:tc>
          <w:tcPr>
            <w:tcW w:w="1043" w:type="dxa"/>
            <w:tcBorders>
              <w:top w:val="nil"/>
              <w:left w:val="nil"/>
              <w:bottom w:val="nil"/>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South Africa</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8</w:t>
            </w:r>
            <w:r>
              <w:rPr>
                <w:rFonts w:cs="Arial"/>
              </w:rPr>
              <w:t>,</w:t>
            </w:r>
            <w:r w:rsidRPr="00604A6F">
              <w:rPr>
                <w:rFonts w:cs="Arial"/>
              </w:rPr>
              <w:t>333</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Pr>
                <w:rFonts w:cs="Arial"/>
              </w:rPr>
              <w:t>European Union</w:t>
            </w:r>
          </w:p>
        </w:tc>
        <w:tc>
          <w:tcPr>
            <w:tcW w:w="1043" w:type="dxa"/>
            <w:tcBorders>
              <w:top w:val="nil"/>
              <w:left w:val="nil"/>
              <w:bottom w:val="nil"/>
              <w:right w:val="nil"/>
            </w:tcBorders>
          </w:tcPr>
          <w:p w:rsidR="002F09F3" w:rsidRPr="00604A6F" w:rsidRDefault="002F09F3" w:rsidP="00532F43">
            <w:pPr>
              <w:jc w:val="right"/>
              <w:rPr>
                <w:rFonts w:cs="Arial"/>
              </w:rPr>
            </w:pPr>
            <w:r>
              <w:rPr>
                <w:rFonts w:cs="Arial"/>
              </w:rPr>
              <w:t>4</w:t>
            </w:r>
            <w:r w:rsidRPr="00604A6F">
              <w:rPr>
                <w:rFonts w:cs="Arial"/>
              </w:rPr>
              <w:t>1</w:t>
            </w:r>
            <w:r>
              <w:rPr>
                <w:rFonts w:cs="Arial"/>
              </w:rPr>
              <w:t>,</w:t>
            </w:r>
            <w:r w:rsidRPr="00604A6F">
              <w:rPr>
                <w:rFonts w:cs="Arial"/>
              </w:rPr>
              <w:t>667</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Spain</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12</w:t>
            </w:r>
            <w:r>
              <w:rPr>
                <w:rFonts w:cs="Arial"/>
              </w:rPr>
              <w:t>,</w:t>
            </w:r>
            <w:r w:rsidRPr="00604A6F">
              <w:rPr>
                <w:rFonts w:cs="Arial"/>
              </w:rPr>
              <w:t>500</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Pr>
                <w:rFonts w:cs="Arial"/>
              </w:rPr>
              <w:t>Finland</w:t>
            </w:r>
          </w:p>
        </w:tc>
        <w:tc>
          <w:tcPr>
            <w:tcW w:w="1043" w:type="dxa"/>
            <w:tcBorders>
              <w:top w:val="nil"/>
              <w:left w:val="nil"/>
              <w:bottom w:val="nil"/>
              <w:right w:val="nil"/>
            </w:tcBorders>
          </w:tcPr>
          <w:p w:rsidR="002F09F3" w:rsidRPr="00604A6F" w:rsidRDefault="002F09F3" w:rsidP="00532F43">
            <w:pPr>
              <w:jc w:val="right"/>
              <w:rPr>
                <w:rFonts w:cs="Arial"/>
              </w:rPr>
            </w:pPr>
            <w:r>
              <w:rPr>
                <w:rFonts w:cs="Arial"/>
              </w:rPr>
              <w:t>8,333</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Sweden</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8</w:t>
            </w:r>
            <w:r>
              <w:rPr>
                <w:rFonts w:cs="Arial"/>
              </w:rPr>
              <w:t>,</w:t>
            </w:r>
            <w:r w:rsidRPr="00604A6F">
              <w:rPr>
                <w:rFonts w:cs="Arial"/>
              </w:rPr>
              <w:t>333</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Default="002F09F3" w:rsidP="00532F43">
            <w:pPr>
              <w:rPr>
                <w:rFonts w:cs="Arial"/>
              </w:rPr>
            </w:pPr>
            <w:r>
              <w:rPr>
                <w:rFonts w:cs="Arial"/>
              </w:rPr>
              <w:t>France</w:t>
            </w:r>
          </w:p>
          <w:p w:rsidR="002F09F3" w:rsidRDefault="002F09F3" w:rsidP="00532F43">
            <w:pPr>
              <w:rPr>
                <w:rFonts w:cs="Arial"/>
              </w:rPr>
            </w:pPr>
            <w:r>
              <w:rPr>
                <w:rFonts w:cs="Arial"/>
              </w:rPr>
              <w:t>Georgia</w:t>
            </w:r>
          </w:p>
          <w:p w:rsidR="002F09F3" w:rsidRPr="00604A6F" w:rsidRDefault="002F09F3" w:rsidP="00532F43">
            <w:pPr>
              <w:rPr>
                <w:rFonts w:cs="Arial"/>
              </w:rPr>
            </w:pPr>
            <w:r>
              <w:rPr>
                <w:rFonts w:cs="Arial"/>
              </w:rPr>
              <w:t>Germany</w:t>
            </w:r>
          </w:p>
        </w:tc>
        <w:tc>
          <w:tcPr>
            <w:tcW w:w="1043" w:type="dxa"/>
            <w:tcBorders>
              <w:top w:val="nil"/>
              <w:left w:val="nil"/>
              <w:bottom w:val="nil"/>
              <w:right w:val="nil"/>
            </w:tcBorders>
          </w:tcPr>
          <w:p w:rsidR="002F09F3" w:rsidRDefault="002F09F3" w:rsidP="00532F43">
            <w:pPr>
              <w:jc w:val="right"/>
              <w:rPr>
                <w:rFonts w:cs="Arial"/>
              </w:rPr>
            </w:pPr>
            <w:r>
              <w:rPr>
                <w:rFonts w:cs="Arial"/>
              </w:rPr>
              <w:t>41,667</w:t>
            </w:r>
          </w:p>
          <w:p w:rsidR="002F09F3" w:rsidRDefault="002F09F3" w:rsidP="00532F43">
            <w:pPr>
              <w:jc w:val="right"/>
              <w:rPr>
                <w:rFonts w:cs="Arial"/>
              </w:rPr>
            </w:pPr>
            <w:r>
              <w:rPr>
                <w:rFonts w:cs="Arial"/>
              </w:rPr>
              <w:t>1,667</w:t>
            </w:r>
          </w:p>
          <w:p w:rsidR="002F09F3" w:rsidRPr="00604A6F" w:rsidRDefault="002F09F3" w:rsidP="00532F43">
            <w:pPr>
              <w:jc w:val="right"/>
              <w:rPr>
                <w:rFonts w:cs="Arial"/>
              </w:rPr>
            </w:pPr>
            <w:r>
              <w:rPr>
                <w:rFonts w:cs="Arial"/>
              </w:rPr>
              <w:t>41,667</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Default="002F09F3" w:rsidP="00532F43">
            <w:pPr>
              <w:rPr>
                <w:rFonts w:cs="Arial"/>
              </w:rPr>
            </w:pPr>
            <w:r w:rsidRPr="00604A6F">
              <w:rPr>
                <w:rFonts w:cs="Arial"/>
              </w:rPr>
              <w:t>Switzerland</w:t>
            </w:r>
          </w:p>
          <w:p w:rsidR="002F09F3" w:rsidRPr="00604A6F" w:rsidRDefault="002F09F3" w:rsidP="00532F43">
            <w:pPr>
              <w:rPr>
                <w:rFonts w:cs="Arial"/>
              </w:rPr>
            </w:pPr>
            <w:r>
              <w:rPr>
                <w:rFonts w:cs="Arial"/>
              </w:rPr>
              <w:t>The former Yugoslav Republic of Macedonia</w:t>
            </w:r>
          </w:p>
        </w:tc>
        <w:tc>
          <w:tcPr>
            <w:tcW w:w="1041" w:type="dxa"/>
            <w:tcBorders>
              <w:top w:val="nil"/>
              <w:left w:val="nil"/>
              <w:bottom w:val="nil"/>
              <w:right w:val="nil"/>
            </w:tcBorders>
          </w:tcPr>
          <w:p w:rsidR="002F09F3" w:rsidRDefault="002F09F3" w:rsidP="00532F43">
            <w:pPr>
              <w:jc w:val="right"/>
              <w:rPr>
                <w:rFonts w:cs="Arial"/>
              </w:rPr>
            </w:pPr>
            <w:r w:rsidRPr="00604A6F">
              <w:rPr>
                <w:rFonts w:cs="Arial"/>
              </w:rPr>
              <w:t>8</w:t>
            </w:r>
            <w:r>
              <w:rPr>
                <w:rFonts w:cs="Arial"/>
              </w:rPr>
              <w:t>,</w:t>
            </w:r>
            <w:r w:rsidRPr="00604A6F">
              <w:rPr>
                <w:rFonts w:cs="Arial"/>
              </w:rPr>
              <w:t>333</w:t>
            </w:r>
          </w:p>
          <w:p w:rsidR="002F09F3" w:rsidRDefault="002F09F3" w:rsidP="00532F43">
            <w:pPr>
              <w:jc w:val="right"/>
              <w:rPr>
                <w:rFonts w:cs="Arial"/>
              </w:rPr>
            </w:pPr>
          </w:p>
          <w:p w:rsidR="002F09F3" w:rsidRPr="00604A6F" w:rsidRDefault="002F09F3" w:rsidP="00532F43">
            <w:pPr>
              <w:jc w:val="right"/>
              <w:rPr>
                <w:rFonts w:cs="Arial"/>
              </w:rPr>
            </w:pPr>
            <w:r>
              <w:rPr>
                <w:rFonts w:cs="Arial"/>
              </w:rPr>
              <w:t>1,667</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Pr>
                <w:rFonts w:cs="Arial"/>
              </w:rPr>
              <w:t>Hungary</w:t>
            </w:r>
          </w:p>
        </w:tc>
        <w:tc>
          <w:tcPr>
            <w:tcW w:w="1043" w:type="dxa"/>
            <w:tcBorders>
              <w:top w:val="nil"/>
              <w:left w:val="nil"/>
              <w:bottom w:val="nil"/>
              <w:right w:val="nil"/>
            </w:tcBorders>
          </w:tcPr>
          <w:p w:rsidR="002F09F3" w:rsidRPr="00604A6F" w:rsidRDefault="002F09F3" w:rsidP="00532F43">
            <w:pPr>
              <w:jc w:val="right"/>
              <w:rPr>
                <w:rFonts w:cs="Arial"/>
              </w:rPr>
            </w:pPr>
            <w:r w:rsidRPr="00604A6F">
              <w:rPr>
                <w:rFonts w:cs="Arial"/>
              </w:rPr>
              <w:t>4</w:t>
            </w:r>
            <w:r>
              <w:rPr>
                <w:rFonts w:cs="Arial"/>
              </w:rPr>
              <w:t>,</w:t>
            </w:r>
            <w:r w:rsidRPr="00604A6F">
              <w:rPr>
                <w:rFonts w:cs="Arial"/>
              </w:rPr>
              <w:t>167</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Trinidad and Tobago</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Pr>
                <w:rFonts w:cs="Arial"/>
              </w:rPr>
              <w:t>Iceland</w:t>
            </w:r>
          </w:p>
        </w:tc>
        <w:tc>
          <w:tcPr>
            <w:tcW w:w="1043" w:type="dxa"/>
            <w:tcBorders>
              <w:top w:val="nil"/>
              <w:left w:val="nil"/>
              <w:bottom w:val="nil"/>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Tunisia</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Pr>
                <w:rFonts w:cs="Arial"/>
              </w:rPr>
              <w:t>Ireland</w:t>
            </w:r>
          </w:p>
        </w:tc>
        <w:tc>
          <w:tcPr>
            <w:tcW w:w="1043" w:type="dxa"/>
            <w:tcBorders>
              <w:top w:val="nil"/>
              <w:left w:val="nil"/>
              <w:bottom w:val="nil"/>
              <w:right w:val="nil"/>
            </w:tcBorders>
          </w:tcPr>
          <w:p w:rsidR="002F09F3" w:rsidRPr="00604A6F" w:rsidRDefault="002F09F3" w:rsidP="00532F43">
            <w:pPr>
              <w:jc w:val="right"/>
              <w:rPr>
                <w:rFonts w:cs="Arial"/>
              </w:rPr>
            </w:pPr>
            <w:r>
              <w:rPr>
                <w:rFonts w:cs="Arial"/>
              </w:rPr>
              <w:t>8,333</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Turkey</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4</w:t>
            </w:r>
            <w:r>
              <w:rPr>
                <w:rFonts w:cs="Arial"/>
              </w:rPr>
              <w:t>,</w:t>
            </w:r>
            <w:r w:rsidRPr="00604A6F">
              <w:rPr>
                <w:rFonts w:cs="Arial"/>
              </w:rPr>
              <w:t>167</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Pr>
                <w:rFonts w:cs="Arial"/>
              </w:rPr>
              <w:t>Israel</w:t>
            </w:r>
          </w:p>
        </w:tc>
        <w:tc>
          <w:tcPr>
            <w:tcW w:w="1043" w:type="dxa"/>
            <w:tcBorders>
              <w:top w:val="nil"/>
              <w:left w:val="nil"/>
              <w:bottom w:val="nil"/>
              <w:right w:val="nil"/>
            </w:tcBorders>
          </w:tcPr>
          <w:p w:rsidR="002F09F3" w:rsidRPr="00604A6F" w:rsidRDefault="002F09F3" w:rsidP="00532F43">
            <w:pPr>
              <w:jc w:val="right"/>
              <w:rPr>
                <w:rFonts w:cs="Arial"/>
              </w:rPr>
            </w:pPr>
            <w:r w:rsidRPr="00604A6F">
              <w:rPr>
                <w:rFonts w:cs="Arial"/>
              </w:rPr>
              <w:t>4</w:t>
            </w:r>
            <w:r>
              <w:rPr>
                <w:rFonts w:cs="Arial"/>
              </w:rPr>
              <w:t>,</w:t>
            </w:r>
            <w:r w:rsidRPr="00604A6F">
              <w:rPr>
                <w:rFonts w:cs="Arial"/>
              </w:rPr>
              <w:t>167</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Ukraine</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4</w:t>
            </w:r>
            <w:r>
              <w:rPr>
                <w:rFonts w:cs="Arial"/>
              </w:rPr>
              <w:t>,</w:t>
            </w:r>
            <w:r w:rsidRPr="00604A6F">
              <w:rPr>
                <w:rFonts w:cs="Arial"/>
              </w:rPr>
              <w:t>167</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Pr>
                <w:rFonts w:cs="Arial"/>
              </w:rPr>
              <w:t>Italy</w:t>
            </w:r>
          </w:p>
        </w:tc>
        <w:tc>
          <w:tcPr>
            <w:tcW w:w="1043" w:type="dxa"/>
            <w:tcBorders>
              <w:top w:val="nil"/>
              <w:left w:val="nil"/>
              <w:bottom w:val="nil"/>
              <w:right w:val="nil"/>
            </w:tcBorders>
          </w:tcPr>
          <w:p w:rsidR="002F09F3" w:rsidRPr="00604A6F" w:rsidRDefault="002F09F3" w:rsidP="00532F43">
            <w:pPr>
              <w:jc w:val="right"/>
              <w:rPr>
                <w:rFonts w:cs="Arial"/>
              </w:rPr>
            </w:pPr>
            <w:r>
              <w:rPr>
                <w:rFonts w:cs="Arial"/>
              </w:rPr>
              <w:t>16,666</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United Kingdom</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41</w:t>
            </w:r>
            <w:r>
              <w:rPr>
                <w:rFonts w:cs="Arial"/>
              </w:rPr>
              <w:t>,</w:t>
            </w:r>
            <w:r w:rsidRPr="00604A6F">
              <w:rPr>
                <w:rFonts w:cs="Arial"/>
              </w:rPr>
              <w:t>667</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shd w:val="clear" w:color="auto" w:fill="auto"/>
          </w:tcPr>
          <w:p w:rsidR="002F09F3" w:rsidRPr="00604A6F" w:rsidRDefault="002F09F3" w:rsidP="00532F43">
            <w:pPr>
              <w:rPr>
                <w:rFonts w:cs="Arial"/>
              </w:rPr>
            </w:pPr>
            <w:r>
              <w:rPr>
                <w:rFonts w:cs="Arial"/>
              </w:rPr>
              <w:t>Japan</w:t>
            </w:r>
          </w:p>
        </w:tc>
        <w:tc>
          <w:tcPr>
            <w:tcW w:w="1043" w:type="dxa"/>
            <w:tcBorders>
              <w:top w:val="nil"/>
              <w:left w:val="nil"/>
              <w:bottom w:val="nil"/>
              <w:right w:val="nil"/>
            </w:tcBorders>
            <w:shd w:val="clear" w:color="auto" w:fill="auto"/>
          </w:tcPr>
          <w:p w:rsidR="002F09F3" w:rsidRPr="00604A6F" w:rsidRDefault="002F09F3" w:rsidP="00532F43">
            <w:pPr>
              <w:jc w:val="right"/>
              <w:rPr>
                <w:rFonts w:cs="Arial"/>
              </w:rPr>
            </w:pPr>
            <w:r>
              <w:rPr>
                <w:rFonts w:cs="Arial"/>
              </w:rPr>
              <w:t>41,667</w:t>
            </w:r>
          </w:p>
        </w:tc>
        <w:tc>
          <w:tcPr>
            <w:tcW w:w="360" w:type="dxa"/>
            <w:tcBorders>
              <w:top w:val="nil"/>
              <w:left w:val="nil"/>
              <w:bottom w:val="nil"/>
              <w:right w:val="single" w:sz="8" w:space="0" w:color="auto"/>
            </w:tcBorders>
            <w:shd w:val="clear" w:color="auto" w:fill="auto"/>
          </w:tcPr>
          <w:p w:rsidR="002F09F3" w:rsidRPr="00604A6F" w:rsidRDefault="002F09F3" w:rsidP="00532F43">
            <w:pPr>
              <w:rPr>
                <w:rFonts w:cs="Arial"/>
              </w:rPr>
            </w:pPr>
          </w:p>
        </w:tc>
        <w:tc>
          <w:tcPr>
            <w:tcW w:w="3045" w:type="dxa"/>
            <w:tcBorders>
              <w:top w:val="nil"/>
              <w:left w:val="single" w:sz="8" w:space="0" w:color="auto"/>
              <w:bottom w:val="nil"/>
              <w:right w:val="nil"/>
            </w:tcBorders>
            <w:shd w:val="clear" w:color="auto" w:fill="auto"/>
          </w:tcPr>
          <w:p w:rsidR="002F09F3" w:rsidRPr="00604A6F" w:rsidRDefault="002F09F3" w:rsidP="00532F43">
            <w:pPr>
              <w:rPr>
                <w:rFonts w:cs="Arial"/>
              </w:rPr>
            </w:pPr>
            <w:r w:rsidRPr="00604A6F">
              <w:rPr>
                <w:rFonts w:cs="Arial"/>
              </w:rPr>
              <w:t>United States of America</w:t>
            </w:r>
          </w:p>
        </w:tc>
        <w:tc>
          <w:tcPr>
            <w:tcW w:w="1041" w:type="dxa"/>
            <w:tcBorders>
              <w:top w:val="nil"/>
              <w:left w:val="nil"/>
              <w:bottom w:val="nil"/>
              <w:right w:val="nil"/>
            </w:tcBorders>
            <w:shd w:val="clear" w:color="auto" w:fill="auto"/>
          </w:tcPr>
          <w:p w:rsidR="002F09F3" w:rsidRPr="00604A6F" w:rsidRDefault="002F09F3" w:rsidP="00532F43">
            <w:pPr>
              <w:jc w:val="right"/>
              <w:rPr>
                <w:rFonts w:cs="Arial"/>
              </w:rPr>
            </w:pPr>
            <w:r w:rsidRPr="00604A6F">
              <w:rPr>
                <w:rFonts w:cs="Arial"/>
              </w:rPr>
              <w:t>41</w:t>
            </w:r>
            <w:r>
              <w:rPr>
                <w:rFonts w:cs="Arial"/>
              </w:rPr>
              <w:t>,</w:t>
            </w:r>
            <w:r w:rsidRPr="00604A6F">
              <w:rPr>
                <w:rFonts w:cs="Arial"/>
              </w:rPr>
              <w:t>667</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left w:val="single" w:sz="8" w:space="0" w:color="auto"/>
              <w:bottom w:val="nil"/>
              <w:right w:val="nil"/>
            </w:tcBorders>
            <w:shd w:val="clear" w:color="auto" w:fill="auto"/>
          </w:tcPr>
          <w:p w:rsidR="002F09F3" w:rsidRPr="00604A6F" w:rsidRDefault="002F09F3" w:rsidP="00532F43">
            <w:pPr>
              <w:rPr>
                <w:rFonts w:cs="Arial"/>
              </w:rPr>
            </w:pPr>
            <w:r>
              <w:rPr>
                <w:rFonts w:cs="Arial"/>
              </w:rPr>
              <w:t>Jordan</w:t>
            </w:r>
          </w:p>
        </w:tc>
        <w:tc>
          <w:tcPr>
            <w:tcW w:w="1043" w:type="dxa"/>
            <w:tcBorders>
              <w:top w:val="nil"/>
              <w:left w:val="nil"/>
              <w:bottom w:val="nil"/>
              <w:right w:val="nil"/>
            </w:tcBorders>
          </w:tcPr>
          <w:p w:rsidR="002F09F3" w:rsidRPr="00604A6F" w:rsidRDefault="002F09F3" w:rsidP="00532F43">
            <w:pPr>
              <w:jc w:val="right"/>
              <w:rPr>
                <w:rFonts w:cs="Arial"/>
              </w:rPr>
            </w:pPr>
            <w:r>
              <w:rPr>
                <w:rFonts w:cs="Arial"/>
              </w:rPr>
              <w:t>1,6</w:t>
            </w:r>
            <w:r w:rsidRPr="00604A6F">
              <w:rPr>
                <w:rFonts w:cs="Arial"/>
              </w:rPr>
              <w:t>67</w:t>
            </w:r>
          </w:p>
        </w:tc>
        <w:tc>
          <w:tcPr>
            <w:tcW w:w="360" w:type="dxa"/>
            <w:tcBorders>
              <w:top w:val="nil"/>
              <w:left w:val="nil"/>
              <w:bottom w:val="nil"/>
              <w:right w:val="single" w:sz="4" w:space="0" w:color="auto"/>
            </w:tcBorders>
            <w:shd w:val="clear" w:color="auto" w:fill="auto"/>
          </w:tcPr>
          <w:p w:rsidR="002F09F3" w:rsidRPr="00604A6F" w:rsidRDefault="002F09F3" w:rsidP="00532F43">
            <w:pPr>
              <w:rPr>
                <w:rFonts w:cs="Arial"/>
              </w:rPr>
            </w:pPr>
          </w:p>
        </w:tc>
        <w:tc>
          <w:tcPr>
            <w:tcW w:w="3045" w:type="dxa"/>
            <w:tcBorders>
              <w:top w:val="nil"/>
              <w:left w:val="single" w:sz="4" w:space="0" w:color="auto"/>
              <w:bottom w:val="nil"/>
              <w:right w:val="nil"/>
            </w:tcBorders>
          </w:tcPr>
          <w:p w:rsidR="002F09F3" w:rsidRPr="00604A6F" w:rsidRDefault="002F09F3" w:rsidP="00532F43">
            <w:pPr>
              <w:rPr>
                <w:rFonts w:cs="Arial"/>
              </w:rPr>
            </w:pPr>
            <w:r w:rsidRPr="00604A6F">
              <w:rPr>
                <w:rFonts w:cs="Arial"/>
              </w:rPr>
              <w:t>Uruguay</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Pr>
                <w:rFonts w:cs="Arial"/>
              </w:rPr>
              <w:t>Kenya</w:t>
            </w:r>
          </w:p>
        </w:tc>
        <w:tc>
          <w:tcPr>
            <w:tcW w:w="1043" w:type="dxa"/>
            <w:tcBorders>
              <w:top w:val="nil"/>
              <w:left w:val="nil"/>
              <w:bottom w:val="nil"/>
              <w:right w:val="nil"/>
            </w:tcBorders>
          </w:tcPr>
          <w:p w:rsidR="002F09F3" w:rsidRPr="00604A6F" w:rsidRDefault="002F09F3" w:rsidP="00532F43">
            <w:pPr>
              <w:jc w:val="right"/>
              <w:rPr>
                <w:rFonts w:cs="Arial"/>
              </w:rPr>
            </w:pPr>
            <w:r>
              <w:rPr>
                <w:rFonts w:cs="Arial"/>
              </w:rPr>
              <w:t>1,667</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nil"/>
              <w:right w:val="nil"/>
            </w:tcBorders>
          </w:tcPr>
          <w:p w:rsidR="002F09F3" w:rsidRPr="00604A6F" w:rsidRDefault="002F09F3" w:rsidP="00532F43">
            <w:pPr>
              <w:rPr>
                <w:rFonts w:cs="Arial"/>
              </w:rPr>
            </w:pPr>
            <w:r w:rsidRPr="00604A6F">
              <w:rPr>
                <w:rFonts w:cs="Arial"/>
              </w:rPr>
              <w:t>Uzbekistan</w:t>
            </w:r>
          </w:p>
        </w:tc>
        <w:tc>
          <w:tcPr>
            <w:tcW w:w="1041" w:type="dxa"/>
            <w:tcBorders>
              <w:top w:val="nil"/>
              <w:left w:val="nil"/>
              <w:bottom w:val="nil"/>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81" w:type="dxa"/>
            <w:tcBorders>
              <w:top w:val="nil"/>
              <w:left w:val="nil"/>
              <w:bottom w:val="nil"/>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Pr>
                <w:rFonts w:cs="Arial"/>
              </w:rPr>
              <w:t>Kyrgyzstan</w:t>
            </w:r>
          </w:p>
        </w:tc>
        <w:tc>
          <w:tcPr>
            <w:tcW w:w="1043" w:type="dxa"/>
            <w:tcBorders>
              <w:top w:val="nil"/>
              <w:left w:val="nil"/>
              <w:bottom w:val="nil"/>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tcBorders>
              <w:top w:val="nil"/>
              <w:left w:val="single" w:sz="8" w:space="0" w:color="auto"/>
              <w:bottom w:val="single" w:sz="8" w:space="0" w:color="auto"/>
              <w:right w:val="nil"/>
            </w:tcBorders>
          </w:tcPr>
          <w:p w:rsidR="002F09F3" w:rsidRPr="00604A6F" w:rsidRDefault="002F09F3" w:rsidP="00532F43">
            <w:pPr>
              <w:rPr>
                <w:rFonts w:cs="Arial"/>
              </w:rPr>
            </w:pPr>
            <w:r w:rsidRPr="00604A6F">
              <w:rPr>
                <w:rFonts w:cs="Arial"/>
              </w:rPr>
              <w:t>Viet Nam</w:t>
            </w:r>
          </w:p>
        </w:tc>
        <w:tc>
          <w:tcPr>
            <w:tcW w:w="1041" w:type="dxa"/>
            <w:tcBorders>
              <w:top w:val="nil"/>
              <w:left w:val="nil"/>
              <w:bottom w:val="single" w:sz="8" w:space="0" w:color="auto"/>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81" w:type="dxa"/>
            <w:tcBorders>
              <w:top w:val="nil"/>
              <w:left w:val="nil"/>
              <w:bottom w:val="single" w:sz="8" w:space="0" w:color="auto"/>
              <w:right w:val="single" w:sz="8" w:space="0" w:color="auto"/>
            </w:tcBorders>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r>
              <w:rPr>
                <w:rFonts w:cs="Arial"/>
              </w:rPr>
              <w:t>Latvia</w:t>
            </w:r>
          </w:p>
        </w:tc>
        <w:tc>
          <w:tcPr>
            <w:tcW w:w="1043" w:type="dxa"/>
            <w:tcBorders>
              <w:top w:val="nil"/>
              <w:left w:val="nil"/>
              <w:bottom w:val="nil"/>
              <w:right w:val="nil"/>
            </w:tcBorders>
          </w:tcPr>
          <w:p w:rsidR="002F09F3" w:rsidRPr="00604A6F" w:rsidRDefault="002F09F3" w:rsidP="00532F43">
            <w:pPr>
              <w:jc w:val="right"/>
              <w:rPr>
                <w:rFonts w:cs="Arial"/>
              </w:rPr>
            </w:pPr>
            <w:r w:rsidRPr="00604A6F">
              <w:rPr>
                <w:rFonts w:cs="Arial"/>
              </w:rPr>
              <w:t>1</w:t>
            </w:r>
            <w:r>
              <w:rPr>
                <w:rFonts w:cs="Arial"/>
              </w:rPr>
              <w:t>,</w:t>
            </w:r>
            <w:r w:rsidRPr="00604A6F">
              <w:rPr>
                <w:rFonts w:cs="Arial"/>
              </w:rPr>
              <w:t>667</w:t>
            </w: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vMerge w:val="restart"/>
            <w:tcBorders>
              <w:top w:val="single" w:sz="8" w:space="0" w:color="auto"/>
              <w:left w:val="single" w:sz="8" w:space="0" w:color="auto"/>
              <w:bottom w:val="single" w:sz="8" w:space="0" w:color="auto"/>
              <w:right w:val="nil"/>
            </w:tcBorders>
            <w:shd w:val="clear" w:color="auto" w:fill="CCFF99"/>
            <w:vAlign w:val="center"/>
          </w:tcPr>
          <w:p w:rsidR="002F09F3" w:rsidRPr="00604A6F" w:rsidRDefault="002F09F3" w:rsidP="00D81BFB">
            <w:pPr>
              <w:rPr>
                <w:rFonts w:cs="Arial"/>
              </w:rPr>
            </w:pPr>
            <w:r w:rsidRPr="00604A6F">
              <w:rPr>
                <w:rFonts w:cs="Arial"/>
              </w:rPr>
              <w:t>Total :</w:t>
            </w:r>
          </w:p>
        </w:tc>
        <w:tc>
          <w:tcPr>
            <w:tcW w:w="1041" w:type="dxa"/>
            <w:vMerge w:val="restart"/>
            <w:tcBorders>
              <w:top w:val="single" w:sz="8" w:space="0" w:color="auto"/>
              <w:left w:val="nil"/>
              <w:bottom w:val="single" w:sz="8" w:space="0" w:color="auto"/>
              <w:right w:val="nil"/>
            </w:tcBorders>
            <w:shd w:val="clear" w:color="auto" w:fill="CCFF99"/>
            <w:vAlign w:val="center"/>
          </w:tcPr>
          <w:p w:rsidR="002F09F3" w:rsidRPr="00604A6F" w:rsidRDefault="002F09F3" w:rsidP="00532F43">
            <w:pPr>
              <w:jc w:val="right"/>
              <w:rPr>
                <w:rFonts w:cs="Arial"/>
              </w:rPr>
            </w:pPr>
            <w:r>
              <w:rPr>
                <w:rFonts w:cs="Arial"/>
              </w:rPr>
              <w:t>540,011</w:t>
            </w:r>
          </w:p>
        </w:tc>
        <w:tc>
          <w:tcPr>
            <w:tcW w:w="381" w:type="dxa"/>
            <w:vMerge w:val="restart"/>
            <w:tcBorders>
              <w:top w:val="single" w:sz="8" w:space="0" w:color="auto"/>
              <w:left w:val="nil"/>
              <w:bottom w:val="single" w:sz="8" w:space="0" w:color="auto"/>
              <w:right w:val="single" w:sz="8" w:space="0" w:color="auto"/>
            </w:tcBorders>
            <w:shd w:val="clear" w:color="auto" w:fill="CCFF99"/>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532F43">
            <w:pPr>
              <w:rPr>
                <w:rFonts w:cs="Arial"/>
              </w:rPr>
            </w:pPr>
          </w:p>
        </w:tc>
        <w:tc>
          <w:tcPr>
            <w:tcW w:w="1043" w:type="dxa"/>
            <w:tcBorders>
              <w:top w:val="nil"/>
              <w:left w:val="nil"/>
              <w:bottom w:val="nil"/>
              <w:right w:val="nil"/>
            </w:tcBorders>
          </w:tcPr>
          <w:p w:rsidR="002F09F3" w:rsidRPr="00604A6F" w:rsidRDefault="002F09F3" w:rsidP="00532F43">
            <w:pPr>
              <w:jc w:val="right"/>
              <w:rPr>
                <w:rFonts w:cs="Arial"/>
              </w:rPr>
            </w:pP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vMerge/>
            <w:tcBorders>
              <w:top w:val="nil"/>
              <w:left w:val="single" w:sz="8" w:space="0" w:color="auto"/>
              <w:bottom w:val="single" w:sz="8" w:space="0" w:color="auto"/>
              <w:right w:val="nil"/>
            </w:tcBorders>
            <w:shd w:val="clear" w:color="auto" w:fill="CCFF99"/>
            <w:vAlign w:val="center"/>
          </w:tcPr>
          <w:p w:rsidR="002F09F3" w:rsidRPr="00604A6F" w:rsidRDefault="002F09F3" w:rsidP="00D81BFB">
            <w:pPr>
              <w:rPr>
                <w:rFonts w:cs="Arial"/>
              </w:rPr>
            </w:pPr>
          </w:p>
        </w:tc>
        <w:tc>
          <w:tcPr>
            <w:tcW w:w="1041" w:type="dxa"/>
            <w:vMerge/>
            <w:tcBorders>
              <w:top w:val="nil"/>
              <w:left w:val="nil"/>
              <w:bottom w:val="single" w:sz="8" w:space="0" w:color="auto"/>
              <w:right w:val="nil"/>
            </w:tcBorders>
            <w:shd w:val="clear" w:color="auto" w:fill="CCFF99"/>
            <w:vAlign w:val="center"/>
          </w:tcPr>
          <w:p w:rsidR="002F09F3" w:rsidRPr="00604A6F" w:rsidRDefault="002F09F3" w:rsidP="00532F43">
            <w:pPr>
              <w:jc w:val="right"/>
              <w:rPr>
                <w:rFonts w:cs="Arial"/>
              </w:rPr>
            </w:pPr>
          </w:p>
        </w:tc>
        <w:tc>
          <w:tcPr>
            <w:tcW w:w="381" w:type="dxa"/>
            <w:vMerge/>
            <w:tcBorders>
              <w:top w:val="nil"/>
              <w:left w:val="nil"/>
              <w:bottom w:val="single" w:sz="8" w:space="0" w:color="auto"/>
              <w:right w:val="single" w:sz="8" w:space="0" w:color="auto"/>
            </w:tcBorders>
            <w:shd w:val="clear" w:color="auto" w:fill="CCFF99"/>
          </w:tcPr>
          <w:p w:rsidR="002F09F3" w:rsidRPr="00604A6F" w:rsidRDefault="002F09F3" w:rsidP="00532F43">
            <w:pPr>
              <w:rPr>
                <w:rFonts w:cs="Arial"/>
              </w:rPr>
            </w:pPr>
          </w:p>
        </w:tc>
      </w:tr>
      <w:tr w:rsidR="002F09F3" w:rsidRPr="00604A6F" w:rsidTr="00532F43">
        <w:tc>
          <w:tcPr>
            <w:tcW w:w="3062" w:type="dxa"/>
            <w:tcBorders>
              <w:top w:val="nil"/>
              <w:bottom w:val="nil"/>
              <w:right w:val="nil"/>
            </w:tcBorders>
          </w:tcPr>
          <w:p w:rsidR="002F09F3" w:rsidRPr="00604A6F" w:rsidRDefault="002F09F3" w:rsidP="00D81BFB">
            <w:pPr>
              <w:rPr>
                <w:rFonts w:cs="Arial"/>
              </w:rPr>
            </w:pPr>
          </w:p>
        </w:tc>
        <w:tc>
          <w:tcPr>
            <w:tcW w:w="1043" w:type="dxa"/>
            <w:tcBorders>
              <w:top w:val="nil"/>
              <w:left w:val="nil"/>
              <w:bottom w:val="nil"/>
              <w:right w:val="nil"/>
            </w:tcBorders>
          </w:tcPr>
          <w:p w:rsidR="002F09F3" w:rsidRPr="00604A6F" w:rsidRDefault="002F09F3" w:rsidP="00532F43">
            <w:pPr>
              <w:jc w:val="right"/>
              <w:rPr>
                <w:rFonts w:cs="Arial"/>
              </w:rPr>
            </w:pPr>
          </w:p>
        </w:tc>
        <w:tc>
          <w:tcPr>
            <w:tcW w:w="360" w:type="dxa"/>
            <w:tcBorders>
              <w:top w:val="nil"/>
              <w:left w:val="nil"/>
              <w:bottom w:val="nil"/>
              <w:right w:val="single" w:sz="8" w:space="0" w:color="auto"/>
            </w:tcBorders>
          </w:tcPr>
          <w:p w:rsidR="002F09F3" w:rsidRPr="00604A6F" w:rsidRDefault="002F09F3" w:rsidP="00532F43">
            <w:pPr>
              <w:rPr>
                <w:rFonts w:cs="Arial"/>
              </w:rPr>
            </w:pPr>
          </w:p>
        </w:tc>
        <w:tc>
          <w:tcPr>
            <w:tcW w:w="3045" w:type="dxa"/>
            <w:vMerge/>
            <w:tcBorders>
              <w:top w:val="nil"/>
              <w:left w:val="single" w:sz="8" w:space="0" w:color="auto"/>
              <w:bottom w:val="single" w:sz="8" w:space="0" w:color="auto"/>
              <w:right w:val="nil"/>
            </w:tcBorders>
            <w:shd w:val="clear" w:color="auto" w:fill="CCFF99"/>
          </w:tcPr>
          <w:p w:rsidR="002F09F3" w:rsidRPr="00604A6F" w:rsidRDefault="002F09F3" w:rsidP="00532F43">
            <w:pPr>
              <w:rPr>
                <w:rFonts w:cs="Arial"/>
              </w:rPr>
            </w:pPr>
          </w:p>
        </w:tc>
        <w:tc>
          <w:tcPr>
            <w:tcW w:w="1041" w:type="dxa"/>
            <w:vMerge/>
            <w:tcBorders>
              <w:top w:val="nil"/>
              <w:left w:val="nil"/>
              <w:bottom w:val="single" w:sz="8" w:space="0" w:color="auto"/>
              <w:right w:val="nil"/>
            </w:tcBorders>
            <w:shd w:val="clear" w:color="auto" w:fill="CCFF99"/>
          </w:tcPr>
          <w:p w:rsidR="002F09F3" w:rsidRPr="00604A6F" w:rsidRDefault="002F09F3" w:rsidP="00532F43">
            <w:pPr>
              <w:jc w:val="right"/>
              <w:rPr>
                <w:rFonts w:cs="Arial"/>
              </w:rPr>
            </w:pPr>
          </w:p>
        </w:tc>
        <w:tc>
          <w:tcPr>
            <w:tcW w:w="381" w:type="dxa"/>
            <w:vMerge/>
            <w:tcBorders>
              <w:top w:val="nil"/>
              <w:left w:val="nil"/>
              <w:bottom w:val="single" w:sz="8" w:space="0" w:color="auto"/>
              <w:right w:val="single" w:sz="8" w:space="0" w:color="auto"/>
            </w:tcBorders>
            <w:shd w:val="clear" w:color="auto" w:fill="CCFF99"/>
          </w:tcPr>
          <w:p w:rsidR="002F09F3" w:rsidRPr="00604A6F" w:rsidRDefault="002F09F3" w:rsidP="00532F43">
            <w:pPr>
              <w:rPr>
                <w:rFonts w:cs="Arial"/>
              </w:rPr>
            </w:pPr>
          </w:p>
        </w:tc>
      </w:tr>
      <w:tr w:rsidR="002F09F3" w:rsidRPr="00604A6F" w:rsidTr="00532F43">
        <w:tc>
          <w:tcPr>
            <w:tcW w:w="3062" w:type="dxa"/>
            <w:tcBorders>
              <w:top w:val="nil"/>
              <w:bottom w:val="single" w:sz="8" w:space="0" w:color="auto"/>
              <w:right w:val="nil"/>
            </w:tcBorders>
          </w:tcPr>
          <w:p w:rsidR="002F09F3" w:rsidRPr="00604A6F" w:rsidRDefault="002F09F3" w:rsidP="00D81BFB">
            <w:pPr>
              <w:rPr>
                <w:rFonts w:cs="Arial"/>
              </w:rPr>
            </w:pPr>
          </w:p>
        </w:tc>
        <w:tc>
          <w:tcPr>
            <w:tcW w:w="1043" w:type="dxa"/>
            <w:tcBorders>
              <w:top w:val="nil"/>
              <w:left w:val="nil"/>
              <w:bottom w:val="single" w:sz="8" w:space="0" w:color="auto"/>
              <w:right w:val="nil"/>
            </w:tcBorders>
          </w:tcPr>
          <w:p w:rsidR="002F09F3" w:rsidRDefault="002F09F3" w:rsidP="00532F43">
            <w:pPr>
              <w:rPr>
                <w:rFonts w:cs="Arial"/>
              </w:rPr>
            </w:pPr>
          </w:p>
          <w:p w:rsidR="002F09F3" w:rsidRPr="00604A6F" w:rsidRDefault="002F09F3" w:rsidP="00532F43">
            <w:pPr>
              <w:jc w:val="right"/>
              <w:rPr>
                <w:rFonts w:cs="Arial"/>
              </w:rPr>
            </w:pPr>
          </w:p>
        </w:tc>
        <w:tc>
          <w:tcPr>
            <w:tcW w:w="360" w:type="dxa"/>
            <w:tcBorders>
              <w:top w:val="nil"/>
              <w:left w:val="nil"/>
              <w:bottom w:val="single" w:sz="8" w:space="0" w:color="auto"/>
              <w:right w:val="single" w:sz="8" w:space="0" w:color="auto"/>
            </w:tcBorders>
          </w:tcPr>
          <w:p w:rsidR="002F09F3" w:rsidRPr="00604A6F" w:rsidRDefault="002F09F3" w:rsidP="00532F43">
            <w:pPr>
              <w:rPr>
                <w:rFonts w:cs="Arial"/>
              </w:rPr>
            </w:pPr>
          </w:p>
        </w:tc>
        <w:tc>
          <w:tcPr>
            <w:tcW w:w="3045" w:type="dxa"/>
            <w:vMerge/>
            <w:tcBorders>
              <w:top w:val="nil"/>
              <w:left w:val="single" w:sz="8" w:space="0" w:color="auto"/>
              <w:bottom w:val="single" w:sz="8" w:space="0" w:color="auto"/>
              <w:right w:val="nil"/>
            </w:tcBorders>
            <w:shd w:val="clear" w:color="auto" w:fill="CCFF99"/>
          </w:tcPr>
          <w:p w:rsidR="002F09F3" w:rsidRPr="00604A6F" w:rsidRDefault="002F09F3" w:rsidP="00532F43">
            <w:pPr>
              <w:rPr>
                <w:rFonts w:cs="Arial"/>
              </w:rPr>
            </w:pPr>
          </w:p>
        </w:tc>
        <w:tc>
          <w:tcPr>
            <w:tcW w:w="1041" w:type="dxa"/>
            <w:vMerge/>
            <w:tcBorders>
              <w:top w:val="nil"/>
              <w:left w:val="nil"/>
              <w:bottom w:val="single" w:sz="8" w:space="0" w:color="auto"/>
              <w:right w:val="nil"/>
            </w:tcBorders>
            <w:shd w:val="clear" w:color="auto" w:fill="CCFF99"/>
          </w:tcPr>
          <w:p w:rsidR="002F09F3" w:rsidRPr="00604A6F" w:rsidRDefault="002F09F3" w:rsidP="00532F43">
            <w:pPr>
              <w:jc w:val="right"/>
              <w:rPr>
                <w:rFonts w:cs="Arial"/>
              </w:rPr>
            </w:pPr>
          </w:p>
        </w:tc>
        <w:tc>
          <w:tcPr>
            <w:tcW w:w="381" w:type="dxa"/>
            <w:vMerge/>
            <w:tcBorders>
              <w:top w:val="nil"/>
              <w:left w:val="nil"/>
              <w:bottom w:val="single" w:sz="8" w:space="0" w:color="auto"/>
              <w:right w:val="single" w:sz="8" w:space="0" w:color="auto"/>
            </w:tcBorders>
            <w:shd w:val="clear" w:color="auto" w:fill="CCFF99"/>
          </w:tcPr>
          <w:p w:rsidR="002F09F3" w:rsidRPr="00604A6F" w:rsidRDefault="002F09F3" w:rsidP="00532F43">
            <w:pPr>
              <w:rPr>
                <w:rFonts w:cs="Arial"/>
              </w:rPr>
            </w:pPr>
          </w:p>
        </w:tc>
      </w:tr>
    </w:tbl>
    <w:p w:rsidR="002F09F3" w:rsidRDefault="002F09F3" w:rsidP="00532F43">
      <w:pPr>
        <w:tabs>
          <w:tab w:val="left" w:pos="567"/>
        </w:tabs>
      </w:pPr>
    </w:p>
    <w:p w:rsidR="002F09F3" w:rsidRDefault="002F09F3" w:rsidP="00532F43">
      <w:pPr>
        <w:tabs>
          <w:tab w:val="left" w:pos="567"/>
        </w:tabs>
      </w:pPr>
    </w:p>
    <w:p w:rsidR="002F09F3" w:rsidRPr="00A15957" w:rsidRDefault="002F09F3" w:rsidP="00532F43"/>
    <w:p w:rsidR="002F09F3" w:rsidRDefault="002F09F3" w:rsidP="00532F43"/>
    <w:p w:rsidR="002F09F3" w:rsidRPr="00016A66" w:rsidRDefault="002F09F3" w:rsidP="00532F43">
      <w:pPr>
        <w:jc w:val="center"/>
        <w:rPr>
          <w:sz w:val="18"/>
        </w:rPr>
      </w:pPr>
    </w:p>
    <w:p w:rsidR="002F09F3" w:rsidRPr="00016A66" w:rsidRDefault="002F09F3" w:rsidP="00532F43">
      <w:pPr>
        <w:jc w:val="center"/>
        <w:rPr>
          <w:sz w:val="18"/>
        </w:rPr>
      </w:pPr>
    </w:p>
    <w:p w:rsidR="002F09F3" w:rsidRPr="00016A66" w:rsidRDefault="002F09F3" w:rsidP="00532F43">
      <w:pPr>
        <w:jc w:val="center"/>
        <w:rPr>
          <w:sz w:val="18"/>
        </w:rPr>
      </w:pPr>
    </w:p>
    <w:p w:rsidR="002F09F3" w:rsidRPr="000F6C2B" w:rsidRDefault="002F09F3" w:rsidP="002F09F3">
      <w:pPr>
        <w:keepNext/>
        <w:jc w:val="center"/>
      </w:pPr>
      <w:bookmarkStart w:id="28" w:name="_Toc393377928"/>
      <w:r w:rsidRPr="008518D2">
        <w:rPr>
          <w:rStyle w:val="Heading5Char"/>
        </w:rPr>
        <w:lastRenderedPageBreak/>
        <w:t xml:space="preserve">Contributions of members of the </w:t>
      </w:r>
      <w:proofErr w:type="gramStart"/>
      <w:r w:rsidRPr="008518D2">
        <w:rPr>
          <w:rStyle w:val="Heading5Char"/>
        </w:rPr>
        <w:t>Union</w:t>
      </w:r>
      <w:bookmarkEnd w:id="28"/>
      <w:proofErr w:type="gramEnd"/>
      <w:r w:rsidRPr="008518D2">
        <w:rPr>
          <w:rStyle w:val="Heading5Char"/>
        </w:rPr>
        <w:br/>
      </w:r>
      <w:r w:rsidRPr="000F6C2B">
        <w:t>(</w:t>
      </w:r>
      <w:r>
        <w:t>Swiss francs</w:t>
      </w:r>
      <w:r w:rsidRPr="000F6C2B">
        <w:t>)</w:t>
      </w:r>
    </w:p>
    <w:p w:rsidR="002F09F3" w:rsidRDefault="002F09F3" w:rsidP="002F09F3">
      <w:pPr>
        <w:keepNext/>
        <w:jc w:val="cente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2987"/>
        <w:gridCol w:w="1530"/>
        <w:gridCol w:w="1440"/>
        <w:gridCol w:w="1440"/>
      </w:tblGrid>
      <w:tr w:rsidR="00092EDA" w:rsidRPr="000F6C2B" w:rsidTr="00532F43">
        <w:trPr>
          <w:cantSplit/>
          <w:trHeight w:val="445"/>
          <w:tblHeader/>
          <w:jc w:val="center"/>
        </w:trPr>
        <w:tc>
          <w:tcPr>
            <w:tcW w:w="2987" w:type="dxa"/>
            <w:tcBorders>
              <w:top w:val="single" w:sz="8" w:space="0" w:color="auto"/>
              <w:bottom w:val="nil"/>
              <w:right w:val="single" w:sz="8" w:space="0" w:color="auto"/>
            </w:tcBorders>
            <w:shd w:val="clear" w:color="auto" w:fill="CCFF99"/>
          </w:tcPr>
          <w:p w:rsidR="00092EDA" w:rsidRPr="000F6C2B" w:rsidRDefault="00092EDA" w:rsidP="00532F43">
            <w:pPr>
              <w:rPr>
                <w:rFonts w:cs="Arial"/>
              </w:rPr>
            </w:pPr>
          </w:p>
          <w:p w:rsidR="00092EDA" w:rsidRPr="000F6C2B" w:rsidRDefault="00092EDA" w:rsidP="00532F43">
            <w:pPr>
              <w:jc w:val="center"/>
              <w:rPr>
                <w:rFonts w:cs="Arial"/>
              </w:rPr>
            </w:pPr>
            <w:r w:rsidRPr="000F6C2B">
              <w:rPr>
                <w:rFonts w:cs="Arial"/>
              </w:rPr>
              <w:t>Members of the Union</w:t>
            </w:r>
          </w:p>
        </w:tc>
        <w:tc>
          <w:tcPr>
            <w:tcW w:w="1530" w:type="dxa"/>
            <w:tcBorders>
              <w:top w:val="single" w:sz="8" w:space="0" w:color="auto"/>
              <w:left w:val="single" w:sz="8" w:space="0" w:color="auto"/>
              <w:bottom w:val="nil"/>
              <w:right w:val="single" w:sz="8" w:space="0" w:color="auto"/>
            </w:tcBorders>
            <w:shd w:val="clear" w:color="auto" w:fill="CCFF99"/>
          </w:tcPr>
          <w:p w:rsidR="00092EDA" w:rsidRPr="000F6C2B" w:rsidRDefault="00092EDA" w:rsidP="00532F43">
            <w:pPr>
              <w:jc w:val="center"/>
              <w:rPr>
                <w:rFonts w:cs="Arial"/>
              </w:rPr>
            </w:pPr>
          </w:p>
          <w:p w:rsidR="00092EDA" w:rsidRPr="000F6C2B" w:rsidRDefault="00092EDA" w:rsidP="00532F43">
            <w:pPr>
              <w:jc w:val="center"/>
              <w:rPr>
                <w:rFonts w:cs="Arial"/>
              </w:rPr>
            </w:pPr>
            <w:r w:rsidRPr="000F6C2B">
              <w:rPr>
                <w:rFonts w:cs="Arial"/>
              </w:rPr>
              <w:t>Contribution</w:t>
            </w:r>
          </w:p>
          <w:p w:rsidR="00092EDA" w:rsidRPr="000F6C2B" w:rsidRDefault="00092EDA" w:rsidP="00532F43">
            <w:pPr>
              <w:jc w:val="center"/>
              <w:rPr>
                <w:rFonts w:cs="Arial"/>
              </w:rPr>
            </w:pPr>
            <w:r w:rsidRPr="000F6C2B">
              <w:rPr>
                <w:rFonts w:cs="Arial"/>
              </w:rPr>
              <w:t>units</w:t>
            </w:r>
          </w:p>
        </w:tc>
        <w:tc>
          <w:tcPr>
            <w:tcW w:w="2880" w:type="dxa"/>
            <w:gridSpan w:val="2"/>
            <w:tcBorders>
              <w:top w:val="single" w:sz="8" w:space="0" w:color="auto"/>
              <w:left w:val="single" w:sz="8" w:space="0" w:color="auto"/>
              <w:bottom w:val="single" w:sz="8" w:space="0" w:color="auto"/>
              <w:right w:val="single" w:sz="8" w:space="0" w:color="auto"/>
            </w:tcBorders>
            <w:shd w:val="clear" w:color="auto" w:fill="CCFF99"/>
          </w:tcPr>
          <w:p w:rsidR="00092EDA" w:rsidRPr="000F6C2B" w:rsidRDefault="00092EDA" w:rsidP="00532F43">
            <w:pPr>
              <w:jc w:val="center"/>
              <w:rPr>
                <w:rFonts w:cs="Arial"/>
              </w:rPr>
            </w:pPr>
          </w:p>
          <w:p w:rsidR="00092EDA" w:rsidRPr="000F6C2B" w:rsidRDefault="00092EDA" w:rsidP="00532F43">
            <w:pPr>
              <w:jc w:val="center"/>
              <w:rPr>
                <w:rFonts w:cs="Arial"/>
              </w:rPr>
            </w:pPr>
            <w:r w:rsidRPr="000F6C2B">
              <w:rPr>
                <w:rFonts w:cs="Arial"/>
              </w:rPr>
              <w:t>Amounts payable:</w:t>
            </w:r>
          </w:p>
        </w:tc>
      </w:tr>
      <w:tr w:rsidR="00092EDA" w:rsidRPr="000F6C2B" w:rsidTr="00532F43">
        <w:trPr>
          <w:tblHeader/>
          <w:jc w:val="center"/>
        </w:trPr>
        <w:tc>
          <w:tcPr>
            <w:tcW w:w="2987" w:type="dxa"/>
            <w:tcBorders>
              <w:top w:val="nil"/>
              <w:bottom w:val="single" w:sz="8" w:space="0" w:color="auto"/>
              <w:right w:val="single" w:sz="8" w:space="0" w:color="auto"/>
            </w:tcBorders>
            <w:shd w:val="clear" w:color="auto" w:fill="CCFF99"/>
          </w:tcPr>
          <w:p w:rsidR="00092EDA" w:rsidRPr="000F6C2B" w:rsidRDefault="00092EDA" w:rsidP="00532F43">
            <w:pPr>
              <w:spacing w:before="40" w:after="40"/>
              <w:rPr>
                <w:rFonts w:cs="Arial"/>
              </w:rPr>
            </w:pPr>
          </w:p>
        </w:tc>
        <w:tc>
          <w:tcPr>
            <w:tcW w:w="1530" w:type="dxa"/>
            <w:tcBorders>
              <w:top w:val="nil"/>
              <w:left w:val="single" w:sz="8" w:space="0" w:color="auto"/>
              <w:bottom w:val="single" w:sz="8" w:space="0" w:color="auto"/>
              <w:right w:val="single" w:sz="8" w:space="0" w:color="auto"/>
            </w:tcBorders>
            <w:shd w:val="clear" w:color="auto" w:fill="CCFF99"/>
          </w:tcPr>
          <w:p w:rsidR="00092EDA" w:rsidRPr="000F6C2B" w:rsidRDefault="00092EDA" w:rsidP="00532F43">
            <w:pPr>
              <w:spacing w:before="40" w:after="40"/>
              <w:jc w:val="center"/>
              <w:rPr>
                <w:rFonts w:cs="Arial"/>
              </w:rPr>
            </w:pPr>
          </w:p>
        </w:tc>
        <w:tc>
          <w:tcPr>
            <w:tcW w:w="1440" w:type="dxa"/>
            <w:tcBorders>
              <w:top w:val="single" w:sz="8" w:space="0" w:color="auto"/>
              <w:left w:val="single" w:sz="8" w:space="0" w:color="auto"/>
              <w:bottom w:val="single" w:sz="8" w:space="0" w:color="auto"/>
              <w:right w:val="single" w:sz="8" w:space="0" w:color="auto"/>
            </w:tcBorders>
            <w:shd w:val="clear" w:color="auto" w:fill="CCFF99"/>
          </w:tcPr>
          <w:p w:rsidR="00092EDA" w:rsidRPr="000F6C2B" w:rsidRDefault="00092EDA" w:rsidP="00532F43">
            <w:pPr>
              <w:spacing w:before="40" w:after="40"/>
              <w:jc w:val="right"/>
              <w:rPr>
                <w:rFonts w:cs="Arial"/>
              </w:rPr>
            </w:pPr>
            <w:r>
              <w:rPr>
                <w:rFonts w:cs="Arial"/>
              </w:rPr>
              <w:t>January 2012</w:t>
            </w:r>
          </w:p>
        </w:tc>
        <w:tc>
          <w:tcPr>
            <w:tcW w:w="1440" w:type="dxa"/>
            <w:tcBorders>
              <w:top w:val="single" w:sz="8" w:space="0" w:color="auto"/>
              <w:left w:val="single" w:sz="8" w:space="0" w:color="auto"/>
              <w:bottom w:val="single" w:sz="8" w:space="0" w:color="auto"/>
              <w:right w:val="single" w:sz="8" w:space="0" w:color="auto"/>
            </w:tcBorders>
            <w:shd w:val="clear" w:color="auto" w:fill="CCFF99"/>
          </w:tcPr>
          <w:p w:rsidR="00092EDA" w:rsidRPr="000F6C2B" w:rsidRDefault="00092EDA" w:rsidP="00532F43">
            <w:pPr>
              <w:spacing w:before="40" w:after="40"/>
              <w:jc w:val="right"/>
              <w:rPr>
                <w:rFonts w:cs="Arial"/>
              </w:rPr>
            </w:pPr>
            <w:r>
              <w:rPr>
                <w:rFonts w:cs="Arial"/>
              </w:rPr>
              <w:t>January 2013</w:t>
            </w:r>
          </w:p>
        </w:tc>
      </w:tr>
      <w:tr w:rsidR="00092EDA" w:rsidRPr="000F6C2B" w:rsidTr="00532F43">
        <w:trPr>
          <w:trHeight w:val="80"/>
          <w:jc w:val="center"/>
        </w:trPr>
        <w:tc>
          <w:tcPr>
            <w:tcW w:w="2987" w:type="dxa"/>
            <w:tcBorders>
              <w:top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D81BFB">
            <w:pPr>
              <w:rPr>
                <w:rFonts w:cs="Arial"/>
              </w:rPr>
            </w:pPr>
            <w:r w:rsidRPr="000F6C2B">
              <w:rPr>
                <w:rFonts w:cs="Arial"/>
              </w:rPr>
              <w:t>Albania</w:t>
            </w:r>
          </w:p>
        </w:tc>
        <w:tc>
          <w:tcPr>
            <w:tcW w:w="1530" w:type="dxa"/>
            <w:tcBorders>
              <w:top w:val="single" w:sz="8"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single" w:sz="8"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single" w:sz="8"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Argentina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26</w:t>
            </w:r>
            <w:r>
              <w:rPr>
                <w:rFonts w:cs="Arial"/>
              </w:rPr>
              <w:t>,</w:t>
            </w:r>
            <w:r w:rsidRPr="000F6C2B">
              <w:rPr>
                <w:rFonts w:cs="Arial"/>
              </w:rPr>
              <w:t>820</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26</w:t>
            </w:r>
            <w:r>
              <w:rPr>
                <w:rFonts w:cs="Arial"/>
              </w:rPr>
              <w:t>,</w:t>
            </w:r>
            <w:r w:rsidRPr="000F6C2B">
              <w:rPr>
                <w:rFonts w:cs="Arial"/>
              </w:rPr>
              <w:t>820</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Australia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53</w:t>
            </w:r>
            <w:r>
              <w:rPr>
                <w:rFonts w:cs="Arial"/>
              </w:rPr>
              <w:t>,</w:t>
            </w:r>
            <w:r w:rsidRPr="000F6C2B">
              <w:rPr>
                <w:rFonts w:cs="Arial"/>
              </w:rPr>
              <w:t>641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53</w:t>
            </w:r>
            <w:r>
              <w:rPr>
                <w:rFonts w:cs="Arial"/>
              </w:rPr>
              <w:t>,</w:t>
            </w:r>
            <w:r w:rsidRPr="000F6C2B">
              <w:rPr>
                <w:rFonts w:cs="Arial"/>
              </w:rPr>
              <w:t>641</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Austria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0.75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40</w:t>
            </w:r>
            <w:r>
              <w:rPr>
                <w:rFonts w:cs="Arial"/>
              </w:rPr>
              <w:t>,</w:t>
            </w:r>
            <w:r w:rsidRPr="000F6C2B">
              <w:rPr>
                <w:rFonts w:cs="Arial"/>
              </w:rPr>
              <w:t>231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40</w:t>
            </w:r>
            <w:r>
              <w:rPr>
                <w:rFonts w:cs="Arial"/>
              </w:rPr>
              <w:t>,</w:t>
            </w:r>
            <w:r w:rsidRPr="000F6C2B">
              <w:rPr>
                <w:rFonts w:cs="Arial"/>
              </w:rPr>
              <w:t>231</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Azerbaijan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Belarus</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Belgium</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1.5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80</w:t>
            </w:r>
            <w:r>
              <w:rPr>
                <w:rFonts w:cs="Arial"/>
              </w:rPr>
              <w:t>,</w:t>
            </w:r>
            <w:r w:rsidRPr="000F6C2B">
              <w:rPr>
                <w:rFonts w:cs="Arial"/>
              </w:rPr>
              <w:t>462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80</w:t>
            </w:r>
            <w:r>
              <w:rPr>
                <w:rFonts w:cs="Arial"/>
              </w:rPr>
              <w:t>,</w:t>
            </w:r>
            <w:r w:rsidRPr="000F6C2B">
              <w:rPr>
                <w:rFonts w:cs="Arial"/>
              </w:rPr>
              <w:t>462</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Bolivia (</w:t>
            </w:r>
            <w:proofErr w:type="spellStart"/>
            <w:r w:rsidRPr="000F6C2B">
              <w:rPr>
                <w:rFonts w:cs="Arial"/>
              </w:rPr>
              <w:t>Plurinational</w:t>
            </w:r>
            <w:proofErr w:type="spellEnd"/>
            <w:r w:rsidRPr="000F6C2B">
              <w:rPr>
                <w:rFonts w:cs="Arial"/>
              </w:rPr>
              <w:t xml:space="preserve"> State of)</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Brazil</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13</w:t>
            </w:r>
            <w:r>
              <w:rPr>
                <w:rFonts w:cs="Arial"/>
              </w:rPr>
              <w:t>,</w:t>
            </w:r>
            <w:r w:rsidRPr="000F6C2B">
              <w:rPr>
                <w:rFonts w:cs="Arial"/>
              </w:rPr>
              <w:t>410</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13</w:t>
            </w:r>
            <w:r>
              <w:rPr>
                <w:rFonts w:cs="Arial"/>
              </w:rPr>
              <w:t>,</w:t>
            </w:r>
            <w:r w:rsidRPr="000F6C2B">
              <w:rPr>
                <w:rFonts w:cs="Arial"/>
              </w:rPr>
              <w:t>410</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Bulgaria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Canada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53</w:t>
            </w:r>
            <w:r>
              <w:rPr>
                <w:rFonts w:cs="Arial"/>
              </w:rPr>
              <w:t>,</w:t>
            </w:r>
            <w:r w:rsidRPr="000F6C2B">
              <w:rPr>
                <w:rFonts w:cs="Arial"/>
              </w:rPr>
              <w:t>641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53</w:t>
            </w:r>
            <w:r>
              <w:rPr>
                <w:rFonts w:cs="Arial"/>
              </w:rPr>
              <w:t>,</w:t>
            </w:r>
            <w:r w:rsidRPr="000F6C2B">
              <w:rPr>
                <w:rFonts w:cs="Arial"/>
              </w:rPr>
              <w:t>641</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Chile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China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26</w:t>
            </w:r>
            <w:r>
              <w:rPr>
                <w:rFonts w:cs="Arial"/>
              </w:rPr>
              <w:t>,</w:t>
            </w:r>
            <w:r w:rsidRPr="000F6C2B">
              <w:rPr>
                <w:rFonts w:cs="Arial"/>
              </w:rPr>
              <w:t>820</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26</w:t>
            </w:r>
            <w:r>
              <w:rPr>
                <w:rFonts w:cs="Arial"/>
              </w:rPr>
              <w:t>,</w:t>
            </w:r>
            <w:r w:rsidRPr="000F6C2B">
              <w:rPr>
                <w:rFonts w:cs="Arial"/>
              </w:rPr>
              <w:t>820</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Colombia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Costa Rica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Croatia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Czech Republic</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26</w:t>
            </w:r>
            <w:r>
              <w:rPr>
                <w:rFonts w:cs="Arial"/>
              </w:rPr>
              <w:t>,</w:t>
            </w:r>
            <w:r w:rsidRPr="000F6C2B">
              <w:rPr>
                <w:rFonts w:cs="Arial"/>
              </w:rPr>
              <w:t>820</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26</w:t>
            </w:r>
            <w:r>
              <w:rPr>
                <w:rFonts w:cs="Arial"/>
              </w:rPr>
              <w:t>,</w:t>
            </w:r>
            <w:r w:rsidRPr="000F6C2B">
              <w:rPr>
                <w:rFonts w:cs="Arial"/>
              </w:rPr>
              <w:t>820</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Denmark</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26</w:t>
            </w:r>
            <w:r>
              <w:rPr>
                <w:rFonts w:cs="Arial"/>
              </w:rPr>
              <w:t>,</w:t>
            </w:r>
            <w:r w:rsidRPr="000F6C2B">
              <w:rPr>
                <w:rFonts w:cs="Arial"/>
              </w:rPr>
              <w:t>820</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26</w:t>
            </w:r>
            <w:r>
              <w:rPr>
                <w:rFonts w:cs="Arial"/>
              </w:rPr>
              <w:t>,</w:t>
            </w:r>
            <w:r w:rsidRPr="000F6C2B">
              <w:rPr>
                <w:rFonts w:cs="Arial"/>
              </w:rPr>
              <w:t>820</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Dominican Republic</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Ecuador</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Estonia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European Union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268</w:t>
            </w:r>
            <w:r>
              <w:rPr>
                <w:rFonts w:cs="Arial"/>
              </w:rPr>
              <w:t>,</w:t>
            </w:r>
            <w:r w:rsidRPr="000F6C2B">
              <w:rPr>
                <w:rFonts w:cs="Arial"/>
              </w:rPr>
              <w:t>205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268</w:t>
            </w:r>
            <w:r>
              <w:rPr>
                <w:rFonts w:cs="Arial"/>
              </w:rPr>
              <w:t>,</w:t>
            </w:r>
            <w:r w:rsidRPr="000F6C2B">
              <w:rPr>
                <w:rFonts w:cs="Arial"/>
              </w:rPr>
              <w:t>205</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Finland</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53</w:t>
            </w:r>
            <w:r>
              <w:rPr>
                <w:rFonts w:cs="Arial"/>
              </w:rPr>
              <w:t>,</w:t>
            </w:r>
            <w:r w:rsidRPr="000F6C2B">
              <w:rPr>
                <w:rFonts w:cs="Arial"/>
              </w:rPr>
              <w:t>641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53</w:t>
            </w:r>
            <w:r>
              <w:rPr>
                <w:rFonts w:cs="Arial"/>
              </w:rPr>
              <w:t>,</w:t>
            </w:r>
            <w:r w:rsidRPr="000F6C2B">
              <w:rPr>
                <w:rFonts w:cs="Arial"/>
              </w:rPr>
              <w:t>641</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France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268</w:t>
            </w:r>
            <w:r>
              <w:rPr>
                <w:rFonts w:cs="Arial"/>
              </w:rPr>
              <w:t>,</w:t>
            </w:r>
            <w:r w:rsidRPr="000F6C2B">
              <w:rPr>
                <w:rFonts w:cs="Arial"/>
              </w:rPr>
              <w:t>205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268</w:t>
            </w:r>
            <w:r>
              <w:rPr>
                <w:rFonts w:cs="Arial"/>
              </w:rPr>
              <w:t>,</w:t>
            </w:r>
            <w:r w:rsidRPr="000F6C2B">
              <w:rPr>
                <w:rFonts w:cs="Arial"/>
              </w:rPr>
              <w:t>205</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Georgia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Germany</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268</w:t>
            </w:r>
            <w:r>
              <w:rPr>
                <w:rFonts w:cs="Arial"/>
              </w:rPr>
              <w:t>,</w:t>
            </w:r>
            <w:r w:rsidRPr="000F6C2B">
              <w:rPr>
                <w:rFonts w:cs="Arial"/>
              </w:rPr>
              <w:t>205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268</w:t>
            </w:r>
            <w:r>
              <w:rPr>
                <w:rFonts w:cs="Arial"/>
              </w:rPr>
              <w:t>,</w:t>
            </w:r>
            <w:r w:rsidRPr="000F6C2B">
              <w:rPr>
                <w:rFonts w:cs="Arial"/>
              </w:rPr>
              <w:t>205</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Hungary</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26</w:t>
            </w:r>
            <w:r>
              <w:rPr>
                <w:rFonts w:cs="Arial"/>
              </w:rPr>
              <w:t>,</w:t>
            </w:r>
            <w:r w:rsidRPr="000F6C2B">
              <w:rPr>
                <w:rFonts w:cs="Arial"/>
              </w:rPr>
              <w:t>820</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26</w:t>
            </w:r>
            <w:r>
              <w:rPr>
                <w:rFonts w:cs="Arial"/>
              </w:rPr>
              <w:t>,</w:t>
            </w:r>
            <w:r w:rsidRPr="000F6C2B">
              <w:rPr>
                <w:rFonts w:cs="Arial"/>
              </w:rPr>
              <w:t>820</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Iceland</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Ireland</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53</w:t>
            </w:r>
            <w:r>
              <w:rPr>
                <w:rFonts w:cs="Arial"/>
              </w:rPr>
              <w:t>,</w:t>
            </w:r>
            <w:r w:rsidRPr="000F6C2B">
              <w:rPr>
                <w:rFonts w:cs="Arial"/>
              </w:rPr>
              <w:t>641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53</w:t>
            </w:r>
            <w:r>
              <w:rPr>
                <w:rFonts w:cs="Arial"/>
              </w:rPr>
              <w:t>,</w:t>
            </w:r>
            <w:r w:rsidRPr="000F6C2B">
              <w:rPr>
                <w:rFonts w:cs="Arial"/>
              </w:rPr>
              <w:t>641</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Israel</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26</w:t>
            </w:r>
            <w:r>
              <w:rPr>
                <w:rFonts w:cs="Arial"/>
              </w:rPr>
              <w:t>,</w:t>
            </w:r>
            <w:r w:rsidRPr="000F6C2B">
              <w:rPr>
                <w:rFonts w:cs="Arial"/>
              </w:rPr>
              <w:t>820</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26</w:t>
            </w:r>
            <w:r>
              <w:rPr>
                <w:rFonts w:cs="Arial"/>
              </w:rPr>
              <w:t>,</w:t>
            </w:r>
            <w:r w:rsidRPr="000F6C2B">
              <w:rPr>
                <w:rFonts w:cs="Arial"/>
              </w:rPr>
              <w:t>820</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Italy</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107</w:t>
            </w:r>
            <w:r>
              <w:rPr>
                <w:rFonts w:cs="Arial"/>
              </w:rPr>
              <w:t>,</w:t>
            </w:r>
            <w:r w:rsidRPr="000F6C2B">
              <w:rPr>
                <w:rFonts w:cs="Arial"/>
              </w:rPr>
              <w:t>282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107</w:t>
            </w:r>
            <w:r>
              <w:rPr>
                <w:rFonts w:cs="Arial"/>
              </w:rPr>
              <w:t>,</w:t>
            </w:r>
            <w:r w:rsidRPr="000F6C2B">
              <w:rPr>
                <w:rFonts w:cs="Arial"/>
              </w:rPr>
              <w:t>282</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Japan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268</w:t>
            </w:r>
            <w:r>
              <w:rPr>
                <w:rFonts w:cs="Arial"/>
              </w:rPr>
              <w:t>,</w:t>
            </w:r>
            <w:r w:rsidRPr="000F6C2B">
              <w:rPr>
                <w:rFonts w:cs="Arial"/>
              </w:rPr>
              <w:t>205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268</w:t>
            </w:r>
            <w:r>
              <w:rPr>
                <w:rFonts w:cs="Arial"/>
              </w:rPr>
              <w:t>,</w:t>
            </w:r>
            <w:r w:rsidRPr="000F6C2B">
              <w:rPr>
                <w:rFonts w:cs="Arial"/>
              </w:rPr>
              <w:t>205</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Jordan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Kenya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Kyrgyzstan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Latvia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Lithuania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Mexico</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0.75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40</w:t>
            </w:r>
            <w:r>
              <w:rPr>
                <w:rFonts w:cs="Arial"/>
              </w:rPr>
              <w:t>,</w:t>
            </w:r>
            <w:r w:rsidRPr="000F6C2B">
              <w:rPr>
                <w:rFonts w:cs="Arial"/>
              </w:rPr>
              <w:t>231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40</w:t>
            </w:r>
            <w:r>
              <w:rPr>
                <w:rFonts w:cs="Arial"/>
              </w:rPr>
              <w:t>,</w:t>
            </w:r>
            <w:r w:rsidRPr="000F6C2B">
              <w:rPr>
                <w:rFonts w:cs="Arial"/>
              </w:rPr>
              <w:t>231</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Morocco</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Netherlands</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3</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160</w:t>
            </w:r>
            <w:r>
              <w:rPr>
                <w:rFonts w:cs="Arial"/>
              </w:rPr>
              <w:t>,</w:t>
            </w:r>
            <w:r w:rsidRPr="000F6C2B">
              <w:rPr>
                <w:rFonts w:cs="Arial"/>
              </w:rPr>
              <w:t>923</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160</w:t>
            </w:r>
            <w:r>
              <w:rPr>
                <w:rFonts w:cs="Arial"/>
              </w:rPr>
              <w:t>,</w:t>
            </w:r>
            <w:r w:rsidRPr="000F6C2B">
              <w:rPr>
                <w:rFonts w:cs="Arial"/>
              </w:rPr>
              <w:t>923</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New Zealand</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53</w:t>
            </w:r>
            <w:r>
              <w:rPr>
                <w:rFonts w:cs="Arial"/>
              </w:rPr>
              <w:t>,</w:t>
            </w:r>
            <w:r w:rsidRPr="000F6C2B">
              <w:rPr>
                <w:rFonts w:cs="Arial"/>
              </w:rPr>
              <w:t>641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53</w:t>
            </w:r>
            <w:r>
              <w:rPr>
                <w:rFonts w:cs="Arial"/>
              </w:rPr>
              <w:t>,</w:t>
            </w:r>
            <w:r w:rsidRPr="000F6C2B">
              <w:rPr>
                <w:rFonts w:cs="Arial"/>
              </w:rPr>
              <w:t>641</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Nicaragua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single"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Norway</w:t>
            </w:r>
          </w:p>
        </w:tc>
        <w:tc>
          <w:tcPr>
            <w:tcW w:w="1530" w:type="dxa"/>
            <w:tcBorders>
              <w:top w:val="dotted" w:sz="4" w:space="0" w:color="auto"/>
              <w:left w:val="single" w:sz="8" w:space="0" w:color="auto"/>
              <w:bottom w:val="single"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1</w:t>
            </w:r>
          </w:p>
        </w:tc>
        <w:tc>
          <w:tcPr>
            <w:tcW w:w="1440" w:type="dxa"/>
            <w:tcBorders>
              <w:top w:val="dotted" w:sz="4" w:space="0" w:color="auto"/>
              <w:left w:val="single" w:sz="8" w:space="0" w:color="auto"/>
              <w:bottom w:val="single"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53</w:t>
            </w:r>
            <w:r>
              <w:rPr>
                <w:rFonts w:cs="Arial"/>
              </w:rPr>
              <w:t>,</w:t>
            </w:r>
            <w:r w:rsidRPr="000F6C2B">
              <w:rPr>
                <w:rFonts w:cs="Arial"/>
              </w:rPr>
              <w:t>641</w:t>
            </w:r>
          </w:p>
        </w:tc>
        <w:tc>
          <w:tcPr>
            <w:tcW w:w="1440" w:type="dxa"/>
            <w:tcBorders>
              <w:top w:val="dotted" w:sz="4" w:space="0" w:color="auto"/>
              <w:left w:val="single" w:sz="8" w:space="0" w:color="auto"/>
              <w:bottom w:val="single"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53</w:t>
            </w:r>
            <w:r>
              <w:rPr>
                <w:rFonts w:cs="Arial"/>
              </w:rPr>
              <w:t>,</w:t>
            </w:r>
            <w:r w:rsidRPr="000F6C2B">
              <w:rPr>
                <w:rFonts w:cs="Arial"/>
              </w:rPr>
              <w:t>641</w:t>
            </w:r>
          </w:p>
        </w:tc>
      </w:tr>
      <w:tr w:rsidR="00092EDA" w:rsidRPr="000F6C2B" w:rsidTr="00532F43">
        <w:trPr>
          <w:jc w:val="center"/>
        </w:trPr>
        <w:tc>
          <w:tcPr>
            <w:tcW w:w="2987" w:type="dxa"/>
            <w:tcBorders>
              <w:top w:val="single"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lastRenderedPageBreak/>
              <w:t>Oman</w:t>
            </w:r>
          </w:p>
        </w:tc>
        <w:tc>
          <w:tcPr>
            <w:tcW w:w="1530" w:type="dxa"/>
            <w:tcBorders>
              <w:top w:val="single"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1</w:t>
            </w:r>
          </w:p>
        </w:tc>
        <w:tc>
          <w:tcPr>
            <w:tcW w:w="1440" w:type="dxa"/>
            <w:tcBorders>
              <w:top w:val="single"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53</w:t>
            </w:r>
            <w:r>
              <w:rPr>
                <w:rFonts w:cs="Arial"/>
              </w:rPr>
              <w:t>,</w:t>
            </w:r>
            <w:r w:rsidRPr="000F6C2B">
              <w:rPr>
                <w:rFonts w:cs="Arial"/>
              </w:rPr>
              <w:t>641</w:t>
            </w:r>
          </w:p>
        </w:tc>
        <w:tc>
          <w:tcPr>
            <w:tcW w:w="1440" w:type="dxa"/>
            <w:tcBorders>
              <w:top w:val="single"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53</w:t>
            </w:r>
            <w:r>
              <w:rPr>
                <w:rFonts w:cs="Arial"/>
              </w:rPr>
              <w:t>,</w:t>
            </w:r>
            <w:r w:rsidRPr="000F6C2B">
              <w:rPr>
                <w:rFonts w:cs="Arial"/>
              </w:rPr>
              <w:t>641</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Panama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Paraguay</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6E514C">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6E514C">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6E514C">
            <w:pPr>
              <w:jc w:val="right"/>
              <w:rPr>
                <w:rFonts w:cs="Arial"/>
              </w:rPr>
            </w:pPr>
            <w:r w:rsidRPr="000F6C2B">
              <w:rPr>
                <w:rFonts w:cs="Arial"/>
              </w:rPr>
              <w:t>10</w:t>
            </w:r>
            <w:r>
              <w:rPr>
                <w:rFonts w:cs="Arial"/>
              </w:rPr>
              <w:t>,</w:t>
            </w:r>
            <w:r w:rsidRPr="000F6C2B">
              <w:rPr>
                <w:rFonts w:cs="Arial"/>
              </w:rPr>
              <w:t>728</w:t>
            </w:r>
          </w:p>
        </w:tc>
      </w:tr>
      <w:tr w:rsidR="006E514C"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6E514C" w:rsidRPr="000F6C2B" w:rsidRDefault="006E514C" w:rsidP="00532F43">
            <w:pPr>
              <w:rPr>
                <w:rFonts w:cs="Arial"/>
              </w:rPr>
            </w:pPr>
            <w:r w:rsidRPr="00C910E4">
              <w:rPr>
                <w:rFonts w:cs="Arial"/>
              </w:rPr>
              <w:t>P</w:t>
            </w:r>
            <w:r>
              <w:rPr>
                <w:rFonts w:cs="Arial"/>
              </w:rPr>
              <w:t>eru</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6E514C" w:rsidRPr="000F6C2B" w:rsidRDefault="006E514C" w:rsidP="00532F43">
            <w:pPr>
              <w:jc w:val="center"/>
              <w:rPr>
                <w:rFonts w:cs="Arial"/>
              </w:rPr>
            </w:pPr>
            <w:r>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6E514C" w:rsidRPr="000F6C2B" w:rsidRDefault="006E514C" w:rsidP="00532F43">
            <w:pPr>
              <w:jc w:val="right"/>
              <w:rPr>
                <w:rFonts w:cs="Arial"/>
              </w:rPr>
            </w:pPr>
            <w:r>
              <w:rPr>
                <w:rFonts w:cs="Arial"/>
              </w:rP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6E514C" w:rsidRPr="000F6C2B" w:rsidRDefault="006E514C" w:rsidP="00532F43">
            <w:pPr>
              <w:jc w:val="right"/>
              <w:rPr>
                <w:rFonts w:cs="Arial"/>
              </w:rPr>
            </w:pPr>
            <w:r>
              <w:rPr>
                <w:rFonts w:cs="Arial"/>
              </w:rPr>
              <w:t>10,728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Poland</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26</w:t>
            </w:r>
            <w:r>
              <w:rPr>
                <w:rFonts w:cs="Arial"/>
              </w:rPr>
              <w:t>,</w:t>
            </w:r>
            <w:r w:rsidRPr="000F6C2B">
              <w:rPr>
                <w:rFonts w:cs="Arial"/>
              </w:rPr>
              <w:t>820</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26</w:t>
            </w:r>
            <w:r>
              <w:rPr>
                <w:rFonts w:cs="Arial"/>
              </w:rPr>
              <w:t>,</w:t>
            </w:r>
            <w:r w:rsidRPr="000F6C2B">
              <w:rPr>
                <w:rFonts w:cs="Arial"/>
              </w:rPr>
              <w:t>820</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Portugal</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Republic of Korea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1.5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Pr>
                <w:rFonts w:cs="Arial"/>
              </w:rPr>
              <w:t>80,462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80</w:t>
            </w:r>
            <w:r>
              <w:rPr>
                <w:rFonts w:cs="Arial"/>
              </w:rPr>
              <w:t>,</w:t>
            </w:r>
            <w:r w:rsidRPr="000F6C2B">
              <w:rPr>
                <w:rFonts w:cs="Arial"/>
              </w:rPr>
              <w:t>462</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rPr>
                <w:rFonts w:cs="Arial"/>
              </w:rPr>
            </w:pPr>
            <w:r w:rsidRPr="000F6C2B">
              <w:rPr>
                <w:rFonts w:cs="Arial"/>
              </w:rPr>
              <w:t>Republic of Moldova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rPr>
                <w:rFonts w:cs="Arial"/>
              </w:rPr>
            </w:pPr>
            <w:r w:rsidRPr="000F6C2B">
              <w:rPr>
                <w:rFonts w:cs="Arial"/>
              </w:rPr>
              <w:t>Romania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rPr>
                <w:rFonts w:cs="Arial"/>
              </w:rPr>
            </w:pPr>
            <w:r w:rsidRPr="000F6C2B">
              <w:rPr>
                <w:rFonts w:cs="Arial"/>
              </w:rPr>
              <w:t>Russian Federation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center"/>
              <w:rPr>
                <w:rFonts w:cs="Arial"/>
              </w:rPr>
            </w:pPr>
            <w:r w:rsidRPr="000F6C2B">
              <w:rPr>
                <w:rFonts w:cs="Arial"/>
              </w:rP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26</w:t>
            </w:r>
            <w:r>
              <w:rPr>
                <w:rFonts w:cs="Arial"/>
              </w:rPr>
              <w:t>,</w:t>
            </w:r>
            <w:r w:rsidRPr="000F6C2B">
              <w:rPr>
                <w:rFonts w:cs="Arial"/>
              </w:rPr>
              <w:t>820</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26</w:t>
            </w:r>
            <w:r>
              <w:rPr>
                <w:rFonts w:cs="Arial"/>
              </w:rPr>
              <w:t>,</w:t>
            </w:r>
            <w:r w:rsidRPr="000F6C2B">
              <w:rPr>
                <w:rFonts w:cs="Arial"/>
              </w:rPr>
              <w:t>820</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rPr>
                <w:rFonts w:cs="Arial"/>
              </w:rPr>
            </w:pPr>
            <w:r w:rsidRPr="000F6C2B">
              <w:rPr>
                <w:rFonts w:cs="Arial"/>
              </w:rPr>
              <w:t>Singapore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rPr>
                <w:rFonts w:cs="Arial"/>
              </w:rPr>
            </w:pPr>
            <w:r w:rsidRPr="000F6C2B">
              <w:rPr>
                <w:rFonts w:cs="Arial"/>
              </w:rPr>
              <w:t>Slovakia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center"/>
              <w:rPr>
                <w:rFonts w:cs="Arial"/>
              </w:rPr>
            </w:pPr>
            <w:r w:rsidRPr="000F6C2B">
              <w:rPr>
                <w:rFonts w:cs="Arial"/>
              </w:rP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26</w:t>
            </w:r>
            <w:r>
              <w:rPr>
                <w:rFonts w:cs="Arial"/>
              </w:rPr>
              <w:t>,</w:t>
            </w:r>
            <w:r w:rsidRPr="000F6C2B">
              <w:rPr>
                <w:rFonts w:cs="Arial"/>
              </w:rPr>
              <w:t>820</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26</w:t>
            </w:r>
            <w:r>
              <w:rPr>
                <w:rFonts w:cs="Arial"/>
              </w:rPr>
              <w:t>,</w:t>
            </w:r>
            <w:r w:rsidRPr="000F6C2B">
              <w:rPr>
                <w:rFonts w:cs="Arial"/>
              </w:rPr>
              <w:t>820</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rPr>
                <w:rFonts w:cs="Arial"/>
              </w:rPr>
            </w:pPr>
            <w:r w:rsidRPr="000F6C2B">
              <w:rPr>
                <w:rFonts w:cs="Arial"/>
              </w:rPr>
              <w:t>Slovenia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rPr>
                <w:rFonts w:cs="Arial"/>
              </w:rPr>
            </w:pPr>
            <w:r w:rsidRPr="000F6C2B">
              <w:rPr>
                <w:rFonts w:cs="Arial"/>
              </w:rPr>
              <w:t>South Africa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center"/>
              <w:rPr>
                <w:rFonts w:cs="Arial"/>
              </w:rPr>
            </w:pPr>
            <w:r w:rsidRPr="000F6C2B">
              <w:rPr>
                <w:rFonts w:cs="Arial"/>
              </w:rPr>
              <w:t>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53</w:t>
            </w:r>
            <w:r>
              <w:rPr>
                <w:rFonts w:cs="Arial"/>
              </w:rPr>
              <w:t>,</w:t>
            </w:r>
            <w:r w:rsidRPr="000F6C2B">
              <w:rPr>
                <w:rFonts w:cs="Arial"/>
              </w:rPr>
              <w:t>641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53</w:t>
            </w:r>
            <w:r>
              <w:rPr>
                <w:rFonts w:cs="Arial"/>
              </w:rPr>
              <w:t>,</w:t>
            </w:r>
            <w:r w:rsidRPr="000F6C2B">
              <w:rPr>
                <w:rFonts w:cs="Arial"/>
              </w:rPr>
              <w:t>641</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rPr>
                <w:rFonts w:cs="Arial"/>
              </w:rPr>
            </w:pPr>
            <w:r w:rsidRPr="000F6C2B">
              <w:rPr>
                <w:rFonts w:cs="Arial"/>
              </w:rPr>
              <w:t>Spain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center"/>
              <w:rPr>
                <w:rFonts w:cs="Arial"/>
              </w:rPr>
            </w:pPr>
            <w:r w:rsidRPr="000F6C2B">
              <w:rPr>
                <w:rFonts w:cs="Arial"/>
              </w:rPr>
              <w:t>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107</w:t>
            </w:r>
            <w:r>
              <w:rPr>
                <w:rFonts w:cs="Arial"/>
              </w:rPr>
              <w:t>,</w:t>
            </w:r>
            <w:r w:rsidRPr="000F6C2B">
              <w:rPr>
                <w:rFonts w:cs="Arial"/>
              </w:rPr>
              <w:t>282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107</w:t>
            </w:r>
            <w:r>
              <w:rPr>
                <w:rFonts w:cs="Arial"/>
              </w:rPr>
              <w:t>,</w:t>
            </w:r>
            <w:r w:rsidRPr="000F6C2B">
              <w:rPr>
                <w:rFonts w:cs="Arial"/>
              </w:rPr>
              <w:t>282</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rPr>
                <w:rFonts w:cs="Arial"/>
              </w:rPr>
            </w:pPr>
            <w:r w:rsidRPr="000F6C2B">
              <w:rPr>
                <w:rFonts w:cs="Arial"/>
              </w:rPr>
              <w:t>Sweden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center"/>
              <w:rPr>
                <w:rFonts w:cs="Arial"/>
              </w:rPr>
            </w:pPr>
            <w:r w:rsidRPr="000F6C2B">
              <w:rPr>
                <w:rFonts w:cs="Arial"/>
              </w:rPr>
              <w:t>1.5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80</w:t>
            </w:r>
            <w:r>
              <w:rPr>
                <w:rFonts w:cs="Arial"/>
              </w:rPr>
              <w:t>,</w:t>
            </w:r>
            <w:r w:rsidRPr="000F6C2B">
              <w:rPr>
                <w:rFonts w:cs="Arial"/>
              </w:rPr>
              <w:t>462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80</w:t>
            </w:r>
            <w:r>
              <w:rPr>
                <w:rFonts w:cs="Arial"/>
              </w:rPr>
              <w:t>,</w:t>
            </w:r>
            <w:r w:rsidRPr="000F6C2B">
              <w:rPr>
                <w:rFonts w:cs="Arial"/>
              </w:rPr>
              <w:t>462</w:t>
            </w:r>
          </w:p>
        </w:tc>
      </w:tr>
      <w:tr w:rsidR="00092EDA" w:rsidRPr="000F6C2B" w:rsidTr="00532F43">
        <w:trPr>
          <w:trHeight w:val="210"/>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rPr>
                <w:rFonts w:cs="Arial"/>
              </w:rPr>
            </w:pPr>
            <w:r w:rsidRPr="000F6C2B">
              <w:rPr>
                <w:rFonts w:cs="Arial"/>
              </w:rPr>
              <w:t>Switzerland</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center"/>
              <w:rPr>
                <w:rFonts w:cs="Arial"/>
              </w:rPr>
            </w:pPr>
            <w:r w:rsidRPr="000F6C2B">
              <w:rPr>
                <w:rFonts w:cs="Arial"/>
              </w:rPr>
              <w:t>1.5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80</w:t>
            </w:r>
            <w:r>
              <w:rPr>
                <w:rFonts w:cs="Arial"/>
              </w:rPr>
              <w:t>,</w:t>
            </w:r>
            <w:r w:rsidRPr="000F6C2B">
              <w:rPr>
                <w:rFonts w:cs="Arial"/>
              </w:rPr>
              <w:t>462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80</w:t>
            </w:r>
            <w:r>
              <w:rPr>
                <w:rFonts w:cs="Arial"/>
              </w:rPr>
              <w:t>,</w:t>
            </w:r>
            <w:r w:rsidRPr="000F6C2B">
              <w:rPr>
                <w:rFonts w:cs="Arial"/>
              </w:rPr>
              <w:t>462</w:t>
            </w:r>
          </w:p>
        </w:tc>
      </w:tr>
      <w:tr w:rsidR="00092EDA" w:rsidRPr="000F6C2B" w:rsidTr="00532F43">
        <w:trPr>
          <w:trHeight w:val="450"/>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D81BFB">
            <w:pPr>
              <w:spacing w:line="220" w:lineRule="exact"/>
              <w:rPr>
                <w:rFonts w:cs="Arial"/>
              </w:rPr>
            </w:pPr>
            <w:r>
              <w:rPr>
                <w:rFonts w:cs="Arial"/>
              </w:rPr>
              <w:t>The former Yugoslav Republic of Macedonia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center"/>
              <w:rPr>
                <w:rFonts w:cs="Arial"/>
              </w:rPr>
            </w:pPr>
            <w:r>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Pr>
                <w:rFonts w:cs="Arial"/>
              </w:rP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Pr>
                <w:rFonts w:cs="Arial"/>
              </w:rPr>
              <w:t>10,728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rPr>
                <w:rFonts w:cs="Arial"/>
              </w:rPr>
            </w:pPr>
            <w:r w:rsidRPr="000F6C2B">
              <w:rPr>
                <w:rFonts w:cs="Arial"/>
              </w:rPr>
              <w:t>Trinidad and Tobago</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rPr>
                <w:rFonts w:cs="Arial"/>
              </w:rPr>
            </w:pPr>
            <w:r w:rsidRPr="000F6C2B">
              <w:rPr>
                <w:rFonts w:cs="Arial"/>
              </w:rPr>
              <w:t>Tunisia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rPr>
                <w:rFonts w:cs="Arial"/>
              </w:rPr>
            </w:pPr>
            <w:r w:rsidRPr="000F6C2B">
              <w:rPr>
                <w:rFonts w:cs="Arial"/>
              </w:rPr>
              <w:t>Turkey</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center"/>
              <w:rPr>
                <w:rFonts w:cs="Arial"/>
              </w:rPr>
            </w:pPr>
            <w:r w:rsidRPr="000F6C2B">
              <w:rPr>
                <w:rFonts w:cs="Arial"/>
              </w:rP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26</w:t>
            </w:r>
            <w:r>
              <w:rPr>
                <w:rFonts w:cs="Arial"/>
              </w:rPr>
              <w:t>,</w:t>
            </w:r>
            <w:r w:rsidRPr="000F6C2B">
              <w:rPr>
                <w:rFonts w:cs="Arial"/>
              </w:rPr>
              <w:t>820</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26</w:t>
            </w:r>
            <w:r>
              <w:rPr>
                <w:rFonts w:cs="Arial"/>
              </w:rPr>
              <w:t>,</w:t>
            </w:r>
            <w:r w:rsidRPr="000F6C2B">
              <w:rPr>
                <w:rFonts w:cs="Arial"/>
              </w:rPr>
              <w:t>820</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rPr>
                <w:rFonts w:cs="Arial"/>
              </w:rPr>
            </w:pPr>
            <w:r w:rsidRPr="000F6C2B">
              <w:rPr>
                <w:rFonts w:cs="Arial"/>
              </w:rPr>
              <w:t>Ukraine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rPr>
                <w:rFonts w:cs="Arial"/>
              </w:rPr>
            </w:pPr>
            <w:r w:rsidRPr="000F6C2B">
              <w:rPr>
                <w:rFonts w:cs="Arial"/>
              </w:rPr>
              <w:t>United Kingdom</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center"/>
              <w:rPr>
                <w:rFonts w:cs="Arial"/>
              </w:rPr>
            </w:pPr>
            <w:r w:rsidRPr="000F6C2B">
              <w:rPr>
                <w:rFonts w:cs="Arial"/>
              </w:rPr>
              <w:t>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107</w:t>
            </w:r>
            <w:r>
              <w:rPr>
                <w:rFonts w:cs="Arial"/>
              </w:rPr>
              <w:t>,</w:t>
            </w:r>
            <w:r w:rsidRPr="000F6C2B">
              <w:rPr>
                <w:rFonts w:cs="Arial"/>
              </w:rPr>
              <w:t>282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107</w:t>
            </w:r>
            <w:r>
              <w:rPr>
                <w:rFonts w:cs="Arial"/>
              </w:rPr>
              <w:t>,</w:t>
            </w:r>
            <w:r w:rsidRPr="000F6C2B">
              <w:rPr>
                <w:rFonts w:cs="Arial"/>
              </w:rPr>
              <w:t>282</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rPr>
                <w:rFonts w:cs="Arial"/>
              </w:rPr>
            </w:pPr>
            <w:r w:rsidRPr="000F6C2B">
              <w:rPr>
                <w:rFonts w:cs="Arial"/>
              </w:rPr>
              <w:t>United States of America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center"/>
              <w:rPr>
                <w:rFonts w:cs="Arial"/>
              </w:rPr>
            </w:pPr>
            <w:r w:rsidRPr="000F6C2B">
              <w:rPr>
                <w:rFonts w:cs="Arial"/>
              </w:rPr>
              <w:t>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268</w:t>
            </w:r>
            <w:r>
              <w:rPr>
                <w:rFonts w:cs="Arial"/>
              </w:rPr>
              <w:t>,</w:t>
            </w:r>
            <w:r w:rsidRPr="000F6C2B">
              <w:rPr>
                <w:rFonts w:cs="Arial"/>
              </w:rPr>
              <w:t>205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268</w:t>
            </w:r>
            <w:r>
              <w:rPr>
                <w:rFonts w:cs="Arial"/>
              </w:rPr>
              <w:t>,</w:t>
            </w:r>
            <w:r w:rsidRPr="000F6C2B">
              <w:rPr>
                <w:rFonts w:cs="Arial"/>
              </w:rPr>
              <w:t>205</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rPr>
                <w:rFonts w:cs="Arial"/>
              </w:rPr>
            </w:pPr>
            <w:r w:rsidRPr="000F6C2B">
              <w:rPr>
                <w:rFonts w:cs="Arial"/>
              </w:rPr>
              <w:br w:type="page"/>
              <w:t>Uruguay</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rPr>
                <w:rFonts w:cs="Arial"/>
              </w:rPr>
            </w:pPr>
            <w:r w:rsidRPr="000F6C2B">
              <w:rPr>
                <w:rFonts w:cs="Arial"/>
              </w:rPr>
              <w:t>Uzbekistan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center"/>
              <w:rPr>
                <w:rFonts w:cs="Arial"/>
              </w:rPr>
            </w:pPr>
            <w:r w:rsidRPr="000F6C2B">
              <w:rPr>
                <w:rFonts w:cs="Arial"/>
              </w:rP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10</w:t>
            </w:r>
            <w:r>
              <w:rPr>
                <w:rFonts w:cs="Arial"/>
              </w:rPr>
              <w:t>,</w:t>
            </w:r>
            <w:r w:rsidRPr="000F6C2B">
              <w:rPr>
                <w:rFonts w:cs="Arial"/>
              </w:rPr>
              <w:t>728</w:t>
            </w:r>
          </w:p>
        </w:tc>
      </w:tr>
      <w:tr w:rsidR="00092EDA" w:rsidRPr="000F6C2B" w:rsidTr="00532F43">
        <w:trPr>
          <w:jc w:val="center"/>
        </w:trPr>
        <w:tc>
          <w:tcPr>
            <w:tcW w:w="2987" w:type="dxa"/>
            <w:tcBorders>
              <w:top w:val="dotted" w:sz="4" w:space="0" w:color="auto"/>
              <w:bottom w:val="single" w:sz="8"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rPr>
                <w:rFonts w:cs="Arial"/>
              </w:rPr>
            </w:pPr>
            <w:r w:rsidRPr="000F6C2B">
              <w:rPr>
                <w:rFonts w:cs="Arial"/>
              </w:rPr>
              <w:t>Viet Nam</w:t>
            </w:r>
          </w:p>
        </w:tc>
        <w:tc>
          <w:tcPr>
            <w:tcW w:w="1530" w:type="dxa"/>
            <w:tcBorders>
              <w:top w:val="dotted" w:sz="4" w:space="0" w:color="auto"/>
              <w:left w:val="single" w:sz="8" w:space="0" w:color="auto"/>
              <w:bottom w:val="single" w:sz="8"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center"/>
              <w:rPr>
                <w:rFonts w:cs="Arial"/>
              </w:rPr>
            </w:pPr>
            <w:r w:rsidRPr="000F6C2B">
              <w:rPr>
                <w:rFonts w:cs="Arial"/>
              </w:rPr>
              <w:t>0.2</w:t>
            </w:r>
          </w:p>
        </w:tc>
        <w:tc>
          <w:tcPr>
            <w:tcW w:w="1440" w:type="dxa"/>
            <w:tcBorders>
              <w:top w:val="dotted" w:sz="4" w:space="0" w:color="auto"/>
              <w:left w:val="single" w:sz="8" w:space="0" w:color="auto"/>
              <w:bottom w:val="single" w:sz="8"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10</w:t>
            </w:r>
            <w:r>
              <w:rPr>
                <w:rFonts w:cs="Arial"/>
              </w:rPr>
              <w:t>,</w:t>
            </w:r>
            <w:r w:rsidRPr="000F6C2B">
              <w:rPr>
                <w:rFonts w:cs="Arial"/>
              </w:rPr>
              <w:t>728</w:t>
            </w:r>
          </w:p>
        </w:tc>
        <w:tc>
          <w:tcPr>
            <w:tcW w:w="1440" w:type="dxa"/>
            <w:tcBorders>
              <w:top w:val="dotted" w:sz="4" w:space="0" w:color="auto"/>
              <w:left w:val="single" w:sz="8" w:space="0" w:color="auto"/>
              <w:bottom w:val="single" w:sz="8" w:space="0" w:color="auto"/>
              <w:right w:val="single" w:sz="8" w:space="0" w:color="auto"/>
            </w:tcBorders>
            <w:tcMar>
              <w:top w:w="28" w:type="dxa"/>
              <w:left w:w="85" w:type="dxa"/>
              <w:bottom w:w="28" w:type="dxa"/>
              <w:right w:w="85" w:type="dxa"/>
            </w:tcMar>
          </w:tcPr>
          <w:p w:rsidR="00092EDA" w:rsidRPr="000F6C2B" w:rsidRDefault="00092EDA" w:rsidP="00532F43">
            <w:pPr>
              <w:spacing w:line="220" w:lineRule="exact"/>
              <w:jc w:val="right"/>
              <w:rPr>
                <w:rFonts w:cs="Arial"/>
              </w:rPr>
            </w:pPr>
            <w:r w:rsidRPr="000F6C2B">
              <w:rPr>
                <w:rFonts w:cs="Arial"/>
              </w:rPr>
              <w:t>10</w:t>
            </w:r>
            <w:r>
              <w:rPr>
                <w:rFonts w:cs="Arial"/>
              </w:rPr>
              <w:t>,</w:t>
            </w:r>
            <w:r w:rsidRPr="000F6C2B">
              <w:rPr>
                <w:rFonts w:cs="Arial"/>
              </w:rPr>
              <w:t>728</w:t>
            </w:r>
          </w:p>
        </w:tc>
      </w:tr>
      <w:tr w:rsidR="00092EDA" w:rsidRPr="000F6C2B" w:rsidTr="00532F43">
        <w:trPr>
          <w:tblHeader/>
          <w:jc w:val="center"/>
        </w:trPr>
        <w:tc>
          <w:tcPr>
            <w:tcW w:w="2987" w:type="dxa"/>
            <w:tcBorders>
              <w:top w:val="single" w:sz="8" w:space="0" w:color="auto"/>
              <w:bottom w:val="single" w:sz="8" w:space="0" w:color="auto"/>
              <w:right w:val="single" w:sz="8" w:space="0" w:color="auto"/>
            </w:tcBorders>
            <w:shd w:val="clear" w:color="auto" w:fill="CCFF99"/>
          </w:tcPr>
          <w:p w:rsidR="00092EDA" w:rsidRPr="000F6C2B" w:rsidRDefault="00092EDA" w:rsidP="00532F43">
            <w:pPr>
              <w:spacing w:before="120" w:after="120"/>
              <w:rPr>
                <w:rFonts w:cs="Arial"/>
              </w:rPr>
            </w:pPr>
            <w:r w:rsidRPr="000F6C2B">
              <w:rPr>
                <w:rFonts w:cs="Arial"/>
              </w:rPr>
              <w:t>Total</w:t>
            </w:r>
          </w:p>
        </w:tc>
        <w:tc>
          <w:tcPr>
            <w:tcW w:w="1530" w:type="dxa"/>
            <w:tcBorders>
              <w:top w:val="single" w:sz="8" w:space="0" w:color="auto"/>
              <w:left w:val="single" w:sz="8" w:space="0" w:color="auto"/>
              <w:bottom w:val="single" w:sz="8" w:space="0" w:color="auto"/>
              <w:right w:val="single" w:sz="8" w:space="0" w:color="auto"/>
            </w:tcBorders>
            <w:shd w:val="clear" w:color="auto" w:fill="CCFF99"/>
          </w:tcPr>
          <w:p w:rsidR="00092EDA" w:rsidRPr="000F6C2B" w:rsidRDefault="00092EDA" w:rsidP="00532F43">
            <w:pPr>
              <w:spacing w:before="120" w:after="120"/>
              <w:jc w:val="center"/>
              <w:rPr>
                <w:rFonts w:cs="Arial"/>
              </w:rPr>
            </w:pPr>
          </w:p>
        </w:tc>
        <w:tc>
          <w:tcPr>
            <w:tcW w:w="1440" w:type="dxa"/>
            <w:tcBorders>
              <w:top w:val="single" w:sz="8" w:space="0" w:color="auto"/>
              <w:left w:val="single" w:sz="8" w:space="0" w:color="auto"/>
              <w:bottom w:val="single" w:sz="8" w:space="0" w:color="auto"/>
              <w:right w:val="single" w:sz="8" w:space="0" w:color="auto"/>
            </w:tcBorders>
            <w:shd w:val="clear" w:color="auto" w:fill="CCFF99"/>
          </w:tcPr>
          <w:p w:rsidR="00092EDA" w:rsidRPr="000F6C2B" w:rsidRDefault="00092EDA" w:rsidP="00532F43">
            <w:pPr>
              <w:spacing w:before="120" w:after="120"/>
              <w:jc w:val="right"/>
              <w:rPr>
                <w:rFonts w:cs="Arial"/>
              </w:rPr>
            </w:pPr>
            <w:r w:rsidRPr="000F6C2B">
              <w:rPr>
                <w:rFonts w:cs="Arial"/>
              </w:rPr>
              <w:t>3</w:t>
            </w:r>
            <w:r>
              <w:rPr>
                <w:rFonts w:cs="Arial"/>
              </w:rPr>
              <w:t>,323,050</w:t>
            </w:r>
          </w:p>
        </w:tc>
        <w:tc>
          <w:tcPr>
            <w:tcW w:w="1440" w:type="dxa"/>
            <w:tcBorders>
              <w:top w:val="single" w:sz="8" w:space="0" w:color="auto"/>
              <w:left w:val="single" w:sz="8" w:space="0" w:color="auto"/>
              <w:bottom w:val="single" w:sz="8" w:space="0" w:color="auto"/>
              <w:right w:val="single" w:sz="8" w:space="0" w:color="auto"/>
            </w:tcBorders>
            <w:shd w:val="clear" w:color="auto" w:fill="CCFF99"/>
          </w:tcPr>
          <w:p w:rsidR="00092EDA" w:rsidRPr="000F6C2B" w:rsidRDefault="00092EDA" w:rsidP="00532F43">
            <w:pPr>
              <w:spacing w:before="120" w:after="120"/>
              <w:jc w:val="right"/>
              <w:rPr>
                <w:rFonts w:cs="Arial"/>
              </w:rPr>
            </w:pPr>
            <w:r w:rsidRPr="000F6C2B">
              <w:rPr>
                <w:rFonts w:cs="Arial"/>
              </w:rPr>
              <w:t>3</w:t>
            </w:r>
            <w:r>
              <w:rPr>
                <w:rFonts w:cs="Arial"/>
              </w:rPr>
              <w:t>,323,050</w:t>
            </w:r>
          </w:p>
        </w:tc>
      </w:tr>
    </w:tbl>
    <w:p w:rsidR="002F09F3" w:rsidRDefault="002F09F3" w:rsidP="00D81BFB"/>
    <w:p w:rsidR="002F09F3" w:rsidRDefault="002F09F3" w:rsidP="00D81BFB"/>
    <w:p w:rsidR="002F09F3" w:rsidRDefault="002F09F3" w:rsidP="008518D2">
      <w:pPr>
        <w:pStyle w:val="Heading5"/>
      </w:pPr>
      <w:r>
        <w:br w:type="page"/>
      </w:r>
      <w:bookmarkStart w:id="29" w:name="_Toc393377929"/>
      <w:r>
        <w:lastRenderedPageBreak/>
        <w:t>Contribution payments received in advance</w:t>
      </w:r>
      <w:bookmarkEnd w:id="29"/>
    </w:p>
    <w:p w:rsidR="002F09F3" w:rsidRDefault="002F09F3" w:rsidP="00532F43">
      <w:pPr>
        <w:jc w:val="center"/>
      </w:pPr>
    </w:p>
    <w:p w:rsidR="002F09F3" w:rsidRDefault="002F09F3" w:rsidP="00D81BFB"/>
    <w:tbl>
      <w:tblPr>
        <w:tblW w:w="0" w:type="auto"/>
        <w:jc w:val="center"/>
        <w:tblInd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3691"/>
      </w:tblGrid>
      <w:tr w:rsidR="00092EDA" w:rsidRPr="004B2B8D" w:rsidTr="00A46DE9">
        <w:trPr>
          <w:trHeight w:val="598"/>
          <w:jc w:val="center"/>
        </w:trPr>
        <w:tc>
          <w:tcPr>
            <w:tcW w:w="6543" w:type="dxa"/>
            <w:gridSpan w:val="2"/>
            <w:tcBorders>
              <w:top w:val="single" w:sz="8" w:space="0" w:color="auto"/>
              <w:left w:val="single" w:sz="8" w:space="0" w:color="auto"/>
              <w:bottom w:val="single" w:sz="8" w:space="0" w:color="auto"/>
              <w:right w:val="single" w:sz="8" w:space="0" w:color="auto"/>
            </w:tcBorders>
            <w:shd w:val="clear" w:color="auto" w:fill="CCFF99"/>
          </w:tcPr>
          <w:p w:rsidR="00371404" w:rsidRDefault="00371404" w:rsidP="00744BB5">
            <w:pPr>
              <w:jc w:val="center"/>
            </w:pPr>
          </w:p>
          <w:p w:rsidR="00371404" w:rsidRDefault="00092EDA" w:rsidP="00744BB5">
            <w:pPr>
              <w:jc w:val="center"/>
            </w:pPr>
            <w:r>
              <w:t>Contributions for 2014, already received by December 31, 2013:</w:t>
            </w:r>
          </w:p>
        </w:tc>
      </w:tr>
      <w:tr w:rsidR="002F09F3" w:rsidRPr="004B2B8D" w:rsidTr="002B1132">
        <w:trPr>
          <w:trHeight w:val="584"/>
          <w:jc w:val="center"/>
        </w:trPr>
        <w:tc>
          <w:tcPr>
            <w:tcW w:w="2852" w:type="dxa"/>
            <w:tcBorders>
              <w:top w:val="single" w:sz="8" w:space="0" w:color="auto"/>
              <w:left w:val="single" w:sz="8" w:space="0" w:color="auto"/>
              <w:bottom w:val="single" w:sz="8" w:space="0" w:color="auto"/>
              <w:right w:val="single" w:sz="8" w:space="0" w:color="auto"/>
            </w:tcBorders>
            <w:shd w:val="clear" w:color="auto" w:fill="CCFF99"/>
          </w:tcPr>
          <w:p w:rsidR="00A46DE9" w:rsidRDefault="00A46DE9" w:rsidP="00532F43">
            <w:pPr>
              <w:jc w:val="center"/>
            </w:pPr>
          </w:p>
          <w:p w:rsidR="00A46DE9" w:rsidRPr="004B2B8D" w:rsidRDefault="002F09F3" w:rsidP="002B1132">
            <w:pPr>
              <w:jc w:val="center"/>
            </w:pPr>
            <w:r w:rsidRPr="004B2B8D">
              <w:t>Members of the Union</w:t>
            </w:r>
          </w:p>
        </w:tc>
        <w:tc>
          <w:tcPr>
            <w:tcW w:w="3691" w:type="dxa"/>
            <w:tcBorders>
              <w:top w:val="single" w:sz="8" w:space="0" w:color="auto"/>
              <w:left w:val="single" w:sz="8" w:space="0" w:color="auto"/>
              <w:bottom w:val="single" w:sz="8" w:space="0" w:color="auto"/>
              <w:right w:val="single" w:sz="8" w:space="0" w:color="auto"/>
            </w:tcBorders>
            <w:shd w:val="clear" w:color="auto" w:fill="CCFF99"/>
          </w:tcPr>
          <w:p w:rsidR="00A46DE9" w:rsidRDefault="00A46DE9" w:rsidP="00532F43">
            <w:pPr>
              <w:ind w:right="430"/>
              <w:jc w:val="right"/>
            </w:pPr>
          </w:p>
          <w:p w:rsidR="002F09F3" w:rsidRPr="004B2B8D" w:rsidRDefault="002F09F3" w:rsidP="00532F43">
            <w:pPr>
              <w:ind w:right="430"/>
              <w:jc w:val="right"/>
            </w:pPr>
            <w:r>
              <w:t>Swiss francs</w:t>
            </w:r>
          </w:p>
        </w:tc>
      </w:tr>
      <w:tr w:rsidR="002F09F3" w:rsidRPr="004B2B8D" w:rsidTr="00A46DE9">
        <w:trPr>
          <w:trHeight w:val="293"/>
          <w:jc w:val="center"/>
        </w:trPr>
        <w:tc>
          <w:tcPr>
            <w:tcW w:w="2852" w:type="dxa"/>
            <w:tcBorders>
              <w:top w:val="single" w:sz="8" w:space="0" w:color="auto"/>
              <w:left w:val="single" w:sz="8" w:space="0" w:color="auto"/>
              <w:bottom w:val="nil"/>
              <w:right w:val="single" w:sz="8" w:space="0" w:color="auto"/>
            </w:tcBorders>
            <w:shd w:val="clear" w:color="auto" w:fill="auto"/>
          </w:tcPr>
          <w:p w:rsidR="002F09F3" w:rsidRPr="004B2B8D" w:rsidRDefault="002F09F3" w:rsidP="00D81BFB">
            <w:r>
              <w:t>Australia</w:t>
            </w:r>
          </w:p>
        </w:tc>
        <w:tc>
          <w:tcPr>
            <w:tcW w:w="3691" w:type="dxa"/>
            <w:tcBorders>
              <w:top w:val="single" w:sz="8" w:space="0" w:color="auto"/>
              <w:left w:val="single" w:sz="8" w:space="0" w:color="auto"/>
              <w:bottom w:val="nil"/>
              <w:right w:val="single" w:sz="8" w:space="0" w:color="auto"/>
            </w:tcBorders>
            <w:shd w:val="clear" w:color="auto" w:fill="auto"/>
          </w:tcPr>
          <w:p w:rsidR="002F09F3" w:rsidRPr="004B2B8D" w:rsidRDefault="002F09F3" w:rsidP="00532F43">
            <w:pPr>
              <w:ind w:right="430"/>
              <w:jc w:val="right"/>
            </w:pPr>
            <w:r>
              <w:t>53,641</w:t>
            </w:r>
          </w:p>
        </w:tc>
      </w:tr>
      <w:tr w:rsidR="002F09F3" w:rsidRPr="004B2B8D" w:rsidTr="00A46DE9">
        <w:trPr>
          <w:trHeight w:val="293"/>
          <w:jc w:val="center"/>
        </w:trPr>
        <w:tc>
          <w:tcPr>
            <w:tcW w:w="2852" w:type="dxa"/>
            <w:tcBorders>
              <w:top w:val="nil"/>
              <w:left w:val="single" w:sz="8" w:space="0" w:color="auto"/>
              <w:bottom w:val="nil"/>
              <w:right w:val="single" w:sz="8" w:space="0" w:color="auto"/>
            </w:tcBorders>
            <w:shd w:val="clear" w:color="auto" w:fill="auto"/>
          </w:tcPr>
          <w:p w:rsidR="002F09F3" w:rsidRPr="004B2B8D" w:rsidRDefault="002F09F3" w:rsidP="00D81BFB">
            <w:r>
              <w:t>Bulgar</w:t>
            </w:r>
            <w:r w:rsidRPr="004B2B8D">
              <w:t>ia</w:t>
            </w:r>
          </w:p>
        </w:tc>
        <w:tc>
          <w:tcPr>
            <w:tcW w:w="3691" w:type="dxa"/>
            <w:tcBorders>
              <w:top w:val="nil"/>
              <w:left w:val="single" w:sz="8" w:space="0" w:color="auto"/>
              <w:bottom w:val="nil"/>
              <w:right w:val="single" w:sz="8" w:space="0" w:color="auto"/>
            </w:tcBorders>
            <w:shd w:val="clear" w:color="auto" w:fill="auto"/>
          </w:tcPr>
          <w:p w:rsidR="002F09F3" w:rsidRPr="004B2B8D" w:rsidRDefault="002F09F3" w:rsidP="00532F43">
            <w:pPr>
              <w:ind w:right="430" w:firstLine="177"/>
              <w:jc w:val="right"/>
            </w:pPr>
            <w:r>
              <w:t>10,728</w:t>
            </w:r>
          </w:p>
        </w:tc>
      </w:tr>
      <w:tr w:rsidR="002F09F3" w:rsidRPr="004B2B8D" w:rsidTr="00A46DE9">
        <w:trPr>
          <w:trHeight w:val="293"/>
          <w:jc w:val="center"/>
        </w:trPr>
        <w:tc>
          <w:tcPr>
            <w:tcW w:w="2852" w:type="dxa"/>
            <w:tcBorders>
              <w:top w:val="nil"/>
              <w:left w:val="single" w:sz="8" w:space="0" w:color="auto"/>
              <w:bottom w:val="nil"/>
              <w:right w:val="single" w:sz="8" w:space="0" w:color="auto"/>
            </w:tcBorders>
            <w:shd w:val="clear" w:color="auto" w:fill="auto"/>
          </w:tcPr>
          <w:p w:rsidR="002F09F3" w:rsidRPr="004B2B8D" w:rsidRDefault="002F09F3" w:rsidP="00D81BFB">
            <w:r>
              <w:t>Colombia</w:t>
            </w:r>
          </w:p>
        </w:tc>
        <w:tc>
          <w:tcPr>
            <w:tcW w:w="3691" w:type="dxa"/>
            <w:tcBorders>
              <w:top w:val="nil"/>
              <w:left w:val="single" w:sz="8" w:space="0" w:color="auto"/>
              <w:bottom w:val="nil"/>
              <w:right w:val="single" w:sz="8" w:space="0" w:color="auto"/>
            </w:tcBorders>
            <w:shd w:val="clear" w:color="auto" w:fill="auto"/>
          </w:tcPr>
          <w:p w:rsidR="002F09F3" w:rsidRPr="004B2B8D" w:rsidRDefault="002F09F3" w:rsidP="00532F43">
            <w:pPr>
              <w:ind w:right="430" w:firstLine="177"/>
              <w:jc w:val="right"/>
            </w:pPr>
            <w:r w:rsidRPr="004B2B8D">
              <w:t>10</w:t>
            </w:r>
            <w:r>
              <w:t>,</w:t>
            </w:r>
            <w:r w:rsidRPr="004B2B8D">
              <w:t>728</w:t>
            </w:r>
          </w:p>
        </w:tc>
      </w:tr>
      <w:tr w:rsidR="00141316" w:rsidRPr="004B2B8D" w:rsidTr="00A46DE9">
        <w:trPr>
          <w:trHeight w:val="293"/>
          <w:jc w:val="center"/>
        </w:trPr>
        <w:tc>
          <w:tcPr>
            <w:tcW w:w="2852" w:type="dxa"/>
            <w:tcBorders>
              <w:top w:val="nil"/>
              <w:left w:val="single" w:sz="8" w:space="0" w:color="auto"/>
              <w:bottom w:val="nil"/>
              <w:right w:val="single" w:sz="8" w:space="0" w:color="auto"/>
            </w:tcBorders>
            <w:shd w:val="clear" w:color="auto" w:fill="auto"/>
          </w:tcPr>
          <w:p w:rsidR="00141316" w:rsidRPr="004B2B8D" w:rsidRDefault="00141316" w:rsidP="00D81BFB">
            <w:r w:rsidRPr="004B2B8D">
              <w:t>Costa Rica</w:t>
            </w:r>
          </w:p>
        </w:tc>
        <w:tc>
          <w:tcPr>
            <w:tcW w:w="3691" w:type="dxa"/>
            <w:tcBorders>
              <w:top w:val="nil"/>
              <w:left w:val="single" w:sz="8" w:space="0" w:color="auto"/>
              <w:bottom w:val="nil"/>
              <w:right w:val="single" w:sz="8" w:space="0" w:color="auto"/>
            </w:tcBorders>
            <w:shd w:val="clear" w:color="auto" w:fill="auto"/>
          </w:tcPr>
          <w:p w:rsidR="00141316" w:rsidRPr="004B2B8D" w:rsidRDefault="00141316" w:rsidP="00371404">
            <w:pPr>
              <w:ind w:right="454"/>
              <w:jc w:val="right"/>
            </w:pPr>
            <w:r w:rsidRPr="004B2B8D">
              <w:t>10</w:t>
            </w:r>
            <w:r>
              <w:t>,</w:t>
            </w:r>
            <w:r w:rsidRPr="004B2B8D">
              <w:t>728</w:t>
            </w:r>
          </w:p>
        </w:tc>
      </w:tr>
      <w:tr w:rsidR="00141316" w:rsidRPr="004B2B8D" w:rsidTr="00A46DE9">
        <w:trPr>
          <w:trHeight w:val="288"/>
          <w:jc w:val="center"/>
        </w:trPr>
        <w:tc>
          <w:tcPr>
            <w:tcW w:w="2852" w:type="dxa"/>
            <w:tcBorders>
              <w:top w:val="nil"/>
              <w:left w:val="single" w:sz="8" w:space="0" w:color="auto"/>
              <w:bottom w:val="nil"/>
              <w:right w:val="single" w:sz="8" w:space="0" w:color="auto"/>
            </w:tcBorders>
            <w:shd w:val="clear" w:color="auto" w:fill="auto"/>
          </w:tcPr>
          <w:p w:rsidR="00141316" w:rsidRPr="004B2B8D" w:rsidRDefault="00141316" w:rsidP="00D81BFB">
            <w:r>
              <w:t>Latvia</w:t>
            </w:r>
          </w:p>
        </w:tc>
        <w:tc>
          <w:tcPr>
            <w:tcW w:w="3691" w:type="dxa"/>
            <w:tcBorders>
              <w:top w:val="nil"/>
              <w:left w:val="single" w:sz="8" w:space="0" w:color="auto"/>
              <w:bottom w:val="nil"/>
              <w:right w:val="single" w:sz="8" w:space="0" w:color="auto"/>
            </w:tcBorders>
            <w:shd w:val="clear" w:color="auto" w:fill="auto"/>
          </w:tcPr>
          <w:p w:rsidR="00141316" w:rsidRPr="004B2B8D" w:rsidRDefault="00141316" w:rsidP="00141316">
            <w:pPr>
              <w:ind w:right="430"/>
              <w:jc w:val="right"/>
            </w:pPr>
            <w:r>
              <w:t>7,023</w:t>
            </w:r>
          </w:p>
        </w:tc>
      </w:tr>
      <w:tr w:rsidR="00141316" w:rsidRPr="004B2B8D" w:rsidTr="00A46DE9">
        <w:trPr>
          <w:trHeight w:val="293"/>
          <w:jc w:val="center"/>
        </w:trPr>
        <w:tc>
          <w:tcPr>
            <w:tcW w:w="2852" w:type="dxa"/>
            <w:tcBorders>
              <w:top w:val="nil"/>
              <w:left w:val="single" w:sz="8" w:space="0" w:color="auto"/>
              <w:bottom w:val="nil"/>
              <w:right w:val="single" w:sz="8" w:space="0" w:color="auto"/>
            </w:tcBorders>
            <w:shd w:val="clear" w:color="auto" w:fill="auto"/>
          </w:tcPr>
          <w:p w:rsidR="00141316" w:rsidRPr="004B2B8D" w:rsidRDefault="00141316" w:rsidP="00D81BFB">
            <w:r>
              <w:t>Mexico</w:t>
            </w:r>
          </w:p>
        </w:tc>
        <w:tc>
          <w:tcPr>
            <w:tcW w:w="3691" w:type="dxa"/>
            <w:tcBorders>
              <w:top w:val="nil"/>
              <w:left w:val="single" w:sz="8" w:space="0" w:color="auto"/>
              <w:bottom w:val="nil"/>
              <w:right w:val="single" w:sz="8" w:space="0" w:color="auto"/>
            </w:tcBorders>
            <w:shd w:val="clear" w:color="auto" w:fill="auto"/>
          </w:tcPr>
          <w:p w:rsidR="00141316" w:rsidRPr="004B2B8D" w:rsidRDefault="00141316" w:rsidP="00532F43">
            <w:pPr>
              <w:ind w:right="430" w:firstLine="177"/>
              <w:jc w:val="right"/>
            </w:pPr>
            <w:r>
              <w:t>40,231</w:t>
            </w:r>
          </w:p>
        </w:tc>
      </w:tr>
      <w:tr w:rsidR="00141316" w:rsidRPr="004B2B8D" w:rsidTr="00A46DE9">
        <w:trPr>
          <w:trHeight w:val="293"/>
          <w:jc w:val="center"/>
        </w:trPr>
        <w:tc>
          <w:tcPr>
            <w:tcW w:w="2852" w:type="dxa"/>
            <w:tcBorders>
              <w:top w:val="nil"/>
              <w:left w:val="single" w:sz="8" w:space="0" w:color="auto"/>
              <w:bottom w:val="nil"/>
              <w:right w:val="single" w:sz="8" w:space="0" w:color="auto"/>
            </w:tcBorders>
            <w:shd w:val="clear" w:color="auto" w:fill="auto"/>
          </w:tcPr>
          <w:p w:rsidR="00141316" w:rsidRPr="004B2B8D" w:rsidRDefault="00141316" w:rsidP="00D81BFB">
            <w:r>
              <w:t>Norway</w:t>
            </w:r>
          </w:p>
        </w:tc>
        <w:tc>
          <w:tcPr>
            <w:tcW w:w="3691" w:type="dxa"/>
            <w:tcBorders>
              <w:top w:val="nil"/>
              <w:left w:val="single" w:sz="8" w:space="0" w:color="auto"/>
              <w:bottom w:val="nil"/>
              <w:right w:val="single" w:sz="8" w:space="0" w:color="auto"/>
            </w:tcBorders>
            <w:shd w:val="clear" w:color="auto" w:fill="auto"/>
          </w:tcPr>
          <w:p w:rsidR="00141316" w:rsidRPr="004B2B8D" w:rsidRDefault="00141316" w:rsidP="00532F43">
            <w:pPr>
              <w:ind w:right="430" w:firstLine="177"/>
              <w:jc w:val="right"/>
            </w:pPr>
            <w:r>
              <w:t>53,641</w:t>
            </w:r>
          </w:p>
        </w:tc>
      </w:tr>
      <w:tr w:rsidR="00141316" w:rsidRPr="004B2B8D" w:rsidTr="00A46DE9">
        <w:trPr>
          <w:trHeight w:val="293"/>
          <w:jc w:val="center"/>
        </w:trPr>
        <w:tc>
          <w:tcPr>
            <w:tcW w:w="2852" w:type="dxa"/>
            <w:tcBorders>
              <w:top w:val="nil"/>
              <w:left w:val="single" w:sz="8" w:space="0" w:color="auto"/>
              <w:bottom w:val="nil"/>
              <w:right w:val="single" w:sz="8" w:space="0" w:color="auto"/>
            </w:tcBorders>
            <w:shd w:val="clear" w:color="auto" w:fill="auto"/>
          </w:tcPr>
          <w:p w:rsidR="00141316" w:rsidRPr="004B2B8D" w:rsidRDefault="00141316" w:rsidP="00D81BFB">
            <w:proofErr w:type="spellStart"/>
            <w:r>
              <w:rPr>
                <w:lang w:val="es-ES"/>
              </w:rPr>
              <w:t>Panama</w:t>
            </w:r>
            <w:proofErr w:type="spellEnd"/>
          </w:p>
        </w:tc>
        <w:tc>
          <w:tcPr>
            <w:tcW w:w="3691" w:type="dxa"/>
            <w:tcBorders>
              <w:top w:val="nil"/>
              <w:left w:val="single" w:sz="8" w:space="0" w:color="auto"/>
              <w:bottom w:val="nil"/>
              <w:right w:val="single" w:sz="8" w:space="0" w:color="auto"/>
            </w:tcBorders>
            <w:shd w:val="clear" w:color="auto" w:fill="auto"/>
          </w:tcPr>
          <w:p w:rsidR="00141316" w:rsidRPr="004B2B8D" w:rsidRDefault="00141316" w:rsidP="00532F43">
            <w:pPr>
              <w:ind w:right="430" w:firstLine="177"/>
              <w:jc w:val="right"/>
            </w:pPr>
            <w:r>
              <w:t>648</w:t>
            </w:r>
          </w:p>
        </w:tc>
      </w:tr>
      <w:tr w:rsidR="00141316" w:rsidRPr="004B2B8D" w:rsidTr="00A46DE9">
        <w:trPr>
          <w:trHeight w:val="293"/>
          <w:jc w:val="center"/>
        </w:trPr>
        <w:tc>
          <w:tcPr>
            <w:tcW w:w="2852" w:type="dxa"/>
            <w:tcBorders>
              <w:top w:val="nil"/>
              <w:left w:val="single" w:sz="8" w:space="0" w:color="auto"/>
              <w:bottom w:val="single" w:sz="8" w:space="0" w:color="auto"/>
              <w:right w:val="single" w:sz="8" w:space="0" w:color="auto"/>
            </w:tcBorders>
            <w:shd w:val="clear" w:color="auto" w:fill="auto"/>
          </w:tcPr>
          <w:p w:rsidR="00141316" w:rsidRPr="004B2B8D" w:rsidRDefault="00141316" w:rsidP="00D81BFB">
            <w:proofErr w:type="spellStart"/>
            <w:r>
              <w:rPr>
                <w:lang w:val="es-ES"/>
              </w:rPr>
              <w:t>Slovakia</w:t>
            </w:r>
            <w:proofErr w:type="spellEnd"/>
          </w:p>
        </w:tc>
        <w:tc>
          <w:tcPr>
            <w:tcW w:w="3691" w:type="dxa"/>
            <w:tcBorders>
              <w:top w:val="nil"/>
              <w:left w:val="single" w:sz="8" w:space="0" w:color="auto"/>
              <w:bottom w:val="nil"/>
              <w:right w:val="single" w:sz="8" w:space="0" w:color="auto"/>
            </w:tcBorders>
            <w:shd w:val="clear" w:color="auto" w:fill="auto"/>
          </w:tcPr>
          <w:p w:rsidR="00141316" w:rsidRPr="004B2B8D" w:rsidRDefault="00141316" w:rsidP="00532F43">
            <w:pPr>
              <w:ind w:right="430" w:firstLine="177"/>
              <w:jc w:val="right"/>
            </w:pPr>
            <w:r>
              <w:t>26,820</w:t>
            </w:r>
          </w:p>
        </w:tc>
      </w:tr>
      <w:tr w:rsidR="00141316" w:rsidRPr="004B2B8D" w:rsidTr="00A46DE9">
        <w:trPr>
          <w:trHeight w:val="416"/>
          <w:jc w:val="center"/>
        </w:trPr>
        <w:tc>
          <w:tcPr>
            <w:tcW w:w="2852" w:type="dxa"/>
            <w:tcBorders>
              <w:top w:val="single" w:sz="8" w:space="0" w:color="auto"/>
              <w:left w:val="single" w:sz="8" w:space="0" w:color="auto"/>
              <w:bottom w:val="single" w:sz="8" w:space="0" w:color="auto"/>
            </w:tcBorders>
            <w:shd w:val="clear" w:color="auto" w:fill="CCFF99"/>
          </w:tcPr>
          <w:p w:rsidR="00141316" w:rsidRDefault="00141316" w:rsidP="00D81BFB"/>
          <w:p w:rsidR="00141316" w:rsidRDefault="00141316" w:rsidP="00D81BFB">
            <w:r>
              <w:t>Total 2014</w:t>
            </w:r>
          </w:p>
          <w:p w:rsidR="00A46DE9" w:rsidRPr="004B2B8D" w:rsidRDefault="00A46DE9" w:rsidP="00D81BFB"/>
        </w:tc>
        <w:tc>
          <w:tcPr>
            <w:tcW w:w="3691" w:type="dxa"/>
            <w:tcBorders>
              <w:top w:val="single" w:sz="8" w:space="0" w:color="auto"/>
              <w:bottom w:val="single" w:sz="8" w:space="0" w:color="auto"/>
              <w:right w:val="single" w:sz="8" w:space="0" w:color="auto"/>
            </w:tcBorders>
            <w:shd w:val="clear" w:color="auto" w:fill="CCFF99"/>
          </w:tcPr>
          <w:p w:rsidR="00141316" w:rsidRDefault="00141316" w:rsidP="00532F43">
            <w:pPr>
              <w:ind w:right="430" w:firstLine="177"/>
              <w:jc w:val="right"/>
            </w:pPr>
          </w:p>
          <w:p w:rsidR="00141316" w:rsidRPr="004B2B8D" w:rsidRDefault="00141316" w:rsidP="00532F43">
            <w:pPr>
              <w:ind w:right="430" w:firstLine="177"/>
              <w:jc w:val="right"/>
            </w:pPr>
            <w:r>
              <w:t>214,188</w:t>
            </w:r>
          </w:p>
        </w:tc>
      </w:tr>
      <w:tr w:rsidR="00A46DE9" w:rsidRPr="004B2B8D" w:rsidTr="00A46DE9">
        <w:trPr>
          <w:trHeight w:val="293"/>
          <w:jc w:val="center"/>
        </w:trPr>
        <w:tc>
          <w:tcPr>
            <w:tcW w:w="6543" w:type="dxa"/>
            <w:gridSpan w:val="2"/>
            <w:tcBorders>
              <w:top w:val="single" w:sz="8" w:space="0" w:color="auto"/>
              <w:left w:val="nil"/>
              <w:bottom w:val="single" w:sz="8" w:space="0" w:color="auto"/>
              <w:right w:val="nil"/>
            </w:tcBorders>
            <w:shd w:val="clear" w:color="auto" w:fill="FFFFFF" w:themeFill="background1"/>
            <w:vAlign w:val="center"/>
          </w:tcPr>
          <w:p w:rsidR="00A46DE9" w:rsidRDefault="00A46DE9" w:rsidP="00371404">
            <w:pPr>
              <w:jc w:val="left"/>
            </w:pPr>
          </w:p>
        </w:tc>
      </w:tr>
      <w:tr w:rsidR="00141316" w:rsidRPr="004B2B8D" w:rsidTr="00A46DE9">
        <w:trPr>
          <w:trHeight w:val="293"/>
          <w:jc w:val="center"/>
        </w:trPr>
        <w:tc>
          <w:tcPr>
            <w:tcW w:w="6543" w:type="dxa"/>
            <w:gridSpan w:val="2"/>
            <w:tcBorders>
              <w:top w:val="single" w:sz="8" w:space="0" w:color="auto"/>
              <w:left w:val="single" w:sz="8" w:space="0" w:color="auto"/>
              <w:bottom w:val="nil"/>
              <w:right w:val="single" w:sz="8" w:space="0" w:color="auto"/>
            </w:tcBorders>
            <w:shd w:val="clear" w:color="auto" w:fill="CCFF99"/>
            <w:vAlign w:val="center"/>
          </w:tcPr>
          <w:p w:rsidR="00371404" w:rsidRDefault="00371404" w:rsidP="00744BB5">
            <w:pPr>
              <w:jc w:val="center"/>
            </w:pPr>
          </w:p>
          <w:p w:rsidR="00141316" w:rsidRPr="004B2B8D" w:rsidRDefault="00141316" w:rsidP="00744BB5">
            <w:pPr>
              <w:jc w:val="center"/>
            </w:pPr>
            <w:r>
              <w:t>Contributions received for 2015:</w:t>
            </w:r>
          </w:p>
        </w:tc>
      </w:tr>
      <w:tr w:rsidR="00371404" w:rsidRPr="004B2B8D" w:rsidTr="002B1132">
        <w:trPr>
          <w:trHeight w:val="595"/>
          <w:jc w:val="center"/>
        </w:trPr>
        <w:tc>
          <w:tcPr>
            <w:tcW w:w="2852" w:type="dxa"/>
            <w:tcBorders>
              <w:top w:val="single" w:sz="8" w:space="0" w:color="auto"/>
              <w:left w:val="single" w:sz="8" w:space="0" w:color="auto"/>
              <w:bottom w:val="single" w:sz="8" w:space="0" w:color="auto"/>
              <w:right w:val="single" w:sz="8" w:space="0" w:color="auto"/>
            </w:tcBorders>
            <w:shd w:val="clear" w:color="auto" w:fill="CCFF99"/>
          </w:tcPr>
          <w:p w:rsidR="00A46DE9" w:rsidRDefault="00A46DE9" w:rsidP="002B1132">
            <w:pPr>
              <w:jc w:val="center"/>
            </w:pPr>
          </w:p>
          <w:p w:rsidR="00A46DE9" w:rsidRDefault="00371404" w:rsidP="002B1132">
            <w:pPr>
              <w:jc w:val="center"/>
            </w:pPr>
            <w:r w:rsidRPr="004B2B8D">
              <w:t>Members of the Union</w:t>
            </w:r>
          </w:p>
        </w:tc>
        <w:tc>
          <w:tcPr>
            <w:tcW w:w="3691" w:type="dxa"/>
            <w:tcBorders>
              <w:top w:val="single" w:sz="8" w:space="0" w:color="auto"/>
              <w:left w:val="single" w:sz="8" w:space="0" w:color="auto"/>
              <w:bottom w:val="single" w:sz="8" w:space="0" w:color="auto"/>
              <w:right w:val="single" w:sz="8" w:space="0" w:color="auto"/>
            </w:tcBorders>
            <w:shd w:val="clear" w:color="auto" w:fill="CCFF99"/>
          </w:tcPr>
          <w:p w:rsidR="00A46DE9" w:rsidRDefault="00A46DE9" w:rsidP="002B1132">
            <w:pPr>
              <w:ind w:right="430" w:firstLine="177"/>
              <w:jc w:val="center"/>
            </w:pPr>
          </w:p>
          <w:p w:rsidR="00371404" w:rsidRDefault="00371404" w:rsidP="00AF112F">
            <w:pPr>
              <w:ind w:right="430" w:firstLine="177"/>
              <w:jc w:val="right"/>
            </w:pPr>
            <w:r>
              <w:t>Swiss francs</w:t>
            </w:r>
          </w:p>
        </w:tc>
      </w:tr>
      <w:tr w:rsidR="00371404" w:rsidRPr="004B2B8D" w:rsidTr="00A46DE9">
        <w:trPr>
          <w:trHeight w:val="293"/>
          <w:jc w:val="center"/>
        </w:trPr>
        <w:tc>
          <w:tcPr>
            <w:tcW w:w="2852" w:type="dxa"/>
            <w:tcBorders>
              <w:top w:val="single" w:sz="8" w:space="0" w:color="auto"/>
              <w:left w:val="single" w:sz="8" w:space="0" w:color="auto"/>
              <w:bottom w:val="nil"/>
              <w:right w:val="single" w:sz="8" w:space="0" w:color="auto"/>
            </w:tcBorders>
            <w:shd w:val="clear" w:color="auto" w:fill="FFFFFF" w:themeFill="background1"/>
          </w:tcPr>
          <w:p w:rsidR="00371404" w:rsidRPr="004B2B8D" w:rsidRDefault="00371404" w:rsidP="00D81BFB">
            <w:r>
              <w:t>Bulgaria</w:t>
            </w:r>
          </w:p>
        </w:tc>
        <w:tc>
          <w:tcPr>
            <w:tcW w:w="3691" w:type="dxa"/>
            <w:tcBorders>
              <w:top w:val="nil"/>
              <w:left w:val="single" w:sz="8" w:space="0" w:color="auto"/>
              <w:bottom w:val="nil"/>
              <w:right w:val="single" w:sz="8" w:space="0" w:color="auto"/>
            </w:tcBorders>
            <w:shd w:val="clear" w:color="auto" w:fill="FFFFFF" w:themeFill="background1"/>
          </w:tcPr>
          <w:p w:rsidR="00371404" w:rsidRPr="004B2B8D" w:rsidRDefault="00371404" w:rsidP="004622E4">
            <w:pPr>
              <w:ind w:right="430"/>
              <w:jc w:val="right"/>
            </w:pPr>
            <w:r>
              <w:t>10,728</w:t>
            </w:r>
          </w:p>
        </w:tc>
      </w:tr>
      <w:tr w:rsidR="00371404" w:rsidRPr="004B2B8D" w:rsidTr="00A46DE9">
        <w:trPr>
          <w:trHeight w:val="293"/>
          <w:jc w:val="center"/>
        </w:trPr>
        <w:tc>
          <w:tcPr>
            <w:tcW w:w="2852" w:type="dxa"/>
            <w:tcBorders>
              <w:top w:val="nil"/>
              <w:left w:val="single" w:sz="8" w:space="0" w:color="auto"/>
              <w:bottom w:val="nil"/>
              <w:right w:val="single" w:sz="8" w:space="0" w:color="auto"/>
            </w:tcBorders>
            <w:shd w:val="clear" w:color="auto" w:fill="FFFFFF" w:themeFill="background1"/>
          </w:tcPr>
          <w:p w:rsidR="00371404" w:rsidRPr="004B2B8D" w:rsidRDefault="00371404" w:rsidP="00D81BFB">
            <w:r>
              <w:t>Mexico</w:t>
            </w:r>
          </w:p>
        </w:tc>
        <w:tc>
          <w:tcPr>
            <w:tcW w:w="3691" w:type="dxa"/>
            <w:tcBorders>
              <w:top w:val="nil"/>
              <w:left w:val="single" w:sz="8" w:space="0" w:color="auto"/>
              <w:bottom w:val="nil"/>
              <w:right w:val="single" w:sz="8" w:space="0" w:color="auto"/>
            </w:tcBorders>
            <w:shd w:val="clear" w:color="auto" w:fill="FFFFFF" w:themeFill="background1"/>
          </w:tcPr>
          <w:p w:rsidR="00371404" w:rsidRPr="004B2B8D" w:rsidRDefault="00371404" w:rsidP="00532F43">
            <w:pPr>
              <w:ind w:right="430" w:firstLine="177"/>
              <w:jc w:val="right"/>
            </w:pPr>
            <w:r w:rsidRPr="00141316">
              <w:t>11,568</w:t>
            </w:r>
          </w:p>
        </w:tc>
      </w:tr>
      <w:tr w:rsidR="002B1132" w:rsidRPr="004B2B8D" w:rsidTr="002B1132">
        <w:trPr>
          <w:trHeight w:val="293"/>
          <w:jc w:val="center"/>
        </w:trPr>
        <w:tc>
          <w:tcPr>
            <w:tcW w:w="2852" w:type="dxa"/>
            <w:tcBorders>
              <w:top w:val="single" w:sz="8" w:space="0" w:color="auto"/>
              <w:left w:val="single" w:sz="8" w:space="0" w:color="auto"/>
              <w:bottom w:val="single" w:sz="8" w:space="0" w:color="auto"/>
              <w:right w:val="single" w:sz="8" w:space="0" w:color="auto"/>
            </w:tcBorders>
            <w:shd w:val="clear" w:color="auto" w:fill="CCFF99"/>
          </w:tcPr>
          <w:p w:rsidR="00371404" w:rsidRDefault="00371404" w:rsidP="00D81BFB"/>
          <w:p w:rsidR="00371404" w:rsidRDefault="00371404" w:rsidP="00D81BFB">
            <w:r>
              <w:t>Total 2015</w:t>
            </w:r>
          </w:p>
          <w:p w:rsidR="00A46DE9" w:rsidRPr="004B2B8D" w:rsidRDefault="00A46DE9" w:rsidP="00D81BFB"/>
        </w:tc>
        <w:tc>
          <w:tcPr>
            <w:tcW w:w="3691" w:type="dxa"/>
            <w:tcBorders>
              <w:top w:val="single" w:sz="8" w:space="0" w:color="auto"/>
              <w:left w:val="single" w:sz="8" w:space="0" w:color="auto"/>
              <w:bottom w:val="single" w:sz="8" w:space="0" w:color="auto"/>
              <w:right w:val="single" w:sz="8" w:space="0" w:color="auto"/>
            </w:tcBorders>
            <w:shd w:val="clear" w:color="auto" w:fill="CCFF99"/>
          </w:tcPr>
          <w:p w:rsidR="00371404" w:rsidRDefault="00371404" w:rsidP="004622E4">
            <w:pPr>
              <w:ind w:right="430" w:firstLine="177"/>
              <w:jc w:val="right"/>
            </w:pPr>
          </w:p>
          <w:p w:rsidR="00371404" w:rsidRPr="004B2B8D" w:rsidRDefault="00371404" w:rsidP="00371404">
            <w:pPr>
              <w:ind w:right="430" w:firstLine="177"/>
              <w:jc w:val="right"/>
            </w:pPr>
            <w:r>
              <w:t>22,296</w:t>
            </w:r>
          </w:p>
        </w:tc>
      </w:tr>
      <w:tr w:rsidR="002B1132" w:rsidRPr="004B2B8D" w:rsidTr="002B1132">
        <w:trPr>
          <w:trHeight w:val="293"/>
          <w:jc w:val="center"/>
        </w:trPr>
        <w:tc>
          <w:tcPr>
            <w:tcW w:w="2852" w:type="dxa"/>
            <w:tcBorders>
              <w:top w:val="single" w:sz="8" w:space="0" w:color="auto"/>
              <w:left w:val="nil"/>
              <w:bottom w:val="single" w:sz="8" w:space="0" w:color="auto"/>
              <w:right w:val="nil"/>
            </w:tcBorders>
            <w:shd w:val="clear" w:color="auto" w:fill="FFFFFF" w:themeFill="background1"/>
          </w:tcPr>
          <w:p w:rsidR="002B1132" w:rsidRDefault="002B1132" w:rsidP="00D81BFB"/>
        </w:tc>
        <w:tc>
          <w:tcPr>
            <w:tcW w:w="3691" w:type="dxa"/>
            <w:tcBorders>
              <w:top w:val="single" w:sz="8" w:space="0" w:color="auto"/>
              <w:left w:val="nil"/>
              <w:bottom w:val="single" w:sz="8" w:space="0" w:color="auto"/>
              <w:right w:val="nil"/>
            </w:tcBorders>
            <w:shd w:val="clear" w:color="auto" w:fill="FFFFFF" w:themeFill="background1"/>
          </w:tcPr>
          <w:p w:rsidR="002B1132" w:rsidRDefault="002B1132" w:rsidP="004622E4">
            <w:pPr>
              <w:ind w:right="430" w:firstLine="177"/>
              <w:jc w:val="right"/>
            </w:pPr>
          </w:p>
        </w:tc>
      </w:tr>
      <w:tr w:rsidR="002B1132" w:rsidRPr="004B2B8D" w:rsidTr="00A46DE9">
        <w:trPr>
          <w:trHeight w:val="293"/>
          <w:jc w:val="center"/>
        </w:trPr>
        <w:tc>
          <w:tcPr>
            <w:tcW w:w="2852" w:type="dxa"/>
            <w:tcBorders>
              <w:top w:val="single" w:sz="8" w:space="0" w:color="auto"/>
              <w:left w:val="single" w:sz="8" w:space="0" w:color="auto"/>
              <w:bottom w:val="single" w:sz="8" w:space="0" w:color="auto"/>
              <w:right w:val="single" w:sz="8" w:space="0" w:color="auto"/>
            </w:tcBorders>
            <w:shd w:val="clear" w:color="auto" w:fill="CCFF99"/>
          </w:tcPr>
          <w:p w:rsidR="002B1132" w:rsidRDefault="002B1132" w:rsidP="00D81BFB"/>
          <w:p w:rsidR="002B1132" w:rsidRDefault="002B1132" w:rsidP="00D81BFB">
            <w:r>
              <w:t>Total advance payment of contributions</w:t>
            </w:r>
          </w:p>
          <w:p w:rsidR="002B1132" w:rsidRDefault="002B1132" w:rsidP="00D81BFB"/>
        </w:tc>
        <w:tc>
          <w:tcPr>
            <w:tcW w:w="3691" w:type="dxa"/>
            <w:tcBorders>
              <w:top w:val="single" w:sz="8" w:space="0" w:color="auto"/>
              <w:left w:val="single" w:sz="8" w:space="0" w:color="auto"/>
              <w:bottom w:val="single" w:sz="8" w:space="0" w:color="auto"/>
              <w:right w:val="single" w:sz="8" w:space="0" w:color="auto"/>
            </w:tcBorders>
            <w:shd w:val="clear" w:color="auto" w:fill="CCFF99"/>
          </w:tcPr>
          <w:p w:rsidR="002B1132" w:rsidRDefault="002B1132" w:rsidP="004622E4">
            <w:pPr>
              <w:ind w:right="430" w:firstLine="177"/>
              <w:jc w:val="right"/>
            </w:pPr>
          </w:p>
          <w:p w:rsidR="002B1132" w:rsidRDefault="002B1132" w:rsidP="004622E4">
            <w:pPr>
              <w:ind w:right="430" w:firstLine="177"/>
              <w:jc w:val="right"/>
            </w:pPr>
            <w:r>
              <w:t>236,484</w:t>
            </w:r>
          </w:p>
        </w:tc>
      </w:tr>
    </w:tbl>
    <w:p w:rsidR="002F09F3" w:rsidRDefault="002F09F3" w:rsidP="00532F43"/>
    <w:p w:rsidR="002F09F3" w:rsidRDefault="002F09F3" w:rsidP="00532F43"/>
    <w:p w:rsidR="002F09F3" w:rsidRDefault="002F09F3" w:rsidP="00532F43"/>
    <w:p w:rsidR="006C4E45" w:rsidRDefault="006C4E45" w:rsidP="00D81BFB">
      <w:pPr>
        <w:rPr>
          <w:u w:val="single"/>
        </w:rPr>
      </w:pPr>
      <w:r>
        <w:rPr>
          <w:u w:val="single"/>
        </w:rPr>
        <w:br w:type="page"/>
      </w:r>
    </w:p>
    <w:p w:rsidR="002F09F3" w:rsidRPr="00377AEE" w:rsidRDefault="002F09F3" w:rsidP="008518D2">
      <w:pPr>
        <w:pStyle w:val="Heading5"/>
      </w:pPr>
      <w:bookmarkStart w:id="30" w:name="_Toc393377930"/>
      <w:r w:rsidRPr="00377AEE">
        <w:lastRenderedPageBreak/>
        <w:t>Amounts of the contributions due and unpaid working</w:t>
      </w:r>
      <w:r>
        <w:t xml:space="preserve"> capital as at December 31, 2013</w:t>
      </w:r>
      <w:bookmarkEnd w:id="30"/>
    </w:p>
    <w:p w:rsidR="002F09F3" w:rsidRPr="00377AEE" w:rsidRDefault="002F09F3" w:rsidP="00532F43">
      <w:pPr>
        <w:jc w:val="center"/>
      </w:pPr>
    </w:p>
    <w:tbl>
      <w:tblPr>
        <w:tblW w:w="0" w:type="auto"/>
        <w:tblInd w:w="739" w:type="dxa"/>
        <w:tblBorders>
          <w:top w:val="single" w:sz="8" w:space="0" w:color="auto"/>
          <w:left w:val="single" w:sz="8" w:space="0" w:color="auto"/>
          <w:bottom w:val="single" w:sz="8" w:space="0" w:color="auto"/>
          <w:right w:val="single" w:sz="8" w:space="0" w:color="auto"/>
        </w:tblBorders>
        <w:tblLayout w:type="fixed"/>
        <w:tblCellMar>
          <w:left w:w="30" w:type="dxa"/>
          <w:right w:w="30" w:type="dxa"/>
        </w:tblCellMar>
        <w:tblLook w:val="0000" w:firstRow="0" w:lastRow="0" w:firstColumn="0" w:lastColumn="0" w:noHBand="0" w:noVBand="0"/>
      </w:tblPr>
      <w:tblGrid>
        <w:gridCol w:w="3071"/>
        <w:gridCol w:w="2790"/>
        <w:gridCol w:w="1292"/>
        <w:gridCol w:w="1292"/>
      </w:tblGrid>
      <w:tr w:rsidR="00D36F87" w:rsidRPr="00377AEE" w:rsidTr="00BE02C7">
        <w:trPr>
          <w:cantSplit/>
          <w:trHeight w:val="528"/>
          <w:tblHeader/>
        </w:trPr>
        <w:tc>
          <w:tcPr>
            <w:tcW w:w="3071" w:type="dxa"/>
            <w:vMerge w:val="restart"/>
            <w:tcBorders>
              <w:top w:val="single" w:sz="8" w:space="0" w:color="auto"/>
              <w:right w:val="single" w:sz="8" w:space="0" w:color="auto"/>
            </w:tcBorders>
            <w:shd w:val="clear" w:color="auto" w:fill="CCFF99"/>
          </w:tcPr>
          <w:p w:rsidR="00D36F87" w:rsidRPr="00377AEE" w:rsidRDefault="00D36F87" w:rsidP="00532F43">
            <w:pPr>
              <w:spacing w:before="60"/>
              <w:jc w:val="center"/>
              <w:rPr>
                <w:rFonts w:cs="Arial"/>
              </w:rPr>
            </w:pPr>
            <w:r w:rsidRPr="00377AEE">
              <w:rPr>
                <w:rFonts w:cs="Arial"/>
              </w:rPr>
              <w:t>Members of the Union</w:t>
            </w:r>
          </w:p>
        </w:tc>
        <w:tc>
          <w:tcPr>
            <w:tcW w:w="2790" w:type="dxa"/>
            <w:vMerge w:val="restart"/>
            <w:tcBorders>
              <w:top w:val="single" w:sz="8" w:space="0" w:color="auto"/>
              <w:left w:val="single" w:sz="8" w:space="0" w:color="auto"/>
              <w:right w:val="single" w:sz="8" w:space="0" w:color="auto"/>
            </w:tcBorders>
            <w:shd w:val="clear" w:color="auto" w:fill="CCFF99"/>
          </w:tcPr>
          <w:p w:rsidR="00D36F87" w:rsidRPr="00377AEE" w:rsidRDefault="00D36F87" w:rsidP="00D81BFB">
            <w:pPr>
              <w:spacing w:before="60"/>
              <w:rPr>
                <w:rFonts w:cs="Arial"/>
              </w:rPr>
            </w:pPr>
            <w:r w:rsidRPr="00377AEE">
              <w:rPr>
                <w:rFonts w:cs="Arial"/>
              </w:rPr>
              <w:t>No arrears/year(s) of arrears</w:t>
            </w:r>
          </w:p>
        </w:tc>
        <w:tc>
          <w:tcPr>
            <w:tcW w:w="2584" w:type="dxa"/>
            <w:gridSpan w:val="2"/>
            <w:tcBorders>
              <w:top w:val="single" w:sz="8" w:space="0" w:color="auto"/>
              <w:left w:val="single" w:sz="8" w:space="0" w:color="auto"/>
              <w:bottom w:val="single" w:sz="8" w:space="0" w:color="auto"/>
            </w:tcBorders>
            <w:shd w:val="clear" w:color="auto" w:fill="CCFF99"/>
          </w:tcPr>
          <w:p w:rsidR="00D36F87" w:rsidRPr="00FC31FB" w:rsidRDefault="00D36F87" w:rsidP="00532F43">
            <w:pPr>
              <w:pStyle w:val="Heading7"/>
              <w:spacing w:before="60"/>
              <w:rPr>
                <w:rFonts w:ascii="Arial" w:hAnsi="Arial" w:cs="Arial"/>
              </w:rPr>
            </w:pPr>
            <w:r w:rsidRPr="00FC31FB">
              <w:rPr>
                <w:rFonts w:ascii="Arial" w:hAnsi="Arial" w:cs="Arial"/>
              </w:rPr>
              <w:t>Amount of arrears in Swiss francs</w:t>
            </w:r>
          </w:p>
        </w:tc>
      </w:tr>
      <w:tr w:rsidR="00D36F87" w:rsidRPr="00377AEE" w:rsidTr="0018373F">
        <w:trPr>
          <w:cantSplit/>
          <w:trHeight w:val="369"/>
          <w:tblHeader/>
        </w:trPr>
        <w:tc>
          <w:tcPr>
            <w:tcW w:w="3071" w:type="dxa"/>
            <w:vMerge/>
            <w:tcBorders>
              <w:bottom w:val="single" w:sz="8" w:space="0" w:color="auto"/>
              <w:right w:val="single" w:sz="8" w:space="0" w:color="auto"/>
            </w:tcBorders>
            <w:shd w:val="clear" w:color="auto" w:fill="CCFF99"/>
          </w:tcPr>
          <w:p w:rsidR="00D36F87" w:rsidRPr="00377AEE" w:rsidRDefault="00D36F87" w:rsidP="00532F43">
            <w:pPr>
              <w:spacing w:before="60"/>
              <w:jc w:val="center"/>
              <w:rPr>
                <w:rFonts w:cs="Arial"/>
              </w:rPr>
            </w:pPr>
          </w:p>
        </w:tc>
        <w:tc>
          <w:tcPr>
            <w:tcW w:w="2790" w:type="dxa"/>
            <w:vMerge/>
            <w:tcBorders>
              <w:left w:val="single" w:sz="8" w:space="0" w:color="auto"/>
              <w:bottom w:val="single" w:sz="8" w:space="0" w:color="auto"/>
              <w:right w:val="single" w:sz="8" w:space="0" w:color="auto"/>
            </w:tcBorders>
            <w:shd w:val="clear" w:color="auto" w:fill="CCFF99"/>
          </w:tcPr>
          <w:p w:rsidR="00D36F87" w:rsidRPr="00377AEE" w:rsidRDefault="00D36F87" w:rsidP="00D81BFB">
            <w:pPr>
              <w:spacing w:before="60"/>
              <w:rPr>
                <w:rFonts w:cs="Arial"/>
              </w:rPr>
            </w:pPr>
          </w:p>
        </w:tc>
        <w:tc>
          <w:tcPr>
            <w:tcW w:w="1292" w:type="dxa"/>
            <w:tcBorders>
              <w:top w:val="single" w:sz="8" w:space="0" w:color="auto"/>
              <w:left w:val="single" w:sz="8" w:space="0" w:color="auto"/>
              <w:bottom w:val="single" w:sz="8" w:space="0" w:color="auto"/>
            </w:tcBorders>
            <w:shd w:val="clear" w:color="auto" w:fill="CCFF99"/>
          </w:tcPr>
          <w:p w:rsidR="00D36F87" w:rsidRPr="00FC31FB" w:rsidRDefault="00D36F87" w:rsidP="00532F43">
            <w:pPr>
              <w:pStyle w:val="Heading7"/>
              <w:spacing w:before="60"/>
              <w:rPr>
                <w:rFonts w:ascii="Arial" w:hAnsi="Arial" w:cs="Arial"/>
              </w:rPr>
            </w:pPr>
          </w:p>
        </w:tc>
        <w:tc>
          <w:tcPr>
            <w:tcW w:w="1292" w:type="dxa"/>
            <w:tcBorders>
              <w:top w:val="single" w:sz="8" w:space="0" w:color="auto"/>
              <w:left w:val="single" w:sz="8" w:space="0" w:color="auto"/>
              <w:bottom w:val="single" w:sz="8" w:space="0" w:color="auto"/>
            </w:tcBorders>
            <w:shd w:val="clear" w:color="auto" w:fill="CCFF99"/>
          </w:tcPr>
          <w:p w:rsidR="00D36F87" w:rsidRPr="00FC31FB" w:rsidRDefault="00D36F87" w:rsidP="00532F43">
            <w:pPr>
              <w:pStyle w:val="Heading7"/>
              <w:spacing w:before="60"/>
              <w:rPr>
                <w:rFonts w:ascii="Arial" w:hAnsi="Arial" w:cs="Arial"/>
              </w:rPr>
            </w:pPr>
            <w:r>
              <w:rPr>
                <w:rFonts w:ascii="Arial" w:hAnsi="Arial" w:cs="Arial"/>
              </w:rPr>
              <w:t>Total</w:t>
            </w:r>
          </w:p>
        </w:tc>
      </w:tr>
      <w:tr w:rsidR="002F09F3" w:rsidRPr="00377AEE" w:rsidTr="00532F43">
        <w:tblPrEx>
          <w:tblCellMar>
            <w:left w:w="108" w:type="dxa"/>
            <w:right w:w="108" w:type="dxa"/>
          </w:tblCellMar>
        </w:tblPrEx>
        <w:trPr>
          <w:cantSplit/>
        </w:trPr>
        <w:tc>
          <w:tcPr>
            <w:tcW w:w="3071" w:type="dxa"/>
            <w:tcBorders>
              <w:top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Albania</w:t>
            </w:r>
          </w:p>
        </w:tc>
        <w:tc>
          <w:tcPr>
            <w:tcW w:w="2790" w:type="dxa"/>
            <w:tcBorders>
              <w:top w:val="single" w:sz="8"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single" w:sz="8"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single" w:sz="8"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Argentina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Australia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Austria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Azerbaijan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Belarus</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Belgium</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u w:val="single"/>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Bolivia (</w:t>
            </w:r>
            <w:proofErr w:type="spellStart"/>
            <w:r w:rsidRPr="00377AEE">
              <w:rPr>
                <w:rFonts w:cs="Arial"/>
              </w:rPr>
              <w:t>Plurinational</w:t>
            </w:r>
            <w:proofErr w:type="spellEnd"/>
            <w:r w:rsidRPr="00377AEE">
              <w:rPr>
                <w:rFonts w:cs="Arial"/>
              </w:rPr>
              <w:t xml:space="preserve"> State of)</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Brazil</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Bulgaria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Canada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 xml:space="preserve">No arrears </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Chile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China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Colombia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Costa Rica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Croatia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Czech Republic</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Denmark</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u w:val="single"/>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Dominican Republic</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Pr>
                <w:rFonts w:cs="Arial"/>
              </w:rPr>
              <w:t>2012</w:t>
            </w:r>
            <w:r w:rsidRPr="00377AEE">
              <w:rPr>
                <w:rFonts w:cs="Arial"/>
              </w:rPr>
              <w:t xml:space="preserve"> contribution (balance)</w:t>
            </w:r>
          </w:p>
          <w:p w:rsidR="002F09F3" w:rsidRPr="00377AEE" w:rsidRDefault="002F09F3" w:rsidP="00532F43">
            <w:pPr>
              <w:rPr>
                <w:rFonts w:cs="Arial"/>
              </w:rPr>
            </w:pPr>
            <w:r>
              <w:rPr>
                <w:rFonts w:cs="Arial"/>
              </w:rPr>
              <w:t>2013</w:t>
            </w:r>
            <w:r w:rsidRPr="00377AEE">
              <w:rPr>
                <w:rFonts w:cs="Arial"/>
              </w:rPr>
              <w:t xml:space="preserve"> contribution</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r>
              <w:rPr>
                <w:rFonts w:cs="Arial"/>
              </w:rPr>
              <w:t>979</w:t>
            </w:r>
          </w:p>
          <w:p w:rsidR="002F09F3" w:rsidRPr="00377AEE" w:rsidRDefault="002F09F3" w:rsidP="00532F43">
            <w:pPr>
              <w:jc w:val="right"/>
              <w:rPr>
                <w:rFonts w:cs="Arial"/>
              </w:rPr>
            </w:pPr>
            <w:r w:rsidRPr="00377AEE">
              <w:rPr>
                <w:rFonts w:cs="Arial"/>
                <w:u w:val="single"/>
              </w:rPr>
              <w:t>10</w:t>
            </w:r>
            <w:r>
              <w:rPr>
                <w:rFonts w:cs="Arial"/>
                <w:u w:val="single"/>
              </w:rPr>
              <w:t>,</w:t>
            </w:r>
            <w:r w:rsidRPr="00377AEE">
              <w:rPr>
                <w:rFonts w:cs="Arial"/>
                <w:u w:val="single"/>
              </w:rPr>
              <w:t>728</w:t>
            </w:r>
          </w:p>
        </w:tc>
        <w:tc>
          <w:tcPr>
            <w:tcW w:w="1292" w:type="dxa"/>
            <w:tcBorders>
              <w:top w:val="dotted" w:sz="4" w:space="0" w:color="auto"/>
              <w:left w:val="single" w:sz="8" w:space="0" w:color="auto"/>
              <w:bottom w:val="dotted" w:sz="4" w:space="0" w:color="auto"/>
            </w:tcBorders>
            <w:tcMar>
              <w:top w:w="28" w:type="dxa"/>
              <w:bottom w:w="28" w:type="dxa"/>
            </w:tcMar>
          </w:tcPr>
          <w:p w:rsidR="002F09F3" w:rsidRDefault="002F09F3" w:rsidP="00532F43">
            <w:pPr>
              <w:jc w:val="right"/>
              <w:rPr>
                <w:rFonts w:cs="Arial"/>
              </w:rPr>
            </w:pPr>
          </w:p>
          <w:p w:rsidR="002F09F3" w:rsidRPr="00377AEE" w:rsidRDefault="002F09F3" w:rsidP="00532F43">
            <w:pPr>
              <w:jc w:val="right"/>
              <w:rPr>
                <w:rFonts w:cs="Arial"/>
              </w:rPr>
            </w:pPr>
            <w:r>
              <w:rPr>
                <w:rFonts w:cs="Arial"/>
              </w:rPr>
              <w:t>11,707</w:t>
            </w: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Ecuador</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Pr>
                <w:rFonts w:cs="Arial"/>
              </w:rPr>
              <w:t>2013 contribution (balance)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r>
              <w:rPr>
                <w:rFonts w:cs="Arial"/>
              </w:rPr>
              <w:t>740</w:t>
            </w:r>
          </w:p>
        </w:tc>
      </w:tr>
      <w:tr w:rsidR="002F09F3" w:rsidRPr="009C0A6A"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Estonia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9C0A6A"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9C0A6A" w:rsidRDefault="002F09F3" w:rsidP="00532F43">
            <w:pPr>
              <w:jc w:val="right"/>
              <w:rPr>
                <w:rFonts w:cs="Arial"/>
              </w:rPr>
            </w:pPr>
          </w:p>
        </w:tc>
      </w:tr>
      <w:tr w:rsidR="002F09F3" w:rsidRPr="009C0A6A"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European Union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9C0A6A"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9C0A6A" w:rsidRDefault="002F09F3" w:rsidP="00532F43">
            <w:pPr>
              <w:jc w:val="right"/>
              <w:rPr>
                <w:rFonts w:cs="Arial"/>
              </w:rPr>
            </w:pPr>
          </w:p>
        </w:tc>
      </w:tr>
      <w:tr w:rsidR="002F09F3" w:rsidRPr="009C0A6A"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Finland</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9C0A6A"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9C0A6A" w:rsidRDefault="002F09F3" w:rsidP="00532F43">
            <w:pPr>
              <w:jc w:val="right"/>
              <w:rPr>
                <w:rFonts w:cs="Arial"/>
              </w:rPr>
            </w:pPr>
          </w:p>
        </w:tc>
      </w:tr>
      <w:tr w:rsidR="002F09F3" w:rsidRPr="009C0A6A"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France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9C0A6A"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9C0A6A" w:rsidRDefault="002F09F3" w:rsidP="00532F43">
            <w:pPr>
              <w:jc w:val="right"/>
              <w:rPr>
                <w:rFonts w:cs="Arial"/>
              </w:rPr>
            </w:pPr>
          </w:p>
        </w:tc>
      </w:tr>
      <w:tr w:rsidR="002F09F3" w:rsidRPr="009C0A6A"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Georgia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9C0A6A"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9C0A6A" w:rsidRDefault="002F09F3" w:rsidP="00532F43">
            <w:pPr>
              <w:jc w:val="right"/>
              <w:rPr>
                <w:rFonts w:cs="Arial"/>
              </w:rPr>
            </w:pPr>
          </w:p>
        </w:tc>
      </w:tr>
      <w:tr w:rsidR="002F09F3" w:rsidRPr="009C0A6A"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Germany</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9C0A6A"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Hungary</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Iceland</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Ireland</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Israel</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Italy</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Japan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Jordan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Kenya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Kyrgyzstan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Latvia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Lithuania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Mexico</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Morocco</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Netherlands</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New Zealand</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Nicaragua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C9433B" w:rsidRDefault="002F09F3" w:rsidP="00532F43">
            <w:pPr>
              <w:rPr>
                <w:rFonts w:cs="Arial"/>
                <w:lang w:val="fr-FR"/>
              </w:rPr>
            </w:pPr>
            <w:r>
              <w:rPr>
                <w:rFonts w:cs="Arial"/>
                <w:lang w:val="fr-FR"/>
              </w:rPr>
              <w:t xml:space="preserve">No </w:t>
            </w:r>
            <w:proofErr w:type="spellStart"/>
            <w:r>
              <w:rPr>
                <w:rFonts w:cs="Arial"/>
                <w:lang w:val="fr-FR"/>
              </w:rPr>
              <w:t>arrears</w:t>
            </w:r>
            <w:proofErr w:type="spellEnd"/>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C9433B"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Norway</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lastRenderedPageBreak/>
              <w:t>Oman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Panama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Default="002F09F3" w:rsidP="00532F43">
            <w:pPr>
              <w:rPr>
                <w:rFonts w:cs="Arial"/>
              </w:rPr>
            </w:pPr>
            <w:r w:rsidRPr="00377AEE">
              <w:rPr>
                <w:rFonts w:cs="Arial"/>
              </w:rPr>
              <w:t>Paraguay</w:t>
            </w:r>
          </w:p>
          <w:p w:rsidR="002F09F3" w:rsidRPr="00377AEE" w:rsidRDefault="002F09F3" w:rsidP="00532F43">
            <w:pPr>
              <w:rPr>
                <w:rFonts w:cs="Arial"/>
              </w:rPr>
            </w:pPr>
            <w:r>
              <w:rPr>
                <w:rFonts w:cs="Arial"/>
              </w:rPr>
              <w:t>Peru</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Default="002F09F3" w:rsidP="00532F43">
            <w:pPr>
              <w:rPr>
                <w:rFonts w:cs="Arial"/>
              </w:rPr>
            </w:pPr>
            <w:r w:rsidRPr="00377AEE">
              <w:rPr>
                <w:rFonts w:cs="Arial"/>
              </w:rPr>
              <w:t>No arrears</w:t>
            </w:r>
          </w:p>
          <w:p w:rsidR="002F09F3" w:rsidRPr="00377AEE" w:rsidRDefault="002F09F3" w:rsidP="00532F43">
            <w:pPr>
              <w:rPr>
                <w:rFonts w:cs="Arial"/>
              </w:rPr>
            </w:pPr>
            <w:r>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Poland</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Portugal</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Republic of Korea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9C0A6A"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9C0A6A"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Republic of Moldova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Romania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Russian Federation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 xml:space="preserve">No arrears </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Singapore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u w:val="single"/>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Slovakia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Slovenia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South Africa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Spain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Sweden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Height w:val="255"/>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Switzerland</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Height w:val="450"/>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Pr>
                <w:rFonts w:cs="Arial"/>
              </w:rPr>
              <w:t>The former Yugoslav Republic of Macedonia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Default="002F09F3" w:rsidP="00532F43">
            <w:pPr>
              <w:rPr>
                <w:rFonts w:cs="Arial"/>
              </w:rPr>
            </w:pPr>
          </w:p>
          <w:p w:rsidR="002F09F3" w:rsidRPr="00377AEE" w:rsidRDefault="002F09F3" w:rsidP="00532F43">
            <w:pPr>
              <w:rPr>
                <w:rFonts w:cs="Arial"/>
              </w:rPr>
            </w:pPr>
            <w:r>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Trinidad and Tobago</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Tunisia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Turkey</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Ukraine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United Kingdom</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u w:val="single"/>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u w:val="single"/>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United States of America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Uruguay</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Uzbekistan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dotted" w:sz="4" w:space="0" w:color="auto"/>
              <w:bottom w:val="single" w:sz="8"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Viet Nam</w:t>
            </w:r>
          </w:p>
        </w:tc>
        <w:tc>
          <w:tcPr>
            <w:tcW w:w="2790" w:type="dxa"/>
            <w:tcBorders>
              <w:top w:val="dotted" w:sz="4" w:space="0" w:color="auto"/>
              <w:left w:val="single" w:sz="8" w:space="0" w:color="auto"/>
              <w:bottom w:val="single" w:sz="8" w:space="0" w:color="auto"/>
              <w:right w:val="single" w:sz="8" w:space="0" w:color="auto"/>
            </w:tcBorders>
            <w:tcMar>
              <w:top w:w="28" w:type="dxa"/>
              <w:bottom w:w="28" w:type="dxa"/>
            </w:tcMar>
          </w:tcPr>
          <w:p w:rsidR="002F09F3" w:rsidRPr="00377AEE" w:rsidRDefault="002F09F3" w:rsidP="00532F43">
            <w:pPr>
              <w:rPr>
                <w:rFonts w:cs="Arial"/>
              </w:rPr>
            </w:pPr>
            <w:r w:rsidRPr="00377AEE">
              <w:rPr>
                <w:rFonts w:cs="Arial"/>
              </w:rPr>
              <w:t>No arrears</w:t>
            </w:r>
          </w:p>
        </w:tc>
        <w:tc>
          <w:tcPr>
            <w:tcW w:w="1292" w:type="dxa"/>
            <w:tcBorders>
              <w:top w:val="dotted" w:sz="4" w:space="0" w:color="auto"/>
              <w:left w:val="single" w:sz="8" w:space="0" w:color="auto"/>
              <w:bottom w:val="single" w:sz="8" w:space="0" w:color="auto"/>
              <w:right w:val="single" w:sz="8" w:space="0" w:color="auto"/>
            </w:tcBorders>
            <w:tcMar>
              <w:top w:w="28" w:type="dxa"/>
              <w:bottom w:w="28" w:type="dxa"/>
            </w:tcMar>
          </w:tcPr>
          <w:p w:rsidR="002F09F3" w:rsidRPr="00377AEE" w:rsidRDefault="002F09F3" w:rsidP="00532F43">
            <w:pPr>
              <w:jc w:val="right"/>
              <w:rPr>
                <w:rFonts w:cs="Arial"/>
              </w:rPr>
            </w:pPr>
          </w:p>
        </w:tc>
        <w:tc>
          <w:tcPr>
            <w:tcW w:w="1292" w:type="dxa"/>
            <w:tcBorders>
              <w:top w:val="dotted" w:sz="4" w:space="0" w:color="auto"/>
              <w:left w:val="single" w:sz="8" w:space="0" w:color="auto"/>
              <w:bottom w:val="single" w:sz="8" w:space="0" w:color="auto"/>
            </w:tcBorders>
            <w:tcMar>
              <w:top w:w="28" w:type="dxa"/>
              <w:bottom w:w="28" w:type="dxa"/>
            </w:tcMar>
          </w:tcPr>
          <w:p w:rsidR="002F09F3" w:rsidRPr="00377AEE" w:rsidRDefault="002F09F3" w:rsidP="00532F43">
            <w:pPr>
              <w:jc w:val="right"/>
              <w:rPr>
                <w:rFonts w:cs="Arial"/>
              </w:rPr>
            </w:pPr>
          </w:p>
        </w:tc>
      </w:tr>
      <w:tr w:rsidR="002F09F3" w:rsidRPr="00377AEE" w:rsidTr="00532F43">
        <w:tblPrEx>
          <w:tblCellMar>
            <w:left w:w="108" w:type="dxa"/>
            <w:right w:w="108" w:type="dxa"/>
          </w:tblCellMar>
        </w:tblPrEx>
        <w:trPr>
          <w:cantSplit/>
        </w:trPr>
        <w:tc>
          <w:tcPr>
            <w:tcW w:w="3071" w:type="dxa"/>
            <w:tcBorders>
              <w:top w:val="single" w:sz="8" w:space="0" w:color="auto"/>
              <w:bottom w:val="single" w:sz="8" w:space="0" w:color="auto"/>
              <w:right w:val="single" w:sz="8" w:space="0" w:color="auto"/>
            </w:tcBorders>
            <w:shd w:val="clear" w:color="auto" w:fill="CCFF99"/>
          </w:tcPr>
          <w:p w:rsidR="002F09F3" w:rsidRPr="00377AEE" w:rsidRDefault="002F09F3" w:rsidP="00532F43">
            <w:pPr>
              <w:spacing w:before="120" w:after="120"/>
            </w:pPr>
            <w:r w:rsidRPr="00377AEE">
              <w:t>Total</w:t>
            </w:r>
          </w:p>
        </w:tc>
        <w:tc>
          <w:tcPr>
            <w:tcW w:w="2790" w:type="dxa"/>
            <w:tcBorders>
              <w:top w:val="single" w:sz="8" w:space="0" w:color="auto"/>
              <w:left w:val="single" w:sz="8" w:space="0" w:color="auto"/>
              <w:bottom w:val="single" w:sz="8" w:space="0" w:color="auto"/>
              <w:right w:val="single" w:sz="8" w:space="0" w:color="auto"/>
            </w:tcBorders>
            <w:shd w:val="clear" w:color="auto" w:fill="CCFF99"/>
          </w:tcPr>
          <w:p w:rsidR="002F09F3" w:rsidRPr="00377AEE" w:rsidRDefault="002F09F3" w:rsidP="00532F43">
            <w:pPr>
              <w:spacing w:before="120" w:after="120"/>
            </w:pPr>
          </w:p>
        </w:tc>
        <w:tc>
          <w:tcPr>
            <w:tcW w:w="1292" w:type="dxa"/>
            <w:tcBorders>
              <w:top w:val="single" w:sz="8" w:space="0" w:color="auto"/>
              <w:left w:val="single" w:sz="8" w:space="0" w:color="auto"/>
              <w:bottom w:val="single" w:sz="8" w:space="0" w:color="auto"/>
              <w:right w:val="single" w:sz="8" w:space="0" w:color="auto"/>
            </w:tcBorders>
            <w:shd w:val="clear" w:color="auto" w:fill="CCFF99"/>
          </w:tcPr>
          <w:p w:rsidR="002F09F3" w:rsidRPr="00377AEE" w:rsidRDefault="002F09F3" w:rsidP="00532F43">
            <w:pPr>
              <w:spacing w:before="120" w:after="120"/>
              <w:jc w:val="right"/>
            </w:pPr>
          </w:p>
        </w:tc>
        <w:tc>
          <w:tcPr>
            <w:tcW w:w="1292" w:type="dxa"/>
            <w:tcBorders>
              <w:top w:val="single" w:sz="8" w:space="0" w:color="auto"/>
              <w:left w:val="single" w:sz="8" w:space="0" w:color="auto"/>
              <w:bottom w:val="single" w:sz="8" w:space="0" w:color="auto"/>
            </w:tcBorders>
            <w:shd w:val="clear" w:color="auto" w:fill="CCFF99"/>
          </w:tcPr>
          <w:p w:rsidR="002F09F3" w:rsidRPr="00377AEE" w:rsidRDefault="002F09F3" w:rsidP="00532F43">
            <w:pPr>
              <w:spacing w:before="120" w:after="120"/>
              <w:jc w:val="right"/>
            </w:pPr>
            <w:r w:rsidRPr="00377AEE">
              <w:t>1</w:t>
            </w:r>
            <w:r>
              <w:t>2,447</w:t>
            </w:r>
          </w:p>
        </w:tc>
      </w:tr>
    </w:tbl>
    <w:p w:rsidR="002F09F3" w:rsidRDefault="002F09F3" w:rsidP="008B6109">
      <w:pPr>
        <w:pStyle w:val="Heading2"/>
      </w:pPr>
    </w:p>
    <w:p w:rsidR="002F09F3" w:rsidRPr="002F09F3" w:rsidRDefault="002F09F3" w:rsidP="002F09F3"/>
    <w:p w:rsidR="002F09F3" w:rsidRDefault="002F09F3" w:rsidP="00D81BFB">
      <w:pPr>
        <w:rPr>
          <w:b/>
          <w:u w:val="single"/>
        </w:rPr>
      </w:pPr>
      <w:r>
        <w:rPr>
          <w:b/>
        </w:rPr>
        <w:br w:type="page"/>
      </w:r>
    </w:p>
    <w:p w:rsidR="002F09F3" w:rsidRPr="008B6109" w:rsidRDefault="002F09F3" w:rsidP="00D81BFB">
      <w:pPr>
        <w:pStyle w:val="Heading1"/>
        <w:jc w:val="both"/>
      </w:pPr>
      <w:bookmarkStart w:id="31" w:name="_Toc393377931"/>
      <w:r w:rsidRPr="008B6109">
        <w:lastRenderedPageBreak/>
        <w:t>Extrabudgetary funds (funds in trust)</w:t>
      </w:r>
      <w:bookmarkEnd w:id="31"/>
    </w:p>
    <w:p w:rsidR="002F09F3" w:rsidRPr="008B6109" w:rsidRDefault="002F09F3" w:rsidP="00D81BFB">
      <w:pPr>
        <w:pStyle w:val="Heading1"/>
        <w:jc w:val="both"/>
        <w:rPr>
          <w:rFonts w:ascii="Arial Bold" w:hAnsi="Arial Bold"/>
        </w:rPr>
      </w:pPr>
    </w:p>
    <w:p w:rsidR="002F09F3" w:rsidRDefault="002F09F3" w:rsidP="002F09F3">
      <w:pPr>
        <w:keepNext/>
        <w:ind w:firstLine="720"/>
      </w:pPr>
      <w:r>
        <w:t>The funds in trust allocated by members of the Union are presented below as independent accounts.</w:t>
      </w:r>
    </w:p>
    <w:p w:rsidR="002F09F3" w:rsidRDefault="002F09F3" w:rsidP="002F09F3">
      <w:pPr>
        <w:keepNext/>
      </w:pPr>
    </w:p>
    <w:p w:rsidR="002F09F3" w:rsidRPr="00D646CA" w:rsidRDefault="00D24319" w:rsidP="00532F43">
      <w:r w:rsidRPr="00D24319">
        <w:rPr>
          <w:noProof/>
        </w:rPr>
        <w:drawing>
          <wp:inline distT="0" distB="0" distL="0" distR="0" wp14:anchorId="383487BF" wp14:editId="524888A5">
            <wp:extent cx="6120765" cy="816707"/>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765" cy="816707"/>
                    </a:xfrm>
                    <a:prstGeom prst="rect">
                      <a:avLst/>
                    </a:prstGeom>
                    <a:noFill/>
                    <a:ln>
                      <a:noFill/>
                    </a:ln>
                  </pic:spPr>
                </pic:pic>
              </a:graphicData>
            </a:graphic>
          </wp:inline>
        </w:drawing>
      </w:r>
    </w:p>
    <w:p w:rsidR="002F09F3" w:rsidRDefault="002F09F3" w:rsidP="00532F43"/>
    <w:p w:rsidR="002F09F3" w:rsidRPr="004E4B07" w:rsidRDefault="002F09F3" w:rsidP="00532F43"/>
    <w:tbl>
      <w:tblPr>
        <w:tblW w:w="0" w:type="auto"/>
        <w:jc w:val="center"/>
        <w:tblInd w:w="1552" w:type="dxa"/>
        <w:tblLayout w:type="fixed"/>
        <w:tblCellMar>
          <w:left w:w="30" w:type="dxa"/>
          <w:right w:w="30" w:type="dxa"/>
        </w:tblCellMar>
        <w:tblLook w:val="0000" w:firstRow="0" w:lastRow="0" w:firstColumn="0" w:lastColumn="0" w:noHBand="0" w:noVBand="0"/>
      </w:tblPr>
      <w:tblGrid>
        <w:gridCol w:w="4536"/>
        <w:gridCol w:w="1417"/>
        <w:gridCol w:w="1418"/>
      </w:tblGrid>
      <w:tr w:rsidR="002F09F3" w:rsidTr="002F09F3">
        <w:trPr>
          <w:trHeight w:val="254"/>
          <w:jc w:val="center"/>
        </w:trPr>
        <w:tc>
          <w:tcPr>
            <w:tcW w:w="7371" w:type="dxa"/>
            <w:gridSpan w:val="3"/>
            <w:shd w:val="solid" w:color="FFFFFF" w:fill="CCFF99"/>
            <w:tcMar>
              <w:left w:w="57" w:type="dxa"/>
              <w:right w:w="57" w:type="dxa"/>
            </w:tcMar>
          </w:tcPr>
          <w:p w:rsidR="002F09F3" w:rsidRDefault="002F09F3" w:rsidP="00D81BFB">
            <w:pPr>
              <w:rPr>
                <w:b/>
              </w:rPr>
            </w:pPr>
            <w:r>
              <w:rPr>
                <w:b/>
              </w:rPr>
              <w:t>Income and expenditure for the 2012-2013 biennium</w:t>
            </w:r>
          </w:p>
          <w:p w:rsidR="002F09F3" w:rsidRDefault="002F09F3" w:rsidP="00532F43">
            <w:pPr>
              <w:jc w:val="left"/>
              <w:rPr>
                <w:color w:val="000000"/>
              </w:rPr>
            </w:pPr>
          </w:p>
        </w:tc>
      </w:tr>
      <w:tr w:rsidR="002F09F3" w:rsidTr="002F09F3">
        <w:trPr>
          <w:trHeight w:val="254"/>
          <w:jc w:val="center"/>
        </w:trPr>
        <w:tc>
          <w:tcPr>
            <w:tcW w:w="4536" w:type="dxa"/>
            <w:tcBorders>
              <w:bottom w:val="single" w:sz="8" w:space="0" w:color="auto"/>
            </w:tcBorders>
            <w:shd w:val="solid" w:color="FFFFFF" w:fill="CCFF99"/>
            <w:tcMar>
              <w:left w:w="57" w:type="dxa"/>
              <w:right w:w="57" w:type="dxa"/>
            </w:tcMar>
          </w:tcPr>
          <w:p w:rsidR="002F09F3" w:rsidRDefault="002F09F3" w:rsidP="00532F43">
            <w:r>
              <w:t>(as at December 31, 2013)</w:t>
            </w:r>
          </w:p>
          <w:p w:rsidR="002F09F3" w:rsidRDefault="002F09F3" w:rsidP="00532F43">
            <w:pPr>
              <w:rPr>
                <w:color w:val="000000"/>
              </w:rPr>
            </w:pPr>
          </w:p>
        </w:tc>
        <w:tc>
          <w:tcPr>
            <w:tcW w:w="2835" w:type="dxa"/>
            <w:gridSpan w:val="2"/>
            <w:tcBorders>
              <w:bottom w:val="single" w:sz="8" w:space="0" w:color="auto"/>
            </w:tcBorders>
            <w:shd w:val="solid" w:color="FFFFFF" w:fill="CCFF99"/>
            <w:tcMar>
              <w:left w:w="57" w:type="dxa"/>
              <w:right w:w="57" w:type="dxa"/>
            </w:tcMar>
          </w:tcPr>
          <w:p w:rsidR="002F09F3" w:rsidRDefault="002F09F3" w:rsidP="00532F43">
            <w:pPr>
              <w:jc w:val="center"/>
              <w:rPr>
                <w:color w:val="000000"/>
              </w:rPr>
            </w:pPr>
          </w:p>
        </w:tc>
      </w:tr>
      <w:tr w:rsidR="002F09F3" w:rsidTr="002F09F3">
        <w:trPr>
          <w:trHeight w:val="254"/>
          <w:jc w:val="center"/>
        </w:trPr>
        <w:tc>
          <w:tcPr>
            <w:tcW w:w="4536" w:type="dxa"/>
            <w:tcBorders>
              <w:top w:val="single" w:sz="8" w:space="0" w:color="auto"/>
              <w:left w:val="single" w:sz="8" w:space="0" w:color="auto"/>
              <w:bottom w:val="single" w:sz="4" w:space="0" w:color="auto"/>
              <w:right w:val="single" w:sz="4" w:space="0" w:color="auto"/>
            </w:tcBorders>
            <w:shd w:val="solid" w:color="FFFFFF" w:fill="CCFF99"/>
            <w:tcMar>
              <w:left w:w="57" w:type="dxa"/>
              <w:right w:w="57" w:type="dxa"/>
            </w:tcMar>
          </w:tcPr>
          <w:p w:rsidR="002F09F3" w:rsidRDefault="002F09F3" w:rsidP="00532F43">
            <w:pPr>
              <w:rPr>
                <w:color w:val="000000"/>
              </w:rPr>
            </w:pPr>
            <w:r>
              <w:rPr>
                <w:color w:val="000000"/>
              </w:rPr>
              <w:t>Funds in trust/Japan</w:t>
            </w:r>
          </w:p>
        </w:tc>
        <w:tc>
          <w:tcPr>
            <w:tcW w:w="2835" w:type="dxa"/>
            <w:gridSpan w:val="2"/>
            <w:tcBorders>
              <w:top w:val="single" w:sz="8" w:space="0" w:color="auto"/>
              <w:left w:val="single" w:sz="4" w:space="0" w:color="auto"/>
              <w:bottom w:val="single" w:sz="4" w:space="0" w:color="auto"/>
              <w:right w:val="single" w:sz="8" w:space="0" w:color="auto"/>
            </w:tcBorders>
            <w:shd w:val="solid" w:color="FFFFFF" w:fill="CCFF99"/>
            <w:tcMar>
              <w:left w:w="57" w:type="dxa"/>
              <w:right w:w="57" w:type="dxa"/>
            </w:tcMar>
          </w:tcPr>
          <w:p w:rsidR="002F09F3" w:rsidRDefault="002F09F3" w:rsidP="00532F43">
            <w:pPr>
              <w:jc w:val="center"/>
              <w:rPr>
                <w:color w:val="000000"/>
              </w:rPr>
            </w:pPr>
            <w:r>
              <w:rPr>
                <w:color w:val="000000"/>
              </w:rPr>
              <w:t>Swiss francs</w:t>
            </w:r>
          </w:p>
        </w:tc>
      </w:tr>
      <w:tr w:rsidR="002F09F3" w:rsidTr="002F09F3">
        <w:trPr>
          <w:trHeight w:val="254"/>
          <w:jc w:val="center"/>
        </w:trPr>
        <w:tc>
          <w:tcPr>
            <w:tcW w:w="4536" w:type="dxa"/>
            <w:tcBorders>
              <w:top w:val="single" w:sz="4" w:space="0" w:color="auto"/>
              <w:left w:val="single" w:sz="8" w:space="0" w:color="auto"/>
              <w:right w:val="single" w:sz="4" w:space="0" w:color="auto"/>
            </w:tcBorders>
            <w:tcMar>
              <w:left w:w="57" w:type="dxa"/>
              <w:right w:w="57" w:type="dxa"/>
            </w:tcMar>
          </w:tcPr>
          <w:p w:rsidR="002F09F3" w:rsidRDefault="002F09F3" w:rsidP="00532F43">
            <w:pPr>
              <w:rPr>
                <w:color w:val="000000"/>
              </w:rPr>
            </w:pPr>
            <w:r>
              <w:rPr>
                <w:color w:val="000000"/>
              </w:rPr>
              <w:t>Balance, start of financial period</w:t>
            </w:r>
          </w:p>
        </w:tc>
        <w:tc>
          <w:tcPr>
            <w:tcW w:w="1417" w:type="dxa"/>
            <w:tcBorders>
              <w:top w:val="single" w:sz="4" w:space="0" w:color="auto"/>
              <w:left w:val="single" w:sz="4" w:space="0" w:color="auto"/>
              <w:right w:val="single" w:sz="4" w:space="0" w:color="auto"/>
            </w:tcBorders>
            <w:tcMar>
              <w:left w:w="57" w:type="dxa"/>
              <w:right w:w="57" w:type="dxa"/>
            </w:tcMar>
          </w:tcPr>
          <w:p w:rsidR="002F09F3" w:rsidRPr="00D97C93" w:rsidRDefault="002F09F3" w:rsidP="00532F43">
            <w:pPr>
              <w:jc w:val="right"/>
              <w:rPr>
                <w:color w:val="000000"/>
              </w:rPr>
            </w:pPr>
          </w:p>
        </w:tc>
        <w:tc>
          <w:tcPr>
            <w:tcW w:w="1418" w:type="dxa"/>
            <w:tcBorders>
              <w:top w:val="single" w:sz="4" w:space="0" w:color="auto"/>
              <w:left w:val="single" w:sz="4" w:space="0" w:color="auto"/>
              <w:right w:val="single" w:sz="8" w:space="0" w:color="auto"/>
            </w:tcBorders>
            <w:tcMar>
              <w:left w:w="57" w:type="dxa"/>
              <w:right w:w="57" w:type="dxa"/>
            </w:tcMar>
          </w:tcPr>
          <w:p w:rsidR="002F09F3" w:rsidRPr="00D97C93" w:rsidRDefault="002F09F3" w:rsidP="00532F43">
            <w:pPr>
              <w:jc w:val="right"/>
              <w:rPr>
                <w:color w:val="000000"/>
              </w:rPr>
            </w:pPr>
            <w:r>
              <w:rPr>
                <w:color w:val="000000"/>
              </w:rPr>
              <w:t>218,481</w:t>
            </w:r>
          </w:p>
        </w:tc>
      </w:tr>
      <w:tr w:rsidR="002F09F3" w:rsidTr="002F09F3">
        <w:trPr>
          <w:trHeight w:val="254"/>
          <w:jc w:val="center"/>
        </w:trPr>
        <w:tc>
          <w:tcPr>
            <w:tcW w:w="4536" w:type="dxa"/>
            <w:tcBorders>
              <w:left w:val="single" w:sz="8" w:space="0" w:color="auto"/>
              <w:right w:val="single" w:sz="4" w:space="0" w:color="auto"/>
            </w:tcBorders>
            <w:tcMar>
              <w:left w:w="57" w:type="dxa"/>
              <w:right w:w="57" w:type="dxa"/>
            </w:tcMar>
          </w:tcPr>
          <w:p w:rsidR="002F09F3" w:rsidRDefault="002F09F3" w:rsidP="00532F43">
            <w:pPr>
              <w:rPr>
                <w:i/>
                <w:color w:val="000000"/>
              </w:rPr>
            </w:pPr>
            <w:r>
              <w:rPr>
                <w:i/>
                <w:color w:val="000000"/>
              </w:rPr>
              <w:t>Income</w:t>
            </w:r>
          </w:p>
        </w:tc>
        <w:tc>
          <w:tcPr>
            <w:tcW w:w="1417" w:type="dxa"/>
            <w:tcBorders>
              <w:left w:val="single" w:sz="4" w:space="0" w:color="auto"/>
              <w:right w:val="single" w:sz="4" w:space="0" w:color="auto"/>
            </w:tcBorders>
            <w:tcMar>
              <w:left w:w="57" w:type="dxa"/>
              <w:right w:w="57" w:type="dxa"/>
            </w:tcMar>
          </w:tcPr>
          <w:p w:rsidR="002F09F3" w:rsidRDefault="002F09F3" w:rsidP="00532F43">
            <w:pPr>
              <w:jc w:val="right"/>
              <w:rPr>
                <w:color w:val="000000"/>
              </w:rPr>
            </w:pPr>
          </w:p>
        </w:tc>
        <w:tc>
          <w:tcPr>
            <w:tcW w:w="1418" w:type="dxa"/>
            <w:tcBorders>
              <w:left w:val="single" w:sz="4" w:space="0" w:color="auto"/>
              <w:right w:val="single" w:sz="8" w:space="0" w:color="auto"/>
            </w:tcBorders>
            <w:tcMar>
              <w:left w:w="57" w:type="dxa"/>
              <w:right w:w="57" w:type="dxa"/>
            </w:tcMar>
          </w:tcPr>
          <w:p w:rsidR="002F09F3" w:rsidRDefault="002F09F3" w:rsidP="00532F43">
            <w:pPr>
              <w:jc w:val="right"/>
              <w:rPr>
                <w:color w:val="000000"/>
              </w:rPr>
            </w:pPr>
          </w:p>
        </w:tc>
      </w:tr>
      <w:tr w:rsidR="002F09F3" w:rsidTr="002F09F3">
        <w:trPr>
          <w:trHeight w:val="254"/>
          <w:jc w:val="center"/>
        </w:trPr>
        <w:tc>
          <w:tcPr>
            <w:tcW w:w="4536" w:type="dxa"/>
            <w:tcBorders>
              <w:left w:val="single" w:sz="8" w:space="0" w:color="auto"/>
              <w:right w:val="single" w:sz="4" w:space="0" w:color="auto"/>
            </w:tcBorders>
            <w:tcMar>
              <w:left w:w="57" w:type="dxa"/>
              <w:right w:w="57" w:type="dxa"/>
            </w:tcMar>
          </w:tcPr>
          <w:p w:rsidR="002F09F3" w:rsidRDefault="002F09F3" w:rsidP="00532F43">
            <w:pPr>
              <w:rPr>
                <w:color w:val="000000"/>
              </w:rPr>
            </w:pPr>
            <w:r>
              <w:rPr>
                <w:color w:val="000000"/>
              </w:rPr>
              <w:t>Funds received</w:t>
            </w:r>
          </w:p>
        </w:tc>
        <w:tc>
          <w:tcPr>
            <w:tcW w:w="1417" w:type="dxa"/>
            <w:tcBorders>
              <w:left w:val="single" w:sz="4" w:space="0" w:color="auto"/>
              <w:right w:val="single" w:sz="4" w:space="0" w:color="auto"/>
            </w:tcBorders>
            <w:tcMar>
              <w:left w:w="57" w:type="dxa"/>
              <w:right w:w="57" w:type="dxa"/>
            </w:tcMar>
          </w:tcPr>
          <w:p w:rsidR="002F09F3" w:rsidRDefault="002F09F3" w:rsidP="00532F43">
            <w:pPr>
              <w:jc w:val="right"/>
              <w:rPr>
                <w:color w:val="000000"/>
              </w:rPr>
            </w:pPr>
            <w:r>
              <w:rPr>
                <w:color w:val="000000"/>
              </w:rPr>
              <w:t>315,642</w:t>
            </w:r>
          </w:p>
        </w:tc>
        <w:tc>
          <w:tcPr>
            <w:tcW w:w="1418" w:type="dxa"/>
            <w:tcBorders>
              <w:left w:val="single" w:sz="4" w:space="0" w:color="auto"/>
              <w:right w:val="single" w:sz="8" w:space="0" w:color="auto"/>
            </w:tcBorders>
            <w:tcMar>
              <w:left w:w="57" w:type="dxa"/>
              <w:right w:w="57" w:type="dxa"/>
            </w:tcMar>
          </w:tcPr>
          <w:p w:rsidR="002F09F3" w:rsidRDefault="002F09F3" w:rsidP="00532F43">
            <w:pPr>
              <w:jc w:val="right"/>
              <w:rPr>
                <w:color w:val="000000"/>
              </w:rPr>
            </w:pPr>
          </w:p>
        </w:tc>
      </w:tr>
      <w:tr w:rsidR="002F09F3" w:rsidTr="002F09F3">
        <w:trPr>
          <w:trHeight w:val="240"/>
          <w:jc w:val="center"/>
        </w:trPr>
        <w:tc>
          <w:tcPr>
            <w:tcW w:w="4536" w:type="dxa"/>
            <w:vMerge w:val="restart"/>
            <w:tcBorders>
              <w:left w:val="single" w:sz="8" w:space="0" w:color="auto"/>
              <w:right w:val="single" w:sz="4" w:space="0" w:color="auto"/>
            </w:tcBorders>
            <w:tcMar>
              <w:left w:w="57" w:type="dxa"/>
              <w:right w:w="57" w:type="dxa"/>
            </w:tcMar>
          </w:tcPr>
          <w:p w:rsidR="002F09F3" w:rsidRDefault="002F09F3" w:rsidP="00532F43">
            <w:pPr>
              <w:rPr>
                <w:color w:val="000000"/>
              </w:rPr>
            </w:pPr>
            <w:r>
              <w:rPr>
                <w:color w:val="000000"/>
              </w:rPr>
              <w:t>Interest</w:t>
            </w:r>
          </w:p>
        </w:tc>
        <w:tc>
          <w:tcPr>
            <w:tcW w:w="1417" w:type="dxa"/>
            <w:tcBorders>
              <w:left w:val="single" w:sz="4" w:space="0" w:color="auto"/>
              <w:bottom w:val="single" w:sz="4" w:space="0" w:color="auto"/>
              <w:right w:val="single" w:sz="4" w:space="0" w:color="auto"/>
            </w:tcBorders>
            <w:tcMar>
              <w:left w:w="57" w:type="dxa"/>
              <w:right w:w="57" w:type="dxa"/>
            </w:tcMar>
          </w:tcPr>
          <w:p w:rsidR="002F09F3" w:rsidRDefault="002F09F3" w:rsidP="00532F43">
            <w:pPr>
              <w:jc w:val="right"/>
              <w:rPr>
                <w:color w:val="000000"/>
              </w:rPr>
            </w:pPr>
            <w:r>
              <w:rPr>
                <w:color w:val="000000"/>
              </w:rPr>
              <w:t>227</w:t>
            </w:r>
          </w:p>
        </w:tc>
        <w:tc>
          <w:tcPr>
            <w:tcW w:w="1418" w:type="dxa"/>
            <w:vMerge w:val="restart"/>
            <w:tcBorders>
              <w:left w:val="single" w:sz="4" w:space="0" w:color="auto"/>
              <w:right w:val="single" w:sz="8" w:space="0" w:color="auto"/>
            </w:tcBorders>
            <w:tcMar>
              <w:left w:w="57" w:type="dxa"/>
              <w:right w:w="57" w:type="dxa"/>
            </w:tcMar>
          </w:tcPr>
          <w:p w:rsidR="002F09F3" w:rsidRDefault="002F09F3" w:rsidP="00532F43">
            <w:pPr>
              <w:jc w:val="right"/>
              <w:rPr>
                <w:color w:val="000000"/>
              </w:rPr>
            </w:pPr>
          </w:p>
          <w:p w:rsidR="002F09F3" w:rsidRDefault="002F09F3" w:rsidP="00532F43">
            <w:pPr>
              <w:jc w:val="right"/>
              <w:rPr>
                <w:color w:val="000000"/>
              </w:rPr>
            </w:pPr>
            <w:r>
              <w:rPr>
                <w:color w:val="000000"/>
              </w:rPr>
              <w:t>315,869</w:t>
            </w:r>
          </w:p>
        </w:tc>
      </w:tr>
      <w:tr w:rsidR="002F09F3" w:rsidTr="002F09F3">
        <w:trPr>
          <w:trHeight w:val="210"/>
          <w:jc w:val="center"/>
        </w:trPr>
        <w:tc>
          <w:tcPr>
            <w:tcW w:w="4536" w:type="dxa"/>
            <w:vMerge/>
            <w:tcBorders>
              <w:left w:val="single" w:sz="8" w:space="0" w:color="auto"/>
              <w:right w:val="single" w:sz="4" w:space="0" w:color="auto"/>
            </w:tcBorders>
            <w:tcMar>
              <w:left w:w="57" w:type="dxa"/>
              <w:right w:w="57" w:type="dxa"/>
            </w:tcMar>
          </w:tcPr>
          <w:p w:rsidR="002F09F3" w:rsidRDefault="002F09F3" w:rsidP="00532F43">
            <w:pPr>
              <w:rPr>
                <w:color w:val="000000"/>
              </w:rPr>
            </w:pPr>
          </w:p>
        </w:tc>
        <w:tc>
          <w:tcPr>
            <w:tcW w:w="1417" w:type="dxa"/>
            <w:tcBorders>
              <w:top w:val="single" w:sz="4" w:space="0" w:color="auto"/>
              <w:left w:val="single" w:sz="4" w:space="0" w:color="auto"/>
              <w:right w:val="single" w:sz="4" w:space="0" w:color="auto"/>
            </w:tcBorders>
            <w:tcMar>
              <w:left w:w="57" w:type="dxa"/>
              <w:right w:w="57" w:type="dxa"/>
            </w:tcMar>
          </w:tcPr>
          <w:p w:rsidR="002F09F3" w:rsidRDefault="002F09F3" w:rsidP="00532F43">
            <w:pPr>
              <w:jc w:val="right"/>
              <w:rPr>
                <w:color w:val="000000"/>
              </w:rPr>
            </w:pPr>
          </w:p>
        </w:tc>
        <w:tc>
          <w:tcPr>
            <w:tcW w:w="1418" w:type="dxa"/>
            <w:vMerge/>
            <w:tcBorders>
              <w:left w:val="single" w:sz="4" w:space="0" w:color="auto"/>
              <w:right w:val="single" w:sz="8" w:space="0" w:color="auto"/>
            </w:tcBorders>
            <w:tcMar>
              <w:left w:w="57" w:type="dxa"/>
              <w:right w:w="57" w:type="dxa"/>
            </w:tcMar>
          </w:tcPr>
          <w:p w:rsidR="002F09F3" w:rsidRDefault="002F09F3" w:rsidP="00532F43">
            <w:pPr>
              <w:jc w:val="right"/>
              <w:rPr>
                <w:color w:val="000000"/>
              </w:rPr>
            </w:pPr>
          </w:p>
        </w:tc>
      </w:tr>
      <w:tr w:rsidR="002F09F3" w:rsidTr="002F09F3">
        <w:trPr>
          <w:trHeight w:val="254"/>
          <w:jc w:val="center"/>
        </w:trPr>
        <w:tc>
          <w:tcPr>
            <w:tcW w:w="4536" w:type="dxa"/>
            <w:tcBorders>
              <w:left w:val="single" w:sz="8" w:space="0" w:color="auto"/>
              <w:right w:val="single" w:sz="4" w:space="0" w:color="auto"/>
            </w:tcBorders>
            <w:tcMar>
              <w:left w:w="57" w:type="dxa"/>
              <w:right w:w="57" w:type="dxa"/>
            </w:tcMar>
          </w:tcPr>
          <w:p w:rsidR="002F09F3" w:rsidRDefault="002F09F3" w:rsidP="00532F43">
            <w:pPr>
              <w:rPr>
                <w:i/>
                <w:color w:val="000000"/>
              </w:rPr>
            </w:pPr>
            <w:r>
              <w:rPr>
                <w:i/>
                <w:color w:val="000000"/>
              </w:rPr>
              <w:t>Expenditure</w:t>
            </w:r>
          </w:p>
        </w:tc>
        <w:tc>
          <w:tcPr>
            <w:tcW w:w="1417" w:type="dxa"/>
            <w:tcBorders>
              <w:left w:val="single" w:sz="4" w:space="0" w:color="auto"/>
              <w:right w:val="single" w:sz="4" w:space="0" w:color="auto"/>
            </w:tcBorders>
            <w:tcMar>
              <w:left w:w="57" w:type="dxa"/>
              <w:right w:w="57" w:type="dxa"/>
            </w:tcMar>
          </w:tcPr>
          <w:p w:rsidR="002F09F3" w:rsidRDefault="002F09F3" w:rsidP="00532F43">
            <w:pPr>
              <w:jc w:val="right"/>
              <w:rPr>
                <w:color w:val="000000"/>
              </w:rPr>
            </w:pPr>
          </w:p>
        </w:tc>
        <w:tc>
          <w:tcPr>
            <w:tcW w:w="1418" w:type="dxa"/>
            <w:tcBorders>
              <w:left w:val="single" w:sz="4" w:space="0" w:color="auto"/>
              <w:right w:val="single" w:sz="8" w:space="0" w:color="auto"/>
            </w:tcBorders>
            <w:tcMar>
              <w:left w:w="57" w:type="dxa"/>
              <w:right w:w="57" w:type="dxa"/>
            </w:tcMar>
          </w:tcPr>
          <w:p w:rsidR="002F09F3" w:rsidRDefault="002F09F3" w:rsidP="00532F43">
            <w:pPr>
              <w:jc w:val="right"/>
              <w:rPr>
                <w:color w:val="000000"/>
              </w:rPr>
            </w:pPr>
          </w:p>
        </w:tc>
      </w:tr>
      <w:tr w:rsidR="002F09F3" w:rsidTr="002F09F3">
        <w:trPr>
          <w:trHeight w:val="254"/>
          <w:jc w:val="center"/>
        </w:trPr>
        <w:tc>
          <w:tcPr>
            <w:tcW w:w="4536" w:type="dxa"/>
            <w:tcBorders>
              <w:left w:val="single" w:sz="8" w:space="0" w:color="auto"/>
              <w:right w:val="single" w:sz="4" w:space="0" w:color="auto"/>
            </w:tcBorders>
            <w:tcMar>
              <w:left w:w="57" w:type="dxa"/>
              <w:right w:w="57" w:type="dxa"/>
            </w:tcMar>
          </w:tcPr>
          <w:p w:rsidR="002F09F3" w:rsidRDefault="002F09F3" w:rsidP="00532F43">
            <w:pPr>
              <w:rPr>
                <w:color w:val="000000"/>
              </w:rPr>
            </w:pPr>
            <w:r>
              <w:rPr>
                <w:color w:val="000000"/>
              </w:rPr>
              <w:t>Staff missions</w:t>
            </w:r>
          </w:p>
        </w:tc>
        <w:tc>
          <w:tcPr>
            <w:tcW w:w="1417" w:type="dxa"/>
            <w:tcBorders>
              <w:left w:val="single" w:sz="4" w:space="0" w:color="auto"/>
              <w:right w:val="single" w:sz="4" w:space="0" w:color="auto"/>
            </w:tcBorders>
            <w:tcMar>
              <w:left w:w="57" w:type="dxa"/>
              <w:right w:w="57" w:type="dxa"/>
            </w:tcMar>
          </w:tcPr>
          <w:p w:rsidR="002F09F3" w:rsidRDefault="002F09F3" w:rsidP="00532F43">
            <w:pPr>
              <w:jc w:val="right"/>
              <w:rPr>
                <w:color w:val="000000"/>
              </w:rPr>
            </w:pPr>
            <w:r>
              <w:rPr>
                <w:color w:val="000000"/>
              </w:rPr>
              <w:t>87,999</w:t>
            </w:r>
          </w:p>
        </w:tc>
        <w:tc>
          <w:tcPr>
            <w:tcW w:w="1418" w:type="dxa"/>
            <w:tcBorders>
              <w:left w:val="single" w:sz="4" w:space="0" w:color="auto"/>
              <w:right w:val="single" w:sz="8" w:space="0" w:color="auto"/>
            </w:tcBorders>
            <w:tcMar>
              <w:left w:w="57" w:type="dxa"/>
              <w:right w:w="57" w:type="dxa"/>
            </w:tcMar>
          </w:tcPr>
          <w:p w:rsidR="002F09F3" w:rsidRDefault="002F09F3" w:rsidP="00532F43">
            <w:pPr>
              <w:jc w:val="right"/>
              <w:rPr>
                <w:color w:val="000000"/>
              </w:rPr>
            </w:pPr>
          </w:p>
        </w:tc>
      </w:tr>
      <w:tr w:rsidR="002F09F3" w:rsidTr="002F09F3">
        <w:trPr>
          <w:trHeight w:val="254"/>
          <w:jc w:val="center"/>
        </w:trPr>
        <w:tc>
          <w:tcPr>
            <w:tcW w:w="4536" w:type="dxa"/>
            <w:tcBorders>
              <w:left w:val="single" w:sz="8" w:space="0" w:color="auto"/>
              <w:right w:val="single" w:sz="4" w:space="0" w:color="auto"/>
            </w:tcBorders>
            <w:tcMar>
              <w:left w:w="57" w:type="dxa"/>
              <w:right w:w="57" w:type="dxa"/>
            </w:tcMar>
          </w:tcPr>
          <w:p w:rsidR="002F09F3" w:rsidRDefault="002F09F3" w:rsidP="00532F43">
            <w:pPr>
              <w:rPr>
                <w:color w:val="000000"/>
              </w:rPr>
            </w:pPr>
            <w:r>
              <w:rPr>
                <w:color w:val="000000"/>
              </w:rPr>
              <w:t>Third party travel</w:t>
            </w:r>
          </w:p>
        </w:tc>
        <w:tc>
          <w:tcPr>
            <w:tcW w:w="1417" w:type="dxa"/>
            <w:tcBorders>
              <w:left w:val="single" w:sz="4" w:space="0" w:color="auto"/>
              <w:right w:val="single" w:sz="4" w:space="0" w:color="auto"/>
            </w:tcBorders>
            <w:tcMar>
              <w:left w:w="57" w:type="dxa"/>
              <w:right w:w="57" w:type="dxa"/>
            </w:tcMar>
          </w:tcPr>
          <w:p w:rsidR="002F09F3" w:rsidRDefault="002F09F3" w:rsidP="00532F43">
            <w:pPr>
              <w:jc w:val="right"/>
              <w:rPr>
                <w:color w:val="000000"/>
              </w:rPr>
            </w:pPr>
            <w:r>
              <w:rPr>
                <w:color w:val="000000"/>
              </w:rPr>
              <w:t>226,961</w:t>
            </w:r>
          </w:p>
        </w:tc>
        <w:tc>
          <w:tcPr>
            <w:tcW w:w="1418" w:type="dxa"/>
            <w:tcBorders>
              <w:left w:val="single" w:sz="4" w:space="0" w:color="auto"/>
              <w:right w:val="single" w:sz="8" w:space="0" w:color="auto"/>
            </w:tcBorders>
            <w:tcMar>
              <w:left w:w="57" w:type="dxa"/>
              <w:right w:w="57" w:type="dxa"/>
            </w:tcMar>
          </w:tcPr>
          <w:p w:rsidR="002F09F3" w:rsidRDefault="002F09F3" w:rsidP="00532F43">
            <w:pPr>
              <w:jc w:val="right"/>
              <w:rPr>
                <w:color w:val="000000"/>
              </w:rPr>
            </w:pPr>
          </w:p>
        </w:tc>
      </w:tr>
      <w:tr w:rsidR="002F09F3" w:rsidTr="002F09F3">
        <w:trPr>
          <w:trHeight w:val="254"/>
          <w:jc w:val="center"/>
        </w:trPr>
        <w:tc>
          <w:tcPr>
            <w:tcW w:w="4536" w:type="dxa"/>
            <w:tcBorders>
              <w:left w:val="single" w:sz="8" w:space="0" w:color="auto"/>
              <w:right w:val="single" w:sz="4" w:space="0" w:color="auto"/>
            </w:tcBorders>
            <w:tcMar>
              <w:left w:w="57" w:type="dxa"/>
              <w:right w:w="57" w:type="dxa"/>
            </w:tcMar>
          </w:tcPr>
          <w:p w:rsidR="002F09F3" w:rsidRDefault="002F09F3" w:rsidP="00532F43">
            <w:pPr>
              <w:rPr>
                <w:color w:val="000000"/>
              </w:rPr>
            </w:pPr>
            <w:r>
              <w:rPr>
                <w:color w:val="000000"/>
              </w:rPr>
              <w:t>Conferences</w:t>
            </w:r>
          </w:p>
        </w:tc>
        <w:tc>
          <w:tcPr>
            <w:tcW w:w="1417" w:type="dxa"/>
            <w:tcBorders>
              <w:left w:val="single" w:sz="4" w:space="0" w:color="auto"/>
              <w:right w:val="single" w:sz="4" w:space="0" w:color="auto"/>
            </w:tcBorders>
            <w:tcMar>
              <w:left w:w="57" w:type="dxa"/>
              <w:right w:w="57" w:type="dxa"/>
            </w:tcMar>
          </w:tcPr>
          <w:p w:rsidR="002F09F3" w:rsidRDefault="002F09F3" w:rsidP="00532F43">
            <w:pPr>
              <w:jc w:val="right"/>
              <w:rPr>
                <w:color w:val="000000"/>
              </w:rPr>
            </w:pPr>
            <w:r>
              <w:rPr>
                <w:color w:val="000000"/>
              </w:rPr>
              <w:t>4,930</w:t>
            </w:r>
          </w:p>
        </w:tc>
        <w:tc>
          <w:tcPr>
            <w:tcW w:w="1418" w:type="dxa"/>
            <w:tcBorders>
              <w:left w:val="single" w:sz="4" w:space="0" w:color="auto"/>
              <w:right w:val="single" w:sz="8" w:space="0" w:color="auto"/>
            </w:tcBorders>
            <w:tcMar>
              <w:left w:w="57" w:type="dxa"/>
              <w:right w:w="57" w:type="dxa"/>
            </w:tcMar>
          </w:tcPr>
          <w:p w:rsidR="002F09F3" w:rsidRDefault="002F09F3" w:rsidP="00532F43">
            <w:pPr>
              <w:jc w:val="right"/>
              <w:rPr>
                <w:color w:val="000000"/>
              </w:rPr>
            </w:pPr>
          </w:p>
        </w:tc>
      </w:tr>
      <w:tr w:rsidR="002F09F3" w:rsidTr="002F09F3">
        <w:trPr>
          <w:trHeight w:val="254"/>
          <w:jc w:val="center"/>
        </w:trPr>
        <w:tc>
          <w:tcPr>
            <w:tcW w:w="4536" w:type="dxa"/>
            <w:tcBorders>
              <w:left w:val="single" w:sz="8" w:space="0" w:color="auto"/>
              <w:right w:val="single" w:sz="4" w:space="0" w:color="auto"/>
            </w:tcBorders>
            <w:tcMar>
              <w:left w:w="57" w:type="dxa"/>
              <w:right w:w="57" w:type="dxa"/>
            </w:tcMar>
          </w:tcPr>
          <w:p w:rsidR="002F09F3" w:rsidRDefault="002F09F3" w:rsidP="00D81BFB">
            <w:pPr>
              <w:rPr>
                <w:color w:val="000000"/>
              </w:rPr>
            </w:pPr>
            <w:r>
              <w:rPr>
                <w:color w:val="000000"/>
              </w:rPr>
              <w:t>Other Contractual Services</w:t>
            </w:r>
          </w:p>
          <w:p w:rsidR="002F09F3" w:rsidRDefault="002F09F3" w:rsidP="00D81BFB">
            <w:pPr>
              <w:rPr>
                <w:color w:val="000000"/>
              </w:rPr>
            </w:pPr>
            <w:r>
              <w:rPr>
                <w:color w:val="000000"/>
              </w:rPr>
              <w:t>Operating Expenses</w:t>
            </w:r>
          </w:p>
        </w:tc>
        <w:tc>
          <w:tcPr>
            <w:tcW w:w="1417" w:type="dxa"/>
            <w:tcBorders>
              <w:left w:val="single" w:sz="4" w:space="0" w:color="auto"/>
              <w:bottom w:val="single" w:sz="4" w:space="0" w:color="auto"/>
              <w:right w:val="single" w:sz="4" w:space="0" w:color="auto"/>
            </w:tcBorders>
            <w:tcMar>
              <w:left w:w="57" w:type="dxa"/>
              <w:right w:w="57" w:type="dxa"/>
            </w:tcMar>
          </w:tcPr>
          <w:p w:rsidR="002F09F3" w:rsidRDefault="002F09F3" w:rsidP="00532F43">
            <w:pPr>
              <w:jc w:val="right"/>
              <w:rPr>
                <w:color w:val="000000"/>
              </w:rPr>
            </w:pPr>
            <w:r>
              <w:rPr>
                <w:color w:val="000000"/>
              </w:rPr>
              <w:t>8,679</w:t>
            </w:r>
          </w:p>
          <w:p w:rsidR="002F09F3" w:rsidRDefault="002F09F3" w:rsidP="00532F43">
            <w:pPr>
              <w:jc w:val="right"/>
              <w:rPr>
                <w:color w:val="000000"/>
              </w:rPr>
            </w:pPr>
            <w:r>
              <w:rPr>
                <w:color w:val="000000"/>
              </w:rPr>
              <w:t>210</w:t>
            </w:r>
          </w:p>
        </w:tc>
        <w:tc>
          <w:tcPr>
            <w:tcW w:w="1418" w:type="dxa"/>
            <w:tcBorders>
              <w:left w:val="single" w:sz="4" w:space="0" w:color="auto"/>
              <w:right w:val="single" w:sz="8" w:space="0" w:color="auto"/>
            </w:tcBorders>
            <w:tcMar>
              <w:left w:w="57" w:type="dxa"/>
              <w:right w:w="57" w:type="dxa"/>
            </w:tcMar>
          </w:tcPr>
          <w:p w:rsidR="002F09F3" w:rsidRDefault="002F09F3" w:rsidP="00532F43">
            <w:pPr>
              <w:jc w:val="right"/>
              <w:rPr>
                <w:color w:val="000000"/>
              </w:rPr>
            </w:pPr>
          </w:p>
        </w:tc>
      </w:tr>
      <w:tr w:rsidR="002F09F3" w:rsidTr="002F09F3">
        <w:trPr>
          <w:trHeight w:val="254"/>
          <w:jc w:val="center"/>
        </w:trPr>
        <w:tc>
          <w:tcPr>
            <w:tcW w:w="4536" w:type="dxa"/>
            <w:tcBorders>
              <w:left w:val="single" w:sz="8" w:space="0" w:color="auto"/>
              <w:right w:val="single" w:sz="4" w:space="0" w:color="auto"/>
            </w:tcBorders>
            <w:tcMar>
              <w:left w:w="57" w:type="dxa"/>
              <w:right w:w="57" w:type="dxa"/>
            </w:tcMar>
          </w:tcPr>
          <w:p w:rsidR="002F09F3" w:rsidRDefault="002F09F3" w:rsidP="00532F43">
            <w:pPr>
              <w:rPr>
                <w:color w:val="000000"/>
              </w:rPr>
            </w:pPr>
            <w:r>
              <w:rPr>
                <w:color w:val="000000"/>
              </w:rPr>
              <w:t>Total direct expenditure</w:t>
            </w:r>
          </w:p>
        </w:tc>
        <w:tc>
          <w:tcPr>
            <w:tcW w:w="1417" w:type="dxa"/>
            <w:tcBorders>
              <w:top w:val="single" w:sz="4" w:space="0" w:color="auto"/>
              <w:left w:val="single" w:sz="4" w:space="0" w:color="auto"/>
              <w:right w:val="single" w:sz="4" w:space="0" w:color="auto"/>
            </w:tcBorders>
            <w:tcMar>
              <w:left w:w="57" w:type="dxa"/>
              <w:right w:w="57" w:type="dxa"/>
            </w:tcMar>
          </w:tcPr>
          <w:p w:rsidR="002F09F3" w:rsidRDefault="002F09F3" w:rsidP="00532F43">
            <w:pPr>
              <w:jc w:val="right"/>
              <w:rPr>
                <w:color w:val="000000"/>
              </w:rPr>
            </w:pPr>
            <w:r>
              <w:rPr>
                <w:color w:val="000000"/>
              </w:rPr>
              <w:t>328,779</w:t>
            </w:r>
          </w:p>
        </w:tc>
        <w:tc>
          <w:tcPr>
            <w:tcW w:w="1418" w:type="dxa"/>
            <w:tcBorders>
              <w:left w:val="single" w:sz="4" w:space="0" w:color="auto"/>
              <w:right w:val="single" w:sz="8" w:space="0" w:color="auto"/>
            </w:tcBorders>
            <w:tcMar>
              <w:left w:w="57" w:type="dxa"/>
              <w:right w:w="57" w:type="dxa"/>
            </w:tcMar>
          </w:tcPr>
          <w:p w:rsidR="002F09F3" w:rsidRDefault="002F09F3" w:rsidP="00532F43">
            <w:pPr>
              <w:jc w:val="right"/>
              <w:rPr>
                <w:color w:val="000000"/>
              </w:rPr>
            </w:pPr>
          </w:p>
        </w:tc>
      </w:tr>
      <w:tr w:rsidR="002F09F3" w:rsidTr="002F09F3">
        <w:trPr>
          <w:trHeight w:val="210"/>
          <w:jc w:val="center"/>
        </w:trPr>
        <w:tc>
          <w:tcPr>
            <w:tcW w:w="4536" w:type="dxa"/>
            <w:vMerge w:val="restart"/>
            <w:tcBorders>
              <w:left w:val="single" w:sz="8" w:space="0" w:color="auto"/>
              <w:right w:val="single" w:sz="4" w:space="0" w:color="auto"/>
            </w:tcBorders>
            <w:tcMar>
              <w:left w:w="57" w:type="dxa"/>
              <w:right w:w="57" w:type="dxa"/>
            </w:tcMar>
          </w:tcPr>
          <w:p w:rsidR="002F09F3" w:rsidRDefault="002F09F3" w:rsidP="00532F43">
            <w:pPr>
              <w:rPr>
                <w:color w:val="000000"/>
              </w:rPr>
            </w:pPr>
            <w:r>
              <w:rPr>
                <w:color w:val="000000"/>
              </w:rPr>
              <w:t>Administrative costs</w:t>
            </w:r>
          </w:p>
        </w:tc>
        <w:tc>
          <w:tcPr>
            <w:tcW w:w="1417" w:type="dxa"/>
            <w:tcBorders>
              <w:left w:val="single" w:sz="4" w:space="0" w:color="auto"/>
              <w:bottom w:val="single" w:sz="4" w:space="0" w:color="auto"/>
              <w:right w:val="single" w:sz="4" w:space="0" w:color="auto"/>
            </w:tcBorders>
            <w:tcMar>
              <w:left w:w="57" w:type="dxa"/>
              <w:right w:w="57" w:type="dxa"/>
            </w:tcMar>
          </w:tcPr>
          <w:p w:rsidR="002F09F3" w:rsidRDefault="002F09F3" w:rsidP="00532F43">
            <w:pPr>
              <w:jc w:val="right"/>
              <w:rPr>
                <w:color w:val="000000"/>
              </w:rPr>
            </w:pPr>
            <w:r>
              <w:rPr>
                <w:color w:val="000000"/>
              </w:rPr>
              <w:t>42,741</w:t>
            </w:r>
          </w:p>
        </w:tc>
        <w:tc>
          <w:tcPr>
            <w:tcW w:w="1418" w:type="dxa"/>
            <w:vMerge w:val="restart"/>
            <w:tcBorders>
              <w:left w:val="single" w:sz="4" w:space="0" w:color="auto"/>
              <w:right w:val="single" w:sz="8" w:space="0" w:color="auto"/>
            </w:tcBorders>
            <w:tcMar>
              <w:left w:w="57" w:type="dxa"/>
              <w:right w:w="57" w:type="dxa"/>
            </w:tcMar>
          </w:tcPr>
          <w:p w:rsidR="002F09F3" w:rsidRDefault="002F09F3" w:rsidP="00532F43">
            <w:pPr>
              <w:jc w:val="right"/>
              <w:rPr>
                <w:color w:val="000000"/>
              </w:rPr>
            </w:pPr>
          </w:p>
          <w:p w:rsidR="002F09F3" w:rsidRDefault="002F09F3" w:rsidP="00532F43">
            <w:pPr>
              <w:jc w:val="right"/>
              <w:rPr>
                <w:color w:val="000000"/>
              </w:rPr>
            </w:pPr>
            <w:r>
              <w:rPr>
                <w:color w:val="000000"/>
              </w:rPr>
              <w:t>-371,520</w:t>
            </w:r>
          </w:p>
        </w:tc>
      </w:tr>
      <w:tr w:rsidR="002F09F3" w:rsidTr="002F09F3">
        <w:trPr>
          <w:trHeight w:val="240"/>
          <w:jc w:val="center"/>
        </w:trPr>
        <w:tc>
          <w:tcPr>
            <w:tcW w:w="4536" w:type="dxa"/>
            <w:vMerge/>
            <w:tcBorders>
              <w:left w:val="single" w:sz="8" w:space="0" w:color="auto"/>
              <w:bottom w:val="single" w:sz="4" w:space="0" w:color="auto"/>
              <w:right w:val="single" w:sz="4" w:space="0" w:color="auto"/>
            </w:tcBorders>
            <w:tcMar>
              <w:left w:w="57" w:type="dxa"/>
              <w:right w:w="57" w:type="dxa"/>
            </w:tcMar>
          </w:tcPr>
          <w:p w:rsidR="002F09F3" w:rsidRDefault="002F09F3" w:rsidP="00532F43">
            <w:pPr>
              <w:rPr>
                <w:color w:val="000000"/>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rsidR="002F09F3" w:rsidRDefault="002F09F3" w:rsidP="00532F43">
            <w:pPr>
              <w:rPr>
                <w:color w:val="000000"/>
              </w:rPr>
            </w:pPr>
          </w:p>
        </w:tc>
        <w:tc>
          <w:tcPr>
            <w:tcW w:w="1418" w:type="dxa"/>
            <w:vMerge/>
            <w:tcBorders>
              <w:left w:val="single" w:sz="4" w:space="0" w:color="auto"/>
              <w:bottom w:val="single" w:sz="4" w:space="0" w:color="auto"/>
              <w:right w:val="single" w:sz="8" w:space="0" w:color="auto"/>
            </w:tcBorders>
            <w:tcMar>
              <w:left w:w="57" w:type="dxa"/>
              <w:right w:w="57" w:type="dxa"/>
            </w:tcMar>
          </w:tcPr>
          <w:p w:rsidR="002F09F3" w:rsidRDefault="002F09F3" w:rsidP="00532F43">
            <w:pPr>
              <w:jc w:val="right"/>
              <w:rPr>
                <w:color w:val="000000"/>
              </w:rPr>
            </w:pPr>
          </w:p>
        </w:tc>
      </w:tr>
      <w:tr w:rsidR="002F09F3" w:rsidTr="002F09F3">
        <w:trPr>
          <w:trHeight w:val="254"/>
          <w:jc w:val="center"/>
        </w:trPr>
        <w:tc>
          <w:tcPr>
            <w:tcW w:w="4536" w:type="dxa"/>
            <w:tcBorders>
              <w:top w:val="single" w:sz="4" w:space="0" w:color="auto"/>
              <w:left w:val="single" w:sz="8" w:space="0" w:color="auto"/>
              <w:bottom w:val="single" w:sz="8" w:space="0" w:color="auto"/>
              <w:right w:val="single" w:sz="4" w:space="0" w:color="auto"/>
            </w:tcBorders>
            <w:shd w:val="clear" w:color="auto" w:fill="CCFF99"/>
            <w:tcMar>
              <w:left w:w="57" w:type="dxa"/>
              <w:right w:w="57" w:type="dxa"/>
            </w:tcMar>
          </w:tcPr>
          <w:p w:rsidR="002F09F3" w:rsidRDefault="002F09F3" w:rsidP="00532F43">
            <w:pPr>
              <w:rPr>
                <w:color w:val="000000"/>
              </w:rPr>
            </w:pPr>
            <w:r>
              <w:rPr>
                <w:color w:val="000000"/>
              </w:rPr>
              <w:t>Funds available, end of financial period</w:t>
            </w:r>
          </w:p>
        </w:tc>
        <w:tc>
          <w:tcPr>
            <w:tcW w:w="1417" w:type="dxa"/>
            <w:tcBorders>
              <w:top w:val="single" w:sz="4" w:space="0" w:color="auto"/>
              <w:left w:val="single" w:sz="4" w:space="0" w:color="auto"/>
              <w:bottom w:val="single" w:sz="8" w:space="0" w:color="auto"/>
              <w:right w:val="single" w:sz="4" w:space="0" w:color="auto"/>
            </w:tcBorders>
            <w:shd w:val="clear" w:color="auto" w:fill="CCFF99"/>
            <w:tcMar>
              <w:left w:w="57" w:type="dxa"/>
              <w:right w:w="57" w:type="dxa"/>
            </w:tcMar>
          </w:tcPr>
          <w:p w:rsidR="002F09F3" w:rsidRDefault="002F09F3" w:rsidP="00532F43">
            <w:pPr>
              <w:jc w:val="right"/>
              <w:rPr>
                <w:color w:val="000000"/>
              </w:rPr>
            </w:pPr>
          </w:p>
        </w:tc>
        <w:tc>
          <w:tcPr>
            <w:tcW w:w="1418" w:type="dxa"/>
            <w:tcBorders>
              <w:top w:val="single" w:sz="4" w:space="0" w:color="auto"/>
              <w:left w:val="single" w:sz="4" w:space="0" w:color="auto"/>
              <w:bottom w:val="single" w:sz="8" w:space="0" w:color="auto"/>
              <w:right w:val="single" w:sz="8" w:space="0" w:color="auto"/>
            </w:tcBorders>
            <w:shd w:val="clear" w:color="auto" w:fill="CCFF99"/>
            <w:tcMar>
              <w:left w:w="57" w:type="dxa"/>
              <w:right w:w="57" w:type="dxa"/>
            </w:tcMar>
          </w:tcPr>
          <w:p w:rsidR="002F09F3" w:rsidRDefault="002F09F3" w:rsidP="00532F43">
            <w:pPr>
              <w:jc w:val="right"/>
              <w:rPr>
                <w:color w:val="000000"/>
              </w:rPr>
            </w:pPr>
            <w:r>
              <w:rPr>
                <w:color w:val="000000"/>
              </w:rPr>
              <w:t>162,830</w:t>
            </w:r>
          </w:p>
        </w:tc>
      </w:tr>
      <w:tr w:rsidR="002F09F3" w:rsidRPr="004E4B07" w:rsidTr="002F09F3">
        <w:trPr>
          <w:trHeight w:val="475"/>
          <w:jc w:val="center"/>
        </w:trPr>
        <w:tc>
          <w:tcPr>
            <w:tcW w:w="7371" w:type="dxa"/>
            <w:gridSpan w:val="3"/>
            <w:tcBorders>
              <w:top w:val="single" w:sz="8" w:space="0" w:color="auto"/>
            </w:tcBorders>
            <w:tcMar>
              <w:left w:w="57" w:type="dxa"/>
              <w:right w:w="57" w:type="dxa"/>
            </w:tcMar>
          </w:tcPr>
          <w:p w:rsidR="002F09F3" w:rsidRPr="004E4B07" w:rsidRDefault="002F09F3" w:rsidP="00532F43">
            <w:pPr>
              <w:rPr>
                <w:i/>
                <w:color w:val="000000"/>
                <w:sz w:val="16"/>
                <w:szCs w:val="16"/>
              </w:rPr>
            </w:pPr>
          </w:p>
          <w:p w:rsidR="002F09F3" w:rsidRPr="004E4B07" w:rsidRDefault="002F09F3" w:rsidP="00532F43">
            <w:pPr>
              <w:ind w:left="537" w:hanging="537"/>
              <w:rPr>
                <w:color w:val="000000"/>
                <w:sz w:val="16"/>
                <w:szCs w:val="16"/>
              </w:rPr>
            </w:pPr>
            <w:r w:rsidRPr="004E4B07">
              <w:rPr>
                <w:i/>
                <w:color w:val="000000"/>
                <w:sz w:val="16"/>
                <w:szCs w:val="16"/>
              </w:rPr>
              <w:t>Note</w:t>
            </w:r>
            <w:r w:rsidR="00E54141">
              <w:rPr>
                <w:color w:val="000000"/>
                <w:sz w:val="16"/>
                <w:szCs w:val="16"/>
              </w:rPr>
              <w:t>:</w:t>
            </w:r>
            <w:r>
              <w:rPr>
                <w:color w:val="000000"/>
                <w:sz w:val="16"/>
                <w:szCs w:val="16"/>
              </w:rPr>
              <w:tab/>
            </w:r>
            <w:r w:rsidRPr="004E4B07">
              <w:rPr>
                <w:color w:val="000000"/>
                <w:sz w:val="16"/>
                <w:szCs w:val="16"/>
              </w:rPr>
              <w:t>Funds in trust in the form of a</w:t>
            </w:r>
            <w:r w:rsidR="004622E4">
              <w:rPr>
                <w:color w:val="000000"/>
                <w:sz w:val="16"/>
                <w:szCs w:val="16"/>
              </w:rPr>
              <w:t>n</w:t>
            </w:r>
            <w:r w:rsidRPr="004E4B07">
              <w:rPr>
                <w:color w:val="000000"/>
                <w:sz w:val="16"/>
                <w:szCs w:val="16"/>
              </w:rPr>
              <w:t xml:space="preserve"> </w:t>
            </w:r>
            <w:proofErr w:type="spellStart"/>
            <w:r w:rsidRPr="00C93AC0">
              <w:rPr>
                <w:color w:val="000000"/>
                <w:sz w:val="16"/>
                <w:szCs w:val="16"/>
              </w:rPr>
              <w:t>ext</w:t>
            </w:r>
            <w:r w:rsidR="004622E4">
              <w:rPr>
                <w:color w:val="000000"/>
                <w:sz w:val="16"/>
                <w:szCs w:val="16"/>
              </w:rPr>
              <w:t>rabudgetary</w:t>
            </w:r>
            <w:proofErr w:type="spellEnd"/>
            <w:r w:rsidR="004622E4">
              <w:rPr>
                <w:color w:val="000000"/>
                <w:sz w:val="16"/>
                <w:szCs w:val="16"/>
              </w:rPr>
              <w:t xml:space="preserve"> fund</w:t>
            </w:r>
            <w:r>
              <w:rPr>
                <w:color w:val="000000"/>
                <w:sz w:val="16"/>
                <w:szCs w:val="16"/>
              </w:rPr>
              <w:t xml:space="preserve"> </w:t>
            </w:r>
            <w:r w:rsidRPr="004E4B07">
              <w:rPr>
                <w:color w:val="000000"/>
                <w:sz w:val="16"/>
                <w:szCs w:val="16"/>
              </w:rPr>
              <w:t>from the Government of Japan intended for regional seminars and workshops on the protection of new plant varieties in the Asian region.</w:t>
            </w:r>
          </w:p>
          <w:p w:rsidR="002F09F3" w:rsidRPr="004E4B07" w:rsidRDefault="002F09F3" w:rsidP="00532F43">
            <w:pPr>
              <w:ind w:left="537" w:hanging="537"/>
              <w:rPr>
                <w:color w:val="000000"/>
                <w:sz w:val="16"/>
                <w:szCs w:val="16"/>
              </w:rPr>
            </w:pPr>
          </w:p>
        </w:tc>
      </w:tr>
    </w:tbl>
    <w:p w:rsidR="002F09F3" w:rsidRDefault="002F09F3" w:rsidP="00532F43"/>
    <w:p w:rsidR="002F09F3" w:rsidRDefault="002F09F3" w:rsidP="00532F43"/>
    <w:tbl>
      <w:tblPr>
        <w:tblpPr w:leftFromText="180" w:rightFromText="180" w:vertAnchor="text" w:horzAnchor="margin" w:tblpXSpec="center" w:tblpY="168"/>
        <w:tblW w:w="0" w:type="auto"/>
        <w:tblLayout w:type="fixed"/>
        <w:tblCellMar>
          <w:left w:w="30" w:type="dxa"/>
          <w:right w:w="30" w:type="dxa"/>
        </w:tblCellMar>
        <w:tblLook w:val="0000" w:firstRow="0" w:lastRow="0" w:firstColumn="0" w:lastColumn="0" w:noHBand="0" w:noVBand="0"/>
      </w:tblPr>
      <w:tblGrid>
        <w:gridCol w:w="4509"/>
        <w:gridCol w:w="1417"/>
        <w:gridCol w:w="1445"/>
      </w:tblGrid>
      <w:tr w:rsidR="002F09F3" w:rsidTr="00D12AAF">
        <w:trPr>
          <w:trHeight w:val="254"/>
        </w:trPr>
        <w:tc>
          <w:tcPr>
            <w:tcW w:w="4509" w:type="dxa"/>
            <w:tcBorders>
              <w:top w:val="single" w:sz="8" w:space="0" w:color="auto"/>
              <w:left w:val="single" w:sz="8" w:space="0" w:color="auto"/>
              <w:bottom w:val="single" w:sz="4" w:space="0" w:color="auto"/>
              <w:right w:val="single" w:sz="4" w:space="0" w:color="auto"/>
            </w:tcBorders>
            <w:shd w:val="solid" w:color="FFFFFF" w:fill="CCFF99"/>
            <w:tcMar>
              <w:left w:w="57" w:type="dxa"/>
              <w:right w:w="57" w:type="dxa"/>
            </w:tcMar>
          </w:tcPr>
          <w:p w:rsidR="002F09F3" w:rsidRDefault="002F09F3" w:rsidP="00D12AAF">
            <w:pPr>
              <w:tabs>
                <w:tab w:val="right" w:pos="4395"/>
              </w:tabs>
              <w:rPr>
                <w:color w:val="000000"/>
              </w:rPr>
            </w:pPr>
            <w:r>
              <w:rPr>
                <w:color w:val="000000"/>
              </w:rPr>
              <w:t>Funds in trust/United States of America</w:t>
            </w:r>
            <w:r w:rsidR="00D12AAF">
              <w:rPr>
                <w:color w:val="000000"/>
              </w:rPr>
              <w:tab/>
            </w:r>
          </w:p>
        </w:tc>
        <w:tc>
          <w:tcPr>
            <w:tcW w:w="2862" w:type="dxa"/>
            <w:gridSpan w:val="2"/>
            <w:tcBorders>
              <w:top w:val="single" w:sz="8" w:space="0" w:color="auto"/>
              <w:left w:val="single" w:sz="4" w:space="0" w:color="auto"/>
              <w:bottom w:val="single" w:sz="4" w:space="0" w:color="auto"/>
              <w:right w:val="single" w:sz="8" w:space="0" w:color="auto"/>
            </w:tcBorders>
            <w:shd w:val="solid" w:color="FFFFFF" w:fill="CCFF99"/>
            <w:tcMar>
              <w:left w:w="57" w:type="dxa"/>
              <w:right w:w="57" w:type="dxa"/>
            </w:tcMar>
          </w:tcPr>
          <w:p w:rsidR="002F09F3" w:rsidRDefault="002F09F3" w:rsidP="002F09F3">
            <w:pPr>
              <w:jc w:val="center"/>
              <w:rPr>
                <w:color w:val="000000"/>
              </w:rPr>
            </w:pPr>
            <w:r>
              <w:rPr>
                <w:color w:val="000000"/>
              </w:rPr>
              <w:t>Swiss francs</w:t>
            </w:r>
          </w:p>
        </w:tc>
      </w:tr>
      <w:tr w:rsidR="002F09F3" w:rsidTr="00532F43">
        <w:trPr>
          <w:trHeight w:val="254"/>
        </w:trPr>
        <w:tc>
          <w:tcPr>
            <w:tcW w:w="4509" w:type="dxa"/>
            <w:tcBorders>
              <w:top w:val="single" w:sz="4" w:space="0" w:color="auto"/>
              <w:left w:val="single" w:sz="8" w:space="0" w:color="auto"/>
              <w:right w:val="single" w:sz="4" w:space="0" w:color="auto"/>
            </w:tcBorders>
            <w:tcMar>
              <w:left w:w="57" w:type="dxa"/>
              <w:right w:w="57" w:type="dxa"/>
            </w:tcMar>
          </w:tcPr>
          <w:p w:rsidR="002F09F3" w:rsidRDefault="002F09F3" w:rsidP="002F09F3">
            <w:pPr>
              <w:rPr>
                <w:color w:val="000000"/>
              </w:rPr>
            </w:pPr>
            <w:r>
              <w:rPr>
                <w:color w:val="000000"/>
              </w:rPr>
              <w:t>Balance, start of financial period</w:t>
            </w:r>
          </w:p>
        </w:tc>
        <w:tc>
          <w:tcPr>
            <w:tcW w:w="1417" w:type="dxa"/>
            <w:tcBorders>
              <w:top w:val="single" w:sz="4" w:space="0" w:color="auto"/>
              <w:left w:val="single" w:sz="4" w:space="0" w:color="auto"/>
              <w:right w:val="single" w:sz="4" w:space="0" w:color="auto"/>
            </w:tcBorders>
            <w:tcMar>
              <w:left w:w="57" w:type="dxa"/>
              <w:right w:w="57" w:type="dxa"/>
            </w:tcMar>
          </w:tcPr>
          <w:p w:rsidR="002F09F3" w:rsidRDefault="002F09F3" w:rsidP="002F09F3">
            <w:pPr>
              <w:jc w:val="right"/>
              <w:rPr>
                <w:color w:val="000000"/>
              </w:rPr>
            </w:pPr>
          </w:p>
        </w:tc>
        <w:tc>
          <w:tcPr>
            <w:tcW w:w="1445" w:type="dxa"/>
            <w:tcBorders>
              <w:top w:val="single" w:sz="4" w:space="0" w:color="auto"/>
              <w:left w:val="single" w:sz="4" w:space="0" w:color="auto"/>
              <w:right w:val="single" w:sz="8" w:space="0" w:color="auto"/>
            </w:tcBorders>
            <w:tcMar>
              <w:left w:w="57" w:type="dxa"/>
              <w:right w:w="57" w:type="dxa"/>
            </w:tcMar>
          </w:tcPr>
          <w:p w:rsidR="002F09F3" w:rsidRDefault="002F09F3" w:rsidP="002F09F3">
            <w:pPr>
              <w:jc w:val="right"/>
              <w:rPr>
                <w:color w:val="000000"/>
              </w:rPr>
            </w:pPr>
            <w:r>
              <w:rPr>
                <w:color w:val="000000"/>
              </w:rPr>
              <w:t>8,897</w:t>
            </w:r>
          </w:p>
        </w:tc>
      </w:tr>
      <w:tr w:rsidR="002F09F3" w:rsidTr="00D12AAF">
        <w:trPr>
          <w:trHeight w:val="254"/>
        </w:trPr>
        <w:tc>
          <w:tcPr>
            <w:tcW w:w="4509" w:type="dxa"/>
            <w:tcBorders>
              <w:left w:val="single" w:sz="8" w:space="0" w:color="auto"/>
              <w:right w:val="single" w:sz="4" w:space="0" w:color="auto"/>
            </w:tcBorders>
            <w:tcMar>
              <w:left w:w="57" w:type="dxa"/>
              <w:right w:w="57" w:type="dxa"/>
            </w:tcMar>
          </w:tcPr>
          <w:p w:rsidR="002F09F3" w:rsidRDefault="002F09F3" w:rsidP="002F09F3">
            <w:pPr>
              <w:rPr>
                <w:i/>
                <w:color w:val="000000"/>
              </w:rPr>
            </w:pPr>
            <w:r>
              <w:rPr>
                <w:i/>
                <w:color w:val="000000"/>
              </w:rPr>
              <w:t>Income</w:t>
            </w:r>
          </w:p>
        </w:tc>
        <w:tc>
          <w:tcPr>
            <w:tcW w:w="1417" w:type="dxa"/>
            <w:tcBorders>
              <w:left w:val="single" w:sz="4" w:space="0" w:color="auto"/>
              <w:right w:val="single" w:sz="4" w:space="0" w:color="auto"/>
            </w:tcBorders>
            <w:tcMar>
              <w:left w:w="57" w:type="dxa"/>
              <w:right w:w="57" w:type="dxa"/>
            </w:tcMar>
          </w:tcPr>
          <w:p w:rsidR="002F09F3" w:rsidRDefault="002F09F3" w:rsidP="002F09F3">
            <w:pPr>
              <w:jc w:val="right"/>
              <w:rPr>
                <w:color w:val="000000"/>
              </w:rPr>
            </w:pPr>
          </w:p>
        </w:tc>
        <w:tc>
          <w:tcPr>
            <w:tcW w:w="1445" w:type="dxa"/>
            <w:tcBorders>
              <w:left w:val="single" w:sz="4" w:space="0" w:color="auto"/>
              <w:right w:val="single" w:sz="8" w:space="0" w:color="auto"/>
            </w:tcBorders>
            <w:tcMar>
              <w:left w:w="57" w:type="dxa"/>
              <w:right w:w="57" w:type="dxa"/>
            </w:tcMar>
          </w:tcPr>
          <w:p w:rsidR="002F09F3" w:rsidRDefault="002F09F3" w:rsidP="002F09F3">
            <w:pPr>
              <w:jc w:val="right"/>
              <w:rPr>
                <w:color w:val="000000"/>
              </w:rPr>
            </w:pPr>
          </w:p>
        </w:tc>
      </w:tr>
      <w:tr w:rsidR="002F09F3" w:rsidTr="00D12AAF">
        <w:trPr>
          <w:trHeight w:val="80"/>
        </w:trPr>
        <w:tc>
          <w:tcPr>
            <w:tcW w:w="4509" w:type="dxa"/>
            <w:tcBorders>
              <w:left w:val="single" w:sz="8" w:space="0" w:color="auto"/>
              <w:right w:val="single" w:sz="4" w:space="0" w:color="auto"/>
            </w:tcBorders>
            <w:tcMar>
              <w:left w:w="57" w:type="dxa"/>
              <w:right w:w="57" w:type="dxa"/>
            </w:tcMar>
          </w:tcPr>
          <w:p w:rsidR="002F09F3" w:rsidRDefault="002F09F3" w:rsidP="002F09F3">
            <w:pPr>
              <w:rPr>
                <w:color w:val="000000"/>
              </w:rPr>
            </w:pPr>
            <w:r>
              <w:rPr>
                <w:color w:val="000000"/>
              </w:rPr>
              <w:t>Funds received</w:t>
            </w:r>
          </w:p>
        </w:tc>
        <w:tc>
          <w:tcPr>
            <w:tcW w:w="1417" w:type="dxa"/>
            <w:tcBorders>
              <w:left w:val="single" w:sz="4" w:space="0" w:color="auto"/>
              <w:bottom w:val="single" w:sz="4" w:space="0" w:color="auto"/>
              <w:right w:val="single" w:sz="4" w:space="0" w:color="auto"/>
            </w:tcBorders>
            <w:tcMar>
              <w:left w:w="57" w:type="dxa"/>
              <w:right w:w="57" w:type="dxa"/>
            </w:tcMar>
          </w:tcPr>
          <w:p w:rsidR="002F09F3" w:rsidRDefault="00D12AAF" w:rsidP="002F09F3">
            <w:pPr>
              <w:jc w:val="right"/>
              <w:rPr>
                <w:color w:val="000000"/>
              </w:rPr>
            </w:pPr>
            <w:r>
              <w:rPr>
                <w:color w:val="000000"/>
              </w:rPr>
              <w:t>238,443</w:t>
            </w:r>
          </w:p>
        </w:tc>
        <w:tc>
          <w:tcPr>
            <w:tcW w:w="1445" w:type="dxa"/>
            <w:tcBorders>
              <w:left w:val="single" w:sz="4" w:space="0" w:color="auto"/>
              <w:right w:val="single" w:sz="8" w:space="0" w:color="auto"/>
            </w:tcBorders>
            <w:tcMar>
              <w:left w:w="57" w:type="dxa"/>
              <w:right w:w="57" w:type="dxa"/>
            </w:tcMar>
          </w:tcPr>
          <w:p w:rsidR="002F09F3" w:rsidRDefault="002F09F3" w:rsidP="002F09F3">
            <w:pPr>
              <w:jc w:val="right"/>
              <w:rPr>
                <w:color w:val="000000"/>
              </w:rPr>
            </w:pPr>
            <w:r>
              <w:rPr>
                <w:color w:val="000000"/>
              </w:rPr>
              <w:t>238,443</w:t>
            </w:r>
          </w:p>
        </w:tc>
      </w:tr>
      <w:tr w:rsidR="00D12AAF" w:rsidTr="00D12AAF">
        <w:trPr>
          <w:trHeight w:val="254"/>
        </w:trPr>
        <w:tc>
          <w:tcPr>
            <w:tcW w:w="4509" w:type="dxa"/>
            <w:tcBorders>
              <w:left w:val="single" w:sz="8" w:space="0" w:color="auto"/>
              <w:right w:val="single" w:sz="4" w:space="0" w:color="auto"/>
            </w:tcBorders>
            <w:tcMar>
              <w:left w:w="57" w:type="dxa"/>
              <w:right w:w="57" w:type="dxa"/>
            </w:tcMar>
          </w:tcPr>
          <w:p w:rsidR="00D12AAF" w:rsidRDefault="00D12AAF" w:rsidP="002F09F3">
            <w:pPr>
              <w:rPr>
                <w:i/>
                <w:color w:val="000000"/>
              </w:rPr>
            </w:pPr>
          </w:p>
        </w:tc>
        <w:tc>
          <w:tcPr>
            <w:tcW w:w="1417" w:type="dxa"/>
            <w:tcBorders>
              <w:top w:val="single" w:sz="4" w:space="0" w:color="auto"/>
              <w:left w:val="single" w:sz="4" w:space="0" w:color="auto"/>
              <w:right w:val="single" w:sz="4" w:space="0" w:color="auto"/>
            </w:tcBorders>
            <w:tcMar>
              <w:left w:w="57" w:type="dxa"/>
              <w:right w:w="57" w:type="dxa"/>
            </w:tcMar>
          </w:tcPr>
          <w:p w:rsidR="00D12AAF" w:rsidRDefault="00D12AAF" w:rsidP="002F09F3">
            <w:pPr>
              <w:jc w:val="right"/>
              <w:rPr>
                <w:color w:val="000000"/>
              </w:rPr>
            </w:pPr>
          </w:p>
        </w:tc>
        <w:tc>
          <w:tcPr>
            <w:tcW w:w="1445" w:type="dxa"/>
            <w:tcBorders>
              <w:left w:val="single" w:sz="4" w:space="0" w:color="auto"/>
              <w:right w:val="single" w:sz="8" w:space="0" w:color="auto"/>
            </w:tcBorders>
            <w:tcMar>
              <w:left w:w="57" w:type="dxa"/>
              <w:right w:w="57" w:type="dxa"/>
            </w:tcMar>
          </w:tcPr>
          <w:p w:rsidR="00D12AAF" w:rsidRDefault="00D12AAF" w:rsidP="002F09F3">
            <w:pPr>
              <w:jc w:val="right"/>
              <w:rPr>
                <w:color w:val="000000"/>
              </w:rPr>
            </w:pPr>
          </w:p>
        </w:tc>
      </w:tr>
      <w:tr w:rsidR="002F09F3" w:rsidTr="00D12AAF">
        <w:trPr>
          <w:trHeight w:val="254"/>
        </w:trPr>
        <w:tc>
          <w:tcPr>
            <w:tcW w:w="4509" w:type="dxa"/>
            <w:tcBorders>
              <w:left w:val="single" w:sz="8" w:space="0" w:color="auto"/>
              <w:right w:val="single" w:sz="4" w:space="0" w:color="auto"/>
            </w:tcBorders>
            <w:tcMar>
              <w:left w:w="57" w:type="dxa"/>
              <w:right w:w="57" w:type="dxa"/>
            </w:tcMar>
          </w:tcPr>
          <w:p w:rsidR="002F09F3" w:rsidRDefault="002F09F3" w:rsidP="002F09F3">
            <w:pPr>
              <w:rPr>
                <w:i/>
                <w:color w:val="000000"/>
              </w:rPr>
            </w:pPr>
            <w:r>
              <w:rPr>
                <w:i/>
                <w:color w:val="000000"/>
              </w:rPr>
              <w:t>Expenditure</w:t>
            </w:r>
          </w:p>
        </w:tc>
        <w:tc>
          <w:tcPr>
            <w:tcW w:w="1417" w:type="dxa"/>
            <w:tcBorders>
              <w:left w:val="single" w:sz="4" w:space="0" w:color="auto"/>
              <w:right w:val="single" w:sz="4" w:space="0" w:color="auto"/>
            </w:tcBorders>
            <w:tcMar>
              <w:left w:w="57" w:type="dxa"/>
              <w:right w:w="57" w:type="dxa"/>
            </w:tcMar>
          </w:tcPr>
          <w:p w:rsidR="002F09F3" w:rsidRDefault="002F09F3" w:rsidP="002F09F3">
            <w:pPr>
              <w:jc w:val="right"/>
              <w:rPr>
                <w:color w:val="000000"/>
              </w:rPr>
            </w:pPr>
          </w:p>
        </w:tc>
        <w:tc>
          <w:tcPr>
            <w:tcW w:w="1445" w:type="dxa"/>
            <w:tcBorders>
              <w:left w:val="single" w:sz="4" w:space="0" w:color="auto"/>
              <w:right w:val="single" w:sz="8" w:space="0" w:color="auto"/>
            </w:tcBorders>
            <w:tcMar>
              <w:left w:w="57" w:type="dxa"/>
              <w:right w:w="57" w:type="dxa"/>
            </w:tcMar>
          </w:tcPr>
          <w:p w:rsidR="002F09F3" w:rsidRDefault="002F09F3" w:rsidP="002F09F3">
            <w:pPr>
              <w:jc w:val="right"/>
              <w:rPr>
                <w:color w:val="000000"/>
              </w:rPr>
            </w:pPr>
          </w:p>
        </w:tc>
      </w:tr>
      <w:tr w:rsidR="002F09F3" w:rsidTr="00D12AAF">
        <w:trPr>
          <w:trHeight w:val="254"/>
        </w:trPr>
        <w:tc>
          <w:tcPr>
            <w:tcW w:w="4509" w:type="dxa"/>
            <w:tcBorders>
              <w:left w:val="single" w:sz="8" w:space="0" w:color="auto"/>
              <w:right w:val="single" w:sz="4" w:space="0" w:color="auto"/>
            </w:tcBorders>
            <w:tcMar>
              <w:left w:w="57" w:type="dxa"/>
              <w:right w:w="57" w:type="dxa"/>
            </w:tcMar>
          </w:tcPr>
          <w:p w:rsidR="002F09F3" w:rsidRDefault="002F09F3" w:rsidP="002F09F3">
            <w:pPr>
              <w:rPr>
                <w:color w:val="000000"/>
              </w:rPr>
            </w:pPr>
            <w:r>
              <w:rPr>
                <w:color w:val="000000"/>
              </w:rPr>
              <w:t>Third party travel</w:t>
            </w:r>
          </w:p>
        </w:tc>
        <w:tc>
          <w:tcPr>
            <w:tcW w:w="1417" w:type="dxa"/>
            <w:tcBorders>
              <w:left w:val="single" w:sz="4" w:space="0" w:color="auto"/>
              <w:right w:val="single" w:sz="4" w:space="0" w:color="auto"/>
            </w:tcBorders>
            <w:tcMar>
              <w:left w:w="57" w:type="dxa"/>
              <w:right w:w="57" w:type="dxa"/>
            </w:tcMar>
          </w:tcPr>
          <w:p w:rsidR="002F09F3" w:rsidRDefault="002F09F3" w:rsidP="002F09F3">
            <w:pPr>
              <w:jc w:val="right"/>
              <w:rPr>
                <w:color w:val="000000"/>
              </w:rPr>
            </w:pPr>
            <w:r>
              <w:rPr>
                <w:color w:val="000000"/>
              </w:rPr>
              <w:t>212,934</w:t>
            </w:r>
          </w:p>
        </w:tc>
        <w:tc>
          <w:tcPr>
            <w:tcW w:w="1445" w:type="dxa"/>
            <w:tcBorders>
              <w:left w:val="single" w:sz="4" w:space="0" w:color="auto"/>
              <w:right w:val="single" w:sz="8" w:space="0" w:color="auto"/>
            </w:tcBorders>
            <w:tcMar>
              <w:left w:w="57" w:type="dxa"/>
              <w:right w:w="57" w:type="dxa"/>
            </w:tcMar>
          </w:tcPr>
          <w:p w:rsidR="002F09F3" w:rsidRDefault="002F09F3" w:rsidP="002F09F3">
            <w:pPr>
              <w:jc w:val="right"/>
              <w:rPr>
                <w:color w:val="000000"/>
              </w:rPr>
            </w:pPr>
          </w:p>
        </w:tc>
      </w:tr>
      <w:tr w:rsidR="002F09F3" w:rsidTr="00532F43">
        <w:trPr>
          <w:trHeight w:val="254"/>
        </w:trPr>
        <w:tc>
          <w:tcPr>
            <w:tcW w:w="4509" w:type="dxa"/>
            <w:tcBorders>
              <w:left w:val="single" w:sz="8" w:space="0" w:color="auto"/>
              <w:right w:val="single" w:sz="4" w:space="0" w:color="auto"/>
            </w:tcBorders>
            <w:tcMar>
              <w:left w:w="57" w:type="dxa"/>
              <w:right w:w="57" w:type="dxa"/>
            </w:tcMar>
          </w:tcPr>
          <w:p w:rsidR="002F09F3" w:rsidRDefault="002F09F3" w:rsidP="002F09F3">
            <w:pPr>
              <w:rPr>
                <w:color w:val="000000"/>
              </w:rPr>
            </w:pPr>
            <w:r>
              <w:rPr>
                <w:color w:val="000000"/>
              </w:rPr>
              <w:t>Contractual services</w:t>
            </w:r>
          </w:p>
        </w:tc>
        <w:tc>
          <w:tcPr>
            <w:tcW w:w="1417" w:type="dxa"/>
            <w:tcBorders>
              <w:left w:val="single" w:sz="4" w:space="0" w:color="auto"/>
              <w:bottom w:val="single" w:sz="4" w:space="0" w:color="auto"/>
              <w:right w:val="single" w:sz="4" w:space="0" w:color="auto"/>
            </w:tcBorders>
            <w:tcMar>
              <w:left w:w="57" w:type="dxa"/>
              <w:right w:w="57" w:type="dxa"/>
            </w:tcMar>
          </w:tcPr>
          <w:p w:rsidR="002F09F3" w:rsidRDefault="002F09F3" w:rsidP="002F09F3">
            <w:pPr>
              <w:jc w:val="right"/>
              <w:rPr>
                <w:color w:val="000000"/>
              </w:rPr>
            </w:pPr>
            <w:r>
              <w:rPr>
                <w:color w:val="000000"/>
              </w:rPr>
              <w:t>3,000</w:t>
            </w:r>
          </w:p>
        </w:tc>
        <w:tc>
          <w:tcPr>
            <w:tcW w:w="1445" w:type="dxa"/>
            <w:tcBorders>
              <w:left w:val="single" w:sz="4" w:space="0" w:color="auto"/>
              <w:right w:val="single" w:sz="8" w:space="0" w:color="auto"/>
            </w:tcBorders>
            <w:tcMar>
              <w:left w:w="57" w:type="dxa"/>
              <w:right w:w="57" w:type="dxa"/>
            </w:tcMar>
          </w:tcPr>
          <w:p w:rsidR="002F09F3" w:rsidRDefault="002F09F3" w:rsidP="002F09F3">
            <w:pPr>
              <w:jc w:val="right"/>
              <w:rPr>
                <w:color w:val="000000"/>
              </w:rPr>
            </w:pPr>
          </w:p>
        </w:tc>
      </w:tr>
      <w:tr w:rsidR="002F09F3" w:rsidTr="00532F43">
        <w:trPr>
          <w:trHeight w:val="254"/>
        </w:trPr>
        <w:tc>
          <w:tcPr>
            <w:tcW w:w="4509" w:type="dxa"/>
            <w:tcBorders>
              <w:left w:val="single" w:sz="8" w:space="0" w:color="auto"/>
              <w:right w:val="single" w:sz="4" w:space="0" w:color="auto"/>
            </w:tcBorders>
            <w:tcMar>
              <w:left w:w="57" w:type="dxa"/>
              <w:right w:w="57" w:type="dxa"/>
            </w:tcMar>
          </w:tcPr>
          <w:p w:rsidR="002F09F3" w:rsidRDefault="002F09F3" w:rsidP="002F09F3">
            <w:pPr>
              <w:rPr>
                <w:color w:val="000000"/>
              </w:rPr>
            </w:pPr>
            <w:r>
              <w:rPr>
                <w:color w:val="000000"/>
              </w:rPr>
              <w:t>Total direct expenditure</w:t>
            </w:r>
          </w:p>
        </w:tc>
        <w:tc>
          <w:tcPr>
            <w:tcW w:w="1417" w:type="dxa"/>
            <w:tcBorders>
              <w:top w:val="single" w:sz="4" w:space="0" w:color="auto"/>
              <w:left w:val="single" w:sz="4" w:space="0" w:color="auto"/>
              <w:right w:val="single" w:sz="4" w:space="0" w:color="auto"/>
            </w:tcBorders>
            <w:tcMar>
              <w:left w:w="57" w:type="dxa"/>
              <w:right w:w="57" w:type="dxa"/>
            </w:tcMar>
          </w:tcPr>
          <w:p w:rsidR="002F09F3" w:rsidRDefault="002F09F3" w:rsidP="002F09F3">
            <w:pPr>
              <w:jc w:val="right"/>
              <w:rPr>
                <w:color w:val="000000"/>
              </w:rPr>
            </w:pPr>
            <w:r>
              <w:rPr>
                <w:color w:val="000000"/>
              </w:rPr>
              <w:t>215,934</w:t>
            </w:r>
          </w:p>
        </w:tc>
        <w:tc>
          <w:tcPr>
            <w:tcW w:w="1445" w:type="dxa"/>
            <w:tcBorders>
              <w:left w:val="single" w:sz="4" w:space="0" w:color="auto"/>
              <w:right w:val="single" w:sz="8" w:space="0" w:color="auto"/>
            </w:tcBorders>
            <w:tcMar>
              <w:left w:w="57" w:type="dxa"/>
              <w:right w:w="57" w:type="dxa"/>
            </w:tcMar>
          </w:tcPr>
          <w:p w:rsidR="002F09F3" w:rsidRDefault="002F09F3" w:rsidP="002F09F3">
            <w:pPr>
              <w:jc w:val="right"/>
              <w:rPr>
                <w:color w:val="000000"/>
              </w:rPr>
            </w:pPr>
          </w:p>
        </w:tc>
      </w:tr>
      <w:tr w:rsidR="002F09F3" w:rsidRPr="00B82693" w:rsidTr="00532F43">
        <w:trPr>
          <w:trHeight w:val="230"/>
        </w:trPr>
        <w:tc>
          <w:tcPr>
            <w:tcW w:w="4509" w:type="dxa"/>
            <w:vMerge w:val="restart"/>
            <w:tcBorders>
              <w:left w:val="single" w:sz="8" w:space="0" w:color="auto"/>
              <w:right w:val="single" w:sz="4" w:space="0" w:color="auto"/>
            </w:tcBorders>
            <w:tcMar>
              <w:left w:w="57" w:type="dxa"/>
              <w:right w:w="57" w:type="dxa"/>
            </w:tcMar>
          </w:tcPr>
          <w:p w:rsidR="002F09F3" w:rsidRDefault="002F09F3" w:rsidP="002F09F3">
            <w:pPr>
              <w:rPr>
                <w:color w:val="000000"/>
              </w:rPr>
            </w:pPr>
            <w:r>
              <w:rPr>
                <w:color w:val="000000"/>
              </w:rPr>
              <w:t>Administrative costs</w:t>
            </w:r>
          </w:p>
        </w:tc>
        <w:tc>
          <w:tcPr>
            <w:tcW w:w="1417" w:type="dxa"/>
            <w:tcBorders>
              <w:left w:val="single" w:sz="4" w:space="0" w:color="auto"/>
              <w:bottom w:val="single" w:sz="4" w:space="0" w:color="auto"/>
              <w:right w:val="single" w:sz="4" w:space="0" w:color="auto"/>
            </w:tcBorders>
            <w:tcMar>
              <w:left w:w="57" w:type="dxa"/>
              <w:right w:w="57" w:type="dxa"/>
            </w:tcMar>
          </w:tcPr>
          <w:p w:rsidR="002F09F3" w:rsidRDefault="002F09F3" w:rsidP="002F09F3">
            <w:pPr>
              <w:jc w:val="right"/>
              <w:rPr>
                <w:color w:val="000000"/>
              </w:rPr>
            </w:pPr>
            <w:r>
              <w:rPr>
                <w:color w:val="000000"/>
              </w:rPr>
              <w:t>28,071</w:t>
            </w:r>
          </w:p>
        </w:tc>
        <w:tc>
          <w:tcPr>
            <w:tcW w:w="1445" w:type="dxa"/>
            <w:vMerge w:val="restart"/>
            <w:tcBorders>
              <w:left w:val="single" w:sz="4" w:space="0" w:color="auto"/>
              <w:right w:val="single" w:sz="8" w:space="0" w:color="auto"/>
            </w:tcBorders>
            <w:tcMar>
              <w:left w:w="57" w:type="dxa"/>
              <w:right w:w="57" w:type="dxa"/>
            </w:tcMar>
          </w:tcPr>
          <w:p w:rsidR="002F09F3" w:rsidRDefault="002F09F3" w:rsidP="002F09F3"/>
          <w:p w:rsidR="002F09F3" w:rsidRPr="00B82693" w:rsidRDefault="002F09F3" w:rsidP="002F09F3">
            <w:pPr>
              <w:jc w:val="right"/>
            </w:pPr>
            <w:r>
              <w:t>-244,005</w:t>
            </w:r>
          </w:p>
        </w:tc>
      </w:tr>
      <w:tr w:rsidR="002F09F3" w:rsidTr="00532F43">
        <w:trPr>
          <w:trHeight w:val="220"/>
        </w:trPr>
        <w:tc>
          <w:tcPr>
            <w:tcW w:w="4509" w:type="dxa"/>
            <w:vMerge/>
            <w:tcBorders>
              <w:left w:val="single" w:sz="8" w:space="0" w:color="auto"/>
              <w:bottom w:val="single" w:sz="4" w:space="0" w:color="auto"/>
              <w:right w:val="single" w:sz="4" w:space="0" w:color="auto"/>
            </w:tcBorders>
            <w:tcMar>
              <w:left w:w="57" w:type="dxa"/>
              <w:right w:w="57" w:type="dxa"/>
            </w:tcMar>
          </w:tcPr>
          <w:p w:rsidR="002F09F3" w:rsidRDefault="002F09F3" w:rsidP="002F09F3">
            <w:pPr>
              <w:rPr>
                <w:color w:val="000000"/>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rsidR="002F09F3" w:rsidRDefault="002F09F3" w:rsidP="002F09F3">
            <w:pPr>
              <w:rPr>
                <w:color w:val="000000"/>
              </w:rPr>
            </w:pPr>
          </w:p>
        </w:tc>
        <w:tc>
          <w:tcPr>
            <w:tcW w:w="1445" w:type="dxa"/>
            <w:vMerge/>
            <w:tcBorders>
              <w:left w:val="single" w:sz="4" w:space="0" w:color="auto"/>
              <w:bottom w:val="single" w:sz="4" w:space="0" w:color="auto"/>
              <w:right w:val="single" w:sz="8" w:space="0" w:color="auto"/>
            </w:tcBorders>
            <w:tcMar>
              <w:left w:w="57" w:type="dxa"/>
              <w:right w:w="57" w:type="dxa"/>
            </w:tcMar>
          </w:tcPr>
          <w:p w:rsidR="002F09F3" w:rsidRDefault="002F09F3" w:rsidP="002F09F3">
            <w:pPr>
              <w:jc w:val="right"/>
              <w:rPr>
                <w:color w:val="000000"/>
              </w:rPr>
            </w:pPr>
          </w:p>
        </w:tc>
      </w:tr>
      <w:tr w:rsidR="002F09F3" w:rsidTr="00D12AAF">
        <w:trPr>
          <w:trHeight w:val="254"/>
        </w:trPr>
        <w:tc>
          <w:tcPr>
            <w:tcW w:w="4509" w:type="dxa"/>
            <w:tcBorders>
              <w:top w:val="single" w:sz="4" w:space="0" w:color="auto"/>
              <w:left w:val="single" w:sz="8" w:space="0" w:color="auto"/>
              <w:bottom w:val="single" w:sz="8" w:space="0" w:color="auto"/>
              <w:right w:val="single" w:sz="4" w:space="0" w:color="auto"/>
            </w:tcBorders>
            <w:shd w:val="clear" w:color="auto" w:fill="CCFF99"/>
            <w:tcMar>
              <w:left w:w="57" w:type="dxa"/>
              <w:right w:w="57" w:type="dxa"/>
            </w:tcMar>
          </w:tcPr>
          <w:p w:rsidR="002F09F3" w:rsidRDefault="002F09F3" w:rsidP="002F09F3">
            <w:pPr>
              <w:rPr>
                <w:color w:val="000000"/>
              </w:rPr>
            </w:pPr>
            <w:r>
              <w:rPr>
                <w:color w:val="000000"/>
              </w:rPr>
              <w:t>Funds available, end of financial period</w:t>
            </w:r>
          </w:p>
        </w:tc>
        <w:tc>
          <w:tcPr>
            <w:tcW w:w="1417" w:type="dxa"/>
            <w:tcBorders>
              <w:top w:val="single" w:sz="4" w:space="0" w:color="auto"/>
              <w:left w:val="single" w:sz="4" w:space="0" w:color="auto"/>
              <w:bottom w:val="single" w:sz="8" w:space="0" w:color="auto"/>
              <w:right w:val="single" w:sz="4" w:space="0" w:color="auto"/>
            </w:tcBorders>
            <w:shd w:val="clear" w:color="auto" w:fill="CCFF99"/>
            <w:tcMar>
              <w:left w:w="57" w:type="dxa"/>
              <w:right w:w="57" w:type="dxa"/>
            </w:tcMar>
          </w:tcPr>
          <w:p w:rsidR="002F09F3" w:rsidRDefault="002F09F3" w:rsidP="002F09F3">
            <w:pPr>
              <w:jc w:val="right"/>
              <w:rPr>
                <w:color w:val="000000"/>
              </w:rPr>
            </w:pPr>
          </w:p>
        </w:tc>
        <w:tc>
          <w:tcPr>
            <w:tcW w:w="1445" w:type="dxa"/>
            <w:tcBorders>
              <w:top w:val="single" w:sz="4" w:space="0" w:color="auto"/>
              <w:left w:val="single" w:sz="4" w:space="0" w:color="auto"/>
              <w:bottom w:val="single" w:sz="8" w:space="0" w:color="auto"/>
              <w:right w:val="single" w:sz="8" w:space="0" w:color="auto"/>
            </w:tcBorders>
            <w:shd w:val="clear" w:color="auto" w:fill="CCFF99"/>
            <w:tcMar>
              <w:left w:w="57" w:type="dxa"/>
              <w:right w:w="57" w:type="dxa"/>
            </w:tcMar>
          </w:tcPr>
          <w:p w:rsidR="002F09F3" w:rsidRDefault="002F09F3" w:rsidP="002F09F3">
            <w:pPr>
              <w:jc w:val="right"/>
              <w:rPr>
                <w:color w:val="000000"/>
              </w:rPr>
            </w:pPr>
            <w:r>
              <w:rPr>
                <w:color w:val="000000"/>
              </w:rPr>
              <w:t>3,335</w:t>
            </w:r>
          </w:p>
        </w:tc>
      </w:tr>
    </w:tbl>
    <w:p w:rsidR="002F09F3" w:rsidRDefault="002F09F3" w:rsidP="00532F43"/>
    <w:p w:rsidR="00BE02C7" w:rsidRDefault="00BE02C7" w:rsidP="002F09F3">
      <w:pPr>
        <w:jc w:val="right"/>
      </w:pPr>
    </w:p>
    <w:p w:rsidR="00BE02C7" w:rsidRDefault="00BE02C7" w:rsidP="002F09F3">
      <w:pPr>
        <w:jc w:val="right"/>
      </w:pPr>
    </w:p>
    <w:p w:rsidR="00BE02C7" w:rsidRDefault="00BE02C7" w:rsidP="002F09F3">
      <w:pPr>
        <w:jc w:val="right"/>
      </w:pPr>
    </w:p>
    <w:p w:rsidR="00BE02C7" w:rsidRDefault="00BE02C7" w:rsidP="002F09F3">
      <w:pPr>
        <w:jc w:val="right"/>
      </w:pPr>
    </w:p>
    <w:p w:rsidR="00BE02C7" w:rsidRDefault="00BE02C7" w:rsidP="002F09F3">
      <w:pPr>
        <w:jc w:val="right"/>
      </w:pPr>
    </w:p>
    <w:p w:rsidR="00BE02C7" w:rsidRDefault="00BE02C7" w:rsidP="002F09F3">
      <w:pPr>
        <w:jc w:val="right"/>
      </w:pPr>
    </w:p>
    <w:p w:rsidR="00BE02C7" w:rsidRDefault="00BE02C7" w:rsidP="002F09F3">
      <w:pPr>
        <w:jc w:val="right"/>
      </w:pPr>
    </w:p>
    <w:p w:rsidR="00BE02C7" w:rsidRDefault="00BE02C7" w:rsidP="002F09F3">
      <w:pPr>
        <w:jc w:val="right"/>
      </w:pPr>
    </w:p>
    <w:p w:rsidR="00BE02C7" w:rsidRDefault="00BE02C7" w:rsidP="002F09F3">
      <w:pPr>
        <w:jc w:val="right"/>
      </w:pPr>
    </w:p>
    <w:p w:rsidR="00BE02C7" w:rsidRDefault="00BE02C7" w:rsidP="002F09F3">
      <w:pPr>
        <w:jc w:val="right"/>
      </w:pPr>
    </w:p>
    <w:p w:rsidR="00BE02C7" w:rsidRDefault="00BE02C7" w:rsidP="002F09F3">
      <w:pPr>
        <w:jc w:val="right"/>
      </w:pPr>
    </w:p>
    <w:p w:rsidR="00BE02C7" w:rsidRPr="00BE02C7" w:rsidRDefault="00BE02C7" w:rsidP="00D81BFB">
      <w:pPr>
        <w:rPr>
          <w:i/>
        </w:rPr>
      </w:pPr>
    </w:p>
    <w:p w:rsidR="00E54141" w:rsidRDefault="00E54141" w:rsidP="00D81BFB">
      <w:pPr>
        <w:ind w:left="1652" w:hanging="448"/>
        <w:rPr>
          <w:i/>
          <w:sz w:val="16"/>
          <w:szCs w:val="16"/>
        </w:rPr>
      </w:pPr>
    </w:p>
    <w:p w:rsidR="00BE02C7" w:rsidRDefault="00BE02C7" w:rsidP="00D81BFB">
      <w:pPr>
        <w:ind w:left="1652" w:hanging="448"/>
        <w:rPr>
          <w:sz w:val="16"/>
          <w:szCs w:val="16"/>
        </w:rPr>
      </w:pPr>
      <w:r w:rsidRPr="00BE02C7">
        <w:rPr>
          <w:i/>
          <w:sz w:val="16"/>
          <w:szCs w:val="16"/>
        </w:rPr>
        <w:t>Note:</w:t>
      </w:r>
      <w:r w:rsidRPr="00BE02C7">
        <w:rPr>
          <w:sz w:val="16"/>
          <w:szCs w:val="16"/>
        </w:rPr>
        <w:t xml:space="preserve">  Funds in trust in the form of an </w:t>
      </w:r>
      <w:proofErr w:type="spellStart"/>
      <w:r w:rsidRPr="00BE02C7">
        <w:rPr>
          <w:sz w:val="16"/>
          <w:szCs w:val="16"/>
        </w:rPr>
        <w:t>ext</w:t>
      </w:r>
      <w:r w:rsidR="004622E4">
        <w:rPr>
          <w:sz w:val="16"/>
          <w:szCs w:val="16"/>
        </w:rPr>
        <w:t>rabudgetary</w:t>
      </w:r>
      <w:proofErr w:type="spellEnd"/>
      <w:r w:rsidR="004622E4">
        <w:rPr>
          <w:sz w:val="16"/>
          <w:szCs w:val="16"/>
        </w:rPr>
        <w:t xml:space="preserve"> fund</w:t>
      </w:r>
      <w:r w:rsidRPr="00BE02C7">
        <w:rPr>
          <w:sz w:val="16"/>
          <w:szCs w:val="16"/>
        </w:rPr>
        <w:t xml:space="preserve"> from the Government of the United </w:t>
      </w:r>
      <w:proofErr w:type="spellStart"/>
      <w:r w:rsidRPr="00BE02C7">
        <w:rPr>
          <w:sz w:val="16"/>
          <w:szCs w:val="16"/>
        </w:rPr>
        <w:t>Sates</w:t>
      </w:r>
      <w:proofErr w:type="spellEnd"/>
      <w:r w:rsidRPr="00BE02C7">
        <w:rPr>
          <w:sz w:val="16"/>
          <w:szCs w:val="16"/>
        </w:rPr>
        <w:t xml:space="preserve"> of America, </w:t>
      </w:r>
      <w:proofErr w:type="spellStart"/>
      <w:r w:rsidRPr="00BE02C7">
        <w:rPr>
          <w:sz w:val="16"/>
          <w:szCs w:val="16"/>
        </w:rPr>
        <w:t>intented</w:t>
      </w:r>
      <w:proofErr w:type="spellEnd"/>
      <w:r w:rsidRPr="00BE02C7">
        <w:rPr>
          <w:sz w:val="16"/>
          <w:szCs w:val="16"/>
        </w:rPr>
        <w:t xml:space="preserve"> for education in intellectual property protection in the area of plant variety protection.</w:t>
      </w:r>
    </w:p>
    <w:p w:rsidR="001E0EF9" w:rsidRPr="00BE02C7" w:rsidRDefault="001E0EF9" w:rsidP="00D81BFB">
      <w:pPr>
        <w:ind w:left="1652" w:hanging="448"/>
        <w:rPr>
          <w:sz w:val="16"/>
          <w:szCs w:val="16"/>
        </w:rPr>
      </w:pPr>
    </w:p>
    <w:p w:rsidR="00BE02C7" w:rsidRDefault="00BE02C7" w:rsidP="002F09F3">
      <w:pPr>
        <w:jc w:val="right"/>
      </w:pPr>
    </w:p>
    <w:p w:rsidR="00FD7918" w:rsidRDefault="00FD7918" w:rsidP="002F09F3">
      <w:pPr>
        <w:jc w:val="right"/>
      </w:pPr>
    </w:p>
    <w:p w:rsidR="00FD7918" w:rsidRDefault="00FD7918" w:rsidP="002F09F3">
      <w:pPr>
        <w:jc w:val="right"/>
      </w:pPr>
    </w:p>
    <w:p w:rsidR="002F09F3" w:rsidRDefault="002F09F3" w:rsidP="00BE02C7">
      <w:pPr>
        <w:jc w:val="right"/>
      </w:pPr>
      <w:r>
        <w:t>[End of Annex and of document]</w:t>
      </w:r>
    </w:p>
    <w:sectPr w:rsidR="002F09F3" w:rsidSect="00141316">
      <w:headerReference w:type="first" r:id="rId4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DB5" w:rsidRDefault="002D7DB5" w:rsidP="006655D3">
      <w:r>
        <w:separator/>
      </w:r>
    </w:p>
    <w:p w:rsidR="002D7DB5" w:rsidRDefault="002D7DB5" w:rsidP="006655D3"/>
    <w:p w:rsidR="002D7DB5" w:rsidRDefault="002D7DB5" w:rsidP="006655D3"/>
  </w:endnote>
  <w:endnote w:type="continuationSeparator" w:id="0">
    <w:p w:rsidR="002D7DB5" w:rsidRDefault="002D7DB5" w:rsidP="006655D3">
      <w:r>
        <w:separator/>
      </w:r>
    </w:p>
    <w:p w:rsidR="002D7DB5" w:rsidRPr="00560A6D" w:rsidRDefault="002D7DB5">
      <w:pPr>
        <w:pStyle w:val="Footer"/>
        <w:spacing w:after="60"/>
        <w:rPr>
          <w:sz w:val="18"/>
          <w:lang w:val="fr-FR"/>
        </w:rPr>
      </w:pPr>
      <w:r w:rsidRPr="00560A6D">
        <w:rPr>
          <w:sz w:val="18"/>
          <w:lang w:val="fr-FR"/>
        </w:rPr>
        <w:t>[Suite de la note de la page précédente]</w:t>
      </w:r>
    </w:p>
    <w:p w:rsidR="002D7DB5" w:rsidRPr="00560A6D" w:rsidRDefault="002D7DB5" w:rsidP="006655D3">
      <w:pPr>
        <w:rPr>
          <w:lang w:val="fr-FR"/>
        </w:rPr>
      </w:pPr>
    </w:p>
    <w:p w:rsidR="002D7DB5" w:rsidRPr="00560A6D" w:rsidRDefault="002D7DB5" w:rsidP="006655D3">
      <w:pPr>
        <w:rPr>
          <w:lang w:val="fr-FR"/>
        </w:rPr>
      </w:pPr>
    </w:p>
  </w:endnote>
  <w:endnote w:type="continuationNotice" w:id="1">
    <w:p w:rsidR="002D7DB5" w:rsidRPr="00560A6D" w:rsidRDefault="002D7DB5" w:rsidP="006655D3">
      <w:pPr>
        <w:rPr>
          <w:lang w:val="fr-FR"/>
        </w:rPr>
      </w:pPr>
      <w:r w:rsidRPr="00560A6D">
        <w:rPr>
          <w:lang w:val="fr-FR"/>
        </w:rPr>
        <w:t>[Suite de la note page suivante]</w:t>
      </w:r>
    </w:p>
    <w:p w:rsidR="002D7DB5" w:rsidRPr="00560A6D" w:rsidRDefault="002D7DB5" w:rsidP="006655D3">
      <w:pPr>
        <w:rPr>
          <w:lang w:val="fr-FR"/>
        </w:rPr>
      </w:pPr>
    </w:p>
    <w:p w:rsidR="002D7DB5" w:rsidRPr="00560A6D" w:rsidRDefault="002D7DB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B5" w:rsidRDefault="002D7DB5">
    <w:pPr>
      <w:pStyle w:val="Footer"/>
      <w:jc w:val="right"/>
    </w:pPr>
  </w:p>
  <w:p w:rsidR="002D7DB5" w:rsidRDefault="002D7D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B5" w:rsidRDefault="002D7DB5" w:rsidP="001921EF">
    <w:pPr>
      <w:pStyle w:val="Footer"/>
      <w:jc w:val="center"/>
    </w:pPr>
  </w:p>
  <w:p w:rsidR="002D7DB5" w:rsidRDefault="002D7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DB5" w:rsidRDefault="002D7DB5" w:rsidP="00C95616">
      <w:pPr>
        <w:spacing w:before="120"/>
      </w:pPr>
      <w:r>
        <w:separator/>
      </w:r>
    </w:p>
  </w:footnote>
  <w:footnote w:type="continuationSeparator" w:id="0">
    <w:p w:rsidR="002D7DB5" w:rsidRDefault="002D7DB5" w:rsidP="006655D3">
      <w:r>
        <w:separator/>
      </w:r>
    </w:p>
  </w:footnote>
  <w:footnote w:type="continuationNotice" w:id="1">
    <w:p w:rsidR="002D7DB5" w:rsidRPr="00A56FAA" w:rsidRDefault="002D7DB5" w:rsidP="00A56FAA">
      <w:pPr>
        <w:pStyle w:val="Footer"/>
        <w:rPr>
          <w:szCs w:val="18"/>
        </w:rPr>
      </w:pPr>
    </w:p>
  </w:footnote>
  <w:footnote w:id="2">
    <w:p w:rsidR="002D7DB5" w:rsidRDefault="002D7DB5" w:rsidP="00917841">
      <w:pPr>
        <w:pStyle w:val="FootnoteText"/>
      </w:pPr>
      <w:r>
        <w:rPr>
          <w:rStyle w:val="FootnoteReference"/>
        </w:rPr>
        <w:footnoteRef/>
      </w:r>
      <w:r>
        <w:t xml:space="preserve"> Any differences in numbers from financial statements are due to rounding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B5" w:rsidRPr="00C5280D" w:rsidRDefault="002D7DB5" w:rsidP="002F09F3">
    <w:pPr>
      <w:pStyle w:val="Header"/>
      <w:rPr>
        <w:rStyle w:val="PageNumber"/>
        <w:lang w:val="en-US"/>
      </w:rPr>
    </w:pPr>
    <w:r>
      <w:rPr>
        <w:rStyle w:val="PageNumber"/>
        <w:lang w:val="en-US"/>
      </w:rPr>
      <w:t>C/48/4</w:t>
    </w:r>
  </w:p>
  <w:p w:rsidR="002D7DB5" w:rsidRPr="00C5280D" w:rsidRDefault="002D7DB5" w:rsidP="002F09F3">
    <w:pPr>
      <w:pStyle w:val="Header"/>
    </w:pPr>
    <w:proofErr w:type="gramStart"/>
    <w:r w:rsidRPr="00C5280D">
      <w:t>page</w:t>
    </w:r>
    <w:proofErr w:type="gramEnd"/>
    <w:r w:rsidRPr="00C5280D">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2D7DB5" w:rsidRPr="00C5280D" w:rsidRDefault="002D7DB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B5" w:rsidRPr="002F09F3" w:rsidRDefault="002D7DB5" w:rsidP="005C7018">
    <w:pPr>
      <w:pStyle w:val="Header"/>
      <w:rPr>
        <w:lang w:val="en-US"/>
      </w:rPr>
    </w:pPr>
    <w:r w:rsidRPr="002F09F3">
      <w:rPr>
        <w:lang w:val="en-US"/>
      </w:rPr>
      <w:t>C/48/4</w:t>
    </w:r>
  </w:p>
  <w:p w:rsidR="002D7DB5" w:rsidRPr="002F09F3" w:rsidRDefault="002D7DB5" w:rsidP="005C7018">
    <w:pPr>
      <w:pStyle w:val="Header"/>
      <w:rPr>
        <w:noProof/>
        <w:lang w:val="en-US"/>
      </w:rPr>
    </w:pPr>
    <w:r>
      <w:rPr>
        <w:lang w:val="en-US"/>
      </w:rPr>
      <w:t>Annex,</w:t>
    </w:r>
    <w:r w:rsidRPr="002F09F3">
      <w:rPr>
        <w:lang w:val="en-US"/>
      </w:rPr>
      <w:t xml:space="preserve"> page </w:t>
    </w:r>
    <w:r w:rsidRPr="002F09F3">
      <w:rPr>
        <w:lang w:val="en-US"/>
      </w:rPr>
      <w:fldChar w:fldCharType="begin"/>
    </w:r>
    <w:r w:rsidRPr="002F09F3">
      <w:rPr>
        <w:lang w:val="en-US"/>
      </w:rPr>
      <w:instrText xml:space="preserve"> PAGE   \* MERGEFORMAT </w:instrText>
    </w:r>
    <w:r w:rsidRPr="002F09F3">
      <w:rPr>
        <w:lang w:val="en-US"/>
      </w:rPr>
      <w:fldChar w:fldCharType="separate"/>
    </w:r>
    <w:r w:rsidR="00BB2BD6">
      <w:rPr>
        <w:noProof/>
        <w:lang w:val="en-US"/>
      </w:rPr>
      <w:t>27</w:t>
    </w:r>
    <w:r w:rsidRPr="002F09F3">
      <w:rPr>
        <w:noProof/>
        <w:lang w:val="en-US"/>
      </w:rPr>
      <w:fldChar w:fldCharType="end"/>
    </w:r>
  </w:p>
  <w:p w:rsidR="002D7DB5" w:rsidRPr="002F09F3" w:rsidRDefault="002D7DB5" w:rsidP="00C76EE9">
    <w:pPr>
      <w:pStyle w:val="Heade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DB5" w:rsidRDefault="002D7DB5" w:rsidP="005C7018">
    <w:pPr>
      <w:pStyle w:val="Header"/>
      <w:rPr>
        <w:lang w:val="en-US"/>
      </w:rPr>
    </w:pPr>
    <w:r>
      <w:rPr>
        <w:lang w:val="en-US"/>
      </w:rPr>
      <w:t>C48/4</w:t>
    </w:r>
  </w:p>
  <w:p w:rsidR="002D7DB5" w:rsidRDefault="002D7DB5" w:rsidP="005C7018">
    <w:pPr>
      <w:pStyle w:val="Header"/>
      <w:rPr>
        <w:lang w:val="en-US"/>
      </w:rPr>
    </w:pPr>
  </w:p>
  <w:p w:rsidR="002D7DB5" w:rsidRDefault="002D7DB5" w:rsidP="005C7018">
    <w:pPr>
      <w:pStyle w:val="Header"/>
      <w:rPr>
        <w:lang w:val="en-US"/>
      </w:rPr>
    </w:pPr>
    <w:r>
      <w:rPr>
        <w:lang w:val="en-US"/>
      </w:rPr>
      <w:t>ANNEX</w:t>
    </w:r>
  </w:p>
  <w:p w:rsidR="002D7DB5" w:rsidRDefault="002D7DB5" w:rsidP="005C7018">
    <w:pPr>
      <w:pStyle w:val="Header"/>
      <w:rPr>
        <w:lang w:val="en-US"/>
      </w:rPr>
    </w:pPr>
  </w:p>
  <w:p w:rsidR="002D7DB5" w:rsidRDefault="002D7DB5" w:rsidP="005C70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650095"/>
      <w:docPartObj>
        <w:docPartGallery w:val="Page Numbers (Top of Page)"/>
        <w:docPartUnique/>
      </w:docPartObj>
    </w:sdtPr>
    <w:sdtEndPr>
      <w:rPr>
        <w:noProof/>
      </w:rPr>
    </w:sdtEndPr>
    <w:sdtContent>
      <w:p w:rsidR="002D7DB5" w:rsidRPr="002F09F3" w:rsidRDefault="002D7DB5" w:rsidP="005C7018">
        <w:pPr>
          <w:pStyle w:val="Header"/>
          <w:rPr>
            <w:lang w:val="en-US"/>
          </w:rPr>
        </w:pPr>
        <w:r w:rsidRPr="002F09F3">
          <w:rPr>
            <w:lang w:val="en-US"/>
          </w:rPr>
          <w:t>C/48/4</w:t>
        </w:r>
      </w:p>
      <w:p w:rsidR="002D7DB5" w:rsidRDefault="002D7DB5" w:rsidP="005C7018">
        <w:pPr>
          <w:pStyle w:val="Header"/>
        </w:pPr>
        <w:r>
          <w:rPr>
            <w:lang w:val="en-US"/>
          </w:rPr>
          <w:t>Annex,</w:t>
        </w:r>
        <w:r w:rsidRPr="002F09F3">
          <w:rPr>
            <w:lang w:val="en-US"/>
          </w:rPr>
          <w:t xml:space="preserve"> page</w:t>
        </w:r>
        <w:r>
          <w:t xml:space="preserve"> </w:t>
        </w:r>
        <w:r>
          <w:fldChar w:fldCharType="begin"/>
        </w:r>
        <w:r>
          <w:instrText xml:space="preserve"> PAGE   \* MERGEFORMAT </w:instrText>
        </w:r>
        <w:r>
          <w:fldChar w:fldCharType="separate"/>
        </w:r>
        <w:r w:rsidR="00BB2BD6">
          <w:rPr>
            <w:noProof/>
          </w:rPr>
          <w:t>2</w:t>
        </w:r>
        <w:r>
          <w:rPr>
            <w:noProof/>
          </w:rPr>
          <w:fldChar w:fldCharType="end"/>
        </w:r>
      </w:p>
    </w:sdtContent>
  </w:sdt>
  <w:p w:rsidR="002D7DB5" w:rsidRDefault="002D7D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DAB716"/>
    <w:multiLevelType w:val="hybridMultilevel"/>
    <w:tmpl w:val="8CC2B6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1AF44564"/>
    <w:lvl w:ilvl="0">
      <w:start w:val="1"/>
      <w:numFmt w:val="decimal"/>
      <w:lvlText w:val="%1."/>
      <w:lvlJc w:val="left"/>
      <w:pPr>
        <w:tabs>
          <w:tab w:val="num" w:pos="1492"/>
        </w:tabs>
        <w:ind w:left="1492" w:hanging="360"/>
      </w:pPr>
    </w:lvl>
  </w:abstractNum>
  <w:abstractNum w:abstractNumId="2">
    <w:nsid w:val="FFFFFF7D"/>
    <w:multiLevelType w:val="singleLevel"/>
    <w:tmpl w:val="0A98E094"/>
    <w:lvl w:ilvl="0">
      <w:start w:val="1"/>
      <w:numFmt w:val="decimal"/>
      <w:lvlText w:val="%1."/>
      <w:lvlJc w:val="left"/>
      <w:pPr>
        <w:tabs>
          <w:tab w:val="num" w:pos="1209"/>
        </w:tabs>
        <w:ind w:left="1209" w:hanging="360"/>
      </w:pPr>
    </w:lvl>
  </w:abstractNum>
  <w:abstractNum w:abstractNumId="3">
    <w:nsid w:val="FFFFFF7E"/>
    <w:multiLevelType w:val="singleLevel"/>
    <w:tmpl w:val="8174A276"/>
    <w:lvl w:ilvl="0">
      <w:start w:val="1"/>
      <w:numFmt w:val="decimal"/>
      <w:lvlText w:val="%1."/>
      <w:lvlJc w:val="left"/>
      <w:pPr>
        <w:tabs>
          <w:tab w:val="num" w:pos="926"/>
        </w:tabs>
        <w:ind w:left="926" w:hanging="360"/>
      </w:pPr>
    </w:lvl>
  </w:abstractNum>
  <w:abstractNum w:abstractNumId="4">
    <w:nsid w:val="FFFFFF7F"/>
    <w:multiLevelType w:val="singleLevel"/>
    <w:tmpl w:val="8A2AD4F8"/>
    <w:lvl w:ilvl="0">
      <w:start w:val="1"/>
      <w:numFmt w:val="decimal"/>
      <w:lvlText w:val="%1."/>
      <w:lvlJc w:val="left"/>
      <w:pPr>
        <w:tabs>
          <w:tab w:val="num" w:pos="643"/>
        </w:tabs>
        <w:ind w:left="643" w:hanging="360"/>
      </w:pPr>
    </w:lvl>
  </w:abstractNum>
  <w:abstractNum w:abstractNumId="5">
    <w:nsid w:val="FFFFFF80"/>
    <w:multiLevelType w:val="singleLevel"/>
    <w:tmpl w:val="1428A47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278A26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546FB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528D6A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2B6CE8C"/>
    <w:lvl w:ilvl="0">
      <w:start w:val="1"/>
      <w:numFmt w:val="decimal"/>
      <w:lvlText w:val="%1."/>
      <w:lvlJc w:val="left"/>
      <w:pPr>
        <w:tabs>
          <w:tab w:val="num" w:pos="360"/>
        </w:tabs>
        <w:ind w:left="360" w:hanging="360"/>
      </w:pPr>
    </w:lvl>
  </w:abstractNum>
  <w:abstractNum w:abstractNumId="10">
    <w:nsid w:val="FFFFFF89"/>
    <w:multiLevelType w:val="singleLevel"/>
    <w:tmpl w:val="AD5EA10E"/>
    <w:lvl w:ilvl="0">
      <w:start w:val="1"/>
      <w:numFmt w:val="bullet"/>
      <w:lvlText w:val=""/>
      <w:lvlJc w:val="left"/>
      <w:pPr>
        <w:tabs>
          <w:tab w:val="num" w:pos="360"/>
        </w:tabs>
        <w:ind w:left="360" w:hanging="360"/>
      </w:pPr>
      <w:rPr>
        <w:rFonts w:ascii="Symbol" w:hAnsi="Symbol" w:hint="default"/>
      </w:rPr>
    </w:lvl>
  </w:abstractNum>
  <w:abstractNum w:abstractNumId="11">
    <w:nsid w:val="0322D4D5"/>
    <w:multiLevelType w:val="singleLevel"/>
    <w:tmpl w:val="71D275D6"/>
    <w:lvl w:ilvl="0">
      <w:start w:val="16"/>
      <w:numFmt w:val="decimal"/>
      <w:lvlText w:val="%1."/>
      <w:lvlJc w:val="left"/>
      <w:pPr>
        <w:tabs>
          <w:tab w:val="num" w:pos="504"/>
        </w:tabs>
        <w:ind w:left="504" w:hanging="504"/>
      </w:pPr>
      <w:rPr>
        <w:rFonts w:cs="Times New Roman"/>
        <w:snapToGrid/>
        <w:spacing w:val="4"/>
        <w:sz w:val="22"/>
        <w:szCs w:val="22"/>
      </w:rPr>
    </w:lvl>
  </w:abstractNum>
  <w:abstractNum w:abstractNumId="12">
    <w:nsid w:val="0406210A"/>
    <w:multiLevelType w:val="singleLevel"/>
    <w:tmpl w:val="1CF2E3BA"/>
    <w:lvl w:ilvl="0">
      <w:start w:val="12"/>
      <w:numFmt w:val="decimal"/>
      <w:lvlText w:val="%1."/>
      <w:lvlJc w:val="left"/>
      <w:pPr>
        <w:tabs>
          <w:tab w:val="num" w:pos="576"/>
        </w:tabs>
        <w:ind w:left="576" w:hanging="576"/>
      </w:pPr>
      <w:rPr>
        <w:rFonts w:cs="Times New Roman"/>
        <w:snapToGrid/>
        <w:sz w:val="22"/>
        <w:szCs w:val="22"/>
      </w:rPr>
    </w:lvl>
  </w:abstractNum>
  <w:abstractNum w:abstractNumId="13">
    <w:nsid w:val="04E7704C"/>
    <w:multiLevelType w:val="singleLevel"/>
    <w:tmpl w:val="3CC816F0"/>
    <w:lvl w:ilvl="0">
      <w:start w:val="9"/>
      <w:numFmt w:val="decimal"/>
      <w:lvlText w:val="%1."/>
      <w:lvlJc w:val="left"/>
      <w:pPr>
        <w:tabs>
          <w:tab w:val="num" w:pos="648"/>
        </w:tabs>
        <w:ind w:left="864" w:hanging="648"/>
      </w:pPr>
      <w:rPr>
        <w:rFonts w:cs="Times New Roman"/>
        <w:snapToGrid/>
        <w:spacing w:val="4"/>
        <w:sz w:val="22"/>
        <w:szCs w:val="22"/>
      </w:rPr>
    </w:lvl>
  </w:abstractNum>
  <w:abstractNum w:abstractNumId="14">
    <w:nsid w:val="064AA93B"/>
    <w:multiLevelType w:val="singleLevel"/>
    <w:tmpl w:val="4AAE3083"/>
    <w:lvl w:ilvl="0">
      <w:start w:val="22"/>
      <w:numFmt w:val="decimal"/>
      <w:lvlText w:val="%1."/>
      <w:lvlJc w:val="left"/>
      <w:pPr>
        <w:tabs>
          <w:tab w:val="num" w:pos="576"/>
        </w:tabs>
        <w:ind w:left="720" w:hanging="576"/>
      </w:pPr>
      <w:rPr>
        <w:rFonts w:cs="Times New Roman"/>
        <w:snapToGrid/>
        <w:spacing w:val="4"/>
        <w:sz w:val="22"/>
        <w:szCs w:val="22"/>
      </w:rPr>
    </w:lvl>
  </w:abstractNum>
  <w:abstractNum w:abstractNumId="15">
    <w:nsid w:val="06EDDC85"/>
    <w:multiLevelType w:val="singleLevel"/>
    <w:tmpl w:val="17E10399"/>
    <w:lvl w:ilvl="0">
      <w:start w:val="1"/>
      <w:numFmt w:val="decimal"/>
      <w:lvlText w:val="%1."/>
      <w:lvlJc w:val="left"/>
      <w:pPr>
        <w:tabs>
          <w:tab w:val="num" w:pos="576"/>
        </w:tabs>
        <w:ind w:left="792" w:hanging="576"/>
      </w:pPr>
      <w:rPr>
        <w:rFonts w:cs="Times New Roman"/>
        <w:snapToGrid/>
        <w:spacing w:val="4"/>
        <w:sz w:val="22"/>
        <w:szCs w:val="22"/>
      </w:rPr>
    </w:lvl>
  </w:abstractNum>
  <w:abstractNum w:abstractNumId="16">
    <w:nsid w:val="14B46568"/>
    <w:multiLevelType w:val="multilevel"/>
    <w:tmpl w:val="774864BE"/>
    <w:lvl w:ilvl="0">
      <w:start w:val="1"/>
      <w:numFmt w:val="bullet"/>
      <w:pStyle w:val="StyleStyle1Left163cmFirstline0cm"/>
      <w:lvlText w:val=""/>
      <w:lvlJc w:val="left"/>
      <w:pPr>
        <w:tabs>
          <w:tab w:val="num" w:pos="1134"/>
        </w:tabs>
        <w:ind w:left="1134" w:hanging="510"/>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758"/>
        </w:tabs>
        <w:ind w:left="624" w:firstLine="567"/>
      </w:pPr>
      <w:rPr>
        <w:rFonts w:ascii="Symbol" w:hAnsi="Symbol" w:hint="default"/>
      </w:rPr>
    </w:lvl>
    <w:lvl w:ilvl="2">
      <w:start w:val="1"/>
      <w:numFmt w:val="bullet"/>
      <w:lvlText w:val="-"/>
      <w:lvlJc w:val="left"/>
      <w:pPr>
        <w:tabs>
          <w:tab w:val="num" w:pos="2325"/>
        </w:tabs>
        <w:ind w:left="624" w:firstLine="1134"/>
      </w:pPr>
      <w:rPr>
        <w:rFonts w:ascii="Symbol" w:hAnsi="Symbol" w:hint="default"/>
      </w:rPr>
    </w:lvl>
    <w:lvl w:ilvl="3">
      <w:start w:val="1"/>
      <w:numFmt w:val="bullet"/>
      <w:lvlText w:val="-"/>
      <w:lvlJc w:val="left"/>
      <w:pPr>
        <w:tabs>
          <w:tab w:val="num" w:pos="2892"/>
        </w:tabs>
        <w:ind w:left="624" w:firstLine="1701"/>
      </w:pPr>
      <w:rPr>
        <w:rFonts w:ascii="Symbol" w:hAnsi="Symbol" w:hint="default"/>
      </w:rPr>
    </w:lvl>
    <w:lvl w:ilvl="4">
      <w:start w:val="1"/>
      <w:numFmt w:val="bullet"/>
      <w:lvlText w:val="-"/>
      <w:lvlJc w:val="left"/>
      <w:pPr>
        <w:tabs>
          <w:tab w:val="num" w:pos="3459"/>
        </w:tabs>
        <w:ind w:left="624" w:firstLine="2268"/>
      </w:pPr>
      <w:rPr>
        <w:rFonts w:ascii="Symbol" w:hAnsi="Symbol" w:hint="default"/>
      </w:rPr>
    </w:lvl>
    <w:lvl w:ilvl="5">
      <w:start w:val="1"/>
      <w:numFmt w:val="bullet"/>
      <w:lvlText w:val="-"/>
      <w:lvlJc w:val="left"/>
      <w:pPr>
        <w:tabs>
          <w:tab w:val="num" w:pos="4026"/>
        </w:tabs>
        <w:ind w:left="624" w:firstLine="2835"/>
      </w:pPr>
      <w:rPr>
        <w:rFonts w:ascii="Symbol" w:hAnsi="Symbol" w:hint="default"/>
      </w:rPr>
    </w:lvl>
    <w:lvl w:ilvl="6">
      <w:start w:val="1"/>
      <w:numFmt w:val="bullet"/>
      <w:lvlText w:val="-"/>
      <w:lvlJc w:val="left"/>
      <w:pPr>
        <w:tabs>
          <w:tab w:val="num" w:pos="4593"/>
        </w:tabs>
        <w:ind w:left="624" w:firstLine="3402"/>
      </w:pPr>
      <w:rPr>
        <w:rFonts w:ascii="Symbol" w:hAnsi="Symbol" w:hint="default"/>
      </w:rPr>
    </w:lvl>
    <w:lvl w:ilvl="7">
      <w:start w:val="1"/>
      <w:numFmt w:val="bullet"/>
      <w:lvlText w:val="-"/>
      <w:lvlJc w:val="left"/>
      <w:pPr>
        <w:tabs>
          <w:tab w:val="num" w:pos="5159"/>
        </w:tabs>
        <w:ind w:left="624" w:firstLine="3969"/>
      </w:pPr>
      <w:rPr>
        <w:rFonts w:ascii="Symbol" w:hAnsi="Symbol" w:hint="default"/>
      </w:rPr>
    </w:lvl>
    <w:lvl w:ilvl="8">
      <w:start w:val="1"/>
      <w:numFmt w:val="bullet"/>
      <w:lvlText w:val="-"/>
      <w:lvlJc w:val="left"/>
      <w:pPr>
        <w:tabs>
          <w:tab w:val="num" w:pos="5726"/>
        </w:tabs>
        <w:ind w:left="624" w:firstLine="4535"/>
      </w:pPr>
      <w:rPr>
        <w:rFonts w:ascii="Symbol" w:hAnsi="Symbol" w:hint="default"/>
      </w:rPr>
    </w:lvl>
  </w:abstractNum>
  <w:abstractNum w:abstractNumId="17">
    <w:nsid w:val="3D0B1E30"/>
    <w:multiLevelType w:val="multilevel"/>
    <w:tmpl w:val="3924904E"/>
    <w:lvl w:ilvl="0">
      <w:start w:val="1"/>
      <w:numFmt w:val="none"/>
      <w:lvlText w:val=""/>
      <w:legacy w:legacy="1" w:legacySpace="120" w:legacyIndent="360"/>
      <w:lvlJc w:val="left"/>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nsid w:val="4C7B488B"/>
    <w:multiLevelType w:val="hybridMultilevel"/>
    <w:tmpl w:val="41D6134A"/>
    <w:lvl w:ilvl="0" w:tplc="D9D8C64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6C45B33"/>
    <w:multiLevelType w:val="hybridMultilevel"/>
    <w:tmpl w:val="5002AB08"/>
    <w:lvl w:ilvl="0" w:tplc="72D00A28">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6"/>
  </w:num>
  <w:num w:numId="3">
    <w:abstractNumId w:val="15"/>
  </w:num>
  <w:num w:numId="4">
    <w:abstractNumId w:val="15"/>
    <w:lvlOverride w:ilvl="0">
      <w:lvl w:ilvl="0">
        <w:numFmt w:val="decimal"/>
        <w:lvlText w:val="%1."/>
        <w:lvlJc w:val="left"/>
        <w:pPr>
          <w:tabs>
            <w:tab w:val="num" w:pos="648"/>
          </w:tabs>
          <w:ind w:left="864" w:hanging="648"/>
        </w:pPr>
        <w:rPr>
          <w:rFonts w:cs="Times New Roman"/>
          <w:snapToGrid/>
          <w:sz w:val="22"/>
          <w:szCs w:val="22"/>
        </w:rPr>
      </w:lvl>
    </w:lvlOverride>
  </w:num>
  <w:num w:numId="5">
    <w:abstractNumId w:val="13"/>
  </w:num>
  <w:num w:numId="6">
    <w:abstractNumId w:val="13"/>
    <w:lvlOverride w:ilvl="0">
      <w:lvl w:ilvl="0">
        <w:numFmt w:val="decimal"/>
        <w:lvlText w:val="%1."/>
        <w:lvlJc w:val="left"/>
        <w:pPr>
          <w:tabs>
            <w:tab w:val="num" w:pos="576"/>
          </w:tabs>
          <w:ind w:left="792" w:hanging="576"/>
        </w:pPr>
        <w:rPr>
          <w:rFonts w:cs="Times New Roman"/>
          <w:snapToGrid/>
          <w:spacing w:val="4"/>
          <w:sz w:val="22"/>
          <w:szCs w:val="22"/>
        </w:rPr>
      </w:lvl>
    </w:lvlOverride>
  </w:num>
  <w:num w:numId="7">
    <w:abstractNumId w:val="12"/>
  </w:num>
  <w:num w:numId="8">
    <w:abstractNumId w:val="12"/>
    <w:lvlOverride w:ilvl="0">
      <w:lvl w:ilvl="0">
        <w:numFmt w:val="decimal"/>
        <w:lvlText w:val="%1."/>
        <w:lvlJc w:val="left"/>
        <w:pPr>
          <w:tabs>
            <w:tab w:val="num" w:pos="504"/>
          </w:tabs>
          <w:ind w:left="504" w:hanging="504"/>
        </w:pPr>
        <w:rPr>
          <w:rFonts w:cs="Times New Roman"/>
          <w:snapToGrid/>
          <w:spacing w:val="4"/>
          <w:sz w:val="22"/>
          <w:szCs w:val="22"/>
        </w:rPr>
      </w:lvl>
    </w:lvlOverride>
  </w:num>
  <w:num w:numId="9">
    <w:abstractNumId w:val="11"/>
  </w:num>
  <w:num w:numId="10">
    <w:abstractNumId w:val="14"/>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9"/>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BE"/>
    <w:rsid w:val="00010CF3"/>
    <w:rsid w:val="00011E27"/>
    <w:rsid w:val="000148BC"/>
    <w:rsid w:val="00024AB8"/>
    <w:rsid w:val="00030854"/>
    <w:rsid w:val="00036028"/>
    <w:rsid w:val="00044642"/>
    <w:rsid w:val="000446B9"/>
    <w:rsid w:val="000478F6"/>
    <w:rsid w:val="00047E21"/>
    <w:rsid w:val="00073668"/>
    <w:rsid w:val="00085505"/>
    <w:rsid w:val="00092EDA"/>
    <w:rsid w:val="000A68B4"/>
    <w:rsid w:val="000C7021"/>
    <w:rsid w:val="000D6BBC"/>
    <w:rsid w:val="000D7780"/>
    <w:rsid w:val="000E15D4"/>
    <w:rsid w:val="000E7048"/>
    <w:rsid w:val="000F209C"/>
    <w:rsid w:val="000F305E"/>
    <w:rsid w:val="00105929"/>
    <w:rsid w:val="00106C61"/>
    <w:rsid w:val="001131D5"/>
    <w:rsid w:val="001377BE"/>
    <w:rsid w:val="00140793"/>
    <w:rsid w:val="00141316"/>
    <w:rsid w:val="00141DB8"/>
    <w:rsid w:val="0017474A"/>
    <w:rsid w:val="001758C6"/>
    <w:rsid w:val="00180DE0"/>
    <w:rsid w:val="0018246F"/>
    <w:rsid w:val="00182B99"/>
    <w:rsid w:val="0018373F"/>
    <w:rsid w:val="00191B7D"/>
    <w:rsid w:val="001921EF"/>
    <w:rsid w:val="001A0080"/>
    <w:rsid w:val="001E0CF9"/>
    <w:rsid w:val="001E0EF9"/>
    <w:rsid w:val="0021332C"/>
    <w:rsid w:val="00213982"/>
    <w:rsid w:val="00235388"/>
    <w:rsid w:val="00242E11"/>
    <w:rsid w:val="0024416D"/>
    <w:rsid w:val="002800A0"/>
    <w:rsid w:val="002801B3"/>
    <w:rsid w:val="0028098F"/>
    <w:rsid w:val="00281060"/>
    <w:rsid w:val="002940E8"/>
    <w:rsid w:val="002A6E50"/>
    <w:rsid w:val="002B1132"/>
    <w:rsid w:val="002C256A"/>
    <w:rsid w:val="002C53A4"/>
    <w:rsid w:val="002D7DB5"/>
    <w:rsid w:val="002F09F3"/>
    <w:rsid w:val="002F4B84"/>
    <w:rsid w:val="00305A7F"/>
    <w:rsid w:val="00315280"/>
    <w:rsid w:val="003152FE"/>
    <w:rsid w:val="00327436"/>
    <w:rsid w:val="0033507D"/>
    <w:rsid w:val="00344BD6"/>
    <w:rsid w:val="0035528D"/>
    <w:rsid w:val="0035627A"/>
    <w:rsid w:val="00361821"/>
    <w:rsid w:val="00371404"/>
    <w:rsid w:val="00374E52"/>
    <w:rsid w:val="003D227C"/>
    <w:rsid w:val="003D2B4D"/>
    <w:rsid w:val="003D5268"/>
    <w:rsid w:val="003E322A"/>
    <w:rsid w:val="003E4EAC"/>
    <w:rsid w:val="003F0534"/>
    <w:rsid w:val="00444A88"/>
    <w:rsid w:val="004622E4"/>
    <w:rsid w:val="00474DA4"/>
    <w:rsid w:val="00476B4D"/>
    <w:rsid w:val="004805FA"/>
    <w:rsid w:val="004A4D0E"/>
    <w:rsid w:val="004C2612"/>
    <w:rsid w:val="004D047D"/>
    <w:rsid w:val="004F305A"/>
    <w:rsid w:val="00503B4C"/>
    <w:rsid w:val="00504419"/>
    <w:rsid w:val="0051068B"/>
    <w:rsid w:val="00512164"/>
    <w:rsid w:val="00520297"/>
    <w:rsid w:val="00532F43"/>
    <w:rsid w:val="005338F9"/>
    <w:rsid w:val="0054281C"/>
    <w:rsid w:val="0055268D"/>
    <w:rsid w:val="00560A6D"/>
    <w:rsid w:val="00576BE4"/>
    <w:rsid w:val="005A400A"/>
    <w:rsid w:val="005C7018"/>
    <w:rsid w:val="005E25AA"/>
    <w:rsid w:val="005F05B6"/>
    <w:rsid w:val="00612379"/>
    <w:rsid w:val="0061555F"/>
    <w:rsid w:val="006360C1"/>
    <w:rsid w:val="00641200"/>
    <w:rsid w:val="006603C1"/>
    <w:rsid w:val="00663239"/>
    <w:rsid w:val="006655D3"/>
    <w:rsid w:val="0067078A"/>
    <w:rsid w:val="00687EB4"/>
    <w:rsid w:val="006B17D2"/>
    <w:rsid w:val="006C224E"/>
    <w:rsid w:val="006C4E45"/>
    <w:rsid w:val="006D780A"/>
    <w:rsid w:val="006E514C"/>
    <w:rsid w:val="007137EB"/>
    <w:rsid w:val="00732DEC"/>
    <w:rsid w:val="00735BD5"/>
    <w:rsid w:val="00742545"/>
    <w:rsid w:val="00743DC1"/>
    <w:rsid w:val="00744BB5"/>
    <w:rsid w:val="007556F6"/>
    <w:rsid w:val="00760EEF"/>
    <w:rsid w:val="00766B27"/>
    <w:rsid w:val="007676EC"/>
    <w:rsid w:val="00777EE5"/>
    <w:rsid w:val="00780E2C"/>
    <w:rsid w:val="00784836"/>
    <w:rsid w:val="0079023E"/>
    <w:rsid w:val="007A2854"/>
    <w:rsid w:val="007A4E51"/>
    <w:rsid w:val="007A5B7C"/>
    <w:rsid w:val="007B5A4C"/>
    <w:rsid w:val="007D0B9D"/>
    <w:rsid w:val="007D19B0"/>
    <w:rsid w:val="007F1F20"/>
    <w:rsid w:val="007F498F"/>
    <w:rsid w:val="007F6E11"/>
    <w:rsid w:val="0080679D"/>
    <w:rsid w:val="008108B0"/>
    <w:rsid w:val="00811B20"/>
    <w:rsid w:val="00812680"/>
    <w:rsid w:val="0082296E"/>
    <w:rsid w:val="00824099"/>
    <w:rsid w:val="00825887"/>
    <w:rsid w:val="008518D2"/>
    <w:rsid w:val="00867AC1"/>
    <w:rsid w:val="008A3C6D"/>
    <w:rsid w:val="008A743F"/>
    <w:rsid w:val="008B6109"/>
    <w:rsid w:val="008C0970"/>
    <w:rsid w:val="008D2CF7"/>
    <w:rsid w:val="008E31F3"/>
    <w:rsid w:val="00900C26"/>
    <w:rsid w:val="0090197F"/>
    <w:rsid w:val="00901A3F"/>
    <w:rsid w:val="00906DDC"/>
    <w:rsid w:val="00917841"/>
    <w:rsid w:val="009316C4"/>
    <w:rsid w:val="00934E09"/>
    <w:rsid w:val="00936253"/>
    <w:rsid w:val="00947760"/>
    <w:rsid w:val="00952DD4"/>
    <w:rsid w:val="00965A10"/>
    <w:rsid w:val="00970EB5"/>
    <w:rsid w:val="00970FED"/>
    <w:rsid w:val="00997029"/>
    <w:rsid w:val="009A0C8C"/>
    <w:rsid w:val="009D690D"/>
    <w:rsid w:val="009E65B6"/>
    <w:rsid w:val="009F7D0F"/>
    <w:rsid w:val="00A42AC3"/>
    <w:rsid w:val="00A430CF"/>
    <w:rsid w:val="00A4653A"/>
    <w:rsid w:val="00A46DE9"/>
    <w:rsid w:val="00A54309"/>
    <w:rsid w:val="00A56FAA"/>
    <w:rsid w:val="00AB2B93"/>
    <w:rsid w:val="00AB7E5B"/>
    <w:rsid w:val="00AE0EF1"/>
    <w:rsid w:val="00AE2937"/>
    <w:rsid w:val="00AE793E"/>
    <w:rsid w:val="00AF112F"/>
    <w:rsid w:val="00B07301"/>
    <w:rsid w:val="00B14A1B"/>
    <w:rsid w:val="00B224DE"/>
    <w:rsid w:val="00B46575"/>
    <w:rsid w:val="00B84BBD"/>
    <w:rsid w:val="00BA43FB"/>
    <w:rsid w:val="00BA6252"/>
    <w:rsid w:val="00BB23C2"/>
    <w:rsid w:val="00BB2BD6"/>
    <w:rsid w:val="00BC127D"/>
    <w:rsid w:val="00BC1FE6"/>
    <w:rsid w:val="00BD5E7F"/>
    <w:rsid w:val="00BE02C7"/>
    <w:rsid w:val="00C061B6"/>
    <w:rsid w:val="00C2446C"/>
    <w:rsid w:val="00C36AE5"/>
    <w:rsid w:val="00C41F17"/>
    <w:rsid w:val="00C431BE"/>
    <w:rsid w:val="00C51D44"/>
    <w:rsid w:val="00C5280D"/>
    <w:rsid w:val="00C5791C"/>
    <w:rsid w:val="00C651CE"/>
    <w:rsid w:val="00C66290"/>
    <w:rsid w:val="00C72B7A"/>
    <w:rsid w:val="00C76EE9"/>
    <w:rsid w:val="00C95616"/>
    <w:rsid w:val="00C973F2"/>
    <w:rsid w:val="00CA304C"/>
    <w:rsid w:val="00CA774A"/>
    <w:rsid w:val="00CC11B0"/>
    <w:rsid w:val="00CD178F"/>
    <w:rsid w:val="00CE47DD"/>
    <w:rsid w:val="00CF798B"/>
    <w:rsid w:val="00CF7E36"/>
    <w:rsid w:val="00D00D30"/>
    <w:rsid w:val="00D12AAF"/>
    <w:rsid w:val="00D24319"/>
    <w:rsid w:val="00D36F87"/>
    <w:rsid w:val="00D3708D"/>
    <w:rsid w:val="00D40426"/>
    <w:rsid w:val="00D4237F"/>
    <w:rsid w:val="00D57C96"/>
    <w:rsid w:val="00D81BFB"/>
    <w:rsid w:val="00D91203"/>
    <w:rsid w:val="00D95174"/>
    <w:rsid w:val="00DA6F36"/>
    <w:rsid w:val="00DA7E69"/>
    <w:rsid w:val="00DB3D83"/>
    <w:rsid w:val="00DB596E"/>
    <w:rsid w:val="00DC00EA"/>
    <w:rsid w:val="00DC0CD8"/>
    <w:rsid w:val="00E32F7E"/>
    <w:rsid w:val="00E44689"/>
    <w:rsid w:val="00E54141"/>
    <w:rsid w:val="00E72D49"/>
    <w:rsid w:val="00E7593C"/>
    <w:rsid w:val="00E7678A"/>
    <w:rsid w:val="00E84C93"/>
    <w:rsid w:val="00E935F1"/>
    <w:rsid w:val="00E93B7E"/>
    <w:rsid w:val="00E94A81"/>
    <w:rsid w:val="00EA1FFB"/>
    <w:rsid w:val="00EB048E"/>
    <w:rsid w:val="00EE34DF"/>
    <w:rsid w:val="00EE7438"/>
    <w:rsid w:val="00EF2F89"/>
    <w:rsid w:val="00F1237A"/>
    <w:rsid w:val="00F22CBD"/>
    <w:rsid w:val="00F45372"/>
    <w:rsid w:val="00F560F7"/>
    <w:rsid w:val="00F56C99"/>
    <w:rsid w:val="00F62C90"/>
    <w:rsid w:val="00F6334D"/>
    <w:rsid w:val="00F80602"/>
    <w:rsid w:val="00F92D69"/>
    <w:rsid w:val="00FA49AB"/>
    <w:rsid w:val="00FC393E"/>
    <w:rsid w:val="00FD7918"/>
    <w:rsid w:val="00FE39C7"/>
    <w:rsid w:val="00FF4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7DB5"/>
    <w:pPr>
      <w:jc w:val="both"/>
    </w:pPr>
    <w:rPr>
      <w:rFonts w:ascii="Arial" w:hAnsi="Arial"/>
    </w:rPr>
  </w:style>
  <w:style w:type="paragraph" w:styleId="Heading1">
    <w:name w:val="heading 1"/>
    <w:next w:val="Normal"/>
    <w:link w:val="Heading1Char"/>
    <w:autoRedefine/>
    <w:qFormat/>
    <w:rsid w:val="00140793"/>
    <w:pPr>
      <w:keepNext/>
      <w:outlineLvl w:val="0"/>
    </w:pPr>
    <w:rPr>
      <w:rFonts w:ascii="Arial" w:hAnsi="Arial"/>
      <w:b/>
      <w:caps/>
    </w:rPr>
  </w:style>
  <w:style w:type="paragraph" w:styleId="Heading2">
    <w:name w:val="heading 2"/>
    <w:next w:val="Normal"/>
    <w:link w:val="Heading2Char"/>
    <w:autoRedefine/>
    <w:qFormat/>
    <w:rsid w:val="008B6109"/>
    <w:pPr>
      <w:keepNext/>
      <w:jc w:val="both"/>
      <w:outlineLvl w:val="1"/>
    </w:pPr>
    <w:rPr>
      <w:rFonts w:ascii="Arial Bold" w:hAnsi="Arial Bold"/>
      <w:b/>
      <w:caps/>
      <w:u w:val="single"/>
    </w:rPr>
  </w:style>
  <w:style w:type="paragraph" w:styleId="Heading3">
    <w:name w:val="heading 3"/>
    <w:next w:val="Normal"/>
    <w:link w:val="Heading3Char"/>
    <w:autoRedefine/>
    <w:qFormat/>
    <w:rsid w:val="00780E2C"/>
    <w:pPr>
      <w:keepNext/>
      <w:jc w:val="center"/>
      <w:outlineLvl w:val="2"/>
    </w:pPr>
    <w:rPr>
      <w:rFonts w:ascii="Arial" w:eastAsiaTheme="minorHAnsi" w:hAnsi="Arial"/>
      <w:b/>
      <w:u w:val="single"/>
    </w:rPr>
  </w:style>
  <w:style w:type="paragraph" w:styleId="Heading4">
    <w:name w:val="heading 4"/>
    <w:next w:val="Normal"/>
    <w:link w:val="Heading4Char"/>
    <w:autoRedefine/>
    <w:qFormat/>
    <w:rsid w:val="009A0C8C"/>
    <w:pPr>
      <w:keepNext/>
      <w:ind w:left="567"/>
      <w:jc w:val="both"/>
      <w:outlineLvl w:val="3"/>
    </w:pPr>
    <w:rPr>
      <w:rFonts w:ascii="Arial Bold" w:hAnsi="Arial Bold"/>
      <w:b/>
      <w:color w:val="FFFFFF" w:themeColor="background1"/>
      <w:sz w:val="16"/>
      <w:lang w:val="fr-FR"/>
    </w:rPr>
  </w:style>
  <w:style w:type="paragraph" w:styleId="Heading5">
    <w:name w:val="heading 5"/>
    <w:next w:val="Normal"/>
    <w:link w:val="Heading5Char"/>
    <w:autoRedefine/>
    <w:qFormat/>
    <w:rsid w:val="008518D2"/>
    <w:pPr>
      <w:keepNext/>
      <w:ind w:left="1134" w:hanging="567"/>
      <w:jc w:val="center"/>
      <w:outlineLvl w:val="4"/>
    </w:pPr>
    <w:rPr>
      <w:rFonts w:ascii="Arial" w:hAnsi="Arial"/>
      <w:u w:val="single"/>
    </w:rPr>
  </w:style>
  <w:style w:type="paragraph" w:styleId="Heading6">
    <w:name w:val="heading 6"/>
    <w:basedOn w:val="Normal"/>
    <w:next w:val="Normal"/>
    <w:link w:val="Heading6Char"/>
    <w:qFormat/>
    <w:rsid w:val="002F09F3"/>
    <w:pPr>
      <w:keepNext/>
      <w:jc w:val="center"/>
      <w:outlineLvl w:val="5"/>
    </w:pPr>
    <w:rPr>
      <w:rFonts w:ascii="Times New Roman" w:hAnsi="Times New Roman"/>
      <w:sz w:val="24"/>
      <w:u w:val="single"/>
      <w:lang w:val="fr-FR"/>
    </w:rPr>
  </w:style>
  <w:style w:type="paragraph" w:styleId="Heading7">
    <w:name w:val="heading 7"/>
    <w:basedOn w:val="Normal"/>
    <w:next w:val="Normal"/>
    <w:link w:val="Heading7Char"/>
    <w:qFormat/>
    <w:rsid w:val="002F09F3"/>
    <w:pPr>
      <w:keepNext/>
      <w:keepLines/>
      <w:spacing w:before="200"/>
      <w:outlineLvl w:val="6"/>
    </w:pPr>
    <w:rPr>
      <w:rFonts w:ascii="Cambria" w:hAnsi="Cambria"/>
      <w:i/>
      <w:iCs/>
      <w:color w:val="404040"/>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2F09F3"/>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0478F6"/>
    <w:pPr>
      <w:tabs>
        <w:tab w:val="right" w:leader="dot" w:pos="9639"/>
      </w:tabs>
      <w:spacing w:before="120" w:after="120" w:line="360" w:lineRule="auto"/>
      <w:ind w:left="851" w:right="851" w:hanging="567"/>
      <w:contextualSpacing/>
    </w:pPr>
    <w:rPr>
      <w:rFonts w:ascii="Arial" w:hAnsi="Arial"/>
      <w:noProof/>
    </w:rPr>
  </w:style>
  <w:style w:type="paragraph" w:styleId="TOC3">
    <w:name w:val="toc 3"/>
    <w:next w:val="Normal"/>
    <w:autoRedefine/>
    <w:uiPriority w:val="39"/>
    <w:rsid w:val="009A0C8C"/>
    <w:pPr>
      <w:tabs>
        <w:tab w:val="right" w:leader="dot" w:pos="9639"/>
      </w:tabs>
      <w:spacing w:before="120"/>
      <w:ind w:left="851" w:right="851" w:hanging="567"/>
      <w:contextualSpacing/>
    </w:pPr>
    <w:rPr>
      <w:rFonts w:ascii="Arial" w:hAnsi="Arial"/>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2D7DB5"/>
    <w:pPr>
      <w:tabs>
        <w:tab w:val="right" w:leader="dot" w:pos="9639"/>
      </w:tabs>
      <w:spacing w:before="120" w:after="120" w:line="480" w:lineRule="auto"/>
      <w:ind w:left="284" w:right="284" w:hanging="284"/>
      <w:contextualSpacing/>
      <w:jc w:val="both"/>
    </w:pPr>
    <w:rPr>
      <w:rFonts w:ascii="Arial" w:hAnsi="Arial"/>
      <w:b/>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customStyle="1" w:styleId="Inf4Normal">
    <w:name w:val="Inf_4_Normal"/>
    <w:basedOn w:val="Normal"/>
    <w:rsid w:val="00BD5E7F"/>
    <w:pPr>
      <w:spacing w:before="108"/>
    </w:pPr>
  </w:style>
  <w:style w:type="paragraph" w:customStyle="1" w:styleId="Inf4Heading4">
    <w:name w:val="Inf_4_Heading_4"/>
    <w:basedOn w:val="Heading4"/>
    <w:next w:val="Normal"/>
    <w:rsid w:val="00BD5E7F"/>
    <w:pPr>
      <w:spacing w:before="120"/>
      <w:ind w:left="0"/>
    </w:pPr>
    <w:rPr>
      <w:b w:val="0"/>
      <w:bCs/>
      <w:i/>
    </w:rPr>
  </w:style>
  <w:style w:type="paragraph" w:customStyle="1" w:styleId="Inf4Heading6">
    <w:name w:val="Inf_4_Heading_6"/>
    <w:basedOn w:val="Normal"/>
    <w:rsid w:val="00BD5E7F"/>
    <w:pPr>
      <w:keepNext/>
      <w:spacing w:before="108"/>
      <w:ind w:left="567"/>
      <w:outlineLvl w:val="5"/>
    </w:pPr>
    <w:rPr>
      <w:b/>
      <w:bCs/>
      <w:szCs w:val="24"/>
    </w:rPr>
  </w:style>
  <w:style w:type="paragraph" w:styleId="ListContinue4">
    <w:name w:val="List Continue 4"/>
    <w:basedOn w:val="Normal"/>
    <w:rsid w:val="00E93B7E"/>
    <w:pPr>
      <w:spacing w:after="120"/>
      <w:ind w:left="1440"/>
    </w:pPr>
  </w:style>
  <w:style w:type="paragraph" w:styleId="ListParagraph">
    <w:name w:val="List Paragraph"/>
    <w:basedOn w:val="Normal"/>
    <w:uiPriority w:val="34"/>
    <w:qFormat/>
    <w:rsid w:val="00E93B7E"/>
    <w:pPr>
      <w:ind w:left="720"/>
      <w:contextualSpacing/>
    </w:pPr>
  </w:style>
  <w:style w:type="character" w:customStyle="1" w:styleId="Heading6Char">
    <w:name w:val="Heading 6 Char"/>
    <w:basedOn w:val="DefaultParagraphFont"/>
    <w:link w:val="Heading6"/>
    <w:rsid w:val="002F09F3"/>
    <w:rPr>
      <w:sz w:val="24"/>
      <w:u w:val="single"/>
      <w:lang w:val="fr-FR"/>
    </w:rPr>
  </w:style>
  <w:style w:type="character" w:customStyle="1" w:styleId="Heading7Char">
    <w:name w:val="Heading 7 Char"/>
    <w:basedOn w:val="DefaultParagraphFont"/>
    <w:link w:val="Heading7"/>
    <w:rsid w:val="002F09F3"/>
    <w:rPr>
      <w:rFonts w:ascii="Cambria" w:hAnsi="Cambria"/>
      <w:i/>
      <w:iCs/>
      <w:color w:val="404040"/>
    </w:rPr>
  </w:style>
  <w:style w:type="character" w:customStyle="1" w:styleId="Heading2Char">
    <w:name w:val="Heading 2 Char"/>
    <w:link w:val="Heading2"/>
    <w:rsid w:val="008B6109"/>
    <w:rPr>
      <w:rFonts w:ascii="Arial Bold" w:hAnsi="Arial Bold"/>
      <w:b/>
      <w:caps/>
      <w:u w:val="single"/>
    </w:rPr>
  </w:style>
  <w:style w:type="character" w:customStyle="1" w:styleId="Heading1Char">
    <w:name w:val="Heading 1 Char"/>
    <w:link w:val="Heading1"/>
    <w:rsid w:val="00140793"/>
    <w:rPr>
      <w:rFonts w:ascii="Arial" w:hAnsi="Arial"/>
      <w:b/>
      <w:caps/>
    </w:rPr>
  </w:style>
  <w:style w:type="character" w:customStyle="1" w:styleId="Heading3Char">
    <w:name w:val="Heading 3 Char"/>
    <w:link w:val="Heading3"/>
    <w:rsid w:val="00780E2C"/>
    <w:rPr>
      <w:rFonts w:ascii="Arial" w:eastAsiaTheme="minorHAnsi" w:hAnsi="Arial"/>
      <w:b/>
      <w:u w:val="single"/>
    </w:rPr>
  </w:style>
  <w:style w:type="character" w:customStyle="1" w:styleId="Heading4Char">
    <w:name w:val="Heading 4 Char"/>
    <w:link w:val="Heading4"/>
    <w:rsid w:val="009A0C8C"/>
    <w:rPr>
      <w:rFonts w:ascii="Arial Bold" w:hAnsi="Arial Bold"/>
      <w:b/>
      <w:color w:val="FFFFFF" w:themeColor="background1"/>
      <w:sz w:val="16"/>
      <w:lang w:val="fr-FR"/>
    </w:rPr>
  </w:style>
  <w:style w:type="character" w:customStyle="1" w:styleId="Heading5Char">
    <w:name w:val="Heading 5 Char"/>
    <w:link w:val="Heading5"/>
    <w:rsid w:val="008518D2"/>
    <w:rPr>
      <w:rFonts w:ascii="Arial" w:hAnsi="Arial"/>
      <w:u w:val="single"/>
    </w:rPr>
  </w:style>
  <w:style w:type="character" w:customStyle="1" w:styleId="Heading9Char">
    <w:name w:val="Heading 9 Char"/>
    <w:link w:val="Heading9"/>
    <w:rsid w:val="002F09F3"/>
    <w:rPr>
      <w:rFonts w:ascii="Arial" w:hAnsi="Arial"/>
      <w:i/>
      <w:sz w:val="18"/>
    </w:rPr>
  </w:style>
  <w:style w:type="character" w:customStyle="1" w:styleId="HeaderChar">
    <w:name w:val="Header Char"/>
    <w:link w:val="Header"/>
    <w:uiPriority w:val="99"/>
    <w:rsid w:val="002F09F3"/>
    <w:rPr>
      <w:rFonts w:ascii="Arial" w:hAnsi="Arial"/>
      <w:lang w:val="fr-FR"/>
    </w:rPr>
  </w:style>
  <w:style w:type="character" w:customStyle="1" w:styleId="FooterChar">
    <w:name w:val="Footer Char"/>
    <w:aliases w:val="doc_path_name Char"/>
    <w:link w:val="Footer"/>
    <w:uiPriority w:val="99"/>
    <w:rsid w:val="002F09F3"/>
    <w:rPr>
      <w:rFonts w:ascii="Arial" w:hAnsi="Arial"/>
      <w:sz w:val="14"/>
    </w:rPr>
  </w:style>
  <w:style w:type="character" w:customStyle="1" w:styleId="TitleChar">
    <w:name w:val="Title Char"/>
    <w:link w:val="Title"/>
    <w:rsid w:val="002F09F3"/>
    <w:rPr>
      <w:rFonts w:ascii="Arial" w:hAnsi="Arial"/>
      <w:b/>
      <w:caps/>
      <w:kern w:val="28"/>
      <w:sz w:val="30"/>
    </w:rPr>
  </w:style>
  <w:style w:type="character" w:customStyle="1" w:styleId="FootnoteTextChar">
    <w:name w:val="Footnote Text Char"/>
    <w:link w:val="FootnoteText"/>
    <w:rsid w:val="002F09F3"/>
    <w:rPr>
      <w:rFonts w:ascii="Arial" w:hAnsi="Arial"/>
      <w:sz w:val="16"/>
    </w:rPr>
  </w:style>
  <w:style w:type="character" w:customStyle="1" w:styleId="ClosingChar">
    <w:name w:val="Closing Char"/>
    <w:link w:val="Closing"/>
    <w:rsid w:val="002F09F3"/>
    <w:rPr>
      <w:rFonts w:ascii="Arial" w:hAnsi="Arial"/>
    </w:rPr>
  </w:style>
  <w:style w:type="character" w:customStyle="1" w:styleId="MacroTextChar">
    <w:name w:val="Macro Text Char"/>
    <w:link w:val="MacroText"/>
    <w:semiHidden/>
    <w:rsid w:val="002F09F3"/>
    <w:rPr>
      <w:rFonts w:ascii="Courier New" w:hAnsi="Courier New"/>
      <w:sz w:val="16"/>
    </w:rPr>
  </w:style>
  <w:style w:type="character" w:customStyle="1" w:styleId="SignatureChar">
    <w:name w:val="Signature Char"/>
    <w:link w:val="Signature"/>
    <w:rsid w:val="002F09F3"/>
    <w:rPr>
      <w:rFonts w:ascii="Arial" w:hAnsi="Arial"/>
    </w:rPr>
  </w:style>
  <w:style w:type="character" w:customStyle="1" w:styleId="BodyTextChar">
    <w:name w:val="Body Text Char"/>
    <w:link w:val="BodyText"/>
    <w:rsid w:val="002F09F3"/>
    <w:rPr>
      <w:rFonts w:ascii="Arial" w:hAnsi="Arial"/>
    </w:rPr>
  </w:style>
  <w:style w:type="character" w:customStyle="1" w:styleId="EndnoteTextChar">
    <w:name w:val="Endnote Text Char"/>
    <w:link w:val="EndnoteText"/>
    <w:semiHidden/>
    <w:rsid w:val="002F09F3"/>
    <w:rPr>
      <w:rFonts w:ascii="Arial" w:hAnsi="Arial"/>
    </w:rPr>
  </w:style>
  <w:style w:type="character" w:customStyle="1" w:styleId="DateChar">
    <w:name w:val="Date Char"/>
    <w:link w:val="Date"/>
    <w:semiHidden/>
    <w:rsid w:val="002F09F3"/>
    <w:rPr>
      <w:rFonts w:ascii="Arial" w:hAnsi="Arial"/>
      <w:b/>
      <w:sz w:val="22"/>
    </w:rPr>
  </w:style>
  <w:style w:type="paragraph" w:customStyle="1" w:styleId="n">
    <w:name w:val="n"/>
    <w:basedOn w:val="Header"/>
    <w:rsid w:val="002F09F3"/>
    <w:rPr>
      <w:rFonts w:ascii="Times New Roman" w:hAnsi="Times New Roman"/>
      <w:sz w:val="24"/>
    </w:rPr>
  </w:style>
  <w:style w:type="paragraph" w:styleId="BodyTextIndent3">
    <w:name w:val="Body Text Indent 3"/>
    <w:basedOn w:val="Normal"/>
    <w:link w:val="BodyTextIndent3Char"/>
    <w:rsid w:val="002F09F3"/>
    <w:pPr>
      <w:tabs>
        <w:tab w:val="right" w:pos="284"/>
        <w:tab w:val="right" w:pos="6804"/>
        <w:tab w:val="right" w:pos="9356"/>
      </w:tabs>
      <w:spacing w:line="240" w:lineRule="exact"/>
      <w:ind w:left="709"/>
    </w:pPr>
    <w:rPr>
      <w:rFonts w:ascii="Times New Roman" w:hAnsi="Times New Roman"/>
      <w:sz w:val="24"/>
      <w:lang w:val="fr-FR"/>
    </w:rPr>
  </w:style>
  <w:style w:type="character" w:customStyle="1" w:styleId="BodyTextIndent3Char">
    <w:name w:val="Body Text Indent 3 Char"/>
    <w:basedOn w:val="DefaultParagraphFont"/>
    <w:link w:val="BodyTextIndent3"/>
    <w:rsid w:val="002F09F3"/>
    <w:rPr>
      <w:sz w:val="24"/>
      <w:lang w:val="fr-FR"/>
    </w:rPr>
  </w:style>
  <w:style w:type="paragraph" w:customStyle="1" w:styleId="DecisionInvitingPara">
    <w:name w:val="Decision Inviting Para."/>
    <w:basedOn w:val="Normal"/>
    <w:rsid w:val="002F09F3"/>
    <w:pPr>
      <w:ind w:left="4536"/>
      <w:jc w:val="left"/>
    </w:pPr>
    <w:rPr>
      <w:rFonts w:ascii="Times New Roman" w:hAnsi="Times New Roman"/>
      <w:i/>
      <w:sz w:val="24"/>
      <w:lang w:val="fr-FR"/>
    </w:rPr>
  </w:style>
  <w:style w:type="paragraph" w:customStyle="1" w:styleId="T1">
    <w:name w:val="T1"/>
    <w:basedOn w:val="BodyText"/>
    <w:rsid w:val="002F09F3"/>
    <w:rPr>
      <w:rFonts w:ascii="Times New Roman" w:hAnsi="Times New Roman"/>
      <w:b/>
      <w:sz w:val="24"/>
      <w:lang w:val="fr-FR"/>
    </w:rPr>
  </w:style>
  <w:style w:type="paragraph" w:customStyle="1" w:styleId="Titre">
    <w:name w:val="Titre"/>
    <w:basedOn w:val="Normal"/>
    <w:rsid w:val="002F09F3"/>
    <w:pPr>
      <w:tabs>
        <w:tab w:val="left" w:pos="567"/>
        <w:tab w:val="left" w:pos="993"/>
        <w:tab w:val="right" w:pos="6237"/>
        <w:tab w:val="right" w:pos="7938"/>
      </w:tabs>
      <w:spacing w:line="240" w:lineRule="exact"/>
      <w:jc w:val="left"/>
    </w:pPr>
    <w:rPr>
      <w:rFonts w:ascii="Times New Roman" w:hAnsi="Times New Roman"/>
      <w:b/>
      <w:caps/>
      <w:lang w:val="fr-FR"/>
    </w:rPr>
  </w:style>
  <w:style w:type="paragraph" w:styleId="BodyTextIndent2">
    <w:name w:val="Body Text Indent 2"/>
    <w:basedOn w:val="Normal"/>
    <w:link w:val="BodyTextIndent2Char"/>
    <w:rsid w:val="002F09F3"/>
    <w:pPr>
      <w:tabs>
        <w:tab w:val="right" w:pos="3119"/>
        <w:tab w:val="right" w:pos="5103"/>
        <w:tab w:val="right" w:pos="7371"/>
        <w:tab w:val="right" w:pos="9356"/>
      </w:tabs>
      <w:ind w:left="284"/>
    </w:pPr>
    <w:rPr>
      <w:rFonts w:ascii="Times New Roman" w:hAnsi="Times New Roman"/>
      <w:lang w:val="fr-FR"/>
    </w:rPr>
  </w:style>
  <w:style w:type="character" w:customStyle="1" w:styleId="BodyTextIndent2Char">
    <w:name w:val="Body Text Indent 2 Char"/>
    <w:basedOn w:val="DefaultParagraphFont"/>
    <w:link w:val="BodyTextIndent2"/>
    <w:rsid w:val="002F09F3"/>
    <w:rPr>
      <w:lang w:val="fr-FR"/>
    </w:rPr>
  </w:style>
  <w:style w:type="table" w:styleId="TableGrid">
    <w:name w:val="Table Grid"/>
    <w:basedOn w:val="TableNormal"/>
    <w:rsid w:val="002F09F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2F09F3"/>
    <w:pPr>
      <w:jc w:val="center"/>
    </w:pPr>
    <w:rPr>
      <w:rFonts w:ascii="Times New Roman" w:hAnsi="Times New Roman"/>
      <w:sz w:val="24"/>
      <w:u w:val="single"/>
      <w:lang w:val="fr-FR"/>
    </w:rPr>
  </w:style>
  <w:style w:type="character" w:customStyle="1" w:styleId="BodyText3Char">
    <w:name w:val="Body Text 3 Char"/>
    <w:basedOn w:val="DefaultParagraphFont"/>
    <w:link w:val="BodyText3"/>
    <w:rsid w:val="002F09F3"/>
    <w:rPr>
      <w:sz w:val="24"/>
      <w:u w:val="single"/>
      <w:lang w:val="fr-FR"/>
    </w:rPr>
  </w:style>
  <w:style w:type="paragraph" w:customStyle="1" w:styleId="Partie">
    <w:name w:val="Partie"/>
    <w:basedOn w:val="Normal"/>
    <w:rsid w:val="002F09F3"/>
    <w:pPr>
      <w:tabs>
        <w:tab w:val="left" w:pos="567"/>
        <w:tab w:val="left" w:pos="993"/>
        <w:tab w:val="right" w:pos="6237"/>
        <w:tab w:val="right" w:pos="7938"/>
      </w:tabs>
      <w:spacing w:line="240" w:lineRule="exact"/>
      <w:jc w:val="center"/>
    </w:pPr>
    <w:rPr>
      <w:rFonts w:ascii="Times New Roman" w:hAnsi="Times New Roman"/>
      <w:b/>
      <w:sz w:val="22"/>
      <w:u w:val="single"/>
      <w:lang w:val="fr-FR"/>
    </w:rPr>
  </w:style>
  <w:style w:type="paragraph" w:customStyle="1" w:styleId="Chapitre">
    <w:name w:val="Chapitre"/>
    <w:basedOn w:val="Normal"/>
    <w:rsid w:val="002F09F3"/>
    <w:pPr>
      <w:tabs>
        <w:tab w:val="left" w:pos="567"/>
        <w:tab w:val="left" w:pos="993"/>
        <w:tab w:val="right" w:pos="6237"/>
        <w:tab w:val="right" w:pos="7938"/>
      </w:tabs>
      <w:spacing w:line="240" w:lineRule="exact"/>
      <w:jc w:val="center"/>
    </w:pPr>
    <w:rPr>
      <w:rFonts w:ascii="Times New Roman" w:hAnsi="Times New Roman"/>
      <w:b/>
      <w:lang w:val="fr-FR"/>
    </w:rPr>
  </w:style>
  <w:style w:type="paragraph" w:styleId="BodyText2">
    <w:name w:val="Body Text 2"/>
    <w:basedOn w:val="Normal"/>
    <w:link w:val="BodyText2Char"/>
    <w:rsid w:val="002F09F3"/>
    <w:pPr>
      <w:tabs>
        <w:tab w:val="left" w:pos="567"/>
      </w:tabs>
      <w:jc w:val="left"/>
    </w:pPr>
    <w:rPr>
      <w:rFonts w:ascii="Times New Roman" w:hAnsi="Times New Roman"/>
      <w:sz w:val="24"/>
      <w:lang w:val="fr-FR"/>
    </w:rPr>
  </w:style>
  <w:style w:type="character" w:customStyle="1" w:styleId="BodyText2Char">
    <w:name w:val="Body Text 2 Char"/>
    <w:basedOn w:val="DefaultParagraphFont"/>
    <w:link w:val="BodyText2"/>
    <w:rsid w:val="002F09F3"/>
    <w:rPr>
      <w:sz w:val="24"/>
      <w:lang w:val="fr-FR"/>
    </w:rPr>
  </w:style>
  <w:style w:type="paragraph" w:customStyle="1" w:styleId="StyleStyle1Left163cmFirstline0cm">
    <w:name w:val="Style Style1 + Left:  1.63 cm First line:  0 cm"/>
    <w:basedOn w:val="Normal"/>
    <w:rsid w:val="002F09F3"/>
    <w:pPr>
      <w:numPr>
        <w:numId w:val="2"/>
      </w:numPr>
      <w:tabs>
        <w:tab w:val="left" w:pos="567"/>
      </w:tabs>
    </w:pPr>
    <w:rPr>
      <w:rFonts w:ascii="Times New Roman" w:hAnsi="Times New Roman"/>
      <w:sz w:val="24"/>
    </w:rPr>
  </w:style>
  <w:style w:type="paragraph" w:customStyle="1" w:styleId="Default">
    <w:name w:val="Default"/>
    <w:rsid w:val="002F09F3"/>
    <w:pPr>
      <w:autoSpaceDE w:val="0"/>
      <w:autoSpaceDN w:val="0"/>
      <w:adjustRightInd w:val="0"/>
    </w:pPr>
    <w:rPr>
      <w:rFonts w:ascii="Arial" w:hAnsi="Arial" w:cs="Arial"/>
      <w:color w:val="000000"/>
      <w:sz w:val="24"/>
      <w:szCs w:val="24"/>
      <w:lang w:val="en-GB" w:eastAsia="en-GB"/>
    </w:rPr>
  </w:style>
  <w:style w:type="paragraph" w:customStyle="1" w:styleId="Styletexte">
    <w:name w:val="Style texte"/>
    <w:basedOn w:val="Normal"/>
    <w:link w:val="StyletexteChar"/>
    <w:rsid w:val="002F09F3"/>
    <w:pPr>
      <w:spacing w:after="120"/>
    </w:pPr>
    <w:rPr>
      <w:sz w:val="22"/>
    </w:rPr>
  </w:style>
  <w:style w:type="character" w:customStyle="1" w:styleId="StyletexteChar">
    <w:name w:val="Style texte Char"/>
    <w:link w:val="Styletexte"/>
    <w:locked/>
    <w:rsid w:val="002F09F3"/>
    <w:rPr>
      <w:rFonts w:ascii="Arial" w:hAnsi="Arial"/>
      <w:sz w:val="22"/>
    </w:rPr>
  </w:style>
  <w:style w:type="paragraph" w:customStyle="1" w:styleId="Style3">
    <w:name w:val="Style3"/>
    <w:basedOn w:val="Normal"/>
    <w:link w:val="Style3Char"/>
    <w:rsid w:val="002F09F3"/>
    <w:pPr>
      <w:spacing w:after="120"/>
    </w:pPr>
    <w:rPr>
      <w:sz w:val="22"/>
    </w:rPr>
  </w:style>
  <w:style w:type="character" w:customStyle="1" w:styleId="Style3Char">
    <w:name w:val="Style3 Char"/>
    <w:link w:val="Style3"/>
    <w:locked/>
    <w:rsid w:val="002F09F3"/>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7DB5"/>
    <w:pPr>
      <w:jc w:val="both"/>
    </w:pPr>
    <w:rPr>
      <w:rFonts w:ascii="Arial" w:hAnsi="Arial"/>
    </w:rPr>
  </w:style>
  <w:style w:type="paragraph" w:styleId="Heading1">
    <w:name w:val="heading 1"/>
    <w:next w:val="Normal"/>
    <w:link w:val="Heading1Char"/>
    <w:autoRedefine/>
    <w:qFormat/>
    <w:rsid w:val="00140793"/>
    <w:pPr>
      <w:keepNext/>
      <w:outlineLvl w:val="0"/>
    </w:pPr>
    <w:rPr>
      <w:rFonts w:ascii="Arial" w:hAnsi="Arial"/>
      <w:b/>
      <w:caps/>
    </w:rPr>
  </w:style>
  <w:style w:type="paragraph" w:styleId="Heading2">
    <w:name w:val="heading 2"/>
    <w:next w:val="Normal"/>
    <w:link w:val="Heading2Char"/>
    <w:autoRedefine/>
    <w:qFormat/>
    <w:rsid w:val="008B6109"/>
    <w:pPr>
      <w:keepNext/>
      <w:jc w:val="both"/>
      <w:outlineLvl w:val="1"/>
    </w:pPr>
    <w:rPr>
      <w:rFonts w:ascii="Arial Bold" w:hAnsi="Arial Bold"/>
      <w:b/>
      <w:caps/>
      <w:u w:val="single"/>
    </w:rPr>
  </w:style>
  <w:style w:type="paragraph" w:styleId="Heading3">
    <w:name w:val="heading 3"/>
    <w:next w:val="Normal"/>
    <w:link w:val="Heading3Char"/>
    <w:autoRedefine/>
    <w:qFormat/>
    <w:rsid w:val="00780E2C"/>
    <w:pPr>
      <w:keepNext/>
      <w:jc w:val="center"/>
      <w:outlineLvl w:val="2"/>
    </w:pPr>
    <w:rPr>
      <w:rFonts w:ascii="Arial" w:eastAsiaTheme="minorHAnsi" w:hAnsi="Arial"/>
      <w:b/>
      <w:u w:val="single"/>
    </w:rPr>
  </w:style>
  <w:style w:type="paragraph" w:styleId="Heading4">
    <w:name w:val="heading 4"/>
    <w:next w:val="Normal"/>
    <w:link w:val="Heading4Char"/>
    <w:autoRedefine/>
    <w:qFormat/>
    <w:rsid w:val="009A0C8C"/>
    <w:pPr>
      <w:keepNext/>
      <w:ind w:left="567"/>
      <w:jc w:val="both"/>
      <w:outlineLvl w:val="3"/>
    </w:pPr>
    <w:rPr>
      <w:rFonts w:ascii="Arial Bold" w:hAnsi="Arial Bold"/>
      <w:b/>
      <w:color w:val="FFFFFF" w:themeColor="background1"/>
      <w:sz w:val="16"/>
      <w:lang w:val="fr-FR"/>
    </w:rPr>
  </w:style>
  <w:style w:type="paragraph" w:styleId="Heading5">
    <w:name w:val="heading 5"/>
    <w:next w:val="Normal"/>
    <w:link w:val="Heading5Char"/>
    <w:autoRedefine/>
    <w:qFormat/>
    <w:rsid w:val="008518D2"/>
    <w:pPr>
      <w:keepNext/>
      <w:ind w:left="1134" w:hanging="567"/>
      <w:jc w:val="center"/>
      <w:outlineLvl w:val="4"/>
    </w:pPr>
    <w:rPr>
      <w:rFonts w:ascii="Arial" w:hAnsi="Arial"/>
      <w:u w:val="single"/>
    </w:rPr>
  </w:style>
  <w:style w:type="paragraph" w:styleId="Heading6">
    <w:name w:val="heading 6"/>
    <w:basedOn w:val="Normal"/>
    <w:next w:val="Normal"/>
    <w:link w:val="Heading6Char"/>
    <w:qFormat/>
    <w:rsid w:val="002F09F3"/>
    <w:pPr>
      <w:keepNext/>
      <w:jc w:val="center"/>
      <w:outlineLvl w:val="5"/>
    </w:pPr>
    <w:rPr>
      <w:rFonts w:ascii="Times New Roman" w:hAnsi="Times New Roman"/>
      <w:sz w:val="24"/>
      <w:u w:val="single"/>
      <w:lang w:val="fr-FR"/>
    </w:rPr>
  </w:style>
  <w:style w:type="paragraph" w:styleId="Heading7">
    <w:name w:val="heading 7"/>
    <w:basedOn w:val="Normal"/>
    <w:next w:val="Normal"/>
    <w:link w:val="Heading7Char"/>
    <w:qFormat/>
    <w:rsid w:val="002F09F3"/>
    <w:pPr>
      <w:keepNext/>
      <w:keepLines/>
      <w:spacing w:before="200"/>
      <w:outlineLvl w:val="6"/>
    </w:pPr>
    <w:rPr>
      <w:rFonts w:ascii="Cambria" w:hAnsi="Cambria"/>
      <w:i/>
      <w:iCs/>
      <w:color w:val="404040"/>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2F09F3"/>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0478F6"/>
    <w:pPr>
      <w:tabs>
        <w:tab w:val="right" w:leader="dot" w:pos="9639"/>
      </w:tabs>
      <w:spacing w:before="120" w:after="120" w:line="360" w:lineRule="auto"/>
      <w:ind w:left="851" w:right="851" w:hanging="567"/>
      <w:contextualSpacing/>
    </w:pPr>
    <w:rPr>
      <w:rFonts w:ascii="Arial" w:hAnsi="Arial"/>
      <w:noProof/>
    </w:rPr>
  </w:style>
  <w:style w:type="paragraph" w:styleId="TOC3">
    <w:name w:val="toc 3"/>
    <w:next w:val="Normal"/>
    <w:autoRedefine/>
    <w:uiPriority w:val="39"/>
    <w:rsid w:val="009A0C8C"/>
    <w:pPr>
      <w:tabs>
        <w:tab w:val="right" w:leader="dot" w:pos="9639"/>
      </w:tabs>
      <w:spacing w:before="120"/>
      <w:ind w:left="851" w:right="851" w:hanging="567"/>
      <w:contextualSpacing/>
    </w:pPr>
    <w:rPr>
      <w:rFonts w:ascii="Arial" w:hAnsi="Arial"/>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2D7DB5"/>
    <w:pPr>
      <w:tabs>
        <w:tab w:val="right" w:leader="dot" w:pos="9639"/>
      </w:tabs>
      <w:spacing w:before="120" w:after="120" w:line="480" w:lineRule="auto"/>
      <w:ind w:left="284" w:right="284" w:hanging="284"/>
      <w:contextualSpacing/>
      <w:jc w:val="both"/>
    </w:pPr>
    <w:rPr>
      <w:rFonts w:ascii="Arial" w:hAnsi="Arial"/>
      <w:b/>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customStyle="1" w:styleId="Inf4Normal">
    <w:name w:val="Inf_4_Normal"/>
    <w:basedOn w:val="Normal"/>
    <w:rsid w:val="00BD5E7F"/>
    <w:pPr>
      <w:spacing w:before="108"/>
    </w:pPr>
  </w:style>
  <w:style w:type="paragraph" w:customStyle="1" w:styleId="Inf4Heading4">
    <w:name w:val="Inf_4_Heading_4"/>
    <w:basedOn w:val="Heading4"/>
    <w:next w:val="Normal"/>
    <w:rsid w:val="00BD5E7F"/>
    <w:pPr>
      <w:spacing w:before="120"/>
      <w:ind w:left="0"/>
    </w:pPr>
    <w:rPr>
      <w:b w:val="0"/>
      <w:bCs/>
      <w:i/>
    </w:rPr>
  </w:style>
  <w:style w:type="paragraph" w:customStyle="1" w:styleId="Inf4Heading6">
    <w:name w:val="Inf_4_Heading_6"/>
    <w:basedOn w:val="Normal"/>
    <w:rsid w:val="00BD5E7F"/>
    <w:pPr>
      <w:keepNext/>
      <w:spacing w:before="108"/>
      <w:ind w:left="567"/>
      <w:outlineLvl w:val="5"/>
    </w:pPr>
    <w:rPr>
      <w:b/>
      <w:bCs/>
      <w:szCs w:val="24"/>
    </w:rPr>
  </w:style>
  <w:style w:type="paragraph" w:styleId="ListContinue4">
    <w:name w:val="List Continue 4"/>
    <w:basedOn w:val="Normal"/>
    <w:rsid w:val="00E93B7E"/>
    <w:pPr>
      <w:spacing w:after="120"/>
      <w:ind w:left="1440"/>
    </w:pPr>
  </w:style>
  <w:style w:type="paragraph" w:styleId="ListParagraph">
    <w:name w:val="List Paragraph"/>
    <w:basedOn w:val="Normal"/>
    <w:uiPriority w:val="34"/>
    <w:qFormat/>
    <w:rsid w:val="00E93B7E"/>
    <w:pPr>
      <w:ind w:left="720"/>
      <w:contextualSpacing/>
    </w:pPr>
  </w:style>
  <w:style w:type="character" w:customStyle="1" w:styleId="Heading6Char">
    <w:name w:val="Heading 6 Char"/>
    <w:basedOn w:val="DefaultParagraphFont"/>
    <w:link w:val="Heading6"/>
    <w:rsid w:val="002F09F3"/>
    <w:rPr>
      <w:sz w:val="24"/>
      <w:u w:val="single"/>
      <w:lang w:val="fr-FR"/>
    </w:rPr>
  </w:style>
  <w:style w:type="character" w:customStyle="1" w:styleId="Heading7Char">
    <w:name w:val="Heading 7 Char"/>
    <w:basedOn w:val="DefaultParagraphFont"/>
    <w:link w:val="Heading7"/>
    <w:rsid w:val="002F09F3"/>
    <w:rPr>
      <w:rFonts w:ascii="Cambria" w:hAnsi="Cambria"/>
      <w:i/>
      <w:iCs/>
      <w:color w:val="404040"/>
    </w:rPr>
  </w:style>
  <w:style w:type="character" w:customStyle="1" w:styleId="Heading2Char">
    <w:name w:val="Heading 2 Char"/>
    <w:link w:val="Heading2"/>
    <w:rsid w:val="008B6109"/>
    <w:rPr>
      <w:rFonts w:ascii="Arial Bold" w:hAnsi="Arial Bold"/>
      <w:b/>
      <w:caps/>
      <w:u w:val="single"/>
    </w:rPr>
  </w:style>
  <w:style w:type="character" w:customStyle="1" w:styleId="Heading1Char">
    <w:name w:val="Heading 1 Char"/>
    <w:link w:val="Heading1"/>
    <w:rsid w:val="00140793"/>
    <w:rPr>
      <w:rFonts w:ascii="Arial" w:hAnsi="Arial"/>
      <w:b/>
      <w:caps/>
    </w:rPr>
  </w:style>
  <w:style w:type="character" w:customStyle="1" w:styleId="Heading3Char">
    <w:name w:val="Heading 3 Char"/>
    <w:link w:val="Heading3"/>
    <w:rsid w:val="00780E2C"/>
    <w:rPr>
      <w:rFonts w:ascii="Arial" w:eastAsiaTheme="minorHAnsi" w:hAnsi="Arial"/>
      <w:b/>
      <w:u w:val="single"/>
    </w:rPr>
  </w:style>
  <w:style w:type="character" w:customStyle="1" w:styleId="Heading4Char">
    <w:name w:val="Heading 4 Char"/>
    <w:link w:val="Heading4"/>
    <w:rsid w:val="009A0C8C"/>
    <w:rPr>
      <w:rFonts w:ascii="Arial Bold" w:hAnsi="Arial Bold"/>
      <w:b/>
      <w:color w:val="FFFFFF" w:themeColor="background1"/>
      <w:sz w:val="16"/>
      <w:lang w:val="fr-FR"/>
    </w:rPr>
  </w:style>
  <w:style w:type="character" w:customStyle="1" w:styleId="Heading5Char">
    <w:name w:val="Heading 5 Char"/>
    <w:link w:val="Heading5"/>
    <w:rsid w:val="008518D2"/>
    <w:rPr>
      <w:rFonts w:ascii="Arial" w:hAnsi="Arial"/>
      <w:u w:val="single"/>
    </w:rPr>
  </w:style>
  <w:style w:type="character" w:customStyle="1" w:styleId="Heading9Char">
    <w:name w:val="Heading 9 Char"/>
    <w:link w:val="Heading9"/>
    <w:rsid w:val="002F09F3"/>
    <w:rPr>
      <w:rFonts w:ascii="Arial" w:hAnsi="Arial"/>
      <w:i/>
      <w:sz w:val="18"/>
    </w:rPr>
  </w:style>
  <w:style w:type="character" w:customStyle="1" w:styleId="HeaderChar">
    <w:name w:val="Header Char"/>
    <w:link w:val="Header"/>
    <w:uiPriority w:val="99"/>
    <w:rsid w:val="002F09F3"/>
    <w:rPr>
      <w:rFonts w:ascii="Arial" w:hAnsi="Arial"/>
      <w:lang w:val="fr-FR"/>
    </w:rPr>
  </w:style>
  <w:style w:type="character" w:customStyle="1" w:styleId="FooterChar">
    <w:name w:val="Footer Char"/>
    <w:aliases w:val="doc_path_name Char"/>
    <w:link w:val="Footer"/>
    <w:uiPriority w:val="99"/>
    <w:rsid w:val="002F09F3"/>
    <w:rPr>
      <w:rFonts w:ascii="Arial" w:hAnsi="Arial"/>
      <w:sz w:val="14"/>
    </w:rPr>
  </w:style>
  <w:style w:type="character" w:customStyle="1" w:styleId="TitleChar">
    <w:name w:val="Title Char"/>
    <w:link w:val="Title"/>
    <w:rsid w:val="002F09F3"/>
    <w:rPr>
      <w:rFonts w:ascii="Arial" w:hAnsi="Arial"/>
      <w:b/>
      <w:caps/>
      <w:kern w:val="28"/>
      <w:sz w:val="30"/>
    </w:rPr>
  </w:style>
  <w:style w:type="character" w:customStyle="1" w:styleId="FootnoteTextChar">
    <w:name w:val="Footnote Text Char"/>
    <w:link w:val="FootnoteText"/>
    <w:rsid w:val="002F09F3"/>
    <w:rPr>
      <w:rFonts w:ascii="Arial" w:hAnsi="Arial"/>
      <w:sz w:val="16"/>
    </w:rPr>
  </w:style>
  <w:style w:type="character" w:customStyle="1" w:styleId="ClosingChar">
    <w:name w:val="Closing Char"/>
    <w:link w:val="Closing"/>
    <w:rsid w:val="002F09F3"/>
    <w:rPr>
      <w:rFonts w:ascii="Arial" w:hAnsi="Arial"/>
    </w:rPr>
  </w:style>
  <w:style w:type="character" w:customStyle="1" w:styleId="MacroTextChar">
    <w:name w:val="Macro Text Char"/>
    <w:link w:val="MacroText"/>
    <w:semiHidden/>
    <w:rsid w:val="002F09F3"/>
    <w:rPr>
      <w:rFonts w:ascii="Courier New" w:hAnsi="Courier New"/>
      <w:sz w:val="16"/>
    </w:rPr>
  </w:style>
  <w:style w:type="character" w:customStyle="1" w:styleId="SignatureChar">
    <w:name w:val="Signature Char"/>
    <w:link w:val="Signature"/>
    <w:rsid w:val="002F09F3"/>
    <w:rPr>
      <w:rFonts w:ascii="Arial" w:hAnsi="Arial"/>
    </w:rPr>
  </w:style>
  <w:style w:type="character" w:customStyle="1" w:styleId="BodyTextChar">
    <w:name w:val="Body Text Char"/>
    <w:link w:val="BodyText"/>
    <w:rsid w:val="002F09F3"/>
    <w:rPr>
      <w:rFonts w:ascii="Arial" w:hAnsi="Arial"/>
    </w:rPr>
  </w:style>
  <w:style w:type="character" w:customStyle="1" w:styleId="EndnoteTextChar">
    <w:name w:val="Endnote Text Char"/>
    <w:link w:val="EndnoteText"/>
    <w:semiHidden/>
    <w:rsid w:val="002F09F3"/>
    <w:rPr>
      <w:rFonts w:ascii="Arial" w:hAnsi="Arial"/>
    </w:rPr>
  </w:style>
  <w:style w:type="character" w:customStyle="1" w:styleId="DateChar">
    <w:name w:val="Date Char"/>
    <w:link w:val="Date"/>
    <w:semiHidden/>
    <w:rsid w:val="002F09F3"/>
    <w:rPr>
      <w:rFonts w:ascii="Arial" w:hAnsi="Arial"/>
      <w:b/>
      <w:sz w:val="22"/>
    </w:rPr>
  </w:style>
  <w:style w:type="paragraph" w:customStyle="1" w:styleId="n">
    <w:name w:val="n"/>
    <w:basedOn w:val="Header"/>
    <w:rsid w:val="002F09F3"/>
    <w:rPr>
      <w:rFonts w:ascii="Times New Roman" w:hAnsi="Times New Roman"/>
      <w:sz w:val="24"/>
    </w:rPr>
  </w:style>
  <w:style w:type="paragraph" w:styleId="BodyTextIndent3">
    <w:name w:val="Body Text Indent 3"/>
    <w:basedOn w:val="Normal"/>
    <w:link w:val="BodyTextIndent3Char"/>
    <w:rsid w:val="002F09F3"/>
    <w:pPr>
      <w:tabs>
        <w:tab w:val="right" w:pos="284"/>
        <w:tab w:val="right" w:pos="6804"/>
        <w:tab w:val="right" w:pos="9356"/>
      </w:tabs>
      <w:spacing w:line="240" w:lineRule="exact"/>
      <w:ind w:left="709"/>
    </w:pPr>
    <w:rPr>
      <w:rFonts w:ascii="Times New Roman" w:hAnsi="Times New Roman"/>
      <w:sz w:val="24"/>
      <w:lang w:val="fr-FR"/>
    </w:rPr>
  </w:style>
  <w:style w:type="character" w:customStyle="1" w:styleId="BodyTextIndent3Char">
    <w:name w:val="Body Text Indent 3 Char"/>
    <w:basedOn w:val="DefaultParagraphFont"/>
    <w:link w:val="BodyTextIndent3"/>
    <w:rsid w:val="002F09F3"/>
    <w:rPr>
      <w:sz w:val="24"/>
      <w:lang w:val="fr-FR"/>
    </w:rPr>
  </w:style>
  <w:style w:type="paragraph" w:customStyle="1" w:styleId="DecisionInvitingPara">
    <w:name w:val="Decision Inviting Para."/>
    <w:basedOn w:val="Normal"/>
    <w:rsid w:val="002F09F3"/>
    <w:pPr>
      <w:ind w:left="4536"/>
      <w:jc w:val="left"/>
    </w:pPr>
    <w:rPr>
      <w:rFonts w:ascii="Times New Roman" w:hAnsi="Times New Roman"/>
      <w:i/>
      <w:sz w:val="24"/>
      <w:lang w:val="fr-FR"/>
    </w:rPr>
  </w:style>
  <w:style w:type="paragraph" w:customStyle="1" w:styleId="T1">
    <w:name w:val="T1"/>
    <w:basedOn w:val="BodyText"/>
    <w:rsid w:val="002F09F3"/>
    <w:rPr>
      <w:rFonts w:ascii="Times New Roman" w:hAnsi="Times New Roman"/>
      <w:b/>
      <w:sz w:val="24"/>
      <w:lang w:val="fr-FR"/>
    </w:rPr>
  </w:style>
  <w:style w:type="paragraph" w:customStyle="1" w:styleId="Titre">
    <w:name w:val="Titre"/>
    <w:basedOn w:val="Normal"/>
    <w:rsid w:val="002F09F3"/>
    <w:pPr>
      <w:tabs>
        <w:tab w:val="left" w:pos="567"/>
        <w:tab w:val="left" w:pos="993"/>
        <w:tab w:val="right" w:pos="6237"/>
        <w:tab w:val="right" w:pos="7938"/>
      </w:tabs>
      <w:spacing w:line="240" w:lineRule="exact"/>
      <w:jc w:val="left"/>
    </w:pPr>
    <w:rPr>
      <w:rFonts w:ascii="Times New Roman" w:hAnsi="Times New Roman"/>
      <w:b/>
      <w:caps/>
      <w:lang w:val="fr-FR"/>
    </w:rPr>
  </w:style>
  <w:style w:type="paragraph" w:styleId="BodyTextIndent2">
    <w:name w:val="Body Text Indent 2"/>
    <w:basedOn w:val="Normal"/>
    <w:link w:val="BodyTextIndent2Char"/>
    <w:rsid w:val="002F09F3"/>
    <w:pPr>
      <w:tabs>
        <w:tab w:val="right" w:pos="3119"/>
        <w:tab w:val="right" w:pos="5103"/>
        <w:tab w:val="right" w:pos="7371"/>
        <w:tab w:val="right" w:pos="9356"/>
      </w:tabs>
      <w:ind w:left="284"/>
    </w:pPr>
    <w:rPr>
      <w:rFonts w:ascii="Times New Roman" w:hAnsi="Times New Roman"/>
      <w:lang w:val="fr-FR"/>
    </w:rPr>
  </w:style>
  <w:style w:type="character" w:customStyle="1" w:styleId="BodyTextIndent2Char">
    <w:name w:val="Body Text Indent 2 Char"/>
    <w:basedOn w:val="DefaultParagraphFont"/>
    <w:link w:val="BodyTextIndent2"/>
    <w:rsid w:val="002F09F3"/>
    <w:rPr>
      <w:lang w:val="fr-FR"/>
    </w:rPr>
  </w:style>
  <w:style w:type="table" w:styleId="TableGrid">
    <w:name w:val="Table Grid"/>
    <w:basedOn w:val="TableNormal"/>
    <w:rsid w:val="002F09F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2F09F3"/>
    <w:pPr>
      <w:jc w:val="center"/>
    </w:pPr>
    <w:rPr>
      <w:rFonts w:ascii="Times New Roman" w:hAnsi="Times New Roman"/>
      <w:sz w:val="24"/>
      <w:u w:val="single"/>
      <w:lang w:val="fr-FR"/>
    </w:rPr>
  </w:style>
  <w:style w:type="character" w:customStyle="1" w:styleId="BodyText3Char">
    <w:name w:val="Body Text 3 Char"/>
    <w:basedOn w:val="DefaultParagraphFont"/>
    <w:link w:val="BodyText3"/>
    <w:rsid w:val="002F09F3"/>
    <w:rPr>
      <w:sz w:val="24"/>
      <w:u w:val="single"/>
      <w:lang w:val="fr-FR"/>
    </w:rPr>
  </w:style>
  <w:style w:type="paragraph" w:customStyle="1" w:styleId="Partie">
    <w:name w:val="Partie"/>
    <w:basedOn w:val="Normal"/>
    <w:rsid w:val="002F09F3"/>
    <w:pPr>
      <w:tabs>
        <w:tab w:val="left" w:pos="567"/>
        <w:tab w:val="left" w:pos="993"/>
        <w:tab w:val="right" w:pos="6237"/>
        <w:tab w:val="right" w:pos="7938"/>
      </w:tabs>
      <w:spacing w:line="240" w:lineRule="exact"/>
      <w:jc w:val="center"/>
    </w:pPr>
    <w:rPr>
      <w:rFonts w:ascii="Times New Roman" w:hAnsi="Times New Roman"/>
      <w:b/>
      <w:sz w:val="22"/>
      <w:u w:val="single"/>
      <w:lang w:val="fr-FR"/>
    </w:rPr>
  </w:style>
  <w:style w:type="paragraph" w:customStyle="1" w:styleId="Chapitre">
    <w:name w:val="Chapitre"/>
    <w:basedOn w:val="Normal"/>
    <w:rsid w:val="002F09F3"/>
    <w:pPr>
      <w:tabs>
        <w:tab w:val="left" w:pos="567"/>
        <w:tab w:val="left" w:pos="993"/>
        <w:tab w:val="right" w:pos="6237"/>
        <w:tab w:val="right" w:pos="7938"/>
      </w:tabs>
      <w:spacing w:line="240" w:lineRule="exact"/>
      <w:jc w:val="center"/>
    </w:pPr>
    <w:rPr>
      <w:rFonts w:ascii="Times New Roman" w:hAnsi="Times New Roman"/>
      <w:b/>
      <w:lang w:val="fr-FR"/>
    </w:rPr>
  </w:style>
  <w:style w:type="paragraph" w:styleId="BodyText2">
    <w:name w:val="Body Text 2"/>
    <w:basedOn w:val="Normal"/>
    <w:link w:val="BodyText2Char"/>
    <w:rsid w:val="002F09F3"/>
    <w:pPr>
      <w:tabs>
        <w:tab w:val="left" w:pos="567"/>
      </w:tabs>
      <w:jc w:val="left"/>
    </w:pPr>
    <w:rPr>
      <w:rFonts w:ascii="Times New Roman" w:hAnsi="Times New Roman"/>
      <w:sz w:val="24"/>
      <w:lang w:val="fr-FR"/>
    </w:rPr>
  </w:style>
  <w:style w:type="character" w:customStyle="1" w:styleId="BodyText2Char">
    <w:name w:val="Body Text 2 Char"/>
    <w:basedOn w:val="DefaultParagraphFont"/>
    <w:link w:val="BodyText2"/>
    <w:rsid w:val="002F09F3"/>
    <w:rPr>
      <w:sz w:val="24"/>
      <w:lang w:val="fr-FR"/>
    </w:rPr>
  </w:style>
  <w:style w:type="paragraph" w:customStyle="1" w:styleId="StyleStyle1Left163cmFirstline0cm">
    <w:name w:val="Style Style1 + Left:  1.63 cm First line:  0 cm"/>
    <w:basedOn w:val="Normal"/>
    <w:rsid w:val="002F09F3"/>
    <w:pPr>
      <w:numPr>
        <w:numId w:val="2"/>
      </w:numPr>
      <w:tabs>
        <w:tab w:val="left" w:pos="567"/>
      </w:tabs>
    </w:pPr>
    <w:rPr>
      <w:rFonts w:ascii="Times New Roman" w:hAnsi="Times New Roman"/>
      <w:sz w:val="24"/>
    </w:rPr>
  </w:style>
  <w:style w:type="paragraph" w:customStyle="1" w:styleId="Default">
    <w:name w:val="Default"/>
    <w:rsid w:val="002F09F3"/>
    <w:pPr>
      <w:autoSpaceDE w:val="0"/>
      <w:autoSpaceDN w:val="0"/>
      <w:adjustRightInd w:val="0"/>
    </w:pPr>
    <w:rPr>
      <w:rFonts w:ascii="Arial" w:hAnsi="Arial" w:cs="Arial"/>
      <w:color w:val="000000"/>
      <w:sz w:val="24"/>
      <w:szCs w:val="24"/>
      <w:lang w:val="en-GB" w:eastAsia="en-GB"/>
    </w:rPr>
  </w:style>
  <w:style w:type="paragraph" w:customStyle="1" w:styleId="Styletexte">
    <w:name w:val="Style texte"/>
    <w:basedOn w:val="Normal"/>
    <w:link w:val="StyletexteChar"/>
    <w:rsid w:val="002F09F3"/>
    <w:pPr>
      <w:spacing w:after="120"/>
    </w:pPr>
    <w:rPr>
      <w:sz w:val="22"/>
    </w:rPr>
  </w:style>
  <w:style w:type="character" w:customStyle="1" w:styleId="StyletexteChar">
    <w:name w:val="Style texte Char"/>
    <w:link w:val="Styletexte"/>
    <w:locked/>
    <w:rsid w:val="002F09F3"/>
    <w:rPr>
      <w:rFonts w:ascii="Arial" w:hAnsi="Arial"/>
      <w:sz w:val="22"/>
    </w:rPr>
  </w:style>
  <w:style w:type="paragraph" w:customStyle="1" w:styleId="Style3">
    <w:name w:val="Style3"/>
    <w:basedOn w:val="Normal"/>
    <w:link w:val="Style3Char"/>
    <w:rsid w:val="002F09F3"/>
    <w:pPr>
      <w:spacing w:after="120"/>
    </w:pPr>
    <w:rPr>
      <w:sz w:val="22"/>
    </w:rPr>
  </w:style>
  <w:style w:type="character" w:customStyle="1" w:styleId="Style3Char">
    <w:name w:val="Style3 Char"/>
    <w:link w:val="Style3"/>
    <w:locked/>
    <w:rsid w:val="002F09F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818410">
      <w:bodyDiv w:val="1"/>
      <w:marLeft w:val="0"/>
      <w:marRight w:val="0"/>
      <w:marTop w:val="0"/>
      <w:marBottom w:val="0"/>
      <w:divBdr>
        <w:top w:val="none" w:sz="0" w:space="0" w:color="auto"/>
        <w:left w:val="none" w:sz="0" w:space="0" w:color="auto"/>
        <w:bottom w:val="none" w:sz="0" w:space="0" w:color="auto"/>
        <w:right w:val="none" w:sz="0" w:space="0" w:color="auto"/>
      </w:divBdr>
    </w:div>
    <w:div w:id="1170801676">
      <w:bodyDiv w:val="1"/>
      <w:marLeft w:val="0"/>
      <w:marRight w:val="0"/>
      <w:marTop w:val="0"/>
      <w:marBottom w:val="0"/>
      <w:divBdr>
        <w:top w:val="none" w:sz="0" w:space="0" w:color="auto"/>
        <w:left w:val="none" w:sz="0" w:space="0" w:color="auto"/>
        <w:bottom w:val="none" w:sz="0" w:space="0" w:color="auto"/>
        <w:right w:val="none" w:sz="0" w:space="0" w:color="auto"/>
      </w:divBdr>
    </w:div>
    <w:div w:id="1417097660">
      <w:bodyDiv w:val="1"/>
      <w:marLeft w:val="0"/>
      <w:marRight w:val="0"/>
      <w:marTop w:val="0"/>
      <w:marBottom w:val="0"/>
      <w:divBdr>
        <w:top w:val="none" w:sz="0" w:space="0" w:color="auto"/>
        <w:left w:val="none" w:sz="0" w:space="0" w:color="auto"/>
        <w:bottom w:val="none" w:sz="0" w:space="0" w:color="auto"/>
        <w:right w:val="none" w:sz="0" w:space="0" w:color="auto"/>
      </w:divBdr>
    </w:div>
    <w:div w:id="174399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emf"/><Relationship Id="rId39" Type="http://schemas.openxmlformats.org/officeDocument/2006/relationships/image" Target="media/image26.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10" Type="http://schemas.openxmlformats.org/officeDocument/2006/relationships/header" Target="header1.xml"/><Relationship Id="rId19" Type="http://schemas.openxmlformats.org/officeDocument/2006/relationships/image" Target="media/image6.emf"/><Relationship Id="rId31" Type="http://schemas.openxmlformats.org/officeDocument/2006/relationships/image" Target="media/image18.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89871-E566-4C59-B744-7F9718D2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28</Pages>
  <Words>4662</Words>
  <Characters>28267</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32864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MAY Jessica</dc:creator>
  <cp:lastModifiedBy>MAY Jessica</cp:lastModifiedBy>
  <cp:revision>11</cp:revision>
  <cp:lastPrinted>2014-08-27T09:57:00Z</cp:lastPrinted>
  <dcterms:created xsi:type="dcterms:W3CDTF">2014-07-17T16:24:00Z</dcterms:created>
  <dcterms:modified xsi:type="dcterms:W3CDTF">2014-08-29T12:49:00Z</dcterms:modified>
</cp:coreProperties>
</file>