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C5280D" w:rsidRDefault="0067078A" w:rsidP="00B67220">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B67220">
            <w:pPr>
              <w:pStyle w:val="Lettrine"/>
            </w:pPr>
            <w:r w:rsidRPr="00C5280D">
              <w:t>E</w:t>
            </w:r>
          </w:p>
          <w:p w:rsidR="0067078A" w:rsidRPr="00C5280D" w:rsidRDefault="0067078A" w:rsidP="00B67220">
            <w:pPr>
              <w:pStyle w:val="Docoriginal"/>
            </w:pPr>
            <w:r>
              <w:t>C/48/</w:t>
            </w:r>
            <w:bookmarkStart w:id="1" w:name="Code"/>
            <w:bookmarkEnd w:id="1"/>
            <w:r w:rsidR="004B23F2">
              <w:t>1</w:t>
            </w:r>
            <w:r w:rsidR="00BF3DD1">
              <w:t>4</w:t>
            </w:r>
          </w:p>
          <w:p w:rsidR="0067078A" w:rsidRPr="00B46575" w:rsidRDefault="0067078A" w:rsidP="00B67220">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2" w:name="Original"/>
            <w:bookmarkEnd w:id="2"/>
            <w:r w:rsidR="00BF3DD1">
              <w:rPr>
                <w:b w:val="0"/>
                <w:spacing w:val="0"/>
              </w:rPr>
              <w:t>French</w:t>
            </w:r>
          </w:p>
          <w:p w:rsidR="0067078A" w:rsidRPr="00215349" w:rsidRDefault="0067078A" w:rsidP="00215349">
            <w:pPr>
              <w:pStyle w:val="Docoriginal"/>
              <w:rPr>
                <w:b w:val="0"/>
                <w:spacing w:val="0"/>
              </w:rPr>
            </w:pPr>
            <w:r w:rsidRPr="0033507D">
              <w:t xml:space="preserve">DATE: </w:t>
            </w:r>
            <w:r w:rsidRPr="00B46575">
              <w:rPr>
                <w:rStyle w:val="StyleDocoriginalNotBold1"/>
                <w:spacing w:val="0"/>
              </w:rPr>
              <w:t xml:space="preserve"> </w:t>
            </w:r>
            <w:bookmarkStart w:id="3" w:name="Date"/>
            <w:bookmarkEnd w:id="3"/>
            <w:r w:rsidR="00BF3DD1" w:rsidRPr="00BF3DD1">
              <w:rPr>
                <w:b w:val="0"/>
                <w:spacing w:val="0"/>
              </w:rPr>
              <w:t xml:space="preserve">July </w:t>
            </w:r>
            <w:r w:rsidR="00215349">
              <w:rPr>
                <w:b w:val="0"/>
                <w:spacing w:val="0"/>
              </w:rPr>
              <w:t>28</w:t>
            </w:r>
            <w:r w:rsidRPr="00BF3DD1">
              <w:rPr>
                <w:b w:val="0"/>
                <w:spacing w:val="0"/>
              </w:rPr>
              <w:t>, 2014</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BF3DD1" w:rsidRPr="00235E8C" w:rsidRDefault="00BF3DD1" w:rsidP="00BF3DD1">
      <w:pPr>
        <w:pStyle w:val="Titleofdoc0"/>
      </w:pPr>
      <w:r w:rsidRPr="00235E8C">
        <w:t xml:space="preserve">REPORT OF THE EXTERNAL AUDITOR: </w:t>
      </w:r>
      <w:r w:rsidRPr="00235E8C">
        <w:br/>
        <w:t>AUDIT OF THE 2013 FINANCIAL STATEMENTS</w:t>
      </w:r>
    </w:p>
    <w:p w:rsidR="00BF3DD1" w:rsidRPr="00235E8C" w:rsidRDefault="00BF3DD1" w:rsidP="00BF3DD1">
      <w:pPr>
        <w:pStyle w:val="preparedby1"/>
        <w:rPr>
          <w:color w:val="A6A6A6" w:themeColor="background1" w:themeShade="A6"/>
        </w:rPr>
      </w:pPr>
      <w:r w:rsidRPr="00235E8C">
        <w:rPr>
          <w:iCs/>
        </w:rPr>
        <w:t>Document prepared by the Office of the Union</w:t>
      </w:r>
      <w:r w:rsidRPr="00235E8C">
        <w:br/>
      </w:r>
      <w:r w:rsidRPr="00235E8C">
        <w:br/>
      </w:r>
      <w:bookmarkStart w:id="4" w:name="_Toc329002932"/>
      <w:bookmarkStart w:id="5" w:name="_Toc355188889"/>
      <w:r w:rsidRPr="00235E8C">
        <w:rPr>
          <w:iCs/>
          <w:color w:val="A6A6A6" w:themeColor="background1" w:themeShade="A6"/>
        </w:rPr>
        <w:t>Disclaimer: this document does not represent UPOV policies or guidance</w:t>
      </w:r>
    </w:p>
    <w:p w:rsidR="00BF3DD1" w:rsidRPr="00235E8C" w:rsidRDefault="00BF3DD1" w:rsidP="00BF3DD1">
      <w:r w:rsidRPr="00235E8C">
        <w:fldChar w:fldCharType="begin"/>
      </w:r>
      <w:r w:rsidRPr="00235E8C">
        <w:instrText xml:space="preserve"> AUTONUM  </w:instrText>
      </w:r>
      <w:r w:rsidRPr="00235E8C">
        <w:fldChar w:fldCharType="end"/>
      </w:r>
      <w:r w:rsidRPr="00235E8C">
        <w:tab/>
        <w:t xml:space="preserve">The Financial Statements of the International Union for the Protection of New Varieties of Plants (UPOV) for the year ended December 31, 2013, together with the audit report of the External Auditor, are transmitted to the Council in accordance with Regulation 6.5 of the Financial Regulations and Rules of UPOV (document UPOV/INF/4/3), which requires that the Council examine and approve the financial statements.  The Financial Statements for 2013 are presented in document C/48/13.  The </w:t>
      </w:r>
      <w:r w:rsidR="007E6017" w:rsidRPr="00235E8C">
        <w:t xml:space="preserve">Annex </w:t>
      </w:r>
      <w:r w:rsidRPr="00235E8C">
        <w:t>to this document contains the audit report of the External Auditor.</w:t>
      </w:r>
    </w:p>
    <w:p w:rsidR="00BF3DD1" w:rsidRPr="00235E8C" w:rsidRDefault="00BF3DD1" w:rsidP="00BF3DD1">
      <w:pPr>
        <w:pStyle w:val="DecisionParagraphs"/>
      </w:pPr>
    </w:p>
    <w:p w:rsidR="00BF3DD1" w:rsidRDefault="00BF3DD1" w:rsidP="00BF3DD1">
      <w:pPr>
        <w:pStyle w:val="DecisionParagraphs"/>
        <w:rPr>
          <w:rFonts w:cs="Arial"/>
        </w:rPr>
      </w:pPr>
      <w:r w:rsidRPr="00235E8C">
        <w:rPr>
          <w:rFonts w:cs="Arial"/>
        </w:rPr>
        <w:fldChar w:fldCharType="begin"/>
      </w:r>
      <w:r w:rsidRPr="00235E8C">
        <w:rPr>
          <w:rFonts w:cs="Arial"/>
        </w:rPr>
        <w:instrText xml:space="preserve"> AUTONUM  </w:instrText>
      </w:r>
      <w:r w:rsidRPr="00235E8C">
        <w:rPr>
          <w:rFonts w:cs="Arial"/>
        </w:rPr>
        <w:fldChar w:fldCharType="end"/>
      </w:r>
      <w:r w:rsidRPr="00235E8C">
        <w:rPr>
          <w:rFonts w:cs="Arial"/>
        </w:rPr>
        <w:tab/>
        <w:t>The Council is invited to take note of the present document.</w:t>
      </w:r>
    </w:p>
    <w:p w:rsidR="00BF3DD1" w:rsidRPr="00235E8C" w:rsidRDefault="007E6017" w:rsidP="007E6017">
      <w:pPr>
        <w:pStyle w:val="DecisionParagraphs"/>
        <w:jc w:val="right"/>
        <w:rPr>
          <w:snapToGrid w:val="0"/>
        </w:rPr>
      </w:pPr>
      <w:r>
        <w:rPr>
          <w:rFonts w:cs="Arial"/>
        </w:rPr>
        <w:br/>
      </w:r>
      <w:r>
        <w:rPr>
          <w:rFonts w:cs="Arial"/>
        </w:rPr>
        <w:br/>
      </w:r>
      <w:bookmarkEnd w:id="4"/>
      <w:bookmarkEnd w:id="5"/>
      <w:r w:rsidR="00BF3DD1" w:rsidRPr="00235E8C">
        <w:rPr>
          <w:snapToGrid w:val="0"/>
        </w:rPr>
        <w:t>[Annex follows]</w:t>
      </w:r>
    </w:p>
    <w:p w:rsidR="00BF3DD1" w:rsidRPr="00235E8C" w:rsidRDefault="00BF3DD1" w:rsidP="00BF3DD1">
      <w:pPr>
        <w:pStyle w:val="endofdoc"/>
        <w:sectPr w:rsidR="00BF3DD1" w:rsidRPr="00235E8C" w:rsidSect="00906DDC">
          <w:headerReference w:type="default" r:id="rId9"/>
          <w:pgSz w:w="11907" w:h="16840" w:code="9"/>
          <w:pgMar w:top="510" w:right="1134" w:bottom="1134" w:left="1134" w:header="510" w:footer="680" w:gutter="0"/>
          <w:cols w:space="720"/>
          <w:titlePg/>
        </w:sectPr>
      </w:pPr>
    </w:p>
    <w:p w:rsidR="00BF3DD1" w:rsidRPr="00235E8C" w:rsidRDefault="00BF3DD1" w:rsidP="00BF3DD1">
      <w:pPr>
        <w:jc w:val="center"/>
      </w:pPr>
      <w:r w:rsidRPr="00235E8C">
        <w:lastRenderedPageBreak/>
        <w:t>C/48/14</w:t>
      </w:r>
    </w:p>
    <w:p w:rsidR="00BF3DD1" w:rsidRPr="00235E8C" w:rsidRDefault="00BF3DD1" w:rsidP="00BF3DD1">
      <w:pPr>
        <w:jc w:val="center"/>
      </w:pPr>
    </w:p>
    <w:p w:rsidR="00BF3DD1" w:rsidRPr="00235E8C" w:rsidRDefault="00BF3DD1" w:rsidP="00BF3DD1">
      <w:pPr>
        <w:jc w:val="center"/>
      </w:pPr>
      <w:r w:rsidRPr="00235E8C">
        <w:t>ANNEX</w:t>
      </w:r>
    </w:p>
    <w:p w:rsidR="00BF3DD1" w:rsidRPr="00235E8C" w:rsidRDefault="00BF3DD1" w:rsidP="00BF3DD1">
      <w:pPr>
        <w:jc w:val="center"/>
      </w:pPr>
    </w:p>
    <w:p w:rsidR="00BF3DD1" w:rsidRPr="00235E8C" w:rsidRDefault="00BF3DD1" w:rsidP="00BF3DD1">
      <w:pPr>
        <w:jc w:val="center"/>
      </w:pPr>
    </w:p>
    <w:p w:rsidR="00BF3DD1" w:rsidRPr="00235E8C" w:rsidRDefault="00BF3DD1" w:rsidP="00BF3DD1"/>
    <w:p w:rsidR="00BF3DD1" w:rsidRPr="00235E8C" w:rsidRDefault="00BF3DD1" w:rsidP="00BF3DD1">
      <w:r w:rsidRPr="00235E8C">
        <w:rPr>
          <w:noProof/>
        </w:rPr>
        <mc:AlternateContent>
          <mc:Choice Requires="wps">
            <w:drawing>
              <wp:anchor distT="0" distB="0" distL="114300" distR="114300" simplePos="0" relativeHeight="251661312" behindDoc="0" locked="0" layoutInCell="1" allowOverlap="1" wp14:anchorId="2C31B954" wp14:editId="0A9FA80E">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DD1" w:rsidRPr="00A17459" w:rsidRDefault="00BF3DD1" w:rsidP="00BF3DD1">
                            <w:pPr>
                              <w:spacing w:before="120" w:after="360"/>
                              <w:rPr>
                                <w:rFonts w:ascii="Tahoma" w:hAnsi="Tahoma" w:cs="Tahoma"/>
                                <w:sz w:val="28"/>
                                <w:szCs w:val="28"/>
                              </w:rPr>
                            </w:pPr>
                            <w:r w:rsidRPr="00A17459">
                              <w:rPr>
                                <w:rFonts w:ascii="Tahoma" w:hAnsi="Tahoma" w:cs="Tahoma"/>
                                <w:sz w:val="28"/>
                                <w:szCs w:val="28"/>
                              </w:rPr>
                              <w:t>Report of the Auditor</w:t>
                            </w:r>
                          </w:p>
                          <w:p w:rsidR="00BF3DD1" w:rsidRPr="00A17459" w:rsidRDefault="00BF3DD1" w:rsidP="00BF3DD1">
                            <w:pPr>
                              <w:rPr>
                                <w:rFonts w:ascii="Tahoma" w:hAnsi="Tahoma" w:cs="Tahoma"/>
                                <w:b/>
                                <w:sz w:val="28"/>
                                <w:szCs w:val="28"/>
                              </w:rPr>
                            </w:pPr>
                            <w:r w:rsidRPr="00A17459">
                              <w:rPr>
                                <w:rFonts w:ascii="Tahoma" w:hAnsi="Tahoma" w:cs="Tahoma"/>
                                <w:b/>
                                <w:bCs/>
                                <w:sz w:val="28"/>
                                <w:szCs w:val="28"/>
                              </w:rPr>
                              <w:t>INTERNATIONAL UNION FOR THE PROTECTION O</w:t>
                            </w:r>
                            <w:r>
                              <w:rPr>
                                <w:rFonts w:ascii="Tahoma" w:hAnsi="Tahoma" w:cs="Tahoma"/>
                                <w:b/>
                                <w:bCs/>
                                <w:sz w:val="28"/>
                                <w:szCs w:val="28"/>
                              </w:rPr>
                              <w:t xml:space="preserve">F NEW VARIETIES OF PLANTS </w:t>
                            </w:r>
                            <w:r w:rsidRPr="00A17459">
                              <w:rPr>
                                <w:rFonts w:ascii="Tahoma" w:hAnsi="Tahoma" w:cs="Tahoma"/>
                                <w:b/>
                                <w:sz w:val="28"/>
                                <w:szCs w:val="28"/>
                              </w:rPr>
                              <w:t>(UPOV)</w:t>
                            </w:r>
                          </w:p>
                          <w:p w:rsidR="00BF3DD1" w:rsidRPr="00A17459" w:rsidRDefault="00BF3DD1" w:rsidP="00BF3DD1">
                            <w:pPr>
                              <w:spacing w:after="360"/>
                              <w:rPr>
                                <w:rFonts w:ascii="Tahoma" w:hAnsi="Tahoma" w:cs="Tahoma"/>
                                <w:sz w:val="28"/>
                                <w:szCs w:val="28"/>
                              </w:rPr>
                            </w:pPr>
                          </w:p>
                          <w:p w:rsidR="00BF3DD1" w:rsidRDefault="00BF3DD1" w:rsidP="00BF3DD1">
                            <w:pPr>
                              <w:jc w:val="right"/>
                              <w:rPr>
                                <w:rFonts w:ascii="Tahoma" w:hAnsi="Tahoma" w:cs="Tahoma"/>
                                <w:sz w:val="28"/>
                                <w:szCs w:val="28"/>
                                <w:lang w:val="fr-FR"/>
                              </w:rPr>
                            </w:pPr>
                            <w:r w:rsidRPr="000C2A53">
                              <w:rPr>
                                <w:rFonts w:ascii="Tahoma" w:hAnsi="Tahoma" w:cs="Tahoma"/>
                                <w:sz w:val="28"/>
                                <w:szCs w:val="28"/>
                                <w:lang w:val="fr-FR"/>
                              </w:rPr>
                              <w:t xml:space="preserve">Audit </w:t>
                            </w:r>
                            <w:r>
                              <w:rPr>
                                <w:rFonts w:ascii="Tahoma" w:hAnsi="Tahoma" w:cs="Tahoma"/>
                                <w:sz w:val="28"/>
                                <w:szCs w:val="28"/>
                                <w:lang w:val="fr-FR"/>
                              </w:rPr>
                              <w:t xml:space="preserve">of 2013 </w:t>
                            </w:r>
                            <w:r w:rsidRPr="00EB54FA">
                              <w:rPr>
                                <w:rFonts w:ascii="Tahoma" w:hAnsi="Tahoma" w:cs="Tahoma"/>
                                <w:sz w:val="28"/>
                                <w:szCs w:val="28"/>
                              </w:rPr>
                              <w:t>financial</w:t>
                            </w:r>
                            <w:r>
                              <w:rPr>
                                <w:rFonts w:ascii="Tahoma" w:hAnsi="Tahoma" w:cs="Tahoma"/>
                                <w:sz w:val="28"/>
                                <w:szCs w:val="28"/>
                                <w:lang w:val="fr-FR"/>
                              </w:rPr>
                              <w:t xml:space="preserve"> </w:t>
                            </w:r>
                            <w:r w:rsidRPr="00EB54FA">
                              <w:rPr>
                                <w:rFonts w:ascii="Tahoma" w:hAnsi="Tahoma" w:cs="Tahoma"/>
                                <w:sz w:val="28"/>
                                <w:szCs w:val="28"/>
                              </w:rPr>
                              <w:t>statements</w:t>
                            </w:r>
                          </w:p>
                          <w:p w:rsidR="00BF3DD1" w:rsidRPr="000C2A53" w:rsidRDefault="00BF3DD1" w:rsidP="00BF3DD1">
                            <w:pPr>
                              <w:jc w:val="right"/>
                              <w:rPr>
                                <w:rFonts w:ascii="Tahoma" w:hAnsi="Tahoma" w:cs="Tahoma"/>
                                <w:sz w:val="28"/>
                                <w:szCs w:val="28"/>
                                <w:lang w:val="fr-FR"/>
                              </w:rPr>
                            </w:pPr>
                          </w:p>
                          <w:p w:rsidR="00BF3DD1" w:rsidRPr="00A75479" w:rsidRDefault="00BF3DD1" w:rsidP="00BF3DD1">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muuAIAALo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" filled="f" fillcolor="#d8d8d8" stroked="f">
                <v:textbox>
                  <w:txbxContent>
                    <w:p w:rsidR="00BF3DD1" w:rsidRPr="00A17459" w:rsidRDefault="00BF3DD1" w:rsidP="00BF3DD1">
                      <w:pPr>
                        <w:spacing w:before="120" w:after="360"/>
                        <w:rPr>
                          <w:rFonts w:ascii="Tahoma" w:hAnsi="Tahoma" w:cs="Tahoma"/>
                          <w:sz w:val="28"/>
                          <w:szCs w:val="28"/>
                        </w:rPr>
                      </w:pPr>
                      <w:r w:rsidRPr="00A17459">
                        <w:rPr>
                          <w:rFonts w:ascii="Tahoma" w:hAnsi="Tahoma" w:cs="Tahoma"/>
                          <w:sz w:val="28"/>
                          <w:szCs w:val="28"/>
                        </w:rPr>
                        <w:t>Report of the Auditor</w:t>
                      </w:r>
                    </w:p>
                    <w:p w:rsidR="00BF3DD1" w:rsidRPr="00A17459" w:rsidRDefault="00BF3DD1" w:rsidP="00BF3DD1">
                      <w:pPr>
                        <w:rPr>
                          <w:rFonts w:ascii="Tahoma" w:hAnsi="Tahoma" w:cs="Tahoma"/>
                          <w:b/>
                          <w:sz w:val="28"/>
                          <w:szCs w:val="28"/>
                        </w:rPr>
                      </w:pPr>
                      <w:r w:rsidRPr="00A17459">
                        <w:rPr>
                          <w:rFonts w:ascii="Tahoma" w:hAnsi="Tahoma" w:cs="Tahoma"/>
                          <w:b/>
                          <w:bCs/>
                          <w:sz w:val="28"/>
                          <w:szCs w:val="28"/>
                        </w:rPr>
                        <w:t>INTERNATIONAL UNION FOR THE PROTECTION O</w:t>
                      </w:r>
                      <w:r>
                        <w:rPr>
                          <w:rFonts w:ascii="Tahoma" w:hAnsi="Tahoma" w:cs="Tahoma"/>
                          <w:b/>
                          <w:bCs/>
                          <w:sz w:val="28"/>
                          <w:szCs w:val="28"/>
                        </w:rPr>
                        <w:t xml:space="preserve">F NEW VARIETIES OF PLANTS </w:t>
                      </w:r>
                      <w:r w:rsidRPr="00A17459">
                        <w:rPr>
                          <w:rFonts w:ascii="Tahoma" w:hAnsi="Tahoma" w:cs="Tahoma"/>
                          <w:b/>
                          <w:sz w:val="28"/>
                          <w:szCs w:val="28"/>
                        </w:rPr>
                        <w:t>(UPOV)</w:t>
                      </w:r>
                    </w:p>
                    <w:p w:rsidR="00BF3DD1" w:rsidRPr="00A17459" w:rsidRDefault="00BF3DD1" w:rsidP="00BF3DD1">
                      <w:pPr>
                        <w:spacing w:after="360"/>
                        <w:rPr>
                          <w:rFonts w:ascii="Tahoma" w:hAnsi="Tahoma" w:cs="Tahoma"/>
                          <w:sz w:val="28"/>
                          <w:szCs w:val="28"/>
                        </w:rPr>
                      </w:pPr>
                    </w:p>
                    <w:p w:rsidR="00BF3DD1" w:rsidRDefault="00BF3DD1" w:rsidP="00BF3DD1">
                      <w:pPr>
                        <w:jc w:val="right"/>
                        <w:rPr>
                          <w:rFonts w:ascii="Tahoma" w:hAnsi="Tahoma" w:cs="Tahoma"/>
                          <w:sz w:val="28"/>
                          <w:szCs w:val="28"/>
                          <w:lang w:val="fr-FR"/>
                        </w:rPr>
                      </w:pPr>
                      <w:r w:rsidRPr="000C2A53">
                        <w:rPr>
                          <w:rFonts w:ascii="Tahoma" w:hAnsi="Tahoma" w:cs="Tahoma"/>
                          <w:sz w:val="28"/>
                          <w:szCs w:val="28"/>
                          <w:lang w:val="fr-FR"/>
                        </w:rPr>
                        <w:t xml:space="preserve">Audit </w:t>
                      </w:r>
                      <w:r>
                        <w:rPr>
                          <w:rFonts w:ascii="Tahoma" w:hAnsi="Tahoma" w:cs="Tahoma"/>
                          <w:sz w:val="28"/>
                          <w:szCs w:val="28"/>
                          <w:lang w:val="fr-FR"/>
                        </w:rPr>
                        <w:t xml:space="preserve">of 2013 </w:t>
                      </w:r>
                      <w:r w:rsidRPr="00EB54FA">
                        <w:rPr>
                          <w:rFonts w:ascii="Tahoma" w:hAnsi="Tahoma" w:cs="Tahoma"/>
                          <w:sz w:val="28"/>
                          <w:szCs w:val="28"/>
                        </w:rPr>
                        <w:t>financial</w:t>
                      </w:r>
                      <w:r>
                        <w:rPr>
                          <w:rFonts w:ascii="Tahoma" w:hAnsi="Tahoma" w:cs="Tahoma"/>
                          <w:sz w:val="28"/>
                          <w:szCs w:val="28"/>
                          <w:lang w:val="fr-FR"/>
                        </w:rPr>
                        <w:t xml:space="preserve"> </w:t>
                      </w:r>
                      <w:r w:rsidRPr="00EB54FA">
                        <w:rPr>
                          <w:rFonts w:ascii="Tahoma" w:hAnsi="Tahoma" w:cs="Tahoma"/>
                          <w:sz w:val="28"/>
                          <w:szCs w:val="28"/>
                        </w:rPr>
                        <w:t>statements</w:t>
                      </w:r>
                    </w:p>
                    <w:p w:rsidR="00BF3DD1" w:rsidRPr="000C2A53" w:rsidRDefault="00BF3DD1" w:rsidP="00BF3DD1">
                      <w:pPr>
                        <w:jc w:val="right"/>
                        <w:rPr>
                          <w:rFonts w:ascii="Tahoma" w:hAnsi="Tahoma" w:cs="Tahoma"/>
                          <w:sz w:val="28"/>
                          <w:szCs w:val="28"/>
                          <w:lang w:val="fr-FR"/>
                        </w:rPr>
                      </w:pPr>
                    </w:p>
                    <w:p w:rsidR="00BF3DD1" w:rsidRPr="00A75479" w:rsidRDefault="00BF3DD1" w:rsidP="00BF3DD1">
                      <w:pPr>
                        <w:jc w:val="right"/>
                        <w:rPr>
                          <w:rFonts w:ascii="Tahoma" w:hAnsi="Tahoma" w:cs="Tahoma"/>
                          <w:sz w:val="28"/>
                          <w:szCs w:val="28"/>
                          <w:lang w:val="fr-FR"/>
                        </w:rPr>
                      </w:pPr>
                    </w:p>
                  </w:txbxContent>
                </v:textbox>
              </v:shape>
            </w:pict>
          </mc:Fallback>
        </mc:AlternateContent>
      </w:r>
      <w:r w:rsidRPr="00235E8C">
        <w:rPr>
          <w:noProof/>
        </w:rPr>
        <mc:AlternateContent>
          <mc:Choice Requires="wps">
            <w:drawing>
              <wp:anchor distT="0" distB="0" distL="114300" distR="114300" simplePos="0" relativeHeight="251660288" behindDoc="0" locked="0" layoutInCell="1" allowOverlap="1" wp14:anchorId="29FEE114" wp14:editId="320D7463">
                <wp:simplePos x="0" y="0"/>
                <wp:positionH relativeFrom="column">
                  <wp:posOffset>-51435</wp:posOffset>
                </wp:positionH>
                <wp:positionV relativeFrom="paragraph">
                  <wp:posOffset>839470</wp:posOffset>
                </wp:positionV>
                <wp:extent cx="2371725" cy="8239125"/>
                <wp:effectExtent l="0" t="1270"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DD1" w:rsidRPr="003A2716" w:rsidRDefault="00BF3DD1" w:rsidP="00BF3DD1">
                            <w:pPr>
                              <w:spacing w:before="120" w:line="240" w:lineRule="atLeast"/>
                              <w:rPr>
                                <w:rFonts w:ascii="Tahoma" w:hAnsi="Tahoma" w:cs="Tahoma"/>
                                <w:i/>
                                <w:iCs/>
                                <w:sz w:val="16"/>
                                <w:szCs w:val="16"/>
                              </w:rPr>
                            </w:pPr>
                            <w:r w:rsidRPr="003A2716">
                              <w:rPr>
                                <w:rFonts w:ascii="Tahoma" w:hAnsi="Tahoma" w:cs="Tahoma"/>
                                <w:i/>
                                <w:sz w:val="16"/>
                                <w:szCs w:val="16"/>
                              </w:rPr>
                              <w:t xml:space="preserve">The mandate of external auditor of the financial statements of the International Union for the Protection of </w:t>
                            </w:r>
                            <w:r>
                              <w:rPr>
                                <w:rFonts w:ascii="Tahoma" w:hAnsi="Tahoma" w:cs="Tahoma"/>
                                <w:i/>
                                <w:sz w:val="16"/>
                                <w:szCs w:val="16"/>
                              </w:rPr>
                              <w:t xml:space="preserve">New Varieties of </w:t>
                            </w:r>
                            <w:r w:rsidRPr="003A2716">
                              <w:rPr>
                                <w:rFonts w:ascii="Tahoma" w:hAnsi="Tahoma" w:cs="Tahoma"/>
                                <w:i/>
                                <w:sz w:val="16"/>
                                <w:szCs w:val="16"/>
                              </w:rPr>
                              <w:t>Plants (UPOV) is traditionally carried out by members of the highest authority of public financial auditing of the selected country</w:t>
                            </w:r>
                            <w:r>
                              <w:rPr>
                                <w:rFonts w:ascii="Tahoma" w:hAnsi="Tahoma" w:cs="Tahoma"/>
                                <w:i/>
                                <w:sz w:val="16"/>
                                <w:szCs w:val="16"/>
                              </w:rPr>
                              <w:t xml:space="preserve">. </w:t>
                            </w:r>
                            <w:r w:rsidRPr="003A2716">
                              <w:rPr>
                                <w:rFonts w:ascii="Tahoma" w:hAnsi="Tahoma" w:cs="Tahoma"/>
                                <w:i/>
                                <w:iCs/>
                                <w:sz w:val="16"/>
                                <w:szCs w:val="16"/>
                              </w:rPr>
                              <w:t xml:space="preserve">On the strength of this provision and in accordance with Article 25 of the International Convention of December 2, 1961, as revised in 1978, and Article 29(6) of the 1991 Act, the UPOV Council, at its Forty-Fifth Ordinary Session held in Geneva on October 20, 2011, </w:t>
                            </w:r>
                            <w:r>
                              <w:rPr>
                                <w:rFonts w:ascii="Tahoma" w:hAnsi="Tahoma" w:cs="Tahoma"/>
                                <w:i/>
                                <w:iCs/>
                                <w:sz w:val="16"/>
                                <w:szCs w:val="16"/>
                              </w:rPr>
                              <w:t>renewed Switzerland’s mandate as Auditor, which is performed by the Director of the Swiss Federal Audit Office (“my Office”), until the year 2017 inclusive.</w:t>
                            </w:r>
                          </w:p>
                          <w:p w:rsidR="00BF3DD1" w:rsidRPr="001A1799" w:rsidRDefault="00BF3DD1" w:rsidP="00BF3DD1">
                            <w:pPr>
                              <w:spacing w:line="240" w:lineRule="atLeast"/>
                              <w:rPr>
                                <w:rFonts w:ascii="Tahoma" w:hAnsi="Tahoma"/>
                                <w:i/>
                                <w:sz w:val="16"/>
                              </w:rPr>
                            </w:pPr>
                          </w:p>
                          <w:p w:rsidR="00BF3DD1" w:rsidRPr="003A2716" w:rsidRDefault="00BF3DD1" w:rsidP="00BF3DD1">
                            <w:pPr>
                              <w:spacing w:line="240" w:lineRule="atLeast"/>
                              <w:rPr>
                                <w:rFonts w:ascii="Tahoma" w:hAnsi="Tahoma" w:cs="Tahoma"/>
                                <w:i/>
                                <w:sz w:val="16"/>
                                <w:szCs w:val="16"/>
                              </w:rPr>
                            </w:pPr>
                            <w:r w:rsidRPr="003A2716">
                              <w:rPr>
                                <w:rFonts w:ascii="Tahoma" w:hAnsi="Tahoma" w:cs="Tahoma"/>
                                <w:i/>
                                <w:sz w:val="16"/>
                                <w:szCs w:val="16"/>
                              </w:rPr>
                              <w:t>The mandate is set out in Annex II</w:t>
                            </w:r>
                            <w:r>
                              <w:rPr>
                                <w:rFonts w:ascii="Tahoma" w:hAnsi="Tahoma" w:cs="Tahoma"/>
                                <w:i/>
                                <w:sz w:val="16"/>
                                <w:szCs w:val="16"/>
                              </w:rPr>
                              <w:t xml:space="preserve"> of the Financial Regulations and Rules of UPOV. The arrangements for the audit were also set out in the letter of 13 May 2013</w:t>
                            </w:r>
                            <w:r w:rsidRPr="00407A37">
                              <w:rPr>
                                <w:rFonts w:ascii="Tahoma" w:hAnsi="Tahoma" w:cs="Tahoma"/>
                                <w:i/>
                                <w:sz w:val="16"/>
                                <w:szCs w:val="16"/>
                              </w:rPr>
                              <w:t xml:space="preserve"> </w:t>
                            </w:r>
                            <w:r>
                              <w:rPr>
                                <w:rFonts w:ascii="Tahoma" w:hAnsi="Tahoma" w:cs="Tahoma"/>
                                <w:i/>
                                <w:sz w:val="16"/>
                                <w:szCs w:val="16"/>
                              </w:rPr>
                              <w:t xml:space="preserve">confirming the mandate and UPOV accepted these terms in its response of 28 May 2013.  The members of my Office responsible for this mandate carry out their duties autonomously and independently with the help of their colleagues. </w:t>
                            </w:r>
                          </w:p>
                          <w:p w:rsidR="00BF3DD1" w:rsidRPr="00407A37" w:rsidRDefault="00BF3DD1" w:rsidP="00BF3DD1">
                            <w:pPr>
                              <w:spacing w:line="240" w:lineRule="atLeast"/>
                              <w:rPr>
                                <w:rFonts w:ascii="Tahoma" w:hAnsi="Tahoma" w:cs="Tahoma"/>
                                <w:i/>
                                <w:sz w:val="16"/>
                                <w:szCs w:val="16"/>
                              </w:rPr>
                            </w:pPr>
                          </w:p>
                          <w:p w:rsidR="00BF3DD1" w:rsidRDefault="00BF3DD1" w:rsidP="00BF3DD1">
                            <w:pPr>
                              <w:spacing w:line="240" w:lineRule="atLeast"/>
                              <w:rPr>
                                <w:rFonts w:ascii="Tahoma" w:hAnsi="Tahoma" w:cs="Tahoma"/>
                                <w:i/>
                                <w:iCs/>
                                <w:sz w:val="16"/>
                                <w:szCs w:val="16"/>
                              </w:rPr>
                            </w:pPr>
                            <w:r w:rsidRPr="00407A37">
                              <w:rPr>
                                <w:rFonts w:ascii="Tahoma" w:hAnsi="Tahoma" w:cs="Tahoma"/>
                                <w:i/>
                                <w:iCs/>
                                <w:sz w:val="16"/>
                                <w:szCs w:val="16"/>
                              </w:rPr>
                              <w:t xml:space="preserve">My Office carries out external audits of the accounts of UPOV in a completely independent manner from its role as the supreme organ of financial supervision of the Swiss Confederation. My Office employs a team of highly-qualified professionals with broad experience of audits in international organizations. </w:t>
                            </w:r>
                          </w:p>
                          <w:p w:rsidR="00BF3DD1" w:rsidRDefault="00BF3DD1" w:rsidP="00BF3DD1">
                            <w:pPr>
                              <w:spacing w:line="240" w:lineRule="atLeast"/>
                              <w:rPr>
                                <w:rFonts w:ascii="Tahoma" w:hAnsi="Tahoma" w:cs="Tahoma"/>
                                <w:i/>
                                <w:iCs/>
                                <w:sz w:val="16"/>
                                <w:szCs w:val="16"/>
                              </w:rPr>
                            </w:pPr>
                          </w:p>
                          <w:p w:rsidR="00BF3DD1" w:rsidRPr="00407A37" w:rsidRDefault="00BF3DD1" w:rsidP="00BF3DD1">
                            <w:pPr>
                              <w:spacing w:line="240" w:lineRule="atLeast"/>
                              <w:rPr>
                                <w:rFonts w:ascii="Tahoma" w:hAnsi="Tahoma"/>
                                <w:i/>
                                <w:sz w:val="16"/>
                              </w:rPr>
                            </w:pPr>
                            <w:r w:rsidRPr="00A17459">
                              <w:rPr>
                                <w:rFonts w:ascii="Tahoma" w:hAnsi="Tahoma" w:cs="Tahoma"/>
                                <w:i/>
                                <w:sz w:val="16"/>
                                <w:szCs w:val="16"/>
                                <w:u w:val="single"/>
                              </w:rPr>
                              <w:t>For more information, please contact</w:t>
                            </w:r>
                            <w:r w:rsidRPr="00A17459">
                              <w:rPr>
                                <w:rFonts w:ascii="Tahoma" w:hAnsi="Tahoma" w:cs="Tahoma"/>
                                <w:i/>
                                <w:sz w:val="16"/>
                                <w:szCs w:val="16"/>
                              </w:rPr>
                              <w:t>:</w:t>
                            </w:r>
                          </w:p>
                          <w:p w:rsidR="00BF3DD1" w:rsidRPr="00A17459" w:rsidRDefault="00BF3DD1" w:rsidP="00BF3DD1">
                            <w:pPr>
                              <w:spacing w:line="240" w:lineRule="atLeast"/>
                              <w:rPr>
                                <w:rFonts w:ascii="Tahoma" w:hAnsi="Tahoma" w:cs="Tahoma"/>
                                <w:i/>
                                <w:sz w:val="16"/>
                                <w:szCs w:val="16"/>
                              </w:rPr>
                            </w:pP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Eric-Serge Jeannet</w:t>
                            </w:r>
                          </w:p>
                          <w:p w:rsidR="00BF3DD1" w:rsidRPr="00A17459" w:rsidRDefault="00BF3DD1" w:rsidP="00BF3DD1">
                            <w:pPr>
                              <w:spacing w:line="240" w:lineRule="atLeast"/>
                              <w:rPr>
                                <w:rFonts w:ascii="Tahoma" w:hAnsi="Tahoma" w:cs="Tahoma"/>
                                <w:i/>
                                <w:sz w:val="16"/>
                                <w:szCs w:val="16"/>
                              </w:rPr>
                            </w:pPr>
                            <w:r>
                              <w:rPr>
                                <w:rFonts w:ascii="Tahoma" w:hAnsi="Tahoma" w:cs="Tahoma"/>
                                <w:i/>
                                <w:sz w:val="16"/>
                                <w:szCs w:val="16"/>
                              </w:rPr>
                              <w:t xml:space="preserve">Vice </w:t>
                            </w:r>
                            <w:r w:rsidRPr="00A17459">
                              <w:rPr>
                                <w:rFonts w:ascii="Tahoma" w:hAnsi="Tahoma" w:cs="Tahoma"/>
                                <w:i/>
                                <w:sz w:val="16"/>
                                <w:szCs w:val="16"/>
                              </w:rPr>
                              <w:t>Director of the Swiss Federal Audit Office</w:t>
                            </w:r>
                          </w:p>
                          <w:p w:rsidR="00BF3DD1" w:rsidRPr="00E03369" w:rsidRDefault="00BF3DD1" w:rsidP="00BF3DD1">
                            <w:pPr>
                              <w:spacing w:line="240" w:lineRule="atLeast"/>
                              <w:rPr>
                                <w:rFonts w:ascii="Tahoma" w:hAnsi="Tahoma" w:cs="Tahoma"/>
                                <w:i/>
                                <w:sz w:val="16"/>
                                <w:szCs w:val="16"/>
                                <w:lang w:val="fr-FR"/>
                              </w:rPr>
                            </w:pPr>
                            <w:r w:rsidRPr="00E03369">
                              <w:rPr>
                                <w:rFonts w:ascii="Tahoma" w:hAnsi="Tahoma" w:cs="Tahoma"/>
                                <w:i/>
                                <w:sz w:val="16"/>
                                <w:szCs w:val="16"/>
                                <w:lang w:val="fr-FR"/>
                              </w:rPr>
                              <w:t>Monbijoustrasse 45</w:t>
                            </w:r>
                          </w:p>
                          <w:p w:rsidR="00BF3DD1" w:rsidRPr="00E03369" w:rsidRDefault="00BF3DD1" w:rsidP="00BF3DD1">
                            <w:pPr>
                              <w:spacing w:line="240" w:lineRule="atLeast"/>
                              <w:rPr>
                                <w:rFonts w:ascii="Tahoma" w:hAnsi="Tahoma" w:cs="Tahoma"/>
                                <w:i/>
                                <w:sz w:val="16"/>
                                <w:szCs w:val="16"/>
                                <w:lang w:val="fr-FR"/>
                              </w:rPr>
                            </w:pPr>
                            <w:r w:rsidRPr="00E03369">
                              <w:rPr>
                                <w:rFonts w:ascii="Tahoma" w:hAnsi="Tahoma" w:cs="Tahoma"/>
                                <w:i/>
                                <w:sz w:val="16"/>
                                <w:szCs w:val="16"/>
                                <w:lang w:val="fr-FR"/>
                              </w:rPr>
                              <w:t>3003 Berne</w:t>
                            </w:r>
                          </w:p>
                          <w:p w:rsidR="00BF3DD1" w:rsidRPr="00E03369" w:rsidRDefault="00BF3DD1" w:rsidP="00BF3DD1">
                            <w:pPr>
                              <w:spacing w:line="240" w:lineRule="atLeast"/>
                              <w:rPr>
                                <w:rFonts w:ascii="Tahoma" w:hAnsi="Tahoma" w:cs="Tahoma"/>
                                <w:i/>
                                <w:sz w:val="16"/>
                                <w:szCs w:val="16"/>
                                <w:lang w:val="fr-FR"/>
                              </w:rPr>
                            </w:pPr>
                            <w:r>
                              <w:rPr>
                                <w:rFonts w:ascii="Tahoma" w:hAnsi="Tahoma" w:cs="Tahoma"/>
                                <w:i/>
                                <w:sz w:val="16"/>
                                <w:szCs w:val="16"/>
                                <w:lang w:val="fr-FR"/>
                              </w:rPr>
                              <w:t>Tel. +41 (0)58</w:t>
                            </w:r>
                            <w:r w:rsidRPr="00E03369">
                              <w:rPr>
                                <w:rFonts w:ascii="Tahoma" w:hAnsi="Tahoma" w:cs="Tahoma"/>
                                <w:i/>
                                <w:sz w:val="16"/>
                                <w:szCs w:val="16"/>
                                <w:lang w:val="fr-FR"/>
                              </w:rPr>
                              <w:t xml:space="preserve"> </w:t>
                            </w:r>
                            <w:r>
                              <w:rPr>
                                <w:rFonts w:ascii="Tahoma" w:hAnsi="Tahoma" w:cs="Tahoma"/>
                                <w:i/>
                                <w:sz w:val="16"/>
                                <w:szCs w:val="16"/>
                                <w:lang w:val="fr-FR"/>
                              </w:rPr>
                              <w:t>46</w:t>
                            </w:r>
                            <w:r w:rsidRPr="00E03369">
                              <w:rPr>
                                <w:rFonts w:ascii="Tahoma" w:hAnsi="Tahoma" w:cs="Tahoma"/>
                                <w:i/>
                                <w:sz w:val="16"/>
                                <w:szCs w:val="16"/>
                                <w:lang w:val="fr-FR"/>
                              </w:rPr>
                              <w:t>3 1</w:t>
                            </w:r>
                            <w:r>
                              <w:rPr>
                                <w:rFonts w:ascii="Tahoma" w:hAnsi="Tahoma" w:cs="Tahoma"/>
                                <w:i/>
                                <w:sz w:val="16"/>
                                <w:szCs w:val="16"/>
                                <w:lang w:val="fr-FR"/>
                              </w:rPr>
                              <w:t>0</w:t>
                            </w:r>
                            <w:r w:rsidRPr="00E03369">
                              <w:rPr>
                                <w:rFonts w:ascii="Tahoma" w:hAnsi="Tahoma" w:cs="Tahoma"/>
                                <w:i/>
                                <w:sz w:val="16"/>
                                <w:szCs w:val="16"/>
                                <w:lang w:val="fr-FR"/>
                              </w:rPr>
                              <w:t xml:space="preserve"> </w:t>
                            </w:r>
                            <w:r>
                              <w:rPr>
                                <w:rFonts w:ascii="Tahoma" w:hAnsi="Tahoma" w:cs="Tahoma"/>
                                <w:i/>
                                <w:sz w:val="16"/>
                                <w:szCs w:val="16"/>
                                <w:lang w:val="fr-FR"/>
                              </w:rPr>
                              <w:t>39</w:t>
                            </w:r>
                          </w:p>
                          <w:p w:rsidR="00BF3DD1" w:rsidRPr="00E03369" w:rsidRDefault="00BF3DD1" w:rsidP="00BF3DD1">
                            <w:pPr>
                              <w:spacing w:line="240" w:lineRule="atLeast"/>
                              <w:rPr>
                                <w:rFonts w:ascii="Tahoma" w:hAnsi="Tahoma" w:cs="Tahoma"/>
                                <w:i/>
                                <w:sz w:val="16"/>
                                <w:szCs w:val="16"/>
                                <w:lang w:val="fr-FR"/>
                              </w:rPr>
                            </w:pPr>
                            <w:r>
                              <w:rPr>
                                <w:rFonts w:ascii="Tahoma" w:hAnsi="Tahoma" w:cs="Tahoma"/>
                                <w:i/>
                                <w:sz w:val="16"/>
                                <w:szCs w:val="16"/>
                                <w:lang w:val="fr-FR"/>
                              </w:rPr>
                              <w:t>eric-serge.jeannet</w:t>
                            </w:r>
                            <w:r w:rsidRPr="00E03369">
                              <w:rPr>
                                <w:rFonts w:ascii="Tahoma" w:hAnsi="Tahoma" w:cs="Tahoma"/>
                                <w:i/>
                                <w:sz w:val="16"/>
                                <w:szCs w:val="16"/>
                                <w:lang w:val="fr-FR"/>
                              </w:rPr>
                              <w:t>@efk.admin.ch</w:t>
                            </w:r>
                          </w:p>
                          <w:p w:rsidR="00BF3DD1" w:rsidRPr="00E03369" w:rsidRDefault="00BF3DD1" w:rsidP="00BF3DD1">
                            <w:pPr>
                              <w:spacing w:line="240" w:lineRule="atLeast"/>
                              <w:rPr>
                                <w:rFonts w:ascii="Tahoma" w:hAnsi="Tahoma" w:cs="Tahoma"/>
                                <w:i/>
                                <w:sz w:val="16"/>
                                <w:szCs w:val="16"/>
                                <w:lang w:val="fr-FR"/>
                              </w:rPr>
                            </w:pP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or:</w:t>
                            </w: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Didier Monnot</w:t>
                            </w: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Officer in charge of mandates</w:t>
                            </w:r>
                          </w:p>
                          <w:p w:rsidR="00BF3DD1" w:rsidRPr="00E03369" w:rsidRDefault="00BF3DD1" w:rsidP="00BF3DD1">
                            <w:pPr>
                              <w:spacing w:line="240" w:lineRule="atLeast"/>
                              <w:rPr>
                                <w:rFonts w:ascii="Tahoma" w:hAnsi="Tahoma" w:cs="Tahoma"/>
                                <w:i/>
                                <w:sz w:val="16"/>
                                <w:szCs w:val="16"/>
                                <w:lang w:val="fr-FR"/>
                              </w:rPr>
                            </w:pPr>
                            <w:r>
                              <w:rPr>
                                <w:rFonts w:ascii="Tahoma" w:hAnsi="Tahoma" w:cs="Tahoma"/>
                                <w:i/>
                                <w:sz w:val="16"/>
                                <w:szCs w:val="16"/>
                                <w:lang w:val="fr-FR"/>
                              </w:rPr>
                              <w:t>Te</w:t>
                            </w:r>
                            <w:r w:rsidRPr="00E03369">
                              <w:rPr>
                                <w:rFonts w:ascii="Tahoma" w:hAnsi="Tahoma" w:cs="Tahoma"/>
                                <w:i/>
                                <w:sz w:val="16"/>
                                <w:szCs w:val="16"/>
                                <w:lang w:val="fr-FR"/>
                              </w:rPr>
                              <w:t>l. +41 (0)</w:t>
                            </w:r>
                            <w:r>
                              <w:rPr>
                                <w:rFonts w:ascii="Tahoma" w:hAnsi="Tahoma" w:cs="Tahoma"/>
                                <w:i/>
                                <w:sz w:val="16"/>
                                <w:szCs w:val="16"/>
                                <w:lang w:val="fr-FR"/>
                              </w:rPr>
                              <w:t>58</w:t>
                            </w:r>
                            <w:r w:rsidRPr="00E03369">
                              <w:rPr>
                                <w:rFonts w:ascii="Tahoma" w:hAnsi="Tahoma" w:cs="Tahoma"/>
                                <w:i/>
                                <w:sz w:val="16"/>
                                <w:szCs w:val="16"/>
                                <w:lang w:val="fr-FR"/>
                              </w:rPr>
                              <w:t xml:space="preserve"> </w:t>
                            </w:r>
                            <w:r>
                              <w:rPr>
                                <w:rFonts w:ascii="Tahoma" w:hAnsi="Tahoma" w:cs="Tahoma"/>
                                <w:i/>
                                <w:sz w:val="16"/>
                                <w:szCs w:val="16"/>
                                <w:lang w:val="fr-FR"/>
                              </w:rPr>
                              <w:t>463</w:t>
                            </w:r>
                            <w:r w:rsidRPr="00E03369">
                              <w:rPr>
                                <w:rFonts w:ascii="Tahoma" w:hAnsi="Tahoma" w:cs="Tahoma"/>
                                <w:i/>
                                <w:sz w:val="16"/>
                                <w:szCs w:val="16"/>
                                <w:lang w:val="fr-FR"/>
                              </w:rPr>
                              <w:t xml:space="preserve"> 10 48</w:t>
                            </w:r>
                          </w:p>
                          <w:p w:rsidR="00BF3DD1" w:rsidRPr="00E03369" w:rsidRDefault="00BF3DD1" w:rsidP="00BF3DD1">
                            <w:pPr>
                              <w:spacing w:line="240" w:lineRule="atLeast"/>
                              <w:rPr>
                                <w:rFonts w:ascii="Tahoma" w:hAnsi="Tahoma" w:cs="Tahoma"/>
                                <w:i/>
                                <w:sz w:val="16"/>
                                <w:szCs w:val="16"/>
                                <w:lang w:val="fr-FR"/>
                              </w:rPr>
                            </w:pPr>
                            <w:r w:rsidRPr="00E03369">
                              <w:rPr>
                                <w:rFonts w:ascii="Tahoma" w:hAnsi="Tahoma" w:cs="Tahoma"/>
                                <w:i/>
                                <w:sz w:val="16"/>
                                <w:szCs w:val="16"/>
                                <w:lang w:val="fr-FR"/>
                              </w:rPr>
                              <w:t>didier.monnot@efk.admin.ch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" fillcolor="#d8d8d8" stroked="f">
                <v:textbox>
                  <w:txbxContent>
                    <w:p w:rsidR="00BF3DD1" w:rsidRPr="003A2716" w:rsidRDefault="00BF3DD1" w:rsidP="00BF3DD1">
                      <w:pPr>
                        <w:spacing w:before="120" w:line="240" w:lineRule="atLeast"/>
                        <w:rPr>
                          <w:rFonts w:ascii="Tahoma" w:hAnsi="Tahoma" w:cs="Tahoma"/>
                          <w:i/>
                          <w:iCs/>
                          <w:sz w:val="16"/>
                          <w:szCs w:val="16"/>
                        </w:rPr>
                      </w:pPr>
                      <w:r w:rsidRPr="003A2716">
                        <w:rPr>
                          <w:rFonts w:ascii="Tahoma" w:hAnsi="Tahoma" w:cs="Tahoma"/>
                          <w:i/>
                          <w:sz w:val="16"/>
                          <w:szCs w:val="16"/>
                        </w:rPr>
                        <w:t xml:space="preserve">The mandate of external auditor of the financial statements of the International Union for the Protection of </w:t>
                      </w:r>
                      <w:r>
                        <w:rPr>
                          <w:rFonts w:ascii="Tahoma" w:hAnsi="Tahoma" w:cs="Tahoma"/>
                          <w:i/>
                          <w:sz w:val="16"/>
                          <w:szCs w:val="16"/>
                        </w:rPr>
                        <w:t xml:space="preserve">New Varieties of </w:t>
                      </w:r>
                      <w:r w:rsidRPr="003A2716">
                        <w:rPr>
                          <w:rFonts w:ascii="Tahoma" w:hAnsi="Tahoma" w:cs="Tahoma"/>
                          <w:i/>
                          <w:sz w:val="16"/>
                          <w:szCs w:val="16"/>
                        </w:rPr>
                        <w:t>Plants (UPOV) is traditionally carried out by members of the highest authority of public financial auditing of the selected country</w:t>
                      </w:r>
                      <w:r>
                        <w:rPr>
                          <w:rFonts w:ascii="Tahoma" w:hAnsi="Tahoma" w:cs="Tahoma"/>
                          <w:i/>
                          <w:sz w:val="16"/>
                          <w:szCs w:val="16"/>
                        </w:rPr>
                        <w:t xml:space="preserve">. </w:t>
                      </w:r>
                      <w:r w:rsidRPr="003A2716">
                        <w:rPr>
                          <w:rFonts w:ascii="Tahoma" w:hAnsi="Tahoma" w:cs="Tahoma"/>
                          <w:i/>
                          <w:iCs/>
                          <w:sz w:val="16"/>
                          <w:szCs w:val="16"/>
                        </w:rPr>
                        <w:t xml:space="preserve">On the strength of this provision and in accordance with Article 25 of the International Convention of December 2, 1961, as revised in 1978, and Article 29(6) of the 1991 Act, the UPOV Council, at its Forty-Fifth Ordinary Session held in Geneva on October 20, 2011, </w:t>
                      </w:r>
                      <w:r>
                        <w:rPr>
                          <w:rFonts w:ascii="Tahoma" w:hAnsi="Tahoma" w:cs="Tahoma"/>
                          <w:i/>
                          <w:iCs/>
                          <w:sz w:val="16"/>
                          <w:szCs w:val="16"/>
                        </w:rPr>
                        <w:t>renewed Switzerland’s mandate as Auditor, which is performed by the Director of the Swiss Federal Audit Office (“my Office”), until the year 2017 inclusive.</w:t>
                      </w:r>
                    </w:p>
                    <w:p w:rsidR="00BF3DD1" w:rsidRPr="001A1799" w:rsidRDefault="00BF3DD1" w:rsidP="00BF3DD1">
                      <w:pPr>
                        <w:spacing w:line="240" w:lineRule="atLeast"/>
                        <w:rPr>
                          <w:rFonts w:ascii="Tahoma" w:hAnsi="Tahoma"/>
                          <w:i/>
                          <w:sz w:val="16"/>
                        </w:rPr>
                      </w:pPr>
                    </w:p>
                    <w:p w:rsidR="00BF3DD1" w:rsidRPr="003A2716" w:rsidRDefault="00BF3DD1" w:rsidP="00BF3DD1">
                      <w:pPr>
                        <w:spacing w:line="240" w:lineRule="atLeast"/>
                        <w:rPr>
                          <w:rFonts w:ascii="Tahoma" w:hAnsi="Tahoma" w:cs="Tahoma"/>
                          <w:i/>
                          <w:sz w:val="16"/>
                          <w:szCs w:val="16"/>
                        </w:rPr>
                      </w:pPr>
                      <w:r w:rsidRPr="003A2716">
                        <w:rPr>
                          <w:rFonts w:ascii="Tahoma" w:hAnsi="Tahoma" w:cs="Tahoma"/>
                          <w:i/>
                          <w:sz w:val="16"/>
                          <w:szCs w:val="16"/>
                        </w:rPr>
                        <w:t>The mandate is set out in Annex II</w:t>
                      </w:r>
                      <w:r>
                        <w:rPr>
                          <w:rFonts w:ascii="Tahoma" w:hAnsi="Tahoma" w:cs="Tahoma"/>
                          <w:i/>
                          <w:sz w:val="16"/>
                          <w:szCs w:val="16"/>
                        </w:rPr>
                        <w:t xml:space="preserve"> of the Financial Regulations and Rules of UPOV. The arrangements for the audit were also set out in the letter of 13 May 2013</w:t>
                      </w:r>
                      <w:r w:rsidRPr="00407A37">
                        <w:rPr>
                          <w:rFonts w:ascii="Tahoma" w:hAnsi="Tahoma" w:cs="Tahoma"/>
                          <w:i/>
                          <w:sz w:val="16"/>
                          <w:szCs w:val="16"/>
                        </w:rPr>
                        <w:t xml:space="preserve"> </w:t>
                      </w:r>
                      <w:r>
                        <w:rPr>
                          <w:rFonts w:ascii="Tahoma" w:hAnsi="Tahoma" w:cs="Tahoma"/>
                          <w:i/>
                          <w:sz w:val="16"/>
                          <w:szCs w:val="16"/>
                        </w:rPr>
                        <w:t xml:space="preserve">confirming the mandate and UPOV accepted these terms in its response of 28 May 2013.  The members of my Office responsible for this mandate carry out their duties autonomously and independently with the help of their colleagues. </w:t>
                      </w:r>
                    </w:p>
                    <w:p w:rsidR="00BF3DD1" w:rsidRPr="00407A37" w:rsidRDefault="00BF3DD1" w:rsidP="00BF3DD1">
                      <w:pPr>
                        <w:spacing w:line="240" w:lineRule="atLeast"/>
                        <w:rPr>
                          <w:rFonts w:ascii="Tahoma" w:hAnsi="Tahoma" w:cs="Tahoma"/>
                          <w:i/>
                          <w:sz w:val="16"/>
                          <w:szCs w:val="16"/>
                        </w:rPr>
                      </w:pPr>
                    </w:p>
                    <w:p w:rsidR="00BF3DD1" w:rsidRDefault="00BF3DD1" w:rsidP="00BF3DD1">
                      <w:pPr>
                        <w:spacing w:line="240" w:lineRule="atLeast"/>
                        <w:rPr>
                          <w:rFonts w:ascii="Tahoma" w:hAnsi="Tahoma" w:cs="Tahoma"/>
                          <w:i/>
                          <w:iCs/>
                          <w:sz w:val="16"/>
                          <w:szCs w:val="16"/>
                        </w:rPr>
                      </w:pPr>
                      <w:r w:rsidRPr="00407A37">
                        <w:rPr>
                          <w:rFonts w:ascii="Tahoma" w:hAnsi="Tahoma" w:cs="Tahoma"/>
                          <w:i/>
                          <w:iCs/>
                          <w:sz w:val="16"/>
                          <w:szCs w:val="16"/>
                        </w:rPr>
                        <w:t xml:space="preserve">My Office carries out external audits of the accounts of UPOV in a completely independent manner from its role as the supreme organ of financial supervision of the Swiss Confederation. My Office employs a team of highly-qualified professionals with broad experience of audits in international organizations. </w:t>
                      </w:r>
                    </w:p>
                    <w:p w:rsidR="00BF3DD1" w:rsidRDefault="00BF3DD1" w:rsidP="00BF3DD1">
                      <w:pPr>
                        <w:spacing w:line="240" w:lineRule="atLeast"/>
                        <w:rPr>
                          <w:rFonts w:ascii="Tahoma" w:hAnsi="Tahoma" w:cs="Tahoma"/>
                          <w:i/>
                          <w:iCs/>
                          <w:sz w:val="16"/>
                          <w:szCs w:val="16"/>
                        </w:rPr>
                      </w:pPr>
                    </w:p>
                    <w:p w:rsidR="00BF3DD1" w:rsidRPr="00407A37" w:rsidRDefault="00BF3DD1" w:rsidP="00BF3DD1">
                      <w:pPr>
                        <w:spacing w:line="240" w:lineRule="atLeast"/>
                        <w:rPr>
                          <w:rFonts w:ascii="Tahoma" w:hAnsi="Tahoma"/>
                          <w:i/>
                          <w:sz w:val="16"/>
                        </w:rPr>
                      </w:pPr>
                      <w:r w:rsidRPr="00A17459">
                        <w:rPr>
                          <w:rFonts w:ascii="Tahoma" w:hAnsi="Tahoma" w:cs="Tahoma"/>
                          <w:i/>
                          <w:sz w:val="16"/>
                          <w:szCs w:val="16"/>
                          <w:u w:val="single"/>
                        </w:rPr>
                        <w:t>For more information, please contact</w:t>
                      </w:r>
                      <w:r w:rsidRPr="00A17459">
                        <w:rPr>
                          <w:rFonts w:ascii="Tahoma" w:hAnsi="Tahoma" w:cs="Tahoma"/>
                          <w:i/>
                          <w:sz w:val="16"/>
                          <w:szCs w:val="16"/>
                        </w:rPr>
                        <w:t>:</w:t>
                      </w:r>
                    </w:p>
                    <w:p w:rsidR="00BF3DD1" w:rsidRPr="00A17459" w:rsidRDefault="00BF3DD1" w:rsidP="00BF3DD1">
                      <w:pPr>
                        <w:spacing w:line="240" w:lineRule="atLeast"/>
                        <w:rPr>
                          <w:rFonts w:ascii="Tahoma" w:hAnsi="Tahoma" w:cs="Tahoma"/>
                          <w:i/>
                          <w:sz w:val="16"/>
                          <w:szCs w:val="16"/>
                        </w:rPr>
                      </w:pP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Eric-Serge Jeannet</w:t>
                      </w:r>
                    </w:p>
                    <w:p w:rsidR="00BF3DD1" w:rsidRPr="00A17459" w:rsidRDefault="00BF3DD1" w:rsidP="00BF3DD1">
                      <w:pPr>
                        <w:spacing w:line="240" w:lineRule="atLeast"/>
                        <w:rPr>
                          <w:rFonts w:ascii="Tahoma" w:hAnsi="Tahoma" w:cs="Tahoma"/>
                          <w:i/>
                          <w:sz w:val="16"/>
                          <w:szCs w:val="16"/>
                        </w:rPr>
                      </w:pPr>
                      <w:r>
                        <w:rPr>
                          <w:rFonts w:ascii="Tahoma" w:hAnsi="Tahoma" w:cs="Tahoma"/>
                          <w:i/>
                          <w:sz w:val="16"/>
                          <w:szCs w:val="16"/>
                        </w:rPr>
                        <w:t xml:space="preserve">Vice </w:t>
                      </w:r>
                      <w:r w:rsidRPr="00A17459">
                        <w:rPr>
                          <w:rFonts w:ascii="Tahoma" w:hAnsi="Tahoma" w:cs="Tahoma"/>
                          <w:i/>
                          <w:sz w:val="16"/>
                          <w:szCs w:val="16"/>
                        </w:rPr>
                        <w:t>Director of the Swiss Federal Audit Office</w:t>
                      </w:r>
                    </w:p>
                    <w:p w:rsidR="00BF3DD1" w:rsidRPr="00E03369" w:rsidRDefault="00BF3DD1" w:rsidP="00BF3DD1">
                      <w:pPr>
                        <w:spacing w:line="240" w:lineRule="atLeast"/>
                        <w:rPr>
                          <w:rFonts w:ascii="Tahoma" w:hAnsi="Tahoma" w:cs="Tahoma"/>
                          <w:i/>
                          <w:sz w:val="16"/>
                          <w:szCs w:val="16"/>
                          <w:lang w:val="fr-FR"/>
                        </w:rPr>
                      </w:pPr>
                      <w:r w:rsidRPr="00E03369">
                        <w:rPr>
                          <w:rFonts w:ascii="Tahoma" w:hAnsi="Tahoma" w:cs="Tahoma"/>
                          <w:i/>
                          <w:sz w:val="16"/>
                          <w:szCs w:val="16"/>
                          <w:lang w:val="fr-FR"/>
                        </w:rPr>
                        <w:t>Monbijoustrasse 45</w:t>
                      </w:r>
                    </w:p>
                    <w:p w:rsidR="00BF3DD1" w:rsidRPr="00E03369" w:rsidRDefault="00BF3DD1" w:rsidP="00BF3DD1">
                      <w:pPr>
                        <w:spacing w:line="240" w:lineRule="atLeast"/>
                        <w:rPr>
                          <w:rFonts w:ascii="Tahoma" w:hAnsi="Tahoma" w:cs="Tahoma"/>
                          <w:i/>
                          <w:sz w:val="16"/>
                          <w:szCs w:val="16"/>
                          <w:lang w:val="fr-FR"/>
                        </w:rPr>
                      </w:pPr>
                      <w:r w:rsidRPr="00E03369">
                        <w:rPr>
                          <w:rFonts w:ascii="Tahoma" w:hAnsi="Tahoma" w:cs="Tahoma"/>
                          <w:i/>
                          <w:sz w:val="16"/>
                          <w:szCs w:val="16"/>
                          <w:lang w:val="fr-FR"/>
                        </w:rPr>
                        <w:t>3003 Berne</w:t>
                      </w:r>
                    </w:p>
                    <w:p w:rsidR="00BF3DD1" w:rsidRPr="00E03369" w:rsidRDefault="00BF3DD1" w:rsidP="00BF3DD1">
                      <w:pPr>
                        <w:spacing w:line="240" w:lineRule="atLeast"/>
                        <w:rPr>
                          <w:rFonts w:ascii="Tahoma" w:hAnsi="Tahoma" w:cs="Tahoma"/>
                          <w:i/>
                          <w:sz w:val="16"/>
                          <w:szCs w:val="16"/>
                          <w:lang w:val="fr-FR"/>
                        </w:rPr>
                      </w:pPr>
                      <w:r>
                        <w:rPr>
                          <w:rFonts w:ascii="Tahoma" w:hAnsi="Tahoma" w:cs="Tahoma"/>
                          <w:i/>
                          <w:sz w:val="16"/>
                          <w:szCs w:val="16"/>
                          <w:lang w:val="fr-FR"/>
                        </w:rPr>
                        <w:t>Tel. +41 (0)58</w:t>
                      </w:r>
                      <w:r w:rsidRPr="00E03369">
                        <w:rPr>
                          <w:rFonts w:ascii="Tahoma" w:hAnsi="Tahoma" w:cs="Tahoma"/>
                          <w:i/>
                          <w:sz w:val="16"/>
                          <w:szCs w:val="16"/>
                          <w:lang w:val="fr-FR"/>
                        </w:rPr>
                        <w:t xml:space="preserve"> </w:t>
                      </w:r>
                      <w:r>
                        <w:rPr>
                          <w:rFonts w:ascii="Tahoma" w:hAnsi="Tahoma" w:cs="Tahoma"/>
                          <w:i/>
                          <w:sz w:val="16"/>
                          <w:szCs w:val="16"/>
                          <w:lang w:val="fr-FR"/>
                        </w:rPr>
                        <w:t>46</w:t>
                      </w:r>
                      <w:r w:rsidRPr="00E03369">
                        <w:rPr>
                          <w:rFonts w:ascii="Tahoma" w:hAnsi="Tahoma" w:cs="Tahoma"/>
                          <w:i/>
                          <w:sz w:val="16"/>
                          <w:szCs w:val="16"/>
                          <w:lang w:val="fr-FR"/>
                        </w:rPr>
                        <w:t>3 1</w:t>
                      </w:r>
                      <w:r>
                        <w:rPr>
                          <w:rFonts w:ascii="Tahoma" w:hAnsi="Tahoma" w:cs="Tahoma"/>
                          <w:i/>
                          <w:sz w:val="16"/>
                          <w:szCs w:val="16"/>
                          <w:lang w:val="fr-FR"/>
                        </w:rPr>
                        <w:t>0</w:t>
                      </w:r>
                      <w:r w:rsidRPr="00E03369">
                        <w:rPr>
                          <w:rFonts w:ascii="Tahoma" w:hAnsi="Tahoma" w:cs="Tahoma"/>
                          <w:i/>
                          <w:sz w:val="16"/>
                          <w:szCs w:val="16"/>
                          <w:lang w:val="fr-FR"/>
                        </w:rPr>
                        <w:t xml:space="preserve"> </w:t>
                      </w:r>
                      <w:r>
                        <w:rPr>
                          <w:rFonts w:ascii="Tahoma" w:hAnsi="Tahoma" w:cs="Tahoma"/>
                          <w:i/>
                          <w:sz w:val="16"/>
                          <w:szCs w:val="16"/>
                          <w:lang w:val="fr-FR"/>
                        </w:rPr>
                        <w:t>39</w:t>
                      </w:r>
                    </w:p>
                    <w:p w:rsidR="00BF3DD1" w:rsidRPr="00E03369" w:rsidRDefault="00BF3DD1" w:rsidP="00BF3DD1">
                      <w:pPr>
                        <w:spacing w:line="240" w:lineRule="atLeast"/>
                        <w:rPr>
                          <w:rFonts w:ascii="Tahoma" w:hAnsi="Tahoma" w:cs="Tahoma"/>
                          <w:i/>
                          <w:sz w:val="16"/>
                          <w:szCs w:val="16"/>
                          <w:lang w:val="fr-FR"/>
                        </w:rPr>
                      </w:pPr>
                      <w:r>
                        <w:rPr>
                          <w:rFonts w:ascii="Tahoma" w:hAnsi="Tahoma" w:cs="Tahoma"/>
                          <w:i/>
                          <w:sz w:val="16"/>
                          <w:szCs w:val="16"/>
                          <w:lang w:val="fr-FR"/>
                        </w:rPr>
                        <w:t>eric-serge.jeannet</w:t>
                      </w:r>
                      <w:r w:rsidRPr="00E03369">
                        <w:rPr>
                          <w:rFonts w:ascii="Tahoma" w:hAnsi="Tahoma" w:cs="Tahoma"/>
                          <w:i/>
                          <w:sz w:val="16"/>
                          <w:szCs w:val="16"/>
                          <w:lang w:val="fr-FR"/>
                        </w:rPr>
                        <w:t>@efk.admin.ch</w:t>
                      </w:r>
                    </w:p>
                    <w:p w:rsidR="00BF3DD1" w:rsidRPr="00E03369" w:rsidRDefault="00BF3DD1" w:rsidP="00BF3DD1">
                      <w:pPr>
                        <w:spacing w:line="240" w:lineRule="atLeast"/>
                        <w:rPr>
                          <w:rFonts w:ascii="Tahoma" w:hAnsi="Tahoma" w:cs="Tahoma"/>
                          <w:i/>
                          <w:sz w:val="16"/>
                          <w:szCs w:val="16"/>
                          <w:lang w:val="fr-FR"/>
                        </w:rPr>
                      </w:pP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or:</w:t>
                      </w: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Didier Monnot</w:t>
                      </w:r>
                    </w:p>
                    <w:p w:rsidR="00BF3DD1" w:rsidRPr="001A1799" w:rsidRDefault="00BF3DD1" w:rsidP="00BF3DD1">
                      <w:pPr>
                        <w:spacing w:line="240" w:lineRule="atLeast"/>
                        <w:rPr>
                          <w:rFonts w:ascii="Tahoma" w:hAnsi="Tahoma" w:cs="Tahoma"/>
                          <w:i/>
                          <w:sz w:val="16"/>
                          <w:szCs w:val="16"/>
                        </w:rPr>
                      </w:pPr>
                      <w:r w:rsidRPr="001A1799">
                        <w:rPr>
                          <w:rFonts w:ascii="Tahoma" w:hAnsi="Tahoma" w:cs="Tahoma"/>
                          <w:i/>
                          <w:sz w:val="16"/>
                          <w:szCs w:val="16"/>
                        </w:rPr>
                        <w:t>Officer in charge of mandates</w:t>
                      </w:r>
                    </w:p>
                    <w:p w:rsidR="00BF3DD1" w:rsidRPr="00E03369" w:rsidRDefault="00BF3DD1" w:rsidP="00BF3DD1">
                      <w:pPr>
                        <w:spacing w:line="240" w:lineRule="atLeast"/>
                        <w:rPr>
                          <w:rFonts w:ascii="Tahoma" w:hAnsi="Tahoma" w:cs="Tahoma"/>
                          <w:i/>
                          <w:sz w:val="16"/>
                          <w:szCs w:val="16"/>
                          <w:lang w:val="fr-FR"/>
                        </w:rPr>
                      </w:pPr>
                      <w:r>
                        <w:rPr>
                          <w:rFonts w:ascii="Tahoma" w:hAnsi="Tahoma" w:cs="Tahoma"/>
                          <w:i/>
                          <w:sz w:val="16"/>
                          <w:szCs w:val="16"/>
                          <w:lang w:val="fr-FR"/>
                        </w:rPr>
                        <w:t>Te</w:t>
                      </w:r>
                      <w:r w:rsidRPr="00E03369">
                        <w:rPr>
                          <w:rFonts w:ascii="Tahoma" w:hAnsi="Tahoma" w:cs="Tahoma"/>
                          <w:i/>
                          <w:sz w:val="16"/>
                          <w:szCs w:val="16"/>
                          <w:lang w:val="fr-FR"/>
                        </w:rPr>
                        <w:t>l. +41 (0)</w:t>
                      </w:r>
                      <w:r>
                        <w:rPr>
                          <w:rFonts w:ascii="Tahoma" w:hAnsi="Tahoma" w:cs="Tahoma"/>
                          <w:i/>
                          <w:sz w:val="16"/>
                          <w:szCs w:val="16"/>
                          <w:lang w:val="fr-FR"/>
                        </w:rPr>
                        <w:t>58</w:t>
                      </w:r>
                      <w:r w:rsidRPr="00E03369">
                        <w:rPr>
                          <w:rFonts w:ascii="Tahoma" w:hAnsi="Tahoma" w:cs="Tahoma"/>
                          <w:i/>
                          <w:sz w:val="16"/>
                          <w:szCs w:val="16"/>
                          <w:lang w:val="fr-FR"/>
                        </w:rPr>
                        <w:t xml:space="preserve"> </w:t>
                      </w:r>
                      <w:r>
                        <w:rPr>
                          <w:rFonts w:ascii="Tahoma" w:hAnsi="Tahoma" w:cs="Tahoma"/>
                          <w:i/>
                          <w:sz w:val="16"/>
                          <w:szCs w:val="16"/>
                          <w:lang w:val="fr-FR"/>
                        </w:rPr>
                        <w:t>463</w:t>
                      </w:r>
                      <w:r w:rsidRPr="00E03369">
                        <w:rPr>
                          <w:rFonts w:ascii="Tahoma" w:hAnsi="Tahoma" w:cs="Tahoma"/>
                          <w:i/>
                          <w:sz w:val="16"/>
                          <w:szCs w:val="16"/>
                          <w:lang w:val="fr-FR"/>
                        </w:rPr>
                        <w:t xml:space="preserve"> 10 48</w:t>
                      </w:r>
                    </w:p>
                    <w:p w:rsidR="00BF3DD1" w:rsidRPr="00E03369" w:rsidRDefault="00BF3DD1" w:rsidP="00BF3DD1">
                      <w:pPr>
                        <w:spacing w:line="240" w:lineRule="atLeast"/>
                        <w:rPr>
                          <w:rFonts w:ascii="Tahoma" w:hAnsi="Tahoma" w:cs="Tahoma"/>
                          <w:i/>
                          <w:sz w:val="16"/>
                          <w:szCs w:val="16"/>
                          <w:lang w:val="fr-FR"/>
                        </w:rPr>
                      </w:pPr>
                      <w:r w:rsidRPr="00E03369">
                        <w:rPr>
                          <w:rFonts w:ascii="Tahoma" w:hAnsi="Tahoma" w:cs="Tahoma"/>
                          <w:i/>
                          <w:sz w:val="16"/>
                          <w:szCs w:val="16"/>
                          <w:lang w:val="fr-FR"/>
                        </w:rPr>
                        <w:t>didier.monnot@efk.admin.ch</w:t>
                      </w:r>
                    </w:p>
                  </w:txbxContent>
                </v:textbox>
              </v:shape>
            </w:pict>
          </mc:Fallback>
        </mc:AlternateContent>
      </w:r>
      <w:r w:rsidRPr="00235E8C">
        <w:rPr>
          <w:noProof/>
        </w:rPr>
        <w:drawing>
          <wp:anchor distT="0" distB="0" distL="114300" distR="114300" simplePos="0" relativeHeight="251665408" behindDoc="0" locked="0" layoutInCell="1" allowOverlap="1" wp14:anchorId="4936D5AD" wp14:editId="57B03446">
            <wp:simplePos x="0" y="0"/>
            <wp:positionH relativeFrom="column">
              <wp:posOffset>-78740</wp:posOffset>
            </wp:positionH>
            <wp:positionV relativeFrom="paragraph">
              <wp:posOffset>-258445</wp:posOffset>
            </wp:positionV>
            <wp:extent cx="5925820" cy="86360"/>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Pr="00235E8C">
        <w:rPr>
          <w:noProof/>
        </w:rPr>
        <w:drawing>
          <wp:anchor distT="0" distB="0" distL="114300" distR="114300" simplePos="0" relativeHeight="251664384" behindDoc="0" locked="0" layoutInCell="1" allowOverlap="1" wp14:anchorId="1DD246E3" wp14:editId="26F623B2">
            <wp:simplePos x="0" y="0"/>
            <wp:positionH relativeFrom="column">
              <wp:posOffset>-74930</wp:posOffset>
            </wp:positionH>
            <wp:positionV relativeFrom="paragraph">
              <wp:posOffset>9055100</wp:posOffset>
            </wp:positionV>
            <wp:extent cx="5928995" cy="85725"/>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Pr="00235E8C">
        <w:rPr>
          <w:noProof/>
        </w:rPr>
        <mc:AlternateContent>
          <mc:Choice Requires="wps">
            <w:drawing>
              <wp:anchor distT="0" distB="0" distL="114300" distR="114300" simplePos="0" relativeHeight="251659264" behindDoc="0" locked="0" layoutInCell="1" allowOverlap="1" wp14:anchorId="4BC4241A" wp14:editId="3EA9DB61">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DD1" w:rsidRDefault="00BF3DD1" w:rsidP="00BF3DD1">
                            <w:r>
                              <w:rPr>
                                <w:noProof/>
                              </w:rPr>
                              <w:drawing>
                                <wp:inline distT="0" distB="0" distL="0" distR="0" wp14:anchorId="3A75B720" wp14:editId="50FF1C6B">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1"/>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BF3DD1" w:rsidRDefault="00BF3DD1" w:rsidP="00BF3DD1">
                      <w:r>
                        <w:rPr>
                          <w:noProof/>
                        </w:rPr>
                        <w:drawing>
                          <wp:inline distT="0" distB="0" distL="0" distR="0" wp14:anchorId="3A75B720" wp14:editId="50FF1C6B">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2"/>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Pr="00235E8C">
        <w:rPr>
          <w:noProof/>
        </w:rPr>
        <mc:AlternateContent>
          <mc:Choice Requires="wps">
            <w:drawing>
              <wp:anchor distT="0" distB="0" distL="114300" distR="114300" simplePos="0" relativeHeight="251663360" behindDoc="0" locked="0" layoutInCell="1" allowOverlap="1" wp14:anchorId="1551DB3A" wp14:editId="00540263">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DD1" w:rsidRPr="00A17459" w:rsidRDefault="00BF3DD1" w:rsidP="00BF3DD1">
                            <w:pPr>
                              <w:tabs>
                                <w:tab w:val="right" w:pos="4962"/>
                              </w:tabs>
                              <w:spacing w:after="240"/>
                              <w:jc w:val="right"/>
                              <w:rPr>
                                <w:rFonts w:ascii="Tahoma" w:hAnsi="Tahoma" w:cs="Tahoma"/>
                                <w:sz w:val="16"/>
                                <w:szCs w:val="16"/>
                              </w:rPr>
                            </w:pPr>
                            <w:r w:rsidRPr="00A17459">
                              <w:rPr>
                                <w:rFonts w:ascii="Tahoma" w:hAnsi="Tahoma" w:cs="Tahoma"/>
                                <w:sz w:val="16"/>
                                <w:szCs w:val="16"/>
                              </w:rPr>
                              <w:t>Berne, July 7, 2014</w:t>
                            </w:r>
                          </w:p>
                          <w:p w:rsidR="00BF3DD1" w:rsidRPr="00A17459" w:rsidRDefault="00BF3DD1" w:rsidP="00BF3DD1">
                            <w:pPr>
                              <w:tabs>
                                <w:tab w:val="right" w:pos="4962"/>
                              </w:tabs>
                              <w:jc w:val="right"/>
                              <w:rPr>
                                <w:rFonts w:ascii="Tahoma" w:hAnsi="Tahoma" w:cs="Tahoma"/>
                                <w:sz w:val="16"/>
                                <w:szCs w:val="16"/>
                              </w:rPr>
                            </w:pPr>
                            <w:r w:rsidRPr="00A17459">
                              <w:rPr>
                                <w:rFonts w:ascii="Tahoma" w:hAnsi="Tahoma" w:cs="Tahoma"/>
                                <w:sz w:val="16"/>
                                <w:szCs w:val="16"/>
                              </w:rPr>
                              <w:t>Reg. No. 1.14307.946.00335.04</w:t>
                            </w:r>
                          </w:p>
                          <w:p w:rsidR="00BF3DD1" w:rsidRPr="004A6B0E" w:rsidRDefault="00BF3DD1" w:rsidP="00BF3DD1">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BF3DD1" w:rsidRPr="00A17459" w:rsidRDefault="00BF3DD1" w:rsidP="00BF3DD1">
                      <w:pPr>
                        <w:tabs>
                          <w:tab w:val="right" w:pos="4962"/>
                        </w:tabs>
                        <w:spacing w:after="240"/>
                        <w:jc w:val="right"/>
                        <w:rPr>
                          <w:rFonts w:ascii="Tahoma" w:hAnsi="Tahoma" w:cs="Tahoma"/>
                          <w:sz w:val="16"/>
                          <w:szCs w:val="16"/>
                        </w:rPr>
                      </w:pPr>
                      <w:r w:rsidRPr="00A17459">
                        <w:rPr>
                          <w:rFonts w:ascii="Tahoma" w:hAnsi="Tahoma" w:cs="Tahoma"/>
                          <w:sz w:val="16"/>
                          <w:szCs w:val="16"/>
                        </w:rPr>
                        <w:t>Berne, July 7, 2014</w:t>
                      </w:r>
                    </w:p>
                    <w:p w:rsidR="00BF3DD1" w:rsidRPr="00A17459" w:rsidRDefault="00BF3DD1" w:rsidP="00BF3DD1">
                      <w:pPr>
                        <w:tabs>
                          <w:tab w:val="right" w:pos="4962"/>
                        </w:tabs>
                        <w:jc w:val="right"/>
                        <w:rPr>
                          <w:rFonts w:ascii="Tahoma" w:hAnsi="Tahoma" w:cs="Tahoma"/>
                          <w:sz w:val="16"/>
                          <w:szCs w:val="16"/>
                        </w:rPr>
                      </w:pPr>
                      <w:r w:rsidRPr="00A17459">
                        <w:rPr>
                          <w:rFonts w:ascii="Tahoma" w:hAnsi="Tahoma" w:cs="Tahoma"/>
                          <w:sz w:val="16"/>
                          <w:szCs w:val="16"/>
                        </w:rPr>
                        <w:t>Reg. No. 1.14307.946.00335.04</w:t>
                      </w:r>
                    </w:p>
                    <w:p w:rsidR="00BF3DD1" w:rsidRPr="004A6B0E" w:rsidRDefault="00BF3DD1" w:rsidP="00BF3DD1">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v:textbox>
              </v:shape>
            </w:pict>
          </mc:Fallback>
        </mc:AlternateContent>
      </w:r>
      <w:r w:rsidRPr="00235E8C">
        <w:rPr>
          <w:noProof/>
        </w:rPr>
        <mc:AlternateContent>
          <mc:Choice Requires="wps">
            <w:drawing>
              <wp:anchor distT="0" distB="0" distL="114300" distR="114300" simplePos="0" relativeHeight="251662336" behindDoc="0" locked="0" layoutInCell="1" allowOverlap="1" wp14:anchorId="31EC39ED" wp14:editId="4E770826">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DD1" w:rsidRPr="00A17459" w:rsidRDefault="00BF3DD1" w:rsidP="00BF3DD1">
                            <w:pPr>
                              <w:tabs>
                                <w:tab w:val="right" w:pos="4962"/>
                              </w:tabs>
                              <w:spacing w:before="720"/>
                              <w:rPr>
                                <w:rFonts w:ascii="Tahoma" w:hAnsi="Tahoma" w:cs="Tahoma"/>
                                <w:sz w:val="16"/>
                                <w:szCs w:val="16"/>
                                <w:u w:val="single"/>
                              </w:rPr>
                            </w:pPr>
                            <w:r w:rsidRPr="00A17459">
                              <w:rPr>
                                <w:rFonts w:ascii="Tahoma" w:hAnsi="Tahoma" w:cs="Tahoma"/>
                                <w:sz w:val="16"/>
                                <w:szCs w:val="16"/>
                                <w:u w:val="single"/>
                              </w:rPr>
                              <w:t>Table of contents</w:t>
                            </w:r>
                            <w:r w:rsidRPr="00A17459">
                              <w:rPr>
                                <w:rFonts w:ascii="Tahoma" w:hAnsi="Tahoma" w:cs="Tahoma"/>
                              </w:rPr>
                              <w:tab/>
                            </w:r>
                            <w:r w:rsidRPr="00A17459">
                              <w:rPr>
                                <w:rFonts w:ascii="Tahoma" w:hAnsi="Tahoma" w:cs="Tahoma"/>
                                <w:sz w:val="16"/>
                                <w:szCs w:val="16"/>
                                <w:u w:val="single"/>
                              </w:rPr>
                              <w:t>Paragraphs</w:t>
                            </w:r>
                          </w:p>
                          <w:p w:rsidR="00BF3DD1" w:rsidRPr="00A17459" w:rsidRDefault="00BF3DD1" w:rsidP="00BF3DD1">
                            <w:pPr>
                              <w:tabs>
                                <w:tab w:val="right" w:pos="4962"/>
                              </w:tabs>
                              <w:rPr>
                                <w:rFonts w:ascii="Tahoma" w:hAnsi="Tahoma" w:cs="Tahoma"/>
                              </w:rPr>
                            </w:pPr>
                          </w:p>
                          <w:p w:rsidR="00BF3DD1" w:rsidRPr="00A17459" w:rsidRDefault="00BF3DD1" w:rsidP="00BF3DD1">
                            <w:pPr>
                              <w:tabs>
                                <w:tab w:val="right" w:pos="4962"/>
                              </w:tabs>
                              <w:spacing w:line="300" w:lineRule="atLeast"/>
                              <w:rPr>
                                <w:rFonts w:ascii="Tahoma" w:hAnsi="Tahoma" w:cs="Tahoma"/>
                                <w:b/>
                              </w:rPr>
                            </w:pPr>
                            <w:r w:rsidRPr="00A17459">
                              <w:rPr>
                                <w:rFonts w:ascii="Tahoma" w:hAnsi="Tahoma" w:cs="Tahoma"/>
                                <w:b/>
                              </w:rPr>
                              <w:t>Audit summary</w:t>
                            </w:r>
                            <w:r w:rsidRPr="00A17459">
                              <w:rPr>
                                <w:rFonts w:ascii="Tahoma" w:hAnsi="Tahoma" w:cs="Tahoma"/>
                                <w:b/>
                              </w:rPr>
                              <w:tab/>
                              <w:t>-</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R</w:t>
                            </w:r>
                            <w:r>
                              <w:rPr>
                                <w:rFonts w:ascii="Tahoma" w:hAnsi="Tahoma" w:cs="Tahoma"/>
                              </w:rPr>
                              <w:t>egulations, stand</w:t>
                            </w:r>
                            <w:r w:rsidRPr="00A17459">
                              <w:rPr>
                                <w:rFonts w:ascii="Tahoma" w:hAnsi="Tahoma" w:cs="Tahoma"/>
                              </w:rPr>
                              <w:t>a</w:t>
                            </w:r>
                            <w:r>
                              <w:rPr>
                                <w:rFonts w:ascii="Tahoma" w:hAnsi="Tahoma" w:cs="Tahoma"/>
                              </w:rPr>
                              <w:t>r</w:t>
                            </w:r>
                            <w:r w:rsidRPr="00A17459">
                              <w:rPr>
                                <w:rFonts w:ascii="Tahoma" w:hAnsi="Tahoma" w:cs="Tahoma"/>
                              </w:rPr>
                              <w:t>ds and information</w:t>
                            </w:r>
                            <w:r w:rsidRPr="00A17459">
                              <w:rPr>
                                <w:rFonts w:ascii="Tahoma" w:hAnsi="Tahoma" w:cs="Tahoma"/>
                              </w:rPr>
                              <w:tab/>
                              <w:t>1-9</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Follow-up to recommendations</w:t>
                            </w:r>
                            <w:r w:rsidRPr="00A17459">
                              <w:rPr>
                                <w:rFonts w:ascii="Tahoma" w:hAnsi="Tahoma" w:cs="Tahoma"/>
                              </w:rPr>
                              <w:tab/>
                              <w:t>10</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 xml:space="preserve">Internal control system (ICS) </w:t>
                            </w:r>
                            <w:r w:rsidRPr="00A17459">
                              <w:rPr>
                                <w:rFonts w:ascii="Tahoma" w:hAnsi="Tahoma" w:cs="Tahoma"/>
                              </w:rPr>
                              <w:tab/>
                              <w:t>11-12</w:t>
                            </w:r>
                          </w:p>
                          <w:p w:rsidR="00BF3DD1" w:rsidRPr="00A17459" w:rsidRDefault="00BF3DD1" w:rsidP="00BF3DD1">
                            <w:pPr>
                              <w:tabs>
                                <w:tab w:val="right" w:pos="4962"/>
                              </w:tabs>
                              <w:spacing w:line="300" w:lineRule="atLeast"/>
                              <w:rPr>
                                <w:rFonts w:ascii="Tahoma" w:hAnsi="Tahoma"/>
                              </w:rPr>
                            </w:pPr>
                            <w:r w:rsidRPr="00A17459">
                              <w:rPr>
                                <w:rFonts w:ascii="Tahoma" w:hAnsi="Tahoma"/>
                              </w:rPr>
                              <w:t xml:space="preserve">Production of financial statements </w:t>
                            </w:r>
                          </w:p>
                          <w:p w:rsidR="00BF3DD1" w:rsidRPr="00A17459" w:rsidRDefault="00BF3DD1" w:rsidP="00BF3DD1">
                            <w:pPr>
                              <w:tabs>
                                <w:tab w:val="right" w:pos="4962"/>
                              </w:tabs>
                              <w:spacing w:line="300" w:lineRule="atLeast"/>
                              <w:rPr>
                                <w:rFonts w:ascii="Tahoma" w:hAnsi="Tahoma" w:cs="Tahoma"/>
                              </w:rPr>
                            </w:pPr>
                            <w:r w:rsidRPr="00A17459">
                              <w:rPr>
                                <w:rFonts w:ascii="Tahoma" w:hAnsi="Tahoma"/>
                              </w:rPr>
                              <w:t>according to IPSAS</w:t>
                            </w:r>
                            <w:r w:rsidRPr="00A17459">
                              <w:rPr>
                                <w:rFonts w:ascii="Tahoma" w:hAnsi="Tahoma"/>
                              </w:rPr>
                              <w:tab/>
                              <w:t>13</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Audit of 2013 budget performance</w:t>
                            </w:r>
                            <w:r w:rsidRPr="00A17459">
                              <w:rPr>
                                <w:rFonts w:ascii="Tahoma" w:hAnsi="Tahoma" w:cs="Tahoma"/>
                              </w:rPr>
                              <w:tab/>
                              <w:t>14-15</w:t>
                            </w:r>
                          </w:p>
                          <w:p w:rsidR="00BF3DD1" w:rsidRPr="001A1799" w:rsidRDefault="00BF3DD1" w:rsidP="00BF3DD1">
                            <w:pPr>
                              <w:tabs>
                                <w:tab w:val="right" w:pos="4962"/>
                              </w:tabs>
                              <w:spacing w:line="300" w:lineRule="atLeast"/>
                              <w:rPr>
                                <w:rFonts w:ascii="Tahoma" w:hAnsi="Tahoma" w:cs="Tahoma"/>
                              </w:rPr>
                            </w:pPr>
                            <w:r w:rsidRPr="001A1799">
                              <w:rPr>
                                <w:rFonts w:ascii="Tahoma" w:hAnsi="Tahoma" w:cs="Tahoma"/>
                              </w:rPr>
                              <w:t>Audit of 2012 financial statements</w:t>
                            </w:r>
                            <w:r w:rsidRPr="001A1799">
                              <w:rPr>
                                <w:rFonts w:ascii="Tahoma" w:hAnsi="Tahoma" w:cs="Tahoma"/>
                              </w:rPr>
                              <w:tab/>
                              <w:t>16-43</w:t>
                            </w:r>
                          </w:p>
                          <w:p w:rsidR="00BF3DD1" w:rsidRPr="001A1799" w:rsidRDefault="00BF3DD1" w:rsidP="00BF3DD1">
                            <w:pPr>
                              <w:tabs>
                                <w:tab w:val="right" w:pos="4962"/>
                              </w:tabs>
                              <w:spacing w:line="300" w:lineRule="atLeast"/>
                              <w:rPr>
                                <w:rFonts w:ascii="Tahoma" w:hAnsi="Tahoma" w:cs="Tahoma"/>
                              </w:rPr>
                            </w:pPr>
                          </w:p>
                          <w:p w:rsidR="00BF3DD1" w:rsidRPr="001A1799" w:rsidRDefault="00BF3DD1" w:rsidP="00BF3DD1">
                            <w:pPr>
                              <w:tabs>
                                <w:tab w:val="right" w:pos="4962"/>
                              </w:tabs>
                              <w:spacing w:line="300" w:lineRule="atLeast"/>
                              <w:rPr>
                                <w:rFonts w:ascii="Tahoma" w:hAnsi="Tahoma" w:cs="Tahoma"/>
                                <w:b/>
                              </w:rPr>
                            </w:pPr>
                            <w:r w:rsidRPr="001A1799">
                              <w:rPr>
                                <w:rFonts w:ascii="Tahoma" w:hAnsi="Tahoma" w:cs="Tahoma"/>
                                <w:b/>
                              </w:rPr>
                              <w:t>Conclusion</w:t>
                            </w:r>
                            <w:r w:rsidRPr="001A1799">
                              <w:rPr>
                                <w:rFonts w:ascii="Tahoma" w:hAnsi="Tahoma" w:cs="Tahoma"/>
                                <w:b/>
                              </w:rPr>
                              <w:tab/>
                              <w:t>44</w:t>
                            </w:r>
                          </w:p>
                          <w:p w:rsidR="00BF3DD1" w:rsidRPr="001A1799" w:rsidRDefault="00BF3DD1" w:rsidP="00BF3DD1">
                            <w:pPr>
                              <w:tabs>
                                <w:tab w:val="right" w:pos="4962"/>
                              </w:tabs>
                              <w:spacing w:line="300" w:lineRule="atLeast"/>
                              <w:rPr>
                                <w:rFonts w:ascii="Tahoma" w:hAnsi="Tahoma"/>
                              </w:rPr>
                            </w:pPr>
                          </w:p>
                          <w:p w:rsidR="00BF3DD1" w:rsidRDefault="00BF3DD1" w:rsidP="00BF3DD1">
                            <w:pPr>
                              <w:tabs>
                                <w:tab w:val="right" w:pos="4962"/>
                              </w:tabs>
                              <w:spacing w:line="300" w:lineRule="atLeast"/>
                              <w:rPr>
                                <w:rFonts w:ascii="Tahoma" w:hAnsi="Tahoma"/>
                                <w:b/>
                                <w:lang w:val="fr-FR"/>
                              </w:rPr>
                            </w:pPr>
                            <w:r w:rsidRPr="008125B4">
                              <w:rPr>
                                <w:rFonts w:ascii="Tahoma" w:hAnsi="Tahoma"/>
                                <w:b/>
                                <w:lang w:val="fr-FR"/>
                              </w:rPr>
                              <w:t xml:space="preserve">Annex: </w:t>
                            </w:r>
                            <w:r>
                              <w:rPr>
                                <w:rFonts w:ascii="Tahoma" w:hAnsi="Tahoma"/>
                                <w:b/>
                                <w:lang w:val="fr-FR"/>
                              </w:rPr>
                              <w:t>Audit o</w:t>
                            </w:r>
                            <w:r w:rsidRPr="008125B4">
                              <w:rPr>
                                <w:rFonts w:ascii="Tahoma" w:hAnsi="Tahoma"/>
                                <w:b/>
                                <w:lang w:val="fr-FR"/>
                              </w:rPr>
                              <w:t>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BF3DD1" w:rsidRPr="00A17459" w:rsidRDefault="00BF3DD1" w:rsidP="00BF3DD1">
                      <w:pPr>
                        <w:tabs>
                          <w:tab w:val="right" w:pos="4962"/>
                        </w:tabs>
                        <w:spacing w:before="720"/>
                        <w:rPr>
                          <w:rFonts w:ascii="Tahoma" w:hAnsi="Tahoma" w:cs="Tahoma"/>
                          <w:sz w:val="16"/>
                          <w:szCs w:val="16"/>
                          <w:u w:val="single"/>
                        </w:rPr>
                      </w:pPr>
                      <w:r w:rsidRPr="00A17459">
                        <w:rPr>
                          <w:rFonts w:ascii="Tahoma" w:hAnsi="Tahoma" w:cs="Tahoma"/>
                          <w:sz w:val="16"/>
                          <w:szCs w:val="16"/>
                          <w:u w:val="single"/>
                        </w:rPr>
                        <w:t>Table of contents</w:t>
                      </w:r>
                      <w:r w:rsidRPr="00A17459">
                        <w:rPr>
                          <w:rFonts w:ascii="Tahoma" w:hAnsi="Tahoma" w:cs="Tahoma"/>
                        </w:rPr>
                        <w:tab/>
                      </w:r>
                      <w:r w:rsidRPr="00A17459">
                        <w:rPr>
                          <w:rFonts w:ascii="Tahoma" w:hAnsi="Tahoma" w:cs="Tahoma"/>
                          <w:sz w:val="16"/>
                          <w:szCs w:val="16"/>
                          <w:u w:val="single"/>
                        </w:rPr>
                        <w:t>Paragraphs</w:t>
                      </w:r>
                    </w:p>
                    <w:p w:rsidR="00BF3DD1" w:rsidRPr="00A17459" w:rsidRDefault="00BF3DD1" w:rsidP="00BF3DD1">
                      <w:pPr>
                        <w:tabs>
                          <w:tab w:val="right" w:pos="4962"/>
                        </w:tabs>
                        <w:rPr>
                          <w:rFonts w:ascii="Tahoma" w:hAnsi="Tahoma" w:cs="Tahoma"/>
                        </w:rPr>
                      </w:pPr>
                    </w:p>
                    <w:p w:rsidR="00BF3DD1" w:rsidRPr="00A17459" w:rsidRDefault="00BF3DD1" w:rsidP="00BF3DD1">
                      <w:pPr>
                        <w:tabs>
                          <w:tab w:val="right" w:pos="4962"/>
                        </w:tabs>
                        <w:spacing w:line="300" w:lineRule="atLeast"/>
                        <w:rPr>
                          <w:rFonts w:ascii="Tahoma" w:hAnsi="Tahoma" w:cs="Tahoma"/>
                          <w:b/>
                        </w:rPr>
                      </w:pPr>
                      <w:r w:rsidRPr="00A17459">
                        <w:rPr>
                          <w:rFonts w:ascii="Tahoma" w:hAnsi="Tahoma" w:cs="Tahoma"/>
                          <w:b/>
                        </w:rPr>
                        <w:t>Audit summary</w:t>
                      </w:r>
                      <w:r w:rsidRPr="00A17459">
                        <w:rPr>
                          <w:rFonts w:ascii="Tahoma" w:hAnsi="Tahoma" w:cs="Tahoma"/>
                          <w:b/>
                        </w:rPr>
                        <w:tab/>
                        <w:t>-</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R</w:t>
                      </w:r>
                      <w:r>
                        <w:rPr>
                          <w:rFonts w:ascii="Tahoma" w:hAnsi="Tahoma" w:cs="Tahoma"/>
                        </w:rPr>
                        <w:t>egulations, stand</w:t>
                      </w:r>
                      <w:r w:rsidRPr="00A17459">
                        <w:rPr>
                          <w:rFonts w:ascii="Tahoma" w:hAnsi="Tahoma" w:cs="Tahoma"/>
                        </w:rPr>
                        <w:t>a</w:t>
                      </w:r>
                      <w:r>
                        <w:rPr>
                          <w:rFonts w:ascii="Tahoma" w:hAnsi="Tahoma" w:cs="Tahoma"/>
                        </w:rPr>
                        <w:t>r</w:t>
                      </w:r>
                      <w:r w:rsidRPr="00A17459">
                        <w:rPr>
                          <w:rFonts w:ascii="Tahoma" w:hAnsi="Tahoma" w:cs="Tahoma"/>
                        </w:rPr>
                        <w:t>ds and information</w:t>
                      </w:r>
                      <w:r w:rsidRPr="00A17459">
                        <w:rPr>
                          <w:rFonts w:ascii="Tahoma" w:hAnsi="Tahoma" w:cs="Tahoma"/>
                        </w:rPr>
                        <w:tab/>
                        <w:t>1-9</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Follow-up to recommendations</w:t>
                      </w:r>
                      <w:r w:rsidRPr="00A17459">
                        <w:rPr>
                          <w:rFonts w:ascii="Tahoma" w:hAnsi="Tahoma" w:cs="Tahoma"/>
                        </w:rPr>
                        <w:tab/>
                        <w:t>10</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 xml:space="preserve">Internal control system (ICS) </w:t>
                      </w:r>
                      <w:r w:rsidRPr="00A17459">
                        <w:rPr>
                          <w:rFonts w:ascii="Tahoma" w:hAnsi="Tahoma" w:cs="Tahoma"/>
                        </w:rPr>
                        <w:tab/>
                        <w:t>11-12</w:t>
                      </w:r>
                    </w:p>
                    <w:p w:rsidR="00BF3DD1" w:rsidRPr="00A17459" w:rsidRDefault="00BF3DD1" w:rsidP="00BF3DD1">
                      <w:pPr>
                        <w:tabs>
                          <w:tab w:val="right" w:pos="4962"/>
                        </w:tabs>
                        <w:spacing w:line="300" w:lineRule="atLeast"/>
                        <w:rPr>
                          <w:rFonts w:ascii="Tahoma" w:hAnsi="Tahoma"/>
                        </w:rPr>
                      </w:pPr>
                      <w:r w:rsidRPr="00A17459">
                        <w:rPr>
                          <w:rFonts w:ascii="Tahoma" w:hAnsi="Tahoma"/>
                        </w:rPr>
                        <w:t xml:space="preserve">Production of financial statements </w:t>
                      </w:r>
                    </w:p>
                    <w:p w:rsidR="00BF3DD1" w:rsidRPr="00A17459" w:rsidRDefault="00BF3DD1" w:rsidP="00BF3DD1">
                      <w:pPr>
                        <w:tabs>
                          <w:tab w:val="right" w:pos="4962"/>
                        </w:tabs>
                        <w:spacing w:line="300" w:lineRule="atLeast"/>
                        <w:rPr>
                          <w:rFonts w:ascii="Tahoma" w:hAnsi="Tahoma" w:cs="Tahoma"/>
                        </w:rPr>
                      </w:pPr>
                      <w:r w:rsidRPr="00A17459">
                        <w:rPr>
                          <w:rFonts w:ascii="Tahoma" w:hAnsi="Tahoma"/>
                        </w:rPr>
                        <w:t>according to IPSAS</w:t>
                      </w:r>
                      <w:r w:rsidRPr="00A17459">
                        <w:rPr>
                          <w:rFonts w:ascii="Tahoma" w:hAnsi="Tahoma"/>
                        </w:rPr>
                        <w:tab/>
                        <w:t>13</w:t>
                      </w:r>
                    </w:p>
                    <w:p w:rsidR="00BF3DD1" w:rsidRPr="00A17459" w:rsidRDefault="00BF3DD1" w:rsidP="00BF3DD1">
                      <w:pPr>
                        <w:tabs>
                          <w:tab w:val="right" w:pos="4962"/>
                        </w:tabs>
                        <w:spacing w:line="300" w:lineRule="atLeast"/>
                        <w:rPr>
                          <w:rFonts w:ascii="Tahoma" w:hAnsi="Tahoma" w:cs="Tahoma"/>
                        </w:rPr>
                      </w:pPr>
                      <w:r w:rsidRPr="00A17459">
                        <w:rPr>
                          <w:rFonts w:ascii="Tahoma" w:hAnsi="Tahoma" w:cs="Tahoma"/>
                        </w:rPr>
                        <w:t>Audit of 2013 budget performance</w:t>
                      </w:r>
                      <w:r w:rsidRPr="00A17459">
                        <w:rPr>
                          <w:rFonts w:ascii="Tahoma" w:hAnsi="Tahoma" w:cs="Tahoma"/>
                        </w:rPr>
                        <w:tab/>
                        <w:t>14-15</w:t>
                      </w:r>
                    </w:p>
                    <w:p w:rsidR="00BF3DD1" w:rsidRPr="001A1799" w:rsidRDefault="00BF3DD1" w:rsidP="00BF3DD1">
                      <w:pPr>
                        <w:tabs>
                          <w:tab w:val="right" w:pos="4962"/>
                        </w:tabs>
                        <w:spacing w:line="300" w:lineRule="atLeast"/>
                        <w:rPr>
                          <w:rFonts w:ascii="Tahoma" w:hAnsi="Tahoma" w:cs="Tahoma"/>
                        </w:rPr>
                      </w:pPr>
                      <w:r w:rsidRPr="001A1799">
                        <w:rPr>
                          <w:rFonts w:ascii="Tahoma" w:hAnsi="Tahoma" w:cs="Tahoma"/>
                        </w:rPr>
                        <w:t>Audit of 2012 financial statements</w:t>
                      </w:r>
                      <w:r w:rsidRPr="001A1799">
                        <w:rPr>
                          <w:rFonts w:ascii="Tahoma" w:hAnsi="Tahoma" w:cs="Tahoma"/>
                        </w:rPr>
                        <w:tab/>
                        <w:t>16-43</w:t>
                      </w:r>
                    </w:p>
                    <w:p w:rsidR="00BF3DD1" w:rsidRPr="001A1799" w:rsidRDefault="00BF3DD1" w:rsidP="00BF3DD1">
                      <w:pPr>
                        <w:tabs>
                          <w:tab w:val="right" w:pos="4962"/>
                        </w:tabs>
                        <w:spacing w:line="300" w:lineRule="atLeast"/>
                        <w:rPr>
                          <w:rFonts w:ascii="Tahoma" w:hAnsi="Tahoma" w:cs="Tahoma"/>
                        </w:rPr>
                      </w:pPr>
                    </w:p>
                    <w:p w:rsidR="00BF3DD1" w:rsidRPr="001A1799" w:rsidRDefault="00BF3DD1" w:rsidP="00BF3DD1">
                      <w:pPr>
                        <w:tabs>
                          <w:tab w:val="right" w:pos="4962"/>
                        </w:tabs>
                        <w:spacing w:line="300" w:lineRule="atLeast"/>
                        <w:rPr>
                          <w:rFonts w:ascii="Tahoma" w:hAnsi="Tahoma" w:cs="Tahoma"/>
                          <w:b/>
                        </w:rPr>
                      </w:pPr>
                      <w:r w:rsidRPr="001A1799">
                        <w:rPr>
                          <w:rFonts w:ascii="Tahoma" w:hAnsi="Tahoma" w:cs="Tahoma"/>
                          <w:b/>
                        </w:rPr>
                        <w:t>Conclusion</w:t>
                      </w:r>
                      <w:r w:rsidRPr="001A1799">
                        <w:rPr>
                          <w:rFonts w:ascii="Tahoma" w:hAnsi="Tahoma" w:cs="Tahoma"/>
                          <w:b/>
                        </w:rPr>
                        <w:tab/>
                        <w:t>44</w:t>
                      </w:r>
                    </w:p>
                    <w:p w:rsidR="00BF3DD1" w:rsidRPr="001A1799" w:rsidRDefault="00BF3DD1" w:rsidP="00BF3DD1">
                      <w:pPr>
                        <w:tabs>
                          <w:tab w:val="right" w:pos="4962"/>
                        </w:tabs>
                        <w:spacing w:line="300" w:lineRule="atLeast"/>
                        <w:rPr>
                          <w:rFonts w:ascii="Tahoma" w:hAnsi="Tahoma"/>
                        </w:rPr>
                      </w:pPr>
                    </w:p>
                    <w:p w:rsidR="00BF3DD1" w:rsidRDefault="00BF3DD1" w:rsidP="00BF3DD1">
                      <w:pPr>
                        <w:tabs>
                          <w:tab w:val="right" w:pos="4962"/>
                        </w:tabs>
                        <w:spacing w:line="300" w:lineRule="atLeast"/>
                        <w:rPr>
                          <w:rFonts w:ascii="Tahoma" w:hAnsi="Tahoma"/>
                          <w:b/>
                          <w:lang w:val="fr-FR"/>
                        </w:rPr>
                      </w:pPr>
                      <w:r w:rsidRPr="008125B4">
                        <w:rPr>
                          <w:rFonts w:ascii="Tahoma" w:hAnsi="Tahoma"/>
                          <w:b/>
                          <w:lang w:val="fr-FR"/>
                        </w:rPr>
                        <w:t xml:space="preserve">Annex: </w:t>
                      </w:r>
                      <w:r>
                        <w:rPr>
                          <w:rFonts w:ascii="Tahoma" w:hAnsi="Tahoma"/>
                          <w:b/>
                          <w:lang w:val="fr-FR"/>
                        </w:rPr>
                        <w:t>Audit o</w:t>
                      </w:r>
                      <w:r w:rsidRPr="008125B4">
                        <w:rPr>
                          <w:rFonts w:ascii="Tahoma" w:hAnsi="Tahoma"/>
                          <w:b/>
                          <w:lang w:val="fr-FR"/>
                        </w:rPr>
                        <w:t>pinion</w:t>
                      </w:r>
                    </w:p>
                  </w:txbxContent>
                </v:textbox>
              </v:shape>
            </w:pict>
          </mc:Fallback>
        </mc:AlternateContent>
      </w:r>
      <w:r w:rsidRPr="00235E8C">
        <w:t>trois</w:t>
      </w:r>
      <w:r w:rsidRPr="00235E8C">
        <w:br w:type="page"/>
      </w:r>
    </w:p>
    <w:p w:rsidR="00BF3DD1" w:rsidRPr="00235E8C" w:rsidRDefault="00BF3DD1" w:rsidP="00BF3DD1">
      <w:pPr>
        <w:pStyle w:val="OI-TITRE"/>
        <w:spacing w:after="480"/>
        <w:ind w:left="851"/>
        <w:rPr>
          <w:rFonts w:ascii="Tahoma" w:hAnsi="Tahoma" w:cs="Tahoma"/>
          <w:lang w:val="en-US"/>
        </w:rPr>
      </w:pPr>
      <w:r w:rsidRPr="00235E8C">
        <w:rPr>
          <w:rFonts w:ascii="Tahoma" w:hAnsi="Tahoma" w:cs="Tahoma"/>
          <w:lang w:val="en-US"/>
        </w:rPr>
        <w:lastRenderedPageBreak/>
        <w:t>AUDIT SUMMARY</w:t>
      </w:r>
    </w:p>
    <w:p w:rsidR="00BF3DD1" w:rsidRPr="00235E8C" w:rsidRDefault="00BF3DD1" w:rsidP="00BF3DD1">
      <w:pPr>
        <w:pStyle w:val="Normalcentr1"/>
        <w:tabs>
          <w:tab w:val="left" w:pos="737"/>
          <w:tab w:val="left" w:pos="1985"/>
          <w:tab w:val="right" w:pos="9356"/>
        </w:tabs>
        <w:spacing w:after="120"/>
        <w:ind w:left="851" w:right="284" w:firstLine="0"/>
        <w:rPr>
          <w:rFonts w:ascii="Tahoma" w:hAnsi="Tahoma" w:cs="Tahoma"/>
          <w:lang w:val="en-US"/>
        </w:rPr>
      </w:pPr>
      <w:r w:rsidRPr="00235E8C">
        <w:rPr>
          <w:rFonts w:ascii="Tahoma" w:hAnsi="Tahoma" w:cs="Tahoma"/>
          <w:lang w:val="en-US"/>
        </w:rPr>
        <w:t xml:space="preserve">As Auditor for the </w:t>
      </w:r>
      <w:r w:rsidRPr="00235E8C">
        <w:rPr>
          <w:lang w:val="en-US"/>
        </w:rPr>
        <w:t xml:space="preserve">International Union for the Protection of New Varieties of Plants (UPOV), the Swiss Federal Audit Office confirms that the audit of the 2013 financial statements, presented for the second time in accordance with the International Public Sector Accounting Standards (IPSAS), </w:t>
      </w:r>
      <w:r w:rsidRPr="004A543C">
        <w:rPr>
          <w:lang w:val="en-US"/>
        </w:rPr>
        <w:t>yielded</w:t>
      </w:r>
      <w:r w:rsidRPr="00A52460">
        <w:rPr>
          <w:lang w:val="en-US"/>
        </w:rPr>
        <w:t xml:space="preserve"> a good result</w:t>
      </w:r>
      <w:r w:rsidRPr="00235E8C">
        <w:rPr>
          <w:lang w:val="en-US"/>
        </w:rPr>
        <w:t xml:space="preserve"> overall and that it is in a position to issue an audit opinion without any reservations. </w:t>
      </w:r>
      <w:r>
        <w:rPr>
          <w:lang w:val="en-US"/>
        </w:rPr>
        <w:t>N</w:t>
      </w:r>
      <w:r w:rsidRPr="00235E8C">
        <w:rPr>
          <w:lang w:val="en-US"/>
        </w:rPr>
        <w:t xml:space="preserve">o significant problems were noted.  We note, however, that the introduction of three new standards, </w:t>
      </w:r>
      <w:r>
        <w:rPr>
          <w:lang w:val="en-US"/>
        </w:rPr>
        <w:t xml:space="preserve">which have been </w:t>
      </w:r>
      <w:r w:rsidRPr="00235E8C">
        <w:rPr>
          <w:lang w:val="en-US"/>
        </w:rPr>
        <w:t>in force since January 1, 2013</w:t>
      </w:r>
      <w:r>
        <w:rPr>
          <w:lang w:val="en-US"/>
        </w:rPr>
        <w:t xml:space="preserve"> and</w:t>
      </w:r>
      <w:r w:rsidRPr="00235E8C">
        <w:rPr>
          <w:lang w:val="en-US"/>
        </w:rPr>
        <w:t xml:space="preserve"> are applicable to the </w:t>
      </w:r>
      <w:r>
        <w:rPr>
          <w:lang w:val="en-US"/>
        </w:rPr>
        <w:t>financial year</w:t>
      </w:r>
      <w:r w:rsidRPr="00235E8C">
        <w:rPr>
          <w:lang w:val="en-US"/>
        </w:rPr>
        <w:t xml:space="preserve"> under review</w:t>
      </w:r>
      <w:r>
        <w:rPr>
          <w:lang w:val="en-US"/>
        </w:rPr>
        <w:t xml:space="preserve"> </w:t>
      </w:r>
      <w:r w:rsidRPr="00A52460">
        <w:rPr>
          <w:lang w:val="en-US"/>
        </w:rPr>
        <w:t>still</w:t>
      </w:r>
      <w:r w:rsidRPr="00235E8C">
        <w:rPr>
          <w:lang w:val="en-US"/>
        </w:rPr>
        <w:t xml:space="preserve"> require the Finance Services to update the IPSAS manual.</w:t>
      </w:r>
    </w:p>
    <w:p w:rsidR="00BF3DD1" w:rsidRPr="00235E8C" w:rsidRDefault="00BF3DD1" w:rsidP="00BF3DD1">
      <w:pPr>
        <w:pStyle w:val="NormalIndent"/>
        <w:spacing w:after="120"/>
        <w:ind w:right="284"/>
        <w:jc w:val="both"/>
        <w:rPr>
          <w:rFonts w:ascii="Tahoma" w:hAnsi="Tahoma" w:cs="Tahoma"/>
          <w:color w:val="auto"/>
          <w:lang w:val="en-US"/>
        </w:rPr>
      </w:pPr>
      <w:r>
        <w:rPr>
          <w:rFonts w:ascii="Tahoma" w:hAnsi="Tahoma" w:cs="Tahoma"/>
          <w:color w:val="auto"/>
          <w:lang w:val="en-US"/>
        </w:rPr>
        <w:t>As in</w:t>
      </w:r>
      <w:r w:rsidRPr="00235E8C">
        <w:rPr>
          <w:rFonts w:ascii="Tahoma" w:hAnsi="Tahoma" w:cs="Tahoma"/>
          <w:color w:val="auto"/>
          <w:lang w:val="en-US"/>
        </w:rPr>
        <w:t xml:space="preserve"> the previous year, we wish to </w:t>
      </w:r>
      <w:r w:rsidRPr="00235E8C">
        <w:rPr>
          <w:lang w:val="en-US"/>
        </w:rPr>
        <w:t xml:space="preserve">highlight the fact that no form of accounts has been produced by the Union for the actuarial debt to the United Nations Joint Staff Pension Fund (UNJSPF).  Such accounts would have a significant impact on the Union’s financial statements.  However, the Technical Group of the United Nations Panel of External Auditors and the IPSAS Task Force agreed that there was no need to provide for such undertakings at the agency level.  Nonetheless, we consider it our duty as External Auditor of UPOV’s accounts to alert the </w:t>
      </w:r>
      <w:r w:rsidR="006A5DF2" w:rsidRPr="00235E8C">
        <w:rPr>
          <w:lang w:val="en-US"/>
        </w:rPr>
        <w:t>member</w:t>
      </w:r>
      <w:r w:rsidR="006A5DF2">
        <w:rPr>
          <w:lang w:val="en-US"/>
        </w:rPr>
        <w:t>s</w:t>
      </w:r>
      <w:r w:rsidR="006A5DF2" w:rsidRPr="00235E8C">
        <w:rPr>
          <w:lang w:val="en-US"/>
        </w:rPr>
        <w:t xml:space="preserve"> </w:t>
      </w:r>
      <w:r w:rsidRPr="00235E8C">
        <w:rPr>
          <w:lang w:val="en-US"/>
        </w:rPr>
        <w:t xml:space="preserve">to this kind of potential risk.  We believe that it is still too early </w:t>
      </w:r>
      <w:r>
        <w:rPr>
          <w:lang w:val="en-US"/>
        </w:rPr>
        <w:t xml:space="preserve">to conduct </w:t>
      </w:r>
      <w:r w:rsidRPr="00235E8C">
        <w:rPr>
          <w:lang w:val="en-US"/>
        </w:rPr>
        <w:t xml:space="preserve">a truly </w:t>
      </w:r>
      <w:r w:rsidRPr="009576EC">
        <w:rPr>
          <w:lang w:val="en-US"/>
        </w:rPr>
        <w:t>economic</w:t>
      </w:r>
      <w:r w:rsidRPr="00A52460">
        <w:rPr>
          <w:lang w:val="en-US"/>
        </w:rPr>
        <w:t xml:space="preserve"> interpretation of IPSAS 25</w:t>
      </w:r>
      <w:r w:rsidRPr="00235E8C">
        <w:rPr>
          <w:lang w:val="en-US"/>
        </w:rPr>
        <w:t>.</w:t>
      </w:r>
    </w:p>
    <w:p w:rsidR="00BF3DD1" w:rsidRPr="00235E8C" w:rsidRDefault="00BF3DD1" w:rsidP="00BF3DD1">
      <w:pPr>
        <w:pStyle w:val="NormalIndent"/>
        <w:spacing w:after="120"/>
        <w:ind w:right="284"/>
        <w:jc w:val="both"/>
        <w:rPr>
          <w:rFonts w:ascii="Tahoma" w:hAnsi="Tahoma" w:cs="Tahoma"/>
          <w:lang w:val="en-US"/>
        </w:rPr>
      </w:pPr>
      <w:r w:rsidRPr="00235E8C">
        <w:rPr>
          <w:rFonts w:ascii="Tahoma" w:hAnsi="Tahoma" w:cs="Tahoma"/>
          <w:lang w:val="en-US"/>
        </w:rPr>
        <w:t xml:space="preserve">Finally, we note that UPOV does not include in note 10 of the financial statements the </w:t>
      </w:r>
      <w:r>
        <w:rPr>
          <w:rFonts w:ascii="Tahoma" w:hAnsi="Tahoma" w:cs="Tahoma"/>
          <w:lang w:val="en-US"/>
        </w:rPr>
        <w:t>salaries</w:t>
      </w:r>
      <w:r w:rsidRPr="00235E8C">
        <w:rPr>
          <w:rFonts w:ascii="Tahoma" w:hAnsi="Tahoma" w:cs="Tahoma"/>
          <w:lang w:val="en-US"/>
        </w:rPr>
        <w:t xml:space="preserve"> of persons at the he</w:t>
      </w:r>
      <w:r>
        <w:rPr>
          <w:rFonts w:ascii="Tahoma" w:hAnsi="Tahoma" w:cs="Tahoma"/>
          <w:lang w:val="en-US"/>
        </w:rPr>
        <w:t>lm</w:t>
      </w:r>
      <w:r w:rsidRPr="00235E8C">
        <w:rPr>
          <w:rFonts w:ascii="Tahoma" w:hAnsi="Tahoma" w:cs="Tahoma"/>
          <w:lang w:val="en-US"/>
        </w:rPr>
        <w:t xml:space="preserve"> of the organization and prefers to publish comprehensive information on </w:t>
      </w:r>
      <w:r w:rsidRPr="009576EC">
        <w:rPr>
          <w:rFonts w:ascii="Tahoma" w:hAnsi="Tahoma" w:cs="Tahoma"/>
          <w:lang w:val="en-US"/>
        </w:rPr>
        <w:t>related parties</w:t>
      </w:r>
      <w:r w:rsidRPr="00235E8C">
        <w:rPr>
          <w:rFonts w:ascii="Tahoma" w:hAnsi="Tahoma" w:cs="Tahoma"/>
          <w:lang w:val="en-US"/>
        </w:rPr>
        <w:t xml:space="preserve">, including the remuneration of 5.19 full-time equivalent posts corresponding to the leadership.  We note that this is not fully compliant with IPSAS 20.  Nonetheless, we consider that, as when closing the previous audit, it is not necessary to change our audit opinion but it is our duty as External Auditor to </w:t>
      </w:r>
      <w:r>
        <w:rPr>
          <w:rFonts w:ascii="Tahoma" w:hAnsi="Tahoma" w:cs="Tahoma"/>
          <w:lang w:val="en-US"/>
        </w:rPr>
        <w:t>bring this to</w:t>
      </w:r>
      <w:r w:rsidRPr="00235E8C">
        <w:rPr>
          <w:rFonts w:ascii="Tahoma" w:hAnsi="Tahoma" w:cs="Tahoma"/>
          <w:lang w:val="en-US"/>
        </w:rPr>
        <w:t xml:space="preserve"> the attention of</w:t>
      </w:r>
      <w:r w:rsidR="00DF14DE">
        <w:rPr>
          <w:rFonts w:ascii="Tahoma" w:hAnsi="Tahoma" w:cs="Tahoma"/>
          <w:lang w:val="en-US"/>
        </w:rPr>
        <w:t xml:space="preserve"> UPOV</w:t>
      </w:r>
      <w:r w:rsidRPr="00235E8C">
        <w:rPr>
          <w:rFonts w:ascii="Tahoma" w:hAnsi="Tahoma" w:cs="Tahoma"/>
          <w:lang w:val="en-US"/>
        </w:rPr>
        <w:t xml:space="preserve"> </w:t>
      </w:r>
      <w:r w:rsidR="006A5DF2" w:rsidRPr="00235E8C">
        <w:rPr>
          <w:rFonts w:ascii="Tahoma" w:hAnsi="Tahoma" w:cs="Tahoma"/>
          <w:lang w:val="en-US"/>
        </w:rPr>
        <w:t>member</w:t>
      </w:r>
      <w:r w:rsidR="006A5DF2">
        <w:rPr>
          <w:rFonts w:ascii="Tahoma" w:hAnsi="Tahoma" w:cs="Tahoma"/>
          <w:lang w:val="en-US"/>
        </w:rPr>
        <w:t>s</w:t>
      </w:r>
      <w:r w:rsidRPr="00235E8C">
        <w:rPr>
          <w:rFonts w:ascii="Tahoma" w:hAnsi="Tahoma" w:cs="Tahoma"/>
          <w:lang w:val="en-US"/>
        </w:rPr>
        <w:t>.</w:t>
      </w:r>
    </w:p>
    <w:p w:rsidR="00BF3DD1" w:rsidRPr="00235E8C" w:rsidRDefault="00BF3DD1" w:rsidP="00BF3DD1">
      <w:pPr>
        <w:pStyle w:val="OI-TITRE"/>
        <w:spacing w:after="480"/>
        <w:ind w:left="851"/>
        <w:rPr>
          <w:rFonts w:ascii="Tahoma" w:hAnsi="Tahoma"/>
          <w:lang w:val="en-US"/>
        </w:rPr>
      </w:pPr>
      <w:r w:rsidRPr="00235E8C">
        <w:rPr>
          <w:rFonts w:ascii="Tahoma" w:hAnsi="Tahoma"/>
          <w:lang w:val="en-US"/>
        </w:rPr>
        <w:t>regULATIONS, STANDARDS AND INFORMATION</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rPr>
      </w:pPr>
      <w:r w:rsidRPr="00235E8C">
        <w:rPr>
          <w:rFonts w:ascii="Tahoma" w:hAnsi="Tahoma"/>
        </w:rPr>
        <w:t>Financial regulations and the subject of the audit</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rPr>
      </w:pPr>
      <w:r w:rsidRPr="00235E8C">
        <w:rPr>
          <w:rFonts w:ascii="Tahoma" w:hAnsi="Tahoma"/>
        </w:rPr>
        <w:t>The Union’s financial periods are governed by the relevant provisions of the various Conventions, as well as by those of the Financial Regulations and Rules of UPOV</w:t>
      </w:r>
      <w:r w:rsidRPr="00235E8C">
        <w:rPr>
          <w:rStyle w:val="FootnoteReference"/>
          <w:rFonts w:ascii="Tahoma" w:hAnsi="Tahoma"/>
        </w:rPr>
        <w:footnoteReference w:id="2"/>
      </w:r>
      <w:r w:rsidRPr="00235E8C">
        <w:rPr>
          <w:rFonts w:ascii="Tahoma" w:hAnsi="Tahoma"/>
        </w:rPr>
        <w:t xml:space="preserve"> in accordance with the International Public Sector Accounting Standards (IPSAS).</w:t>
      </w:r>
    </w:p>
    <w:p w:rsidR="00BF3DD1" w:rsidRPr="00235E8C" w:rsidRDefault="00BF3DD1" w:rsidP="00BF3DD1">
      <w:pPr>
        <w:pStyle w:val="Normalcentr1"/>
        <w:keepLines/>
        <w:numPr>
          <w:ilvl w:val="0"/>
          <w:numId w:val="1"/>
        </w:numPr>
        <w:tabs>
          <w:tab w:val="left" w:pos="737"/>
          <w:tab w:val="left" w:pos="993"/>
          <w:tab w:val="left" w:pos="1985"/>
          <w:tab w:val="left" w:pos="5057"/>
          <w:tab w:val="right" w:pos="9356"/>
        </w:tabs>
        <w:spacing w:before="360" w:after="120" w:line="240" w:lineRule="atLeast"/>
        <w:ind w:left="851" w:right="284" w:hanging="567"/>
        <w:rPr>
          <w:rFonts w:ascii="Tahoma" w:hAnsi="Tahoma"/>
          <w:lang w:val="en-US"/>
        </w:rPr>
      </w:pPr>
      <w:r w:rsidRPr="00235E8C">
        <w:rPr>
          <w:rFonts w:ascii="Tahoma" w:hAnsi="Tahoma" w:cs="Tahoma"/>
          <w:lang w:val="en-US"/>
        </w:rPr>
        <w:t>The audit related to the financial statements of the Union as at December 31, 2013, including the Statement of Financial Position (Statement I), the Statement of Financial Performance (Statement II), the Statement of Changes in Net Assets (Statement III), the Statement of Cash Flow (Statement IV) and the Statement of Comparison of Budget and Actual Amounts (Statement V), as well as notes attached to the statements.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rPr>
      </w:pPr>
      <w:r w:rsidRPr="00235E8C">
        <w:rPr>
          <w:rFonts w:ascii="Tahoma" w:hAnsi="Tahoma"/>
        </w:rPr>
        <w:t>Auditing standards, information and acknowledgements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The audit was carried out in accordance with the International Standards on Auditing (ISAs)</w:t>
      </w:r>
      <w:r>
        <w:rPr>
          <w:rFonts w:ascii="Tahoma" w:hAnsi="Tahoma" w:cs="Tahoma"/>
        </w:rPr>
        <w:t>,</w:t>
      </w:r>
      <w:r w:rsidRPr="00235E8C">
        <w:rPr>
          <w:rStyle w:val="FootnoteReference"/>
          <w:rFonts w:ascii="Tahoma" w:hAnsi="Tahoma" w:cs="Tahoma"/>
        </w:rPr>
        <w:footnoteReference w:id="3"/>
      </w:r>
      <w:r w:rsidRPr="00235E8C">
        <w:rPr>
          <w:rFonts w:ascii="Tahoma" w:hAnsi="Tahoma" w:cs="Tahoma"/>
        </w:rPr>
        <w:t xml:space="preserve"> while also observing the additional Terms of Reference forming an integral part of the Financial Regulations and Rules of UPOV.</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t xml:space="preserve">Where testing by means of </w:t>
      </w:r>
      <w:r w:rsidRPr="009576EC">
        <w:rPr>
          <w:rFonts w:ascii="Tahoma" w:hAnsi="Tahoma" w:cs="Tahoma"/>
          <w:lang w:val="en-US"/>
        </w:rPr>
        <w:t>random sampling</w:t>
      </w:r>
      <w:r w:rsidRPr="00235E8C">
        <w:rPr>
          <w:rFonts w:ascii="Tahoma" w:hAnsi="Tahoma" w:cs="Tahoma"/>
          <w:lang w:val="en-US"/>
        </w:rPr>
        <w:t xml:space="preserve"> was carried out, my colleagues selected the samples based on the risks or relative </w:t>
      </w:r>
      <w:r w:rsidRPr="009576EC">
        <w:rPr>
          <w:rFonts w:ascii="Tahoma" w:hAnsi="Tahoma" w:cs="Tahoma"/>
          <w:lang w:val="en-US"/>
        </w:rPr>
        <w:t>size</w:t>
      </w:r>
      <w:r w:rsidRPr="00235E8C">
        <w:rPr>
          <w:rFonts w:ascii="Tahoma" w:hAnsi="Tahoma" w:cs="Tahoma"/>
          <w:lang w:val="en-US"/>
        </w:rPr>
        <w:t xml:space="preserve"> of the amounts recorded under the headings examined.</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t>During our audit, we met regularly with Mrs. Janice Cook Robbins, Director</w:t>
      </w:r>
      <w:r>
        <w:rPr>
          <w:rFonts w:ascii="Tahoma" w:hAnsi="Tahoma" w:cs="Tahoma"/>
          <w:lang w:val="en-US"/>
        </w:rPr>
        <w:t xml:space="preserve"> of the</w:t>
      </w:r>
      <w:r w:rsidRPr="00235E8C">
        <w:rPr>
          <w:rFonts w:ascii="Tahoma" w:hAnsi="Tahoma" w:cs="Tahoma"/>
          <w:lang w:val="en-US"/>
        </w:rPr>
        <w:t xml:space="preserve"> Finance </w:t>
      </w:r>
      <w:r>
        <w:rPr>
          <w:rFonts w:ascii="Tahoma" w:hAnsi="Tahoma" w:cs="Tahoma"/>
          <w:lang w:val="en-US"/>
        </w:rPr>
        <w:t>Division</w:t>
      </w:r>
      <w:r w:rsidRPr="00235E8C">
        <w:rPr>
          <w:rFonts w:ascii="Tahoma" w:hAnsi="Tahoma" w:cs="Tahoma"/>
          <w:lang w:val="en-US"/>
        </w:rPr>
        <w:t>, and her staff, who provided all the information and documents required to complete our work.</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lastRenderedPageBreak/>
        <w:t>We wish to emphasize the excellent cooperation and open</w:t>
      </w:r>
      <w:r>
        <w:rPr>
          <w:rFonts w:ascii="Tahoma" w:hAnsi="Tahoma" w:cs="Tahoma"/>
          <w:lang w:val="en-US"/>
        </w:rPr>
        <w:t>ness</w:t>
      </w:r>
      <w:r w:rsidRPr="00235E8C">
        <w:rPr>
          <w:rFonts w:ascii="Tahoma" w:hAnsi="Tahoma" w:cs="Tahoma"/>
          <w:lang w:val="en-US"/>
        </w:rPr>
        <w:t xml:space="preserve"> </w:t>
      </w:r>
      <w:r>
        <w:rPr>
          <w:rFonts w:ascii="Tahoma" w:hAnsi="Tahoma" w:cs="Tahoma"/>
          <w:lang w:val="en-US"/>
        </w:rPr>
        <w:t>displayed</w:t>
      </w:r>
      <w:r w:rsidRPr="00235E8C">
        <w:rPr>
          <w:rFonts w:ascii="Tahoma" w:hAnsi="Tahoma" w:cs="Tahoma"/>
          <w:lang w:val="en-US"/>
        </w:rPr>
        <w:t xml:space="preserve"> throughout the performance of this audit.  We also wish to express our thanks for the </w:t>
      </w:r>
      <w:r>
        <w:rPr>
          <w:rFonts w:ascii="Tahoma" w:hAnsi="Tahoma" w:cs="Tahoma"/>
          <w:lang w:val="en-US"/>
        </w:rPr>
        <w:t>readiness with</w:t>
      </w:r>
      <w:r w:rsidRPr="00235E8C">
        <w:rPr>
          <w:rFonts w:ascii="Tahoma" w:hAnsi="Tahoma" w:cs="Tahoma"/>
          <w:lang w:val="en-US"/>
        </w:rPr>
        <w:t xml:space="preserve"> which information and documents were provided by all UPOV staff contacted.</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t xml:space="preserve">The results of the audit were </w:t>
      </w:r>
      <w:r>
        <w:rPr>
          <w:rFonts w:ascii="Tahoma" w:hAnsi="Tahoma" w:cs="Tahoma"/>
          <w:lang w:val="en-US"/>
        </w:rPr>
        <w:t>provided to</w:t>
      </w:r>
      <w:r w:rsidRPr="00235E8C">
        <w:rPr>
          <w:rFonts w:ascii="Tahoma" w:hAnsi="Tahoma" w:cs="Tahoma"/>
          <w:lang w:val="en-US"/>
        </w:rPr>
        <w:t xml:space="preserve"> Mr. Peter Button, Vice Secretary-General of UPOV, during the final discussion on July 7, 2014.</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In accordance with item 11 of the Additional Terms of Reference Governing External Audit concerning the comments of the Secretary-General to be included in the present report, we received confirmation by e-mail on July 7, 2014, from his </w:t>
      </w:r>
      <w:r>
        <w:rPr>
          <w:rFonts w:ascii="Tahoma" w:hAnsi="Tahoma" w:cs="Tahoma"/>
        </w:rPr>
        <w:t>staff</w:t>
      </w:r>
      <w:r w:rsidRPr="00235E8C">
        <w:rPr>
          <w:rFonts w:ascii="Tahoma" w:hAnsi="Tahoma" w:cs="Tahoma"/>
        </w:rPr>
        <w:t xml:space="preserve"> that there were no additional comments.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The original drafting language of the present report is French and we recall that the French version is the authoritative text.</w:t>
      </w:r>
    </w:p>
    <w:p w:rsidR="00BF3DD1" w:rsidRPr="00235E8C" w:rsidRDefault="00BF3DD1" w:rsidP="00BF3DD1">
      <w:pPr>
        <w:pStyle w:val="OI-TITRE"/>
        <w:spacing w:after="480"/>
        <w:ind w:left="851"/>
        <w:rPr>
          <w:rFonts w:ascii="Tahoma" w:hAnsi="Tahoma" w:cs="Tahoma"/>
          <w:lang w:val="en-US"/>
        </w:rPr>
      </w:pPr>
      <w:r w:rsidRPr="00235E8C">
        <w:rPr>
          <w:rFonts w:ascii="Tahoma" w:hAnsi="Tahoma" w:cs="Tahoma"/>
          <w:lang w:val="en-US"/>
        </w:rPr>
        <w:t xml:space="preserve">FOLLOW-UP </w:t>
      </w:r>
      <w:r>
        <w:rPr>
          <w:rFonts w:ascii="Tahoma" w:hAnsi="Tahoma" w:cs="Tahoma"/>
          <w:lang w:val="en-US"/>
        </w:rPr>
        <w:t>OF</w:t>
      </w:r>
      <w:r w:rsidRPr="00235E8C">
        <w:rPr>
          <w:rFonts w:ascii="Tahoma" w:hAnsi="Tahoma" w:cs="Tahoma"/>
          <w:lang w:val="en-US"/>
        </w:rPr>
        <w:t xml:space="preserve"> RECOMMENDATIONS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We recall that the recommendations made prior to the 2012 audit were all implemented and that no new recommendations were made in our last audit report of June 24, 2013.</w:t>
      </w:r>
    </w:p>
    <w:p w:rsidR="00BF3DD1" w:rsidRPr="00235E8C" w:rsidRDefault="00BF3DD1" w:rsidP="00BF3DD1">
      <w:pPr>
        <w:pStyle w:val="OI-TITRE"/>
        <w:spacing w:after="480"/>
        <w:ind w:left="851"/>
        <w:rPr>
          <w:rFonts w:ascii="Tahoma" w:hAnsi="Tahoma" w:cs="Tahoma"/>
          <w:lang w:val="en-US"/>
        </w:rPr>
      </w:pPr>
      <w:r w:rsidRPr="00235E8C">
        <w:rPr>
          <w:rFonts w:ascii="Tahoma" w:hAnsi="Tahoma" w:cs="Tahoma"/>
          <w:lang w:val="en-US"/>
        </w:rPr>
        <w:t>INTERNAL CONTROL System (ICS)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rPr>
      </w:pPr>
      <w:r w:rsidRPr="00235E8C">
        <w:rPr>
          <w:rFonts w:ascii="Tahoma" w:hAnsi="Tahoma"/>
        </w:rPr>
        <w:t>The quality of the internal control system depend</w:t>
      </w:r>
      <w:r>
        <w:rPr>
          <w:rFonts w:ascii="Tahoma" w:hAnsi="Tahoma"/>
        </w:rPr>
        <w:t>s</w:t>
      </w:r>
      <w:r w:rsidRPr="00235E8C">
        <w:rPr>
          <w:rFonts w:ascii="Tahoma" w:hAnsi="Tahoma"/>
        </w:rPr>
        <w:t xml:space="preserve"> on the control system in place in the administrative services of WIPO</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UPOV is linked to WIPO by an agreement concerning the financial management of its activities.  As a result, the existence and quality of the internal control system (ICS) at UPOV is dependent on what </w:t>
      </w:r>
      <w:r>
        <w:rPr>
          <w:rFonts w:ascii="Tahoma" w:hAnsi="Tahoma" w:cs="Tahoma"/>
        </w:rPr>
        <w:t>is</w:t>
      </w:r>
      <w:r w:rsidRPr="00235E8C">
        <w:rPr>
          <w:rFonts w:ascii="Tahoma" w:hAnsi="Tahoma" w:cs="Tahoma"/>
        </w:rPr>
        <w:t xml:space="preserve"> </w:t>
      </w:r>
      <w:r>
        <w:rPr>
          <w:rFonts w:ascii="Tahoma" w:hAnsi="Tahoma" w:cs="Tahoma"/>
        </w:rPr>
        <w:t>found</w:t>
      </w:r>
      <w:r w:rsidRPr="00235E8C">
        <w:rPr>
          <w:rFonts w:ascii="Tahoma" w:hAnsi="Tahoma" w:cs="Tahoma"/>
        </w:rPr>
        <w:t xml:space="preserve"> within the administrative services of WIPO.  </w:t>
      </w:r>
      <w:r>
        <w:rPr>
          <w:rFonts w:ascii="Tahoma" w:hAnsi="Tahoma" w:cs="Tahoma"/>
        </w:rPr>
        <w:t>A member of our team collected</w:t>
      </w:r>
      <w:r w:rsidRPr="00235E8C">
        <w:rPr>
          <w:rFonts w:ascii="Tahoma" w:hAnsi="Tahoma" w:cs="Tahoma"/>
        </w:rPr>
        <w:t xml:space="preserve"> inform</w:t>
      </w:r>
      <w:r>
        <w:rPr>
          <w:rFonts w:ascii="Tahoma" w:hAnsi="Tahoma" w:cs="Tahoma"/>
        </w:rPr>
        <w:t>ation about</w:t>
      </w:r>
      <w:r w:rsidRPr="00235E8C">
        <w:rPr>
          <w:rFonts w:ascii="Tahoma" w:hAnsi="Tahoma" w:cs="Tahoma"/>
        </w:rPr>
        <w:t xml:space="preserve"> </w:t>
      </w:r>
      <w:r>
        <w:rPr>
          <w:rFonts w:ascii="Tahoma" w:hAnsi="Tahoma" w:cs="Tahoma"/>
        </w:rPr>
        <w:t>progress in</w:t>
      </w:r>
      <w:r w:rsidRPr="00235E8C">
        <w:rPr>
          <w:rFonts w:ascii="Tahoma" w:hAnsi="Tahoma" w:cs="Tahoma"/>
        </w:rPr>
        <w:t xml:space="preserve"> the project to introduce ICS at WIPO.  He noted that flow diagrams and process descriptions are now available in the fields of revenue and general expenditure.  On the contrary, he noted that, in the financial section </w:t>
      </w:r>
      <w:r>
        <w:rPr>
          <w:rFonts w:ascii="Tahoma" w:hAnsi="Tahoma" w:cs="Tahoma"/>
        </w:rPr>
        <w:t>dealing with salaries</w:t>
      </w:r>
      <w:r w:rsidRPr="00235E8C">
        <w:rPr>
          <w:rFonts w:ascii="Tahoma" w:hAnsi="Tahoma" w:cs="Tahoma"/>
        </w:rPr>
        <w:t>, certain work to implement ICS had been stopped.  This is explained by the roll</w:t>
      </w:r>
      <w:r>
        <w:rPr>
          <w:rFonts w:ascii="Tahoma" w:hAnsi="Tahoma" w:cs="Tahoma"/>
        </w:rPr>
        <w:t>-</w:t>
      </w:r>
      <w:r w:rsidRPr="00235E8C">
        <w:rPr>
          <w:rFonts w:ascii="Tahoma" w:hAnsi="Tahoma" w:cs="Tahoma"/>
        </w:rPr>
        <w:t>out of new accounting software, AIMS HR, which is still under</w:t>
      </w:r>
      <w:r>
        <w:rPr>
          <w:rFonts w:ascii="Tahoma" w:hAnsi="Tahoma" w:cs="Tahoma"/>
        </w:rPr>
        <w:t xml:space="preserve"> </w:t>
      </w:r>
      <w:r w:rsidRPr="00235E8C">
        <w:rPr>
          <w:rFonts w:ascii="Tahoma" w:hAnsi="Tahoma" w:cs="Tahoma"/>
        </w:rPr>
        <w:t>way.  Nonetheless, at this stage we can confirm the existence of an ICS at WIPO that allows UPOV to produce statements without significant anomalies.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The principle of joint signatures of two persons is applied </w:t>
      </w:r>
      <w:r>
        <w:rPr>
          <w:rFonts w:ascii="Tahoma" w:hAnsi="Tahoma" w:cs="Tahoma"/>
        </w:rPr>
        <w:t>for</w:t>
      </w:r>
      <w:r w:rsidRPr="00235E8C">
        <w:rPr>
          <w:rFonts w:ascii="Tahoma" w:hAnsi="Tahoma" w:cs="Tahoma"/>
        </w:rPr>
        <w:t xml:space="preserve"> banking relationships and disbursements.  Signature rights are applied to all bank accounts and other payment authorizations.</w:t>
      </w:r>
    </w:p>
    <w:p w:rsidR="00BF3DD1" w:rsidRPr="00235E8C" w:rsidRDefault="00BF3DD1" w:rsidP="00BF3DD1">
      <w:pPr>
        <w:pStyle w:val="OI-TITRE"/>
        <w:keepNext/>
        <w:spacing w:after="480"/>
        <w:ind w:left="851"/>
        <w:rPr>
          <w:rFonts w:ascii="Tahoma" w:hAnsi="Tahoma"/>
          <w:lang w:val="en-US"/>
        </w:rPr>
      </w:pPr>
      <w:r w:rsidRPr="00235E8C">
        <w:rPr>
          <w:rFonts w:ascii="Tahoma" w:hAnsi="Tahoma"/>
          <w:lang w:val="en-US"/>
        </w:rPr>
        <w:t>PRODUCTION OF FINANCIAL STATEMENTS ACCORDING TO ipsas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rPr>
      </w:pPr>
      <w:r w:rsidRPr="00235E8C">
        <w:rPr>
          <w:rFonts w:ascii="Tahoma" w:hAnsi="Tahoma"/>
        </w:rPr>
        <w:t>The presentation of the 2013 financial statements takes into account the new IPSAS standards applicable since January 1, 2013</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UPOV closed its financial statements according to IPSAS for the second time on December 31, 2013.  In addition, accounts </w:t>
      </w:r>
      <w:r>
        <w:rPr>
          <w:rFonts w:ascii="Tahoma" w:hAnsi="Tahoma" w:cs="Tahoma"/>
        </w:rPr>
        <w:t>were presented</w:t>
      </w:r>
      <w:r w:rsidRPr="00235E8C">
        <w:rPr>
          <w:rFonts w:ascii="Tahoma" w:hAnsi="Tahoma" w:cs="Tahoma"/>
        </w:rPr>
        <w:t xml:space="preserve"> in accordance with new IPSAS standards 28 to 30</w:t>
      </w:r>
      <w:r>
        <w:rPr>
          <w:rFonts w:ascii="Tahoma" w:hAnsi="Tahoma" w:cs="Tahoma"/>
        </w:rPr>
        <w:t>,</w:t>
      </w:r>
      <w:r w:rsidRPr="00235E8C">
        <w:rPr>
          <w:rStyle w:val="FootnoteReference"/>
          <w:rFonts w:ascii="Tahoma" w:hAnsi="Tahoma" w:cs="Tahoma"/>
        </w:rPr>
        <w:footnoteReference w:id="4"/>
      </w:r>
      <w:r w:rsidRPr="00235E8C">
        <w:rPr>
          <w:rFonts w:ascii="Tahoma" w:hAnsi="Tahoma" w:cs="Tahoma"/>
        </w:rPr>
        <w:t xml:space="preserve"> </w:t>
      </w:r>
      <w:r w:rsidRPr="00235E8C">
        <w:rPr>
          <w:rFonts w:ascii="Tahoma" w:hAnsi="Tahoma" w:cs="Tahoma"/>
        </w:rPr>
        <w:lastRenderedPageBreak/>
        <w:t>applicable from January 1, 2013.  Their introduction was facilitated by the know-how and experience of the staff from WIPO’s Finance Services who are in charge of producing UPOV’s financial statements.  Furthermore, we note that WIPO document Policy Guidance Manual for International Public Sector Accounting Standards (version 14 from 2012), which applies to UPOV’s needs, is currently being updated by the Finance Services.</w:t>
      </w:r>
    </w:p>
    <w:p w:rsidR="00BF3DD1" w:rsidRPr="00235E8C" w:rsidRDefault="00BF3DD1" w:rsidP="00BF3DD1">
      <w:pPr>
        <w:pStyle w:val="OI-TITRE"/>
        <w:spacing w:after="480"/>
        <w:ind w:left="851"/>
        <w:rPr>
          <w:rFonts w:ascii="Tahoma" w:hAnsi="Tahoma" w:cs="Tahoma"/>
          <w:lang w:val="en-US"/>
        </w:rPr>
      </w:pPr>
      <w:r w:rsidRPr="00235E8C">
        <w:rPr>
          <w:rFonts w:ascii="Tahoma" w:hAnsi="Tahoma" w:cs="Tahoma"/>
          <w:lang w:val="en-US"/>
        </w:rPr>
        <w:t>AUDIT OF 2013 BUDGET PERFORMANCE</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rPr>
      </w:pPr>
      <w:r w:rsidRPr="00235E8C">
        <w:rPr>
          <w:rFonts w:ascii="Tahoma" w:hAnsi="Tahoma"/>
        </w:rPr>
        <w:t>2013 saw budget receipts in line with expectations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The 2012-2013 biennium budget adopted by the Council during the Forty-Fifth Ordinary Session on October 20, 2011, forecast a balanced result for the year 2013.  The final result presents an income surplus of 73,000 Swiss francs prior to adjustments and the net expenses of Funds in Trust.  A comparison between the 2013 budget and the 2013 financial statements can be summarized as follow:</w:t>
      </w:r>
    </w:p>
    <w:tbl>
      <w:tblPr>
        <w:tblW w:w="6540" w:type="dxa"/>
        <w:jc w:val="center"/>
        <w:tblInd w:w="55" w:type="dxa"/>
        <w:tblCellMar>
          <w:left w:w="70" w:type="dxa"/>
          <w:right w:w="70" w:type="dxa"/>
        </w:tblCellMar>
        <w:tblLook w:val="04A0" w:firstRow="1" w:lastRow="0" w:firstColumn="1" w:lastColumn="0" w:noHBand="0" w:noVBand="1"/>
      </w:tblPr>
      <w:tblGrid>
        <w:gridCol w:w="1200"/>
        <w:gridCol w:w="1440"/>
        <w:gridCol w:w="1440"/>
        <w:gridCol w:w="1304"/>
        <w:gridCol w:w="1156"/>
      </w:tblGrid>
      <w:tr w:rsidR="00BF3DD1" w:rsidRPr="00235E8C" w:rsidTr="00387CD2">
        <w:trPr>
          <w:trHeight w:val="465"/>
          <w:jc w:val="center"/>
        </w:trPr>
        <w:tc>
          <w:tcPr>
            <w:tcW w:w="1200" w:type="dxa"/>
            <w:tcBorders>
              <w:top w:val="nil"/>
              <w:left w:val="nil"/>
              <w:bottom w:val="nil"/>
              <w:right w:val="nil"/>
            </w:tcBorders>
            <w:shd w:val="clear" w:color="auto" w:fill="auto"/>
            <w:noWrap/>
            <w:hideMark/>
          </w:tcPr>
          <w:p w:rsidR="00BF3DD1" w:rsidRPr="00235E8C" w:rsidRDefault="00BF3DD1" w:rsidP="00387CD2">
            <w:pPr>
              <w:rPr>
                <w:sz w:val="22"/>
                <w:szCs w:val="22"/>
                <w:lang w:eastAsia="fr-CH"/>
              </w:rPr>
            </w:pPr>
          </w:p>
        </w:tc>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DD1" w:rsidRPr="00235E8C" w:rsidRDefault="00BF3DD1" w:rsidP="00387CD2">
            <w:pPr>
              <w:jc w:val="center"/>
              <w:rPr>
                <w:rFonts w:ascii="Tahoma" w:hAnsi="Tahoma" w:cs="Tahoma"/>
                <w:b/>
                <w:bCs/>
                <w:i/>
                <w:iCs/>
                <w:sz w:val="18"/>
                <w:szCs w:val="18"/>
                <w:lang w:eastAsia="fr-CH"/>
              </w:rPr>
            </w:pPr>
            <w:r w:rsidRPr="00235E8C">
              <w:rPr>
                <w:rFonts w:ascii="Tahoma" w:hAnsi="Tahoma" w:cs="Tahoma"/>
                <w:b/>
                <w:bCs/>
                <w:i/>
                <w:iCs/>
                <w:sz w:val="18"/>
                <w:szCs w:val="18"/>
                <w:lang w:eastAsia="fr-CH"/>
              </w:rPr>
              <w:t>Budget (Swiss francs)</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BF3DD1" w:rsidRPr="00235E8C" w:rsidRDefault="00BF3DD1" w:rsidP="00387CD2">
            <w:pPr>
              <w:jc w:val="center"/>
              <w:rPr>
                <w:rFonts w:ascii="Tahoma" w:hAnsi="Tahoma" w:cs="Tahoma"/>
                <w:b/>
                <w:bCs/>
                <w:i/>
                <w:iCs/>
                <w:sz w:val="18"/>
                <w:szCs w:val="18"/>
                <w:lang w:eastAsia="fr-CH"/>
              </w:rPr>
            </w:pPr>
            <w:r w:rsidRPr="00235E8C">
              <w:rPr>
                <w:rFonts w:ascii="Tahoma" w:hAnsi="Tahoma" w:cs="Tahoma"/>
                <w:b/>
                <w:bCs/>
                <w:i/>
                <w:iCs/>
                <w:sz w:val="18"/>
                <w:szCs w:val="18"/>
                <w:lang w:eastAsia="fr-CH"/>
              </w:rPr>
              <w:t>Accounts (Swiss francs)</w:t>
            </w:r>
          </w:p>
        </w:tc>
        <w:tc>
          <w:tcPr>
            <w:tcW w:w="2460" w:type="dxa"/>
            <w:gridSpan w:val="2"/>
            <w:tcBorders>
              <w:top w:val="single" w:sz="8" w:space="0" w:color="auto"/>
              <w:left w:val="nil"/>
              <w:bottom w:val="single" w:sz="8" w:space="0" w:color="auto"/>
              <w:right w:val="single" w:sz="8" w:space="0" w:color="000000"/>
            </w:tcBorders>
            <w:shd w:val="clear" w:color="000000" w:fill="FFFFFF"/>
            <w:vAlign w:val="center"/>
            <w:hideMark/>
          </w:tcPr>
          <w:p w:rsidR="00BF3DD1" w:rsidRPr="00235E8C" w:rsidRDefault="00BF3DD1" w:rsidP="00387CD2">
            <w:pPr>
              <w:jc w:val="center"/>
              <w:rPr>
                <w:rFonts w:ascii="Tahoma" w:hAnsi="Tahoma" w:cs="Tahoma"/>
                <w:b/>
                <w:bCs/>
                <w:i/>
                <w:iCs/>
                <w:sz w:val="18"/>
                <w:szCs w:val="18"/>
                <w:lang w:eastAsia="fr-CH"/>
              </w:rPr>
            </w:pPr>
            <w:r w:rsidRPr="00235E8C">
              <w:rPr>
                <w:rFonts w:ascii="Tahoma" w:hAnsi="Tahoma" w:cs="Tahoma"/>
                <w:b/>
                <w:bCs/>
                <w:i/>
                <w:iCs/>
                <w:sz w:val="18"/>
                <w:szCs w:val="18"/>
                <w:lang w:eastAsia="fr-CH"/>
              </w:rPr>
              <w:t xml:space="preserve">Difference accounts vs. budget </w:t>
            </w:r>
            <w:r w:rsidRPr="00235E8C">
              <w:rPr>
                <w:rFonts w:ascii="Tahoma" w:hAnsi="Tahoma" w:cs="Tahoma"/>
                <w:b/>
                <w:bCs/>
                <w:i/>
                <w:iCs/>
                <w:sz w:val="18"/>
                <w:szCs w:val="18"/>
                <w:lang w:eastAsia="fr-CH"/>
              </w:rPr>
              <w:br/>
              <w:t>(Swiss francs and %)</w:t>
            </w:r>
          </w:p>
        </w:tc>
      </w:tr>
      <w:tr w:rsidR="00BF3DD1" w:rsidRPr="00235E8C" w:rsidTr="00387CD2">
        <w:trPr>
          <w:trHeight w:val="27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 xml:space="preserve">Income </w:t>
            </w:r>
          </w:p>
        </w:tc>
        <w:tc>
          <w:tcPr>
            <w:tcW w:w="144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3,404,000</w:t>
            </w:r>
          </w:p>
        </w:tc>
        <w:tc>
          <w:tcPr>
            <w:tcW w:w="144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3,403,000</w:t>
            </w:r>
          </w:p>
        </w:tc>
        <w:tc>
          <w:tcPr>
            <w:tcW w:w="1304"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-1,000.00</w:t>
            </w:r>
          </w:p>
        </w:tc>
        <w:tc>
          <w:tcPr>
            <w:tcW w:w="1156"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-0.18%</w:t>
            </w:r>
          </w:p>
        </w:tc>
      </w:tr>
      <w:tr w:rsidR="00BF3DD1" w:rsidRPr="00235E8C" w:rsidTr="00387CD2">
        <w:trPr>
          <w:trHeight w:val="27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Expenditure</w:t>
            </w:r>
          </w:p>
        </w:tc>
        <w:tc>
          <w:tcPr>
            <w:tcW w:w="144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-3,404,000</w:t>
            </w:r>
          </w:p>
        </w:tc>
        <w:tc>
          <w:tcPr>
            <w:tcW w:w="144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-3,330,000</w:t>
            </w:r>
          </w:p>
        </w:tc>
        <w:tc>
          <w:tcPr>
            <w:tcW w:w="1304"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74,000.00</w:t>
            </w:r>
          </w:p>
        </w:tc>
        <w:tc>
          <w:tcPr>
            <w:tcW w:w="1156"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-12.96%</w:t>
            </w:r>
          </w:p>
        </w:tc>
      </w:tr>
      <w:tr w:rsidR="00BF3DD1" w:rsidRPr="00235E8C" w:rsidTr="00387CD2">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Result</w:t>
            </w:r>
          </w:p>
        </w:tc>
        <w:tc>
          <w:tcPr>
            <w:tcW w:w="144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0</w:t>
            </w:r>
          </w:p>
        </w:tc>
        <w:tc>
          <w:tcPr>
            <w:tcW w:w="144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73,000</w:t>
            </w:r>
          </w:p>
        </w:tc>
        <w:tc>
          <w:tcPr>
            <w:tcW w:w="1304"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73,000</w:t>
            </w:r>
          </w:p>
        </w:tc>
        <w:tc>
          <w:tcPr>
            <w:tcW w:w="1156" w:type="dxa"/>
            <w:tcBorders>
              <w:top w:val="nil"/>
              <w:left w:val="nil"/>
              <w:bottom w:val="nil"/>
              <w:right w:val="nil"/>
            </w:tcBorders>
            <w:shd w:val="clear" w:color="auto" w:fill="auto"/>
            <w:noWrap/>
            <w:hideMark/>
          </w:tcPr>
          <w:p w:rsidR="00BF3DD1" w:rsidRPr="00235E8C" w:rsidRDefault="00BF3DD1" w:rsidP="00387CD2">
            <w:pPr>
              <w:rPr>
                <w:sz w:val="22"/>
                <w:szCs w:val="22"/>
                <w:lang w:eastAsia="fr-CH"/>
              </w:rPr>
            </w:pPr>
          </w:p>
        </w:tc>
      </w:tr>
    </w:tbl>
    <w:p w:rsidR="00BF3DD1" w:rsidRPr="00235E8C" w:rsidRDefault="00BF3DD1" w:rsidP="00BF3DD1">
      <w:pPr>
        <w:tabs>
          <w:tab w:val="left" w:pos="737"/>
          <w:tab w:val="left" w:pos="993"/>
          <w:tab w:val="left" w:pos="1985"/>
          <w:tab w:val="right" w:pos="9356"/>
        </w:tabs>
        <w:overflowPunct w:val="0"/>
        <w:autoSpaceDE w:val="0"/>
        <w:autoSpaceDN w:val="0"/>
        <w:adjustRightInd w:val="0"/>
        <w:spacing w:after="120"/>
        <w:ind w:right="284"/>
        <w:textAlignment w:val="baseline"/>
        <w:rPr>
          <w:rFonts w:ascii="Tahoma" w:hAnsi="Tahoma" w:cs="Tahoma"/>
        </w:rPr>
      </w:pP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As to budget performance, we refer here to the comments of the Secretary-General contained in the Financial Management Report.  Statement V “Statement of Comparison of Budget and Actual Amounts for the year ended December 31, 2013” presents the main variations between the budget and the actual figures for 2013.  In addition to this table, Statement V “Statement of Comparison of Budget and Actual Amounts for the year ended December 31, 2013” presents the values of the 2012-2013 biennium budget.  The combined results for the two years found in Statement II correspond to Statement V on the budget, showing a net adjusted result of 504,000 Swiss francs.</w:t>
      </w:r>
    </w:p>
    <w:p w:rsidR="00BF3DD1" w:rsidRPr="00235E8C" w:rsidRDefault="00BF3DD1" w:rsidP="00BF3DD1">
      <w:pPr>
        <w:rPr>
          <w:rFonts w:ascii="Tahoma" w:hAnsi="Tahoma" w:cs="Tahoma"/>
          <w:b/>
          <w:caps/>
          <w:kern w:val="28"/>
        </w:rPr>
      </w:pPr>
      <w:r w:rsidRPr="00235E8C">
        <w:rPr>
          <w:rFonts w:ascii="Tahoma" w:hAnsi="Tahoma" w:cs="Tahoma"/>
        </w:rPr>
        <w:br w:type="page"/>
      </w:r>
    </w:p>
    <w:p w:rsidR="00BF3DD1" w:rsidRPr="00235E8C" w:rsidRDefault="00BF3DD1" w:rsidP="00BF3DD1">
      <w:pPr>
        <w:pStyle w:val="OI-TITRE"/>
        <w:spacing w:after="480"/>
        <w:ind w:left="851"/>
        <w:rPr>
          <w:rFonts w:ascii="Tahoma" w:hAnsi="Tahoma" w:cs="Tahoma"/>
          <w:lang w:val="en-US"/>
        </w:rPr>
      </w:pPr>
      <w:r w:rsidRPr="00235E8C">
        <w:rPr>
          <w:rFonts w:ascii="Tahoma" w:hAnsi="Tahoma" w:cs="Tahoma"/>
          <w:lang w:val="en-US"/>
        </w:rPr>
        <w:lastRenderedPageBreak/>
        <w:t>AUDIT OF 2013 FINANCIAL STATEMENTS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after="120" w:line="240" w:lineRule="atLeast"/>
        <w:ind w:left="851" w:right="284"/>
        <w:textAlignment w:val="baseline"/>
        <w:rPr>
          <w:rFonts w:ascii="Tahoma" w:hAnsi="Tahoma"/>
        </w:rPr>
      </w:pPr>
      <w:r w:rsidRPr="00235E8C">
        <w:rPr>
          <w:rFonts w:ascii="Tahoma" w:hAnsi="Tahoma" w:cs="Tahoma"/>
        </w:rPr>
        <w:t>The 2013 financial statements provide confirmation of a healthy financial situation</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The table below </w:t>
      </w:r>
      <w:r>
        <w:rPr>
          <w:rFonts w:ascii="Tahoma" w:hAnsi="Tahoma" w:cs="Tahoma"/>
        </w:rPr>
        <w:t>compares</w:t>
      </w:r>
      <w:r w:rsidRPr="00235E8C">
        <w:rPr>
          <w:rFonts w:ascii="Tahoma" w:hAnsi="Tahoma" w:cs="Tahoma"/>
        </w:rPr>
        <w:t xml:space="preserve"> several key values from the balance sheets for 2013 and 2012 without any other particular comments on our part.  We refer also to significant balances from the 2013 accounts on which we have made specific comments.</w:t>
      </w:r>
    </w:p>
    <w:tbl>
      <w:tblPr>
        <w:tblW w:w="7327" w:type="dxa"/>
        <w:jc w:val="center"/>
        <w:tblInd w:w="55" w:type="dxa"/>
        <w:tblCellMar>
          <w:left w:w="70" w:type="dxa"/>
          <w:right w:w="70" w:type="dxa"/>
        </w:tblCellMar>
        <w:tblLook w:val="04A0" w:firstRow="1" w:lastRow="0" w:firstColumn="1" w:lastColumn="0" w:noHBand="0" w:noVBand="1"/>
      </w:tblPr>
      <w:tblGrid>
        <w:gridCol w:w="3187"/>
        <w:gridCol w:w="1332"/>
        <w:gridCol w:w="1331"/>
        <w:gridCol w:w="1477"/>
      </w:tblGrid>
      <w:tr w:rsidR="00BF3DD1" w:rsidRPr="00235E8C" w:rsidTr="00387CD2">
        <w:trPr>
          <w:trHeight w:val="300"/>
          <w:jc w:val="center"/>
        </w:trPr>
        <w:tc>
          <w:tcPr>
            <w:tcW w:w="3187" w:type="dxa"/>
            <w:tcBorders>
              <w:top w:val="nil"/>
              <w:left w:val="nil"/>
              <w:bottom w:val="nil"/>
              <w:right w:val="nil"/>
            </w:tcBorders>
            <w:shd w:val="clear" w:color="auto" w:fill="auto"/>
            <w:noWrap/>
            <w:hideMark/>
          </w:tcPr>
          <w:p w:rsidR="00BF3DD1" w:rsidRPr="00235E8C" w:rsidRDefault="00BF3DD1" w:rsidP="00387CD2">
            <w:pPr>
              <w:rPr>
                <w:sz w:val="22"/>
                <w:szCs w:val="22"/>
                <w:lang w:eastAsia="fr-CH"/>
              </w:rPr>
            </w:pPr>
          </w:p>
        </w:tc>
        <w:tc>
          <w:tcPr>
            <w:tcW w:w="414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Amounts in Swiss francs</w:t>
            </w:r>
          </w:p>
        </w:tc>
      </w:tr>
      <w:tr w:rsidR="00BF3DD1" w:rsidRPr="00235E8C" w:rsidTr="00387CD2">
        <w:trPr>
          <w:trHeight w:val="270"/>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Reference</w:t>
            </w:r>
          </w:p>
        </w:tc>
        <w:tc>
          <w:tcPr>
            <w:tcW w:w="1332" w:type="dxa"/>
            <w:tcBorders>
              <w:top w:val="nil"/>
              <w:left w:val="nil"/>
              <w:bottom w:val="nil"/>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2013</w:t>
            </w:r>
          </w:p>
        </w:tc>
        <w:tc>
          <w:tcPr>
            <w:tcW w:w="1331" w:type="dxa"/>
            <w:tcBorders>
              <w:top w:val="nil"/>
              <w:left w:val="nil"/>
              <w:bottom w:val="nil"/>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2012</w:t>
            </w:r>
          </w:p>
        </w:tc>
        <w:tc>
          <w:tcPr>
            <w:tcW w:w="1477" w:type="dxa"/>
            <w:tcBorders>
              <w:top w:val="nil"/>
              <w:left w:val="nil"/>
              <w:bottom w:val="nil"/>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Variation</w:t>
            </w:r>
          </w:p>
        </w:tc>
      </w:tr>
      <w:tr w:rsidR="00BF3DD1" w:rsidRPr="00235E8C" w:rsidTr="00387CD2">
        <w:trPr>
          <w:trHeight w:val="270"/>
          <w:jc w:val="center"/>
        </w:trPr>
        <w:tc>
          <w:tcPr>
            <w:tcW w:w="31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Balance sheet total</w:t>
            </w:r>
          </w:p>
        </w:tc>
        <w:tc>
          <w:tcPr>
            <w:tcW w:w="1332" w:type="dxa"/>
            <w:tcBorders>
              <w:top w:val="single" w:sz="8" w:space="0" w:color="auto"/>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3,896,303</w:t>
            </w:r>
          </w:p>
        </w:tc>
        <w:tc>
          <w:tcPr>
            <w:tcW w:w="1331" w:type="dxa"/>
            <w:tcBorders>
              <w:top w:val="single" w:sz="8" w:space="0" w:color="auto"/>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3,388,206</w:t>
            </w: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508,097 </w:t>
            </w:r>
          </w:p>
        </w:tc>
      </w:tr>
      <w:tr w:rsidR="00BF3DD1" w:rsidRPr="00235E8C" w:rsidTr="00387CD2">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Liquid assets</w:t>
            </w:r>
          </w:p>
        </w:tc>
        <w:tc>
          <w:tcPr>
            <w:tcW w:w="1332"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3,728,930</w:t>
            </w:r>
          </w:p>
        </w:tc>
        <w:tc>
          <w:tcPr>
            <w:tcW w:w="1331"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3,316,037</w:t>
            </w:r>
          </w:p>
        </w:tc>
        <w:tc>
          <w:tcPr>
            <w:tcW w:w="1477"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412,893 </w:t>
            </w:r>
          </w:p>
        </w:tc>
      </w:tr>
      <w:tr w:rsidR="00BF3DD1" w:rsidRPr="00235E8C" w:rsidTr="00387CD2">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Other assets</w:t>
            </w:r>
          </w:p>
        </w:tc>
        <w:tc>
          <w:tcPr>
            <w:tcW w:w="1332"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167,373</w:t>
            </w:r>
          </w:p>
        </w:tc>
        <w:tc>
          <w:tcPr>
            <w:tcW w:w="1331"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72,169</w:t>
            </w:r>
          </w:p>
        </w:tc>
        <w:tc>
          <w:tcPr>
            <w:tcW w:w="1477"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95,204 </w:t>
            </w:r>
          </w:p>
        </w:tc>
      </w:tr>
      <w:tr w:rsidR="00BF3DD1" w:rsidRPr="00235E8C" w:rsidTr="00387CD2">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Foreign funds</w:t>
            </w:r>
          </w:p>
        </w:tc>
        <w:tc>
          <w:tcPr>
            <w:tcW w:w="1332"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944,589</w:t>
            </w:r>
          </w:p>
        </w:tc>
        <w:tc>
          <w:tcPr>
            <w:tcW w:w="1331"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603,926</w:t>
            </w:r>
          </w:p>
        </w:tc>
        <w:tc>
          <w:tcPr>
            <w:tcW w:w="1477"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340,663 </w:t>
            </w:r>
          </w:p>
        </w:tc>
      </w:tr>
      <w:tr w:rsidR="00BF3DD1" w:rsidRPr="00235E8C" w:rsidTr="00387CD2">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Provisions for employee benefits</w:t>
            </w:r>
          </w:p>
        </w:tc>
        <w:tc>
          <w:tcPr>
            <w:tcW w:w="1332"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1,207,420</w:t>
            </w:r>
          </w:p>
        </w:tc>
        <w:tc>
          <w:tcPr>
            <w:tcW w:w="1331"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1,146,994</w:t>
            </w:r>
          </w:p>
        </w:tc>
        <w:tc>
          <w:tcPr>
            <w:tcW w:w="1477"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60,426 </w:t>
            </w:r>
          </w:p>
        </w:tc>
      </w:tr>
      <w:tr w:rsidR="00BF3DD1" w:rsidRPr="00235E8C" w:rsidTr="00387CD2">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Reserve fund</w:t>
            </w:r>
          </w:p>
        </w:tc>
        <w:tc>
          <w:tcPr>
            <w:tcW w:w="1332"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1,204,283</w:t>
            </w:r>
          </w:p>
        </w:tc>
        <w:tc>
          <w:tcPr>
            <w:tcW w:w="1331"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1,097,275</w:t>
            </w:r>
          </w:p>
        </w:tc>
        <w:tc>
          <w:tcPr>
            <w:tcW w:w="1477"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107,008 </w:t>
            </w:r>
          </w:p>
        </w:tc>
      </w:tr>
      <w:tr w:rsidR="00BF3DD1" w:rsidRPr="00235E8C" w:rsidTr="00387CD2">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Working capital fund</w:t>
            </w:r>
          </w:p>
        </w:tc>
        <w:tc>
          <w:tcPr>
            <w:tcW w:w="1332"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540,011</w:t>
            </w:r>
          </w:p>
        </w:tc>
        <w:tc>
          <w:tcPr>
            <w:tcW w:w="1331"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540,011</w:t>
            </w:r>
          </w:p>
        </w:tc>
        <w:tc>
          <w:tcPr>
            <w:tcW w:w="1477"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 xml:space="preserve">0 </w:t>
            </w:r>
          </w:p>
        </w:tc>
      </w:tr>
    </w:tbl>
    <w:p w:rsidR="00BF3DD1" w:rsidRPr="00235E8C" w:rsidRDefault="00BF3DD1" w:rsidP="00BF3DD1">
      <w:pPr>
        <w:tabs>
          <w:tab w:val="left" w:pos="737"/>
          <w:tab w:val="left" w:pos="993"/>
          <w:tab w:val="left" w:pos="1985"/>
          <w:tab w:val="right" w:pos="9356"/>
        </w:tabs>
        <w:overflowPunct w:val="0"/>
        <w:autoSpaceDE w:val="0"/>
        <w:autoSpaceDN w:val="0"/>
        <w:adjustRightInd w:val="0"/>
        <w:spacing w:after="240"/>
        <w:ind w:right="284"/>
        <w:jc w:val="center"/>
        <w:textAlignment w:val="baseline"/>
        <w:rPr>
          <w:rFonts w:ascii="Tahoma" w:hAnsi="Tahoma" w:cs="Tahoma"/>
          <w:b/>
        </w:rPr>
      </w:pPr>
      <w:r w:rsidRPr="00235E8C">
        <w:rPr>
          <w:rFonts w:ascii="Tahoma" w:hAnsi="Tahoma" w:cs="Tahoma"/>
          <w:b/>
        </w:rPr>
        <w:t>Table 1: 2013 key figures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rPr>
      </w:pPr>
      <w:r w:rsidRPr="00235E8C">
        <w:rPr>
          <w:rFonts w:ascii="Tahoma" w:hAnsi="Tahoma" w:cs="Tahoma"/>
        </w:rPr>
        <w:t>Liquid assets, movements of funds confirmed by the bank</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Some 532,000 Swiss francs were held by UBS as at December 31, 2013.  This is confirmed in the “Confirmation of business relationship” duly completed by UBS.  Checks made by random sampling of the accounting movements of the liquid funds did not reveal any errors and confirmed the regularity of operations.  The two accounts with UBS display a drop in the funds available of around 352,000 Swiss francs compared to 2012.</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rPr>
      </w:pPr>
      <w:r w:rsidRPr="00235E8C">
        <w:rPr>
          <w:rFonts w:ascii="Tahoma" w:hAnsi="Tahoma" w:cs="Tahoma"/>
        </w:rPr>
        <w:t>Long-term investments are opened with the Swiss Confederation</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Close to 3.2 million Swiss francs of long-term investments were made with the Swiss Confederation.  This sum is confirmed in extracts from the specific accounts produced by the Federal Finance Administration.  It should be noted here that the Federal Finance Administration requested that entities external to the Swiss State, including UPOV, should close the two existing accounts by the end of the year 2015.  UPOV must therefore find a new solution for investing its liquid </w:t>
      </w:r>
      <w:r>
        <w:rPr>
          <w:rFonts w:ascii="Tahoma" w:hAnsi="Tahoma" w:cs="Tahoma"/>
        </w:rPr>
        <w:t>assets</w:t>
      </w:r>
      <w:r w:rsidRPr="00235E8C">
        <w:rPr>
          <w:rFonts w:ascii="Tahoma" w:hAnsi="Tahoma" w:cs="Tahoma"/>
        </w:rPr>
        <w:t>.</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Checks on movements in the two accounts do not call for any particular comment.  We nonetheless note that the combined balance of the two accounts increased significantly following the transfer of 750,000 Swiss francs in March 2013.  The three other entries on these accounts are largely concerned with interest payments.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rPr>
      </w:pPr>
      <w:r w:rsidRPr="00235E8C">
        <w:rPr>
          <w:rFonts w:ascii="Tahoma" w:hAnsi="Tahoma" w:cs="Tahoma"/>
        </w:rPr>
        <w:t xml:space="preserve">Arrears in statutory contributions now only relate to two </w:t>
      </w:r>
      <w:r w:rsidR="00DF14DE">
        <w:rPr>
          <w:rFonts w:ascii="Tahoma" w:hAnsi="Tahoma" w:cs="Tahoma"/>
        </w:rPr>
        <w:t xml:space="preserve">UPOV </w:t>
      </w:r>
      <w:r w:rsidR="006A5DF2" w:rsidRPr="00235E8C">
        <w:rPr>
          <w:rFonts w:ascii="Tahoma" w:hAnsi="Tahoma" w:cs="Tahoma"/>
        </w:rPr>
        <w:t>member</w:t>
      </w:r>
      <w:r w:rsidR="006A5DF2">
        <w:rPr>
          <w:rFonts w:ascii="Tahoma" w:hAnsi="Tahoma" w:cs="Tahoma"/>
        </w:rPr>
        <w:t>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Receivables open for </w:t>
      </w:r>
      <w:r w:rsidR="006A5DF2" w:rsidRPr="00235E8C">
        <w:rPr>
          <w:rFonts w:ascii="Tahoma" w:hAnsi="Tahoma" w:cs="Tahoma"/>
        </w:rPr>
        <w:t>member</w:t>
      </w:r>
      <w:r w:rsidR="006A5DF2">
        <w:rPr>
          <w:rFonts w:ascii="Tahoma" w:hAnsi="Tahoma" w:cs="Tahoma"/>
        </w:rPr>
        <w:t>s</w:t>
      </w:r>
      <w:r w:rsidR="006A5DF2" w:rsidRPr="00235E8C">
        <w:rPr>
          <w:rFonts w:ascii="Tahoma" w:hAnsi="Tahoma" w:cs="Tahoma"/>
        </w:rPr>
        <w:t xml:space="preserve"> </w:t>
      </w:r>
      <w:r w:rsidRPr="00235E8C">
        <w:rPr>
          <w:rFonts w:ascii="Tahoma" w:hAnsi="Tahoma" w:cs="Tahoma"/>
        </w:rPr>
        <w:t>relate to the Dominican Republic and Ecuador, who are liable for some 12,500 Swiss francs in total as at the end of 2013.  Moreover, Funds in Trust contributions of almost 155,000 Swiss francs were pending as at the end of 2013.  They were settled by the United States of America in the first quarter of 2014.</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As in 2012, the statutory contributions of </w:t>
      </w:r>
      <w:r w:rsidR="006A5DF2" w:rsidRPr="00235E8C">
        <w:rPr>
          <w:rFonts w:ascii="Tahoma" w:hAnsi="Tahoma" w:cs="Tahoma"/>
        </w:rPr>
        <w:t>member</w:t>
      </w:r>
      <w:r w:rsidR="006A5DF2">
        <w:rPr>
          <w:rFonts w:ascii="Tahoma" w:hAnsi="Tahoma" w:cs="Tahoma"/>
        </w:rPr>
        <w:t>s</w:t>
      </w:r>
      <w:r w:rsidR="006A5DF2" w:rsidRPr="00235E8C">
        <w:rPr>
          <w:rFonts w:ascii="Tahoma" w:hAnsi="Tahoma" w:cs="Tahoma"/>
        </w:rPr>
        <w:t xml:space="preserve"> </w:t>
      </w:r>
      <w:r w:rsidRPr="00235E8C">
        <w:rPr>
          <w:rFonts w:ascii="Tahoma" w:hAnsi="Tahoma" w:cs="Tahoma"/>
        </w:rPr>
        <w:t>in 2013 stood at 3,323,050 Swiss francs, corresponding to the budget for that year.  Checks confirmed that the revenue was accurate and complete.</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Payments of </w:t>
      </w:r>
      <w:r w:rsidR="006A5DF2" w:rsidRPr="00235E8C">
        <w:rPr>
          <w:rFonts w:ascii="Tahoma" w:hAnsi="Tahoma" w:cs="Tahoma"/>
        </w:rPr>
        <w:t>member</w:t>
      </w:r>
      <w:r w:rsidR="006A5DF2">
        <w:rPr>
          <w:rFonts w:ascii="Tahoma" w:hAnsi="Tahoma" w:cs="Tahoma"/>
        </w:rPr>
        <w:t>s’</w:t>
      </w:r>
      <w:r w:rsidR="006A5DF2" w:rsidRPr="00235E8C">
        <w:rPr>
          <w:rFonts w:ascii="Tahoma" w:hAnsi="Tahoma" w:cs="Tahoma"/>
        </w:rPr>
        <w:t xml:space="preserve"> </w:t>
      </w:r>
      <w:r w:rsidRPr="00235E8C">
        <w:rPr>
          <w:rFonts w:ascii="Tahoma" w:hAnsi="Tahoma" w:cs="Tahoma"/>
        </w:rPr>
        <w:t>contributions made in advance stood at over 236,000 Swiss francs.  These advance payments came from the following countries:</w:t>
      </w:r>
    </w:p>
    <w:tbl>
      <w:tblPr>
        <w:tblW w:w="4764" w:type="dxa"/>
        <w:jc w:val="center"/>
        <w:tblInd w:w="386" w:type="dxa"/>
        <w:tblCellMar>
          <w:left w:w="70" w:type="dxa"/>
          <w:right w:w="70" w:type="dxa"/>
        </w:tblCellMar>
        <w:tblLook w:val="04A0" w:firstRow="1" w:lastRow="0" w:firstColumn="1" w:lastColumn="0" w:noHBand="0" w:noVBand="1"/>
      </w:tblPr>
      <w:tblGrid>
        <w:gridCol w:w="1319"/>
        <w:gridCol w:w="1015"/>
        <w:gridCol w:w="196"/>
        <w:gridCol w:w="1274"/>
        <w:gridCol w:w="965"/>
      </w:tblGrid>
      <w:tr w:rsidR="00BF3DD1" w:rsidRPr="00235E8C" w:rsidTr="00387CD2">
        <w:trPr>
          <w:trHeight w:val="244"/>
          <w:jc w:val="center"/>
        </w:trPr>
        <w:tc>
          <w:tcPr>
            <w:tcW w:w="13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3DD1" w:rsidRPr="00235E8C" w:rsidRDefault="00BF3DD1" w:rsidP="006A5DF2">
            <w:pPr>
              <w:keepNext/>
              <w:rPr>
                <w:rFonts w:ascii="Tahoma" w:hAnsi="Tahoma" w:cs="Tahoma"/>
                <w:b/>
                <w:bCs/>
                <w:sz w:val="16"/>
                <w:szCs w:val="16"/>
                <w:lang w:eastAsia="fr-CH"/>
              </w:rPr>
            </w:pPr>
            <w:r w:rsidRPr="00235E8C">
              <w:rPr>
                <w:rFonts w:ascii="Tahoma" w:hAnsi="Tahoma" w:cs="Tahoma"/>
                <w:b/>
                <w:bCs/>
                <w:sz w:val="16"/>
                <w:szCs w:val="16"/>
                <w:lang w:eastAsia="fr-CH"/>
              </w:rPr>
              <w:lastRenderedPageBreak/>
              <w:t>Member</w:t>
            </w:r>
          </w:p>
        </w:tc>
        <w:tc>
          <w:tcPr>
            <w:tcW w:w="1015" w:type="dxa"/>
            <w:tcBorders>
              <w:top w:val="single" w:sz="4" w:space="0" w:color="auto"/>
              <w:left w:val="nil"/>
              <w:bottom w:val="single" w:sz="4" w:space="0" w:color="auto"/>
              <w:right w:val="single" w:sz="4" w:space="0" w:color="auto"/>
            </w:tcBorders>
            <w:shd w:val="clear" w:color="000000" w:fill="D9D9D9"/>
            <w:noWrap/>
            <w:vAlign w:val="center"/>
            <w:hideMark/>
          </w:tcPr>
          <w:p w:rsidR="00BF3DD1" w:rsidRPr="00235E8C" w:rsidRDefault="00BF3DD1" w:rsidP="00BF3DD1">
            <w:pPr>
              <w:keepNext/>
              <w:jc w:val="center"/>
              <w:rPr>
                <w:rFonts w:ascii="Tahoma" w:hAnsi="Tahoma" w:cs="Tahoma"/>
                <w:b/>
                <w:bCs/>
                <w:sz w:val="16"/>
                <w:szCs w:val="16"/>
                <w:lang w:eastAsia="fr-CH"/>
              </w:rPr>
            </w:pPr>
            <w:r w:rsidRPr="00235E8C">
              <w:rPr>
                <w:rFonts w:ascii="Tahoma" w:hAnsi="Tahoma" w:cs="Tahoma"/>
                <w:b/>
                <w:bCs/>
                <w:sz w:val="16"/>
                <w:szCs w:val="16"/>
                <w:lang w:eastAsia="fr-CH"/>
              </w:rPr>
              <w:t>Swiss francs</w:t>
            </w:r>
          </w:p>
        </w:tc>
        <w:tc>
          <w:tcPr>
            <w:tcW w:w="191"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F3DD1" w:rsidRPr="00235E8C" w:rsidRDefault="00BF3DD1" w:rsidP="00BF3DD1">
            <w:pPr>
              <w:keepNext/>
              <w:jc w:val="center"/>
              <w:rPr>
                <w:lang w:eastAsia="fr-CH"/>
              </w:rPr>
            </w:pPr>
            <w:r w:rsidRPr="00235E8C">
              <w:rPr>
                <w:lang w:eastAsia="fr-CH"/>
              </w:rPr>
              <w:t> </w:t>
            </w:r>
          </w:p>
        </w:tc>
        <w:tc>
          <w:tcPr>
            <w:tcW w:w="1274" w:type="dxa"/>
            <w:tcBorders>
              <w:top w:val="single" w:sz="4" w:space="0" w:color="auto"/>
              <w:left w:val="nil"/>
              <w:bottom w:val="single" w:sz="4" w:space="0" w:color="auto"/>
              <w:right w:val="single" w:sz="4" w:space="0" w:color="auto"/>
            </w:tcBorders>
            <w:shd w:val="clear" w:color="000000" w:fill="D9D9D9"/>
            <w:noWrap/>
            <w:vAlign w:val="center"/>
            <w:hideMark/>
          </w:tcPr>
          <w:p w:rsidR="00BF3DD1" w:rsidRPr="00235E8C" w:rsidRDefault="00BF3DD1" w:rsidP="006A5DF2">
            <w:pPr>
              <w:keepNext/>
              <w:rPr>
                <w:rFonts w:ascii="Tahoma" w:hAnsi="Tahoma" w:cs="Tahoma"/>
                <w:b/>
                <w:bCs/>
                <w:sz w:val="16"/>
                <w:szCs w:val="16"/>
                <w:lang w:eastAsia="fr-CH"/>
              </w:rPr>
            </w:pPr>
            <w:r w:rsidRPr="00235E8C">
              <w:rPr>
                <w:rFonts w:ascii="Tahoma" w:hAnsi="Tahoma" w:cs="Tahoma"/>
                <w:b/>
                <w:bCs/>
                <w:sz w:val="16"/>
                <w:szCs w:val="16"/>
                <w:lang w:eastAsia="fr-CH"/>
              </w:rPr>
              <w:t xml:space="preserve">Member </w:t>
            </w:r>
          </w:p>
        </w:tc>
        <w:tc>
          <w:tcPr>
            <w:tcW w:w="965" w:type="dxa"/>
            <w:tcBorders>
              <w:top w:val="single" w:sz="4" w:space="0" w:color="auto"/>
              <w:left w:val="nil"/>
              <w:bottom w:val="single" w:sz="4" w:space="0" w:color="auto"/>
              <w:right w:val="single" w:sz="4" w:space="0" w:color="auto"/>
            </w:tcBorders>
            <w:shd w:val="clear" w:color="000000" w:fill="D9D9D9"/>
            <w:noWrap/>
            <w:vAlign w:val="center"/>
            <w:hideMark/>
          </w:tcPr>
          <w:p w:rsidR="00BF3DD1" w:rsidRPr="00235E8C" w:rsidRDefault="00BF3DD1" w:rsidP="00BF3DD1">
            <w:pPr>
              <w:keepNext/>
              <w:jc w:val="center"/>
              <w:rPr>
                <w:rFonts w:ascii="Tahoma" w:hAnsi="Tahoma" w:cs="Tahoma"/>
                <w:b/>
                <w:bCs/>
                <w:sz w:val="16"/>
                <w:szCs w:val="16"/>
                <w:lang w:eastAsia="fr-CH"/>
              </w:rPr>
            </w:pPr>
            <w:r w:rsidRPr="00235E8C">
              <w:rPr>
                <w:rFonts w:ascii="Tahoma" w:hAnsi="Tahoma" w:cs="Tahoma"/>
                <w:b/>
                <w:bCs/>
                <w:sz w:val="16"/>
                <w:szCs w:val="16"/>
                <w:lang w:eastAsia="fr-CH"/>
              </w:rPr>
              <w:t>Swiss francs</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BF3DD1" w:rsidRPr="00235E8C" w:rsidRDefault="00BF3DD1" w:rsidP="00BF3DD1">
            <w:pPr>
              <w:keepNext/>
              <w:rPr>
                <w:rFonts w:ascii="Tahoma" w:hAnsi="Tahoma" w:cs="Tahoma"/>
                <w:sz w:val="16"/>
                <w:szCs w:val="16"/>
                <w:lang w:eastAsia="fr-CH"/>
              </w:rPr>
            </w:pPr>
            <w:r w:rsidRPr="00235E8C">
              <w:rPr>
                <w:rFonts w:ascii="Tahoma" w:hAnsi="Tahoma" w:cs="Tahoma"/>
                <w:sz w:val="16"/>
                <w:szCs w:val="16"/>
                <w:lang w:eastAsia="fr-CH"/>
              </w:rPr>
              <w:t>Australia</w:t>
            </w:r>
          </w:p>
        </w:tc>
        <w:tc>
          <w:tcPr>
            <w:tcW w:w="101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BF3DD1">
            <w:pPr>
              <w:keepNext/>
              <w:jc w:val="right"/>
              <w:rPr>
                <w:rFonts w:ascii="Tahoma" w:hAnsi="Tahoma" w:cs="Tahoma"/>
                <w:sz w:val="16"/>
                <w:szCs w:val="16"/>
                <w:lang w:eastAsia="fr-CH"/>
              </w:rPr>
            </w:pPr>
            <w:r w:rsidRPr="00235E8C">
              <w:rPr>
                <w:rFonts w:ascii="Tahoma" w:hAnsi="Tahoma" w:cs="Tahoma"/>
                <w:sz w:val="16"/>
                <w:szCs w:val="16"/>
                <w:lang w:eastAsia="fr-CH"/>
              </w:rPr>
              <w:t xml:space="preserve">53,641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BF3DD1">
            <w:pPr>
              <w:keepNext/>
              <w:rPr>
                <w:lang w:eastAsia="fr-CH"/>
              </w:rPr>
            </w:pPr>
          </w:p>
        </w:tc>
        <w:tc>
          <w:tcPr>
            <w:tcW w:w="1274" w:type="dxa"/>
            <w:tcBorders>
              <w:top w:val="nil"/>
              <w:left w:val="nil"/>
              <w:bottom w:val="single" w:sz="4" w:space="0" w:color="auto"/>
              <w:right w:val="single" w:sz="4" w:space="0" w:color="auto"/>
            </w:tcBorders>
            <w:shd w:val="clear" w:color="000000" w:fill="FDE9D9"/>
            <w:noWrap/>
            <w:vAlign w:val="center"/>
            <w:hideMark/>
          </w:tcPr>
          <w:p w:rsidR="00BF3DD1" w:rsidRPr="00235E8C" w:rsidRDefault="00BF3DD1" w:rsidP="00BF3DD1">
            <w:pPr>
              <w:keepNext/>
              <w:rPr>
                <w:rFonts w:ascii="Tahoma" w:hAnsi="Tahoma" w:cs="Tahoma"/>
                <w:b/>
                <w:bCs/>
                <w:sz w:val="16"/>
                <w:szCs w:val="16"/>
                <w:lang w:eastAsia="fr-CH"/>
              </w:rPr>
            </w:pPr>
            <w:r w:rsidRPr="00235E8C">
              <w:rPr>
                <w:rFonts w:ascii="Tahoma" w:hAnsi="Tahoma" w:cs="Tahoma"/>
                <w:b/>
                <w:bCs/>
                <w:sz w:val="16"/>
                <w:szCs w:val="16"/>
                <w:lang w:eastAsia="fr-CH"/>
              </w:rPr>
              <w:t>Subtotal</w:t>
            </w:r>
          </w:p>
        </w:tc>
        <w:tc>
          <w:tcPr>
            <w:tcW w:w="965" w:type="dxa"/>
            <w:tcBorders>
              <w:top w:val="nil"/>
              <w:left w:val="nil"/>
              <w:bottom w:val="single" w:sz="4" w:space="0" w:color="auto"/>
              <w:right w:val="single" w:sz="4" w:space="0" w:color="auto"/>
            </w:tcBorders>
            <w:shd w:val="clear" w:color="000000" w:fill="FDE9D9"/>
            <w:noWrap/>
            <w:vAlign w:val="center"/>
            <w:hideMark/>
          </w:tcPr>
          <w:p w:rsidR="00BF3DD1" w:rsidRPr="00235E8C" w:rsidRDefault="00BF3DD1" w:rsidP="00BF3DD1">
            <w:pPr>
              <w:keepNext/>
              <w:jc w:val="right"/>
              <w:rPr>
                <w:rFonts w:ascii="Tahoma" w:hAnsi="Tahoma" w:cs="Tahoma"/>
                <w:b/>
                <w:bCs/>
                <w:sz w:val="16"/>
                <w:szCs w:val="16"/>
                <w:lang w:eastAsia="fr-CH"/>
              </w:rPr>
            </w:pPr>
            <w:r w:rsidRPr="00235E8C">
              <w:rPr>
                <w:rFonts w:ascii="Tahoma" w:hAnsi="Tahoma" w:cs="Tahoma"/>
                <w:b/>
                <w:bCs/>
                <w:sz w:val="16"/>
                <w:szCs w:val="16"/>
                <w:lang w:eastAsia="fr-CH"/>
              </w:rPr>
              <w:t xml:space="preserve">119,668 </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Colombia</w:t>
            </w:r>
          </w:p>
        </w:tc>
        <w:tc>
          <w:tcPr>
            <w:tcW w:w="101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10,728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387CD2">
            <w:pPr>
              <w:rPr>
                <w:lang w:eastAsia="fr-CH"/>
              </w:rPr>
            </w:pPr>
          </w:p>
        </w:tc>
        <w:tc>
          <w:tcPr>
            <w:tcW w:w="1274"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Mexico</w:t>
            </w:r>
          </w:p>
        </w:tc>
        <w:tc>
          <w:tcPr>
            <w:tcW w:w="96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40,231 </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Bulgaria</w:t>
            </w:r>
          </w:p>
        </w:tc>
        <w:tc>
          <w:tcPr>
            <w:tcW w:w="101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10,728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387CD2">
            <w:pPr>
              <w:rPr>
                <w:lang w:eastAsia="fr-CH"/>
              </w:rPr>
            </w:pPr>
          </w:p>
        </w:tc>
        <w:tc>
          <w:tcPr>
            <w:tcW w:w="1274"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Norway</w:t>
            </w:r>
          </w:p>
        </w:tc>
        <w:tc>
          <w:tcPr>
            <w:tcW w:w="96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53,641 </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Latvia</w:t>
            </w:r>
          </w:p>
        </w:tc>
        <w:tc>
          <w:tcPr>
            <w:tcW w:w="101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7,023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387CD2">
            <w:pPr>
              <w:rPr>
                <w:lang w:eastAsia="fr-CH"/>
              </w:rPr>
            </w:pPr>
          </w:p>
        </w:tc>
        <w:tc>
          <w:tcPr>
            <w:tcW w:w="1274"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Panama</w:t>
            </w:r>
          </w:p>
        </w:tc>
        <w:tc>
          <w:tcPr>
            <w:tcW w:w="96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648 </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Slovakia</w:t>
            </w:r>
          </w:p>
        </w:tc>
        <w:tc>
          <w:tcPr>
            <w:tcW w:w="101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26,820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387CD2">
            <w:pPr>
              <w:rPr>
                <w:lang w:eastAsia="fr-CH"/>
              </w:rPr>
            </w:pPr>
          </w:p>
        </w:tc>
        <w:tc>
          <w:tcPr>
            <w:tcW w:w="1274"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Mexico (2015)</w:t>
            </w:r>
          </w:p>
        </w:tc>
        <w:tc>
          <w:tcPr>
            <w:tcW w:w="96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11,568 </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Costa Rica</w:t>
            </w:r>
          </w:p>
        </w:tc>
        <w:tc>
          <w:tcPr>
            <w:tcW w:w="101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10,728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387CD2">
            <w:pPr>
              <w:rPr>
                <w:lang w:eastAsia="fr-CH"/>
              </w:rPr>
            </w:pPr>
          </w:p>
        </w:tc>
        <w:tc>
          <w:tcPr>
            <w:tcW w:w="1274"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rPr>
                <w:rFonts w:ascii="Tahoma" w:hAnsi="Tahoma" w:cs="Tahoma"/>
                <w:sz w:val="16"/>
                <w:szCs w:val="16"/>
                <w:lang w:eastAsia="fr-CH"/>
              </w:rPr>
            </w:pPr>
            <w:r w:rsidRPr="00235E8C">
              <w:rPr>
                <w:rFonts w:ascii="Tahoma" w:hAnsi="Tahoma" w:cs="Tahoma"/>
                <w:sz w:val="16"/>
                <w:szCs w:val="16"/>
                <w:lang w:eastAsia="fr-CH"/>
              </w:rPr>
              <w:t>Bulgaria (2015)</w:t>
            </w:r>
          </w:p>
        </w:tc>
        <w:tc>
          <w:tcPr>
            <w:tcW w:w="965" w:type="dxa"/>
            <w:tcBorders>
              <w:top w:val="nil"/>
              <w:left w:val="nil"/>
              <w:bottom w:val="single" w:sz="4" w:space="0" w:color="auto"/>
              <w:right w:val="single" w:sz="4" w:space="0" w:color="auto"/>
            </w:tcBorders>
            <w:shd w:val="clear" w:color="auto" w:fill="auto"/>
            <w:noWrap/>
            <w:vAlign w:val="center"/>
            <w:hideMark/>
          </w:tcPr>
          <w:p w:rsidR="00BF3DD1" w:rsidRPr="00235E8C" w:rsidRDefault="00BF3DD1" w:rsidP="00387CD2">
            <w:pPr>
              <w:jc w:val="right"/>
              <w:rPr>
                <w:rFonts w:ascii="Tahoma" w:hAnsi="Tahoma" w:cs="Tahoma"/>
                <w:sz w:val="16"/>
                <w:szCs w:val="16"/>
                <w:lang w:eastAsia="fr-CH"/>
              </w:rPr>
            </w:pPr>
            <w:r w:rsidRPr="00235E8C">
              <w:rPr>
                <w:rFonts w:ascii="Tahoma" w:hAnsi="Tahoma" w:cs="Tahoma"/>
                <w:sz w:val="16"/>
                <w:szCs w:val="16"/>
                <w:lang w:eastAsia="fr-CH"/>
              </w:rPr>
              <w:t xml:space="preserve">10,728 </w:t>
            </w:r>
          </w:p>
        </w:tc>
      </w:tr>
      <w:tr w:rsidR="00BF3DD1" w:rsidRPr="00235E8C" w:rsidTr="00387CD2">
        <w:trPr>
          <w:trHeight w:val="244"/>
          <w:jc w:val="center"/>
        </w:trPr>
        <w:tc>
          <w:tcPr>
            <w:tcW w:w="1319" w:type="dxa"/>
            <w:tcBorders>
              <w:top w:val="nil"/>
              <w:left w:val="single" w:sz="4" w:space="0" w:color="auto"/>
              <w:bottom w:val="single" w:sz="4" w:space="0" w:color="auto"/>
              <w:right w:val="single" w:sz="4" w:space="0" w:color="auto"/>
            </w:tcBorders>
            <w:shd w:val="clear" w:color="000000" w:fill="FDE9D9"/>
            <w:noWrap/>
            <w:vAlign w:val="center"/>
            <w:hideMark/>
          </w:tcPr>
          <w:p w:rsidR="00BF3DD1" w:rsidRPr="00235E8C" w:rsidRDefault="00BF3DD1" w:rsidP="00387CD2">
            <w:pPr>
              <w:rPr>
                <w:rFonts w:ascii="Tahoma" w:hAnsi="Tahoma" w:cs="Tahoma"/>
                <w:b/>
                <w:bCs/>
                <w:sz w:val="16"/>
                <w:szCs w:val="16"/>
                <w:lang w:eastAsia="fr-CH"/>
              </w:rPr>
            </w:pPr>
            <w:r w:rsidRPr="00235E8C">
              <w:rPr>
                <w:rFonts w:ascii="Tahoma" w:hAnsi="Tahoma" w:cs="Tahoma"/>
                <w:b/>
                <w:bCs/>
                <w:sz w:val="16"/>
                <w:szCs w:val="16"/>
                <w:lang w:eastAsia="fr-CH"/>
              </w:rPr>
              <w:t>Subtotal</w:t>
            </w:r>
          </w:p>
        </w:tc>
        <w:tc>
          <w:tcPr>
            <w:tcW w:w="1015" w:type="dxa"/>
            <w:tcBorders>
              <w:top w:val="nil"/>
              <w:left w:val="nil"/>
              <w:bottom w:val="single" w:sz="4" w:space="0" w:color="auto"/>
              <w:right w:val="single" w:sz="4" w:space="0" w:color="auto"/>
            </w:tcBorders>
            <w:shd w:val="clear" w:color="000000" w:fill="FDE9D9"/>
            <w:noWrap/>
            <w:vAlign w:val="center"/>
            <w:hideMark/>
          </w:tcPr>
          <w:p w:rsidR="00BF3DD1" w:rsidRPr="00235E8C" w:rsidRDefault="00BF3DD1" w:rsidP="00387CD2">
            <w:pPr>
              <w:jc w:val="right"/>
              <w:rPr>
                <w:rFonts w:ascii="Tahoma" w:hAnsi="Tahoma" w:cs="Tahoma"/>
                <w:b/>
                <w:bCs/>
                <w:sz w:val="16"/>
                <w:szCs w:val="16"/>
                <w:lang w:eastAsia="fr-CH"/>
              </w:rPr>
            </w:pPr>
            <w:r w:rsidRPr="00235E8C">
              <w:rPr>
                <w:rFonts w:ascii="Tahoma" w:hAnsi="Tahoma" w:cs="Tahoma"/>
                <w:b/>
                <w:bCs/>
                <w:sz w:val="16"/>
                <w:szCs w:val="16"/>
                <w:lang w:eastAsia="fr-CH"/>
              </w:rPr>
              <w:t xml:space="preserve">119,668 </w:t>
            </w:r>
          </w:p>
        </w:tc>
        <w:tc>
          <w:tcPr>
            <w:tcW w:w="191" w:type="dxa"/>
            <w:vMerge/>
            <w:tcBorders>
              <w:top w:val="single" w:sz="4" w:space="0" w:color="auto"/>
              <w:left w:val="single" w:sz="4" w:space="0" w:color="auto"/>
              <w:bottom w:val="single" w:sz="4" w:space="0" w:color="auto"/>
              <w:right w:val="single" w:sz="4" w:space="0" w:color="auto"/>
            </w:tcBorders>
            <w:vAlign w:val="center"/>
            <w:hideMark/>
          </w:tcPr>
          <w:p w:rsidR="00BF3DD1" w:rsidRPr="00235E8C" w:rsidRDefault="00BF3DD1" w:rsidP="00387CD2">
            <w:pPr>
              <w:rPr>
                <w:lang w:eastAsia="fr-CH"/>
              </w:rPr>
            </w:pPr>
          </w:p>
        </w:tc>
        <w:tc>
          <w:tcPr>
            <w:tcW w:w="1274" w:type="dxa"/>
            <w:tcBorders>
              <w:top w:val="nil"/>
              <w:left w:val="nil"/>
              <w:bottom w:val="single" w:sz="4" w:space="0" w:color="auto"/>
              <w:right w:val="single" w:sz="4" w:space="0" w:color="auto"/>
            </w:tcBorders>
            <w:shd w:val="clear" w:color="000000" w:fill="FFC000"/>
            <w:noWrap/>
            <w:vAlign w:val="center"/>
            <w:hideMark/>
          </w:tcPr>
          <w:p w:rsidR="00BF3DD1" w:rsidRPr="00235E8C" w:rsidRDefault="00BF3DD1" w:rsidP="00387CD2">
            <w:pPr>
              <w:rPr>
                <w:rFonts w:ascii="Tahoma" w:hAnsi="Tahoma" w:cs="Tahoma"/>
                <w:b/>
                <w:bCs/>
                <w:sz w:val="16"/>
                <w:szCs w:val="16"/>
                <w:lang w:eastAsia="fr-CH"/>
              </w:rPr>
            </w:pPr>
            <w:r w:rsidRPr="00235E8C">
              <w:rPr>
                <w:rFonts w:ascii="Tahoma" w:hAnsi="Tahoma" w:cs="Tahoma"/>
                <w:b/>
                <w:bCs/>
                <w:sz w:val="16"/>
                <w:szCs w:val="16"/>
                <w:lang w:eastAsia="fr-CH"/>
              </w:rPr>
              <w:t>Total advances</w:t>
            </w:r>
          </w:p>
        </w:tc>
        <w:tc>
          <w:tcPr>
            <w:tcW w:w="965" w:type="dxa"/>
            <w:tcBorders>
              <w:top w:val="nil"/>
              <w:left w:val="nil"/>
              <w:bottom w:val="single" w:sz="4" w:space="0" w:color="auto"/>
              <w:right w:val="single" w:sz="4" w:space="0" w:color="auto"/>
            </w:tcBorders>
            <w:shd w:val="clear" w:color="000000" w:fill="FFC000"/>
            <w:noWrap/>
            <w:vAlign w:val="center"/>
            <w:hideMark/>
          </w:tcPr>
          <w:p w:rsidR="00BF3DD1" w:rsidRPr="00235E8C" w:rsidRDefault="00BF3DD1" w:rsidP="00387CD2">
            <w:pPr>
              <w:jc w:val="right"/>
              <w:rPr>
                <w:rFonts w:ascii="Tahoma" w:hAnsi="Tahoma" w:cs="Tahoma"/>
                <w:b/>
                <w:bCs/>
                <w:sz w:val="16"/>
                <w:szCs w:val="16"/>
                <w:lang w:eastAsia="fr-CH"/>
              </w:rPr>
            </w:pPr>
            <w:r w:rsidRPr="00235E8C">
              <w:rPr>
                <w:rFonts w:ascii="Tahoma" w:hAnsi="Tahoma" w:cs="Tahoma"/>
                <w:b/>
                <w:bCs/>
                <w:sz w:val="16"/>
                <w:szCs w:val="16"/>
                <w:lang w:eastAsia="fr-CH"/>
              </w:rPr>
              <w:t xml:space="preserve">236,484 </w:t>
            </w:r>
          </w:p>
        </w:tc>
      </w:tr>
    </w:tbl>
    <w:p w:rsidR="00BF3DD1" w:rsidRPr="00235E8C" w:rsidRDefault="00BF3DD1" w:rsidP="00BF3DD1">
      <w:pPr>
        <w:tabs>
          <w:tab w:val="left" w:pos="737"/>
          <w:tab w:val="left" w:pos="993"/>
          <w:tab w:val="left" w:pos="1985"/>
          <w:tab w:val="left" w:pos="2410"/>
          <w:tab w:val="right" w:pos="9356"/>
        </w:tabs>
        <w:overflowPunct w:val="0"/>
        <w:autoSpaceDE w:val="0"/>
        <w:autoSpaceDN w:val="0"/>
        <w:adjustRightInd w:val="0"/>
        <w:spacing w:after="240"/>
        <w:ind w:left="851" w:right="284"/>
        <w:textAlignment w:val="baseline"/>
        <w:rPr>
          <w:rFonts w:ascii="Tahoma" w:hAnsi="Tahoma" w:cs="Tahoma"/>
          <w:highlight w:val="yellow"/>
        </w:rPr>
      </w:pPr>
      <w:r w:rsidRPr="00235E8C">
        <w:rPr>
          <w:rFonts w:ascii="Tahoma" w:hAnsi="Tahoma" w:cs="Tahoma"/>
          <w:b/>
        </w:rPr>
        <w:tab/>
      </w:r>
      <w:r w:rsidRPr="00235E8C">
        <w:rPr>
          <w:rFonts w:ascii="Tahoma" w:hAnsi="Tahoma" w:cs="Tahoma"/>
          <w:b/>
        </w:rPr>
        <w:tab/>
      </w:r>
      <w:r w:rsidRPr="00235E8C">
        <w:rPr>
          <w:rFonts w:ascii="Tahoma" w:hAnsi="Tahoma" w:cs="Tahoma"/>
          <w:b/>
        </w:rPr>
        <w:tab/>
        <w:t xml:space="preserve">Table 2: Advance payments from </w:t>
      </w:r>
      <w:r w:rsidR="00DF14DE">
        <w:rPr>
          <w:rFonts w:ascii="Tahoma" w:hAnsi="Tahoma" w:cs="Tahoma"/>
          <w:b/>
        </w:rPr>
        <w:t xml:space="preserve">UPOV </w:t>
      </w:r>
      <w:r w:rsidR="00DF14DE" w:rsidRPr="00235E8C">
        <w:rPr>
          <w:rFonts w:ascii="Tahoma" w:hAnsi="Tahoma" w:cs="Tahoma"/>
          <w:b/>
        </w:rPr>
        <w:t>members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Japan and the United States of America contribute on a voluntary basis to specific expenditure.  Checks made by random sampling of accounting movements confirmed the accuracy of this heading.</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rPr>
      </w:pPr>
      <w:r w:rsidRPr="00235E8C">
        <w:rPr>
          <w:rFonts w:ascii="Tahoma" w:hAnsi="Tahoma" w:cs="Tahoma"/>
        </w:rPr>
        <w:t>Inter-organizational transactions pass through liaison accounts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Financial transactions between WIPO, UPOV and FITSU (voluntary fund) are registered through liaison accounts.  The balances of the accounts linked to WIPO were confirmed through an extract from the WIPO balance sheet.  The closing balances of these accounts can be assets or liabilities.  Checks by random sampling of entries registered in 2013 allow us to confirm the two balances at the end of 2013.  They appear on the liabilities side of the balance sheet to an overall value of nearly 542,000 Swiss francs.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bCs/>
          <w:iCs/>
        </w:rPr>
      </w:pPr>
      <w:r w:rsidRPr="00235E8C">
        <w:rPr>
          <w:rFonts w:ascii="Tahoma" w:hAnsi="Tahoma" w:cs="Tahoma"/>
        </w:rPr>
        <w:t xml:space="preserve">Staff benefits: </w:t>
      </w:r>
      <w:r>
        <w:rPr>
          <w:rFonts w:ascii="Tahoma" w:hAnsi="Tahoma" w:cs="Tahoma"/>
        </w:rPr>
        <w:t xml:space="preserve"> </w:t>
      </w:r>
      <w:r w:rsidRPr="00235E8C">
        <w:rPr>
          <w:rFonts w:ascii="Tahoma" w:hAnsi="Tahoma" w:cs="Tahoma"/>
        </w:rPr>
        <w:t>provisions conform to IPSAS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In 2013, provisions for staff benefits were 5 per cent higher than in 2012.  In fact, they increased to more than 1,207,000 Swiss francs.  This increase is mostly due to commitments of more than one year, as shown in the table below:</w:t>
      </w:r>
    </w:p>
    <w:tbl>
      <w:tblPr>
        <w:tblW w:w="7771" w:type="dxa"/>
        <w:jc w:val="center"/>
        <w:tblInd w:w="55" w:type="dxa"/>
        <w:tblCellMar>
          <w:left w:w="70" w:type="dxa"/>
          <w:right w:w="70" w:type="dxa"/>
        </w:tblCellMar>
        <w:tblLook w:val="04A0" w:firstRow="1" w:lastRow="0" w:firstColumn="1" w:lastColumn="0" w:noHBand="0" w:noVBand="1"/>
      </w:tblPr>
      <w:tblGrid>
        <w:gridCol w:w="4171"/>
        <w:gridCol w:w="1215"/>
        <w:gridCol w:w="1215"/>
        <w:gridCol w:w="1170"/>
      </w:tblGrid>
      <w:tr w:rsidR="00BF3DD1" w:rsidRPr="00235E8C" w:rsidTr="00387CD2">
        <w:trPr>
          <w:trHeight w:val="399"/>
          <w:jc w:val="center"/>
        </w:trPr>
        <w:tc>
          <w:tcPr>
            <w:tcW w:w="4171"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 xml:space="preserve">Current staff benefits  </w:t>
            </w:r>
          </w:p>
        </w:tc>
        <w:tc>
          <w:tcPr>
            <w:tcW w:w="1215" w:type="dxa"/>
            <w:tcBorders>
              <w:top w:val="single" w:sz="8" w:space="0" w:color="auto"/>
              <w:left w:val="nil"/>
              <w:bottom w:val="single" w:sz="8" w:space="0" w:color="auto"/>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31.12.2013</w:t>
            </w:r>
          </w:p>
        </w:tc>
        <w:tc>
          <w:tcPr>
            <w:tcW w:w="1215" w:type="dxa"/>
            <w:tcBorders>
              <w:top w:val="single" w:sz="8" w:space="0" w:color="auto"/>
              <w:left w:val="nil"/>
              <w:bottom w:val="single" w:sz="8" w:space="0" w:color="auto"/>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31.12.2012</w:t>
            </w:r>
          </w:p>
        </w:tc>
        <w:tc>
          <w:tcPr>
            <w:tcW w:w="1170" w:type="dxa"/>
            <w:tcBorders>
              <w:top w:val="single" w:sz="8" w:space="0" w:color="auto"/>
              <w:left w:val="nil"/>
              <w:bottom w:val="single" w:sz="8" w:space="0" w:color="auto"/>
              <w:right w:val="single" w:sz="8" w:space="0" w:color="auto"/>
            </w:tcBorders>
            <w:shd w:val="clear" w:color="000000" w:fill="D9D9D9"/>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Difference 2013/2012</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ASHI provision (health insurance)</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-80,260</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-82,444</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2,184</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Repatriation grant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-16,127</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-11,884</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-4,243</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Accrued leave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-29,551</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-49,318</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19,768</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Education grant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-12,054</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0</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-12,054</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Home leave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0</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-6,202</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6,202</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Overtime and flextime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-14,533</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-6,069</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-8,464</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000000" w:fill="D8E4BC"/>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Total of current social benefits</w:t>
            </w:r>
          </w:p>
        </w:tc>
        <w:tc>
          <w:tcPr>
            <w:tcW w:w="1215" w:type="dxa"/>
            <w:tcBorders>
              <w:top w:val="nil"/>
              <w:left w:val="nil"/>
              <w:bottom w:val="single" w:sz="8" w:space="0" w:color="auto"/>
              <w:right w:val="single" w:sz="8" w:space="0" w:color="auto"/>
            </w:tcBorders>
            <w:shd w:val="clear" w:color="000000" w:fill="D8E4BC"/>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-152,525</w:t>
            </w:r>
          </w:p>
        </w:tc>
        <w:tc>
          <w:tcPr>
            <w:tcW w:w="1215" w:type="dxa"/>
            <w:tcBorders>
              <w:top w:val="nil"/>
              <w:left w:val="nil"/>
              <w:bottom w:val="single" w:sz="8" w:space="0" w:color="auto"/>
              <w:right w:val="single" w:sz="8" w:space="0" w:color="auto"/>
            </w:tcBorders>
            <w:shd w:val="clear" w:color="000000" w:fill="D8E4BC"/>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-155,918</w:t>
            </w:r>
          </w:p>
        </w:tc>
        <w:tc>
          <w:tcPr>
            <w:tcW w:w="1170" w:type="dxa"/>
            <w:tcBorders>
              <w:top w:val="nil"/>
              <w:left w:val="nil"/>
              <w:bottom w:val="single" w:sz="8" w:space="0" w:color="auto"/>
              <w:right w:val="single" w:sz="8" w:space="0" w:color="auto"/>
            </w:tcBorders>
            <w:shd w:val="clear" w:color="000000" w:fill="D8E4BC"/>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3,392</w:t>
            </w:r>
          </w:p>
        </w:tc>
      </w:tr>
      <w:tr w:rsidR="00BF3DD1" w:rsidRPr="00235E8C" w:rsidTr="00387CD2">
        <w:trPr>
          <w:trHeight w:val="116"/>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 </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 </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 </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 </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000000" w:fill="D9D9D9"/>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Non-current (long-term) staff benefits</w:t>
            </w:r>
          </w:p>
        </w:tc>
        <w:tc>
          <w:tcPr>
            <w:tcW w:w="1215" w:type="dxa"/>
            <w:tcBorders>
              <w:top w:val="nil"/>
              <w:left w:val="nil"/>
              <w:bottom w:val="single" w:sz="8" w:space="0" w:color="auto"/>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31.12.2013</w:t>
            </w:r>
          </w:p>
        </w:tc>
        <w:tc>
          <w:tcPr>
            <w:tcW w:w="1215" w:type="dxa"/>
            <w:tcBorders>
              <w:top w:val="nil"/>
              <w:left w:val="nil"/>
              <w:bottom w:val="single" w:sz="8" w:space="0" w:color="auto"/>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31.12.2012</w:t>
            </w:r>
          </w:p>
        </w:tc>
        <w:tc>
          <w:tcPr>
            <w:tcW w:w="1170" w:type="dxa"/>
            <w:tcBorders>
              <w:top w:val="nil"/>
              <w:left w:val="nil"/>
              <w:bottom w:val="single" w:sz="8" w:space="0" w:color="auto"/>
              <w:right w:val="single" w:sz="8" w:space="0" w:color="auto"/>
            </w:tcBorders>
            <w:shd w:val="clear" w:color="000000" w:fill="D9D9D9"/>
            <w:noWrap/>
            <w:vAlign w:val="center"/>
            <w:hideMark/>
          </w:tcPr>
          <w:p w:rsidR="00BF3DD1" w:rsidRPr="00235E8C" w:rsidRDefault="00BF3DD1" w:rsidP="00387CD2">
            <w:pPr>
              <w:jc w:val="center"/>
              <w:rPr>
                <w:rFonts w:ascii="Tahoma" w:hAnsi="Tahoma" w:cs="Tahoma"/>
                <w:b/>
                <w:bCs/>
                <w:sz w:val="18"/>
                <w:szCs w:val="18"/>
                <w:lang w:eastAsia="fr-CH"/>
              </w:rPr>
            </w:pPr>
            <w:r w:rsidRPr="00235E8C">
              <w:rPr>
                <w:rFonts w:ascii="Tahoma" w:hAnsi="Tahoma" w:cs="Tahoma"/>
                <w:b/>
                <w:bCs/>
                <w:sz w:val="18"/>
                <w:szCs w:val="18"/>
                <w:lang w:eastAsia="fr-CH"/>
              </w:rPr>
              <w:t>Difference 2013/2012</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ASHI provision (health insurance)</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-887,555</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-833,289</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-54,266</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Repatriation grant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-91,373</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-82,244</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-9,129</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auto" w:fill="auto"/>
            <w:noWrap/>
            <w:vAlign w:val="center"/>
            <w:hideMark/>
          </w:tcPr>
          <w:p w:rsidR="00BF3DD1" w:rsidRPr="00235E8C" w:rsidRDefault="00BF3DD1" w:rsidP="00387CD2">
            <w:pPr>
              <w:rPr>
                <w:rFonts w:ascii="Tahoma" w:hAnsi="Tahoma" w:cs="Tahoma"/>
                <w:sz w:val="18"/>
                <w:szCs w:val="18"/>
                <w:lang w:eastAsia="fr-CH"/>
              </w:rPr>
            </w:pPr>
            <w:r w:rsidRPr="00235E8C">
              <w:rPr>
                <w:rFonts w:ascii="Tahoma" w:hAnsi="Tahoma" w:cs="Tahoma"/>
                <w:sz w:val="18"/>
                <w:szCs w:val="18"/>
                <w:lang w:eastAsia="fr-CH"/>
              </w:rPr>
              <w:t>Accrued leave provision</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-75,967</w:t>
            </w:r>
          </w:p>
        </w:tc>
        <w:tc>
          <w:tcPr>
            <w:tcW w:w="1215"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-75,544</w:t>
            </w:r>
          </w:p>
        </w:tc>
        <w:tc>
          <w:tcPr>
            <w:tcW w:w="1170" w:type="dxa"/>
            <w:tcBorders>
              <w:top w:val="nil"/>
              <w:left w:val="nil"/>
              <w:bottom w:val="single" w:sz="8" w:space="0" w:color="auto"/>
              <w:right w:val="single" w:sz="8" w:space="0" w:color="auto"/>
            </w:tcBorders>
            <w:shd w:val="clear" w:color="auto" w:fill="auto"/>
            <w:noWrap/>
            <w:vAlign w:val="center"/>
            <w:hideMark/>
          </w:tcPr>
          <w:p w:rsidR="00BF3DD1" w:rsidRPr="00235E8C" w:rsidRDefault="00BF3DD1" w:rsidP="00387CD2">
            <w:pPr>
              <w:jc w:val="right"/>
              <w:rPr>
                <w:rFonts w:ascii="Tahoma" w:hAnsi="Tahoma" w:cs="Tahoma"/>
                <w:sz w:val="18"/>
                <w:szCs w:val="18"/>
                <w:lang w:eastAsia="fr-CH"/>
              </w:rPr>
            </w:pPr>
            <w:r w:rsidRPr="00235E8C">
              <w:rPr>
                <w:rFonts w:ascii="Tahoma" w:hAnsi="Tahoma" w:cs="Tahoma"/>
                <w:sz w:val="18"/>
                <w:szCs w:val="18"/>
                <w:lang w:eastAsia="fr-CH"/>
              </w:rPr>
              <w:t>-422</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000000" w:fill="D8E4BC"/>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Total of non-current social benefits</w:t>
            </w:r>
          </w:p>
        </w:tc>
        <w:tc>
          <w:tcPr>
            <w:tcW w:w="1215" w:type="dxa"/>
            <w:tcBorders>
              <w:top w:val="nil"/>
              <w:left w:val="nil"/>
              <w:bottom w:val="single" w:sz="8" w:space="0" w:color="auto"/>
              <w:right w:val="single" w:sz="8" w:space="0" w:color="auto"/>
            </w:tcBorders>
            <w:shd w:val="clear" w:color="000000" w:fill="D8E4BC"/>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-1,054,895</w:t>
            </w:r>
          </w:p>
        </w:tc>
        <w:tc>
          <w:tcPr>
            <w:tcW w:w="1215" w:type="dxa"/>
            <w:tcBorders>
              <w:top w:val="nil"/>
              <w:left w:val="nil"/>
              <w:bottom w:val="single" w:sz="8" w:space="0" w:color="auto"/>
              <w:right w:val="single" w:sz="8" w:space="0" w:color="auto"/>
            </w:tcBorders>
            <w:shd w:val="clear" w:color="000000" w:fill="D8E4BC"/>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-991,077</w:t>
            </w:r>
          </w:p>
        </w:tc>
        <w:tc>
          <w:tcPr>
            <w:tcW w:w="1170" w:type="dxa"/>
            <w:tcBorders>
              <w:top w:val="nil"/>
              <w:left w:val="nil"/>
              <w:bottom w:val="single" w:sz="8" w:space="0" w:color="auto"/>
              <w:right w:val="single" w:sz="8" w:space="0" w:color="auto"/>
            </w:tcBorders>
            <w:shd w:val="clear" w:color="000000" w:fill="D8E4BC"/>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-63,817</w:t>
            </w:r>
          </w:p>
        </w:tc>
      </w:tr>
      <w:tr w:rsidR="00BF3DD1" w:rsidRPr="00235E8C" w:rsidTr="00387CD2">
        <w:trPr>
          <w:trHeight w:val="232"/>
          <w:jc w:val="center"/>
        </w:trPr>
        <w:tc>
          <w:tcPr>
            <w:tcW w:w="4171" w:type="dxa"/>
            <w:tcBorders>
              <w:top w:val="nil"/>
              <w:left w:val="single" w:sz="8" w:space="0" w:color="auto"/>
              <w:bottom w:val="single" w:sz="8" w:space="0" w:color="auto"/>
              <w:right w:val="single" w:sz="8" w:space="0" w:color="auto"/>
            </w:tcBorders>
            <w:shd w:val="clear" w:color="000000" w:fill="FFC000"/>
            <w:noWrap/>
            <w:vAlign w:val="center"/>
            <w:hideMark/>
          </w:tcPr>
          <w:p w:rsidR="00BF3DD1" w:rsidRPr="00235E8C" w:rsidRDefault="00BF3DD1" w:rsidP="00387CD2">
            <w:pPr>
              <w:rPr>
                <w:rFonts w:ascii="Tahoma" w:hAnsi="Tahoma" w:cs="Tahoma"/>
                <w:b/>
                <w:bCs/>
                <w:sz w:val="18"/>
                <w:szCs w:val="18"/>
                <w:lang w:eastAsia="fr-CH"/>
              </w:rPr>
            </w:pPr>
            <w:r w:rsidRPr="00235E8C">
              <w:rPr>
                <w:rFonts w:ascii="Tahoma" w:hAnsi="Tahoma" w:cs="Tahoma"/>
                <w:b/>
                <w:bCs/>
                <w:sz w:val="18"/>
                <w:szCs w:val="18"/>
                <w:lang w:eastAsia="fr-CH"/>
              </w:rPr>
              <w:t>Total of staff benefits</w:t>
            </w:r>
          </w:p>
        </w:tc>
        <w:tc>
          <w:tcPr>
            <w:tcW w:w="1215" w:type="dxa"/>
            <w:tcBorders>
              <w:top w:val="nil"/>
              <w:left w:val="nil"/>
              <w:bottom w:val="single" w:sz="8" w:space="0" w:color="auto"/>
              <w:right w:val="single" w:sz="8" w:space="0" w:color="auto"/>
            </w:tcBorders>
            <w:shd w:val="clear" w:color="000000" w:fill="FFC000"/>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-1,207,420</w:t>
            </w:r>
          </w:p>
        </w:tc>
        <w:tc>
          <w:tcPr>
            <w:tcW w:w="1215" w:type="dxa"/>
            <w:tcBorders>
              <w:top w:val="nil"/>
              <w:left w:val="nil"/>
              <w:bottom w:val="single" w:sz="8" w:space="0" w:color="auto"/>
              <w:right w:val="single" w:sz="8" w:space="0" w:color="auto"/>
            </w:tcBorders>
            <w:shd w:val="clear" w:color="000000" w:fill="FFC000"/>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-1,146,995</w:t>
            </w:r>
          </w:p>
        </w:tc>
        <w:tc>
          <w:tcPr>
            <w:tcW w:w="1170" w:type="dxa"/>
            <w:tcBorders>
              <w:top w:val="nil"/>
              <w:left w:val="nil"/>
              <w:bottom w:val="single" w:sz="8" w:space="0" w:color="auto"/>
              <w:right w:val="single" w:sz="8" w:space="0" w:color="auto"/>
            </w:tcBorders>
            <w:shd w:val="clear" w:color="000000" w:fill="FFC000"/>
            <w:noWrap/>
            <w:vAlign w:val="center"/>
            <w:hideMark/>
          </w:tcPr>
          <w:p w:rsidR="00BF3DD1" w:rsidRPr="00235E8C" w:rsidRDefault="00BF3DD1" w:rsidP="00387CD2">
            <w:pPr>
              <w:jc w:val="right"/>
              <w:rPr>
                <w:rFonts w:ascii="Tahoma" w:hAnsi="Tahoma" w:cs="Tahoma"/>
                <w:b/>
                <w:bCs/>
                <w:sz w:val="18"/>
                <w:szCs w:val="18"/>
                <w:lang w:eastAsia="fr-CH"/>
              </w:rPr>
            </w:pPr>
            <w:r w:rsidRPr="00235E8C">
              <w:rPr>
                <w:rFonts w:ascii="Tahoma" w:hAnsi="Tahoma" w:cs="Tahoma"/>
                <w:b/>
                <w:bCs/>
                <w:sz w:val="18"/>
                <w:szCs w:val="18"/>
                <w:lang w:eastAsia="fr-CH"/>
              </w:rPr>
              <w:t>-60,425</w:t>
            </w:r>
          </w:p>
        </w:tc>
      </w:tr>
    </w:tbl>
    <w:p w:rsidR="00BF3DD1" w:rsidRPr="00235E8C" w:rsidRDefault="00BF3DD1" w:rsidP="00BF3DD1">
      <w:pPr>
        <w:tabs>
          <w:tab w:val="left" w:pos="737"/>
          <w:tab w:val="left" w:pos="993"/>
          <w:tab w:val="left" w:pos="1985"/>
          <w:tab w:val="right" w:pos="9356"/>
        </w:tabs>
        <w:overflowPunct w:val="0"/>
        <w:autoSpaceDE w:val="0"/>
        <w:autoSpaceDN w:val="0"/>
        <w:adjustRightInd w:val="0"/>
        <w:spacing w:after="360"/>
        <w:ind w:left="851" w:right="284"/>
        <w:jc w:val="center"/>
        <w:textAlignment w:val="baseline"/>
        <w:rPr>
          <w:rFonts w:ascii="Tahoma" w:hAnsi="Tahoma" w:cs="Tahoma"/>
          <w:b/>
        </w:rPr>
      </w:pPr>
      <w:r w:rsidRPr="00235E8C">
        <w:rPr>
          <w:rFonts w:ascii="Tahoma" w:hAnsi="Tahoma" w:cs="Tahoma"/>
          <w:b/>
        </w:rPr>
        <w:t>Table 3: Provisions for staff social benefits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An actuarial study carried out by the specialist firm Mercer provided a basis for determining most of the provisions on the 2013 balance sheet.  This analysi</w:t>
      </w:r>
      <w:r w:rsidR="00043A1D">
        <w:rPr>
          <w:rFonts w:ascii="Tahoma" w:hAnsi="Tahoma" w:cs="Tahoma"/>
        </w:rPr>
        <w:t>s is contained in the document “</w:t>
      </w:r>
      <w:r w:rsidRPr="00235E8C">
        <w:rPr>
          <w:rFonts w:ascii="Tahoma" w:hAnsi="Tahoma" w:cs="Tahoma"/>
        </w:rPr>
        <w:t>Consolidated Total for All Plans” dated 26 March, 2014, which was formally approved on June 16, 2014, by two representatives from the firm.  The size of the amounts provided for concerning staff benefits are separated under the two headings of “current” and “non-current” potential expenditure.  This evaluation corresponds to the relevant standards.  Our analysis of the actuarial study allows us to regard these values as correct.</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lastRenderedPageBreak/>
        <w:t>It should be noted that the provisions for accrued leave, home leave, overtime and flextime are based on the effective rights of UPOV staff as at December 31, 2013.  The provision amounts correspond to the relevant requirements.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rPr>
          <w:rFonts w:ascii="Tahoma" w:hAnsi="Tahoma"/>
        </w:rPr>
      </w:pPr>
      <w:r w:rsidRPr="00235E8C">
        <w:rPr>
          <w:rFonts w:ascii="Tahoma" w:hAnsi="Tahoma"/>
        </w:rPr>
        <w:t>United Nations Joint Staff Pension Fund</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lang w:val="en-US"/>
        </w:rPr>
      </w:pPr>
      <w:r w:rsidRPr="00235E8C">
        <w:rPr>
          <w:rFonts w:ascii="Tahoma" w:hAnsi="Tahoma"/>
          <w:lang w:val="en-US"/>
        </w:rPr>
        <w:t xml:space="preserve">UPOV is affiliated </w:t>
      </w:r>
      <w:r>
        <w:rPr>
          <w:rFonts w:ascii="Tahoma" w:hAnsi="Tahoma"/>
          <w:lang w:val="en-US"/>
        </w:rPr>
        <w:t>with</w:t>
      </w:r>
      <w:r w:rsidRPr="00235E8C">
        <w:rPr>
          <w:rFonts w:ascii="Tahoma" w:hAnsi="Tahoma"/>
          <w:lang w:val="en-US"/>
        </w:rPr>
        <w:t xml:space="preserve"> the United Nations Joint Staff Pension Fund (UNJSPF) through its dozen or so staff members.  As in the previous year, we note that no actuarial commitment was provided for the main retirement fund of the Union’s employees.  In our opinion, in accordance with the provisions of IPSAS 25, the actuarial commitment relating to UPOV staff pensions with the UNJSPF should be included in the balance sheet.  The plan in which the entity participates has the characteristics of a “defined benefit plan where the participating entities are under common control” according to IPSAS 25, owing to the following elements:</w:t>
      </w:r>
    </w:p>
    <w:p w:rsidR="00BF3DD1" w:rsidRPr="00235E8C" w:rsidRDefault="00BF3DD1" w:rsidP="00BF3DD1">
      <w:pPr>
        <w:pStyle w:val="Normalcentr1"/>
        <w:numPr>
          <w:ilvl w:val="0"/>
          <w:numId w:val="3"/>
        </w:numPr>
        <w:tabs>
          <w:tab w:val="left" w:pos="737"/>
          <w:tab w:val="left" w:pos="1985"/>
          <w:tab w:val="right" w:pos="9356"/>
        </w:tabs>
        <w:spacing w:after="120"/>
        <w:ind w:right="284"/>
        <w:rPr>
          <w:rFonts w:ascii="Tahoma" w:hAnsi="Tahoma"/>
          <w:lang w:val="en-US"/>
        </w:rPr>
      </w:pPr>
      <w:r w:rsidRPr="00235E8C">
        <w:rPr>
          <w:rFonts w:ascii="Tahoma" w:hAnsi="Tahoma"/>
          <w:lang w:val="en-US"/>
        </w:rPr>
        <w:t>participation in the risk of organizations subject to the plan;</w:t>
      </w:r>
    </w:p>
    <w:p w:rsidR="00BF3DD1" w:rsidRPr="00235E8C" w:rsidRDefault="00BF3DD1" w:rsidP="00BF3DD1">
      <w:pPr>
        <w:pStyle w:val="Normalcentr1"/>
        <w:numPr>
          <w:ilvl w:val="0"/>
          <w:numId w:val="3"/>
        </w:numPr>
        <w:tabs>
          <w:tab w:val="left" w:pos="737"/>
          <w:tab w:val="left" w:pos="1985"/>
          <w:tab w:val="right" w:pos="9356"/>
        </w:tabs>
        <w:spacing w:after="120"/>
        <w:ind w:right="284"/>
        <w:rPr>
          <w:rFonts w:ascii="Tahoma" w:hAnsi="Tahoma"/>
          <w:lang w:val="en-US"/>
        </w:rPr>
      </w:pPr>
      <w:r w:rsidRPr="00235E8C">
        <w:rPr>
          <w:rFonts w:ascii="Tahoma" w:hAnsi="Tahoma"/>
          <w:lang w:val="en-US"/>
        </w:rPr>
        <w:t>UNJSPF statutes relating to share of future contributions;</w:t>
      </w:r>
      <w:r>
        <w:rPr>
          <w:rFonts w:ascii="Tahoma" w:hAnsi="Tahoma"/>
          <w:lang w:val="en-US"/>
        </w:rPr>
        <w:t xml:space="preserve"> and</w:t>
      </w:r>
    </w:p>
    <w:p w:rsidR="00BF3DD1" w:rsidRPr="00235E8C" w:rsidRDefault="00BF3DD1" w:rsidP="00BF3DD1">
      <w:pPr>
        <w:pStyle w:val="Normalcentr1"/>
        <w:numPr>
          <w:ilvl w:val="0"/>
          <w:numId w:val="3"/>
        </w:numPr>
        <w:tabs>
          <w:tab w:val="left" w:pos="737"/>
          <w:tab w:val="left" w:pos="1985"/>
          <w:tab w:val="right" w:pos="9356"/>
        </w:tabs>
        <w:spacing w:after="120"/>
        <w:ind w:right="284"/>
        <w:rPr>
          <w:rFonts w:ascii="Tahoma" w:hAnsi="Tahoma"/>
          <w:lang w:val="en-US"/>
        </w:rPr>
      </w:pPr>
      <w:r w:rsidRPr="00235E8C">
        <w:rPr>
          <w:rFonts w:ascii="Tahoma" w:hAnsi="Tahoma"/>
          <w:lang w:val="en-US"/>
        </w:rPr>
        <w:t>UNJSPF organizational structure, affiliated organizations.</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t>Such a commitment would have a significant impact on the financial statements of the Organization.  We admit that the theoretical actuarial debt of the UNJSPF would be very small, given that it would be calculated on a pro-rata basis according to the number of staff members.  Nonetheless, at the present time and according to our information, the UNJSPF was unable to provide a calculation of the pension liabilities in conformity with IPSAS 25.  It is therefore not possible to calculate a reliable estimate of the risk incurred here.</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t xml:space="preserve">Since the application of IPSAS 25 in this form concerns not only UPOV but all the United Nations agencies and other affiliated organizations, this problem was submitted to the United Nations Panel of External Auditors.  Even though the Panel’s Technical Group and the United Nations IPSAS Task Force agreed during a special session in July 2011 that there was no need to provide for welfare commitments at the agency level, we consider that it is our duty as External Auditor of the UPOV accounts to draw the attention of the </w:t>
      </w:r>
      <w:r w:rsidR="00DF14DE" w:rsidRPr="00235E8C">
        <w:rPr>
          <w:rFonts w:ascii="Tahoma" w:hAnsi="Tahoma" w:cs="Tahoma"/>
          <w:lang w:val="en-US"/>
        </w:rPr>
        <w:t>member</w:t>
      </w:r>
      <w:r w:rsidR="00DF14DE">
        <w:rPr>
          <w:rFonts w:ascii="Tahoma" w:hAnsi="Tahoma" w:cs="Tahoma"/>
          <w:lang w:val="en-US"/>
        </w:rPr>
        <w:t>s</w:t>
      </w:r>
      <w:r w:rsidR="00DF14DE" w:rsidRPr="00235E8C">
        <w:rPr>
          <w:rFonts w:ascii="Tahoma" w:hAnsi="Tahoma" w:cs="Tahoma"/>
          <w:lang w:val="en-US"/>
        </w:rPr>
        <w:t xml:space="preserve"> </w:t>
      </w:r>
      <w:r w:rsidRPr="00235E8C">
        <w:rPr>
          <w:rFonts w:ascii="Tahoma" w:hAnsi="Tahoma" w:cs="Tahoma"/>
          <w:lang w:val="en-US"/>
        </w:rPr>
        <w:t>to this kind of potentially significant risk.  We feel that it is still too early for a truly economic interpretation of IPSAS 25.</w:t>
      </w:r>
    </w:p>
    <w:p w:rsidR="00BF3DD1" w:rsidRPr="00235E8C" w:rsidRDefault="00BF3DD1" w:rsidP="00BF3DD1">
      <w:pPr>
        <w:pStyle w:val="Normalcentr1"/>
        <w:numPr>
          <w:ilvl w:val="0"/>
          <w:numId w:val="1"/>
        </w:numPr>
        <w:tabs>
          <w:tab w:val="left" w:pos="737"/>
          <w:tab w:val="left" w:pos="1985"/>
          <w:tab w:val="right" w:pos="9356"/>
        </w:tabs>
        <w:spacing w:after="120"/>
        <w:ind w:left="851" w:right="284" w:hanging="567"/>
        <w:rPr>
          <w:rFonts w:ascii="Tahoma" w:hAnsi="Tahoma" w:cs="Tahoma"/>
          <w:lang w:val="en-US"/>
        </w:rPr>
      </w:pPr>
      <w:r w:rsidRPr="00235E8C">
        <w:rPr>
          <w:rFonts w:ascii="Tahoma" w:hAnsi="Tahoma" w:cs="Tahoma"/>
          <w:lang w:val="en-US"/>
        </w:rPr>
        <w:t>In conclusion, since the situation does not relate solely to UPOV, we consider, as when closing the previous audit, that it is not necessary for the time being to express a reservation or to mention it specifically in our audit opinion of the 2013 financial statements.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rPr>
      </w:pPr>
      <w:r w:rsidRPr="00235E8C">
        <w:rPr>
          <w:rFonts w:ascii="Tahoma" w:hAnsi="Tahoma" w:cs="Tahoma"/>
        </w:rPr>
        <w:t>Reserve fund up due to retained earnings from the 2012 budget</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For the record, at the end of 2012 the reserve fund registered a significant fall in value following the IPSAS adjustments.  As at December 31, 2013, the reserve fund stood at 1,204,000 Swiss francs, including the surplus of 397,000 Swiss francs from the 2012 financial year.  The operating income for 2013 of almost 107,000 Swiss francs is also included in the total reserve fund, even if this sum has not yet been transferred to the fund in accounting terms.  The final transfer will in fact be made during 2014. </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The 2012-2013 biennium budget estimated the reserve fund at 1,037,000 Swiss francs</w:t>
      </w:r>
      <w:r>
        <w:rPr>
          <w:rFonts w:ascii="Tahoma" w:hAnsi="Tahoma" w:cs="Tahoma"/>
        </w:rPr>
        <w:t>,</w:t>
      </w:r>
      <w:r w:rsidRPr="00235E8C">
        <w:rPr>
          <w:rStyle w:val="FootnoteReference"/>
          <w:rFonts w:ascii="Tahoma" w:hAnsi="Tahoma" w:cs="Tahoma"/>
        </w:rPr>
        <w:footnoteReference w:id="5"/>
      </w:r>
      <w:r w:rsidRPr="00235E8C">
        <w:rPr>
          <w:rFonts w:ascii="Tahoma" w:hAnsi="Tahoma" w:cs="Tahoma"/>
        </w:rPr>
        <w:t xml:space="preserve"> taking into account operating costs of 6,798,000 Swiss francs.  Subject to the allocation of the 2013 operating revenue to the reserve fund, its potential value is 167,000 Swiss francs higher than forecast.  In this scenario, at the end of 2013 the reserve fund represents 17.7 per cent of the operating expenses budgeted for in the 2012-2013 biennium.  In addition, the performance was slightly higher than expected.</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The working capital fund (WCF) remained unchanged in 2013 in comparison to 2012.  Its balance stood at 540,000 Swiss francs.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rPr>
      </w:pPr>
      <w:r w:rsidRPr="00235E8C">
        <w:rPr>
          <w:rFonts w:ascii="Tahoma" w:hAnsi="Tahoma" w:cs="Tahoma"/>
        </w:rPr>
        <w:lastRenderedPageBreak/>
        <w:t>UPOV expenditure is up on 2012</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Costs for 2013 were 12.3 per cent higher than in 2012.  They were recorded as more than 3,643,000 Swiss francs.  The division of expenditure by type in the graph below provides an overview of their development.</w:t>
      </w:r>
    </w:p>
    <w:p w:rsidR="00BF3DD1" w:rsidRPr="00235E8C" w:rsidRDefault="00BF3DD1" w:rsidP="00BF3DD1">
      <w:pPr>
        <w:tabs>
          <w:tab w:val="left" w:pos="737"/>
          <w:tab w:val="left" w:pos="993"/>
          <w:tab w:val="left" w:pos="1985"/>
          <w:tab w:val="right" w:pos="9356"/>
        </w:tabs>
        <w:overflowPunct w:val="0"/>
        <w:autoSpaceDE w:val="0"/>
        <w:autoSpaceDN w:val="0"/>
        <w:adjustRightInd w:val="0"/>
        <w:spacing w:after="120"/>
        <w:ind w:left="851" w:right="284"/>
        <w:jc w:val="center"/>
        <w:textAlignment w:val="baseline"/>
        <w:rPr>
          <w:rFonts w:ascii="Tahoma" w:hAnsi="Tahoma" w:cs="Tahoma"/>
          <w:b/>
        </w:rPr>
      </w:pPr>
      <w:r>
        <w:rPr>
          <w:noProof/>
        </w:rPr>
        <w:drawing>
          <wp:inline distT="0" distB="0" distL="0" distR="0" wp14:anchorId="244348FF" wp14:editId="445433D5">
            <wp:extent cx="5467350" cy="35623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3DD1" w:rsidRPr="00235E8C" w:rsidRDefault="00BF3DD1" w:rsidP="00BF3DD1">
      <w:pPr>
        <w:tabs>
          <w:tab w:val="left" w:pos="737"/>
          <w:tab w:val="left" w:pos="993"/>
          <w:tab w:val="left" w:pos="1985"/>
          <w:tab w:val="right" w:pos="9356"/>
        </w:tabs>
        <w:overflowPunct w:val="0"/>
        <w:autoSpaceDE w:val="0"/>
        <w:autoSpaceDN w:val="0"/>
        <w:adjustRightInd w:val="0"/>
        <w:spacing w:after="240"/>
        <w:ind w:left="851" w:right="284"/>
        <w:jc w:val="center"/>
        <w:textAlignment w:val="baseline"/>
        <w:rPr>
          <w:rFonts w:ascii="Tahoma" w:hAnsi="Tahoma" w:cs="Tahoma"/>
        </w:rPr>
      </w:pPr>
      <w:r w:rsidRPr="00235E8C">
        <w:rPr>
          <w:rFonts w:ascii="Tahoma" w:hAnsi="Tahoma" w:cs="Tahoma"/>
          <w:b/>
        </w:rPr>
        <w:t>Graph 1: Costs for 2013 and 2012 by type of expenditure</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We carried out various random sampling checks on the expenditure accounts for 2013.  The movements were confirmed with the help of the available accounting documents.  The detailed checks carried out did not reveal any errors.  We will therefore limit ourselves to the few remarks that follow.</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Personnel costs represented the majority of UPOV’s expenses.  These increased in 2013 compared to 2012 by approximately 91,000 Swiss francs (+4.4 per cent).  The 2013 costs were some 2,077,000 Swiss francs.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The increase in mission and fellowship expenditure (+19.3 per cent) is mostly explained by participation in conferences.  </w:t>
      </w:r>
      <w:r>
        <w:rPr>
          <w:rFonts w:ascii="Tahoma" w:hAnsi="Tahoma" w:cs="Tahoma"/>
        </w:rPr>
        <w:t>E</w:t>
      </w:r>
      <w:r w:rsidRPr="00235E8C">
        <w:rPr>
          <w:rFonts w:ascii="Tahoma" w:hAnsi="Tahoma" w:cs="Tahoma"/>
        </w:rPr>
        <w:t>xpenditure linked to the Funds in Trust has more than doubled between 2012 and 2013 to reach approximately 290,000 Swiss francs.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Contractual services cost nearly three times as much in 2013 as in 2012.  Expenditure in 2012 was 117,000 Swiss francs, compared to 337,000 Swiss francs in 2013.  This increase was mainly registered for individual contractual services (account 73801: 65,000 Swiss francs), IT services (account 73810: 117,600 Swiss francs) and other commercial services (account 73812: 44,000 Swiss francs).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The operating costs of 622,000 Swiss francs in 2013 were very close those of 2012.  This heading contains almost exclusively administrative services that WIPO provides </w:t>
      </w:r>
      <w:r>
        <w:rPr>
          <w:rFonts w:ascii="Tahoma" w:hAnsi="Tahoma" w:cs="Tahoma"/>
        </w:rPr>
        <w:t>to</w:t>
      </w:r>
      <w:r w:rsidRPr="00235E8C">
        <w:rPr>
          <w:rFonts w:ascii="Tahoma" w:hAnsi="Tahoma" w:cs="Tahoma"/>
        </w:rPr>
        <w:t xml:space="preserve"> UPOV (620,000 Swiss francs).  They are set by an agreement between the two organizations.</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rPr>
      </w:pPr>
      <w:r w:rsidRPr="00235E8C">
        <w:rPr>
          <w:rFonts w:ascii="Tahoma" w:hAnsi="Tahoma" w:cs="Tahoma"/>
        </w:rPr>
        <w:t>The budgeted revenue for UPOV in 2013 corresponds to actual receipts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The budget forecast revenue in 2013 of 3,404,000 Swiss francs.  The actual receipts were slightly lower, standing at 3,403,000 Swiss francs.  The gap between the two values is considered insignificant.</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lastRenderedPageBreak/>
        <w:t>Statutory contributions in 2013 were identical to 2012.  They stood at 3,323,000 Swiss francs, which is 88.6 per cent of total revenue.  Voluntary contributions totaled more than 395,000 Swiss francs, which represents 10.5 per cent of 2013 income.</w:t>
      </w:r>
    </w:p>
    <w:p w:rsidR="00BF3DD1" w:rsidRPr="00235E8C" w:rsidRDefault="00BF3DD1" w:rsidP="00BF3DD1">
      <w:pPr>
        <w:pStyle w:val="Heading2"/>
        <w:keepLines/>
        <w:tabs>
          <w:tab w:val="left" w:pos="1985"/>
          <w:tab w:val="left" w:pos="5057"/>
          <w:tab w:val="right" w:pos="9356"/>
        </w:tabs>
        <w:overflowPunct w:val="0"/>
        <w:autoSpaceDE w:val="0"/>
        <w:autoSpaceDN w:val="0"/>
        <w:adjustRightInd w:val="0"/>
        <w:spacing w:before="480" w:after="120" w:line="240" w:lineRule="atLeast"/>
        <w:ind w:left="851" w:right="284"/>
        <w:textAlignment w:val="baseline"/>
        <w:rPr>
          <w:rFonts w:ascii="Tahoma" w:hAnsi="Tahoma" w:cs="Tahoma"/>
        </w:rPr>
      </w:pPr>
      <w:r w:rsidRPr="00235E8C">
        <w:rPr>
          <w:rFonts w:ascii="Tahoma" w:hAnsi="Tahoma" w:cs="Tahoma"/>
        </w:rPr>
        <w:t>Information on operations between related parties</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 xml:space="preserve">Note 10 of the financial statements presents an amount of 1,047,215 Swiss francs for 2013 corresponding to the wages of 5.19 equivalent full-time posts for </w:t>
      </w:r>
      <w:r>
        <w:rPr>
          <w:rFonts w:ascii="Tahoma" w:hAnsi="Tahoma" w:cs="Tahoma"/>
        </w:rPr>
        <w:t>staff members</w:t>
      </w:r>
      <w:r w:rsidRPr="00235E8C">
        <w:rPr>
          <w:rFonts w:ascii="Tahoma" w:hAnsi="Tahoma" w:cs="Tahoma"/>
        </w:rPr>
        <w:t xml:space="preserve"> considered to be key to UPOV.  As stated in the aforementioned note, the Director General of WIPO declined any remuneration </w:t>
      </w:r>
      <w:r>
        <w:rPr>
          <w:rFonts w:ascii="Tahoma" w:hAnsi="Tahoma" w:cs="Tahoma"/>
        </w:rPr>
        <w:t>for</w:t>
      </w:r>
      <w:r w:rsidRPr="00235E8C">
        <w:rPr>
          <w:rFonts w:ascii="Tahoma" w:hAnsi="Tahoma" w:cs="Tahoma"/>
        </w:rPr>
        <w:t xml:space="preserve"> his function as Secretary-General of UPOV.  The only other executive in the </w:t>
      </w:r>
      <w:r>
        <w:rPr>
          <w:rFonts w:ascii="Tahoma" w:hAnsi="Tahoma" w:cs="Tahoma"/>
        </w:rPr>
        <w:t>Union</w:t>
      </w:r>
      <w:r w:rsidRPr="00235E8C">
        <w:rPr>
          <w:rFonts w:ascii="Tahoma" w:hAnsi="Tahoma" w:cs="Tahoma"/>
        </w:rPr>
        <w:t xml:space="preserve"> is the Vice Secretary-General, since UPOV does not have a Sector Director.  The presentation appearing under “Key management personnel and their aggregate remuneration” of note 10 does not make any distinction between the Vice Secretary-General and the other colleagues taken into consideration in the related parties.  This is not fully in compliance with the provisions of paragraph 34(a) of IPSAS 20, which provide for such a distinction.</w:t>
      </w:r>
    </w:p>
    <w:p w:rsidR="00BF3DD1" w:rsidRPr="00235E8C" w:rsidRDefault="00BF3DD1" w:rsidP="00BF3DD1">
      <w:pPr>
        <w:tabs>
          <w:tab w:val="left" w:pos="737"/>
          <w:tab w:val="left" w:pos="1985"/>
          <w:tab w:val="right" w:pos="9356"/>
        </w:tabs>
        <w:overflowPunct w:val="0"/>
        <w:autoSpaceDE w:val="0"/>
        <w:autoSpaceDN w:val="0"/>
        <w:adjustRightInd w:val="0"/>
        <w:spacing w:after="120"/>
        <w:ind w:left="851" w:right="284"/>
        <w:textAlignment w:val="baseline"/>
        <w:rPr>
          <w:rFonts w:ascii="Tahoma" w:hAnsi="Tahoma" w:cs="Tahoma"/>
        </w:rPr>
      </w:pPr>
      <w:r w:rsidRPr="00235E8C">
        <w:rPr>
          <w:rFonts w:ascii="Tahoma" w:hAnsi="Tahoma" w:cs="Tahoma"/>
          <w:b/>
        </w:rPr>
        <w:t xml:space="preserve">Note: </w:t>
      </w:r>
      <w:r w:rsidRPr="00235E8C">
        <w:rPr>
          <w:rFonts w:ascii="Tahoma" w:hAnsi="Tahoma" w:cs="Tahoma"/>
        </w:rPr>
        <w:t xml:space="preserve">we acknowledge the decision of UPOV and note that this is not fully in compliance with IPSAS 20.  Nonetheless, we consider that, as during the closing of the previous audit, it is not necessary to amend our audit opinion.  It is, however, our duty as External Auditor to bring this to the attention of </w:t>
      </w:r>
      <w:r w:rsidR="00DF14DE">
        <w:rPr>
          <w:rFonts w:ascii="Tahoma" w:hAnsi="Tahoma" w:cs="Tahoma"/>
        </w:rPr>
        <w:t>UPOV m</w:t>
      </w:r>
      <w:r w:rsidR="00DF14DE" w:rsidRPr="00235E8C">
        <w:rPr>
          <w:rFonts w:ascii="Tahoma" w:hAnsi="Tahoma" w:cs="Tahoma"/>
        </w:rPr>
        <w:t>ember</w:t>
      </w:r>
      <w:r w:rsidR="00DF14DE">
        <w:rPr>
          <w:rFonts w:ascii="Tahoma" w:hAnsi="Tahoma" w:cs="Tahoma"/>
        </w:rPr>
        <w:t>s</w:t>
      </w:r>
      <w:r w:rsidRPr="00235E8C">
        <w:rPr>
          <w:rFonts w:ascii="Tahoma" w:hAnsi="Tahoma" w:cs="Tahoma"/>
        </w:rPr>
        <w:t>.</w:t>
      </w:r>
    </w:p>
    <w:p w:rsidR="00BF3DD1" w:rsidRPr="00235E8C" w:rsidRDefault="00BF3DD1" w:rsidP="00BF3DD1">
      <w:pPr>
        <w:pStyle w:val="OI-TITRE"/>
        <w:spacing w:after="480"/>
        <w:ind w:left="851"/>
        <w:rPr>
          <w:rFonts w:ascii="Tahoma" w:hAnsi="Tahoma" w:cs="Tahoma"/>
          <w:lang w:val="en-US"/>
        </w:rPr>
      </w:pPr>
      <w:r w:rsidRPr="00235E8C">
        <w:rPr>
          <w:rFonts w:ascii="Tahoma" w:hAnsi="Tahoma" w:cs="Tahoma"/>
          <w:lang w:val="en-US"/>
        </w:rPr>
        <w:t>CONCLUSION</w:t>
      </w:r>
    </w:p>
    <w:p w:rsidR="00BF3DD1" w:rsidRPr="00235E8C" w:rsidRDefault="00BF3DD1" w:rsidP="00BF3DD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235E8C">
        <w:rPr>
          <w:rFonts w:ascii="Tahoma" w:hAnsi="Tahoma" w:cs="Tahoma"/>
        </w:rPr>
        <w:t>As a result of the work undertaken, we are able to issue the audit opinion annexed to this report and drawn up in accordance with paragraph 5 of the Terms of Reference Governing Audit.</w:t>
      </w:r>
    </w:p>
    <w:p w:rsidR="00BF3DD1" w:rsidRPr="00235E8C" w:rsidRDefault="00BF3DD1" w:rsidP="00BF3DD1">
      <w:pPr>
        <w:ind w:right="113"/>
        <w:rPr>
          <w:rFonts w:ascii="Tahoma" w:hAnsi="Tahoma"/>
        </w:rPr>
      </w:pPr>
    </w:p>
    <w:p w:rsidR="00BF3DD1" w:rsidRPr="00235E8C" w:rsidRDefault="00BF3DD1" w:rsidP="00BF3DD1">
      <w:pPr>
        <w:ind w:left="851" w:right="113"/>
        <w:rPr>
          <w:rFonts w:ascii="Tahoma" w:hAnsi="Tahoma"/>
        </w:rPr>
      </w:pPr>
    </w:p>
    <w:p w:rsidR="00BF3DD1" w:rsidRPr="00235E8C" w:rsidRDefault="00BF3DD1" w:rsidP="00BF3DD1">
      <w:pPr>
        <w:tabs>
          <w:tab w:val="right" w:pos="-284"/>
          <w:tab w:val="left" w:pos="0"/>
        </w:tabs>
        <w:ind w:left="851" w:right="113"/>
        <w:rPr>
          <w:rFonts w:ascii="Tahoma" w:hAnsi="Tahoma" w:cs="Tahoma"/>
        </w:rPr>
      </w:pPr>
      <w:r w:rsidRPr="00235E8C">
        <w:rPr>
          <w:rFonts w:ascii="Tahoma" w:hAnsi="Tahoma" w:cs="Tahoma"/>
        </w:rPr>
        <w:t>SWISS FEDERAL AUDIT OFFICE</w:t>
      </w:r>
    </w:p>
    <w:p w:rsidR="00BF3DD1" w:rsidRPr="00235E8C" w:rsidRDefault="00BF3DD1" w:rsidP="00BF3DD1">
      <w:pPr>
        <w:tabs>
          <w:tab w:val="left" w:pos="1872"/>
          <w:tab w:val="left" w:pos="5670"/>
          <w:tab w:val="right" w:pos="9356"/>
        </w:tabs>
        <w:ind w:left="851" w:right="284"/>
        <w:rPr>
          <w:rFonts w:ascii="Tahoma" w:hAnsi="Tahoma" w:cs="Tahoma"/>
        </w:rPr>
      </w:pPr>
      <w:r w:rsidRPr="00235E8C">
        <w:rPr>
          <w:rFonts w:ascii="Tahoma" w:hAnsi="Tahoma" w:cs="Tahoma"/>
        </w:rPr>
        <w:t>(External Auditor)</w:t>
      </w:r>
    </w:p>
    <w:p w:rsidR="00BF3DD1" w:rsidRPr="00235E8C" w:rsidRDefault="00BF3DD1" w:rsidP="00BF3DD1">
      <w:pPr>
        <w:ind w:left="851" w:right="113"/>
        <w:rPr>
          <w:rFonts w:ascii="Tahoma" w:hAnsi="Tahoma"/>
        </w:rPr>
      </w:pPr>
    </w:p>
    <w:p w:rsidR="00BF3DD1" w:rsidRPr="00235E8C" w:rsidRDefault="00BF3DD1" w:rsidP="00BF3DD1">
      <w:pPr>
        <w:ind w:left="851" w:right="113"/>
        <w:rPr>
          <w:rFonts w:ascii="Tahoma" w:hAnsi="Tahoma"/>
        </w:rPr>
      </w:pPr>
    </w:p>
    <w:p w:rsidR="00BF3DD1" w:rsidRPr="00235E8C" w:rsidRDefault="00BF3DD1" w:rsidP="00BF3DD1">
      <w:pPr>
        <w:ind w:left="851" w:right="113"/>
        <w:rPr>
          <w:rFonts w:ascii="Tahoma" w:hAnsi="Tahoma"/>
        </w:rPr>
      </w:pPr>
    </w:p>
    <w:p w:rsidR="00BF3DD1" w:rsidRPr="00235E8C" w:rsidRDefault="00BF3DD1" w:rsidP="00BF3DD1">
      <w:pPr>
        <w:ind w:left="851" w:right="113"/>
        <w:rPr>
          <w:rFonts w:ascii="Tahoma" w:hAnsi="Tahoma"/>
        </w:rPr>
      </w:pPr>
    </w:p>
    <w:p w:rsidR="00BF3DD1" w:rsidRPr="00235E8C" w:rsidRDefault="00BF3DD1" w:rsidP="00BF3DD1">
      <w:pPr>
        <w:tabs>
          <w:tab w:val="left" w:pos="5954"/>
        </w:tabs>
        <w:ind w:left="851" w:right="113"/>
        <w:rPr>
          <w:rFonts w:ascii="Tahoma" w:hAnsi="Tahoma"/>
        </w:rPr>
      </w:pPr>
      <w:r w:rsidRPr="00235E8C">
        <w:rPr>
          <w:rFonts w:ascii="Tahoma" w:hAnsi="Tahoma"/>
        </w:rPr>
        <w:t>Eric-Serge Jeannet</w:t>
      </w:r>
      <w:r w:rsidRPr="00235E8C">
        <w:rPr>
          <w:rFonts w:ascii="Tahoma" w:hAnsi="Tahoma"/>
        </w:rPr>
        <w:tab/>
        <w:t>Didier Monnot</w:t>
      </w:r>
    </w:p>
    <w:p w:rsidR="00BF3DD1" w:rsidRPr="00235E8C" w:rsidRDefault="00BF3DD1" w:rsidP="00BF3DD1">
      <w:pPr>
        <w:tabs>
          <w:tab w:val="left" w:pos="5954"/>
        </w:tabs>
        <w:ind w:left="851" w:right="113"/>
        <w:rPr>
          <w:rFonts w:ascii="Tahoma" w:hAnsi="Tahoma"/>
        </w:rPr>
      </w:pPr>
      <w:r w:rsidRPr="00235E8C">
        <w:rPr>
          <w:rFonts w:ascii="Tahoma" w:hAnsi="Tahoma"/>
        </w:rPr>
        <w:t>Vice Director</w:t>
      </w:r>
      <w:r w:rsidRPr="00235E8C">
        <w:rPr>
          <w:rFonts w:ascii="Tahoma" w:hAnsi="Tahoma"/>
        </w:rPr>
        <w:tab/>
        <w:t>Officer in charge of mandates</w:t>
      </w:r>
    </w:p>
    <w:p w:rsidR="00BF3DD1" w:rsidRPr="00235E8C" w:rsidRDefault="00BF3DD1" w:rsidP="00BF3DD1">
      <w:pPr>
        <w:tabs>
          <w:tab w:val="left" w:pos="1985"/>
          <w:tab w:val="left" w:pos="5670"/>
          <w:tab w:val="right" w:pos="9356"/>
        </w:tabs>
        <w:ind w:left="1305" w:right="851" w:hanging="454"/>
        <w:rPr>
          <w:rFonts w:ascii="Tahoma" w:hAnsi="Tahoma" w:cs="Tahoma"/>
        </w:rPr>
      </w:pPr>
    </w:p>
    <w:p w:rsidR="00BF3DD1" w:rsidRPr="00235E8C" w:rsidRDefault="00BF3DD1" w:rsidP="00BF3DD1">
      <w:pPr>
        <w:tabs>
          <w:tab w:val="left" w:pos="1872"/>
          <w:tab w:val="left" w:pos="5670"/>
          <w:tab w:val="right" w:pos="9356"/>
        </w:tabs>
        <w:spacing w:line="300" w:lineRule="exact"/>
        <w:ind w:left="851" w:right="282"/>
        <w:rPr>
          <w:rFonts w:ascii="Tahoma" w:hAnsi="Tahoma" w:cs="Tahoma"/>
          <w:highlight w:val="yellow"/>
        </w:rPr>
      </w:pPr>
    </w:p>
    <w:p w:rsidR="00BF3DD1" w:rsidRPr="00235E8C" w:rsidRDefault="00BF3DD1" w:rsidP="00BF3DD1">
      <w:pPr>
        <w:tabs>
          <w:tab w:val="left" w:pos="1985"/>
          <w:tab w:val="left" w:pos="5670"/>
          <w:tab w:val="right" w:pos="9356"/>
        </w:tabs>
        <w:ind w:left="1305" w:right="851" w:hanging="454"/>
        <w:rPr>
          <w:rFonts w:ascii="Tahoma" w:hAnsi="Tahoma" w:cs="Tahoma"/>
        </w:rPr>
      </w:pPr>
      <w:r w:rsidRPr="00235E8C">
        <w:rPr>
          <w:rFonts w:ascii="Tahoma" w:hAnsi="Tahoma" w:cs="Tahoma"/>
          <w:u w:val="single"/>
        </w:rPr>
        <w:t>Annex</w:t>
      </w:r>
      <w:r w:rsidRPr="00235E8C">
        <w:rPr>
          <w:rFonts w:ascii="Tahoma" w:hAnsi="Tahoma" w:cs="Tahoma"/>
        </w:rPr>
        <w:t>:</w:t>
      </w:r>
    </w:p>
    <w:p w:rsidR="00BF3DD1" w:rsidRPr="00235E8C" w:rsidRDefault="00BF3DD1" w:rsidP="00BF3DD1">
      <w:pPr>
        <w:pStyle w:val="ListParagraph"/>
        <w:numPr>
          <w:ilvl w:val="0"/>
          <w:numId w:val="2"/>
        </w:numPr>
        <w:tabs>
          <w:tab w:val="left" w:pos="1985"/>
          <w:tab w:val="left" w:pos="5670"/>
          <w:tab w:val="right" w:pos="9356"/>
        </w:tabs>
        <w:ind w:right="851"/>
        <w:rPr>
          <w:rFonts w:ascii="Tahoma" w:hAnsi="Tahoma" w:cs="Tahoma"/>
          <w:lang w:val="en-US"/>
        </w:rPr>
      </w:pPr>
      <w:r w:rsidRPr="00235E8C">
        <w:rPr>
          <w:rFonts w:ascii="Tahoma" w:hAnsi="Tahoma" w:cs="Tahoma"/>
          <w:lang w:val="en-US"/>
        </w:rPr>
        <w:t>Audit Opinion</w:t>
      </w:r>
    </w:p>
    <w:p w:rsidR="00BF3DD1" w:rsidRPr="00235E8C" w:rsidRDefault="00BF3DD1" w:rsidP="00BF3DD1">
      <w:pPr>
        <w:tabs>
          <w:tab w:val="left" w:pos="1985"/>
          <w:tab w:val="left" w:pos="5670"/>
          <w:tab w:val="right" w:pos="9356"/>
        </w:tabs>
        <w:ind w:left="1305" w:right="851" w:hanging="454"/>
        <w:rPr>
          <w:rFonts w:ascii="Tahoma" w:hAnsi="Tahoma" w:cs="Tahoma"/>
        </w:rPr>
      </w:pPr>
    </w:p>
    <w:p w:rsidR="00BF3DD1" w:rsidRPr="00235E8C" w:rsidRDefault="00BF3DD1" w:rsidP="00BF3DD1">
      <w:pPr>
        <w:pStyle w:val="ListParagraph"/>
        <w:tabs>
          <w:tab w:val="left" w:pos="1985"/>
          <w:tab w:val="left" w:pos="5670"/>
          <w:tab w:val="right" w:pos="9356"/>
        </w:tabs>
        <w:ind w:left="1305" w:right="851" w:hanging="454"/>
        <w:contextualSpacing w:val="0"/>
        <w:jc w:val="both"/>
        <w:rPr>
          <w:rFonts w:ascii="Tahoma" w:hAnsi="Tahoma" w:cs="Tahoma"/>
          <w:lang w:val="en-US"/>
        </w:rPr>
      </w:pPr>
    </w:p>
    <w:p w:rsidR="00BF3DD1" w:rsidRPr="00235E8C" w:rsidRDefault="00BF3DD1" w:rsidP="00BF3DD1">
      <w:pPr>
        <w:tabs>
          <w:tab w:val="left" w:pos="1985"/>
          <w:tab w:val="left" w:pos="5670"/>
          <w:tab w:val="right" w:pos="9356"/>
        </w:tabs>
        <w:ind w:left="1305" w:right="851" w:hanging="454"/>
        <w:rPr>
          <w:rFonts w:ascii="Tahoma" w:hAnsi="Tahoma" w:cs="Tahoma"/>
          <w:highlight w:val="yellow"/>
        </w:rPr>
        <w:sectPr w:rsidR="00BF3DD1" w:rsidRPr="00235E8C" w:rsidSect="000B13F7">
          <w:headerReference w:type="default" r:id="rId14"/>
          <w:footerReference w:type="first" r:id="rId15"/>
          <w:pgSz w:w="11907" w:h="16840" w:code="9"/>
          <w:pgMar w:top="510" w:right="1134" w:bottom="1134" w:left="1134" w:header="510" w:footer="680" w:gutter="0"/>
          <w:pgNumType w:start="1"/>
          <w:cols w:space="720"/>
          <w:titlePg/>
        </w:sectPr>
      </w:pPr>
    </w:p>
    <w:p w:rsidR="00B65FFA" w:rsidRDefault="00B65FFA" w:rsidP="00B65FFA">
      <w:pPr>
        <w:tabs>
          <w:tab w:val="left" w:pos="1872"/>
          <w:tab w:val="left" w:pos="5670"/>
          <w:tab w:val="right" w:pos="9356"/>
        </w:tabs>
        <w:rPr>
          <w:rFonts w:ascii="Tahoma" w:hAnsi="Tahoma"/>
        </w:rPr>
      </w:pPr>
    </w:p>
    <w:p w:rsidR="00B65FFA" w:rsidRDefault="00B65FFA" w:rsidP="00B65FFA">
      <w:pPr>
        <w:tabs>
          <w:tab w:val="left" w:pos="1872"/>
          <w:tab w:val="left" w:pos="5670"/>
          <w:tab w:val="right" w:pos="9356"/>
        </w:tabs>
        <w:rPr>
          <w:rFonts w:ascii="Tahoma" w:hAnsi="Tahoma"/>
        </w:rPr>
      </w:pPr>
    </w:p>
    <w:p w:rsidR="00BF3DD1" w:rsidRPr="00235E8C" w:rsidRDefault="00BF3DD1" w:rsidP="00B65FFA">
      <w:pPr>
        <w:tabs>
          <w:tab w:val="left" w:pos="1872"/>
          <w:tab w:val="left" w:pos="5670"/>
          <w:tab w:val="right" w:pos="9356"/>
        </w:tabs>
        <w:rPr>
          <w:rFonts w:ascii="Tahoma" w:hAnsi="Tahoma" w:cs="Tahoma"/>
        </w:rPr>
      </w:pPr>
      <w:r w:rsidRPr="00235E8C">
        <w:rPr>
          <w:rFonts w:ascii="Tahoma" w:hAnsi="Tahoma"/>
        </w:rPr>
        <w:t>Annex to 1.14307.946.00335.04</w:t>
      </w:r>
    </w:p>
    <w:p w:rsidR="00BF3DD1" w:rsidRPr="00235E8C" w:rsidRDefault="00BF3DD1" w:rsidP="00B65FFA">
      <w:pPr>
        <w:spacing w:before="160"/>
        <w:rPr>
          <w:rFonts w:ascii="Tahoma" w:hAnsi="Tahoma" w:cs="Tahoma"/>
          <w:b/>
        </w:rPr>
      </w:pPr>
      <w:r w:rsidRPr="00235E8C">
        <w:rPr>
          <w:rFonts w:ascii="Tahoma" w:hAnsi="Tahoma" w:cs="Tahoma"/>
          <w:b/>
        </w:rPr>
        <w:t>AUDIT OPINION OF THE EXTERNAL AUDITOR</w:t>
      </w:r>
    </w:p>
    <w:p w:rsidR="00BF3DD1" w:rsidRPr="00235E8C" w:rsidRDefault="00BF3DD1" w:rsidP="00B65FFA">
      <w:pPr>
        <w:rPr>
          <w:rFonts w:ascii="Tahoma" w:hAnsi="Tahoma" w:cs="Tahoma"/>
          <w:sz w:val="16"/>
          <w:szCs w:val="16"/>
        </w:rPr>
      </w:pPr>
    </w:p>
    <w:p w:rsidR="00BF3DD1" w:rsidRPr="00235E8C" w:rsidRDefault="00BF3DD1" w:rsidP="00B65FFA">
      <w:pPr>
        <w:rPr>
          <w:rFonts w:ascii="Tahoma" w:hAnsi="Tahoma" w:cs="Tahoma"/>
        </w:rPr>
      </w:pPr>
      <w:r w:rsidRPr="00235E8C">
        <w:rPr>
          <w:rFonts w:ascii="Tahoma" w:hAnsi="Tahoma" w:cs="Tahoma"/>
          <w:lang w:eastAsia="de-CH"/>
        </w:rPr>
        <w:t>We</w:t>
      </w:r>
      <w:r w:rsidRPr="00235E8C">
        <w:t xml:space="preserve"> have audited the financial sta</w:t>
      </w:r>
      <w:r w:rsidR="00B65FFA">
        <w:t>tements, as at December 31, 2013</w:t>
      </w:r>
      <w:r w:rsidRPr="00235E8C">
        <w:t>, of the International Union for the Protection of New Varieties of Plants (UPOV), including the Statement of Financial Position (Statement I), the Statement of Financial Performance (Statement II), the Statement of C</w:t>
      </w:r>
      <w:r w:rsidR="007E6017">
        <w:t>hanges in Net Assets (Statement </w:t>
      </w:r>
      <w:bookmarkStart w:id="6" w:name="_GoBack"/>
      <w:bookmarkEnd w:id="6"/>
      <w:r w:rsidRPr="00235E8C">
        <w:t>III), the Statement of Cash Flow (Statement IV) and the Statement of Comparison of Budget and Actual Amounts (Statement V), as well as notes attached to the statements</w:t>
      </w:r>
      <w:r w:rsidRPr="00235E8C">
        <w:rPr>
          <w:rFonts w:ascii="Tahoma" w:hAnsi="Tahoma" w:cs="Tahoma"/>
        </w:rPr>
        <w:t>.</w:t>
      </w:r>
    </w:p>
    <w:p w:rsidR="00BF3DD1" w:rsidRPr="00235E8C" w:rsidRDefault="00BF3DD1" w:rsidP="00B65FFA">
      <w:pPr>
        <w:rPr>
          <w:rFonts w:ascii="Tahoma" w:hAnsi="Tahoma" w:cs="Tahoma"/>
          <w:sz w:val="16"/>
          <w:szCs w:val="16"/>
        </w:rPr>
      </w:pPr>
    </w:p>
    <w:p w:rsidR="00BF3DD1" w:rsidRPr="00235E8C" w:rsidRDefault="00BF3DD1" w:rsidP="00B65FFA">
      <w:pPr>
        <w:rPr>
          <w:rFonts w:ascii="Tahoma" w:hAnsi="Tahoma" w:cs="Tahoma"/>
          <w:b/>
          <w:bCs/>
          <w:lang w:eastAsia="de-CH"/>
        </w:rPr>
      </w:pPr>
      <w:r w:rsidRPr="00235E8C">
        <w:rPr>
          <w:rFonts w:ascii="Tahoma" w:hAnsi="Tahoma" w:cs="Tahoma"/>
          <w:b/>
          <w:bCs/>
          <w:lang w:eastAsia="de-CH"/>
        </w:rPr>
        <w:t>Responsibility of UPOV management for the financial statements</w:t>
      </w:r>
    </w:p>
    <w:p w:rsidR="00BF3DD1" w:rsidRPr="00235E8C" w:rsidRDefault="00BF3DD1" w:rsidP="00B65FFA">
      <w:pPr>
        <w:rPr>
          <w:rFonts w:ascii="Tahoma" w:hAnsi="Tahoma" w:cs="Tahoma"/>
          <w:bCs/>
          <w:lang w:eastAsia="de-CH"/>
        </w:rPr>
      </w:pPr>
      <w:r w:rsidRPr="00235E8C">
        <w:t>The management is responsible for the production and fair presentation of its financial statements, in accordance with the provisions set in the International Public Sector Accounting Standards (IPSAS) and in the Financial Regulations and Rules of UPOV. Furthermore, the management is responsible for establishing the internal control it views as necessary to the production of financial statements free of significant anomalies, whether these arise from fraud or are the result of errors.</w:t>
      </w:r>
    </w:p>
    <w:p w:rsidR="00BF3DD1" w:rsidRPr="00235E8C" w:rsidRDefault="00BF3DD1" w:rsidP="00B65FFA">
      <w:pPr>
        <w:rPr>
          <w:rFonts w:ascii="Tahoma" w:hAnsi="Tahoma" w:cs="Tahoma"/>
          <w:sz w:val="16"/>
          <w:szCs w:val="16"/>
          <w:highlight w:val="yellow"/>
        </w:rPr>
      </w:pPr>
    </w:p>
    <w:p w:rsidR="00BF3DD1" w:rsidRPr="00235E8C" w:rsidRDefault="00BF3DD1" w:rsidP="00B65FFA">
      <w:pPr>
        <w:rPr>
          <w:rFonts w:ascii="Tahoma" w:hAnsi="Tahoma" w:cs="Tahoma"/>
          <w:b/>
          <w:bCs/>
          <w:lang w:eastAsia="de-CH"/>
        </w:rPr>
      </w:pPr>
      <w:r w:rsidRPr="00235E8C">
        <w:rPr>
          <w:rFonts w:ascii="Tahoma" w:hAnsi="Tahoma" w:cs="Tahoma"/>
          <w:b/>
          <w:bCs/>
          <w:lang w:eastAsia="de-CH"/>
        </w:rPr>
        <w:t>Responsibility of the auditor</w:t>
      </w:r>
    </w:p>
    <w:p w:rsidR="00BF3DD1" w:rsidRPr="00235E8C" w:rsidRDefault="00BF3DD1" w:rsidP="00B65FFA">
      <w:pPr>
        <w:rPr>
          <w:rFonts w:ascii="Tahoma" w:hAnsi="Tahoma" w:cs="Tahoma"/>
          <w:lang w:eastAsia="de-CH"/>
        </w:rPr>
      </w:pPr>
      <w:r w:rsidRPr="00235E8C">
        <w:t xml:space="preserve">Our responsibility is to express an opinion on the UPOV financial statements on the basis of our audit. We have conducted </w:t>
      </w:r>
      <w:r>
        <w:t>our</w:t>
      </w:r>
      <w:r w:rsidRPr="00235E8C">
        <w:t xml:space="preserve"> audit according to the International Standards on Auditing (ISAs) published by the International Auditing and Assurance Standards Board (IAASB). </w:t>
      </w:r>
      <w:r>
        <w:t>T</w:t>
      </w:r>
      <w:r w:rsidRPr="00235E8C">
        <w:t xml:space="preserve">hese standards require us to comply with the rules of ethics and to plan and conduct the audit with a view to obtaining a reasonable assurance that the financial statements do not contain any significant anomalies. An audit involves the implementation of procedures with a view to gathering proof of the amounts and information provided in the financial statements. The choice of procedures </w:t>
      </w:r>
      <w:r>
        <w:t>is made by</w:t>
      </w:r>
      <w:r w:rsidRPr="00235E8C">
        <w:t xml:space="preserve"> the auditor, in the same way as the evaluation of the risks that the financial statements include significant anomalies, be they the result of fraud or of errors. By conducting this evaluation, the auditor takes into account the internal control in force in the </w:t>
      </w:r>
      <w:r>
        <w:t>organization</w:t>
      </w:r>
      <w:r w:rsidRPr="00235E8C">
        <w:t xml:space="preserve"> relating to the production of the financial statements in order to define audit procedures appropriate </w:t>
      </w:r>
      <w:r>
        <w:t>to</w:t>
      </w:r>
      <w:r w:rsidRPr="00235E8C">
        <w:t xml:space="preserve"> the circumstances, and not for the purpose of expressing an opinion on the effective operation of the </w:t>
      </w:r>
      <w:r>
        <w:t>organization’s</w:t>
      </w:r>
      <w:r w:rsidRPr="00235E8C">
        <w:t xml:space="preserve"> internal control. An audit also includes an assessment of the appropriate</w:t>
      </w:r>
      <w:r>
        <w:t>ness</w:t>
      </w:r>
      <w:r w:rsidRPr="00235E8C">
        <w:t xml:space="preserve"> of the accounting methods used and the reasonable character of the accounting estimates made by the management, in the same way as an assessment of the overall presentation of the financial statements. We consider that, in terms of a basis for our opinion, the proof gathered is sufficient and appropriate</w:t>
      </w:r>
      <w:r w:rsidRPr="00235E8C">
        <w:rPr>
          <w:rFonts w:ascii="Tahoma" w:hAnsi="Tahoma" w:cs="Tahoma"/>
          <w:lang w:eastAsia="de-CH"/>
        </w:rPr>
        <w:t>.</w:t>
      </w:r>
    </w:p>
    <w:p w:rsidR="00BF3DD1" w:rsidRPr="00235E8C" w:rsidRDefault="00BF3DD1" w:rsidP="00B65FFA">
      <w:pPr>
        <w:rPr>
          <w:rFonts w:ascii="Tahoma" w:hAnsi="Tahoma" w:cs="Tahoma"/>
          <w:sz w:val="16"/>
          <w:szCs w:val="16"/>
          <w:highlight w:val="yellow"/>
        </w:rPr>
      </w:pPr>
    </w:p>
    <w:p w:rsidR="00BF3DD1" w:rsidRPr="00235E8C" w:rsidRDefault="00BF3DD1" w:rsidP="00B65FFA">
      <w:pPr>
        <w:rPr>
          <w:rFonts w:ascii="Tahoma" w:hAnsi="Tahoma" w:cs="Tahoma"/>
          <w:b/>
          <w:bCs/>
          <w:lang w:eastAsia="de-CH"/>
        </w:rPr>
      </w:pPr>
      <w:r w:rsidRPr="00235E8C">
        <w:rPr>
          <w:rFonts w:ascii="Tahoma" w:hAnsi="Tahoma" w:cs="Tahoma"/>
          <w:b/>
          <w:bCs/>
          <w:lang w:eastAsia="de-CH"/>
        </w:rPr>
        <w:t>Opinion</w:t>
      </w:r>
    </w:p>
    <w:p w:rsidR="00BF3DD1" w:rsidRPr="00235E8C" w:rsidRDefault="00BF3DD1" w:rsidP="00B65FFA">
      <w:pPr>
        <w:rPr>
          <w:rFonts w:ascii="Tahoma" w:hAnsi="Tahoma" w:cs="Tahoma"/>
        </w:rPr>
      </w:pPr>
      <w:r w:rsidRPr="00235E8C">
        <w:rPr>
          <w:rFonts w:ascii="Tahoma" w:hAnsi="Tahoma" w:cs="Tahoma"/>
          <w:lang w:eastAsia="de-CH"/>
        </w:rPr>
        <w:t xml:space="preserve">In our opinion, the financial statements give a faithful reflection, in terms of all their significant aspects, of the financial situation at UPOV as at December 31, 2013, and of its financial performance and its cash flows for the financial year which ended on that date, in accordance with the International Public Sector Accounting Standards (IPSAS) and the Financial Regulations and Rules of </w:t>
      </w:r>
      <w:r w:rsidR="00B65FFA">
        <w:rPr>
          <w:rFonts w:ascii="Tahoma" w:hAnsi="Tahoma" w:cs="Tahoma"/>
          <w:lang w:eastAsia="de-CH"/>
        </w:rPr>
        <w:t>UPOV.  In accordance with Annex </w:t>
      </w:r>
      <w:r w:rsidRPr="00235E8C">
        <w:rPr>
          <w:rFonts w:ascii="Tahoma" w:hAnsi="Tahoma" w:cs="Tahoma"/>
          <w:lang w:eastAsia="de-CH"/>
        </w:rPr>
        <w:t xml:space="preserve">II “Terms of Reference Governing External Audit” of the Financial Regulations and Rules of UPOV, we have also produced a detailed report on </w:t>
      </w:r>
      <w:r>
        <w:rPr>
          <w:rFonts w:ascii="Tahoma" w:hAnsi="Tahoma" w:cs="Tahoma"/>
          <w:lang w:eastAsia="de-CH"/>
        </w:rPr>
        <w:t>our</w:t>
      </w:r>
      <w:r w:rsidRPr="00235E8C">
        <w:rPr>
          <w:rFonts w:ascii="Tahoma" w:hAnsi="Tahoma" w:cs="Tahoma"/>
          <w:lang w:eastAsia="de-CH"/>
        </w:rPr>
        <w:t xml:space="preserve"> audit of the UPOV financial statements in the document dated July 7, 2014.</w:t>
      </w:r>
    </w:p>
    <w:p w:rsidR="00BF3DD1" w:rsidRPr="00235E8C" w:rsidRDefault="00BF3DD1" w:rsidP="00B65FFA">
      <w:pPr>
        <w:rPr>
          <w:rFonts w:ascii="Tahoma" w:hAnsi="Tahoma" w:cs="Tahoma"/>
          <w:sz w:val="16"/>
          <w:szCs w:val="16"/>
          <w:highlight w:val="yellow"/>
        </w:rPr>
      </w:pPr>
    </w:p>
    <w:p w:rsidR="00BF3DD1" w:rsidRPr="00235E8C" w:rsidRDefault="00BF3DD1" w:rsidP="00B65FFA">
      <w:pPr>
        <w:rPr>
          <w:rFonts w:ascii="Tahoma" w:hAnsi="Tahoma"/>
        </w:rPr>
      </w:pPr>
      <w:r w:rsidRPr="00235E8C">
        <w:rPr>
          <w:rFonts w:ascii="Tahoma" w:hAnsi="Tahoma"/>
        </w:rPr>
        <w:t>Berne, July 7, 2014</w:t>
      </w:r>
    </w:p>
    <w:p w:rsidR="00BF3DD1" w:rsidRPr="00235E8C" w:rsidRDefault="00BF3DD1" w:rsidP="00B65FFA">
      <w:pPr>
        <w:tabs>
          <w:tab w:val="left" w:pos="1872"/>
          <w:tab w:val="left" w:pos="5670"/>
          <w:tab w:val="right" w:pos="9356"/>
        </w:tabs>
        <w:rPr>
          <w:rFonts w:ascii="Tahoma" w:hAnsi="Tahoma" w:cs="Tahoma"/>
          <w:sz w:val="16"/>
          <w:szCs w:val="16"/>
          <w:highlight w:val="green"/>
        </w:rPr>
      </w:pPr>
    </w:p>
    <w:p w:rsidR="00BF3DD1" w:rsidRPr="00235E8C" w:rsidRDefault="00BF3DD1" w:rsidP="00B65FFA">
      <w:pPr>
        <w:rPr>
          <w:rFonts w:ascii="Tahoma" w:hAnsi="Tahoma" w:cs="Tahoma"/>
        </w:rPr>
      </w:pPr>
      <w:r w:rsidRPr="00235E8C">
        <w:rPr>
          <w:rFonts w:ascii="Tahoma" w:hAnsi="Tahoma" w:cs="Tahoma"/>
        </w:rPr>
        <w:t>SWISS FEDERAL AUDIT OFFICE</w:t>
      </w:r>
      <w:r w:rsidRPr="00235E8C">
        <w:rPr>
          <w:rStyle w:val="FootnoteReference"/>
          <w:rFonts w:ascii="Tahoma" w:hAnsi="Tahoma" w:cs="Tahoma"/>
        </w:rPr>
        <w:footnoteReference w:id="6"/>
      </w:r>
    </w:p>
    <w:p w:rsidR="00BF3DD1" w:rsidRPr="00235E8C" w:rsidRDefault="00BF3DD1" w:rsidP="00B65FFA">
      <w:pPr>
        <w:tabs>
          <w:tab w:val="left" w:pos="1872"/>
          <w:tab w:val="left" w:pos="5670"/>
          <w:tab w:val="right" w:pos="9356"/>
        </w:tabs>
        <w:rPr>
          <w:rFonts w:ascii="Tahoma" w:hAnsi="Tahoma" w:cs="Tahoma"/>
        </w:rPr>
      </w:pPr>
      <w:r w:rsidRPr="00235E8C">
        <w:rPr>
          <w:rFonts w:ascii="Tahoma" w:hAnsi="Tahoma" w:cs="Tahoma"/>
        </w:rPr>
        <w:t>(External Auditor)</w:t>
      </w:r>
    </w:p>
    <w:p w:rsidR="00BF3DD1" w:rsidRPr="00235E8C" w:rsidRDefault="00BF3DD1" w:rsidP="00B65FFA">
      <w:pPr>
        <w:rPr>
          <w:rFonts w:ascii="Tahoma" w:hAnsi="Tahoma"/>
        </w:rPr>
      </w:pPr>
    </w:p>
    <w:p w:rsidR="00BF3DD1" w:rsidRPr="00235E8C" w:rsidRDefault="00BF3DD1" w:rsidP="00B65FFA">
      <w:pPr>
        <w:rPr>
          <w:rFonts w:ascii="Tahoma" w:hAnsi="Tahoma"/>
        </w:rPr>
      </w:pPr>
    </w:p>
    <w:p w:rsidR="00BF3DD1" w:rsidRPr="00235E8C" w:rsidRDefault="00BF3DD1" w:rsidP="00B65FFA">
      <w:pPr>
        <w:rPr>
          <w:rFonts w:ascii="Tahoma" w:hAnsi="Tahoma"/>
        </w:rPr>
      </w:pPr>
    </w:p>
    <w:p w:rsidR="00BF3DD1" w:rsidRPr="00235E8C" w:rsidRDefault="00BF3DD1" w:rsidP="00B65FFA">
      <w:pPr>
        <w:rPr>
          <w:rFonts w:ascii="Tahoma" w:hAnsi="Tahoma"/>
        </w:rPr>
      </w:pPr>
    </w:p>
    <w:p w:rsidR="00BF3DD1" w:rsidRPr="00235E8C" w:rsidRDefault="00BF3DD1" w:rsidP="00B65FFA">
      <w:pPr>
        <w:tabs>
          <w:tab w:val="left" w:pos="5954"/>
        </w:tabs>
        <w:rPr>
          <w:rFonts w:ascii="Tahoma" w:hAnsi="Tahoma"/>
        </w:rPr>
      </w:pPr>
      <w:r w:rsidRPr="00235E8C">
        <w:rPr>
          <w:rFonts w:ascii="Tahoma" w:hAnsi="Tahoma"/>
        </w:rPr>
        <w:t>Eric-Serge Jeannet</w:t>
      </w:r>
      <w:r w:rsidRPr="00235E8C">
        <w:rPr>
          <w:rFonts w:ascii="Tahoma" w:hAnsi="Tahoma"/>
        </w:rPr>
        <w:tab/>
        <w:t>Didier Monnot</w:t>
      </w:r>
    </w:p>
    <w:p w:rsidR="00BF3DD1" w:rsidRPr="00235E8C" w:rsidRDefault="00BF3DD1" w:rsidP="00B65FFA">
      <w:pPr>
        <w:tabs>
          <w:tab w:val="left" w:pos="5954"/>
          <w:tab w:val="right" w:pos="9356"/>
        </w:tabs>
        <w:rPr>
          <w:rFonts w:ascii="Tahoma" w:hAnsi="Tahoma" w:cs="Tahoma"/>
          <w:highlight w:val="green"/>
        </w:rPr>
      </w:pPr>
      <w:r w:rsidRPr="00235E8C">
        <w:rPr>
          <w:rFonts w:ascii="Tahoma" w:hAnsi="Tahoma"/>
        </w:rPr>
        <w:t>Vice Director</w:t>
      </w:r>
      <w:r w:rsidRPr="00235E8C">
        <w:rPr>
          <w:rFonts w:ascii="Tahoma" w:hAnsi="Tahoma"/>
        </w:rPr>
        <w:tab/>
        <w:t>Officer in charge of mandates</w:t>
      </w:r>
    </w:p>
    <w:p w:rsidR="006B17D2" w:rsidRPr="00C5280D" w:rsidRDefault="006B17D2" w:rsidP="00B65FFA"/>
    <w:sectPr w:rsidR="006B17D2" w:rsidRPr="00C5280D"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D1" w:rsidRDefault="00BF3DD1" w:rsidP="006655D3">
      <w:r>
        <w:separator/>
      </w:r>
    </w:p>
    <w:p w:rsidR="00BF3DD1" w:rsidRDefault="00BF3DD1" w:rsidP="006655D3"/>
    <w:p w:rsidR="00BF3DD1" w:rsidRDefault="00BF3DD1" w:rsidP="006655D3"/>
  </w:endnote>
  <w:endnote w:type="continuationSeparator" w:id="0">
    <w:p w:rsidR="00BF3DD1" w:rsidRDefault="00BF3DD1" w:rsidP="006655D3">
      <w:r>
        <w:separator/>
      </w:r>
    </w:p>
    <w:p w:rsidR="00BF3DD1" w:rsidRPr="00560A6D" w:rsidRDefault="00BF3DD1">
      <w:pPr>
        <w:pStyle w:val="Footer"/>
        <w:spacing w:after="60"/>
        <w:rPr>
          <w:sz w:val="18"/>
          <w:lang w:val="fr-FR"/>
        </w:rPr>
      </w:pPr>
      <w:r w:rsidRPr="00560A6D">
        <w:rPr>
          <w:sz w:val="18"/>
          <w:lang w:val="fr-FR"/>
        </w:rPr>
        <w:t>[Suite de la note de la page précédente]</w:t>
      </w:r>
    </w:p>
    <w:p w:rsidR="00BF3DD1" w:rsidRPr="00560A6D" w:rsidRDefault="00BF3DD1" w:rsidP="006655D3">
      <w:pPr>
        <w:rPr>
          <w:lang w:val="fr-FR"/>
        </w:rPr>
      </w:pPr>
    </w:p>
    <w:p w:rsidR="00BF3DD1" w:rsidRPr="00560A6D" w:rsidRDefault="00BF3DD1" w:rsidP="006655D3">
      <w:pPr>
        <w:rPr>
          <w:lang w:val="fr-FR"/>
        </w:rPr>
      </w:pPr>
    </w:p>
  </w:endnote>
  <w:endnote w:type="continuationNotice" w:id="1">
    <w:p w:rsidR="00BF3DD1" w:rsidRPr="00560A6D" w:rsidRDefault="00BF3DD1" w:rsidP="006655D3">
      <w:pPr>
        <w:rPr>
          <w:lang w:val="fr-FR"/>
        </w:rPr>
      </w:pPr>
      <w:r w:rsidRPr="00560A6D">
        <w:rPr>
          <w:lang w:val="fr-FR"/>
        </w:rPr>
        <w:t>[Suite de la note page suivante]</w:t>
      </w:r>
    </w:p>
    <w:p w:rsidR="00BF3DD1" w:rsidRPr="00560A6D" w:rsidRDefault="00BF3DD1" w:rsidP="006655D3">
      <w:pPr>
        <w:rPr>
          <w:lang w:val="fr-FR"/>
        </w:rPr>
      </w:pPr>
    </w:p>
    <w:p w:rsidR="00BF3DD1" w:rsidRPr="00560A6D" w:rsidRDefault="00BF3D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D1" w:rsidRDefault="00BF3DD1">
    <w:pPr>
      <w:pStyle w:val="Footer"/>
    </w:pPr>
  </w:p>
  <w:p w:rsidR="00BF3DD1" w:rsidRDefault="00BF3D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B65FFA" w:rsidRDefault="00A56FAA" w:rsidP="00B65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D1" w:rsidRDefault="00BF3DD1" w:rsidP="00C95616">
      <w:pPr>
        <w:spacing w:before="120"/>
      </w:pPr>
      <w:r>
        <w:separator/>
      </w:r>
    </w:p>
  </w:footnote>
  <w:footnote w:type="continuationSeparator" w:id="0">
    <w:p w:rsidR="00BF3DD1" w:rsidRDefault="00BF3DD1" w:rsidP="006655D3">
      <w:r>
        <w:separator/>
      </w:r>
    </w:p>
  </w:footnote>
  <w:footnote w:type="continuationNotice" w:id="1">
    <w:p w:rsidR="00BF3DD1" w:rsidRPr="00A56FAA" w:rsidRDefault="00BF3DD1" w:rsidP="00A56FAA">
      <w:pPr>
        <w:pStyle w:val="Footer"/>
        <w:rPr>
          <w:szCs w:val="18"/>
        </w:rPr>
      </w:pPr>
    </w:p>
  </w:footnote>
  <w:footnote w:id="2">
    <w:p w:rsidR="00BF3DD1" w:rsidRPr="00D77E96" w:rsidRDefault="00BF3DD1" w:rsidP="00BF3DD1">
      <w:pPr>
        <w:pStyle w:val="FootnoteText"/>
        <w:rPr>
          <w:lang w:val="en-GB"/>
        </w:rPr>
      </w:pPr>
      <w:r>
        <w:rPr>
          <w:rStyle w:val="FootnoteReference"/>
        </w:rPr>
        <w:footnoteRef/>
      </w:r>
      <w:r>
        <w:t xml:space="preserve"> </w:t>
      </w:r>
      <w:r>
        <w:tab/>
        <w:t>Financial Regulations and Rules of UPOV adopted by the Council at its Twenty-Ninth Extraordinary Session of March 30, 2012.</w:t>
      </w:r>
    </w:p>
  </w:footnote>
  <w:footnote w:id="3">
    <w:p w:rsidR="00BF3DD1" w:rsidRPr="001905FC" w:rsidRDefault="00BF3DD1" w:rsidP="00BF3DD1">
      <w:pPr>
        <w:pStyle w:val="FootnoteText"/>
        <w:rPr>
          <w:szCs w:val="16"/>
          <w:lang w:val="en-GB"/>
        </w:rPr>
      </w:pPr>
      <w:r>
        <w:rPr>
          <w:rStyle w:val="FootnoteReference"/>
        </w:rPr>
        <w:footnoteRef/>
      </w:r>
      <w:r>
        <w:t xml:space="preserve"> </w:t>
      </w:r>
      <w:r>
        <w:tab/>
      </w:r>
      <w:r w:rsidRPr="001905FC">
        <w:rPr>
          <w:szCs w:val="16"/>
        </w:rPr>
        <w:t>International Standards on Auditing (ISA</w:t>
      </w:r>
      <w:r>
        <w:rPr>
          <w:szCs w:val="16"/>
        </w:rPr>
        <w:t>s</w:t>
      </w:r>
      <w:r w:rsidRPr="001905FC">
        <w:rPr>
          <w:szCs w:val="16"/>
        </w:rPr>
        <w:t>), published by the International Auditing and Assurance Standards Board (IAASB).</w:t>
      </w:r>
    </w:p>
  </w:footnote>
  <w:footnote w:id="4">
    <w:p w:rsidR="00BF3DD1" w:rsidRDefault="00BF3DD1" w:rsidP="00BF3DD1">
      <w:pPr>
        <w:pStyle w:val="FootnoteText"/>
      </w:pPr>
      <w:r>
        <w:rPr>
          <w:rStyle w:val="FootnoteReference"/>
        </w:rPr>
        <w:footnoteRef/>
      </w:r>
      <w:r>
        <w:t xml:space="preserve"> </w:t>
      </w:r>
      <w:r>
        <w:tab/>
        <w:t>IPSAS 28: Financial Instruments: Presentation.</w:t>
      </w:r>
    </w:p>
    <w:p w:rsidR="00BF3DD1" w:rsidRDefault="00BF3DD1" w:rsidP="00BF3DD1">
      <w:pPr>
        <w:pStyle w:val="FootnoteText"/>
      </w:pPr>
      <w:r>
        <w:tab/>
        <w:t>IPSAS 29: Financial Instruments: Recognition and Measurement.</w:t>
      </w:r>
    </w:p>
    <w:p w:rsidR="00BF3DD1" w:rsidRPr="001A1799" w:rsidRDefault="00BF3DD1" w:rsidP="00BF3DD1">
      <w:pPr>
        <w:pStyle w:val="FootnoteText"/>
        <w:rPr>
          <w:lang w:val="en-GB"/>
        </w:rPr>
      </w:pPr>
      <w:r>
        <w:tab/>
      </w:r>
      <w:r w:rsidRPr="001A1799">
        <w:rPr>
          <w:lang w:val="en-GB"/>
        </w:rPr>
        <w:t>IPSAS 30: Financial Instruments: Disclosures</w:t>
      </w:r>
      <w:r>
        <w:rPr>
          <w:lang w:val="en-GB"/>
        </w:rPr>
        <w:t>.</w:t>
      </w:r>
    </w:p>
  </w:footnote>
  <w:footnote w:id="5">
    <w:p w:rsidR="00BF3DD1" w:rsidRPr="00066AAE" w:rsidRDefault="00BF3DD1" w:rsidP="00BF3DD1">
      <w:pPr>
        <w:pStyle w:val="FootnoteText"/>
        <w:rPr>
          <w:lang w:val="fr-CH"/>
        </w:rPr>
      </w:pPr>
      <w:r>
        <w:rPr>
          <w:rStyle w:val="FootnoteReference"/>
        </w:rPr>
        <w:footnoteRef/>
      </w:r>
      <w:r w:rsidRPr="00066AAE">
        <w:t xml:space="preserve"> </w:t>
      </w:r>
      <w:r w:rsidRPr="00066AAE">
        <w:tab/>
      </w:r>
      <w:r>
        <w:rPr>
          <w:szCs w:val="16"/>
        </w:rPr>
        <w:t>Program and Budget for the 2012-2013 biennium, adopted on October 20, 2011. Document C/45/4 Rev.2.</w:t>
      </w:r>
    </w:p>
  </w:footnote>
  <w:footnote w:id="6">
    <w:p w:rsidR="00BF3DD1" w:rsidRPr="002B6D18" w:rsidRDefault="00BF3DD1" w:rsidP="00BF3DD1">
      <w:pPr>
        <w:pStyle w:val="FootnoteText"/>
        <w:rPr>
          <w:rStyle w:val="FootnoteReference"/>
          <w:rFonts w:ascii="Tahoma" w:hAnsi="Tahoma"/>
          <w:szCs w:val="16"/>
          <w:highlight w:val="yellow"/>
          <w:lang w:val="it-IT"/>
        </w:rPr>
      </w:pPr>
      <w:r w:rsidRPr="004E0AB1">
        <w:rPr>
          <w:rStyle w:val="FootnoteReference"/>
          <w:rFonts w:ascii="Tahoma" w:hAnsi="Tahoma"/>
          <w:szCs w:val="16"/>
        </w:rPr>
        <w:footnoteRef/>
      </w:r>
      <w:r w:rsidR="00B65FFA">
        <w:rPr>
          <w:lang w:val="it-IT"/>
        </w:rPr>
        <w:tab/>
      </w:r>
      <w:r>
        <w:rPr>
          <w:lang w:val="it-IT"/>
        </w:rPr>
        <w:t>Postal address</w:t>
      </w:r>
      <w:r w:rsidRPr="002B6D18">
        <w:rPr>
          <w:lang w:val="it-IT"/>
        </w:rPr>
        <w:t>: Monbijoustrasse 45, CH-3003 Berne.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D1" w:rsidRPr="00997029" w:rsidRDefault="00BF3DD1" w:rsidP="00EB048E">
    <w:pPr>
      <w:pStyle w:val="Header"/>
      <w:rPr>
        <w:rStyle w:val="PageNumber"/>
      </w:rPr>
    </w:pPr>
    <w:r>
      <w:rPr>
        <w:rStyle w:val="PageNumber"/>
      </w:rPr>
      <w:t>C/48</w:t>
    </w:r>
    <w:r w:rsidRPr="00997029">
      <w:rPr>
        <w:rStyle w:val="PageNumber"/>
      </w:rPr>
      <w:t>/</w:t>
    </w:r>
  </w:p>
  <w:p w:rsidR="00BF3DD1" w:rsidRPr="00997029" w:rsidRDefault="00BF3DD1"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1</w:t>
    </w:r>
    <w:r w:rsidRPr="00997029">
      <w:rPr>
        <w:rStyle w:val="PageNumber"/>
      </w:rPr>
      <w:fldChar w:fldCharType="end"/>
    </w:r>
  </w:p>
  <w:p w:rsidR="00BF3DD1" w:rsidRPr="00997029" w:rsidRDefault="00BF3DD1"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D1" w:rsidRDefault="00BF3DD1" w:rsidP="00825F86">
    <w:pPr>
      <w:jc w:val="center"/>
      <w:rPr>
        <w:lang w:val="fr-CH"/>
      </w:rPr>
    </w:pPr>
    <w:r>
      <w:rPr>
        <w:lang w:val="fr-CH"/>
      </w:rPr>
      <w:t>C/48/14</w:t>
    </w:r>
  </w:p>
  <w:p w:rsidR="00BF3DD1" w:rsidRDefault="00BF3DD1" w:rsidP="00825F86">
    <w:pPr>
      <w:jc w:val="center"/>
      <w:rPr>
        <w:lang w:val="fr-CH"/>
      </w:rPr>
    </w:pPr>
    <w:r>
      <w:rPr>
        <w:lang w:val="fr-CH"/>
      </w:rPr>
      <w:t xml:space="preserve">Annex, page </w:t>
    </w:r>
    <w:r w:rsidRPr="00825F86">
      <w:rPr>
        <w:lang w:val="fr-CH"/>
      </w:rPr>
      <w:fldChar w:fldCharType="begin"/>
    </w:r>
    <w:r w:rsidRPr="00825F86">
      <w:rPr>
        <w:lang w:val="fr-CH"/>
      </w:rPr>
      <w:instrText xml:space="preserve"> PAGE   \* MERGEFORMAT </w:instrText>
    </w:r>
    <w:r w:rsidRPr="00825F86">
      <w:rPr>
        <w:lang w:val="fr-CH"/>
      </w:rPr>
      <w:fldChar w:fldCharType="separate"/>
    </w:r>
    <w:r w:rsidR="007E6017">
      <w:rPr>
        <w:noProof/>
        <w:lang w:val="fr-CH"/>
      </w:rPr>
      <w:t>9</w:t>
    </w:r>
    <w:r w:rsidRPr="00825F86">
      <w:rPr>
        <w:noProof/>
        <w:lang w:val="fr-CH"/>
      </w:rPr>
      <w:fldChar w:fldCharType="end"/>
    </w:r>
  </w:p>
  <w:p w:rsidR="00BF3DD1" w:rsidRPr="00C31FC6" w:rsidRDefault="00BF3DD1" w:rsidP="00C31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A56FAA" w:rsidP="00EB048E">
    <w:pPr>
      <w:pStyle w:val="Header"/>
      <w:rPr>
        <w:rStyle w:val="PageNumber"/>
        <w:lang w:val="en-US"/>
      </w:rPr>
    </w:pPr>
    <w:r>
      <w:rPr>
        <w:rStyle w:val="PageNumber"/>
        <w:lang w:val="en-US"/>
      </w:rPr>
      <w:t>C/4</w:t>
    </w:r>
    <w:r w:rsidR="0067078A">
      <w:rPr>
        <w:rStyle w:val="PageNumber"/>
        <w:lang w:val="en-US"/>
      </w:rPr>
      <w:t>8</w:t>
    </w:r>
    <w:r>
      <w:rPr>
        <w:rStyle w:val="PageNumber"/>
        <w:lang w:val="en-US"/>
      </w:rPr>
      <w:t>/</w:t>
    </w:r>
  </w:p>
  <w:p w:rsidR="00A56FAA" w:rsidRPr="00C5280D" w:rsidRDefault="00A56F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5FFA">
      <w:rPr>
        <w:rStyle w:val="PageNumber"/>
        <w:noProof/>
        <w:lang w:val="en-US"/>
      </w:rPr>
      <w:t>11</w:t>
    </w:r>
    <w:r w:rsidRPr="00C5280D">
      <w:rPr>
        <w:rStyle w:val="PageNumber"/>
        <w:lang w:val="en-US"/>
      </w:rPr>
      <w:fldChar w:fldCharType="end"/>
    </w:r>
  </w:p>
  <w:p w:rsidR="00A56FAA" w:rsidRPr="00C5280D" w:rsidRDefault="00A56FAA"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FFA" w:rsidRDefault="00B65FFA" w:rsidP="00B65FFA">
    <w:pPr>
      <w:jc w:val="center"/>
      <w:rPr>
        <w:lang w:val="fr-CH"/>
      </w:rPr>
    </w:pPr>
    <w:r>
      <w:rPr>
        <w:noProof/>
      </w:rPr>
      <w:drawing>
        <wp:anchor distT="0" distB="0" distL="114300" distR="114300" simplePos="0" relativeHeight="251659264" behindDoc="0" locked="0" layoutInCell="1" allowOverlap="1" wp14:anchorId="644B9575" wp14:editId="42B1A7C2">
          <wp:simplePos x="0" y="0"/>
          <wp:positionH relativeFrom="column">
            <wp:posOffset>4149090</wp:posOffset>
          </wp:positionH>
          <wp:positionV relativeFrom="paragraph">
            <wp:posOffset>-57150</wp:posOffset>
          </wp:positionV>
          <wp:extent cx="2162175" cy="685800"/>
          <wp:effectExtent l="0" t="0" r="9525" b="0"/>
          <wp:wrapNone/>
          <wp:docPr id="10" name="Image 4"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i-world/doculib/homepage/Neue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fr-CH"/>
      </w:rPr>
      <w:t>C/48/14</w:t>
    </w:r>
  </w:p>
  <w:p w:rsidR="00B65FFA" w:rsidRDefault="00B65FFA" w:rsidP="00B65FFA">
    <w:pPr>
      <w:jc w:val="center"/>
      <w:rPr>
        <w:lang w:val="fr-CH"/>
      </w:rPr>
    </w:pPr>
    <w:r>
      <w:rPr>
        <w:lang w:val="fr-CH"/>
      </w:rPr>
      <w:t xml:space="preserve">Annex, page </w:t>
    </w:r>
    <w:r w:rsidRPr="00825F86">
      <w:rPr>
        <w:lang w:val="fr-CH"/>
      </w:rPr>
      <w:fldChar w:fldCharType="begin"/>
    </w:r>
    <w:r w:rsidRPr="00825F86">
      <w:rPr>
        <w:lang w:val="fr-CH"/>
      </w:rPr>
      <w:instrText xml:space="preserve"> PAGE   \* MERGEFORMAT </w:instrText>
    </w:r>
    <w:r w:rsidRPr="00825F86">
      <w:rPr>
        <w:lang w:val="fr-CH"/>
      </w:rPr>
      <w:fldChar w:fldCharType="separate"/>
    </w:r>
    <w:r w:rsidR="007E6017">
      <w:rPr>
        <w:noProof/>
        <w:lang w:val="fr-CH"/>
      </w:rPr>
      <w:t>10</w:t>
    </w:r>
    <w:r w:rsidRPr="00825F86">
      <w:rPr>
        <w:noProof/>
        <w:lang w:val="fr-CH"/>
      </w:rPr>
      <w:fldChar w:fldCharType="end"/>
    </w:r>
  </w:p>
  <w:p w:rsidR="00B65FFA" w:rsidRDefault="00B65FFA">
    <w:pPr>
      <w:pStyle w:val="Header"/>
    </w:pPr>
  </w:p>
  <w:p w:rsidR="00B65FFA" w:rsidRDefault="00B65FFA">
    <w:pPr>
      <w:pStyle w:val="Header"/>
    </w:pPr>
  </w:p>
  <w:p w:rsidR="00B65FFA" w:rsidRDefault="00B65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53D"/>
    <w:multiLevelType w:val="hybridMultilevel"/>
    <w:tmpl w:val="3C54F59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
    <w:nsid w:val="63D65989"/>
    <w:multiLevelType w:val="hybridMultilevel"/>
    <w:tmpl w:val="7CCC07D0"/>
    <w:lvl w:ilvl="0" w:tplc="9DCE7D08">
      <w:start w:val="1"/>
      <w:numFmt w:val="decimal"/>
      <w:lvlText w:val="%1."/>
      <w:legacy w:legacy="1" w:legacySpace="120" w:legacyIndent="360"/>
      <w:lvlJc w:val="left"/>
      <w:pPr>
        <w:ind w:left="1069"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D1"/>
    <w:rsid w:val="00010CF3"/>
    <w:rsid w:val="00011E27"/>
    <w:rsid w:val="000148BC"/>
    <w:rsid w:val="00024AB8"/>
    <w:rsid w:val="00030854"/>
    <w:rsid w:val="00036028"/>
    <w:rsid w:val="00043A1D"/>
    <w:rsid w:val="00044642"/>
    <w:rsid w:val="000446B9"/>
    <w:rsid w:val="00047E21"/>
    <w:rsid w:val="00085505"/>
    <w:rsid w:val="000A68B4"/>
    <w:rsid w:val="000C7021"/>
    <w:rsid w:val="000D6BBC"/>
    <w:rsid w:val="000D7780"/>
    <w:rsid w:val="00105929"/>
    <w:rsid w:val="001131D5"/>
    <w:rsid w:val="00141DB8"/>
    <w:rsid w:val="0017474A"/>
    <w:rsid w:val="001758C6"/>
    <w:rsid w:val="00182B99"/>
    <w:rsid w:val="001A0080"/>
    <w:rsid w:val="001E0CF9"/>
    <w:rsid w:val="0021332C"/>
    <w:rsid w:val="00213982"/>
    <w:rsid w:val="00215349"/>
    <w:rsid w:val="0024416D"/>
    <w:rsid w:val="002800A0"/>
    <w:rsid w:val="002801B3"/>
    <w:rsid w:val="0028098F"/>
    <w:rsid w:val="00281060"/>
    <w:rsid w:val="002940E8"/>
    <w:rsid w:val="002A6E50"/>
    <w:rsid w:val="002C256A"/>
    <w:rsid w:val="00305A7F"/>
    <w:rsid w:val="00315280"/>
    <w:rsid w:val="003152FE"/>
    <w:rsid w:val="00327436"/>
    <w:rsid w:val="0033507D"/>
    <w:rsid w:val="00344BD6"/>
    <w:rsid w:val="0035528D"/>
    <w:rsid w:val="00361821"/>
    <w:rsid w:val="003D227C"/>
    <w:rsid w:val="003D2B4D"/>
    <w:rsid w:val="00444A88"/>
    <w:rsid w:val="00474DA4"/>
    <w:rsid w:val="00476B4D"/>
    <w:rsid w:val="004805FA"/>
    <w:rsid w:val="004B23F2"/>
    <w:rsid w:val="004D047D"/>
    <w:rsid w:val="004F305A"/>
    <w:rsid w:val="00512164"/>
    <w:rsid w:val="00520297"/>
    <w:rsid w:val="005338F9"/>
    <w:rsid w:val="0054281C"/>
    <w:rsid w:val="0055268D"/>
    <w:rsid w:val="00560A6D"/>
    <w:rsid w:val="00576BE4"/>
    <w:rsid w:val="005A400A"/>
    <w:rsid w:val="005F05B6"/>
    <w:rsid w:val="00612379"/>
    <w:rsid w:val="0061555F"/>
    <w:rsid w:val="00641200"/>
    <w:rsid w:val="00663239"/>
    <w:rsid w:val="006655D3"/>
    <w:rsid w:val="0067078A"/>
    <w:rsid w:val="00687EB4"/>
    <w:rsid w:val="006A5DF2"/>
    <w:rsid w:val="006B17D2"/>
    <w:rsid w:val="006C224E"/>
    <w:rsid w:val="006D780A"/>
    <w:rsid w:val="00732DEC"/>
    <w:rsid w:val="00735BD5"/>
    <w:rsid w:val="007556F6"/>
    <w:rsid w:val="00760EEF"/>
    <w:rsid w:val="00777EE5"/>
    <w:rsid w:val="00784836"/>
    <w:rsid w:val="0079023E"/>
    <w:rsid w:val="007A2854"/>
    <w:rsid w:val="007D0B9D"/>
    <w:rsid w:val="007D19B0"/>
    <w:rsid w:val="007E6017"/>
    <w:rsid w:val="007F498F"/>
    <w:rsid w:val="0080679D"/>
    <w:rsid w:val="008108B0"/>
    <w:rsid w:val="00811B20"/>
    <w:rsid w:val="0082296E"/>
    <w:rsid w:val="00824099"/>
    <w:rsid w:val="00867AC1"/>
    <w:rsid w:val="008A3C6D"/>
    <w:rsid w:val="008A743F"/>
    <w:rsid w:val="008C0970"/>
    <w:rsid w:val="008D2CF7"/>
    <w:rsid w:val="00900C26"/>
    <w:rsid w:val="0090197F"/>
    <w:rsid w:val="00901A3F"/>
    <w:rsid w:val="00906DDC"/>
    <w:rsid w:val="00934E09"/>
    <w:rsid w:val="00936253"/>
    <w:rsid w:val="00947760"/>
    <w:rsid w:val="00952DD4"/>
    <w:rsid w:val="00970FED"/>
    <w:rsid w:val="00997029"/>
    <w:rsid w:val="009D690D"/>
    <w:rsid w:val="009E65B6"/>
    <w:rsid w:val="009F7D0F"/>
    <w:rsid w:val="00A42AC3"/>
    <w:rsid w:val="00A430CF"/>
    <w:rsid w:val="00A54309"/>
    <w:rsid w:val="00A56FAA"/>
    <w:rsid w:val="00AB2B93"/>
    <w:rsid w:val="00AB7E5B"/>
    <w:rsid w:val="00AE0D18"/>
    <w:rsid w:val="00AE0EF1"/>
    <w:rsid w:val="00AE2937"/>
    <w:rsid w:val="00B07301"/>
    <w:rsid w:val="00B224DE"/>
    <w:rsid w:val="00B46575"/>
    <w:rsid w:val="00B65FFA"/>
    <w:rsid w:val="00B84BBD"/>
    <w:rsid w:val="00BA43FB"/>
    <w:rsid w:val="00BC127D"/>
    <w:rsid w:val="00BC1FE6"/>
    <w:rsid w:val="00BF3DD1"/>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57C96"/>
    <w:rsid w:val="00D91203"/>
    <w:rsid w:val="00D95174"/>
    <w:rsid w:val="00DA6F36"/>
    <w:rsid w:val="00DB596E"/>
    <w:rsid w:val="00DC00EA"/>
    <w:rsid w:val="00DF14DE"/>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Normal Indent"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uiPriority w:val="99"/>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33507D"/>
    <w:pPr>
      <w:spacing w:before="60"/>
      <w:ind w:left="567" w:hanging="567"/>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link w:val="Inf4NormalChar"/>
    <w:rsid w:val="00BF3DD1"/>
    <w:pPr>
      <w:spacing w:before="108"/>
    </w:pPr>
    <w:rPr>
      <w:lang w:val="fr-FR"/>
    </w:rPr>
  </w:style>
  <w:style w:type="character" w:customStyle="1" w:styleId="Inf4NormalChar">
    <w:name w:val="Inf_4_Normal Char"/>
    <w:basedOn w:val="DefaultParagraphFont"/>
    <w:link w:val="Inf4Normal"/>
    <w:rsid w:val="00BF3DD1"/>
    <w:rPr>
      <w:rFonts w:ascii="Arial" w:hAnsi="Arial"/>
      <w:lang w:val="fr-FR"/>
    </w:rPr>
  </w:style>
  <w:style w:type="character" w:customStyle="1" w:styleId="Heading2Char">
    <w:name w:val="Heading 2 Char"/>
    <w:basedOn w:val="DefaultParagraphFont"/>
    <w:link w:val="Heading2"/>
    <w:uiPriority w:val="99"/>
    <w:locked/>
    <w:rsid w:val="00BF3DD1"/>
    <w:rPr>
      <w:rFonts w:ascii="Arial" w:hAnsi="Arial"/>
      <w:u w:val="single"/>
    </w:rPr>
  </w:style>
  <w:style w:type="character" w:customStyle="1" w:styleId="HeaderChar">
    <w:name w:val="Header Char"/>
    <w:basedOn w:val="DefaultParagraphFont"/>
    <w:link w:val="Header"/>
    <w:uiPriority w:val="99"/>
    <w:locked/>
    <w:rsid w:val="00BF3DD1"/>
    <w:rPr>
      <w:rFonts w:ascii="Arial" w:hAnsi="Arial"/>
      <w:lang w:val="fr-FR"/>
    </w:rPr>
  </w:style>
  <w:style w:type="character" w:customStyle="1" w:styleId="FooterChar">
    <w:name w:val="Footer Char"/>
    <w:aliases w:val="doc_path_name Char"/>
    <w:basedOn w:val="DefaultParagraphFont"/>
    <w:link w:val="Footer"/>
    <w:uiPriority w:val="99"/>
    <w:locked/>
    <w:rsid w:val="00BF3DD1"/>
    <w:rPr>
      <w:rFonts w:ascii="Arial" w:hAnsi="Arial"/>
      <w:sz w:val="14"/>
    </w:rPr>
  </w:style>
  <w:style w:type="character" w:customStyle="1" w:styleId="FootnoteTextChar">
    <w:name w:val="Footnote Text Char"/>
    <w:basedOn w:val="DefaultParagraphFont"/>
    <w:link w:val="FootnoteText"/>
    <w:uiPriority w:val="99"/>
    <w:locked/>
    <w:rsid w:val="00BF3DD1"/>
    <w:rPr>
      <w:rFonts w:ascii="Arial" w:hAnsi="Arial"/>
      <w:sz w:val="16"/>
    </w:rPr>
  </w:style>
  <w:style w:type="paragraph" w:styleId="NormalIndent">
    <w:name w:val="Normal Indent"/>
    <w:basedOn w:val="Normal"/>
    <w:qFormat/>
    <w:rsid w:val="00BF3DD1"/>
    <w:pPr>
      <w:ind w:left="851"/>
      <w:jc w:val="left"/>
    </w:pPr>
    <w:rPr>
      <w:rFonts w:cs="Arial"/>
      <w:color w:val="000000"/>
      <w:lang w:val="de-CH"/>
    </w:rPr>
  </w:style>
  <w:style w:type="paragraph" w:styleId="ListParagraph">
    <w:name w:val="List Paragraph"/>
    <w:basedOn w:val="Normal"/>
    <w:uiPriority w:val="98"/>
    <w:qFormat/>
    <w:rsid w:val="00BF3DD1"/>
    <w:pPr>
      <w:contextualSpacing/>
      <w:jc w:val="left"/>
    </w:pPr>
    <w:rPr>
      <w:rFonts w:cs="Arial"/>
      <w:color w:val="000000"/>
      <w:lang w:val="de-CH"/>
    </w:rPr>
  </w:style>
  <w:style w:type="paragraph" w:customStyle="1" w:styleId="Normalcentr1">
    <w:name w:val="Normal centré1"/>
    <w:basedOn w:val="Normal"/>
    <w:rsid w:val="00BF3DD1"/>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BF3DD1"/>
    <w:pPr>
      <w:spacing w:before="840" w:after="840"/>
      <w:ind w:left="567"/>
      <w:jc w:val="both"/>
      <w:outlineLvl w:val="0"/>
    </w:pPr>
    <w:rPr>
      <w:rFonts w:cs="Arial"/>
      <w:sz w:val="20"/>
      <w:lang w:val="fr-CH"/>
    </w:rPr>
  </w:style>
  <w:style w:type="paragraph" w:customStyle="1" w:styleId="Default">
    <w:name w:val="Default"/>
    <w:rsid w:val="00BF3DD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Normal Indent"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uiPriority w:val="99"/>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33507D"/>
    <w:pPr>
      <w:spacing w:before="60"/>
      <w:ind w:left="567" w:hanging="567"/>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link w:val="Inf4NormalChar"/>
    <w:rsid w:val="00BF3DD1"/>
    <w:pPr>
      <w:spacing w:before="108"/>
    </w:pPr>
    <w:rPr>
      <w:lang w:val="fr-FR"/>
    </w:rPr>
  </w:style>
  <w:style w:type="character" w:customStyle="1" w:styleId="Inf4NormalChar">
    <w:name w:val="Inf_4_Normal Char"/>
    <w:basedOn w:val="DefaultParagraphFont"/>
    <w:link w:val="Inf4Normal"/>
    <w:rsid w:val="00BF3DD1"/>
    <w:rPr>
      <w:rFonts w:ascii="Arial" w:hAnsi="Arial"/>
      <w:lang w:val="fr-FR"/>
    </w:rPr>
  </w:style>
  <w:style w:type="character" w:customStyle="1" w:styleId="Heading2Char">
    <w:name w:val="Heading 2 Char"/>
    <w:basedOn w:val="DefaultParagraphFont"/>
    <w:link w:val="Heading2"/>
    <w:uiPriority w:val="99"/>
    <w:locked/>
    <w:rsid w:val="00BF3DD1"/>
    <w:rPr>
      <w:rFonts w:ascii="Arial" w:hAnsi="Arial"/>
      <w:u w:val="single"/>
    </w:rPr>
  </w:style>
  <w:style w:type="character" w:customStyle="1" w:styleId="HeaderChar">
    <w:name w:val="Header Char"/>
    <w:basedOn w:val="DefaultParagraphFont"/>
    <w:link w:val="Header"/>
    <w:uiPriority w:val="99"/>
    <w:locked/>
    <w:rsid w:val="00BF3DD1"/>
    <w:rPr>
      <w:rFonts w:ascii="Arial" w:hAnsi="Arial"/>
      <w:lang w:val="fr-FR"/>
    </w:rPr>
  </w:style>
  <w:style w:type="character" w:customStyle="1" w:styleId="FooterChar">
    <w:name w:val="Footer Char"/>
    <w:aliases w:val="doc_path_name Char"/>
    <w:basedOn w:val="DefaultParagraphFont"/>
    <w:link w:val="Footer"/>
    <w:uiPriority w:val="99"/>
    <w:locked/>
    <w:rsid w:val="00BF3DD1"/>
    <w:rPr>
      <w:rFonts w:ascii="Arial" w:hAnsi="Arial"/>
      <w:sz w:val="14"/>
    </w:rPr>
  </w:style>
  <w:style w:type="character" w:customStyle="1" w:styleId="FootnoteTextChar">
    <w:name w:val="Footnote Text Char"/>
    <w:basedOn w:val="DefaultParagraphFont"/>
    <w:link w:val="FootnoteText"/>
    <w:uiPriority w:val="99"/>
    <w:locked/>
    <w:rsid w:val="00BF3DD1"/>
    <w:rPr>
      <w:rFonts w:ascii="Arial" w:hAnsi="Arial"/>
      <w:sz w:val="16"/>
    </w:rPr>
  </w:style>
  <w:style w:type="paragraph" w:styleId="NormalIndent">
    <w:name w:val="Normal Indent"/>
    <w:basedOn w:val="Normal"/>
    <w:qFormat/>
    <w:rsid w:val="00BF3DD1"/>
    <w:pPr>
      <w:ind w:left="851"/>
      <w:jc w:val="left"/>
    </w:pPr>
    <w:rPr>
      <w:rFonts w:cs="Arial"/>
      <w:color w:val="000000"/>
      <w:lang w:val="de-CH"/>
    </w:rPr>
  </w:style>
  <w:style w:type="paragraph" w:styleId="ListParagraph">
    <w:name w:val="List Paragraph"/>
    <w:basedOn w:val="Normal"/>
    <w:uiPriority w:val="98"/>
    <w:qFormat/>
    <w:rsid w:val="00BF3DD1"/>
    <w:pPr>
      <w:contextualSpacing/>
      <w:jc w:val="left"/>
    </w:pPr>
    <w:rPr>
      <w:rFonts w:cs="Arial"/>
      <w:color w:val="000000"/>
      <w:lang w:val="de-CH"/>
    </w:rPr>
  </w:style>
  <w:style w:type="paragraph" w:customStyle="1" w:styleId="Normalcentr1">
    <w:name w:val="Normal centré1"/>
    <w:basedOn w:val="Normal"/>
    <w:rsid w:val="00BF3DD1"/>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BF3DD1"/>
    <w:pPr>
      <w:spacing w:before="840" w:after="840"/>
      <w:ind w:left="567"/>
      <w:jc w:val="both"/>
      <w:outlineLvl w:val="0"/>
    </w:pPr>
    <w:rPr>
      <w:rFonts w:cs="Arial"/>
      <w:sz w:val="20"/>
      <w:lang w:val="fr-CH"/>
    </w:rPr>
  </w:style>
  <w:style w:type="paragraph" w:customStyle="1" w:styleId="Default">
    <w:name w:val="Default"/>
    <w:rsid w:val="00BF3D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 1: Costs for 2013 and 2014 by type of expenditure</a:t>
            </a:r>
          </a:p>
        </c:rich>
      </c:tx>
      <c:layout>
        <c:manualLayout>
          <c:xMode val="edge"/>
          <c:yMode val="edge"/>
          <c:x val="0.11480827091735485"/>
          <c:y val="2.8520499108734401E-2"/>
        </c:manualLayout>
      </c:layout>
      <c:overlay val="0"/>
    </c:title>
    <c:autoTitleDeleted val="0"/>
    <c:plotArea>
      <c:layout>
        <c:manualLayout>
          <c:layoutTarget val="inner"/>
          <c:xMode val="edge"/>
          <c:yMode val="edge"/>
          <c:x val="0.13971156044518826"/>
          <c:y val="0.22478616643507796"/>
          <c:w val="0.63877710408150201"/>
          <c:h val="0.37711903659101437"/>
        </c:manualLayout>
      </c:layout>
      <c:barChart>
        <c:barDir val="col"/>
        <c:grouping val="clustered"/>
        <c:varyColors val="0"/>
        <c:ser>
          <c:idx val="0"/>
          <c:order val="0"/>
          <c:tx>
            <c:strRef>
              <c:f>Sheet1!$B$1</c:f>
              <c:strCache>
                <c:ptCount val="1"/>
                <c:pt idx="0">
                  <c:v>2013</c:v>
                </c:pt>
              </c:strCache>
            </c:strRef>
          </c:tx>
          <c:spPr>
            <a:solidFill>
              <a:schemeClr val="tx2"/>
            </a:solidFill>
          </c:spPr>
          <c:invertIfNegative val="0"/>
          <c:dLbls>
            <c:dLbl>
              <c:idx val="0"/>
              <c:layout>
                <c:manualLayout>
                  <c:x val="-1.3937282229965157E-2"/>
                  <c:y val="0"/>
                </c:manualLayout>
              </c:layout>
              <c:showLegendKey val="0"/>
              <c:showVal val="1"/>
              <c:showCatName val="0"/>
              <c:showSerName val="0"/>
              <c:showPercent val="0"/>
              <c:showBubbleSize val="0"/>
            </c:dLbl>
            <c:dLbl>
              <c:idx val="1"/>
              <c:layout>
                <c:manualLayout>
                  <c:x val="-1.3937282229965157E-2"/>
                  <c:y val="0"/>
                </c:manualLayout>
              </c:layout>
              <c:showLegendKey val="0"/>
              <c:showVal val="1"/>
              <c:showCatName val="0"/>
              <c:showSerName val="0"/>
              <c:showPercent val="0"/>
              <c:showBubbleSize val="0"/>
            </c:dLbl>
            <c:dLbl>
              <c:idx val="2"/>
              <c:layout>
                <c:manualLayout>
                  <c:x val="-2.3228803716608595E-2"/>
                  <c:y val="7.1301247771836003E-3"/>
                </c:manualLayout>
              </c:layout>
              <c:showLegendKey val="0"/>
              <c:showVal val="1"/>
              <c:showCatName val="0"/>
              <c:showSerName val="0"/>
              <c:showPercent val="0"/>
              <c:showBubbleSize val="0"/>
            </c:dLbl>
            <c:dLbl>
              <c:idx val="3"/>
              <c:layout>
                <c:manualLayout>
                  <c:x val="-1.6260162601626018E-2"/>
                  <c:y val="0"/>
                </c:manualLayout>
              </c:layout>
              <c:showLegendKey val="0"/>
              <c:showVal val="1"/>
              <c:showCatName val="0"/>
              <c:showSerName val="0"/>
              <c:showPercent val="0"/>
              <c:showBubbleSize val="0"/>
            </c:dLbl>
            <c:dLbl>
              <c:idx val="4"/>
              <c:layout>
                <c:manualLayout>
                  <c:x val="-1.3937282229965157E-2"/>
                  <c:y val="0"/>
                </c:manualLayout>
              </c:layout>
              <c:showLegendKey val="0"/>
              <c:showVal val="1"/>
              <c:showCatName val="0"/>
              <c:showSerName val="0"/>
              <c:showPercent val="0"/>
              <c:showBubbleSize val="0"/>
            </c:dLbl>
            <c:spPr>
              <a:noFill/>
              <a:ln>
                <a:noFill/>
              </a:ln>
            </c:spPr>
            <c:txPr>
              <a:bodyPr/>
              <a:lstStyle/>
              <a:p>
                <a:pPr>
                  <a:defRPr b="1">
                    <a:solidFill>
                      <a:schemeClr val="tx2"/>
                    </a:solidFill>
                  </a:defRPr>
                </a:pPr>
                <a:endParaRPr lang="en-US"/>
              </a:p>
            </c:txPr>
            <c:showLegendKey val="0"/>
            <c:showVal val="1"/>
            <c:showCatName val="0"/>
            <c:showSerName val="0"/>
            <c:showPercent val="0"/>
            <c:showBubbleSize val="0"/>
            <c:showLeaderLines val="0"/>
          </c:dLbls>
          <c:cat>
            <c:strRef>
              <c:f>Sheet1!$A$2:$A$6</c:f>
              <c:strCache>
                <c:ptCount val="5"/>
                <c:pt idx="0">
                  <c:v>Staff costs</c:v>
                </c:pt>
                <c:pt idx="1">
                  <c:v>Missions and fellowships</c:v>
                </c:pt>
                <c:pt idx="2">
                  <c:v>Contractual services</c:v>
                </c:pt>
                <c:pt idx="3">
                  <c:v>Operating costs</c:v>
                </c:pt>
                <c:pt idx="4">
                  <c:v>Equipment and supplies</c:v>
                </c:pt>
              </c:strCache>
            </c:strRef>
          </c:cat>
          <c:val>
            <c:numRef>
              <c:f>Sheet1!$B$2:$B$6</c:f>
              <c:numCache>
                <c:formatCode>General</c:formatCode>
                <c:ptCount val="5"/>
                <c:pt idx="0">
                  <c:v>2077</c:v>
                </c:pt>
                <c:pt idx="1">
                  <c:v>585</c:v>
                </c:pt>
                <c:pt idx="2">
                  <c:v>337</c:v>
                </c:pt>
                <c:pt idx="3">
                  <c:v>622</c:v>
                </c:pt>
                <c:pt idx="4">
                  <c:v>23</c:v>
                </c:pt>
              </c:numCache>
            </c:numRef>
          </c:val>
        </c:ser>
        <c:ser>
          <c:idx val="1"/>
          <c:order val="1"/>
          <c:tx>
            <c:strRef>
              <c:f>Sheet1!$C$1</c:f>
              <c:strCache>
                <c:ptCount val="1"/>
                <c:pt idx="0">
                  <c:v>2012</c:v>
                </c:pt>
              </c:strCache>
            </c:strRef>
          </c:tx>
          <c:spPr>
            <a:solidFill>
              <a:schemeClr val="accent3"/>
            </a:solidFill>
          </c:spPr>
          <c:invertIfNegative val="0"/>
          <c:dLbls>
            <c:dLbl>
              <c:idx val="0"/>
              <c:layout>
                <c:manualLayout>
                  <c:x val="2.7874564459930314E-2"/>
                  <c:y val="0"/>
                </c:manualLayout>
              </c:layout>
              <c:showLegendKey val="0"/>
              <c:showVal val="1"/>
              <c:showCatName val="0"/>
              <c:showSerName val="0"/>
              <c:showPercent val="0"/>
              <c:showBubbleSize val="0"/>
            </c:dLbl>
            <c:dLbl>
              <c:idx val="1"/>
              <c:layout>
                <c:manualLayout>
                  <c:x val="1.3937282229965113E-2"/>
                  <c:y val="3.5650623885918656E-3"/>
                </c:manualLayout>
              </c:layout>
              <c:showLegendKey val="0"/>
              <c:showVal val="1"/>
              <c:showCatName val="0"/>
              <c:showSerName val="0"/>
              <c:showPercent val="0"/>
              <c:showBubbleSize val="0"/>
            </c:dLbl>
            <c:dLbl>
              <c:idx val="2"/>
              <c:layout>
                <c:manualLayout>
                  <c:x val="1.6260162601626018E-2"/>
                  <c:y val="7.1301247771836003E-3"/>
                </c:manualLayout>
              </c:layout>
              <c:showLegendKey val="0"/>
              <c:showVal val="1"/>
              <c:showCatName val="0"/>
              <c:showSerName val="0"/>
              <c:showPercent val="0"/>
              <c:showBubbleSize val="0"/>
            </c:dLbl>
            <c:dLbl>
              <c:idx val="3"/>
              <c:layout>
                <c:manualLayout>
                  <c:x val="1.3937282229965157E-2"/>
                  <c:y val="0"/>
                </c:manualLayout>
              </c:layout>
              <c:showLegendKey val="0"/>
              <c:showVal val="1"/>
              <c:showCatName val="0"/>
              <c:showSerName val="0"/>
              <c:showPercent val="0"/>
              <c:showBubbleSize val="0"/>
            </c:dLbl>
            <c:dLbl>
              <c:idx val="4"/>
              <c:layout>
                <c:manualLayout>
                  <c:x val="1.3937282229965072E-2"/>
                  <c:y val="-6.5358722094648088E-17"/>
                </c:manualLayout>
              </c:layout>
              <c:showLegendKey val="0"/>
              <c:showVal val="1"/>
              <c:showCatName val="0"/>
              <c:showSerName val="0"/>
              <c:showPercent val="0"/>
              <c:showBubbleSize val="0"/>
            </c:dLbl>
            <c:txPr>
              <a:bodyPr/>
              <a:lstStyle/>
              <a:p>
                <a:pPr>
                  <a:defRPr b="1">
                    <a:solidFill>
                      <a:schemeClr val="accent3"/>
                    </a:solidFill>
                  </a:defRPr>
                </a:pPr>
                <a:endParaRPr lang="en-US"/>
              </a:p>
            </c:txPr>
            <c:showLegendKey val="0"/>
            <c:showVal val="1"/>
            <c:showCatName val="0"/>
            <c:showSerName val="0"/>
            <c:showPercent val="0"/>
            <c:showBubbleSize val="0"/>
            <c:showLeaderLines val="0"/>
          </c:dLbls>
          <c:cat>
            <c:strRef>
              <c:f>Sheet1!$A$2:$A$6</c:f>
              <c:strCache>
                <c:ptCount val="5"/>
                <c:pt idx="0">
                  <c:v>Staff costs</c:v>
                </c:pt>
                <c:pt idx="1">
                  <c:v>Missions and fellowships</c:v>
                </c:pt>
                <c:pt idx="2">
                  <c:v>Contractual services</c:v>
                </c:pt>
                <c:pt idx="3">
                  <c:v>Operating costs</c:v>
                </c:pt>
                <c:pt idx="4">
                  <c:v>Equipment and supplies</c:v>
                </c:pt>
              </c:strCache>
            </c:strRef>
          </c:cat>
          <c:val>
            <c:numRef>
              <c:f>Sheet1!$C$2:$C$6</c:f>
              <c:numCache>
                <c:formatCode>General</c:formatCode>
                <c:ptCount val="5"/>
                <c:pt idx="0">
                  <c:v>1986</c:v>
                </c:pt>
                <c:pt idx="1">
                  <c:v>472</c:v>
                </c:pt>
                <c:pt idx="2">
                  <c:v>117</c:v>
                </c:pt>
                <c:pt idx="3">
                  <c:v>621</c:v>
                </c:pt>
                <c:pt idx="4">
                  <c:v>1</c:v>
                </c:pt>
              </c:numCache>
            </c:numRef>
          </c:val>
        </c:ser>
        <c:dLbls>
          <c:showLegendKey val="0"/>
          <c:showVal val="1"/>
          <c:showCatName val="0"/>
          <c:showSerName val="0"/>
          <c:showPercent val="0"/>
          <c:showBubbleSize val="0"/>
        </c:dLbls>
        <c:gapWidth val="179"/>
        <c:axId val="72623232"/>
        <c:axId val="72578176"/>
      </c:barChart>
      <c:catAx>
        <c:axId val="72623232"/>
        <c:scaling>
          <c:orientation val="minMax"/>
        </c:scaling>
        <c:delete val="0"/>
        <c:axPos val="b"/>
        <c:title>
          <c:tx>
            <c:rich>
              <a:bodyPr/>
              <a:lstStyle/>
              <a:p>
                <a:pPr>
                  <a:defRPr sz="1400"/>
                </a:pPr>
                <a:r>
                  <a:rPr lang="en-US" sz="1400"/>
                  <a:t>Type of expenditure</a:t>
                </a:r>
              </a:p>
            </c:rich>
          </c:tx>
          <c:layout>
            <c:manualLayout>
              <c:xMode val="edge"/>
              <c:yMode val="edge"/>
              <c:x val="0.35862383055776564"/>
              <c:y val="0.89985739750445637"/>
            </c:manualLayout>
          </c:layout>
          <c:overlay val="0"/>
        </c:title>
        <c:majorTickMark val="out"/>
        <c:minorTickMark val="none"/>
        <c:tickLblPos val="nextTo"/>
        <c:txPr>
          <a:bodyPr rot="2280000" vert="horz" anchor="ctr" anchorCtr="0"/>
          <a:lstStyle/>
          <a:p>
            <a:pPr>
              <a:defRPr/>
            </a:pPr>
            <a:endParaRPr lang="en-US"/>
          </a:p>
        </c:txPr>
        <c:crossAx val="72578176"/>
        <c:crosses val="autoZero"/>
        <c:auto val="1"/>
        <c:lblAlgn val="ctr"/>
        <c:lblOffset val="100"/>
        <c:noMultiLvlLbl val="0"/>
      </c:catAx>
      <c:valAx>
        <c:axId val="72578176"/>
        <c:scaling>
          <c:orientation val="minMax"/>
        </c:scaling>
        <c:delete val="0"/>
        <c:axPos val="l"/>
        <c:majorGridlines/>
        <c:title>
          <c:tx>
            <c:rich>
              <a:bodyPr rot="-5400000" vert="horz"/>
              <a:lstStyle/>
              <a:p>
                <a:pPr>
                  <a:defRPr sz="1400"/>
                </a:pPr>
                <a:r>
                  <a:rPr lang="en-US" sz="1400"/>
                  <a:t>Swiss Francs</a:t>
                </a:r>
                <a:r>
                  <a:rPr lang="en-US" sz="1400" baseline="0"/>
                  <a:t> (thousands)</a:t>
                </a:r>
                <a:endParaRPr lang="en-US" sz="1400"/>
              </a:p>
            </c:rich>
          </c:tx>
          <c:overlay val="0"/>
        </c:title>
        <c:numFmt formatCode="General" sourceLinked="1"/>
        <c:majorTickMark val="out"/>
        <c:minorTickMark val="none"/>
        <c:tickLblPos val="nextTo"/>
        <c:crossAx val="72623232"/>
        <c:crosses val="autoZero"/>
        <c:crossBetween val="between"/>
      </c:valAx>
      <c:spPr>
        <a:noFill/>
      </c:spPr>
    </c:plotArea>
    <c:legend>
      <c:legendPos val="r"/>
      <c:legendEntry>
        <c:idx val="0"/>
        <c:txPr>
          <a:bodyPr/>
          <a:lstStyle/>
          <a:p>
            <a:pPr>
              <a:defRPr b="1">
                <a:solidFill>
                  <a:schemeClr val="tx2"/>
                </a:solidFill>
              </a:defRPr>
            </a:pPr>
            <a:endParaRPr lang="en-US"/>
          </a:p>
        </c:txPr>
      </c:legendEntry>
      <c:legendEntry>
        <c:idx val="1"/>
        <c:txPr>
          <a:bodyPr/>
          <a:lstStyle/>
          <a:p>
            <a:pPr>
              <a:defRPr b="1">
                <a:solidFill>
                  <a:schemeClr val="accent3"/>
                </a:solidFill>
              </a:defRPr>
            </a:pPr>
            <a:endParaRPr lang="en-US"/>
          </a:p>
        </c:txPr>
      </c:legendEntry>
      <c:overlay val="0"/>
      <c:txPr>
        <a:bodyPr/>
        <a:lstStyle/>
        <a:p>
          <a:pPr>
            <a:defRPr b="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C_48_EN.dotx</Template>
  <TotalTime>59</TotalTime>
  <Pages>11</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BESSE Ariane</dc:creator>
  <cp:lastModifiedBy>BESSE Ariane</cp:lastModifiedBy>
  <cp:revision>7</cp:revision>
  <cp:lastPrinted>2014-07-29T06:49:00Z</cp:lastPrinted>
  <dcterms:created xsi:type="dcterms:W3CDTF">2014-07-25T15:31:00Z</dcterms:created>
  <dcterms:modified xsi:type="dcterms:W3CDTF">2014-08-29T13:30:00Z</dcterms:modified>
</cp:coreProperties>
</file>