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DA4499" w:rsidP="00DA4499">
            <w:pPr>
              <w:pStyle w:val="Sessiontc"/>
            </w:pPr>
            <w:r>
              <w:t xml:space="preserve">Working Group on Biochemical and Molecular Techniques </w:t>
            </w:r>
            <w:r>
              <w:br/>
              <w:t>and DNA-Profiling in Particular</w:t>
            </w:r>
          </w:p>
          <w:p w:rsidR="00EB4E9C" w:rsidRPr="00DC3802" w:rsidRDefault="00507702" w:rsidP="00507702">
            <w:pPr>
              <w:pStyle w:val="Sessiontcplacedate"/>
              <w:rPr>
                <w:sz w:val="22"/>
              </w:rPr>
            </w:pPr>
            <w:r>
              <w:t>Nine</w:t>
            </w:r>
            <w:r w:rsidR="00624E05">
              <w:t>teenth</w:t>
            </w:r>
            <w:r w:rsidR="00624E05" w:rsidRPr="00DA4973">
              <w:t xml:space="preserve"> Session</w:t>
            </w:r>
            <w:r w:rsidR="00EB4E9C" w:rsidRPr="00DA4973">
              <w:br/>
            </w:r>
            <w:r>
              <w:t>Alexandria, United States of America</w:t>
            </w:r>
            <w:r w:rsidR="00D5634B">
              <w:t xml:space="preserve">, </w:t>
            </w:r>
            <w:r>
              <w:t>September 23 to 25</w:t>
            </w:r>
            <w:r w:rsidR="00D5634B">
              <w:t>, 20</w:t>
            </w:r>
            <w:r>
              <w:t>20</w:t>
            </w:r>
          </w:p>
        </w:tc>
        <w:tc>
          <w:tcPr>
            <w:tcW w:w="3127" w:type="dxa"/>
          </w:tcPr>
          <w:p w:rsidR="00EB4E9C" w:rsidRDefault="00D5634B" w:rsidP="003C7FBE">
            <w:pPr>
              <w:pStyle w:val="Doccode"/>
            </w:pPr>
            <w:r>
              <w:t>BMT/1</w:t>
            </w:r>
            <w:r w:rsidR="00507702">
              <w:t>9</w:t>
            </w:r>
            <w:r w:rsidR="00EB4E9C" w:rsidRPr="00AC2883">
              <w:t>/</w:t>
            </w:r>
            <w:r w:rsidR="00EA743E">
              <w:t>9</w:t>
            </w:r>
          </w:p>
          <w:p w:rsidR="00DA4499" w:rsidRPr="003C7FBE" w:rsidRDefault="00DA4499" w:rsidP="003C7FBE">
            <w:pPr>
              <w:pStyle w:val="Doccode"/>
            </w:pP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6A0A27">
            <w:pPr>
              <w:pStyle w:val="Docoriginal"/>
            </w:pPr>
            <w:r w:rsidRPr="00AC2883">
              <w:t>Date</w:t>
            </w:r>
            <w:r w:rsidRPr="00275D9E">
              <w:t>:</w:t>
            </w:r>
            <w:r w:rsidR="00D5634B" w:rsidRPr="00275D9E">
              <w:rPr>
                <w:b w:val="0"/>
                <w:spacing w:val="0"/>
              </w:rPr>
              <w:t xml:space="preserve">  </w:t>
            </w:r>
            <w:r w:rsidR="00C61FBF" w:rsidRPr="00275D9E">
              <w:rPr>
                <w:b w:val="0"/>
                <w:spacing w:val="0"/>
              </w:rPr>
              <w:t xml:space="preserve">September </w:t>
            </w:r>
            <w:r w:rsidR="006A0A27">
              <w:rPr>
                <w:b w:val="0"/>
                <w:spacing w:val="0"/>
              </w:rPr>
              <w:t>3</w:t>
            </w:r>
            <w:bookmarkStart w:id="0" w:name="_GoBack"/>
            <w:bookmarkEnd w:id="0"/>
            <w:r w:rsidR="00D5634B" w:rsidRPr="00275D9E">
              <w:rPr>
                <w:b w:val="0"/>
                <w:spacing w:val="0"/>
              </w:rPr>
              <w:t>, 20</w:t>
            </w:r>
            <w:r w:rsidR="00507702" w:rsidRPr="00275D9E">
              <w:rPr>
                <w:b w:val="0"/>
                <w:spacing w:val="0"/>
              </w:rPr>
              <w:t>20</w:t>
            </w:r>
          </w:p>
        </w:tc>
      </w:tr>
    </w:tbl>
    <w:p w:rsidR="00EA743E" w:rsidRPr="00EA743E" w:rsidRDefault="00EA743E" w:rsidP="00EA743E">
      <w:pPr>
        <w:spacing w:before="600" w:after="240"/>
        <w:jc w:val="left"/>
        <w:rPr>
          <w:b/>
          <w:caps/>
        </w:rPr>
      </w:pPr>
      <w:bookmarkStart w:id="1" w:name="TitleOfDoc"/>
      <w:bookmarkEnd w:id="1"/>
      <w:r w:rsidRPr="00EA743E">
        <w:rPr>
          <w:b/>
          <w:caps/>
        </w:rPr>
        <w:t>Cooperation between international organizations</w:t>
      </w:r>
    </w:p>
    <w:p w:rsidR="00EA743E" w:rsidRPr="00EA743E" w:rsidRDefault="00EA743E" w:rsidP="00EA743E">
      <w:pPr>
        <w:spacing w:after="240"/>
        <w:jc w:val="left"/>
        <w:rPr>
          <w:i/>
          <w:iCs/>
        </w:rPr>
      </w:pPr>
      <w:bookmarkStart w:id="2" w:name="Prepared"/>
      <w:bookmarkEnd w:id="2"/>
      <w:r w:rsidRPr="00EA743E">
        <w:rPr>
          <w:i/>
          <w:iCs/>
        </w:rPr>
        <w:t>Document prepared by the Office of the Union</w:t>
      </w:r>
    </w:p>
    <w:p w:rsidR="00EA743E" w:rsidRPr="00EA743E" w:rsidRDefault="00EA743E" w:rsidP="00EA743E">
      <w:pPr>
        <w:spacing w:after="600"/>
        <w:jc w:val="left"/>
        <w:rPr>
          <w:i/>
          <w:iCs/>
          <w:color w:val="A6A6A6" w:themeColor="background1" w:themeShade="A6"/>
        </w:rPr>
      </w:pPr>
      <w:r w:rsidRPr="00EA743E">
        <w:rPr>
          <w:i/>
          <w:iCs/>
          <w:color w:val="A6A6A6" w:themeColor="background1" w:themeShade="A6"/>
        </w:rPr>
        <w:t>Disclaimer:  this document does not represent UPOV policies or guidance</w:t>
      </w:r>
    </w:p>
    <w:p w:rsidR="00EA743E" w:rsidRPr="00EA743E" w:rsidRDefault="00EA743E" w:rsidP="00EA743E">
      <w:pPr>
        <w:keepNext/>
        <w:outlineLvl w:val="0"/>
        <w:rPr>
          <w:caps/>
          <w:snapToGrid w:val="0"/>
          <w:lang w:eastAsia="ja-JP"/>
        </w:rPr>
      </w:pPr>
      <w:bookmarkStart w:id="3" w:name="_Toc50130215"/>
      <w:r w:rsidRPr="00EA743E">
        <w:rPr>
          <w:caps/>
          <w:snapToGrid w:val="0"/>
          <w:lang w:eastAsia="ja-JP"/>
        </w:rPr>
        <w:t>E</w:t>
      </w:r>
      <w:r w:rsidRPr="00EA743E">
        <w:rPr>
          <w:rFonts w:hint="eastAsia"/>
          <w:caps/>
          <w:snapToGrid w:val="0"/>
          <w:lang w:eastAsia="ja-JP"/>
        </w:rPr>
        <w:t>xecutive summary</w:t>
      </w:r>
      <w:bookmarkEnd w:id="3"/>
    </w:p>
    <w:p w:rsidR="00EA743E" w:rsidRPr="00EA743E" w:rsidRDefault="00EA743E" w:rsidP="00EA743E">
      <w:pPr>
        <w:rPr>
          <w:lang w:eastAsia="ja-JP"/>
        </w:rPr>
      </w:pPr>
    </w:p>
    <w:p w:rsidR="00EA743E" w:rsidRPr="00EA743E" w:rsidRDefault="00EA743E" w:rsidP="00EA743E">
      <w:r w:rsidRPr="00183892">
        <w:fldChar w:fldCharType="begin"/>
      </w:r>
      <w:r w:rsidRPr="00183892">
        <w:instrText xml:space="preserve"> AUTONUM  </w:instrText>
      </w:r>
      <w:r w:rsidRPr="00183892">
        <w:fldChar w:fldCharType="end"/>
      </w:r>
      <w:r w:rsidRPr="00183892">
        <w:tab/>
        <w:t xml:space="preserve">The purpose of this document is to report on developments concerning </w:t>
      </w:r>
      <w:r w:rsidR="00183892" w:rsidRPr="00183892">
        <w:t>cooperation between international organizations on molecular techniques</w:t>
      </w:r>
      <w:r w:rsidRPr="00183892">
        <w:t>.</w:t>
      </w:r>
    </w:p>
    <w:p w:rsidR="00EA743E" w:rsidRPr="00EA743E" w:rsidRDefault="00EA743E" w:rsidP="00EA743E">
      <w:pPr>
        <w:tabs>
          <w:tab w:val="left" w:pos="567"/>
          <w:tab w:val="left" w:pos="1134"/>
          <w:tab w:val="left" w:pos="5387"/>
        </w:tabs>
      </w:pPr>
    </w:p>
    <w:p w:rsidR="00EA743E" w:rsidRPr="0055607C" w:rsidRDefault="00EA743E" w:rsidP="00EA743E">
      <w:pPr>
        <w:tabs>
          <w:tab w:val="left" w:pos="567"/>
          <w:tab w:val="left" w:pos="1134"/>
          <w:tab w:val="left" w:pos="5387"/>
        </w:tabs>
      </w:pPr>
      <w:r w:rsidRPr="0055607C">
        <w:fldChar w:fldCharType="begin"/>
      </w:r>
      <w:r w:rsidRPr="0055607C">
        <w:instrText xml:space="preserve"> AUTONUM  </w:instrText>
      </w:r>
      <w:r w:rsidRPr="0055607C">
        <w:fldChar w:fldCharType="end"/>
      </w:r>
      <w:r w:rsidRPr="0055607C">
        <w:tab/>
        <w:t xml:space="preserve">The </w:t>
      </w:r>
      <w:r w:rsidR="00183892" w:rsidRPr="0055607C">
        <w:t>BMT is</w:t>
      </w:r>
      <w:r w:rsidRPr="0055607C">
        <w:t xml:space="preserve"> invited to note</w:t>
      </w:r>
      <w:r w:rsidR="0055607C" w:rsidRPr="0055607C">
        <w:t xml:space="preserve"> that the TC, at its fifty-fifth session, agreed</w:t>
      </w:r>
      <w:r w:rsidRPr="0055607C">
        <w:t xml:space="preserve">: </w:t>
      </w:r>
    </w:p>
    <w:p w:rsidR="00EA743E" w:rsidRPr="0055607C" w:rsidRDefault="00EA743E" w:rsidP="00EA743E">
      <w:pPr>
        <w:tabs>
          <w:tab w:val="left" w:pos="567"/>
          <w:tab w:val="left" w:pos="1134"/>
          <w:tab w:val="left" w:pos="5387"/>
        </w:tabs>
      </w:pPr>
    </w:p>
    <w:p w:rsidR="00EA743E" w:rsidRPr="0055607C" w:rsidRDefault="00EA743E" w:rsidP="00EA743E">
      <w:pPr>
        <w:tabs>
          <w:tab w:val="left" w:pos="567"/>
          <w:tab w:val="left" w:pos="1134"/>
          <w:tab w:val="left" w:pos="5387"/>
        </w:tabs>
      </w:pPr>
      <w:r w:rsidRPr="0055607C">
        <w:tab/>
        <w:t>(</w:t>
      </w:r>
      <w:r w:rsidR="0055607C" w:rsidRPr="0055607C">
        <w:t>a</w:t>
      </w:r>
      <w:r w:rsidRPr="0055607C">
        <w:t>)</w:t>
      </w:r>
      <w:r w:rsidRPr="0055607C">
        <w:tab/>
        <w:t xml:space="preserve">the elements for the inventory on the use of molecular marker techniques, by crop, as set out paragraph </w:t>
      </w:r>
      <w:r w:rsidR="00265608">
        <w:t>7</w:t>
      </w:r>
      <w:r w:rsidRPr="0055607C">
        <w:t xml:space="preserve"> of this document; </w:t>
      </w:r>
    </w:p>
    <w:p w:rsidR="00EA743E" w:rsidRPr="0055607C" w:rsidRDefault="00EA743E" w:rsidP="00EA743E">
      <w:pPr>
        <w:tabs>
          <w:tab w:val="left" w:pos="567"/>
          <w:tab w:val="left" w:pos="1134"/>
          <w:tab w:val="left" w:pos="5387"/>
        </w:tabs>
      </w:pPr>
    </w:p>
    <w:p w:rsidR="00EA743E" w:rsidRPr="0055607C" w:rsidRDefault="00EA743E" w:rsidP="00EA743E">
      <w:pPr>
        <w:tabs>
          <w:tab w:val="left" w:pos="567"/>
          <w:tab w:val="left" w:pos="1134"/>
          <w:tab w:val="left" w:pos="5387"/>
        </w:tabs>
      </w:pPr>
      <w:r w:rsidRPr="0055607C">
        <w:tab/>
        <w:t>(</w:t>
      </w:r>
      <w:r w:rsidR="0055607C" w:rsidRPr="0055607C">
        <w:t>b</w:t>
      </w:r>
      <w:r w:rsidRPr="0055607C">
        <w:t>)</w:t>
      </w:r>
      <w:r w:rsidRPr="0055607C">
        <w:tab/>
        <w:t>that a circular will be issued to request members of the Union to complete a survey as a basis to develop an inventory on the use of molecular marker techniques, by crop, in coordination with the OECD;</w:t>
      </w:r>
    </w:p>
    <w:p w:rsidR="00EA743E" w:rsidRPr="0055607C" w:rsidRDefault="00EA743E" w:rsidP="00EA743E">
      <w:pPr>
        <w:tabs>
          <w:tab w:val="left" w:pos="567"/>
          <w:tab w:val="left" w:pos="1134"/>
          <w:tab w:val="left" w:pos="5387"/>
        </w:tabs>
      </w:pPr>
    </w:p>
    <w:p w:rsidR="00EA743E" w:rsidRPr="0055607C" w:rsidRDefault="00EA743E" w:rsidP="00EA743E">
      <w:pPr>
        <w:tabs>
          <w:tab w:val="left" w:pos="567"/>
          <w:tab w:val="left" w:pos="1134"/>
          <w:tab w:val="left" w:pos="5387"/>
          <w:tab w:val="left" w:pos="5954"/>
        </w:tabs>
      </w:pPr>
      <w:r w:rsidRPr="0055607C">
        <w:tab/>
        <w:t>(</w:t>
      </w:r>
      <w:r w:rsidR="0055607C" w:rsidRPr="0055607C">
        <w:t>c</w:t>
      </w:r>
      <w:r w:rsidRPr="0055607C">
        <w:t>)</w:t>
      </w:r>
      <w:r w:rsidRPr="0055607C">
        <w:tab/>
        <w:t xml:space="preserve">for joint OECD, UPOV, ISTA workshops to be repeated in future, as a possible joint initiative in relation to molecular techniques; </w:t>
      </w:r>
    </w:p>
    <w:p w:rsidR="00EA743E" w:rsidRPr="0055607C" w:rsidRDefault="00EA743E" w:rsidP="00EA743E">
      <w:pPr>
        <w:tabs>
          <w:tab w:val="left" w:pos="567"/>
          <w:tab w:val="left" w:pos="1134"/>
          <w:tab w:val="left" w:pos="5387"/>
        </w:tabs>
      </w:pPr>
    </w:p>
    <w:p w:rsidR="00EA743E" w:rsidRPr="0055607C" w:rsidRDefault="00EA743E" w:rsidP="00EA743E">
      <w:pPr>
        <w:tabs>
          <w:tab w:val="left" w:pos="567"/>
          <w:tab w:val="left" w:pos="1134"/>
          <w:tab w:val="left" w:pos="5387"/>
          <w:tab w:val="left" w:pos="5954"/>
        </w:tabs>
      </w:pPr>
      <w:r w:rsidRPr="0055607C">
        <w:tab/>
        <w:t>(</w:t>
      </w:r>
      <w:r w:rsidR="0055607C" w:rsidRPr="0055607C">
        <w:t>d</w:t>
      </w:r>
      <w:r w:rsidRPr="0055607C">
        <w:t>)</w:t>
      </w:r>
      <w:r w:rsidRPr="0055607C">
        <w:tab/>
        <w:t>to propose a joint initiative that each organization inform the others about use of molecular markers in their work; and</w:t>
      </w:r>
    </w:p>
    <w:p w:rsidR="00EA743E" w:rsidRPr="0055607C" w:rsidRDefault="00EA743E" w:rsidP="00EA743E">
      <w:pPr>
        <w:tabs>
          <w:tab w:val="left" w:pos="567"/>
          <w:tab w:val="left" w:pos="1134"/>
          <w:tab w:val="left" w:pos="5387"/>
        </w:tabs>
      </w:pPr>
    </w:p>
    <w:p w:rsidR="00EA743E" w:rsidRPr="0055607C" w:rsidRDefault="00EA743E" w:rsidP="00EA743E">
      <w:pPr>
        <w:tabs>
          <w:tab w:val="left" w:pos="567"/>
          <w:tab w:val="left" w:pos="1134"/>
          <w:tab w:val="left" w:pos="5387"/>
        </w:tabs>
      </w:pPr>
      <w:r w:rsidRPr="0055607C">
        <w:tab/>
        <w:t>(</w:t>
      </w:r>
      <w:r w:rsidR="0055607C" w:rsidRPr="0055607C">
        <w:t>e</w:t>
      </w:r>
      <w:r w:rsidRPr="0055607C">
        <w:t>)</w:t>
      </w:r>
      <w:r w:rsidRPr="0055607C">
        <w:tab/>
        <w:t>that information from the survey on the techniques could help to clarify techniques that were considered to be biochemical or molecular.</w:t>
      </w:r>
    </w:p>
    <w:p w:rsidR="00EA743E" w:rsidRPr="0055607C" w:rsidRDefault="00EA743E" w:rsidP="00EA743E">
      <w:pPr>
        <w:tabs>
          <w:tab w:val="left" w:pos="567"/>
          <w:tab w:val="left" w:pos="1134"/>
          <w:tab w:val="left" w:pos="5387"/>
        </w:tabs>
      </w:pPr>
    </w:p>
    <w:p w:rsidR="00EA743E" w:rsidRPr="00EA743E" w:rsidRDefault="0055607C" w:rsidP="00EA743E">
      <w:pPr>
        <w:tabs>
          <w:tab w:val="left" w:pos="567"/>
          <w:tab w:val="left" w:pos="1134"/>
          <w:tab w:val="left" w:pos="5387"/>
        </w:tabs>
      </w:pPr>
      <w:r w:rsidRPr="0055607C">
        <w:tab/>
        <w:t>(f)</w:t>
      </w:r>
      <w:r w:rsidR="00EA743E" w:rsidRPr="0055607C">
        <w:tab/>
        <w:t>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p>
    <w:p w:rsidR="00EA743E" w:rsidRPr="00EA743E" w:rsidRDefault="00EA743E" w:rsidP="00EA743E">
      <w:pPr>
        <w:jc w:val="left"/>
        <w:rPr>
          <w:rFonts w:cs="Arial"/>
          <w:snapToGrid w:val="0"/>
          <w:sz w:val="18"/>
          <w:szCs w:val="24"/>
          <w:lang w:eastAsia="ja-JP"/>
        </w:rPr>
      </w:pPr>
    </w:p>
    <w:p w:rsidR="00EA743E" w:rsidRPr="00EA743E" w:rsidRDefault="00EA743E" w:rsidP="00EA743E">
      <w:pPr>
        <w:keepNext/>
      </w:pPr>
      <w:r w:rsidRPr="00EA743E">
        <w:fldChar w:fldCharType="begin"/>
      </w:r>
      <w:r w:rsidRPr="00EA743E">
        <w:instrText xml:space="preserve"> AUTONUM  </w:instrText>
      </w:r>
      <w:r w:rsidRPr="00EA743E">
        <w:fldChar w:fldCharType="end"/>
      </w:r>
      <w:r w:rsidRPr="00EA743E">
        <w:tab/>
        <w:t>The structure of this document is as follows:</w:t>
      </w:r>
    </w:p>
    <w:sdt>
      <w:sdtPr>
        <w:rPr>
          <w:smallCaps/>
        </w:rPr>
        <w:id w:val="-1800911247"/>
        <w:docPartObj>
          <w:docPartGallery w:val="Table of Contents"/>
          <w:docPartUnique/>
        </w:docPartObj>
      </w:sdtPr>
      <w:sdtEndPr>
        <w:rPr>
          <w:b/>
          <w:bCs/>
          <w:noProof/>
          <w:sz w:val="18"/>
          <w:szCs w:val="18"/>
        </w:rPr>
      </w:sdtEndPr>
      <w:sdtContent>
        <w:p w:rsidR="00EA743E" w:rsidRPr="00EA743E" w:rsidRDefault="00EA743E" w:rsidP="00EA743E">
          <w:pPr>
            <w:keepNext/>
            <w:rPr>
              <w:rFonts w:cs="Arial"/>
              <w:b/>
            </w:rPr>
          </w:pPr>
        </w:p>
        <w:p w:rsidR="00275D9E" w:rsidRDefault="00EA743E">
          <w:pPr>
            <w:pStyle w:val="TOC1"/>
            <w:rPr>
              <w:rFonts w:asciiTheme="minorHAnsi" w:eastAsiaTheme="minorEastAsia" w:hAnsiTheme="minorHAnsi" w:cstheme="minorBidi"/>
              <w:caps w:val="0"/>
              <w:noProof/>
              <w:sz w:val="22"/>
              <w:szCs w:val="22"/>
            </w:rPr>
          </w:pPr>
          <w:r w:rsidRPr="00EA743E">
            <w:rPr>
              <w:rFonts w:cs="Arial"/>
              <w:noProof/>
              <w:sz w:val="18"/>
              <w:szCs w:val="18"/>
            </w:rPr>
            <w:fldChar w:fldCharType="begin"/>
          </w:r>
          <w:r w:rsidRPr="00EA743E">
            <w:rPr>
              <w:rFonts w:cs="Arial"/>
              <w:bCs/>
              <w:noProof/>
              <w:sz w:val="18"/>
              <w:szCs w:val="18"/>
            </w:rPr>
            <w:instrText xml:space="preserve"> TOC \o "1-3" \h \z \u </w:instrText>
          </w:r>
          <w:r w:rsidRPr="00EA743E">
            <w:rPr>
              <w:rFonts w:cs="Arial"/>
              <w:noProof/>
              <w:sz w:val="18"/>
              <w:szCs w:val="18"/>
            </w:rPr>
            <w:fldChar w:fldCharType="separate"/>
          </w:r>
          <w:hyperlink w:anchor="_Toc50130215" w:history="1">
            <w:r w:rsidR="00275D9E" w:rsidRPr="006631A3">
              <w:rPr>
                <w:rStyle w:val="Hyperlink"/>
                <w:noProof/>
                <w:snapToGrid w:val="0"/>
                <w:lang w:eastAsia="ja-JP"/>
              </w:rPr>
              <w:t>Executive summary</w:t>
            </w:r>
            <w:r w:rsidR="00275D9E">
              <w:rPr>
                <w:noProof/>
                <w:webHidden/>
              </w:rPr>
              <w:tab/>
            </w:r>
            <w:r w:rsidR="00275D9E">
              <w:rPr>
                <w:noProof/>
                <w:webHidden/>
              </w:rPr>
              <w:fldChar w:fldCharType="begin"/>
            </w:r>
            <w:r w:rsidR="00275D9E">
              <w:rPr>
                <w:noProof/>
                <w:webHidden/>
              </w:rPr>
              <w:instrText xml:space="preserve"> PAGEREF _Toc50130215 \h </w:instrText>
            </w:r>
            <w:r w:rsidR="00275D9E">
              <w:rPr>
                <w:noProof/>
                <w:webHidden/>
              </w:rPr>
            </w:r>
            <w:r w:rsidR="00275D9E">
              <w:rPr>
                <w:noProof/>
                <w:webHidden/>
              </w:rPr>
              <w:fldChar w:fldCharType="separate"/>
            </w:r>
            <w:r w:rsidR="00B0546F">
              <w:rPr>
                <w:noProof/>
                <w:webHidden/>
              </w:rPr>
              <w:t>1</w:t>
            </w:r>
            <w:r w:rsidR="00275D9E">
              <w:rPr>
                <w:noProof/>
                <w:webHidden/>
              </w:rPr>
              <w:fldChar w:fldCharType="end"/>
            </w:r>
          </w:hyperlink>
        </w:p>
        <w:p w:rsidR="00275D9E" w:rsidRDefault="006A0A27">
          <w:pPr>
            <w:pStyle w:val="TOC1"/>
            <w:rPr>
              <w:rFonts w:asciiTheme="minorHAnsi" w:eastAsiaTheme="minorEastAsia" w:hAnsiTheme="minorHAnsi" w:cstheme="minorBidi"/>
              <w:caps w:val="0"/>
              <w:noProof/>
              <w:sz w:val="22"/>
              <w:szCs w:val="22"/>
            </w:rPr>
          </w:pPr>
          <w:hyperlink w:anchor="_Toc50130216" w:history="1">
            <w:r w:rsidR="00275D9E" w:rsidRPr="006631A3">
              <w:rPr>
                <w:rStyle w:val="Hyperlink"/>
                <w:noProof/>
                <w:snapToGrid w:val="0"/>
                <w:lang w:eastAsia="ja-JP"/>
              </w:rPr>
              <w:t>Background</w:t>
            </w:r>
            <w:r w:rsidR="00275D9E">
              <w:rPr>
                <w:noProof/>
                <w:webHidden/>
              </w:rPr>
              <w:tab/>
            </w:r>
            <w:r w:rsidR="00275D9E">
              <w:rPr>
                <w:noProof/>
                <w:webHidden/>
              </w:rPr>
              <w:fldChar w:fldCharType="begin"/>
            </w:r>
            <w:r w:rsidR="00275D9E">
              <w:rPr>
                <w:noProof/>
                <w:webHidden/>
              </w:rPr>
              <w:instrText xml:space="preserve"> PAGEREF _Toc50130216 \h </w:instrText>
            </w:r>
            <w:r w:rsidR="00275D9E">
              <w:rPr>
                <w:noProof/>
                <w:webHidden/>
              </w:rPr>
            </w:r>
            <w:r w:rsidR="00275D9E">
              <w:rPr>
                <w:noProof/>
                <w:webHidden/>
              </w:rPr>
              <w:fldChar w:fldCharType="separate"/>
            </w:r>
            <w:r w:rsidR="00B0546F">
              <w:rPr>
                <w:noProof/>
                <w:webHidden/>
              </w:rPr>
              <w:t>2</w:t>
            </w:r>
            <w:r w:rsidR="00275D9E">
              <w:rPr>
                <w:noProof/>
                <w:webHidden/>
              </w:rPr>
              <w:fldChar w:fldCharType="end"/>
            </w:r>
          </w:hyperlink>
        </w:p>
        <w:p w:rsidR="00275D9E" w:rsidRDefault="006A0A27">
          <w:pPr>
            <w:pStyle w:val="TOC2"/>
            <w:rPr>
              <w:rFonts w:asciiTheme="minorHAnsi" w:eastAsiaTheme="minorEastAsia" w:hAnsiTheme="minorHAnsi" w:cstheme="minorBidi"/>
              <w:noProof/>
              <w:sz w:val="22"/>
              <w:szCs w:val="22"/>
            </w:rPr>
          </w:pPr>
          <w:hyperlink w:anchor="_Toc50130217" w:history="1">
            <w:r w:rsidR="00275D9E" w:rsidRPr="006631A3">
              <w:rPr>
                <w:rStyle w:val="Hyperlink"/>
                <w:noProof/>
                <w:snapToGrid w:val="0"/>
                <w:lang w:eastAsia="ja-JP"/>
              </w:rPr>
              <w:t>Inventory on the use of molecular marker techniques, by crop</w:t>
            </w:r>
            <w:r w:rsidR="00275D9E">
              <w:rPr>
                <w:noProof/>
                <w:webHidden/>
              </w:rPr>
              <w:tab/>
            </w:r>
            <w:r w:rsidR="00275D9E">
              <w:rPr>
                <w:noProof/>
                <w:webHidden/>
              </w:rPr>
              <w:fldChar w:fldCharType="begin"/>
            </w:r>
            <w:r w:rsidR="00275D9E">
              <w:rPr>
                <w:noProof/>
                <w:webHidden/>
              </w:rPr>
              <w:instrText xml:space="preserve"> PAGEREF _Toc50130217 \h </w:instrText>
            </w:r>
            <w:r w:rsidR="00275D9E">
              <w:rPr>
                <w:noProof/>
                <w:webHidden/>
              </w:rPr>
            </w:r>
            <w:r w:rsidR="00275D9E">
              <w:rPr>
                <w:noProof/>
                <w:webHidden/>
              </w:rPr>
              <w:fldChar w:fldCharType="separate"/>
            </w:r>
            <w:r w:rsidR="00B0546F">
              <w:rPr>
                <w:noProof/>
                <w:webHidden/>
              </w:rPr>
              <w:t>2</w:t>
            </w:r>
            <w:r w:rsidR="00275D9E">
              <w:rPr>
                <w:noProof/>
                <w:webHidden/>
              </w:rPr>
              <w:fldChar w:fldCharType="end"/>
            </w:r>
          </w:hyperlink>
        </w:p>
        <w:p w:rsidR="00275D9E" w:rsidRDefault="006A0A27">
          <w:pPr>
            <w:pStyle w:val="TOC3"/>
            <w:rPr>
              <w:rFonts w:asciiTheme="minorHAnsi" w:eastAsiaTheme="minorEastAsia" w:hAnsiTheme="minorHAnsi" w:cstheme="minorBidi"/>
              <w:noProof/>
              <w:sz w:val="22"/>
              <w:szCs w:val="22"/>
              <w:lang w:val="en-US"/>
            </w:rPr>
          </w:pPr>
          <w:hyperlink w:anchor="_Toc50130218" w:history="1">
            <w:r w:rsidR="00275D9E" w:rsidRPr="006631A3">
              <w:rPr>
                <w:rStyle w:val="Hyperlink"/>
                <w:i/>
                <w:noProof/>
              </w:rPr>
              <w:t>Consideration by the Technical Committee</w:t>
            </w:r>
            <w:r w:rsidR="00275D9E">
              <w:rPr>
                <w:noProof/>
                <w:webHidden/>
              </w:rPr>
              <w:tab/>
            </w:r>
            <w:r w:rsidR="00275D9E">
              <w:rPr>
                <w:noProof/>
                <w:webHidden/>
              </w:rPr>
              <w:fldChar w:fldCharType="begin"/>
            </w:r>
            <w:r w:rsidR="00275D9E">
              <w:rPr>
                <w:noProof/>
                <w:webHidden/>
              </w:rPr>
              <w:instrText xml:space="preserve"> PAGEREF _Toc50130218 \h </w:instrText>
            </w:r>
            <w:r w:rsidR="00275D9E">
              <w:rPr>
                <w:noProof/>
                <w:webHidden/>
              </w:rPr>
            </w:r>
            <w:r w:rsidR="00275D9E">
              <w:rPr>
                <w:noProof/>
                <w:webHidden/>
              </w:rPr>
              <w:fldChar w:fldCharType="separate"/>
            </w:r>
            <w:r w:rsidR="00B0546F">
              <w:rPr>
                <w:noProof/>
                <w:webHidden/>
              </w:rPr>
              <w:t>2</w:t>
            </w:r>
            <w:r w:rsidR="00275D9E">
              <w:rPr>
                <w:noProof/>
                <w:webHidden/>
              </w:rPr>
              <w:fldChar w:fldCharType="end"/>
            </w:r>
          </w:hyperlink>
        </w:p>
        <w:p w:rsidR="00275D9E" w:rsidRDefault="006A0A27">
          <w:pPr>
            <w:pStyle w:val="TOC2"/>
            <w:rPr>
              <w:rFonts w:asciiTheme="minorHAnsi" w:eastAsiaTheme="minorEastAsia" w:hAnsiTheme="minorHAnsi" w:cstheme="minorBidi"/>
              <w:noProof/>
              <w:sz w:val="22"/>
              <w:szCs w:val="22"/>
            </w:rPr>
          </w:pPr>
          <w:hyperlink w:anchor="_Toc50130219" w:history="1">
            <w:r w:rsidR="00275D9E" w:rsidRPr="006631A3">
              <w:rPr>
                <w:rStyle w:val="Hyperlink"/>
                <w:noProof/>
                <w:snapToGrid w:val="0"/>
                <w:lang w:eastAsia="ja-JP"/>
              </w:rPr>
              <w:t>Lists of possible joint initiatives with OECD and ISTA in relation to molecular techniques</w:t>
            </w:r>
            <w:r w:rsidR="00275D9E">
              <w:rPr>
                <w:noProof/>
                <w:webHidden/>
              </w:rPr>
              <w:tab/>
            </w:r>
            <w:r w:rsidR="00275D9E">
              <w:rPr>
                <w:noProof/>
                <w:webHidden/>
              </w:rPr>
              <w:fldChar w:fldCharType="begin"/>
            </w:r>
            <w:r w:rsidR="00275D9E">
              <w:rPr>
                <w:noProof/>
                <w:webHidden/>
              </w:rPr>
              <w:instrText xml:space="preserve"> PAGEREF _Toc50130219 \h </w:instrText>
            </w:r>
            <w:r w:rsidR="00275D9E">
              <w:rPr>
                <w:noProof/>
                <w:webHidden/>
              </w:rPr>
            </w:r>
            <w:r w:rsidR="00275D9E">
              <w:rPr>
                <w:noProof/>
                <w:webHidden/>
              </w:rPr>
              <w:fldChar w:fldCharType="separate"/>
            </w:r>
            <w:r w:rsidR="00B0546F">
              <w:rPr>
                <w:noProof/>
                <w:webHidden/>
              </w:rPr>
              <w:t>3</w:t>
            </w:r>
            <w:r w:rsidR="00275D9E">
              <w:rPr>
                <w:noProof/>
                <w:webHidden/>
              </w:rPr>
              <w:fldChar w:fldCharType="end"/>
            </w:r>
          </w:hyperlink>
        </w:p>
        <w:p w:rsidR="00275D9E" w:rsidRDefault="006A0A27">
          <w:pPr>
            <w:pStyle w:val="TOC2"/>
            <w:rPr>
              <w:rFonts w:asciiTheme="minorHAnsi" w:eastAsiaTheme="minorEastAsia" w:hAnsiTheme="minorHAnsi" w:cstheme="minorBidi"/>
              <w:noProof/>
              <w:sz w:val="22"/>
              <w:szCs w:val="22"/>
            </w:rPr>
          </w:pPr>
          <w:hyperlink w:anchor="_Toc50130220" w:history="1">
            <w:r w:rsidR="00275D9E" w:rsidRPr="006631A3">
              <w:rPr>
                <w:rStyle w:val="Hyperlink"/>
                <w:noProof/>
                <w:snapToGrid w:val="0"/>
                <w:lang w:eastAsia="ja-JP"/>
              </w:rPr>
              <w:t>Joint document explaining the principal features of the systems of OECD, UPOV and ISTA</w:t>
            </w:r>
            <w:r w:rsidR="00275D9E">
              <w:rPr>
                <w:noProof/>
                <w:webHidden/>
              </w:rPr>
              <w:tab/>
            </w:r>
            <w:r w:rsidR="00275D9E">
              <w:rPr>
                <w:noProof/>
                <w:webHidden/>
              </w:rPr>
              <w:fldChar w:fldCharType="begin"/>
            </w:r>
            <w:r w:rsidR="00275D9E">
              <w:rPr>
                <w:noProof/>
                <w:webHidden/>
              </w:rPr>
              <w:instrText xml:space="preserve"> PAGEREF _Toc50130220 \h </w:instrText>
            </w:r>
            <w:r w:rsidR="00275D9E">
              <w:rPr>
                <w:noProof/>
                <w:webHidden/>
              </w:rPr>
            </w:r>
            <w:r w:rsidR="00275D9E">
              <w:rPr>
                <w:noProof/>
                <w:webHidden/>
              </w:rPr>
              <w:fldChar w:fldCharType="separate"/>
            </w:r>
            <w:r w:rsidR="00B0546F">
              <w:rPr>
                <w:noProof/>
                <w:webHidden/>
              </w:rPr>
              <w:t>3</w:t>
            </w:r>
            <w:r w:rsidR="00275D9E">
              <w:rPr>
                <w:noProof/>
                <w:webHidden/>
              </w:rPr>
              <w:fldChar w:fldCharType="end"/>
            </w:r>
          </w:hyperlink>
        </w:p>
        <w:p w:rsidR="00EA743E" w:rsidRPr="00EA743E" w:rsidRDefault="00EA743E" w:rsidP="00B0546F">
          <w:pPr>
            <w:spacing w:before="120" w:after="120"/>
            <w:ind w:left="1134" w:hanging="1134"/>
            <w:rPr>
              <w:b/>
              <w:bCs/>
              <w:smallCaps/>
              <w:noProof/>
              <w:sz w:val="18"/>
              <w:szCs w:val="18"/>
            </w:rPr>
          </w:pPr>
          <w:r w:rsidRPr="00EA743E">
            <w:rPr>
              <w:b/>
              <w:bCs/>
              <w:smallCaps/>
              <w:noProof/>
              <w:sz w:val="18"/>
              <w:szCs w:val="18"/>
            </w:rPr>
            <w:fldChar w:fldCharType="end"/>
          </w:r>
          <w:r w:rsidR="001D60D9" w:rsidRPr="00EA743E">
            <w:rPr>
              <w:rFonts w:hint="eastAsia"/>
              <w:snapToGrid w:val="0"/>
              <w:sz w:val="18"/>
              <w:szCs w:val="18"/>
              <w:lang w:eastAsia="ja-JP"/>
            </w:rPr>
            <w:t>ANNEX</w:t>
          </w:r>
          <w:r w:rsidR="001D60D9">
            <w:rPr>
              <w:snapToGrid w:val="0"/>
              <w:sz w:val="18"/>
              <w:szCs w:val="18"/>
              <w:lang w:eastAsia="ja-JP"/>
            </w:rPr>
            <w:t xml:space="preserve"> </w:t>
          </w:r>
          <w:r w:rsidR="001D60D9" w:rsidRPr="00EA743E">
            <w:rPr>
              <w:rFonts w:hint="eastAsia"/>
              <w:snapToGrid w:val="0"/>
              <w:sz w:val="18"/>
              <w:szCs w:val="18"/>
              <w:lang w:eastAsia="ja-JP"/>
            </w:rPr>
            <w:tab/>
          </w:r>
          <w:r w:rsidR="001D60D9" w:rsidRPr="00EA743E">
            <w:rPr>
              <w:snapToGrid w:val="0"/>
              <w:sz w:val="18"/>
              <w:szCs w:val="18"/>
              <w:lang w:eastAsia="ja-JP"/>
            </w:rPr>
            <w:t>RELEVANT ELEMENTS FROM THE WORLD SEED PARTNERSHIP AND THE FAQ ON THE USE OF MOLECULAR TECHNIQUES IN THE EXAMINATION OF DUS</w:t>
          </w:r>
        </w:p>
      </w:sdtContent>
    </w:sdt>
    <w:bookmarkStart w:id="4" w:name="_Toc460313637" w:displacedByCustomXml="prev"/>
    <w:bookmarkStart w:id="5" w:name="_Toc410822402" w:displacedByCustomXml="prev"/>
    <w:bookmarkStart w:id="6" w:name="_Toc410822806" w:displacedByCustomXml="prev"/>
    <w:bookmarkStart w:id="7" w:name="_Toc410823313" w:displacedByCustomXml="prev"/>
    <w:bookmarkStart w:id="8" w:name="_Toc410899581" w:displacedByCustomXml="prev"/>
    <w:p w:rsidR="001D60D9" w:rsidRDefault="001D60D9" w:rsidP="00A632AE"/>
    <w:p w:rsidR="00275D9E" w:rsidRDefault="00275D9E">
      <w:pPr>
        <w:jc w:val="left"/>
      </w:pPr>
      <w:r>
        <w:br w:type="page"/>
      </w:r>
    </w:p>
    <w:p w:rsidR="00A632AE" w:rsidRPr="00EA743E" w:rsidRDefault="00A632AE" w:rsidP="00A632AE">
      <w:r w:rsidRPr="00EA743E">
        <w:lastRenderedPageBreak/>
        <w:fldChar w:fldCharType="begin"/>
      </w:r>
      <w:r w:rsidRPr="00EA743E">
        <w:instrText xml:space="preserve"> AUTONUM  </w:instrText>
      </w:r>
      <w:r w:rsidRPr="00EA743E">
        <w:fldChar w:fldCharType="end"/>
      </w:r>
      <w:r w:rsidRPr="00EA743E">
        <w:tab/>
        <w:t>The following abbreviations are used in this document:</w:t>
      </w:r>
    </w:p>
    <w:p w:rsidR="00A632AE" w:rsidRPr="00EA743E" w:rsidRDefault="00A632AE" w:rsidP="00A632AE"/>
    <w:p w:rsidR="00A632AE" w:rsidRPr="00EA743E" w:rsidRDefault="00A632AE" w:rsidP="00A632AE">
      <w:pPr>
        <w:keepNext/>
        <w:tabs>
          <w:tab w:val="left" w:pos="567"/>
        </w:tabs>
        <w:ind w:left="1701" w:hanging="1134"/>
        <w:rPr>
          <w:sz w:val="18"/>
        </w:rPr>
      </w:pPr>
      <w:r w:rsidRPr="00EA743E">
        <w:rPr>
          <w:sz w:val="18"/>
        </w:rPr>
        <w:t>BMT:</w:t>
      </w:r>
      <w:r w:rsidRPr="00EA743E">
        <w:rPr>
          <w:sz w:val="18"/>
        </w:rPr>
        <w:tab/>
        <w:t xml:space="preserve">Working Group on Biochemical and Molecular Techniques, and DNA-Profiling in Particular </w:t>
      </w:r>
    </w:p>
    <w:p w:rsidR="00A632AE" w:rsidRPr="00EA743E" w:rsidRDefault="00A632AE" w:rsidP="00A632AE">
      <w:pPr>
        <w:ind w:left="1701" w:hanging="1134"/>
        <w:rPr>
          <w:rFonts w:cs="Arial"/>
          <w:snapToGrid w:val="0"/>
          <w:sz w:val="18"/>
          <w:szCs w:val="24"/>
          <w:lang w:eastAsia="ja-JP"/>
        </w:rPr>
      </w:pPr>
      <w:r w:rsidRPr="00EA743E">
        <w:rPr>
          <w:rFonts w:eastAsia="PMingLiU" w:cs="Arial"/>
          <w:snapToGrid w:val="0"/>
          <w:sz w:val="18"/>
          <w:szCs w:val="24"/>
          <w:lang w:eastAsia="fr-FR"/>
        </w:rPr>
        <w:t xml:space="preserve">ISTA: </w:t>
      </w:r>
      <w:r w:rsidRPr="00EA743E">
        <w:rPr>
          <w:rFonts w:eastAsia="PMingLiU" w:cs="Arial"/>
          <w:snapToGrid w:val="0"/>
          <w:sz w:val="18"/>
          <w:szCs w:val="24"/>
          <w:lang w:eastAsia="fr-FR"/>
        </w:rPr>
        <w:tab/>
        <w:t>International Seed Testing Association</w:t>
      </w:r>
    </w:p>
    <w:p w:rsidR="00A632AE" w:rsidRPr="00EA743E" w:rsidRDefault="00A632AE" w:rsidP="00A632AE">
      <w:pPr>
        <w:ind w:left="1701" w:hanging="1134"/>
        <w:rPr>
          <w:rFonts w:eastAsia="PMingLiU" w:cs="Arial"/>
          <w:snapToGrid w:val="0"/>
          <w:sz w:val="18"/>
          <w:szCs w:val="24"/>
        </w:rPr>
      </w:pPr>
      <w:r w:rsidRPr="00EA743E">
        <w:rPr>
          <w:rFonts w:eastAsia="PMingLiU" w:cs="Arial"/>
          <w:sz w:val="18"/>
          <w:szCs w:val="24"/>
        </w:rPr>
        <w:t>OECD:</w:t>
      </w:r>
      <w:r w:rsidRPr="00EA743E">
        <w:rPr>
          <w:rFonts w:eastAsia="PMingLiU" w:cs="Arial"/>
          <w:sz w:val="18"/>
          <w:szCs w:val="24"/>
        </w:rPr>
        <w:tab/>
      </w:r>
      <w:r w:rsidRPr="00EA743E">
        <w:rPr>
          <w:rFonts w:eastAsia="PMingLiU" w:cs="Arial"/>
          <w:snapToGrid w:val="0"/>
          <w:sz w:val="18"/>
          <w:szCs w:val="24"/>
        </w:rPr>
        <w:t>Organization for Economic Co-operation and Development</w:t>
      </w:r>
    </w:p>
    <w:p w:rsidR="00A632AE" w:rsidRPr="00EA743E" w:rsidRDefault="00A632AE" w:rsidP="00A632AE">
      <w:pPr>
        <w:keepNext/>
        <w:tabs>
          <w:tab w:val="left" w:pos="567"/>
        </w:tabs>
        <w:ind w:left="1701" w:hanging="1134"/>
        <w:rPr>
          <w:sz w:val="18"/>
        </w:rPr>
      </w:pPr>
      <w:r w:rsidRPr="00EA743E">
        <w:rPr>
          <w:sz w:val="18"/>
        </w:rPr>
        <w:t>TC:</w:t>
      </w:r>
      <w:r w:rsidRPr="00EA743E">
        <w:rPr>
          <w:sz w:val="18"/>
        </w:rPr>
        <w:tab/>
        <w:t>Technical Committee</w:t>
      </w:r>
    </w:p>
    <w:p w:rsidR="00A632AE" w:rsidRPr="00EA743E" w:rsidRDefault="00A632AE" w:rsidP="00A632AE">
      <w:pPr>
        <w:ind w:left="1701" w:hanging="1134"/>
        <w:rPr>
          <w:rFonts w:eastAsia="PMingLiU" w:cs="Arial"/>
          <w:sz w:val="18"/>
          <w:szCs w:val="24"/>
        </w:rPr>
      </w:pPr>
      <w:r w:rsidRPr="00EA743E">
        <w:rPr>
          <w:rFonts w:eastAsia="PMingLiU" w:cs="Arial"/>
          <w:sz w:val="18"/>
          <w:szCs w:val="24"/>
        </w:rPr>
        <w:t>TWPs:</w:t>
      </w:r>
      <w:r w:rsidRPr="00EA743E">
        <w:rPr>
          <w:rFonts w:eastAsia="PMingLiU" w:cs="Arial"/>
          <w:sz w:val="18"/>
          <w:szCs w:val="24"/>
        </w:rPr>
        <w:tab/>
        <w:t>Technical Working Parties</w:t>
      </w:r>
    </w:p>
    <w:p w:rsidR="00A632AE" w:rsidRDefault="00A632AE" w:rsidP="00EA743E">
      <w:pPr>
        <w:rPr>
          <w:snapToGrid w:val="0"/>
          <w:lang w:eastAsia="ja-JP"/>
        </w:rPr>
      </w:pPr>
    </w:p>
    <w:p w:rsidR="00275D9E" w:rsidRDefault="00275D9E" w:rsidP="00EA743E">
      <w:pPr>
        <w:rPr>
          <w:snapToGrid w:val="0"/>
          <w:lang w:eastAsia="ja-JP"/>
        </w:rPr>
      </w:pPr>
    </w:p>
    <w:p w:rsidR="00275D9E" w:rsidRPr="00EA743E" w:rsidRDefault="00275D9E" w:rsidP="00EA743E">
      <w:pPr>
        <w:rPr>
          <w:snapToGrid w:val="0"/>
          <w:lang w:eastAsia="ja-JP"/>
        </w:rPr>
      </w:pPr>
    </w:p>
    <w:p w:rsidR="00EA743E" w:rsidRPr="00EA743E" w:rsidRDefault="00970F60" w:rsidP="00970F60">
      <w:pPr>
        <w:pStyle w:val="Heading1"/>
        <w:rPr>
          <w:lang w:eastAsia="ja-JP"/>
        </w:rPr>
      </w:pPr>
      <w:bookmarkStart w:id="9" w:name="_Toc50130216"/>
      <w:bookmarkEnd w:id="4"/>
      <w:r>
        <w:rPr>
          <w:snapToGrid w:val="0"/>
          <w:lang w:eastAsia="ja-JP"/>
        </w:rPr>
        <w:t>Background</w:t>
      </w:r>
      <w:bookmarkEnd w:id="9"/>
    </w:p>
    <w:p w:rsidR="00EA743E" w:rsidRPr="00EA743E" w:rsidRDefault="00EA743E" w:rsidP="00EA743E">
      <w:pPr>
        <w:keepNext/>
        <w:rPr>
          <w:rFonts w:cs="Arial"/>
          <w:iCs/>
        </w:rPr>
      </w:pPr>
    </w:p>
    <w:p w:rsidR="00EA743E" w:rsidRPr="00EA743E" w:rsidRDefault="00EA743E" w:rsidP="00EA743E">
      <w:pPr>
        <w:keepNext/>
        <w:rPr>
          <w:rFonts w:eastAsiaTheme="minorEastAsia"/>
          <w:lang w:eastAsia="ja-JP"/>
        </w:rPr>
      </w:pPr>
      <w:r w:rsidRPr="00EA743E">
        <w:fldChar w:fldCharType="begin"/>
      </w:r>
      <w:r w:rsidRPr="00EA743E">
        <w:instrText xml:space="preserve"> AUTONUM  </w:instrText>
      </w:r>
      <w:r w:rsidRPr="00EA743E">
        <w:fldChar w:fldCharType="end"/>
      </w:r>
      <w:r w:rsidRPr="00EA743E">
        <w:tab/>
      </w:r>
      <w:r w:rsidRPr="00EA743E">
        <w:rPr>
          <w:rFonts w:eastAsiaTheme="minorEastAsia"/>
          <w:lang w:eastAsia="ja-JP"/>
        </w:rPr>
        <w:t>The background</w:t>
      </w:r>
      <w:r w:rsidRPr="00EA743E">
        <w:rPr>
          <w:rFonts w:eastAsiaTheme="minorEastAsia" w:hint="eastAsia"/>
          <w:lang w:eastAsia="ja-JP"/>
        </w:rPr>
        <w:t xml:space="preserve"> to this matter is provided in document </w:t>
      </w:r>
      <w:r w:rsidR="00970F60">
        <w:rPr>
          <w:rFonts w:eastAsiaTheme="minorEastAsia"/>
          <w:lang w:eastAsia="ja-JP"/>
        </w:rPr>
        <w:t>BMT/18/4</w:t>
      </w:r>
      <w:r w:rsidRPr="00EA743E">
        <w:rPr>
          <w:rFonts w:hint="eastAsia"/>
          <w:lang w:eastAsia="ja-JP"/>
        </w:rPr>
        <w:t xml:space="preserve"> </w:t>
      </w:r>
      <w:r w:rsidRPr="00EA743E">
        <w:rPr>
          <w:lang w:eastAsia="ja-JP"/>
        </w:rPr>
        <w:t>“</w:t>
      </w:r>
      <w:r w:rsidR="00970F60">
        <w:rPr>
          <w:lang w:eastAsia="ja-JP"/>
        </w:rPr>
        <w:t>Cooperation between international organizations</w:t>
      </w:r>
      <w:r w:rsidRPr="00EA743E">
        <w:rPr>
          <w:lang w:eastAsia="ja-JP"/>
        </w:rPr>
        <w:t>”</w:t>
      </w:r>
      <w:r w:rsidRPr="00EA743E">
        <w:rPr>
          <w:rFonts w:eastAsiaTheme="minorEastAsia" w:hint="eastAsia"/>
          <w:lang w:eastAsia="ja-JP"/>
        </w:rPr>
        <w:t>.</w:t>
      </w:r>
    </w:p>
    <w:p w:rsidR="00EA743E" w:rsidRDefault="00EA743E" w:rsidP="00EA743E">
      <w:pPr>
        <w:ind w:left="567" w:hanging="567"/>
        <w:rPr>
          <w:rFonts w:eastAsiaTheme="minorEastAsia"/>
        </w:rPr>
      </w:pPr>
    </w:p>
    <w:p w:rsidR="00275D9E" w:rsidRPr="00EA743E" w:rsidRDefault="00275D9E" w:rsidP="00EA743E">
      <w:pPr>
        <w:ind w:left="567" w:hanging="567"/>
        <w:rPr>
          <w:rFonts w:eastAsiaTheme="minorEastAsia"/>
        </w:rPr>
      </w:pPr>
    </w:p>
    <w:p w:rsidR="00EA743E" w:rsidRPr="00EA743E" w:rsidRDefault="00EA743E" w:rsidP="00EA743E">
      <w:pPr>
        <w:keepNext/>
        <w:outlineLvl w:val="1"/>
        <w:rPr>
          <w:rFonts w:eastAsiaTheme="minorEastAsia"/>
          <w:snapToGrid w:val="0"/>
          <w:u w:val="single"/>
          <w:lang w:eastAsia="ja-JP"/>
        </w:rPr>
      </w:pPr>
      <w:bookmarkStart w:id="10" w:name="_Toc14980928"/>
      <w:bookmarkStart w:id="11" w:name="_Toc15059498"/>
      <w:bookmarkStart w:id="12" w:name="_Toc15295343"/>
      <w:bookmarkStart w:id="13" w:name="_Toc22564623"/>
      <w:bookmarkStart w:id="14" w:name="_Toc27663377"/>
      <w:bookmarkStart w:id="15" w:name="_Toc50130217"/>
      <w:r w:rsidRPr="00EA743E">
        <w:rPr>
          <w:rFonts w:eastAsiaTheme="minorEastAsia"/>
          <w:snapToGrid w:val="0"/>
          <w:u w:val="single"/>
          <w:lang w:eastAsia="ja-JP"/>
        </w:rPr>
        <w:t>Inventory on the use of molecular marker techniques, by crop</w:t>
      </w:r>
      <w:bookmarkEnd w:id="10"/>
      <w:bookmarkEnd w:id="11"/>
      <w:bookmarkEnd w:id="12"/>
      <w:bookmarkEnd w:id="13"/>
      <w:bookmarkEnd w:id="14"/>
      <w:bookmarkEnd w:id="15"/>
    </w:p>
    <w:p w:rsidR="00EA743E" w:rsidRPr="00EA743E" w:rsidRDefault="00EA743E" w:rsidP="00EA743E"/>
    <w:p w:rsidR="00EA743E" w:rsidRPr="00EA743E" w:rsidRDefault="00EA743E" w:rsidP="00EA743E">
      <w:pPr>
        <w:outlineLvl w:val="2"/>
        <w:rPr>
          <w:rFonts w:eastAsiaTheme="minorEastAsia"/>
          <w:i/>
        </w:rPr>
      </w:pPr>
      <w:bookmarkStart w:id="16" w:name="_Toc50130218"/>
      <w:bookmarkStart w:id="17" w:name="_Toc14980927"/>
      <w:bookmarkStart w:id="18" w:name="_Toc15059497"/>
      <w:bookmarkStart w:id="19" w:name="_Toc15295342"/>
      <w:bookmarkStart w:id="20" w:name="_Toc22564625"/>
      <w:bookmarkStart w:id="21" w:name="_Toc27663379"/>
      <w:r w:rsidRPr="00EA743E">
        <w:rPr>
          <w:rFonts w:eastAsiaTheme="minorEastAsia"/>
          <w:i/>
        </w:rPr>
        <w:t>Consideration by the Technical Committee</w:t>
      </w:r>
      <w:bookmarkEnd w:id="16"/>
    </w:p>
    <w:p w:rsidR="00EA743E" w:rsidRPr="00EA743E" w:rsidRDefault="00EA743E" w:rsidP="00EA743E"/>
    <w:p w:rsidR="00EA743E" w:rsidRPr="00EA743E" w:rsidRDefault="00EA743E" w:rsidP="00EA743E">
      <w:r w:rsidRPr="00EA743E">
        <w:fldChar w:fldCharType="begin"/>
      </w:r>
      <w:r w:rsidRPr="00EA743E">
        <w:instrText xml:space="preserve"> AUTONUM  </w:instrText>
      </w:r>
      <w:r w:rsidRPr="00EA743E">
        <w:fldChar w:fldCharType="end"/>
      </w:r>
      <w:r w:rsidRPr="00EA743E">
        <w:tab/>
        <w:t>The TC, at its fifty-fifth session</w:t>
      </w:r>
      <w:r w:rsidR="000F777F">
        <w:rPr>
          <w:rStyle w:val="FootnoteReference"/>
        </w:rPr>
        <w:footnoteReference w:id="2"/>
      </w:r>
      <w:r w:rsidRPr="00EA743E">
        <w:t>, agreed that the question “whether the molecular technique is validated” should be amended to read “Whether the molecular technique is validated/recognized/authorized”</w:t>
      </w:r>
      <w:r w:rsidRPr="00EA743E">
        <w:rPr>
          <w:lang w:eastAsia="ja-JP"/>
        </w:rPr>
        <w:t xml:space="preserve"> (see document TC/55/25 “Report”, paragraphs 184 to 188)</w:t>
      </w:r>
      <w:r w:rsidRPr="00EA743E">
        <w:t xml:space="preserve">. </w:t>
      </w:r>
    </w:p>
    <w:p w:rsidR="00EA743E" w:rsidRPr="00EA743E" w:rsidRDefault="00EA743E" w:rsidP="00EA743E">
      <w:pPr>
        <w:rPr>
          <w:rFonts w:eastAsiaTheme="minorEastAsia"/>
        </w:rPr>
      </w:pPr>
    </w:p>
    <w:p w:rsidR="00EA743E" w:rsidRPr="00EA743E" w:rsidRDefault="00EA743E" w:rsidP="00EA743E">
      <w:pPr>
        <w:keepNext/>
      </w:pPr>
      <w:r w:rsidRPr="00EA743E">
        <w:fldChar w:fldCharType="begin"/>
      </w:r>
      <w:r w:rsidRPr="00EA743E">
        <w:instrText xml:space="preserve"> AUTONUM  </w:instrText>
      </w:r>
      <w:r w:rsidRPr="00EA743E">
        <w:fldChar w:fldCharType="end"/>
      </w:r>
      <w:r w:rsidRPr="00EA743E">
        <w:tab/>
        <w:t>The TC</w:t>
      </w:r>
      <w:r w:rsidRPr="00EA743E">
        <w:rPr>
          <w:rFonts w:eastAsiaTheme="minorEastAsia"/>
        </w:rPr>
        <w:t xml:space="preserve"> </w:t>
      </w:r>
      <w:r w:rsidRPr="00EA743E">
        <w:t>agreed the following elements for the inventory</w:t>
      </w:r>
      <w:r w:rsidRPr="00EA743E">
        <w:rPr>
          <w:lang w:eastAsia="ja-JP"/>
        </w:rPr>
        <w:t xml:space="preserve"> </w:t>
      </w:r>
      <w:r w:rsidRPr="00EA743E">
        <w:t>on the use of molecular marker techniques, by crop:</w:t>
      </w:r>
    </w:p>
    <w:p w:rsidR="00EA743E" w:rsidRPr="00EA743E" w:rsidRDefault="00EA743E" w:rsidP="00EA743E"/>
    <w:p w:rsidR="00EA743E" w:rsidRPr="00EA743E" w:rsidRDefault="00EA743E" w:rsidP="00EA743E">
      <w:pPr>
        <w:numPr>
          <w:ilvl w:val="0"/>
          <w:numId w:val="21"/>
        </w:numPr>
        <w:spacing w:line="276" w:lineRule="auto"/>
        <w:ind w:left="1134" w:hanging="567"/>
        <w:contextualSpacing/>
      </w:pPr>
      <w:r w:rsidRPr="00EA743E">
        <w:t xml:space="preserve">Country or Intergovernmental Organization using molecular marker technique </w:t>
      </w:r>
    </w:p>
    <w:p w:rsidR="00EA743E" w:rsidRPr="00EA743E" w:rsidRDefault="00EA743E" w:rsidP="00EA743E">
      <w:pPr>
        <w:numPr>
          <w:ilvl w:val="0"/>
          <w:numId w:val="21"/>
        </w:numPr>
        <w:spacing w:line="276" w:lineRule="auto"/>
        <w:ind w:left="1134" w:hanging="567"/>
        <w:contextualSpacing/>
        <w:rPr>
          <w:rFonts w:eastAsiaTheme="minorEastAsia"/>
        </w:rPr>
      </w:pPr>
      <w:r w:rsidRPr="00EA743E">
        <w:t xml:space="preserve">Whether the Authority uses molecular marker techniques </w:t>
      </w:r>
    </w:p>
    <w:p w:rsidR="00EA743E" w:rsidRPr="00EA743E" w:rsidRDefault="00EA743E" w:rsidP="00EA743E">
      <w:pPr>
        <w:numPr>
          <w:ilvl w:val="0"/>
          <w:numId w:val="21"/>
        </w:numPr>
        <w:spacing w:line="276" w:lineRule="auto"/>
        <w:ind w:left="1134" w:hanging="567"/>
        <w:contextualSpacing/>
      </w:pPr>
      <w:r w:rsidRPr="00EA743E">
        <w:t>Source [name of the Authority] and Contact details [email address]</w:t>
      </w:r>
    </w:p>
    <w:p w:rsidR="00EA743E" w:rsidRPr="00EA743E" w:rsidRDefault="00EA743E" w:rsidP="00EA743E">
      <w:pPr>
        <w:numPr>
          <w:ilvl w:val="0"/>
          <w:numId w:val="21"/>
        </w:numPr>
        <w:spacing w:line="276" w:lineRule="auto"/>
        <w:ind w:left="1134" w:hanging="567"/>
        <w:contextualSpacing/>
      </w:pPr>
      <w:r w:rsidRPr="00EA743E">
        <w:t>Type of molecular marker technique [AFLP, Capillary electrophoresis fragment analysis, MNP, RAPD-STS, SSR, SNPs, Taqman, Whole genome sequencing, other technique (please specify)] [more than one answer allowed]</w:t>
      </w:r>
    </w:p>
    <w:p w:rsidR="00EA743E" w:rsidRPr="00EA743E" w:rsidRDefault="00EA743E" w:rsidP="00EA743E">
      <w:pPr>
        <w:numPr>
          <w:ilvl w:val="0"/>
          <w:numId w:val="21"/>
        </w:numPr>
        <w:spacing w:line="276" w:lineRule="auto"/>
        <w:ind w:left="1134" w:hanging="567"/>
        <w:contextualSpacing/>
      </w:pPr>
      <w:r w:rsidRPr="00EA743E">
        <w:t>Source of the molecular marker and contact details [email address]</w:t>
      </w:r>
    </w:p>
    <w:p w:rsidR="00EA743E" w:rsidRPr="00EA743E" w:rsidRDefault="00EA743E" w:rsidP="00EA743E">
      <w:pPr>
        <w:numPr>
          <w:ilvl w:val="0"/>
          <w:numId w:val="21"/>
        </w:numPr>
        <w:spacing w:line="276" w:lineRule="auto"/>
        <w:ind w:left="1134" w:hanging="567"/>
        <w:contextualSpacing/>
      </w:pPr>
      <w:r w:rsidRPr="00EA743E">
        <w:t>Availability of the marker [publicly available or a proprietary marker]</w:t>
      </w:r>
    </w:p>
    <w:p w:rsidR="00EA743E" w:rsidRPr="00EA743E" w:rsidRDefault="00EA743E" w:rsidP="00EA743E">
      <w:pPr>
        <w:numPr>
          <w:ilvl w:val="0"/>
          <w:numId w:val="21"/>
        </w:numPr>
        <w:spacing w:line="276" w:lineRule="auto"/>
        <w:ind w:left="1134" w:hanging="567"/>
        <w:contextualSpacing/>
      </w:pPr>
      <w:r w:rsidRPr="00EA743E">
        <w:t>Status (i.e. in current use or under development)</w:t>
      </w:r>
    </w:p>
    <w:p w:rsidR="00EA743E" w:rsidRPr="00EA743E" w:rsidRDefault="00EA743E" w:rsidP="00EA743E">
      <w:pPr>
        <w:numPr>
          <w:ilvl w:val="0"/>
          <w:numId w:val="21"/>
        </w:numPr>
        <w:spacing w:line="276" w:lineRule="auto"/>
        <w:ind w:left="1134" w:hanging="567"/>
        <w:contextualSpacing/>
      </w:pPr>
      <w:r w:rsidRPr="00EA743E">
        <w:t>Crop(s) for which the molecular marker technique is used and characteristic concerned [botanical name(s) and UPOV code(s) to be provided]</w:t>
      </w:r>
    </w:p>
    <w:p w:rsidR="00EA743E" w:rsidRPr="00EA743E" w:rsidRDefault="00EA743E" w:rsidP="00EA743E">
      <w:pPr>
        <w:numPr>
          <w:ilvl w:val="0"/>
          <w:numId w:val="21"/>
        </w:numPr>
        <w:spacing w:line="276" w:lineRule="auto"/>
        <w:ind w:left="1134" w:hanging="567"/>
        <w:contextualSpacing/>
      </w:pPr>
      <w:r w:rsidRPr="00EA743E">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EA743E" w:rsidRPr="00EA743E" w:rsidRDefault="00EA743E" w:rsidP="00EA743E">
      <w:pPr>
        <w:numPr>
          <w:ilvl w:val="0"/>
          <w:numId w:val="21"/>
        </w:numPr>
        <w:spacing w:line="276" w:lineRule="auto"/>
        <w:ind w:left="1134" w:hanging="567"/>
        <w:contextualSpacing/>
      </w:pPr>
      <w:r w:rsidRPr="00EA743E">
        <w:t>Whether the molecular marker technique was used as part of Seed Certification in the last two years [National certification, OECD certification] [relevant for OECD seed schemes]</w:t>
      </w:r>
    </w:p>
    <w:p w:rsidR="00EA743E" w:rsidRPr="00EA743E" w:rsidRDefault="00EA743E" w:rsidP="00EA743E">
      <w:pPr>
        <w:numPr>
          <w:ilvl w:val="0"/>
          <w:numId w:val="21"/>
        </w:numPr>
        <w:spacing w:line="276" w:lineRule="auto"/>
        <w:ind w:left="1134" w:hanging="567"/>
        <w:contextualSpacing/>
      </w:pPr>
      <w:r w:rsidRPr="00EA743E">
        <w:t xml:space="preserve">Number of times the Authority used the molecular marker technique in the last 2 years [routine, occasional] [e.g. 1 to 5, 6 to 20, 21 to 100, more than 100] </w:t>
      </w:r>
    </w:p>
    <w:p w:rsidR="00EA743E" w:rsidRPr="00EA743E" w:rsidRDefault="00EA743E" w:rsidP="00EA743E">
      <w:pPr>
        <w:numPr>
          <w:ilvl w:val="0"/>
          <w:numId w:val="21"/>
        </w:numPr>
        <w:spacing w:line="276" w:lineRule="auto"/>
        <w:ind w:left="1134" w:hanging="567"/>
        <w:contextualSpacing/>
      </w:pPr>
      <w:r w:rsidRPr="00EA743E">
        <w:t>Whether the molecular marker technique is covered by [UPOV Test Guideline(s), UPOV TGP document(s), other UPOV document(s)]  (please specify)</w:t>
      </w:r>
    </w:p>
    <w:p w:rsidR="00EA743E" w:rsidRPr="00EA743E" w:rsidRDefault="00EA743E" w:rsidP="00D15F13">
      <w:pPr>
        <w:numPr>
          <w:ilvl w:val="0"/>
          <w:numId w:val="21"/>
        </w:numPr>
        <w:spacing w:line="276" w:lineRule="auto"/>
        <w:ind w:left="1134" w:hanging="567"/>
        <w:contextualSpacing/>
      </w:pPr>
      <w:r w:rsidRPr="00EA743E">
        <w:t>Whether the molecular technique is validated/recognized/authorized [yes to specify a particular organization or authority] [relevant for OECD seed schemes]</w:t>
      </w:r>
    </w:p>
    <w:p w:rsidR="00EA743E" w:rsidRPr="00EA743E" w:rsidRDefault="00EA743E" w:rsidP="00EA743E">
      <w:pPr>
        <w:numPr>
          <w:ilvl w:val="0"/>
          <w:numId w:val="21"/>
        </w:numPr>
        <w:spacing w:line="276" w:lineRule="auto"/>
        <w:ind w:left="1134" w:hanging="567"/>
        <w:contextualSpacing/>
      </w:pPr>
      <w:r w:rsidRPr="00EA743E">
        <w:t xml:space="preserve">Whether the Authority created databases with information obtained from use of the molecular marker technique </w:t>
      </w:r>
    </w:p>
    <w:p w:rsidR="00EA743E" w:rsidRPr="00EA743E" w:rsidRDefault="00EA743E" w:rsidP="00EA743E"/>
    <w:p w:rsidR="00275D9E" w:rsidRDefault="00EA743E" w:rsidP="00275D9E">
      <w:r w:rsidRPr="00EA743E">
        <w:fldChar w:fldCharType="begin"/>
      </w:r>
      <w:r w:rsidRPr="00EA743E">
        <w:instrText xml:space="preserve"> AUTONUM  </w:instrText>
      </w:r>
      <w:r w:rsidRPr="00EA743E">
        <w:fldChar w:fldCharType="end"/>
      </w:r>
      <w:r w:rsidRPr="00EA743E">
        <w:tab/>
        <w:t>The TC agreed that a circular should be issued to request members of the Union to complete a survey as a basis to develop an inventory on the use of molecular marker techniques, by crop, in coordination with the OECD.</w:t>
      </w:r>
      <w:r w:rsidR="00275D9E">
        <w:t xml:space="preserve">  </w:t>
      </w:r>
      <w:r w:rsidR="00275D9E">
        <w:br w:type="page"/>
      </w:r>
    </w:p>
    <w:p w:rsidR="00EA743E" w:rsidRPr="00EA743E" w:rsidRDefault="00EA743E" w:rsidP="00EA743E">
      <w:r w:rsidRPr="00EA743E">
        <w:lastRenderedPageBreak/>
        <w:fldChar w:fldCharType="begin"/>
      </w:r>
      <w:r w:rsidRPr="00EA743E">
        <w:instrText xml:space="preserve"> AUTONUM  </w:instrText>
      </w:r>
      <w:r w:rsidRPr="00EA743E">
        <w:fldChar w:fldCharType="end"/>
      </w:r>
      <w:r w:rsidRPr="00EA743E">
        <w:tab/>
        <w:t>The TC agreed with the BMT that the survey should have structured answers to allow the comparison of results, as much as possible.</w:t>
      </w:r>
    </w:p>
    <w:p w:rsidR="00EA743E" w:rsidRPr="002A6AF4" w:rsidRDefault="00EA743E" w:rsidP="00EA743E">
      <w:pPr>
        <w:rPr>
          <w:sz w:val="18"/>
        </w:rPr>
      </w:pPr>
    </w:p>
    <w:p w:rsidR="00EA743E" w:rsidRDefault="00EA743E" w:rsidP="00EA743E">
      <w:r w:rsidRPr="00EA743E">
        <w:fldChar w:fldCharType="begin"/>
      </w:r>
      <w:r w:rsidRPr="00EA743E">
        <w:instrText xml:space="preserve"> AUTONUM  </w:instrText>
      </w:r>
      <w:r w:rsidRPr="00EA743E">
        <w:fldChar w:fldCharType="end"/>
      </w:r>
      <w:r w:rsidRPr="00EA743E">
        <w:tab/>
        <w:t>The TC agreed that the Office of the Union should conduct a test survey with experts from the United Kingdom.</w:t>
      </w:r>
    </w:p>
    <w:p w:rsidR="00FF53A5" w:rsidRPr="002A6AF4" w:rsidRDefault="00FF53A5" w:rsidP="00EA743E">
      <w:pPr>
        <w:rPr>
          <w:sz w:val="18"/>
        </w:rPr>
      </w:pPr>
    </w:p>
    <w:p w:rsidR="00FF53A5" w:rsidRPr="00EA743E" w:rsidRDefault="00136714" w:rsidP="008721D0">
      <w:r>
        <w:fldChar w:fldCharType="begin"/>
      </w:r>
      <w:r>
        <w:instrText xml:space="preserve"> AUTONUM  </w:instrText>
      </w:r>
      <w:r>
        <w:fldChar w:fldCharType="end"/>
      </w:r>
      <w:r>
        <w:tab/>
        <w:t xml:space="preserve">A report on developments </w:t>
      </w:r>
      <w:r w:rsidR="008721D0">
        <w:t>concerning the survey will be made at the fifty-sixth session of the TC.</w:t>
      </w:r>
    </w:p>
    <w:p w:rsidR="00EA743E" w:rsidRPr="00EA743E" w:rsidRDefault="00EA743E" w:rsidP="00EA743E">
      <w:pPr>
        <w:tabs>
          <w:tab w:val="left" w:pos="5387"/>
        </w:tabs>
        <w:ind w:left="4820"/>
        <w:rPr>
          <w:i/>
          <w:snapToGrid w:val="0"/>
          <w:lang w:eastAsia="ja-JP"/>
        </w:rPr>
      </w:pPr>
    </w:p>
    <w:p w:rsidR="00EA743E" w:rsidRPr="00EA743E" w:rsidRDefault="00EA743E" w:rsidP="00EA743E">
      <w:pPr>
        <w:keepNext/>
        <w:keepLines/>
        <w:tabs>
          <w:tab w:val="left" w:pos="5387"/>
        </w:tabs>
        <w:ind w:left="4820"/>
        <w:rPr>
          <w:i/>
        </w:rPr>
      </w:pPr>
      <w:r w:rsidRPr="00EA743E">
        <w:rPr>
          <w:i/>
        </w:rPr>
        <w:fldChar w:fldCharType="begin"/>
      </w:r>
      <w:r w:rsidRPr="00EA743E">
        <w:rPr>
          <w:i/>
        </w:rPr>
        <w:instrText xml:space="preserve"> AUTONUM  </w:instrText>
      </w:r>
      <w:r w:rsidRPr="00EA743E">
        <w:rPr>
          <w:i/>
        </w:rPr>
        <w:fldChar w:fldCharType="end"/>
      </w:r>
      <w:r w:rsidRPr="00EA743E">
        <w:rPr>
          <w:i/>
        </w:rPr>
        <w:tab/>
        <w:t xml:space="preserve">The </w:t>
      </w:r>
      <w:r w:rsidR="00F05C6A">
        <w:rPr>
          <w:i/>
        </w:rPr>
        <w:t>BMT is</w:t>
      </w:r>
      <w:r w:rsidRPr="00EA743E">
        <w:rPr>
          <w:i/>
        </w:rPr>
        <w:t xml:space="preserve"> invited to note:</w:t>
      </w:r>
    </w:p>
    <w:p w:rsidR="00EA743E" w:rsidRPr="00EA743E" w:rsidRDefault="00EA743E" w:rsidP="00EA743E">
      <w:pPr>
        <w:keepNext/>
        <w:keepLines/>
        <w:tabs>
          <w:tab w:val="left" w:pos="5387"/>
        </w:tabs>
        <w:ind w:left="4820"/>
        <w:rPr>
          <w:i/>
        </w:rPr>
      </w:pPr>
    </w:p>
    <w:p w:rsidR="00EA743E" w:rsidRPr="00EA743E" w:rsidRDefault="00EA743E" w:rsidP="00EA743E">
      <w:pPr>
        <w:keepNext/>
        <w:keepLines/>
        <w:tabs>
          <w:tab w:val="left" w:pos="5387"/>
          <w:tab w:val="left" w:pos="5954"/>
        </w:tabs>
        <w:ind w:left="4820"/>
        <w:rPr>
          <w:i/>
        </w:rPr>
      </w:pPr>
      <w:r w:rsidRPr="00EA743E">
        <w:rPr>
          <w:i/>
        </w:rPr>
        <w:tab/>
        <w:t>(a)</w:t>
      </w:r>
      <w:r w:rsidRPr="00EA743E">
        <w:rPr>
          <w:i/>
        </w:rPr>
        <w:tab/>
        <w:t>that the TC, at its fifty-fifth session, agreed the elements for the inventory</w:t>
      </w:r>
      <w:r w:rsidRPr="00EA743E">
        <w:rPr>
          <w:i/>
          <w:lang w:eastAsia="ja-JP"/>
        </w:rPr>
        <w:t xml:space="preserve"> </w:t>
      </w:r>
      <w:r w:rsidRPr="00EA743E">
        <w:rPr>
          <w:i/>
        </w:rPr>
        <w:t>on the use of molecular marker techniques, by crop, as</w:t>
      </w:r>
      <w:r w:rsidRPr="00EA743E">
        <w:rPr>
          <w:i/>
          <w:lang w:eastAsia="ja-JP"/>
        </w:rPr>
        <w:t xml:space="preserve"> </w:t>
      </w:r>
      <w:r w:rsidRPr="00EA743E">
        <w:rPr>
          <w:i/>
        </w:rPr>
        <w:t xml:space="preserve">set </w:t>
      </w:r>
      <w:r w:rsidRPr="00265608">
        <w:rPr>
          <w:i/>
        </w:rPr>
        <w:t xml:space="preserve">out paragraph </w:t>
      </w:r>
      <w:r w:rsidR="00265608" w:rsidRPr="00265608">
        <w:rPr>
          <w:i/>
        </w:rPr>
        <w:t>7</w:t>
      </w:r>
      <w:r w:rsidRPr="00EA743E">
        <w:rPr>
          <w:i/>
        </w:rPr>
        <w:t xml:space="preserve"> of this document; and</w:t>
      </w:r>
    </w:p>
    <w:p w:rsidR="00EA743E" w:rsidRPr="00EA743E" w:rsidRDefault="00EA743E" w:rsidP="00EA743E">
      <w:pPr>
        <w:tabs>
          <w:tab w:val="left" w:pos="5387"/>
        </w:tabs>
        <w:ind w:left="4820"/>
        <w:rPr>
          <w:i/>
        </w:rPr>
      </w:pPr>
    </w:p>
    <w:p w:rsidR="00EA743E" w:rsidRPr="00EA743E" w:rsidRDefault="00EA743E" w:rsidP="00EA743E">
      <w:pPr>
        <w:tabs>
          <w:tab w:val="left" w:pos="5387"/>
          <w:tab w:val="left" w:pos="5954"/>
        </w:tabs>
        <w:ind w:left="4820"/>
        <w:rPr>
          <w:i/>
        </w:rPr>
      </w:pPr>
      <w:r w:rsidRPr="00EA743E">
        <w:rPr>
          <w:i/>
        </w:rPr>
        <w:tab/>
        <w:t>(b)</w:t>
      </w:r>
      <w:r w:rsidRPr="00EA743E">
        <w:rPr>
          <w:i/>
        </w:rPr>
        <w:tab/>
        <w:t>that a circular will be issued to request members of the Union to complete a survey as a basis to develop an inventory on the use of molecular marker techniques, by crop, in coordination with the OECD.</w:t>
      </w:r>
    </w:p>
    <w:p w:rsidR="00EA743E" w:rsidRPr="002A6AF4" w:rsidRDefault="00EA743E" w:rsidP="00EA743E">
      <w:pPr>
        <w:rPr>
          <w:rFonts w:eastAsiaTheme="minorEastAsia"/>
          <w:sz w:val="18"/>
        </w:rPr>
      </w:pPr>
    </w:p>
    <w:p w:rsidR="002A6AF4" w:rsidRPr="002A6AF4" w:rsidRDefault="002A6AF4" w:rsidP="00EA743E">
      <w:pPr>
        <w:rPr>
          <w:rFonts w:eastAsiaTheme="minorEastAsia"/>
          <w:sz w:val="18"/>
        </w:rPr>
      </w:pPr>
    </w:p>
    <w:p w:rsidR="00EA743E" w:rsidRPr="00EA743E" w:rsidRDefault="00EA743E" w:rsidP="00EA743E">
      <w:pPr>
        <w:keepNext/>
        <w:outlineLvl w:val="1"/>
        <w:rPr>
          <w:rFonts w:eastAsiaTheme="minorEastAsia"/>
          <w:snapToGrid w:val="0"/>
          <w:u w:val="single"/>
          <w:lang w:eastAsia="ja-JP"/>
        </w:rPr>
      </w:pPr>
      <w:bookmarkStart w:id="22" w:name="_Toc14980929"/>
      <w:bookmarkStart w:id="23" w:name="_Toc15059500"/>
      <w:bookmarkStart w:id="24" w:name="_Toc15295345"/>
      <w:bookmarkStart w:id="25" w:name="_Toc22564624"/>
      <w:bookmarkStart w:id="26" w:name="_Toc27663378"/>
      <w:bookmarkStart w:id="27" w:name="_Toc50130219"/>
      <w:r w:rsidRPr="00EA743E">
        <w:rPr>
          <w:rFonts w:eastAsiaTheme="minorEastAsia"/>
          <w:snapToGrid w:val="0"/>
          <w:u w:val="single"/>
          <w:lang w:eastAsia="ja-JP"/>
        </w:rPr>
        <w:t>Lists of possible joint initiatives with OECD and ISTA in relation to molecular techniques</w:t>
      </w:r>
      <w:bookmarkEnd w:id="22"/>
      <w:bookmarkEnd w:id="23"/>
      <w:bookmarkEnd w:id="24"/>
      <w:bookmarkEnd w:id="25"/>
      <w:bookmarkEnd w:id="26"/>
      <w:bookmarkEnd w:id="27"/>
    </w:p>
    <w:p w:rsidR="00EA743E" w:rsidRPr="00EA743E" w:rsidRDefault="00EA743E" w:rsidP="00EA743E"/>
    <w:p w:rsidR="00EA743E" w:rsidRPr="00EA743E" w:rsidRDefault="00EA743E" w:rsidP="00EA743E">
      <w:r w:rsidRPr="00EA743E">
        <w:fldChar w:fldCharType="begin"/>
      </w:r>
      <w:r w:rsidRPr="00EA743E">
        <w:instrText xml:space="preserve"> AUTONUM  </w:instrText>
      </w:r>
      <w:r w:rsidRPr="00EA743E">
        <w:fldChar w:fldCharType="end"/>
      </w:r>
      <w:r w:rsidRPr="00EA743E">
        <w:tab/>
        <w:t xml:space="preserve">The BMT, </w:t>
      </w:r>
      <w:r w:rsidRPr="00EA743E">
        <w:rPr>
          <w:rFonts w:eastAsiaTheme="minorEastAsia"/>
        </w:rPr>
        <w:t xml:space="preserve">at its eighteenth session, </w:t>
      </w:r>
      <w:r w:rsidRPr="00EA743E">
        <w:rPr>
          <w:rFonts w:eastAsiaTheme="minorEastAsia"/>
          <w:lang w:eastAsia="ja-JP"/>
        </w:rPr>
        <w:t xml:space="preserve">considered document BMT/18/4 “Cooperation between International Organizations” and </w:t>
      </w:r>
      <w:r w:rsidRPr="00EA743E">
        <w:t>the request to develop lists of possible joint initiatives with OECD and ISTA, in relation to molecular techniques.  The BMT</w:t>
      </w:r>
      <w:r w:rsidRPr="00EA743E">
        <w:rPr>
          <w:rFonts w:eastAsiaTheme="minorEastAsia"/>
        </w:rPr>
        <w:t xml:space="preserve"> </w:t>
      </w:r>
      <w:r w:rsidRPr="00EA743E">
        <w:t>agreed to propose the repeating of joint workshops with ISTA and OECD in future. The BMT agreed to propose a joint initiative that each organization inform the others about use of molecular markers in their work</w:t>
      </w:r>
      <w:r w:rsidRPr="00EA743E">
        <w:rPr>
          <w:rFonts w:eastAsiaTheme="minorEastAsia"/>
          <w:iCs/>
          <w:lang w:eastAsia="ja-JP"/>
        </w:rPr>
        <w:t xml:space="preserve"> </w:t>
      </w:r>
      <w:r w:rsidRPr="00EA743E">
        <w:rPr>
          <w:rFonts w:eastAsiaTheme="minorEastAsia" w:hint="eastAsia"/>
          <w:lang w:eastAsia="ja-JP"/>
        </w:rPr>
        <w:t>(see document BMT/1</w:t>
      </w:r>
      <w:r w:rsidRPr="00EA743E">
        <w:rPr>
          <w:rFonts w:eastAsiaTheme="minorEastAsia"/>
          <w:lang w:eastAsia="ja-JP"/>
        </w:rPr>
        <w:t>8/21 “Report”</w:t>
      </w:r>
      <w:r w:rsidRPr="00EA743E">
        <w:rPr>
          <w:rFonts w:eastAsiaTheme="minorEastAsia" w:hint="eastAsia"/>
          <w:lang w:eastAsia="ja-JP"/>
        </w:rPr>
        <w:t>, paragraph</w:t>
      </w:r>
      <w:r w:rsidRPr="00EA743E">
        <w:rPr>
          <w:rFonts w:eastAsiaTheme="minorEastAsia"/>
          <w:lang w:eastAsia="ja-JP"/>
        </w:rPr>
        <w:t> 34</w:t>
      </w:r>
      <w:r w:rsidRPr="00EA743E">
        <w:rPr>
          <w:rFonts w:eastAsiaTheme="minorEastAsia" w:hint="eastAsia"/>
          <w:lang w:eastAsia="ja-JP"/>
        </w:rPr>
        <w:t>)</w:t>
      </w:r>
      <w:r w:rsidRPr="00EA743E">
        <w:t xml:space="preserve">. </w:t>
      </w:r>
    </w:p>
    <w:p w:rsidR="00EA743E" w:rsidRPr="002A6AF4" w:rsidRDefault="00EA743E" w:rsidP="002A6AF4">
      <w:pPr>
        <w:rPr>
          <w:rFonts w:eastAsiaTheme="minorEastAsia"/>
          <w:sz w:val="18"/>
        </w:rPr>
      </w:pPr>
    </w:p>
    <w:p w:rsidR="00EA743E" w:rsidRPr="00EA743E" w:rsidRDefault="00EA743E" w:rsidP="00EA743E">
      <w:pPr>
        <w:keepNext/>
      </w:pPr>
      <w:r w:rsidRPr="00EA743E">
        <w:fldChar w:fldCharType="begin"/>
      </w:r>
      <w:r w:rsidRPr="00EA743E">
        <w:instrText xml:space="preserve"> AUTONUM  </w:instrText>
      </w:r>
      <w:r w:rsidRPr="00EA743E">
        <w:fldChar w:fldCharType="end"/>
      </w:r>
      <w:r w:rsidRPr="00EA743E">
        <w:tab/>
        <w:t>The TC</w:t>
      </w:r>
      <w:r w:rsidRPr="00EA743E">
        <w:rPr>
          <w:rFonts w:eastAsiaTheme="minorEastAsia"/>
        </w:rPr>
        <w:t xml:space="preserve">, at its fifty-fifth session, </w:t>
      </w:r>
      <w:r w:rsidRPr="00EA743E">
        <w:t>considered possible joint initiatives with OECD and ISTA in relation to molecular techniques and agreed with t</w:t>
      </w:r>
      <w:r w:rsidRPr="00EA743E">
        <w:rPr>
          <w:snapToGrid w:val="0"/>
        </w:rPr>
        <w:t xml:space="preserve">he proposal made by the </w:t>
      </w:r>
      <w:r w:rsidRPr="00EA743E">
        <w:t>BMT, at its eighteenth session, for joint workshops to be repeated in future</w:t>
      </w:r>
      <w:r w:rsidRPr="00EA743E">
        <w:rPr>
          <w:lang w:eastAsia="ja-JP"/>
        </w:rPr>
        <w:t xml:space="preserve"> (see document TC/55/25 “Report”, paragraphs 189 to 191)</w:t>
      </w:r>
      <w:r w:rsidRPr="00EA743E">
        <w:t xml:space="preserve">.  </w:t>
      </w:r>
    </w:p>
    <w:p w:rsidR="00EA743E" w:rsidRPr="002A6AF4" w:rsidRDefault="00EA743E" w:rsidP="002A6AF4">
      <w:pPr>
        <w:rPr>
          <w:sz w:val="18"/>
        </w:rPr>
      </w:pPr>
    </w:p>
    <w:p w:rsidR="00EA743E" w:rsidRPr="00EA743E" w:rsidRDefault="00EA743E" w:rsidP="00EA743E">
      <w:pPr>
        <w:keepNext/>
      </w:pPr>
      <w:r w:rsidRPr="00EA743E">
        <w:fldChar w:fldCharType="begin"/>
      </w:r>
      <w:r w:rsidRPr="00EA743E">
        <w:instrText xml:space="preserve"> AUTONUM  </w:instrText>
      </w:r>
      <w:r w:rsidRPr="00EA743E">
        <w:fldChar w:fldCharType="end"/>
      </w:r>
      <w:r w:rsidRPr="00EA743E">
        <w:tab/>
        <w:t>The TC agreed with the BMT to propose a joint initiative that each organization inform the others about use of molecular markers in their work</w:t>
      </w:r>
      <w:r w:rsidRPr="00EA743E">
        <w:rPr>
          <w:iCs/>
          <w:lang w:eastAsia="ja-JP"/>
        </w:rPr>
        <w:t>.</w:t>
      </w:r>
    </w:p>
    <w:p w:rsidR="00EA743E" w:rsidRPr="002A6AF4" w:rsidRDefault="00EA743E" w:rsidP="002A6AF4">
      <w:pPr>
        <w:rPr>
          <w:sz w:val="18"/>
        </w:rPr>
      </w:pPr>
    </w:p>
    <w:p w:rsidR="00823259" w:rsidRDefault="00EA743E" w:rsidP="00D627D1">
      <w:r w:rsidRPr="00EA743E">
        <w:fldChar w:fldCharType="begin"/>
      </w:r>
      <w:r w:rsidRPr="00EA743E">
        <w:instrText xml:space="preserve"> AUTONUM  </w:instrText>
      </w:r>
      <w:r w:rsidRPr="00EA743E">
        <w:fldChar w:fldCharType="end"/>
      </w:r>
      <w:r w:rsidRPr="00EA743E">
        <w:tab/>
        <w:t xml:space="preserve">The TC noted there were no definitions on biochemical and molecular techniques in UPOV.  The TC agreed that information from the survey on the techniques could help to clarify techniques that were considered to be biochemical or molecular.  </w:t>
      </w:r>
    </w:p>
    <w:p w:rsidR="00A023CB" w:rsidRPr="002A6AF4" w:rsidRDefault="00A023CB" w:rsidP="002A6AF4">
      <w:pPr>
        <w:rPr>
          <w:sz w:val="18"/>
        </w:rPr>
      </w:pPr>
    </w:p>
    <w:p w:rsidR="00EA743E" w:rsidRPr="00EA743E" w:rsidRDefault="00EA743E" w:rsidP="00EA743E">
      <w:pPr>
        <w:tabs>
          <w:tab w:val="left" w:pos="5387"/>
        </w:tabs>
        <w:ind w:left="4820"/>
        <w:rPr>
          <w:i/>
        </w:rPr>
      </w:pPr>
      <w:r w:rsidRPr="00EA743E">
        <w:rPr>
          <w:i/>
        </w:rPr>
        <w:fldChar w:fldCharType="begin"/>
      </w:r>
      <w:r w:rsidRPr="00EA743E">
        <w:rPr>
          <w:i/>
        </w:rPr>
        <w:instrText xml:space="preserve"> AUTONUM  </w:instrText>
      </w:r>
      <w:r w:rsidRPr="00EA743E">
        <w:rPr>
          <w:i/>
        </w:rPr>
        <w:fldChar w:fldCharType="end"/>
      </w:r>
      <w:r w:rsidRPr="00EA743E">
        <w:rPr>
          <w:i/>
        </w:rPr>
        <w:tab/>
        <w:t xml:space="preserve">The </w:t>
      </w:r>
      <w:r w:rsidR="00346C00">
        <w:rPr>
          <w:i/>
        </w:rPr>
        <w:t>BMT is</w:t>
      </w:r>
      <w:r w:rsidRPr="00EA743E">
        <w:rPr>
          <w:i/>
        </w:rPr>
        <w:t xml:space="preserve"> invited to note that the TC, at its fifty</w:t>
      </w:r>
      <w:r w:rsidR="00346C00">
        <w:rPr>
          <w:i/>
        </w:rPr>
        <w:t> </w:t>
      </w:r>
      <w:r w:rsidRPr="00EA743E">
        <w:rPr>
          <w:i/>
        </w:rPr>
        <w:t>fifth session, agreed:</w:t>
      </w:r>
    </w:p>
    <w:p w:rsidR="00EA743E" w:rsidRPr="002A6AF4" w:rsidRDefault="00EA743E" w:rsidP="002A6AF4">
      <w:pPr>
        <w:rPr>
          <w:sz w:val="18"/>
        </w:rPr>
      </w:pPr>
    </w:p>
    <w:p w:rsidR="00EA743E" w:rsidRPr="00EA743E" w:rsidRDefault="00EA743E" w:rsidP="00EA743E">
      <w:pPr>
        <w:tabs>
          <w:tab w:val="left" w:pos="5387"/>
          <w:tab w:val="left" w:pos="5954"/>
        </w:tabs>
        <w:ind w:left="4820"/>
        <w:rPr>
          <w:i/>
        </w:rPr>
      </w:pPr>
      <w:r w:rsidRPr="00EA743E">
        <w:rPr>
          <w:i/>
        </w:rPr>
        <w:tab/>
        <w:t>(a)</w:t>
      </w:r>
      <w:r w:rsidRPr="00EA743E">
        <w:rPr>
          <w:i/>
        </w:rPr>
        <w:tab/>
        <w:t xml:space="preserve">for joint OECD, UPOV, ISTA workshops to be repeated in future, as a possible joint initiative in relation to molecular techniques; </w:t>
      </w:r>
    </w:p>
    <w:p w:rsidR="00EA743E" w:rsidRPr="002A6AF4" w:rsidRDefault="00EA743E" w:rsidP="002A6AF4">
      <w:pPr>
        <w:rPr>
          <w:sz w:val="18"/>
        </w:rPr>
      </w:pPr>
    </w:p>
    <w:p w:rsidR="00EA743E" w:rsidRPr="00EA743E" w:rsidRDefault="00EA743E" w:rsidP="00EA743E">
      <w:pPr>
        <w:tabs>
          <w:tab w:val="left" w:pos="5387"/>
          <w:tab w:val="left" w:pos="5954"/>
        </w:tabs>
        <w:ind w:left="4820"/>
        <w:rPr>
          <w:i/>
        </w:rPr>
      </w:pPr>
      <w:r w:rsidRPr="00EA743E">
        <w:rPr>
          <w:i/>
        </w:rPr>
        <w:tab/>
        <w:t>(b)</w:t>
      </w:r>
      <w:r w:rsidRPr="00EA743E">
        <w:rPr>
          <w:i/>
        </w:rPr>
        <w:tab/>
        <w:t>to propose a joint initiative that each organization inform the others about use of molecular markers in their work; and</w:t>
      </w:r>
    </w:p>
    <w:p w:rsidR="00EA743E" w:rsidRPr="002A6AF4" w:rsidRDefault="00EA743E" w:rsidP="002A6AF4">
      <w:pPr>
        <w:rPr>
          <w:sz w:val="18"/>
        </w:rPr>
      </w:pPr>
    </w:p>
    <w:p w:rsidR="00EA743E" w:rsidRPr="00EA743E" w:rsidRDefault="00EA743E" w:rsidP="00EA743E">
      <w:pPr>
        <w:tabs>
          <w:tab w:val="left" w:pos="5387"/>
          <w:tab w:val="left" w:pos="5954"/>
        </w:tabs>
        <w:ind w:left="4820"/>
        <w:rPr>
          <w:i/>
        </w:rPr>
      </w:pPr>
      <w:r w:rsidRPr="00EA743E">
        <w:rPr>
          <w:i/>
        </w:rPr>
        <w:tab/>
        <w:t>(c)</w:t>
      </w:r>
      <w:r w:rsidRPr="00EA743E">
        <w:rPr>
          <w:i/>
        </w:rPr>
        <w:tab/>
        <w:t>that information from the survey on the techniques could help to clarify techniques that were considered to be biochemical or molecular.</w:t>
      </w:r>
    </w:p>
    <w:p w:rsidR="00EA743E" w:rsidRPr="002A6AF4" w:rsidRDefault="00EA743E" w:rsidP="00EA743E">
      <w:pPr>
        <w:outlineLvl w:val="2"/>
        <w:rPr>
          <w:rFonts w:eastAsiaTheme="minorEastAsia"/>
          <w:sz w:val="18"/>
        </w:rPr>
      </w:pPr>
    </w:p>
    <w:p w:rsidR="002A6AF4" w:rsidRPr="002A6AF4" w:rsidRDefault="002A6AF4" w:rsidP="00EA743E">
      <w:pPr>
        <w:outlineLvl w:val="2"/>
        <w:rPr>
          <w:rFonts w:eastAsiaTheme="minorEastAsia"/>
          <w:sz w:val="18"/>
        </w:rPr>
      </w:pPr>
    </w:p>
    <w:p w:rsidR="00EA743E" w:rsidRPr="00EA743E" w:rsidRDefault="00EA743E" w:rsidP="00EA743E">
      <w:pPr>
        <w:keepNext/>
        <w:outlineLvl w:val="1"/>
        <w:rPr>
          <w:rFonts w:eastAsiaTheme="minorEastAsia"/>
          <w:snapToGrid w:val="0"/>
          <w:u w:val="single"/>
          <w:lang w:eastAsia="ja-JP"/>
        </w:rPr>
      </w:pPr>
      <w:bookmarkStart w:id="28" w:name="_Toc50130220"/>
      <w:r w:rsidRPr="00EA743E">
        <w:rPr>
          <w:rFonts w:eastAsiaTheme="minorEastAsia"/>
          <w:snapToGrid w:val="0"/>
          <w:u w:val="single"/>
          <w:lang w:eastAsia="ja-JP"/>
        </w:rPr>
        <w:t>Joint document explaining the principal features of the systems of OECD, UPOV and ISTA</w:t>
      </w:r>
      <w:bookmarkEnd w:id="17"/>
      <w:bookmarkEnd w:id="18"/>
      <w:bookmarkEnd w:id="19"/>
      <w:bookmarkEnd w:id="20"/>
      <w:bookmarkEnd w:id="21"/>
      <w:bookmarkEnd w:id="28"/>
    </w:p>
    <w:p w:rsidR="00EA743E" w:rsidRPr="002A6AF4" w:rsidRDefault="00EA743E" w:rsidP="002A6AF4">
      <w:pPr>
        <w:keepNext/>
        <w:rPr>
          <w:rFonts w:eastAsiaTheme="minorEastAsia"/>
          <w:sz w:val="18"/>
        </w:rPr>
      </w:pPr>
    </w:p>
    <w:p w:rsidR="002A6AF4" w:rsidRDefault="00EA743E" w:rsidP="002A6AF4">
      <w:pPr>
        <w:keepLines/>
      </w:pPr>
      <w:r w:rsidRPr="00EA743E">
        <w:rPr>
          <w:rFonts w:eastAsiaTheme="minorEastAsia"/>
          <w:color w:val="000000"/>
        </w:rPr>
        <w:fldChar w:fldCharType="begin"/>
      </w:r>
      <w:r w:rsidRPr="00EA743E">
        <w:rPr>
          <w:rFonts w:eastAsiaTheme="minorEastAsia"/>
          <w:color w:val="000000"/>
        </w:rPr>
        <w:instrText xml:space="preserve"> AUTONUM  </w:instrText>
      </w:r>
      <w:r w:rsidRPr="00EA743E">
        <w:rPr>
          <w:rFonts w:eastAsiaTheme="minorEastAsia"/>
          <w:color w:val="000000"/>
        </w:rPr>
        <w:fldChar w:fldCharType="end"/>
      </w:r>
      <w:r w:rsidRPr="00EA743E">
        <w:rPr>
          <w:rFonts w:eastAsiaTheme="minorEastAsia"/>
          <w:color w:val="000000"/>
        </w:rPr>
        <w:tab/>
      </w:r>
      <w:r w:rsidRPr="00EA743E">
        <w:rPr>
          <w:rFonts w:eastAsiaTheme="minorEastAsia"/>
        </w:rPr>
        <w:t xml:space="preserve">The BMT, at its eighteenth session, </w:t>
      </w:r>
      <w:r w:rsidRPr="00EA743E">
        <w:rPr>
          <w:rFonts w:eastAsiaTheme="minorEastAsia"/>
          <w:lang w:eastAsia="ja-JP"/>
        </w:rPr>
        <w:t xml:space="preserve">considered document BMT/18/4 “Cooperation between International Organizations”. The BMT </w:t>
      </w:r>
      <w:r w:rsidRPr="00EA743E">
        <w:t xml:space="preserve">agreed that relevant elements from the World Seed Partnership and the FAQ on the use of molecular techniques in the examination of DUS, as reproduced in </w:t>
      </w:r>
      <w:r w:rsidR="00265608" w:rsidRPr="00265608">
        <w:t xml:space="preserve">the </w:t>
      </w:r>
      <w:r w:rsidRPr="00265608">
        <w:t>Annex to</w:t>
      </w:r>
      <w:r w:rsidRPr="00EA743E">
        <w:t xml:space="preserve"> this document, would be a suitable basis for the Office of the Union to develop a draft of a joint document explaining the principal features of the systems of OECD, UPOV and ISTA, in consultation with OECD</w:t>
      </w:r>
      <w:r w:rsidRPr="00EA743E">
        <w:rPr>
          <w:rFonts w:eastAsiaTheme="minorEastAsia"/>
          <w:iCs/>
          <w:lang w:eastAsia="ja-JP"/>
        </w:rPr>
        <w:t xml:space="preserve"> </w:t>
      </w:r>
      <w:r w:rsidRPr="00EA743E">
        <w:rPr>
          <w:rFonts w:eastAsiaTheme="minorEastAsia" w:hint="eastAsia"/>
          <w:lang w:eastAsia="ja-JP"/>
        </w:rPr>
        <w:t>(see</w:t>
      </w:r>
      <w:r w:rsidRPr="00EA743E">
        <w:rPr>
          <w:rFonts w:eastAsiaTheme="minorEastAsia"/>
          <w:lang w:eastAsia="ja-JP"/>
        </w:rPr>
        <w:t> </w:t>
      </w:r>
      <w:r w:rsidRPr="00EA743E">
        <w:rPr>
          <w:rFonts w:eastAsiaTheme="minorEastAsia" w:hint="eastAsia"/>
          <w:lang w:eastAsia="ja-JP"/>
        </w:rPr>
        <w:t>document</w:t>
      </w:r>
      <w:r w:rsidRPr="00EA743E">
        <w:rPr>
          <w:rFonts w:eastAsiaTheme="minorEastAsia"/>
          <w:lang w:eastAsia="ja-JP"/>
        </w:rPr>
        <w:t> </w:t>
      </w:r>
      <w:r w:rsidRPr="00EA743E">
        <w:rPr>
          <w:rFonts w:eastAsiaTheme="minorEastAsia" w:hint="eastAsia"/>
          <w:lang w:eastAsia="ja-JP"/>
        </w:rPr>
        <w:t>BMT/1</w:t>
      </w:r>
      <w:r w:rsidRPr="00EA743E">
        <w:rPr>
          <w:rFonts w:eastAsiaTheme="minorEastAsia"/>
          <w:lang w:eastAsia="ja-JP"/>
        </w:rPr>
        <w:t>8/21 “Report”</w:t>
      </w:r>
      <w:r w:rsidRPr="00EA743E">
        <w:rPr>
          <w:rFonts w:eastAsiaTheme="minorEastAsia" w:hint="eastAsia"/>
          <w:lang w:eastAsia="ja-JP"/>
        </w:rPr>
        <w:t>, paragraph</w:t>
      </w:r>
      <w:r w:rsidRPr="00EA743E">
        <w:rPr>
          <w:rFonts w:eastAsiaTheme="minorEastAsia"/>
          <w:lang w:eastAsia="ja-JP"/>
        </w:rPr>
        <w:t>s 22 and 23</w:t>
      </w:r>
      <w:r w:rsidRPr="00EA743E">
        <w:rPr>
          <w:rFonts w:eastAsiaTheme="minorEastAsia" w:hint="eastAsia"/>
          <w:lang w:eastAsia="ja-JP"/>
        </w:rPr>
        <w:t>)</w:t>
      </w:r>
      <w:r w:rsidRPr="00EA743E">
        <w:t xml:space="preserve">.  </w:t>
      </w:r>
      <w:r w:rsidR="002A6AF4">
        <w:t xml:space="preserve">  </w:t>
      </w:r>
      <w:r w:rsidR="002A6AF4">
        <w:br w:type="page"/>
      </w:r>
    </w:p>
    <w:bookmarkStart w:id="29" w:name="_Toc22569703"/>
    <w:p w:rsidR="00EA743E" w:rsidRPr="00EA743E" w:rsidRDefault="00EA743E" w:rsidP="00FE4F3E">
      <w:pPr>
        <w:keepLines/>
        <w:rPr>
          <w:rFonts w:eastAsiaTheme="minorEastAsia"/>
          <w:iCs/>
        </w:rPr>
      </w:pPr>
      <w:r w:rsidRPr="00EA743E">
        <w:rPr>
          <w:rFonts w:eastAsiaTheme="minorEastAsia"/>
        </w:rPr>
        <w:lastRenderedPageBreak/>
        <w:fldChar w:fldCharType="begin"/>
      </w:r>
      <w:r w:rsidRPr="00EA743E">
        <w:rPr>
          <w:rFonts w:eastAsiaTheme="minorEastAsia"/>
        </w:rPr>
        <w:instrText xml:space="preserve"> AUTONUM  </w:instrText>
      </w:r>
      <w:r w:rsidRPr="00EA743E">
        <w:rPr>
          <w:rFonts w:eastAsiaTheme="minorEastAsia"/>
        </w:rPr>
        <w:fldChar w:fldCharType="end"/>
      </w:r>
      <w:r w:rsidRPr="00EA743E">
        <w:rPr>
          <w:rFonts w:eastAsiaTheme="minorEastAsia"/>
        </w:rPr>
        <w:tab/>
        <w:t>The TC, at its fifty-fifth session,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EA743E">
        <w:rPr>
          <w:lang w:eastAsia="ja-JP"/>
        </w:rPr>
        <w:t xml:space="preserve"> (see document TC/55/25 “Report”, paragraph 182)</w:t>
      </w:r>
      <w:r w:rsidRPr="00EA743E">
        <w:rPr>
          <w:rFonts w:eastAsiaTheme="minorEastAsia"/>
        </w:rPr>
        <w:t>.</w:t>
      </w:r>
      <w:r w:rsidRPr="00EA743E">
        <w:rPr>
          <w:rFonts w:eastAsiaTheme="minorEastAsia"/>
          <w:iCs/>
        </w:rPr>
        <w:t xml:space="preserve"> </w:t>
      </w:r>
    </w:p>
    <w:p w:rsidR="00EA743E" w:rsidRPr="00EA743E" w:rsidRDefault="00EA743E" w:rsidP="00EA743E">
      <w:pPr>
        <w:rPr>
          <w:rFonts w:eastAsiaTheme="minorEastAsia"/>
        </w:rPr>
      </w:pPr>
    </w:p>
    <w:p w:rsidR="00EA743E" w:rsidRDefault="00EA743E" w:rsidP="00A023CB">
      <w:pPr>
        <w:rPr>
          <w:rFonts w:eastAsiaTheme="minorEastAsia"/>
        </w:rPr>
      </w:pPr>
      <w:r w:rsidRPr="00EA743E">
        <w:rPr>
          <w:rFonts w:eastAsiaTheme="minorEastAsia"/>
        </w:rPr>
        <w:fldChar w:fldCharType="begin"/>
      </w:r>
      <w:r w:rsidRPr="00EA743E">
        <w:rPr>
          <w:rFonts w:eastAsiaTheme="minorEastAsia"/>
        </w:rPr>
        <w:instrText xml:space="preserve"> AUTONUM  </w:instrText>
      </w:r>
      <w:r w:rsidRPr="00EA743E">
        <w:rPr>
          <w:rFonts w:eastAsiaTheme="minorEastAsia"/>
        </w:rPr>
        <w:fldChar w:fldCharType="end"/>
      </w:r>
      <w:r w:rsidRPr="00EA743E">
        <w:rPr>
          <w:rFonts w:eastAsiaTheme="minorEastAsia"/>
        </w:rPr>
        <w:tab/>
        <w:t>The Office of the Union has been in contact with the OECD Seed Schemes and will report on developments on the draft of a joint document to the TC, at its fifty-sixth session.</w:t>
      </w:r>
    </w:p>
    <w:p w:rsidR="00A023CB" w:rsidRPr="00EA743E" w:rsidRDefault="00A023CB" w:rsidP="00A023CB">
      <w:pPr>
        <w:rPr>
          <w:i/>
          <w:snapToGrid w:val="0"/>
          <w:lang w:eastAsia="ja-JP"/>
        </w:rPr>
      </w:pPr>
    </w:p>
    <w:p w:rsidR="00EA743E" w:rsidRPr="00EA743E" w:rsidRDefault="00EA743E" w:rsidP="00EA743E">
      <w:pPr>
        <w:tabs>
          <w:tab w:val="left" w:pos="5387"/>
        </w:tabs>
        <w:ind w:left="4820"/>
        <w:rPr>
          <w:i/>
        </w:rPr>
      </w:pPr>
      <w:r w:rsidRPr="00EA743E">
        <w:rPr>
          <w:i/>
        </w:rPr>
        <w:fldChar w:fldCharType="begin"/>
      </w:r>
      <w:r w:rsidRPr="00EA743E">
        <w:rPr>
          <w:i/>
        </w:rPr>
        <w:instrText xml:space="preserve"> AUTONUM  </w:instrText>
      </w:r>
      <w:r w:rsidRPr="00EA743E">
        <w:rPr>
          <w:i/>
        </w:rPr>
        <w:fldChar w:fldCharType="end"/>
      </w:r>
      <w:r w:rsidRPr="00EA743E">
        <w:rPr>
          <w:i/>
        </w:rPr>
        <w:tab/>
        <w:t xml:space="preserve">The </w:t>
      </w:r>
      <w:r w:rsidR="006C50ED">
        <w:rPr>
          <w:i/>
        </w:rPr>
        <w:t>BMT is</w:t>
      </w:r>
      <w:r w:rsidRPr="00EA743E">
        <w:rPr>
          <w:i/>
        </w:rPr>
        <w:t xml:space="preserve"> invited to note that the TC, at its fifty</w:t>
      </w:r>
      <w:r w:rsidR="006C50ED">
        <w:rPr>
          <w:i/>
        </w:rPr>
        <w:noBreakHyphen/>
      </w:r>
      <w:r w:rsidRPr="00EA743E">
        <w:rPr>
          <w:i/>
        </w:rPr>
        <w:t>fifth session, agreed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p>
    <w:bookmarkEnd w:id="29"/>
    <w:p w:rsidR="00EA743E" w:rsidRPr="00EA743E" w:rsidRDefault="00EA743E" w:rsidP="00EA743E">
      <w:pPr>
        <w:tabs>
          <w:tab w:val="left" w:pos="5387"/>
          <w:tab w:val="left" w:pos="5954"/>
        </w:tabs>
        <w:ind w:left="4820"/>
        <w:rPr>
          <w:i/>
        </w:rPr>
      </w:pPr>
    </w:p>
    <w:p w:rsidR="00EA743E" w:rsidRPr="00EA743E" w:rsidRDefault="00EA743E" w:rsidP="00EA743E">
      <w:pPr>
        <w:tabs>
          <w:tab w:val="left" w:pos="5387"/>
          <w:tab w:val="left" w:pos="5954"/>
        </w:tabs>
        <w:ind w:left="4820"/>
        <w:rPr>
          <w:i/>
        </w:rPr>
      </w:pPr>
    </w:p>
    <w:bookmarkEnd w:id="8"/>
    <w:bookmarkEnd w:id="7"/>
    <w:bookmarkEnd w:id="6"/>
    <w:bookmarkEnd w:id="5"/>
    <w:p w:rsidR="00EA743E" w:rsidRPr="00EA743E" w:rsidRDefault="00EA743E" w:rsidP="00EA743E">
      <w:pPr>
        <w:jc w:val="right"/>
      </w:pPr>
      <w:r w:rsidRPr="00EA743E">
        <w:rPr>
          <w:rFonts w:hint="eastAsia"/>
        </w:rPr>
        <w:t>[</w:t>
      </w:r>
      <w:r w:rsidRPr="00EA743E">
        <w:t>Annex follow</w:t>
      </w:r>
      <w:r w:rsidR="00E773FD">
        <w:t>s</w:t>
      </w:r>
      <w:r w:rsidRPr="00EA743E">
        <w:t>]</w:t>
      </w:r>
    </w:p>
    <w:p w:rsidR="00EA743E" w:rsidRDefault="00EA743E" w:rsidP="00EA743E">
      <w:pPr>
        <w:jc w:val="left"/>
      </w:pPr>
    </w:p>
    <w:p w:rsidR="002A6AF4" w:rsidRDefault="002A6AF4" w:rsidP="00EA743E">
      <w:pPr>
        <w:jc w:val="left"/>
      </w:pPr>
    </w:p>
    <w:p w:rsidR="002A6AF4" w:rsidRPr="00EA743E" w:rsidRDefault="002A6AF4" w:rsidP="00EA743E">
      <w:pPr>
        <w:jc w:val="left"/>
        <w:sectPr w:rsidR="002A6AF4" w:rsidRPr="00EA743E" w:rsidSect="00CE4216">
          <w:headerReference w:type="default" r:id="rId9"/>
          <w:pgSz w:w="11907" w:h="16840" w:code="9"/>
          <w:pgMar w:top="510" w:right="1134" w:bottom="1134" w:left="1134" w:header="510" w:footer="680" w:gutter="0"/>
          <w:cols w:space="720"/>
          <w:titlePg/>
        </w:sectPr>
      </w:pPr>
    </w:p>
    <w:p w:rsidR="00DC2475" w:rsidRPr="00EA743E" w:rsidRDefault="00DC2475" w:rsidP="00DC2475">
      <w:pPr>
        <w:jc w:val="center"/>
        <w:rPr>
          <w:i/>
        </w:rPr>
      </w:pPr>
      <w:r w:rsidRPr="00EA743E">
        <w:lastRenderedPageBreak/>
        <w:t>ELEMENTS</w:t>
      </w:r>
      <w:r w:rsidR="008676F3">
        <w:t xml:space="preserve"> </w:t>
      </w:r>
      <w:r w:rsidRPr="00EA743E">
        <w:t>FROM THE WORLD SEED PARTNERSHIP AND FAQ ON THE USE OF MOLECULAR TECHNIQUES IN THE EXAMINATION OF DUS</w:t>
      </w:r>
    </w:p>
    <w:p w:rsidR="008C6E27" w:rsidRDefault="008C6E27" w:rsidP="00DC2475">
      <w:pPr>
        <w:ind w:right="567"/>
        <w:rPr>
          <w:rFonts w:eastAsia="MS Mincho"/>
          <w:bCs/>
          <w:u w:val="single"/>
        </w:rPr>
      </w:pPr>
    </w:p>
    <w:p w:rsidR="00DC2475" w:rsidRPr="00EA743E" w:rsidRDefault="00DC2475" w:rsidP="00DC2475">
      <w:pPr>
        <w:ind w:right="567"/>
        <w:rPr>
          <w:rFonts w:eastAsia="MS Mincho"/>
          <w:bCs/>
          <w:u w:val="single"/>
        </w:rPr>
      </w:pPr>
      <w:r w:rsidRPr="00EA743E">
        <w:rPr>
          <w:rFonts w:eastAsia="MS Mincho"/>
          <w:bCs/>
          <w:u w:val="single"/>
        </w:rPr>
        <w:t>The Organisation for Economic Co-operation and Development (OECD)</w:t>
      </w:r>
    </w:p>
    <w:p w:rsidR="00DC2475" w:rsidRPr="00EA743E" w:rsidRDefault="00DC2475" w:rsidP="00DC2475">
      <w:pPr>
        <w:ind w:right="567"/>
        <w:rPr>
          <w:rFonts w:eastAsia="MS Mincho"/>
        </w:rPr>
      </w:pPr>
    </w:p>
    <w:p w:rsidR="00DC2475" w:rsidRPr="00EA743E" w:rsidRDefault="00DC2475" w:rsidP="00DC2475">
      <w:pPr>
        <w:ind w:right="567"/>
        <w:rPr>
          <w:rFonts w:eastAsia="MS Mincho"/>
          <w:bCs/>
        </w:rPr>
      </w:pPr>
      <w:r w:rsidRPr="00EA743E">
        <w:rPr>
          <w:rFonts w:eastAsia="MS Mincho"/>
          <w:bCs/>
        </w:rPr>
        <w:t>Type of Organization</w:t>
      </w:r>
    </w:p>
    <w:p w:rsidR="00DC2475" w:rsidRPr="00FE4F3E" w:rsidRDefault="00DC2475" w:rsidP="00DC2475">
      <w:pPr>
        <w:ind w:right="567"/>
        <w:rPr>
          <w:rFonts w:eastAsia="MS Mincho"/>
          <w:i/>
        </w:rPr>
      </w:pPr>
      <w:r w:rsidRPr="00FE4F3E">
        <w:rPr>
          <w:rFonts w:eastAsia="MS Mincho"/>
          <w:i/>
        </w:rPr>
        <w:t>intergovernmental</w:t>
      </w:r>
    </w:p>
    <w:p w:rsidR="00DC2475" w:rsidRPr="00EA743E" w:rsidRDefault="00DC2475" w:rsidP="00DC2475">
      <w:pPr>
        <w:ind w:right="567"/>
        <w:rPr>
          <w:rFonts w:eastAsia="MS Mincho"/>
        </w:rPr>
      </w:pPr>
    </w:p>
    <w:p w:rsidR="00DC2475" w:rsidRPr="00EA743E" w:rsidRDefault="00DC2475" w:rsidP="00DC2475">
      <w:pPr>
        <w:ind w:right="567"/>
        <w:rPr>
          <w:rFonts w:eastAsia="MS Mincho"/>
          <w:bCs/>
        </w:rPr>
      </w:pPr>
      <w:r w:rsidRPr="00EA743E">
        <w:rPr>
          <w:rFonts w:eastAsia="MS Mincho"/>
          <w:bCs/>
        </w:rPr>
        <w:t>OECD Seed Schemes</w:t>
      </w:r>
    </w:p>
    <w:p w:rsidR="00DC2475" w:rsidRPr="00EA743E" w:rsidRDefault="00DC2475" w:rsidP="00DC2475">
      <w:pPr>
        <w:ind w:right="567"/>
        <w:rPr>
          <w:rFonts w:eastAsia="MS Mincho"/>
        </w:rPr>
      </w:pPr>
      <w:r w:rsidRPr="00EA743E">
        <w:rPr>
          <w:rFonts w:eastAsia="MS Mincho"/>
        </w:rPr>
        <w:t>Participating countries</w:t>
      </w:r>
    </w:p>
    <w:p w:rsidR="00DC2475" w:rsidRPr="00EA743E" w:rsidRDefault="00DC2475" w:rsidP="00DC2475">
      <w:pPr>
        <w:ind w:right="567"/>
        <w:rPr>
          <w:rFonts w:eastAsia="MS Mincho"/>
        </w:rPr>
      </w:pPr>
    </w:p>
    <w:p w:rsidR="00DC2475" w:rsidRPr="00FE4F3E" w:rsidRDefault="00DC2475" w:rsidP="00DC2475">
      <w:pPr>
        <w:ind w:right="567"/>
        <w:rPr>
          <w:rFonts w:eastAsia="MS Mincho"/>
          <w:bCs/>
          <w:i/>
        </w:rPr>
      </w:pPr>
      <w:r w:rsidRPr="00FE4F3E">
        <w:rPr>
          <w:rFonts w:eastAsia="MS Mincho"/>
          <w:bCs/>
          <w:i/>
        </w:rPr>
        <w:t>Mission</w:t>
      </w:r>
    </w:p>
    <w:p w:rsidR="00DC2475" w:rsidRPr="00EA743E" w:rsidRDefault="00DC2475" w:rsidP="00DC2475">
      <w:pPr>
        <w:ind w:right="567"/>
        <w:rPr>
          <w:rFonts w:eastAsia="MS Mincho"/>
        </w:rPr>
      </w:pPr>
      <w:r w:rsidRPr="00EA743E">
        <w:rPr>
          <w:rFonts w:eastAsia="MS Mincho"/>
        </w:rPr>
        <w:t>The OECD Seed Schemes provide an international framework for the varietal certification of agricultural seed moving in international trade. The Schemes were established in 1958 driven by a combination of factors including a fast growing seed trade, regulatory harmonisation in Europe, the development of off season production, the seed breeding and production potential of large exporting countries in America (North and South) and Europe, and the support of private industry. Membership of the Schemes is voluntary and participation varies. There are eight agricultural Seed Schemes.</w:t>
      </w:r>
    </w:p>
    <w:p w:rsidR="00DC2475" w:rsidRPr="00EA743E" w:rsidRDefault="00DC2475" w:rsidP="00DC2475">
      <w:pPr>
        <w:ind w:left="567" w:right="567"/>
        <w:rPr>
          <w:rFonts w:eastAsia="MS Mincho"/>
        </w:rPr>
      </w:pPr>
    </w:p>
    <w:p w:rsidR="00DC2475" w:rsidRPr="00FE4F3E" w:rsidRDefault="00DC2475" w:rsidP="00DC2475">
      <w:pPr>
        <w:ind w:right="567"/>
        <w:rPr>
          <w:rFonts w:eastAsia="MS Mincho"/>
          <w:bCs/>
          <w:i/>
        </w:rPr>
      </w:pPr>
      <w:r w:rsidRPr="00FE4F3E">
        <w:rPr>
          <w:rFonts w:eastAsia="MS Mincho"/>
          <w:bCs/>
          <w:i/>
        </w:rPr>
        <w:t>Objectives</w:t>
      </w:r>
    </w:p>
    <w:p w:rsidR="00DC2475" w:rsidRPr="00EA743E" w:rsidRDefault="00DC2475" w:rsidP="00DC2475">
      <w:pPr>
        <w:numPr>
          <w:ilvl w:val="0"/>
          <w:numId w:val="9"/>
        </w:numPr>
        <w:tabs>
          <w:tab w:val="num" w:pos="1134"/>
          <w:tab w:val="left" w:pos="8789"/>
        </w:tabs>
        <w:ind w:right="850"/>
        <w:rPr>
          <w:rFonts w:eastAsia="MS Mincho"/>
        </w:rPr>
      </w:pPr>
      <w:r w:rsidRPr="00EA743E">
        <w:rPr>
          <w:rFonts w:eastAsia="MS Mincho"/>
        </w:rPr>
        <w:t>to encourage the production and use of “quality-guaranteed” seed in participating countries. The Schemes authorise the use of labels and certificates for seed produced and processed for international trade according to agreed principles ensuring varietal identity and purity.</w:t>
      </w:r>
    </w:p>
    <w:p w:rsidR="00DC2475" w:rsidRPr="00EA743E" w:rsidRDefault="00DC2475" w:rsidP="00DC2475">
      <w:pPr>
        <w:numPr>
          <w:ilvl w:val="0"/>
          <w:numId w:val="9"/>
        </w:numPr>
        <w:tabs>
          <w:tab w:val="num" w:pos="1134"/>
          <w:tab w:val="left" w:pos="8789"/>
        </w:tabs>
        <w:ind w:right="850"/>
        <w:rPr>
          <w:rFonts w:eastAsia="MS Mincho"/>
        </w:rPr>
      </w:pPr>
      <w:r w:rsidRPr="00EA743E">
        <w:rPr>
          <w:rFonts w:eastAsia="MS Mincho"/>
        </w:rPr>
        <w:t>to facilitate the import and export of seed, by the removal of technical barriers to trade by assuring identification and origin through internationally recognised labels (“passports”) for trade. They also lay down guidelines for seed multiplication abroad, as well as for the delegation of some control activities to the private sector (“authorisation”). The quantity of seed certified through the OECD Schemes has grown rapidly in recent years and now exceeds 1 million tonnes.</w:t>
      </w:r>
    </w:p>
    <w:p w:rsidR="00DC2475" w:rsidRPr="00EA743E" w:rsidRDefault="00DC2475" w:rsidP="00DC2475">
      <w:pPr>
        <w:ind w:right="567"/>
        <w:rPr>
          <w:rFonts w:eastAsia="MS Mincho"/>
        </w:rPr>
      </w:pPr>
    </w:p>
    <w:p w:rsidR="00DC2475" w:rsidRPr="00FE4F3E" w:rsidRDefault="00DC2475" w:rsidP="00DC2475">
      <w:pPr>
        <w:ind w:right="567"/>
        <w:rPr>
          <w:rFonts w:eastAsia="MS Mincho"/>
          <w:bCs/>
          <w:i/>
        </w:rPr>
      </w:pPr>
      <w:r w:rsidRPr="00FE4F3E">
        <w:rPr>
          <w:rFonts w:eastAsia="MS Mincho"/>
          <w:bCs/>
          <w:i/>
        </w:rPr>
        <w:t>How do the Seed Schemes operate</w:t>
      </w:r>
    </w:p>
    <w:p w:rsidR="00DC2475" w:rsidRPr="00EA743E" w:rsidRDefault="00DC2475" w:rsidP="00DC2475">
      <w:pPr>
        <w:ind w:right="567"/>
        <w:rPr>
          <w:rFonts w:eastAsia="MS Mincho"/>
        </w:rPr>
      </w:pPr>
      <w:r w:rsidRPr="00EA743E">
        <w:rPr>
          <w:rFonts w:eastAsia="MS Mincho"/>
        </w:rPr>
        <w:t>The success of international certification depends upon close co-operation between maintainers, seed producers, traders and the designated authority (appointed by the government) in each participating country. Frequent meetings allow for a multi-stakeholder dialogue to exchange information, discuss case studies, revise rules and update the Schemes. A wide range of international and non-governmental organisations as well as and seed industry networks participate actively in the Schemes.</w:t>
      </w:r>
    </w:p>
    <w:p w:rsidR="00DC2475" w:rsidRPr="00EA743E" w:rsidRDefault="00DC2475" w:rsidP="00DC2475">
      <w:pPr>
        <w:ind w:right="567"/>
        <w:rPr>
          <w:rFonts w:eastAsia="MS Mincho"/>
        </w:rPr>
      </w:pPr>
      <w:r w:rsidRPr="00EA743E">
        <w:rPr>
          <w:rFonts w:eastAsia="MS Mincho"/>
        </w:rPr>
        <w:t> </w:t>
      </w:r>
    </w:p>
    <w:p w:rsidR="00DC2475" w:rsidRPr="00FE4F3E" w:rsidRDefault="00DC2475" w:rsidP="00DC2475">
      <w:pPr>
        <w:ind w:right="567"/>
        <w:rPr>
          <w:rFonts w:eastAsia="MS Mincho"/>
          <w:bCs/>
          <w:i/>
        </w:rPr>
      </w:pPr>
      <w:r w:rsidRPr="00FE4F3E">
        <w:rPr>
          <w:rFonts w:eastAsia="MS Mincho"/>
          <w:bCs/>
          <w:i/>
        </w:rPr>
        <w:t>Benefits of the Schemes</w:t>
      </w:r>
    </w:p>
    <w:p w:rsidR="00DC2475" w:rsidRPr="00EA743E" w:rsidRDefault="00DC2475" w:rsidP="00DC2475">
      <w:pPr>
        <w:numPr>
          <w:ilvl w:val="0"/>
          <w:numId w:val="10"/>
        </w:numPr>
        <w:tabs>
          <w:tab w:val="num" w:pos="1134"/>
        </w:tabs>
        <w:ind w:right="850"/>
        <w:rPr>
          <w:rFonts w:eastAsia="MS Mincho"/>
        </w:rPr>
      </w:pPr>
      <w:r w:rsidRPr="00EA743E">
        <w:rPr>
          <w:rFonts w:eastAsia="MS Mincho"/>
        </w:rPr>
        <w:t>To facilitate international trade by using harmonised certification procedures, crop inspection techniques and use of control plots. The varietal purity standards for the appropriate species are also agreed and standardised by all member states.</w:t>
      </w:r>
    </w:p>
    <w:p w:rsidR="00DC2475" w:rsidRPr="00EA743E" w:rsidRDefault="00DC2475" w:rsidP="00DC2475">
      <w:pPr>
        <w:numPr>
          <w:ilvl w:val="0"/>
          <w:numId w:val="10"/>
        </w:numPr>
        <w:tabs>
          <w:tab w:val="num" w:pos="1134"/>
        </w:tabs>
        <w:ind w:right="850"/>
        <w:rPr>
          <w:rFonts w:eastAsia="MS Mincho"/>
        </w:rPr>
      </w:pPr>
      <w:r w:rsidRPr="00EA743E">
        <w:rPr>
          <w:rFonts w:eastAsia="MS Mincho"/>
        </w:rPr>
        <w:t>To provide a framework to develop seed production with other countries or companies.</w:t>
      </w:r>
    </w:p>
    <w:p w:rsidR="00DC2475" w:rsidRPr="00EA743E" w:rsidRDefault="00DC2475" w:rsidP="00DC2475">
      <w:pPr>
        <w:numPr>
          <w:ilvl w:val="0"/>
          <w:numId w:val="10"/>
        </w:numPr>
        <w:tabs>
          <w:tab w:val="num" w:pos="1134"/>
        </w:tabs>
        <w:ind w:right="850"/>
        <w:rPr>
          <w:rFonts w:eastAsia="MS Mincho"/>
        </w:rPr>
      </w:pPr>
      <w:r w:rsidRPr="00EA743E">
        <w:rPr>
          <w:rFonts w:eastAsia="MS Mincho"/>
        </w:rPr>
        <w:t>To participate in the elaboration of international rules for seed certification.</w:t>
      </w:r>
    </w:p>
    <w:p w:rsidR="00DC2475" w:rsidRPr="00EA743E" w:rsidRDefault="00DC2475" w:rsidP="00DC2475">
      <w:pPr>
        <w:numPr>
          <w:ilvl w:val="0"/>
          <w:numId w:val="10"/>
        </w:numPr>
        <w:tabs>
          <w:tab w:val="num" w:pos="1134"/>
        </w:tabs>
        <w:ind w:right="850"/>
        <w:rPr>
          <w:rFonts w:eastAsia="MS Mincho"/>
        </w:rPr>
      </w:pPr>
      <w:r w:rsidRPr="00EA743E">
        <w:rPr>
          <w:rFonts w:eastAsia="MS Mincho"/>
        </w:rPr>
        <w:t>To develop collaboration between the public and private sectors.</w:t>
      </w:r>
    </w:p>
    <w:p w:rsidR="00DC2475" w:rsidRPr="00EA743E" w:rsidRDefault="00DC2475" w:rsidP="00DC2475">
      <w:pPr>
        <w:numPr>
          <w:ilvl w:val="0"/>
          <w:numId w:val="10"/>
        </w:numPr>
        <w:tabs>
          <w:tab w:val="num" w:pos="1134"/>
        </w:tabs>
        <w:ind w:right="850"/>
        <w:rPr>
          <w:rFonts w:eastAsia="MS Mincho"/>
        </w:rPr>
      </w:pPr>
      <w:r w:rsidRPr="00EA743E">
        <w:rPr>
          <w:rFonts w:eastAsia="MS Mincho"/>
        </w:rPr>
        <w:t>To benefit from regular exchanges of information with other national certification agencies and Observer organisations.</w:t>
      </w:r>
    </w:p>
    <w:p w:rsidR="00DC2475" w:rsidRPr="00EA743E" w:rsidRDefault="00DC2475" w:rsidP="00DC2475">
      <w:pPr>
        <w:ind w:right="567"/>
        <w:rPr>
          <w:rFonts w:eastAsia="MS Mincho"/>
        </w:rPr>
      </w:pPr>
    </w:p>
    <w:p w:rsidR="00DC2475" w:rsidRPr="00EA743E" w:rsidRDefault="00DC2475" w:rsidP="00DC2475">
      <w:pPr>
        <w:ind w:right="567"/>
        <w:rPr>
          <w:rFonts w:eastAsia="MS Mincho"/>
        </w:rPr>
      </w:pPr>
      <w:r w:rsidRPr="00EA743E">
        <w:rPr>
          <w:rFonts w:eastAsia="MS Mincho"/>
        </w:rPr>
        <w:t>The Annual List of Varieties eligible for OECD certification includes varieties which are officially recognized as distinct, uniform and stable, and possess an acceptable value in one or more participating country. The List contains the seed varieties internationally traded using the OECD seed Schemes. The number of varieties included has grown steadily over the last thirty years.</w:t>
      </w:r>
    </w:p>
    <w:p w:rsidR="00DC2475" w:rsidRPr="00EA743E" w:rsidRDefault="00DC2475" w:rsidP="00DC2475">
      <w:pPr>
        <w:ind w:right="567"/>
        <w:jc w:val="left"/>
        <w:rPr>
          <w:rFonts w:eastAsia="MS Mincho"/>
        </w:rPr>
      </w:pPr>
    </w:p>
    <w:p w:rsidR="005B0C2B" w:rsidRPr="00EA743E" w:rsidRDefault="005B0C2B" w:rsidP="00DC2475">
      <w:pPr>
        <w:ind w:right="567"/>
        <w:jc w:val="left"/>
        <w:rPr>
          <w:rFonts w:eastAsia="MS Mincho"/>
        </w:rPr>
      </w:pPr>
    </w:p>
    <w:p w:rsidR="00DC2475" w:rsidRPr="00EA743E" w:rsidRDefault="00DC2475" w:rsidP="002A6AF4">
      <w:pPr>
        <w:ind w:right="567"/>
        <w:rPr>
          <w:rFonts w:eastAsia="MS Mincho"/>
          <w:bCs/>
          <w:u w:val="single"/>
        </w:rPr>
      </w:pPr>
      <w:r w:rsidRPr="00EA743E">
        <w:rPr>
          <w:rFonts w:eastAsia="MS Mincho"/>
          <w:bCs/>
          <w:u w:val="single"/>
        </w:rPr>
        <w:t>International Union for the Protection of New Varieties of Plants (UPOV)</w:t>
      </w:r>
    </w:p>
    <w:p w:rsidR="00DC2475" w:rsidRPr="00EA743E" w:rsidRDefault="00DC2475" w:rsidP="002A6AF4">
      <w:pPr>
        <w:ind w:right="567"/>
        <w:rPr>
          <w:rFonts w:eastAsia="MS Mincho"/>
        </w:rPr>
      </w:pPr>
    </w:p>
    <w:p w:rsidR="00DC2475" w:rsidRPr="00FE4F3E" w:rsidRDefault="00DC2475" w:rsidP="002A6AF4">
      <w:pPr>
        <w:ind w:right="567"/>
        <w:rPr>
          <w:rFonts w:eastAsia="MS Mincho"/>
          <w:bCs/>
          <w:i/>
        </w:rPr>
      </w:pPr>
      <w:r w:rsidRPr="00FE4F3E">
        <w:rPr>
          <w:rFonts w:eastAsia="MS Mincho"/>
          <w:bCs/>
          <w:i/>
        </w:rPr>
        <w:t>Type of Organization</w:t>
      </w:r>
    </w:p>
    <w:p w:rsidR="00DC2475" w:rsidRPr="00EA743E" w:rsidRDefault="00DC2475" w:rsidP="002A6AF4">
      <w:pPr>
        <w:ind w:right="567"/>
        <w:rPr>
          <w:rFonts w:eastAsia="MS Mincho"/>
        </w:rPr>
      </w:pPr>
      <w:r w:rsidRPr="00EA743E">
        <w:rPr>
          <w:rFonts w:eastAsia="MS Mincho"/>
        </w:rPr>
        <w:t>Intergovernmental</w:t>
      </w:r>
    </w:p>
    <w:p w:rsidR="00DC2475" w:rsidRPr="00EA743E" w:rsidRDefault="00DC2475" w:rsidP="002A6AF4">
      <w:pPr>
        <w:ind w:right="567"/>
        <w:rPr>
          <w:rFonts w:eastAsia="MS Mincho"/>
        </w:rPr>
      </w:pPr>
      <w:r w:rsidRPr="00EA743E">
        <w:rPr>
          <w:rFonts w:eastAsia="MS Mincho"/>
        </w:rPr>
        <w:t> </w:t>
      </w:r>
    </w:p>
    <w:p w:rsidR="00DC2475" w:rsidRPr="00FE4F3E" w:rsidRDefault="00DC2475" w:rsidP="002A6AF4">
      <w:pPr>
        <w:ind w:right="567"/>
        <w:rPr>
          <w:rFonts w:eastAsia="MS Mincho"/>
          <w:bCs/>
          <w:i/>
        </w:rPr>
      </w:pPr>
      <w:r w:rsidRPr="00FE4F3E">
        <w:rPr>
          <w:rFonts w:eastAsia="MS Mincho"/>
          <w:bCs/>
          <w:i/>
        </w:rPr>
        <w:t>Membership</w:t>
      </w:r>
    </w:p>
    <w:p w:rsidR="00DC2475" w:rsidRPr="00EA743E" w:rsidRDefault="006A0A27" w:rsidP="002A6AF4">
      <w:pPr>
        <w:ind w:right="567"/>
        <w:rPr>
          <w:rFonts w:eastAsia="MS Mincho"/>
        </w:rPr>
      </w:pPr>
      <w:hyperlink r:id="rId10" w:history="1">
        <w:r w:rsidR="00DC2475" w:rsidRPr="00EA743E">
          <w:rPr>
            <w:rFonts w:eastAsia="MS Mincho"/>
            <w:color w:val="0000FF"/>
            <w:u w:val="single"/>
          </w:rPr>
          <w:t>List of UPOV members</w:t>
        </w:r>
      </w:hyperlink>
      <w:r w:rsidR="00DC2475" w:rsidRPr="00EA743E">
        <w:rPr>
          <w:rFonts w:eastAsia="MS Mincho"/>
        </w:rPr>
        <w:t xml:space="preserve">  / </w:t>
      </w:r>
      <w:hyperlink r:id="rId11" w:history="1">
        <w:r w:rsidR="00DC2475" w:rsidRPr="00EA743E">
          <w:rPr>
            <w:rFonts w:eastAsia="MS Mincho"/>
            <w:color w:val="0000FF"/>
            <w:u w:val="single"/>
          </w:rPr>
          <w:t>Situation in UPOV</w:t>
        </w:r>
      </w:hyperlink>
    </w:p>
    <w:p w:rsidR="00DC2475" w:rsidRPr="00EA743E" w:rsidRDefault="00DC2475" w:rsidP="002A6AF4">
      <w:pPr>
        <w:ind w:right="567"/>
        <w:rPr>
          <w:rFonts w:eastAsia="MS Mincho"/>
        </w:rPr>
      </w:pPr>
      <w:r w:rsidRPr="00EA743E">
        <w:rPr>
          <w:rFonts w:eastAsia="MS Mincho"/>
        </w:rPr>
        <w:t> </w:t>
      </w:r>
    </w:p>
    <w:p w:rsidR="00DC2475" w:rsidRPr="00FE4F3E" w:rsidRDefault="00DC2475" w:rsidP="006A2481">
      <w:pPr>
        <w:keepNext/>
        <w:ind w:right="567"/>
        <w:rPr>
          <w:rFonts w:eastAsia="MS Mincho"/>
          <w:bCs/>
          <w:i/>
        </w:rPr>
      </w:pPr>
      <w:r w:rsidRPr="00FE4F3E">
        <w:rPr>
          <w:rFonts w:eastAsia="MS Mincho"/>
          <w:bCs/>
          <w:i/>
        </w:rPr>
        <w:lastRenderedPageBreak/>
        <w:t>What is UPOV?</w:t>
      </w:r>
    </w:p>
    <w:p w:rsidR="00DC2475" w:rsidRPr="00EA743E" w:rsidRDefault="00DC2475" w:rsidP="00DC2475">
      <w:pPr>
        <w:ind w:right="567"/>
        <w:rPr>
          <w:rFonts w:eastAsia="MS Mincho"/>
        </w:rPr>
      </w:pPr>
      <w:r w:rsidRPr="00EA743E">
        <w:rPr>
          <w:rFonts w:eastAsia="MS Mincho"/>
        </w:rPr>
        <w:t>The International Union for the Protection of New Varieties of Plants (UPOV) is an intergovernmental organization based in Geneva, Switzerland. UPOV was established in 1961 by the International Convention for the Protection of New Varieties of Plants (the "UPOV Convention").</w:t>
      </w:r>
    </w:p>
    <w:p w:rsidR="00DC2475" w:rsidRPr="00EA743E" w:rsidRDefault="00DC2475" w:rsidP="00DC2475">
      <w:pPr>
        <w:ind w:right="567"/>
        <w:rPr>
          <w:rFonts w:eastAsia="MS Mincho"/>
        </w:rPr>
      </w:pPr>
      <w:r w:rsidRPr="00EA743E">
        <w:rPr>
          <w:rFonts w:eastAsia="MS Mincho"/>
        </w:rPr>
        <w:t xml:space="preserve">The </w:t>
      </w:r>
      <w:r w:rsidRPr="00EA743E">
        <w:rPr>
          <w:rFonts w:eastAsia="MS Mincho"/>
          <w:bCs/>
        </w:rPr>
        <w:t>mission</w:t>
      </w:r>
      <w:r w:rsidRPr="00EA743E">
        <w:rPr>
          <w:rFonts w:eastAsia="MS Mincho"/>
        </w:rPr>
        <w:t xml:space="preserve"> of UPOV is to provide and promote an effective system of plant variety protection, with the aim of encouraging the development of new varieties of plants, for the benefit of society.</w:t>
      </w:r>
    </w:p>
    <w:p w:rsidR="00DC2475" w:rsidRPr="00EA743E" w:rsidRDefault="00DC2475" w:rsidP="00DC2475">
      <w:pPr>
        <w:ind w:right="567"/>
        <w:rPr>
          <w:rFonts w:eastAsia="MS Mincho"/>
        </w:rPr>
      </w:pPr>
      <w:r w:rsidRPr="00EA743E">
        <w:rPr>
          <w:rFonts w:eastAsia="MS Mincho"/>
        </w:rPr>
        <w:t>The UPOV Convention provides the basis for members to encourage plant breeding by granting breeders of new plant varieties an intellectual property right: the breeder’s right.</w:t>
      </w:r>
    </w:p>
    <w:p w:rsidR="00DC2475" w:rsidRPr="006A2481" w:rsidRDefault="00DC2475" w:rsidP="00DC2475">
      <w:pPr>
        <w:ind w:left="567" w:right="567"/>
        <w:rPr>
          <w:rFonts w:eastAsia="MS Mincho"/>
        </w:rPr>
      </w:pPr>
      <w:r w:rsidRPr="00EA743E">
        <w:rPr>
          <w:rFonts w:eastAsia="MS Mincho"/>
        </w:rPr>
        <w:t> </w:t>
      </w:r>
    </w:p>
    <w:p w:rsidR="00DC2475" w:rsidRPr="00FE4F3E" w:rsidRDefault="00DC2475" w:rsidP="00DC2475">
      <w:pPr>
        <w:ind w:right="567"/>
        <w:rPr>
          <w:rFonts w:eastAsia="MS Mincho"/>
          <w:bCs/>
          <w:i/>
        </w:rPr>
      </w:pPr>
      <w:r w:rsidRPr="00FE4F3E">
        <w:rPr>
          <w:rFonts w:eastAsia="MS Mincho"/>
          <w:bCs/>
          <w:i/>
        </w:rPr>
        <w:t>What does UPOV do?</w:t>
      </w:r>
    </w:p>
    <w:p w:rsidR="00DC2475" w:rsidRPr="00EA743E" w:rsidRDefault="00DC2475" w:rsidP="00DC2475">
      <w:pPr>
        <w:ind w:right="567"/>
        <w:rPr>
          <w:rFonts w:eastAsia="MS Mincho"/>
        </w:rPr>
      </w:pPr>
      <w:r w:rsidRPr="00EA743E">
        <w:rPr>
          <w:rFonts w:eastAsia="MS Mincho"/>
        </w:rPr>
        <w:t>UPOV’s mission is to provide and promote an effective system of plant variety protection, with the aim of encouraging the development of new varieties of plants, for the benefit of society. The main objectives of UPOV are, in accordance with the UPOV Convention, to:</w:t>
      </w:r>
    </w:p>
    <w:p w:rsidR="00DC2475" w:rsidRPr="00EA743E" w:rsidRDefault="00DC2475" w:rsidP="00DC2475">
      <w:pPr>
        <w:numPr>
          <w:ilvl w:val="0"/>
          <w:numId w:val="11"/>
        </w:numPr>
        <w:tabs>
          <w:tab w:val="num" w:pos="1134"/>
          <w:tab w:val="left" w:pos="8789"/>
        </w:tabs>
        <w:ind w:right="850"/>
        <w:rPr>
          <w:rFonts w:eastAsia="MS Mincho"/>
        </w:rPr>
      </w:pPr>
      <w:r w:rsidRPr="00EA743E">
        <w:rPr>
          <w:rFonts w:eastAsia="MS Mincho"/>
        </w:rPr>
        <w:t>provide and develop the legal, administrative and technical basis for international cooperation in plant variety protection;</w:t>
      </w:r>
    </w:p>
    <w:p w:rsidR="00DC2475" w:rsidRPr="00EA743E" w:rsidRDefault="00DC2475" w:rsidP="00DC2475">
      <w:pPr>
        <w:numPr>
          <w:ilvl w:val="0"/>
          <w:numId w:val="11"/>
        </w:numPr>
        <w:tabs>
          <w:tab w:val="num" w:pos="1134"/>
          <w:tab w:val="left" w:pos="8789"/>
        </w:tabs>
        <w:ind w:right="850"/>
        <w:rPr>
          <w:rFonts w:eastAsia="MS Mincho"/>
        </w:rPr>
      </w:pPr>
      <w:r w:rsidRPr="00EA743E">
        <w:rPr>
          <w:rFonts w:eastAsia="MS Mincho"/>
        </w:rPr>
        <w:t>assist States and organizations in the development of legislation and the implementation of an effective plant variety protection system; and</w:t>
      </w:r>
    </w:p>
    <w:p w:rsidR="00DC2475" w:rsidRPr="00EA743E" w:rsidRDefault="00DC2475" w:rsidP="00DC2475">
      <w:pPr>
        <w:numPr>
          <w:ilvl w:val="0"/>
          <w:numId w:val="11"/>
        </w:numPr>
        <w:tabs>
          <w:tab w:val="num" w:pos="1134"/>
          <w:tab w:val="left" w:pos="8789"/>
        </w:tabs>
        <w:ind w:right="850"/>
        <w:rPr>
          <w:rFonts w:eastAsia="MS Mincho"/>
        </w:rPr>
      </w:pPr>
      <w:r w:rsidRPr="00EA743E">
        <w:rPr>
          <w:rFonts w:eastAsia="MS Mincho"/>
        </w:rPr>
        <w:t>enhance public awareness and understanding of the UPOV system of plant variety protection.</w:t>
      </w:r>
    </w:p>
    <w:p w:rsidR="00DC2475" w:rsidRPr="006A2481" w:rsidRDefault="00DC2475" w:rsidP="00DC2475">
      <w:pPr>
        <w:tabs>
          <w:tab w:val="num" w:pos="1134"/>
        </w:tabs>
        <w:ind w:left="1134" w:right="567"/>
        <w:rPr>
          <w:rFonts w:eastAsia="MS Mincho"/>
        </w:rPr>
      </w:pPr>
      <w:r w:rsidRPr="00EA743E">
        <w:rPr>
          <w:rFonts w:eastAsia="MS Mincho"/>
          <w:bCs/>
        </w:rPr>
        <w:t> </w:t>
      </w:r>
    </w:p>
    <w:p w:rsidR="00DC2475" w:rsidRDefault="00DC2475" w:rsidP="00DC2475">
      <w:pPr>
        <w:keepNext/>
        <w:ind w:right="567"/>
        <w:rPr>
          <w:rFonts w:eastAsia="MS Mincho"/>
          <w:bCs/>
          <w:i/>
        </w:rPr>
      </w:pPr>
      <w:r w:rsidRPr="008676F3">
        <w:rPr>
          <w:rFonts w:eastAsia="MS Mincho"/>
          <w:bCs/>
          <w:i/>
        </w:rPr>
        <w:t>What are the benefits of plant variety protection and UPOV membership?</w:t>
      </w:r>
    </w:p>
    <w:p w:rsidR="00DC2475" w:rsidRDefault="00DC2475" w:rsidP="00DC2475">
      <w:pPr>
        <w:keepNext/>
        <w:keepLines/>
        <w:ind w:right="567"/>
        <w:rPr>
          <w:rFonts w:eastAsia="MS Mincho"/>
        </w:rPr>
      </w:pPr>
      <w:r w:rsidRPr="00EA743E">
        <w:rPr>
          <w:rFonts w:eastAsia="MS Mincho"/>
        </w:rPr>
        <w:t>The UPOV Report on the Impact of Plant Variety Protection demonstrated that in order to enjoy the full benefits which plant variety protection is able to generate, both implementation of the UPOV Convention and membership of UPOV are important. The introduction of the UPOV system of plant variety protection and UPOV membership were found to be associated with:</w:t>
      </w:r>
    </w:p>
    <w:p w:rsidR="008676F3" w:rsidRPr="006A2481" w:rsidRDefault="008676F3" w:rsidP="00DC2475">
      <w:pPr>
        <w:keepNext/>
        <w:keepLines/>
        <w:ind w:right="567"/>
        <w:rPr>
          <w:rFonts w:eastAsia="MS Mincho"/>
        </w:rPr>
      </w:pPr>
    </w:p>
    <w:p w:rsidR="00DC2475" w:rsidRPr="00EA743E" w:rsidRDefault="00DC2475" w:rsidP="008676F3">
      <w:pPr>
        <w:keepNext/>
        <w:keepLines/>
        <w:ind w:left="567" w:right="567"/>
        <w:rPr>
          <w:rFonts w:eastAsia="MS Mincho"/>
        </w:rPr>
      </w:pPr>
      <w:r w:rsidRPr="00EA743E">
        <w:rPr>
          <w:rFonts w:eastAsia="MS Mincho"/>
        </w:rPr>
        <w:t>(a) increased breeding activities,</w:t>
      </w:r>
    </w:p>
    <w:p w:rsidR="00DC2475" w:rsidRPr="00EA743E" w:rsidRDefault="00DC2475" w:rsidP="008676F3">
      <w:pPr>
        <w:ind w:left="567" w:right="567"/>
        <w:rPr>
          <w:rFonts w:eastAsia="MS Mincho"/>
        </w:rPr>
      </w:pPr>
      <w:r w:rsidRPr="00EA743E">
        <w:rPr>
          <w:rFonts w:eastAsia="MS Mincho"/>
        </w:rPr>
        <w:t>(b) greater availability of improved varieties,</w:t>
      </w:r>
    </w:p>
    <w:p w:rsidR="00DC2475" w:rsidRPr="00EA743E" w:rsidRDefault="00DC2475" w:rsidP="008676F3">
      <w:pPr>
        <w:ind w:left="567" w:right="567"/>
        <w:rPr>
          <w:rFonts w:eastAsia="MS Mincho"/>
        </w:rPr>
      </w:pPr>
      <w:r w:rsidRPr="00EA743E">
        <w:rPr>
          <w:rFonts w:eastAsia="MS Mincho"/>
        </w:rPr>
        <w:t>(c) increased number of new varieties,</w:t>
      </w:r>
    </w:p>
    <w:p w:rsidR="00DC2475" w:rsidRPr="00EA743E" w:rsidRDefault="00DC2475" w:rsidP="008676F3">
      <w:pPr>
        <w:ind w:left="567" w:right="567"/>
        <w:rPr>
          <w:rFonts w:eastAsia="MS Mincho"/>
        </w:rPr>
      </w:pPr>
      <w:r w:rsidRPr="00EA743E">
        <w:rPr>
          <w:rFonts w:eastAsia="MS Mincho"/>
        </w:rPr>
        <w:t>(d) diversification of types of breeders (e.g. private breeders, researchers),</w:t>
      </w:r>
    </w:p>
    <w:p w:rsidR="00DC2475" w:rsidRPr="00EA743E" w:rsidRDefault="00DC2475" w:rsidP="008676F3">
      <w:pPr>
        <w:ind w:left="567" w:right="567"/>
        <w:rPr>
          <w:rFonts w:eastAsia="MS Mincho"/>
        </w:rPr>
      </w:pPr>
      <w:r w:rsidRPr="00EA743E">
        <w:rPr>
          <w:rFonts w:eastAsia="MS Mincho"/>
        </w:rPr>
        <w:t>(e) increased number of foreign new varieties,</w:t>
      </w:r>
    </w:p>
    <w:p w:rsidR="00DC2475" w:rsidRPr="00EA743E" w:rsidRDefault="00DC2475" w:rsidP="008676F3">
      <w:pPr>
        <w:ind w:left="567" w:right="567"/>
        <w:rPr>
          <w:rFonts w:eastAsia="MS Mincho"/>
        </w:rPr>
      </w:pPr>
      <w:r w:rsidRPr="00EA743E">
        <w:rPr>
          <w:rFonts w:eastAsia="MS Mincho"/>
        </w:rPr>
        <w:t>(f) encouraging the development of a new industry competitiveness on foreign markets, and</w:t>
      </w:r>
    </w:p>
    <w:p w:rsidR="00DC2475" w:rsidRDefault="00DC2475" w:rsidP="008676F3">
      <w:pPr>
        <w:ind w:left="567" w:right="567"/>
        <w:rPr>
          <w:rFonts w:eastAsia="MS Mincho"/>
        </w:rPr>
      </w:pPr>
      <w:r w:rsidRPr="00EA743E">
        <w:rPr>
          <w:rFonts w:eastAsia="MS Mincho"/>
        </w:rPr>
        <w:t>(g) improved access to foreign plant varieties and enhanced domestic breeding programs.</w:t>
      </w:r>
    </w:p>
    <w:p w:rsidR="008676F3" w:rsidRPr="006A2481" w:rsidRDefault="008676F3" w:rsidP="008676F3">
      <w:pPr>
        <w:ind w:left="567" w:right="567"/>
        <w:rPr>
          <w:rFonts w:eastAsia="MS Mincho"/>
        </w:rPr>
      </w:pPr>
    </w:p>
    <w:p w:rsidR="00DC2475" w:rsidRPr="00EA743E" w:rsidRDefault="00DC2475" w:rsidP="00DC2475">
      <w:pPr>
        <w:ind w:right="567"/>
        <w:rPr>
          <w:rFonts w:eastAsia="MS Mincho"/>
        </w:rPr>
      </w:pPr>
      <w:r w:rsidRPr="00EA743E">
        <w:rPr>
          <w:rFonts w:eastAsia="MS Mincho"/>
        </w:rPr>
        <w:t>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w:t>
      </w:r>
    </w:p>
    <w:p w:rsidR="00DC2475" w:rsidRPr="006A2481" w:rsidRDefault="00DC2475" w:rsidP="00DC2475">
      <w:pPr>
        <w:ind w:left="567" w:right="567"/>
        <w:rPr>
          <w:rFonts w:eastAsia="MS Mincho"/>
        </w:rPr>
      </w:pPr>
    </w:p>
    <w:p w:rsidR="00DC2475" w:rsidRPr="006A2481" w:rsidRDefault="00DC2475" w:rsidP="00DC2475">
      <w:pPr>
        <w:ind w:left="567" w:right="567"/>
        <w:rPr>
          <w:rFonts w:eastAsia="MS Mincho"/>
        </w:rPr>
      </w:pPr>
    </w:p>
    <w:p w:rsidR="00DC2475" w:rsidRPr="00EA743E" w:rsidRDefault="00DC2475" w:rsidP="002A6AF4">
      <w:pPr>
        <w:keepNext/>
        <w:ind w:right="567"/>
        <w:rPr>
          <w:rFonts w:eastAsia="MS Mincho"/>
          <w:bCs/>
          <w:u w:val="single"/>
        </w:rPr>
      </w:pPr>
      <w:r w:rsidRPr="00EA743E">
        <w:rPr>
          <w:rFonts w:eastAsia="MS Mincho"/>
          <w:bCs/>
          <w:u w:val="single"/>
        </w:rPr>
        <w:t>International Seed Testing Association (ISTA)</w:t>
      </w:r>
    </w:p>
    <w:p w:rsidR="00DC2475" w:rsidRPr="006A2481" w:rsidRDefault="00DC2475" w:rsidP="002A6AF4">
      <w:pPr>
        <w:keepNext/>
        <w:ind w:right="567"/>
        <w:rPr>
          <w:rFonts w:eastAsia="MS Mincho"/>
        </w:rPr>
      </w:pPr>
    </w:p>
    <w:p w:rsidR="00DC2475" w:rsidRPr="00FE4F3E" w:rsidRDefault="00DC2475" w:rsidP="002A6AF4">
      <w:pPr>
        <w:keepNext/>
        <w:ind w:right="567"/>
        <w:rPr>
          <w:rFonts w:eastAsia="MS Mincho"/>
          <w:bCs/>
          <w:i/>
        </w:rPr>
      </w:pPr>
      <w:r w:rsidRPr="00FE4F3E">
        <w:rPr>
          <w:rFonts w:eastAsia="MS Mincho"/>
          <w:bCs/>
          <w:i/>
        </w:rPr>
        <w:t>Type of Organization</w:t>
      </w:r>
    </w:p>
    <w:p w:rsidR="00DC2475" w:rsidRPr="00EA743E" w:rsidRDefault="00DC2475" w:rsidP="002A6AF4">
      <w:pPr>
        <w:keepNext/>
        <w:ind w:right="567"/>
        <w:rPr>
          <w:rFonts w:eastAsia="MS Mincho"/>
        </w:rPr>
      </w:pPr>
      <w:r w:rsidRPr="00EA743E">
        <w:rPr>
          <w:rFonts w:eastAsia="MS Mincho"/>
        </w:rPr>
        <w:t>Non-profit and non-political association</w:t>
      </w:r>
    </w:p>
    <w:p w:rsidR="00DC2475" w:rsidRPr="006A2481" w:rsidRDefault="00DC2475" w:rsidP="002A6AF4">
      <w:pPr>
        <w:keepNext/>
        <w:ind w:right="567"/>
        <w:rPr>
          <w:rFonts w:eastAsia="MS Mincho"/>
        </w:rPr>
      </w:pPr>
      <w:r w:rsidRPr="00EA743E">
        <w:rPr>
          <w:rFonts w:eastAsia="MS Mincho"/>
        </w:rPr>
        <w:t> </w:t>
      </w:r>
    </w:p>
    <w:p w:rsidR="00DC2475" w:rsidRPr="00FE4F3E" w:rsidRDefault="00DC2475" w:rsidP="002A6AF4">
      <w:pPr>
        <w:keepNext/>
        <w:ind w:right="567"/>
        <w:rPr>
          <w:rFonts w:eastAsia="MS Mincho"/>
          <w:bCs/>
          <w:i/>
        </w:rPr>
      </w:pPr>
      <w:r w:rsidRPr="00FE4F3E">
        <w:rPr>
          <w:rFonts w:eastAsia="MS Mincho"/>
          <w:bCs/>
          <w:i/>
        </w:rPr>
        <w:t>ISTA Profile</w:t>
      </w:r>
    </w:p>
    <w:p w:rsidR="00DC2475" w:rsidRPr="00EA743E" w:rsidRDefault="00DC2475" w:rsidP="002A6AF4">
      <w:pPr>
        <w:keepNext/>
        <w:ind w:right="567"/>
        <w:rPr>
          <w:rFonts w:eastAsia="MS Mincho"/>
        </w:rPr>
      </w:pPr>
      <w:r w:rsidRPr="00EA743E">
        <w:rPr>
          <w:rFonts w:eastAsia="MS Mincho"/>
        </w:rPr>
        <w:t>ISTA is an international association that represents the seed quality sampling and testing organizations and laboratories at the world level.</w:t>
      </w:r>
    </w:p>
    <w:p w:rsidR="00DC2475" w:rsidRPr="006A2481" w:rsidRDefault="00DC2475" w:rsidP="002A6AF4">
      <w:pPr>
        <w:keepNext/>
        <w:ind w:right="567"/>
        <w:rPr>
          <w:rFonts w:eastAsia="MS Mincho"/>
        </w:rPr>
      </w:pPr>
      <w:r w:rsidRPr="00EA743E">
        <w:rPr>
          <w:rFonts w:eastAsia="MS Mincho"/>
          <w:bCs/>
        </w:rPr>
        <w:t> </w:t>
      </w:r>
    </w:p>
    <w:p w:rsidR="00DC2475" w:rsidRPr="00FE4F3E" w:rsidRDefault="00DC2475" w:rsidP="002A6AF4">
      <w:pPr>
        <w:keepNext/>
        <w:ind w:right="567"/>
        <w:rPr>
          <w:rFonts w:eastAsia="MS Mincho"/>
          <w:bCs/>
          <w:i/>
        </w:rPr>
      </w:pPr>
      <w:r w:rsidRPr="00FE4F3E">
        <w:rPr>
          <w:rFonts w:eastAsia="MS Mincho"/>
          <w:bCs/>
          <w:i/>
        </w:rPr>
        <w:t>ISTA Members</w:t>
      </w:r>
    </w:p>
    <w:p w:rsidR="00DC2475" w:rsidRPr="00EA743E" w:rsidRDefault="006A0A27" w:rsidP="002A6AF4">
      <w:pPr>
        <w:keepNext/>
        <w:ind w:right="567"/>
        <w:rPr>
          <w:rFonts w:eastAsia="MS Mincho"/>
        </w:rPr>
      </w:pPr>
      <w:hyperlink r:id="rId12" w:history="1">
        <w:r w:rsidR="00DC2475" w:rsidRPr="00EA743E">
          <w:rPr>
            <w:rFonts w:eastAsia="MS Mincho"/>
            <w:color w:val="0000FF"/>
            <w:u w:val="single"/>
          </w:rPr>
          <w:t>List of ISTA Members</w:t>
        </w:r>
      </w:hyperlink>
    </w:p>
    <w:p w:rsidR="00DC2475" w:rsidRPr="006A2481" w:rsidRDefault="00DC2475" w:rsidP="002A6AF4">
      <w:pPr>
        <w:keepNext/>
        <w:ind w:right="567"/>
        <w:rPr>
          <w:rFonts w:eastAsia="MS Mincho"/>
        </w:rPr>
      </w:pPr>
      <w:r w:rsidRPr="00EA743E">
        <w:rPr>
          <w:rFonts w:eastAsia="MS Mincho"/>
        </w:rPr>
        <w:t> </w:t>
      </w:r>
    </w:p>
    <w:p w:rsidR="00DC2475" w:rsidRPr="00FE4F3E" w:rsidRDefault="00DC2475" w:rsidP="00DC2475">
      <w:pPr>
        <w:keepNext/>
        <w:ind w:right="567"/>
        <w:rPr>
          <w:rFonts w:eastAsia="MS Mincho"/>
          <w:bCs/>
          <w:i/>
        </w:rPr>
      </w:pPr>
      <w:r w:rsidRPr="00FE4F3E">
        <w:rPr>
          <w:rFonts w:eastAsia="MS Mincho"/>
          <w:bCs/>
          <w:i/>
        </w:rPr>
        <w:t>Mission</w:t>
      </w:r>
    </w:p>
    <w:p w:rsidR="00DC2475" w:rsidRPr="00EA743E" w:rsidRDefault="00DC2475" w:rsidP="00DC2475">
      <w:pPr>
        <w:keepNext/>
        <w:ind w:right="567"/>
        <w:rPr>
          <w:rFonts w:eastAsia="MS Mincho"/>
        </w:rPr>
      </w:pPr>
      <w:r w:rsidRPr="00EA743E">
        <w:rPr>
          <w:rFonts w:eastAsia="MS Mincho"/>
        </w:rPr>
        <w:t>ISTA was founded in 1924 with the aim of developing and publishing standard procedures in the field of seed testing. ISTA members work together to achieve their vision of uniformity in seed quality evaluation worldwide.</w:t>
      </w:r>
    </w:p>
    <w:p w:rsidR="00DC2475" w:rsidRPr="006A2481" w:rsidRDefault="00DC2475" w:rsidP="00DC2475">
      <w:pPr>
        <w:ind w:right="567"/>
        <w:rPr>
          <w:rFonts w:eastAsia="MS Mincho"/>
        </w:rPr>
      </w:pPr>
    </w:p>
    <w:p w:rsidR="00DC2475" w:rsidRPr="00FE4F3E" w:rsidRDefault="00DC2475" w:rsidP="006A2481">
      <w:pPr>
        <w:keepNext/>
        <w:ind w:right="567"/>
        <w:rPr>
          <w:rFonts w:eastAsia="MS Mincho"/>
          <w:bCs/>
          <w:i/>
        </w:rPr>
      </w:pPr>
      <w:r w:rsidRPr="00FE4F3E">
        <w:rPr>
          <w:rFonts w:eastAsia="MS Mincho"/>
          <w:bCs/>
          <w:i/>
        </w:rPr>
        <w:lastRenderedPageBreak/>
        <w:t>Core tasks</w:t>
      </w:r>
    </w:p>
    <w:p w:rsidR="00DC2475" w:rsidRPr="006A2481" w:rsidRDefault="00DC2475" w:rsidP="006A2481">
      <w:pPr>
        <w:keepNext/>
        <w:rPr>
          <w:rFonts w:eastAsia="MS Mincho"/>
          <w:sz w:val="16"/>
          <w:szCs w:val="16"/>
        </w:rPr>
      </w:pPr>
    </w:p>
    <w:p w:rsidR="00FE4F3E" w:rsidRPr="00FE4F3E" w:rsidRDefault="00DC2475" w:rsidP="006A2481">
      <w:pPr>
        <w:keepNext/>
        <w:numPr>
          <w:ilvl w:val="0"/>
          <w:numId w:val="12"/>
        </w:numPr>
        <w:tabs>
          <w:tab w:val="clear" w:pos="720"/>
          <w:tab w:val="num" w:pos="709"/>
        </w:tabs>
        <w:ind w:left="0" w:right="850" w:firstLine="360"/>
        <w:rPr>
          <w:rFonts w:eastAsia="MS Mincho"/>
        </w:rPr>
      </w:pPr>
      <w:r w:rsidRPr="00EA743E">
        <w:rPr>
          <w:rFonts w:eastAsia="MS Mincho"/>
          <w:bCs/>
        </w:rPr>
        <w:t>Development and maintenance of the ISTA International Rules for Seed Testing</w:t>
      </w:r>
    </w:p>
    <w:p w:rsidR="00FE4F3E" w:rsidRPr="00875DB9" w:rsidRDefault="00FE4F3E" w:rsidP="006A2481">
      <w:pPr>
        <w:keepNext/>
        <w:rPr>
          <w:rFonts w:eastAsia="MS Mincho"/>
          <w:sz w:val="16"/>
          <w:szCs w:val="16"/>
        </w:rPr>
      </w:pPr>
    </w:p>
    <w:p w:rsidR="00DC2475" w:rsidRDefault="00DC2475" w:rsidP="006A2481">
      <w:pPr>
        <w:keepNext/>
        <w:keepLines/>
        <w:ind w:right="850"/>
        <w:rPr>
          <w:rFonts w:eastAsia="MS Mincho"/>
        </w:rPr>
      </w:pPr>
      <w:r w:rsidRPr="00EA743E">
        <w:rPr>
          <w:rFonts w:eastAsia="MS Mincho"/>
        </w:rPr>
        <w:t>The International Rules for Seed Testing (ISTA Rules), adopted and updated on an annual basis, today contain seed sampling and quality analysis methodologies for more than 900 different agricultural, forest, vegetable and flower species. The ISTA Rules are reviewed and updated on an annual basis by 18 technical committees. The technical committees comprise seed scientists and technologists from the public and the private sectors from all over the world.</w:t>
      </w:r>
    </w:p>
    <w:p w:rsidR="00FE4F3E" w:rsidRPr="00875DB9" w:rsidRDefault="00FE4F3E" w:rsidP="006A2481">
      <w:pPr>
        <w:rPr>
          <w:rFonts w:eastAsia="MS Mincho"/>
          <w:sz w:val="18"/>
          <w:szCs w:val="16"/>
        </w:rPr>
      </w:pPr>
    </w:p>
    <w:p w:rsidR="00DC2475" w:rsidRPr="00FE4F3E" w:rsidRDefault="00DC2475" w:rsidP="00DC2475">
      <w:pPr>
        <w:numPr>
          <w:ilvl w:val="0"/>
          <w:numId w:val="12"/>
        </w:numPr>
        <w:ind w:right="850"/>
        <w:rPr>
          <w:rFonts w:eastAsia="MS Mincho"/>
        </w:rPr>
      </w:pPr>
      <w:r w:rsidRPr="00EA743E">
        <w:rPr>
          <w:rFonts w:eastAsia="MS Mincho"/>
          <w:bCs/>
        </w:rPr>
        <w:t>Accreditation of seed testing laboratories worldwide</w:t>
      </w:r>
    </w:p>
    <w:p w:rsidR="00FE4F3E" w:rsidRPr="00875DB9" w:rsidRDefault="00FE4F3E" w:rsidP="006A2481">
      <w:pPr>
        <w:rPr>
          <w:rFonts w:eastAsia="MS Mincho"/>
          <w:sz w:val="16"/>
          <w:szCs w:val="16"/>
        </w:rPr>
      </w:pPr>
    </w:p>
    <w:p w:rsidR="00DC2475" w:rsidRDefault="00DC2475" w:rsidP="00DC2475">
      <w:pPr>
        <w:ind w:right="850"/>
        <w:rPr>
          <w:rFonts w:eastAsia="MS Mincho"/>
        </w:rPr>
      </w:pPr>
      <w:r w:rsidRPr="00EA743E">
        <w:rPr>
          <w:rFonts w:eastAsia="MS Mincho"/>
        </w:rPr>
        <w:t>The ISTA accreditation program ensures that seed testing laboratories achieve accurate and reproducible results in their daily analysis work. The basis for the accreditation programme is the ISTA Accreditation Standard. Every third year, an accredited laboratory is audited by two ISTA auditors. Monitoring of laboratory performance through the ISTA Proficiency Test Programme ensures that the quality of ISTA-accredited laboratories remains high between audits. Each year between five and ten workshops, run by the technical committees, provide training and professional development for seed analysts.</w:t>
      </w:r>
    </w:p>
    <w:p w:rsidR="00FE4F3E" w:rsidRPr="00875DB9" w:rsidRDefault="00FE4F3E" w:rsidP="006A2481">
      <w:pPr>
        <w:rPr>
          <w:rFonts w:eastAsia="MS Mincho"/>
          <w:sz w:val="18"/>
          <w:szCs w:val="16"/>
        </w:rPr>
      </w:pPr>
    </w:p>
    <w:p w:rsidR="00FE4F3E" w:rsidRPr="00FE4F3E" w:rsidRDefault="00DC2475" w:rsidP="00FE4F3E">
      <w:pPr>
        <w:numPr>
          <w:ilvl w:val="0"/>
          <w:numId w:val="12"/>
        </w:numPr>
        <w:tabs>
          <w:tab w:val="clear" w:pos="720"/>
          <w:tab w:val="left" w:pos="709"/>
        </w:tabs>
        <w:ind w:left="0" w:right="850" w:firstLine="426"/>
        <w:rPr>
          <w:rFonts w:eastAsia="MS Mincho"/>
        </w:rPr>
      </w:pPr>
      <w:r w:rsidRPr="00EA743E">
        <w:rPr>
          <w:rFonts w:eastAsia="MS Mincho"/>
          <w:bCs/>
        </w:rPr>
        <w:t>Distribution of uniform certificates of seed-testing results to facilitate international seed trade</w:t>
      </w:r>
    </w:p>
    <w:p w:rsidR="00FE4F3E" w:rsidRPr="00875DB9" w:rsidRDefault="00FE4F3E" w:rsidP="006A2481">
      <w:pPr>
        <w:rPr>
          <w:rFonts w:eastAsia="MS Mincho"/>
          <w:sz w:val="16"/>
          <w:szCs w:val="16"/>
        </w:rPr>
      </w:pPr>
    </w:p>
    <w:p w:rsidR="00DC2475" w:rsidRDefault="00DC2475" w:rsidP="00FE4F3E">
      <w:pPr>
        <w:tabs>
          <w:tab w:val="left" w:pos="709"/>
        </w:tabs>
        <w:ind w:right="850"/>
        <w:rPr>
          <w:rFonts w:eastAsia="MS Mincho"/>
        </w:rPr>
      </w:pPr>
      <w:r w:rsidRPr="00FE4F3E">
        <w:rPr>
          <w:rFonts w:eastAsia="MS Mincho"/>
        </w:rPr>
        <w:t>Only ISTA-accredited laboratories are authorized to issue ISTA Certificates for seed analysis. The ISTA certificates provide the user with a seed analysis result they can trust is reproducible, true and, and for the Orange International  Seed Lot Certificate represents the quality of the seed lot from which the sample tested was drawn.</w:t>
      </w:r>
    </w:p>
    <w:p w:rsidR="00FE4F3E" w:rsidRPr="00875DB9" w:rsidRDefault="00FE4F3E" w:rsidP="006A2481">
      <w:pPr>
        <w:rPr>
          <w:rFonts w:eastAsia="MS Mincho"/>
          <w:sz w:val="18"/>
          <w:szCs w:val="16"/>
        </w:rPr>
      </w:pPr>
    </w:p>
    <w:p w:rsidR="00DC2475" w:rsidRPr="00FE4F3E" w:rsidRDefault="00DC2475" w:rsidP="00DC2475">
      <w:pPr>
        <w:numPr>
          <w:ilvl w:val="0"/>
          <w:numId w:val="12"/>
        </w:numPr>
        <w:ind w:right="850"/>
        <w:rPr>
          <w:rFonts w:eastAsia="MS Mincho"/>
        </w:rPr>
      </w:pPr>
      <w:r w:rsidRPr="00EA743E">
        <w:rPr>
          <w:rFonts w:eastAsia="MS Mincho"/>
          <w:bCs/>
        </w:rPr>
        <w:t>Exchange and dissemination of results of scientific research in various seed symposia, seminars and scientific journals</w:t>
      </w:r>
    </w:p>
    <w:p w:rsidR="00FE4F3E" w:rsidRPr="00875DB9" w:rsidRDefault="00FE4F3E" w:rsidP="006A2481">
      <w:pPr>
        <w:rPr>
          <w:rFonts w:eastAsia="MS Mincho"/>
          <w:sz w:val="16"/>
          <w:szCs w:val="16"/>
        </w:rPr>
      </w:pPr>
    </w:p>
    <w:p w:rsidR="00DC2475" w:rsidRPr="00EA743E" w:rsidRDefault="00DC2475" w:rsidP="00DC2475">
      <w:pPr>
        <w:ind w:right="850"/>
        <w:rPr>
          <w:rFonts w:eastAsia="MS Mincho"/>
        </w:rPr>
      </w:pPr>
      <w:r w:rsidRPr="00EA743E">
        <w:rPr>
          <w:rFonts w:eastAsia="MS Mincho"/>
        </w:rPr>
        <w:t>ISTA serves as a platform for seed scientists around the world to compare the results of their research and discuss important developments in seed science and technology, through both regular seed symposia and its own scientific journal, Seed Science and Technology.</w:t>
      </w:r>
    </w:p>
    <w:p w:rsidR="00DC2475" w:rsidRPr="006A2481" w:rsidRDefault="00DC2475" w:rsidP="006A2481">
      <w:pPr>
        <w:rPr>
          <w:rFonts w:eastAsia="MS Mincho"/>
          <w:sz w:val="16"/>
          <w:szCs w:val="16"/>
        </w:rPr>
      </w:pPr>
    </w:p>
    <w:p w:rsidR="00875DB9" w:rsidRPr="006A2481" w:rsidRDefault="00875DB9" w:rsidP="006A2481">
      <w:pPr>
        <w:rPr>
          <w:rFonts w:eastAsia="MS Mincho"/>
          <w:sz w:val="16"/>
          <w:szCs w:val="16"/>
        </w:rPr>
      </w:pPr>
    </w:p>
    <w:p w:rsidR="00DC2475" w:rsidRPr="008265AE" w:rsidRDefault="00DC2475" w:rsidP="008265AE">
      <w:pPr>
        <w:rPr>
          <w:rFonts w:eastAsiaTheme="minorEastAsia"/>
          <w:caps/>
          <w:snapToGrid w:val="0"/>
          <w:lang w:eastAsia="ja-JP"/>
        </w:rPr>
      </w:pPr>
      <w:bookmarkStart w:id="30" w:name="_Toc22564627"/>
      <w:r w:rsidRPr="008265AE">
        <w:rPr>
          <w:rFonts w:eastAsiaTheme="minorEastAsia"/>
          <w:caps/>
          <w:snapToGrid w:val="0"/>
          <w:lang w:eastAsia="ja-JP"/>
        </w:rPr>
        <w:t>FAQ on the use of molecular techniques in the examination of DUS</w:t>
      </w:r>
      <w:bookmarkEnd w:id="30"/>
    </w:p>
    <w:p w:rsidR="00DC2475" w:rsidRPr="006A2481" w:rsidRDefault="00DC2475" w:rsidP="006A2481">
      <w:pPr>
        <w:rPr>
          <w:sz w:val="16"/>
          <w:szCs w:val="16"/>
        </w:rPr>
      </w:pPr>
    </w:p>
    <w:p w:rsidR="00DC2475" w:rsidRPr="00EA743E" w:rsidRDefault="00DC2475" w:rsidP="008265AE">
      <w:pPr>
        <w:rPr>
          <w:rFonts w:eastAsia="Calibri" w:cs="Arial"/>
          <w:lang w:val="en-GB"/>
        </w:rPr>
      </w:pPr>
      <w:r w:rsidRPr="00EA743E">
        <w:rPr>
          <w:rFonts w:eastAsia="Calibri" w:cs="Arial"/>
          <w:lang w:val="en-GB"/>
        </w:rPr>
        <w:t>Does UPOV allow molecular techniques (DNA profiles) in the examination of Distinctness, Uniformity and Stability (“DUS”)?</w:t>
      </w:r>
    </w:p>
    <w:p w:rsidR="00DC2475" w:rsidRPr="00875DB9" w:rsidRDefault="00DC2475" w:rsidP="006A2481">
      <w:pPr>
        <w:rPr>
          <w:rFonts w:eastAsia="Calibri"/>
          <w:sz w:val="18"/>
          <w:szCs w:val="16"/>
        </w:rPr>
      </w:pPr>
    </w:p>
    <w:p w:rsidR="00DC2475" w:rsidRPr="00EA743E" w:rsidRDefault="00DC2475" w:rsidP="00DC2475">
      <w:pPr>
        <w:autoSpaceDE w:val="0"/>
        <w:autoSpaceDN w:val="0"/>
        <w:adjustRightInd w:val="0"/>
        <w:ind w:right="567"/>
        <w:rPr>
          <w:rFonts w:eastAsia="Calibri" w:cs="Arial"/>
          <w:lang w:val="en-GB"/>
        </w:rPr>
      </w:pPr>
      <w:r w:rsidRPr="00EA743E">
        <w:rPr>
          <w:rFonts w:eastAsia="Calibri" w:cs="Arial"/>
          <w:lang w:val="en-GB"/>
        </w:rPr>
        <w:t>It is important to note that, in some cases, varieties may have a different DNA profile but be phenotypically identical, whilst, in other cases, varieties which have a large phenotypic difference may have the same DNA profile for a particular set of molecular markers (e.g. some mutations).</w:t>
      </w:r>
    </w:p>
    <w:p w:rsidR="00DC2475" w:rsidRPr="00875DB9" w:rsidRDefault="00DC2475" w:rsidP="006A2481">
      <w:pPr>
        <w:rPr>
          <w:rFonts w:eastAsia="Calibri"/>
          <w:sz w:val="18"/>
          <w:szCs w:val="16"/>
        </w:rPr>
      </w:pPr>
    </w:p>
    <w:p w:rsidR="00DC2475" w:rsidRPr="00EA743E" w:rsidRDefault="00DC2475" w:rsidP="00DC2475">
      <w:pPr>
        <w:autoSpaceDE w:val="0"/>
        <w:autoSpaceDN w:val="0"/>
        <w:adjustRightInd w:val="0"/>
        <w:ind w:right="567"/>
        <w:rPr>
          <w:rFonts w:eastAsia="Calibri" w:cs="Arial"/>
          <w:lang w:val="en-GB"/>
        </w:rPr>
      </w:pPr>
      <w:r w:rsidRPr="00EA743E">
        <w:rPr>
          <w:rFonts w:eastAsia="Calibri" w:cs="Arial"/>
          <w:lang w:val="en-GB"/>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DC2475" w:rsidRPr="00875DB9" w:rsidRDefault="00DC2475" w:rsidP="006A2481">
      <w:pPr>
        <w:rPr>
          <w:rFonts w:eastAsia="Calibri"/>
          <w:sz w:val="18"/>
          <w:szCs w:val="16"/>
        </w:rPr>
      </w:pPr>
    </w:p>
    <w:p w:rsidR="00DC2475" w:rsidRPr="00EA743E" w:rsidRDefault="00DC2475" w:rsidP="00DC2475">
      <w:pPr>
        <w:autoSpaceDE w:val="0"/>
        <w:autoSpaceDN w:val="0"/>
        <w:adjustRightInd w:val="0"/>
        <w:ind w:right="567"/>
        <w:rPr>
          <w:rFonts w:eastAsia="Calibri" w:cs="Arial"/>
          <w:lang w:val="en-GB"/>
        </w:rPr>
      </w:pPr>
      <w:r w:rsidRPr="00EA743E">
        <w:rPr>
          <w:rFonts w:eastAsia="Calibri" w:cs="Arial"/>
          <w:lang w:val="en-GB"/>
        </w:rPr>
        <w:t>On the above basis, UPOV has agreed the following uses of molecular markers in relation to DUS examination:</w:t>
      </w:r>
    </w:p>
    <w:p w:rsidR="00DC2475" w:rsidRPr="00875DB9" w:rsidRDefault="00DC2475" w:rsidP="006A2481">
      <w:pPr>
        <w:rPr>
          <w:rFonts w:eastAsia="Calibri"/>
          <w:sz w:val="16"/>
          <w:szCs w:val="16"/>
        </w:rPr>
      </w:pPr>
    </w:p>
    <w:p w:rsidR="00DC2475" w:rsidRPr="00EA743E" w:rsidRDefault="00DC2475" w:rsidP="00DC2475">
      <w:pPr>
        <w:autoSpaceDE w:val="0"/>
        <w:autoSpaceDN w:val="0"/>
        <w:adjustRightInd w:val="0"/>
        <w:ind w:right="850"/>
        <w:rPr>
          <w:rFonts w:eastAsia="Calibri" w:cs="Arial"/>
          <w:lang w:val="en-GB"/>
        </w:rPr>
      </w:pPr>
      <w:r w:rsidRPr="00EA743E">
        <w:rPr>
          <w:rFonts w:eastAsia="Calibri" w:cs="Arial"/>
          <w:lang w:val="en-GB"/>
        </w:rPr>
        <w:t>(a)   Molecular markers can be used as a method of examining DUS characteristics that satisfy the criteria for characteristics set out in the General Introduction if there is a reliable link between the marker and the characteristic.</w:t>
      </w:r>
    </w:p>
    <w:p w:rsidR="00DC2475" w:rsidRPr="00875DB9" w:rsidRDefault="00DC2475" w:rsidP="006A2481">
      <w:pPr>
        <w:rPr>
          <w:rFonts w:eastAsia="Calibri"/>
          <w:sz w:val="16"/>
          <w:szCs w:val="16"/>
        </w:rPr>
      </w:pPr>
    </w:p>
    <w:p w:rsidR="00DC2475" w:rsidRPr="00EA743E" w:rsidRDefault="00DC2475" w:rsidP="00DC2475">
      <w:pPr>
        <w:autoSpaceDE w:val="0"/>
        <w:autoSpaceDN w:val="0"/>
        <w:adjustRightInd w:val="0"/>
        <w:ind w:right="850"/>
        <w:rPr>
          <w:rFonts w:eastAsia="Calibri" w:cs="Arial"/>
          <w:lang w:val="en-GB"/>
        </w:rPr>
      </w:pPr>
      <w:r w:rsidRPr="00EA743E">
        <w:rPr>
          <w:rFonts w:eastAsia="Calibri" w:cs="Arial"/>
          <w:lang w:val="en-GB"/>
        </w:rPr>
        <w:t>(b)    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DC2475" w:rsidRPr="00875DB9" w:rsidRDefault="00DC2475" w:rsidP="006A2481">
      <w:pPr>
        <w:rPr>
          <w:rFonts w:eastAsia="Calibri"/>
          <w:sz w:val="16"/>
          <w:szCs w:val="16"/>
        </w:rPr>
      </w:pPr>
    </w:p>
    <w:p w:rsidR="00DC2475" w:rsidRPr="00EA743E" w:rsidRDefault="00DC2475" w:rsidP="00DC2475">
      <w:pPr>
        <w:autoSpaceDE w:val="0"/>
        <w:autoSpaceDN w:val="0"/>
        <w:adjustRightInd w:val="0"/>
        <w:ind w:right="567"/>
        <w:rPr>
          <w:rFonts w:eastAsia="Calibri" w:cs="Arial"/>
          <w:lang w:val="en-GB"/>
        </w:rPr>
      </w:pPr>
      <w:r w:rsidRPr="00EA743E">
        <w:rPr>
          <w:rFonts w:eastAsia="Calibri" w:cs="Arial"/>
          <w:lang w:val="en-GB"/>
        </w:rPr>
        <w:t>The situation in UPOV is explained in documents TGP/15 “Guidance on the Use of Biochemical and Molecular Markers in the Examination of Distinctness, Uniformity and Stability (DUS)” and UPOV/INF/18 “Possible use of Molecular Markers in the Examination of Distinctness, Uniformity and Stability (DUS)”.</w:t>
      </w:r>
    </w:p>
    <w:p w:rsidR="00DC2475" w:rsidRPr="00875DB9" w:rsidRDefault="00DC2475" w:rsidP="006A2481">
      <w:pPr>
        <w:rPr>
          <w:rFonts w:eastAsia="Calibri"/>
          <w:sz w:val="16"/>
          <w:szCs w:val="16"/>
        </w:rPr>
      </w:pPr>
    </w:p>
    <w:p w:rsidR="00DC2475" w:rsidRPr="00EA743E" w:rsidRDefault="006A2481" w:rsidP="00DC2475">
      <w:pPr>
        <w:autoSpaceDE w:val="0"/>
        <w:autoSpaceDN w:val="0"/>
        <w:adjustRightInd w:val="0"/>
        <w:ind w:right="567"/>
        <w:rPr>
          <w:rFonts w:eastAsia="Calibri" w:cs="Arial"/>
          <w:lang w:val="en-GB"/>
        </w:rPr>
      </w:pPr>
      <w:r>
        <w:rPr>
          <w:noProof/>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276063</wp:posOffset>
                </wp:positionV>
                <wp:extent cx="2205857" cy="318976"/>
                <wp:effectExtent l="0" t="0" r="0" b="5080"/>
                <wp:wrapNone/>
                <wp:docPr id="1" name="Text Box 1"/>
                <wp:cNvGraphicFramePr/>
                <a:graphic xmlns:a="http://schemas.openxmlformats.org/drawingml/2006/main">
                  <a:graphicData uri="http://schemas.microsoft.com/office/word/2010/wordprocessingShape">
                    <wps:wsp>
                      <wps:cNvSpPr txBox="1"/>
                      <wps:spPr>
                        <a:xfrm>
                          <a:off x="0" y="0"/>
                          <a:ext cx="2205857" cy="318976"/>
                        </a:xfrm>
                        <a:prstGeom prst="rect">
                          <a:avLst/>
                        </a:prstGeom>
                        <a:noFill/>
                        <a:ln w="6350">
                          <a:noFill/>
                        </a:ln>
                      </wps:spPr>
                      <wps:txbx>
                        <w:txbxContent>
                          <w:p w:rsidR="006A2481" w:rsidRDefault="006A2481" w:rsidP="006A2481">
                            <w:pPr>
                              <w:jc w:val="right"/>
                            </w:pPr>
                            <w:r w:rsidRPr="00EA743E">
                              <w:t>[End of Annex and of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15pt;margin-top:21.75pt;width:173.7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" filled="f" stroked="f" strokeweight=".5pt">
                <v:textbox>
                  <w:txbxContent>
                    <w:p w:rsidR="006A2481" w:rsidRDefault="006A2481" w:rsidP="006A2481">
                      <w:pPr>
                        <w:jc w:val="right"/>
                      </w:pPr>
                      <w:r w:rsidRPr="00EA743E">
                        <w:t>[End of Annex and of document]</w:t>
                      </w:r>
                    </w:p>
                  </w:txbxContent>
                </v:textbox>
              </v:shape>
            </w:pict>
          </mc:Fallback>
        </mc:AlternateContent>
      </w:r>
      <w:hyperlink r:id="rId13" w:anchor="QB80" w:history="1">
        <w:r w:rsidR="00DC2475" w:rsidRPr="00EA743E">
          <w:rPr>
            <w:rFonts w:eastAsia="Calibri" w:cs="Arial"/>
            <w:color w:val="0000FF"/>
            <w:u w:val="single"/>
            <w:lang w:val="en-GB"/>
          </w:rPr>
          <w:t>https://www.upov.int/about/en/faq.html#QB80</w:t>
        </w:r>
      </w:hyperlink>
    </w:p>
    <w:sectPr w:rsidR="00DC2475" w:rsidRPr="00EA743E" w:rsidSect="006A2481">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C78" w:rsidRDefault="008D5C78" w:rsidP="006655D3">
      <w:r>
        <w:separator/>
      </w:r>
    </w:p>
    <w:p w:rsidR="008D5C78" w:rsidRDefault="008D5C78" w:rsidP="006655D3"/>
    <w:p w:rsidR="008D5C78" w:rsidRDefault="008D5C78" w:rsidP="006655D3"/>
  </w:endnote>
  <w:endnote w:type="continuationSeparator" w:id="0">
    <w:p w:rsidR="008D5C78" w:rsidRDefault="008D5C78" w:rsidP="006655D3">
      <w:r>
        <w:separator/>
      </w:r>
    </w:p>
    <w:p w:rsidR="008D5C78" w:rsidRPr="00294751" w:rsidRDefault="008D5C78">
      <w:pPr>
        <w:pStyle w:val="Footer"/>
        <w:spacing w:after="60"/>
        <w:rPr>
          <w:sz w:val="18"/>
          <w:lang w:val="fr-FR"/>
        </w:rPr>
      </w:pPr>
      <w:r w:rsidRPr="00294751">
        <w:rPr>
          <w:sz w:val="18"/>
          <w:lang w:val="fr-FR"/>
        </w:rPr>
        <w:t>[Suite de la note de la page précédente]</w:t>
      </w:r>
    </w:p>
    <w:p w:rsidR="008D5C78" w:rsidRPr="00294751" w:rsidRDefault="008D5C78" w:rsidP="006655D3">
      <w:pPr>
        <w:rPr>
          <w:lang w:val="fr-FR"/>
        </w:rPr>
      </w:pPr>
    </w:p>
    <w:p w:rsidR="008D5C78" w:rsidRPr="00294751" w:rsidRDefault="008D5C78" w:rsidP="006655D3">
      <w:pPr>
        <w:rPr>
          <w:lang w:val="fr-FR"/>
        </w:rPr>
      </w:pPr>
    </w:p>
  </w:endnote>
  <w:endnote w:type="continuationNotice" w:id="1">
    <w:p w:rsidR="008D5C78" w:rsidRPr="00294751" w:rsidRDefault="008D5C78" w:rsidP="006655D3">
      <w:pPr>
        <w:rPr>
          <w:lang w:val="fr-FR"/>
        </w:rPr>
      </w:pPr>
      <w:r w:rsidRPr="00294751">
        <w:rPr>
          <w:lang w:val="fr-FR"/>
        </w:rPr>
        <w:t>[Suite de la note page suivante]</w:t>
      </w:r>
    </w:p>
    <w:p w:rsidR="008D5C78" w:rsidRPr="00294751" w:rsidRDefault="008D5C78" w:rsidP="006655D3">
      <w:pPr>
        <w:rPr>
          <w:lang w:val="fr-FR"/>
        </w:rPr>
      </w:pPr>
    </w:p>
    <w:p w:rsidR="008D5C78" w:rsidRPr="00294751" w:rsidRDefault="008D5C7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C78" w:rsidRDefault="008D5C78" w:rsidP="006655D3">
      <w:r>
        <w:separator/>
      </w:r>
    </w:p>
  </w:footnote>
  <w:footnote w:type="continuationSeparator" w:id="0">
    <w:p w:rsidR="008D5C78" w:rsidRDefault="008D5C78" w:rsidP="006655D3">
      <w:r>
        <w:separator/>
      </w:r>
    </w:p>
  </w:footnote>
  <w:footnote w:type="continuationNotice" w:id="1">
    <w:p w:rsidR="008D5C78" w:rsidRPr="00AB530F" w:rsidRDefault="008D5C78" w:rsidP="00AB530F">
      <w:pPr>
        <w:pStyle w:val="Footer"/>
      </w:pPr>
    </w:p>
  </w:footnote>
  <w:footnote w:id="2">
    <w:p w:rsidR="000F777F" w:rsidRDefault="000F777F">
      <w:pPr>
        <w:pStyle w:val="FootnoteText"/>
      </w:pPr>
      <w:r>
        <w:rPr>
          <w:rStyle w:val="FootnoteReference"/>
        </w:rPr>
        <w:footnoteRef/>
      </w:r>
      <w:r>
        <w:t xml:space="preserve"> Held in Geneva on October 26 and 27,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16" w:rsidRPr="00C5280D" w:rsidRDefault="00CE4216" w:rsidP="00CE4216">
    <w:pPr>
      <w:pStyle w:val="Header"/>
      <w:rPr>
        <w:rStyle w:val="PageNumber"/>
        <w:lang w:val="en-US"/>
      </w:rPr>
    </w:pPr>
    <w:r>
      <w:rPr>
        <w:rStyle w:val="PageNumber"/>
        <w:lang w:val="en-US"/>
      </w:rPr>
      <w:t>BMT/19/9</w:t>
    </w:r>
  </w:p>
  <w:p w:rsidR="00CE4216" w:rsidRPr="00C5280D" w:rsidRDefault="00CE421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A0A27">
      <w:rPr>
        <w:rStyle w:val="PageNumber"/>
        <w:noProof/>
        <w:lang w:val="en-US"/>
      </w:rPr>
      <w:t>2</w:t>
    </w:r>
    <w:r w:rsidRPr="00C5280D">
      <w:rPr>
        <w:rStyle w:val="PageNumber"/>
        <w:lang w:val="en-US"/>
      </w:rPr>
      <w:fldChar w:fldCharType="end"/>
    </w:r>
  </w:p>
  <w:p w:rsidR="00CE4216" w:rsidRDefault="00CE42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16" w:rsidRPr="00C5280D" w:rsidRDefault="00CE4216" w:rsidP="00EB048E">
    <w:pPr>
      <w:pStyle w:val="Header"/>
      <w:rPr>
        <w:rStyle w:val="PageNumber"/>
        <w:lang w:val="en-US"/>
      </w:rPr>
    </w:pPr>
    <w:r>
      <w:rPr>
        <w:rStyle w:val="PageNumber"/>
        <w:lang w:val="en-US"/>
      </w:rPr>
      <w:t>BMT/19/</w:t>
    </w:r>
    <w:r w:rsidR="00A632AE">
      <w:rPr>
        <w:rStyle w:val="PageNumber"/>
        <w:lang w:val="en-US"/>
      </w:rPr>
      <w:t>9</w:t>
    </w:r>
  </w:p>
  <w:p w:rsidR="00CE4216" w:rsidRPr="00C5280D" w:rsidRDefault="006B6723" w:rsidP="00EB048E">
    <w:pPr>
      <w:pStyle w:val="Header"/>
      <w:rPr>
        <w:lang w:val="en-US"/>
      </w:rPr>
    </w:pPr>
    <w:r>
      <w:rPr>
        <w:lang w:val="en-US"/>
      </w:rPr>
      <w:t xml:space="preserve">Annex, </w:t>
    </w:r>
    <w:r w:rsidR="00CE4216" w:rsidRPr="00C5280D">
      <w:rPr>
        <w:lang w:val="en-US"/>
      </w:rPr>
      <w:t xml:space="preserve">page </w:t>
    </w:r>
    <w:r w:rsidR="00CE4216" w:rsidRPr="00C5280D">
      <w:rPr>
        <w:rStyle w:val="PageNumber"/>
        <w:lang w:val="en-US"/>
      </w:rPr>
      <w:fldChar w:fldCharType="begin"/>
    </w:r>
    <w:r w:rsidR="00CE4216" w:rsidRPr="00C5280D">
      <w:rPr>
        <w:rStyle w:val="PageNumber"/>
        <w:lang w:val="en-US"/>
      </w:rPr>
      <w:instrText xml:space="preserve"> PAGE </w:instrText>
    </w:r>
    <w:r w:rsidR="00CE4216" w:rsidRPr="00C5280D">
      <w:rPr>
        <w:rStyle w:val="PageNumber"/>
        <w:lang w:val="en-US"/>
      </w:rPr>
      <w:fldChar w:fldCharType="separate"/>
    </w:r>
    <w:r w:rsidR="006A0A27">
      <w:rPr>
        <w:rStyle w:val="PageNumber"/>
        <w:noProof/>
        <w:lang w:val="en-US"/>
      </w:rPr>
      <w:t>3</w:t>
    </w:r>
    <w:r w:rsidR="00CE4216" w:rsidRPr="00C5280D">
      <w:rPr>
        <w:rStyle w:val="PageNumber"/>
        <w:lang w:val="en-US"/>
      </w:rPr>
      <w:fldChar w:fldCharType="end"/>
    </w:r>
  </w:p>
  <w:p w:rsidR="00CE4216" w:rsidRPr="006A2481" w:rsidRDefault="00CE4216">
    <w:pP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723" w:rsidRDefault="006B6723">
    <w:pPr>
      <w:pStyle w:val="Header"/>
      <w:rPr>
        <w:lang w:val="en-US"/>
      </w:rPr>
    </w:pPr>
    <w:r>
      <w:rPr>
        <w:lang w:val="en-US"/>
      </w:rPr>
      <w:t>BMT/19/9</w:t>
    </w:r>
  </w:p>
  <w:p w:rsidR="006B6723" w:rsidRDefault="006B6723">
    <w:pPr>
      <w:pStyle w:val="Header"/>
      <w:rPr>
        <w:lang w:val="en-US"/>
      </w:rPr>
    </w:pPr>
  </w:p>
  <w:p w:rsidR="006B6723" w:rsidRDefault="006B6723">
    <w:pPr>
      <w:pStyle w:val="Header"/>
      <w:rPr>
        <w:lang w:val="en-US"/>
      </w:rPr>
    </w:pPr>
    <w:r>
      <w:rPr>
        <w:lang w:val="en-US"/>
      </w:rPr>
      <w:t>ANNEX</w:t>
    </w:r>
  </w:p>
  <w:p w:rsidR="006B6723" w:rsidRPr="006B6723" w:rsidRDefault="006B6723">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20"/>
  </w:num>
  <w:num w:numId="3">
    <w:abstractNumId w:val="2"/>
  </w:num>
  <w:num w:numId="4">
    <w:abstractNumId w:val="7"/>
  </w:num>
  <w:num w:numId="5">
    <w:abstractNumId w:val="5"/>
  </w:num>
  <w:num w:numId="6">
    <w:abstractNumId w:val="4"/>
  </w:num>
  <w:num w:numId="7">
    <w:abstractNumId w:val="15"/>
  </w:num>
  <w:num w:numId="8">
    <w:abstractNumId w:val="10"/>
  </w:num>
  <w:num w:numId="9">
    <w:abstractNumId w:val="14"/>
  </w:num>
  <w:num w:numId="10">
    <w:abstractNumId w:val="16"/>
  </w:num>
  <w:num w:numId="11">
    <w:abstractNumId w:val="9"/>
  </w:num>
  <w:num w:numId="12">
    <w:abstractNumId w:val="8"/>
  </w:num>
  <w:num w:numId="13">
    <w:abstractNumId w:val="1"/>
  </w:num>
  <w:num w:numId="14">
    <w:abstractNumId w:val="18"/>
  </w:num>
  <w:num w:numId="15">
    <w:abstractNumId w:val="13"/>
  </w:num>
  <w:num w:numId="16">
    <w:abstractNumId w:val="19"/>
  </w:num>
  <w:num w:numId="17">
    <w:abstractNumId w:val="12"/>
  </w:num>
  <w:num w:numId="18">
    <w:abstractNumId w:val="17"/>
  </w:num>
  <w:num w:numId="19">
    <w:abstractNumId w:val="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3E"/>
    <w:rsid w:val="00010CF3"/>
    <w:rsid w:val="00011E27"/>
    <w:rsid w:val="000148BC"/>
    <w:rsid w:val="00024AB8"/>
    <w:rsid w:val="00030854"/>
    <w:rsid w:val="00036028"/>
    <w:rsid w:val="00044642"/>
    <w:rsid w:val="000446B9"/>
    <w:rsid w:val="00047E21"/>
    <w:rsid w:val="00050E16"/>
    <w:rsid w:val="0008519A"/>
    <w:rsid w:val="00085505"/>
    <w:rsid w:val="000C4E25"/>
    <w:rsid w:val="000C7021"/>
    <w:rsid w:val="000D6BBC"/>
    <w:rsid w:val="000D7780"/>
    <w:rsid w:val="000E636A"/>
    <w:rsid w:val="000F2F11"/>
    <w:rsid w:val="000F777F"/>
    <w:rsid w:val="00100361"/>
    <w:rsid w:val="00105929"/>
    <w:rsid w:val="00110C36"/>
    <w:rsid w:val="001131D5"/>
    <w:rsid w:val="00136714"/>
    <w:rsid w:val="00141DB8"/>
    <w:rsid w:val="0015326B"/>
    <w:rsid w:val="00172084"/>
    <w:rsid w:val="0017474A"/>
    <w:rsid w:val="001758C6"/>
    <w:rsid w:val="00182B99"/>
    <w:rsid w:val="00183892"/>
    <w:rsid w:val="001D60D9"/>
    <w:rsid w:val="001D6303"/>
    <w:rsid w:val="0021332C"/>
    <w:rsid w:val="00213982"/>
    <w:rsid w:val="0024416D"/>
    <w:rsid w:val="00265608"/>
    <w:rsid w:val="00271911"/>
    <w:rsid w:val="00275D9E"/>
    <w:rsid w:val="002800A0"/>
    <w:rsid w:val="002801B3"/>
    <w:rsid w:val="00281060"/>
    <w:rsid w:val="002940E8"/>
    <w:rsid w:val="00294751"/>
    <w:rsid w:val="002A6AF4"/>
    <w:rsid w:val="002A6E50"/>
    <w:rsid w:val="002B4298"/>
    <w:rsid w:val="002C256A"/>
    <w:rsid w:val="002D4B92"/>
    <w:rsid w:val="00305A7F"/>
    <w:rsid w:val="003152FE"/>
    <w:rsid w:val="00327436"/>
    <w:rsid w:val="00335389"/>
    <w:rsid w:val="00344BD6"/>
    <w:rsid w:val="00346C00"/>
    <w:rsid w:val="0035528D"/>
    <w:rsid w:val="00361821"/>
    <w:rsid w:val="00361E9E"/>
    <w:rsid w:val="003C7FBE"/>
    <w:rsid w:val="003D227C"/>
    <w:rsid w:val="003D2B4D"/>
    <w:rsid w:val="00444A88"/>
    <w:rsid w:val="00474DA4"/>
    <w:rsid w:val="00476B4D"/>
    <w:rsid w:val="004805FA"/>
    <w:rsid w:val="00487E56"/>
    <w:rsid w:val="004935D2"/>
    <w:rsid w:val="0049744F"/>
    <w:rsid w:val="004B1215"/>
    <w:rsid w:val="004D047D"/>
    <w:rsid w:val="004F1E9E"/>
    <w:rsid w:val="004F305A"/>
    <w:rsid w:val="00507702"/>
    <w:rsid w:val="00512164"/>
    <w:rsid w:val="00520297"/>
    <w:rsid w:val="00522BC5"/>
    <w:rsid w:val="005338F9"/>
    <w:rsid w:val="0054281C"/>
    <w:rsid w:val="00544581"/>
    <w:rsid w:val="0055268D"/>
    <w:rsid w:val="0055607C"/>
    <w:rsid w:val="00576BE4"/>
    <w:rsid w:val="005A400A"/>
    <w:rsid w:val="005B0C2B"/>
    <w:rsid w:val="005F7B92"/>
    <w:rsid w:val="00612379"/>
    <w:rsid w:val="006153B6"/>
    <w:rsid w:val="0061555F"/>
    <w:rsid w:val="00621302"/>
    <w:rsid w:val="00624E05"/>
    <w:rsid w:val="00636CA6"/>
    <w:rsid w:val="00641200"/>
    <w:rsid w:val="006655D3"/>
    <w:rsid w:val="00667404"/>
    <w:rsid w:val="00687EB4"/>
    <w:rsid w:val="00695C56"/>
    <w:rsid w:val="006A0A27"/>
    <w:rsid w:val="006A2481"/>
    <w:rsid w:val="006A5CDE"/>
    <w:rsid w:val="006A644A"/>
    <w:rsid w:val="006B17D2"/>
    <w:rsid w:val="006B6723"/>
    <w:rsid w:val="006C224E"/>
    <w:rsid w:val="006C50ED"/>
    <w:rsid w:val="006D780A"/>
    <w:rsid w:val="0071271E"/>
    <w:rsid w:val="00732DEC"/>
    <w:rsid w:val="00735BD5"/>
    <w:rsid w:val="00751613"/>
    <w:rsid w:val="007556F6"/>
    <w:rsid w:val="00760EEF"/>
    <w:rsid w:val="00777EE5"/>
    <w:rsid w:val="00784836"/>
    <w:rsid w:val="0079023E"/>
    <w:rsid w:val="007A2854"/>
    <w:rsid w:val="007A4954"/>
    <w:rsid w:val="007C1D92"/>
    <w:rsid w:val="007C4CB9"/>
    <w:rsid w:val="007D0B9D"/>
    <w:rsid w:val="007D19B0"/>
    <w:rsid w:val="007F498F"/>
    <w:rsid w:val="0080679D"/>
    <w:rsid w:val="008108B0"/>
    <w:rsid w:val="00811B20"/>
    <w:rsid w:val="008211B5"/>
    <w:rsid w:val="0082296E"/>
    <w:rsid w:val="00823259"/>
    <w:rsid w:val="00824099"/>
    <w:rsid w:val="008265AE"/>
    <w:rsid w:val="00846D7C"/>
    <w:rsid w:val="0086022F"/>
    <w:rsid w:val="00860A1D"/>
    <w:rsid w:val="008676F3"/>
    <w:rsid w:val="00867AC1"/>
    <w:rsid w:val="008721D0"/>
    <w:rsid w:val="00875DB9"/>
    <w:rsid w:val="00890DF8"/>
    <w:rsid w:val="008A743F"/>
    <w:rsid w:val="008C0970"/>
    <w:rsid w:val="008C594F"/>
    <w:rsid w:val="008C6E27"/>
    <w:rsid w:val="008D0BC5"/>
    <w:rsid w:val="008D2CF7"/>
    <w:rsid w:val="008D5C78"/>
    <w:rsid w:val="00900C26"/>
    <w:rsid w:val="0090197F"/>
    <w:rsid w:val="00906DDC"/>
    <w:rsid w:val="00934E09"/>
    <w:rsid w:val="00936253"/>
    <w:rsid w:val="00940D46"/>
    <w:rsid w:val="00952DD4"/>
    <w:rsid w:val="00965AE7"/>
    <w:rsid w:val="00970F60"/>
    <w:rsid w:val="00970FED"/>
    <w:rsid w:val="00992D82"/>
    <w:rsid w:val="00997029"/>
    <w:rsid w:val="009A7339"/>
    <w:rsid w:val="009B440E"/>
    <w:rsid w:val="009D690D"/>
    <w:rsid w:val="009E65B6"/>
    <w:rsid w:val="00A023CB"/>
    <w:rsid w:val="00A24C10"/>
    <w:rsid w:val="00A42AC3"/>
    <w:rsid w:val="00A430CF"/>
    <w:rsid w:val="00A54309"/>
    <w:rsid w:val="00A632AE"/>
    <w:rsid w:val="00AB2B93"/>
    <w:rsid w:val="00AB530F"/>
    <w:rsid w:val="00AB7E5B"/>
    <w:rsid w:val="00AC2883"/>
    <w:rsid w:val="00AE0EF1"/>
    <w:rsid w:val="00AE2937"/>
    <w:rsid w:val="00B0546F"/>
    <w:rsid w:val="00B07301"/>
    <w:rsid w:val="00B11F3E"/>
    <w:rsid w:val="00B206F7"/>
    <w:rsid w:val="00B224DE"/>
    <w:rsid w:val="00B324D4"/>
    <w:rsid w:val="00B46575"/>
    <w:rsid w:val="00B61777"/>
    <w:rsid w:val="00B84BBD"/>
    <w:rsid w:val="00BA411D"/>
    <w:rsid w:val="00BA43FB"/>
    <w:rsid w:val="00BC127D"/>
    <w:rsid w:val="00BC1FE6"/>
    <w:rsid w:val="00C0001E"/>
    <w:rsid w:val="00C061B6"/>
    <w:rsid w:val="00C2446C"/>
    <w:rsid w:val="00C36AE5"/>
    <w:rsid w:val="00C41F17"/>
    <w:rsid w:val="00C527FA"/>
    <w:rsid w:val="00C5280D"/>
    <w:rsid w:val="00C53EB3"/>
    <w:rsid w:val="00C5791C"/>
    <w:rsid w:val="00C61FBF"/>
    <w:rsid w:val="00C66290"/>
    <w:rsid w:val="00C72B7A"/>
    <w:rsid w:val="00C973F2"/>
    <w:rsid w:val="00CA304C"/>
    <w:rsid w:val="00CA774A"/>
    <w:rsid w:val="00CC11B0"/>
    <w:rsid w:val="00CC2841"/>
    <w:rsid w:val="00CD1CBA"/>
    <w:rsid w:val="00CE4216"/>
    <w:rsid w:val="00CF1330"/>
    <w:rsid w:val="00CF7E36"/>
    <w:rsid w:val="00D3708D"/>
    <w:rsid w:val="00D40426"/>
    <w:rsid w:val="00D4308E"/>
    <w:rsid w:val="00D5634B"/>
    <w:rsid w:val="00D57C96"/>
    <w:rsid w:val="00D57D18"/>
    <w:rsid w:val="00D627D1"/>
    <w:rsid w:val="00D91203"/>
    <w:rsid w:val="00D95174"/>
    <w:rsid w:val="00DA1712"/>
    <w:rsid w:val="00DA4499"/>
    <w:rsid w:val="00DA4973"/>
    <w:rsid w:val="00DA6F36"/>
    <w:rsid w:val="00DB596E"/>
    <w:rsid w:val="00DB7773"/>
    <w:rsid w:val="00DC00EA"/>
    <w:rsid w:val="00DC2475"/>
    <w:rsid w:val="00DC3802"/>
    <w:rsid w:val="00E07D87"/>
    <w:rsid w:val="00E32F7E"/>
    <w:rsid w:val="00E5267B"/>
    <w:rsid w:val="00E72D49"/>
    <w:rsid w:val="00E7593C"/>
    <w:rsid w:val="00E7678A"/>
    <w:rsid w:val="00E773FD"/>
    <w:rsid w:val="00E935F1"/>
    <w:rsid w:val="00E94A81"/>
    <w:rsid w:val="00EA1FFB"/>
    <w:rsid w:val="00EA743E"/>
    <w:rsid w:val="00EB048E"/>
    <w:rsid w:val="00EB4E9C"/>
    <w:rsid w:val="00EC481C"/>
    <w:rsid w:val="00EE1AFA"/>
    <w:rsid w:val="00EE34DF"/>
    <w:rsid w:val="00EF2F89"/>
    <w:rsid w:val="00F03E98"/>
    <w:rsid w:val="00F05C6A"/>
    <w:rsid w:val="00F1237A"/>
    <w:rsid w:val="00F22CBD"/>
    <w:rsid w:val="00F272F1"/>
    <w:rsid w:val="00F45372"/>
    <w:rsid w:val="00F560F7"/>
    <w:rsid w:val="00F6334D"/>
    <w:rsid w:val="00FA49AB"/>
    <w:rsid w:val="00FB5869"/>
    <w:rsid w:val="00FE39C7"/>
    <w:rsid w:val="00FE4F3E"/>
    <w:rsid w:val="00FF4D07"/>
    <w:rsid w:val="00FF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F445889"/>
  <w15:docId w15:val="{FA6B7C28-A64D-476C-A987-201C076A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275D9E"/>
    <w:pPr>
      <w:tabs>
        <w:tab w:val="right" w:leader="dot" w:pos="9639"/>
      </w:tabs>
      <w:spacing w:before="120" w:after="60"/>
      <w:ind w:left="284" w:right="851"/>
    </w:pPr>
    <w:rPr>
      <w:rFonts w:ascii="Arial" w:hAnsi="Arial"/>
    </w:rPr>
  </w:style>
  <w:style w:type="paragraph" w:styleId="TOC3">
    <w:name w:val="toc 3"/>
    <w:next w:val="Normal"/>
    <w:autoRedefine/>
    <w:uiPriority w:val="39"/>
    <w:qFormat/>
    <w:rsid w:val="00275D9E"/>
    <w:pPr>
      <w:tabs>
        <w:tab w:val="right" w:leader="dot" w:pos="9639"/>
      </w:tabs>
      <w:spacing w:before="60"/>
      <w:ind w:left="851"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275D9E"/>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1Char">
    <w:name w:val="Heading 1 Char"/>
    <w:aliases w:val="COMMON NAME Char,common Char"/>
    <w:basedOn w:val="DefaultParagraphFont"/>
    <w:link w:val="Heading1"/>
    <w:rsid w:val="00EA743E"/>
    <w:rPr>
      <w:rFonts w:ascii="Arial" w:hAnsi="Arial"/>
      <w:caps/>
    </w:rPr>
  </w:style>
  <w:style w:type="character" w:customStyle="1" w:styleId="Heading2Char">
    <w:name w:val="Heading 2 Char"/>
    <w:aliases w:val="VARIETY Char,variety Char"/>
    <w:link w:val="Heading2"/>
    <w:locked/>
    <w:rsid w:val="00EA743E"/>
    <w:rPr>
      <w:rFonts w:ascii="Arial" w:hAnsi="Arial"/>
      <w:u w:val="single"/>
    </w:rPr>
  </w:style>
  <w:style w:type="character" w:customStyle="1" w:styleId="Heading3Char">
    <w:name w:val="Heading 3 Char"/>
    <w:basedOn w:val="DefaultParagraphFont"/>
    <w:link w:val="Heading3"/>
    <w:rsid w:val="00EA743E"/>
    <w:rPr>
      <w:rFonts w:ascii="Arial" w:hAnsi="Arial"/>
      <w:i/>
    </w:rPr>
  </w:style>
  <w:style w:type="character" w:customStyle="1" w:styleId="Heading4Char">
    <w:name w:val="Heading 4 Char"/>
    <w:link w:val="Heading4"/>
    <w:rsid w:val="00EA743E"/>
    <w:rPr>
      <w:rFonts w:ascii="Arial" w:hAnsi="Arial"/>
      <w:u w:val="single"/>
      <w:lang w:val="fr-FR"/>
    </w:rPr>
  </w:style>
  <w:style w:type="character" w:customStyle="1" w:styleId="HeaderChar">
    <w:name w:val="Header Char"/>
    <w:basedOn w:val="DefaultParagraphFont"/>
    <w:link w:val="Header"/>
    <w:rsid w:val="00EA743E"/>
    <w:rPr>
      <w:rFonts w:ascii="Arial" w:hAnsi="Arial"/>
      <w:lang w:val="fr-FR"/>
    </w:rPr>
  </w:style>
  <w:style w:type="character" w:customStyle="1" w:styleId="FootnoteTextChar">
    <w:name w:val="Footnote Text Char"/>
    <w:basedOn w:val="DefaultParagraphFont"/>
    <w:link w:val="FootnoteText"/>
    <w:rsid w:val="00EA743E"/>
    <w:rPr>
      <w:rFonts w:ascii="Arial" w:hAnsi="Arial"/>
      <w:sz w:val="16"/>
    </w:rPr>
  </w:style>
  <w:style w:type="paragraph" w:customStyle="1" w:styleId="Sessiontwp">
    <w:name w:val="Session_twp"/>
    <w:basedOn w:val="Normal"/>
    <w:next w:val="Normal"/>
    <w:qFormat/>
    <w:rsid w:val="00EA743E"/>
    <w:rPr>
      <w:b/>
    </w:rPr>
  </w:style>
  <w:style w:type="paragraph" w:customStyle="1" w:styleId="Sessiontwpplacedate">
    <w:name w:val="Session_twp_place_date"/>
    <w:basedOn w:val="Normal"/>
    <w:next w:val="Normal"/>
    <w:qFormat/>
    <w:rsid w:val="00EA743E"/>
  </w:style>
  <w:style w:type="paragraph" w:styleId="ListParagraph">
    <w:name w:val="List Paragraph"/>
    <w:basedOn w:val="Normal"/>
    <w:uiPriority w:val="34"/>
    <w:qFormat/>
    <w:rsid w:val="00EA743E"/>
    <w:pPr>
      <w:ind w:left="720"/>
      <w:contextualSpacing/>
    </w:pPr>
    <w:rPr>
      <w:rFonts w:eastAsiaTheme="minorEastAsia"/>
    </w:rPr>
  </w:style>
  <w:style w:type="paragraph" w:styleId="BodyTextIndent">
    <w:name w:val="Body Text Indent"/>
    <w:basedOn w:val="Normal"/>
    <w:link w:val="BodyTextIndentChar"/>
    <w:rsid w:val="00EA743E"/>
    <w:pPr>
      <w:spacing w:after="120"/>
      <w:ind w:left="283"/>
    </w:pPr>
    <w:rPr>
      <w:rFonts w:eastAsiaTheme="minorEastAsia"/>
    </w:rPr>
  </w:style>
  <w:style w:type="character" w:customStyle="1" w:styleId="BodyTextIndentChar">
    <w:name w:val="Body Text Indent Char"/>
    <w:basedOn w:val="DefaultParagraphFont"/>
    <w:link w:val="BodyTextIndent"/>
    <w:rsid w:val="00EA743E"/>
    <w:rPr>
      <w:rFonts w:ascii="Arial" w:eastAsiaTheme="minorEastAsia" w:hAnsi="Arial"/>
    </w:rPr>
  </w:style>
  <w:style w:type="paragraph" w:customStyle="1" w:styleId="Style1">
    <w:name w:val="Style1"/>
    <w:basedOn w:val="Normal"/>
    <w:rsid w:val="00EA743E"/>
    <w:pPr>
      <w:tabs>
        <w:tab w:val="decimal" w:pos="907"/>
        <w:tab w:val="left" w:pos="1077"/>
      </w:tabs>
    </w:pPr>
    <w:rPr>
      <w:rFonts w:ascii="Times New Roman" w:eastAsiaTheme="minorEastAsia" w:hAnsi="Times New Roman"/>
      <w:sz w:val="24"/>
      <w:szCs w:val="24"/>
      <w:lang w:eastAsia="ja-JP"/>
    </w:rPr>
  </w:style>
  <w:style w:type="paragraph" w:styleId="NormalWeb">
    <w:name w:val="Normal (Web)"/>
    <w:basedOn w:val="Normal"/>
    <w:uiPriority w:val="99"/>
    <w:unhideWhenUsed/>
    <w:rsid w:val="00EA743E"/>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EA743E"/>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customStyle="1" w:styleId="TableGrid1">
    <w:name w:val="Table Grid1"/>
    <w:basedOn w:val="TableNormal"/>
    <w:next w:val="TableGrid"/>
    <w:uiPriority w:val="39"/>
    <w:rsid w:val="00EA74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A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743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A743E"/>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A743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EA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EA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A743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EA743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43E"/>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A743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A7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EA743E"/>
    <w:rPr>
      <w:sz w:val="16"/>
      <w:szCs w:val="16"/>
    </w:rPr>
  </w:style>
  <w:style w:type="paragraph" w:styleId="CommentText">
    <w:name w:val="annotation text"/>
    <w:basedOn w:val="Normal"/>
    <w:link w:val="CommentTextChar"/>
    <w:semiHidden/>
    <w:unhideWhenUsed/>
    <w:rsid w:val="00EA743E"/>
  </w:style>
  <w:style w:type="character" w:customStyle="1" w:styleId="CommentTextChar">
    <w:name w:val="Comment Text Char"/>
    <w:basedOn w:val="DefaultParagraphFont"/>
    <w:link w:val="CommentText"/>
    <w:semiHidden/>
    <w:rsid w:val="00EA743E"/>
    <w:rPr>
      <w:rFonts w:ascii="Arial" w:hAnsi="Arial"/>
    </w:rPr>
  </w:style>
  <w:style w:type="paragraph" w:styleId="CommentSubject">
    <w:name w:val="annotation subject"/>
    <w:basedOn w:val="CommentText"/>
    <w:next w:val="CommentText"/>
    <w:link w:val="CommentSubjectChar"/>
    <w:semiHidden/>
    <w:unhideWhenUsed/>
    <w:rsid w:val="00EA743E"/>
    <w:rPr>
      <w:b/>
      <w:bCs/>
    </w:rPr>
  </w:style>
  <w:style w:type="character" w:customStyle="1" w:styleId="CommentSubjectChar">
    <w:name w:val="Comment Subject Char"/>
    <w:basedOn w:val="CommentTextChar"/>
    <w:link w:val="CommentSubject"/>
    <w:semiHidden/>
    <w:rsid w:val="00EA743E"/>
    <w:rPr>
      <w:rFonts w:ascii="Arial" w:hAnsi="Arial"/>
      <w:b/>
      <w:bCs/>
    </w:rPr>
  </w:style>
  <w:style w:type="paragraph" w:styleId="Revision">
    <w:name w:val="Revision"/>
    <w:hidden/>
    <w:uiPriority w:val="99"/>
    <w:semiHidden/>
    <w:rsid w:val="00EA743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about/en/faq.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edtest.org/en/member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export/sites/upov/images/worldmap_en.jp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upov.int/export/sites/upov/members/en/pdf/pub42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9\Template\BMT_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FD3D-B47B-4DC3-B4B6-2E1D0B76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BMT_19.dotx</Template>
  <TotalTime>24</TotalTime>
  <Pages>7</Pages>
  <Words>3020</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BMT/19</vt:lpstr>
    </vt:vector>
  </TitlesOfParts>
  <Company>UPOV</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BMT/19</dc:title>
  <dc:creator>REZENDE TAVEIRA Leontino</dc:creator>
  <cp:lastModifiedBy>SANTOS Carla Marina</cp:lastModifiedBy>
  <cp:revision>14</cp:revision>
  <cp:lastPrinted>2020-09-04T15:09:00Z</cp:lastPrinted>
  <dcterms:created xsi:type="dcterms:W3CDTF">2020-08-27T15:07:00Z</dcterms:created>
  <dcterms:modified xsi:type="dcterms:W3CDTF">2020-09-04T15:14:00Z</dcterms:modified>
</cp:coreProperties>
</file>