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507702" w:rsidP="00507702">
            <w:pPr>
              <w:pStyle w:val="Sessiontcplacedate"/>
              <w:rPr>
                <w:sz w:val="22"/>
              </w:rPr>
            </w:pPr>
            <w:r>
              <w:t>Nine</w:t>
            </w:r>
            <w:r w:rsidR="00624E05">
              <w:t>teenth</w:t>
            </w:r>
            <w:r w:rsidR="00624E05" w:rsidRPr="00DA4973">
              <w:t xml:space="preserve"> Session</w:t>
            </w:r>
            <w:r w:rsidR="00EB4E9C" w:rsidRPr="00DA4973">
              <w:br/>
            </w:r>
            <w:r>
              <w:t>Alexandria, United States of America</w:t>
            </w:r>
            <w:r w:rsidR="00D5634B">
              <w:t xml:space="preserve">, </w:t>
            </w:r>
            <w:r>
              <w:t>September 23 to 25</w:t>
            </w:r>
            <w:r w:rsidR="00D5634B">
              <w:t>, 20</w:t>
            </w:r>
            <w:r>
              <w:t>20</w:t>
            </w:r>
          </w:p>
        </w:tc>
        <w:tc>
          <w:tcPr>
            <w:tcW w:w="3127" w:type="dxa"/>
          </w:tcPr>
          <w:p w:rsidR="00EB4E9C" w:rsidRDefault="00D5634B" w:rsidP="003C7FBE">
            <w:pPr>
              <w:pStyle w:val="Doccode"/>
            </w:pPr>
            <w:r>
              <w:t>BMT/1</w:t>
            </w:r>
            <w:r w:rsidR="00507702">
              <w:t>9</w:t>
            </w:r>
            <w:r w:rsidR="00EB4E9C" w:rsidRPr="00AC2883">
              <w:t>/</w:t>
            </w:r>
            <w:r w:rsidR="00632792">
              <w:t>6</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30F96">
            <w:pPr>
              <w:pStyle w:val="Docoriginal"/>
            </w:pPr>
            <w:r w:rsidRPr="00AC2883">
              <w:t>Date:</w:t>
            </w:r>
            <w:r w:rsidR="00D5634B">
              <w:rPr>
                <w:b w:val="0"/>
                <w:spacing w:val="0"/>
              </w:rPr>
              <w:t xml:space="preserve">  </w:t>
            </w:r>
            <w:r w:rsidR="00632792" w:rsidRPr="00613E10">
              <w:rPr>
                <w:b w:val="0"/>
                <w:spacing w:val="0"/>
              </w:rPr>
              <w:t xml:space="preserve">August </w:t>
            </w:r>
            <w:r w:rsidR="00977024" w:rsidRPr="00613E10">
              <w:rPr>
                <w:b w:val="0"/>
                <w:spacing w:val="0"/>
              </w:rPr>
              <w:t>1</w:t>
            </w:r>
            <w:r w:rsidR="00D30F96" w:rsidRPr="00613E10">
              <w:rPr>
                <w:b w:val="0"/>
                <w:spacing w:val="0"/>
              </w:rPr>
              <w:t>9</w:t>
            </w:r>
            <w:r w:rsidR="00D5634B" w:rsidRPr="00613E10">
              <w:rPr>
                <w:b w:val="0"/>
                <w:spacing w:val="0"/>
              </w:rPr>
              <w:t>, 20</w:t>
            </w:r>
            <w:r w:rsidR="00507702" w:rsidRPr="00613E10">
              <w:rPr>
                <w:b w:val="0"/>
                <w:spacing w:val="0"/>
              </w:rPr>
              <w:t>20</w:t>
            </w:r>
            <w:bookmarkStart w:id="0" w:name="_GoBack"/>
            <w:bookmarkEnd w:id="0"/>
          </w:p>
        </w:tc>
      </w:tr>
    </w:tbl>
    <w:p w:rsidR="000D7780" w:rsidRPr="006A644A" w:rsidRDefault="00632792" w:rsidP="006A644A">
      <w:pPr>
        <w:pStyle w:val="Titleofdoc0"/>
      </w:pPr>
      <w:bookmarkStart w:id="1" w:name="TitleOfDoc"/>
      <w:bookmarkEnd w:id="1"/>
      <w:r w:rsidRPr="00632792">
        <w:rPr>
          <w:lang w:val="en-GB"/>
        </w:rPr>
        <w:t>vmDUS - VALUE-MOLECULAR LINKED DISTINCTNESS DETERMINATION</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632792" w:rsidRPr="00632792">
        <w:rPr>
          <w:lang w:val="en-GB"/>
        </w:rPr>
        <w:t>experts from France</w:t>
      </w:r>
      <w:r w:rsidR="00632792">
        <w:rPr>
          <w:lang w:val="en-GB"/>
        </w:rPr>
        <w:t xml:space="preserve">, </w:t>
      </w:r>
      <w:r w:rsidR="00632792" w:rsidRPr="00632792">
        <w:rPr>
          <w:lang w:val="en-GB"/>
        </w:rPr>
        <w:t>Italy</w:t>
      </w:r>
      <w:r w:rsidR="00632792">
        <w:rPr>
          <w:lang w:val="en-GB"/>
        </w:rPr>
        <w:t xml:space="preserve"> and the United Kingdom</w:t>
      </w:r>
    </w:p>
    <w:p w:rsidR="00050E16" w:rsidRPr="006A644A" w:rsidRDefault="00050E16" w:rsidP="006A644A">
      <w:pPr>
        <w:pStyle w:val="Disclaimer"/>
      </w:pPr>
      <w:r w:rsidRPr="006A644A">
        <w:t>Disclaimer:  this document does not represent UPOV policies or guidance</w:t>
      </w:r>
    </w:p>
    <w:p w:rsidR="00632792" w:rsidRDefault="00632792" w:rsidP="00632792">
      <w:pPr>
        <w:pStyle w:val="Heading2"/>
      </w:pPr>
      <w:bookmarkStart w:id="3" w:name="_Hlk20218592"/>
      <w:r>
        <w:t>1.</w:t>
      </w:r>
      <w:r>
        <w:tab/>
      </w:r>
      <w:r w:rsidRPr="00632792">
        <w:t>Introduction</w:t>
      </w:r>
    </w:p>
    <w:p w:rsidR="00632792" w:rsidRPr="00632792" w:rsidRDefault="00632792" w:rsidP="00632792">
      <w:pPr>
        <w:rPr>
          <w:rFonts w:eastAsia="Calibri"/>
          <w:lang w:val="en-GB"/>
        </w:rPr>
      </w:pPr>
    </w:p>
    <w:bookmarkEnd w:id="3"/>
    <w:p w:rsidR="00632792" w:rsidRDefault="00632792" w:rsidP="00632792">
      <w:pPr>
        <w:rPr>
          <w:rFonts w:eastAsia="Calibri"/>
          <w:lang w:val="en-GB"/>
        </w:rPr>
      </w:pPr>
      <w:r w:rsidRPr="00632792">
        <w:rPr>
          <w:rFonts w:eastAsia="Calibri"/>
          <w:lang w:val="en-GB"/>
        </w:rPr>
        <w:t>1.1</w:t>
      </w:r>
      <w:r w:rsidRPr="00632792">
        <w:rPr>
          <w:rFonts w:eastAsia="Calibri"/>
          <w:lang w:val="en-GB"/>
        </w:rPr>
        <w:tab/>
        <w:t>UPOV's stated mission is to “</w:t>
      </w:r>
      <w:r w:rsidRPr="00632792">
        <w:rPr>
          <w:rFonts w:eastAsia="Calibri"/>
          <w:i/>
          <w:lang w:val="en-GB"/>
        </w:rPr>
        <w:t>provide and promote an effective system of plant variety protection, with the aim of encouraging the development of new varieties of plants, for the benefit of society</w:t>
      </w:r>
      <w:r w:rsidRPr="00632792">
        <w:rPr>
          <w:rFonts w:eastAsia="Calibri"/>
          <w:lang w:val="en-GB"/>
        </w:rPr>
        <w:t xml:space="preserve">” and these two elements </w:t>
      </w:r>
      <w:proofErr w:type="gramStart"/>
      <w:r w:rsidRPr="00632792">
        <w:rPr>
          <w:rFonts w:eastAsia="Calibri"/>
          <w:lang w:val="en-GB"/>
        </w:rPr>
        <w:t>are regarded</w:t>
      </w:r>
      <w:proofErr w:type="gramEnd"/>
      <w:r w:rsidRPr="00632792">
        <w:rPr>
          <w:rFonts w:eastAsia="Calibri"/>
          <w:lang w:val="en-GB"/>
        </w:rPr>
        <w:t xml:space="preserve"> as complementary.  Unfortunately, if the </w:t>
      </w:r>
      <w:r w:rsidR="00596AF1" w:rsidRPr="00D30F96">
        <w:rPr>
          <w:rFonts w:eastAsia="Calibri"/>
          <w:lang w:val="en-GB"/>
        </w:rPr>
        <w:t>DUS</w:t>
      </w:r>
      <w:r w:rsidR="00596AF1" w:rsidRPr="00632792">
        <w:rPr>
          <w:rFonts w:eastAsia="Calibri"/>
          <w:lang w:val="en-GB"/>
        </w:rPr>
        <w:t xml:space="preserve"> </w:t>
      </w:r>
      <w:r w:rsidRPr="00632792">
        <w:rPr>
          <w:rFonts w:eastAsia="Calibri"/>
          <w:lang w:val="en-GB"/>
        </w:rPr>
        <w:t xml:space="preserve">methodology fails to distinguish between a candidate variety with superior end-user value and a lower-value existing registered variety, the protection for the older variety holds precedence. This, unfortunately, results in the breeding progress within the new candidate </w:t>
      </w:r>
      <w:proofErr w:type="gramStart"/>
      <w:r w:rsidRPr="00632792">
        <w:rPr>
          <w:rFonts w:eastAsia="Calibri"/>
          <w:lang w:val="en-GB"/>
        </w:rPr>
        <w:t>being d</w:t>
      </w:r>
      <w:r w:rsidR="00596AF1">
        <w:rPr>
          <w:rFonts w:eastAsia="Calibri"/>
          <w:lang w:val="en-GB"/>
        </w:rPr>
        <w:t>is</w:t>
      </w:r>
      <w:r w:rsidRPr="00632792">
        <w:rPr>
          <w:rFonts w:eastAsia="Calibri"/>
          <w:lang w:val="en-GB"/>
        </w:rPr>
        <w:t>carded</w:t>
      </w:r>
      <w:proofErr w:type="gramEnd"/>
      <w:r w:rsidRPr="00632792">
        <w:rPr>
          <w:rFonts w:eastAsia="Calibri"/>
          <w:lang w:val="en-GB"/>
        </w:rPr>
        <w:t xml:space="preserve">.  Although the initial breeder’s IPR </w:t>
      </w:r>
      <w:proofErr w:type="gramStart"/>
      <w:r w:rsidRPr="00632792">
        <w:rPr>
          <w:rFonts w:eastAsia="Calibri"/>
          <w:lang w:val="en-GB"/>
        </w:rPr>
        <w:t>is correctly prioritised</w:t>
      </w:r>
      <w:proofErr w:type="gramEnd"/>
      <w:r w:rsidRPr="00632792">
        <w:rPr>
          <w:rFonts w:eastAsia="Calibri"/>
          <w:lang w:val="en-GB"/>
        </w:rPr>
        <w:t>, it is an unsatisfactory outcome for UPOV as it contravenes a major aspect of its mission statement.</w:t>
      </w:r>
    </w:p>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t>1.2</w:t>
      </w:r>
      <w:r w:rsidRPr="00632792">
        <w:rPr>
          <w:rFonts w:eastAsia="Calibri"/>
          <w:lang w:val="en-GB"/>
        </w:rPr>
        <w:tab/>
        <w:t xml:space="preserve">Over a number of years, concerns have been rising in certain species, that the </w:t>
      </w:r>
      <w:proofErr w:type="gramStart"/>
      <w:r w:rsidRPr="00632792">
        <w:rPr>
          <w:rFonts w:eastAsia="Calibri"/>
          <w:lang w:val="en-GB"/>
        </w:rPr>
        <w:t xml:space="preserve">diversity in the classical UPOV </w:t>
      </w:r>
      <w:proofErr w:type="spellStart"/>
      <w:r w:rsidRPr="00632792">
        <w:rPr>
          <w:rFonts w:eastAsia="Calibri"/>
          <w:lang w:val="en-GB"/>
        </w:rPr>
        <w:t>morphophysiological</w:t>
      </w:r>
      <w:proofErr w:type="spellEnd"/>
      <w:r w:rsidRPr="00632792">
        <w:rPr>
          <w:rFonts w:eastAsia="Calibri"/>
          <w:lang w:val="en-GB"/>
        </w:rPr>
        <w:t xml:space="preserve"> characters is progressively becoming captured by the increasing numbers of registered varieties</w:t>
      </w:r>
      <w:proofErr w:type="gramEnd"/>
      <w:r w:rsidRPr="00632792">
        <w:rPr>
          <w:rFonts w:eastAsia="Calibri"/>
          <w:lang w:val="en-GB"/>
        </w:rPr>
        <w:t xml:space="preserve">.  There is evidence of this from the </w:t>
      </w:r>
      <w:r w:rsidR="004239EB">
        <w:rPr>
          <w:rFonts w:eastAsia="Calibri"/>
          <w:lang w:val="en-GB"/>
        </w:rPr>
        <w:t>United Kingdom</w:t>
      </w:r>
      <w:r w:rsidRPr="00632792">
        <w:rPr>
          <w:rFonts w:eastAsia="Calibri"/>
          <w:lang w:val="en-GB"/>
        </w:rPr>
        <w:t xml:space="preserve">, where a 20% candidate rejection rate in </w:t>
      </w:r>
      <w:proofErr w:type="spellStart"/>
      <w:r w:rsidRPr="00632792">
        <w:rPr>
          <w:rFonts w:eastAsia="Calibri"/>
          <w:i/>
          <w:iCs/>
          <w:lang w:val="en-GB"/>
        </w:rPr>
        <w:t>Lolium</w:t>
      </w:r>
      <w:proofErr w:type="spellEnd"/>
      <w:r w:rsidRPr="00632792">
        <w:rPr>
          <w:rFonts w:eastAsia="Calibri"/>
          <w:lang w:val="en-GB"/>
        </w:rPr>
        <w:t xml:space="preserve"> spp. and white clover (</w:t>
      </w:r>
      <w:proofErr w:type="spellStart"/>
      <w:r w:rsidRPr="00632792">
        <w:rPr>
          <w:rFonts w:eastAsia="Calibri"/>
          <w:i/>
          <w:iCs/>
          <w:lang w:val="en-GB"/>
        </w:rPr>
        <w:t>Trifolium</w:t>
      </w:r>
      <w:proofErr w:type="spellEnd"/>
      <w:r w:rsidRPr="00632792">
        <w:rPr>
          <w:rFonts w:eastAsia="Calibri"/>
          <w:i/>
          <w:iCs/>
          <w:lang w:val="en-GB"/>
        </w:rPr>
        <w:t xml:space="preserve"> </w:t>
      </w:r>
      <w:proofErr w:type="spellStart"/>
      <w:r w:rsidRPr="00632792">
        <w:rPr>
          <w:rFonts w:eastAsia="Calibri"/>
          <w:i/>
          <w:iCs/>
          <w:lang w:val="en-GB"/>
        </w:rPr>
        <w:t>repens</w:t>
      </w:r>
      <w:proofErr w:type="spellEnd"/>
      <w:r w:rsidRPr="00632792">
        <w:rPr>
          <w:rFonts w:eastAsia="Calibri"/>
          <w:lang w:val="en-GB"/>
        </w:rPr>
        <w:t xml:space="preserve"> L.), comprises 12% not distinct and 8% not uniform (Gilliland and </w:t>
      </w:r>
      <w:proofErr w:type="spellStart"/>
      <w:r w:rsidRPr="00632792">
        <w:rPr>
          <w:rFonts w:eastAsia="Calibri"/>
          <w:lang w:val="en-GB"/>
        </w:rPr>
        <w:t>Gensollen</w:t>
      </w:r>
      <w:proofErr w:type="spellEnd"/>
      <w:r w:rsidRPr="00632792">
        <w:rPr>
          <w:rFonts w:eastAsia="Calibri"/>
          <w:lang w:val="en-GB"/>
        </w:rPr>
        <w:t xml:space="preserve"> 2010; Gilliland, pers. comm., 2019).  Likewise, in France, the overall rejection rate for grass and </w:t>
      </w:r>
      <w:proofErr w:type="spellStart"/>
      <w:r w:rsidRPr="00632792">
        <w:rPr>
          <w:rFonts w:eastAsia="Calibri"/>
          <w:lang w:val="en-GB"/>
        </w:rPr>
        <w:t>lucerne</w:t>
      </w:r>
      <w:proofErr w:type="spellEnd"/>
      <w:r w:rsidRPr="00632792">
        <w:rPr>
          <w:rFonts w:eastAsia="Calibri"/>
          <w:lang w:val="en-GB"/>
        </w:rPr>
        <w:t xml:space="preserve"> (</w:t>
      </w:r>
      <w:proofErr w:type="spellStart"/>
      <w:r w:rsidRPr="00632792">
        <w:rPr>
          <w:rFonts w:eastAsia="Calibri"/>
          <w:i/>
          <w:iCs/>
          <w:lang w:val="en-GB"/>
        </w:rPr>
        <w:t>Medicago</w:t>
      </w:r>
      <w:proofErr w:type="spellEnd"/>
      <w:r w:rsidRPr="00632792">
        <w:rPr>
          <w:rFonts w:eastAsia="Calibri"/>
          <w:i/>
          <w:iCs/>
          <w:lang w:val="en-GB"/>
        </w:rPr>
        <w:t xml:space="preserve"> </w:t>
      </w:r>
      <w:proofErr w:type="spellStart"/>
      <w:r w:rsidRPr="00632792">
        <w:rPr>
          <w:rFonts w:eastAsia="Calibri"/>
          <w:i/>
          <w:iCs/>
          <w:lang w:val="en-GB"/>
        </w:rPr>
        <w:t>sativa</w:t>
      </w:r>
      <w:proofErr w:type="spellEnd"/>
      <w:r w:rsidRPr="00632792">
        <w:rPr>
          <w:rFonts w:eastAsia="Calibri"/>
          <w:lang w:val="en-GB"/>
        </w:rPr>
        <w:t xml:space="preserve"> L.) candidates peaked at 20-25% after a standard three-year examination.  What is disconcerting is that around a third of these French rejections </w:t>
      </w:r>
      <w:proofErr w:type="gramStart"/>
      <w:r w:rsidRPr="00632792">
        <w:rPr>
          <w:rFonts w:eastAsia="Calibri"/>
          <w:lang w:val="en-GB"/>
        </w:rPr>
        <w:t>were overturned</w:t>
      </w:r>
      <w:proofErr w:type="gramEnd"/>
      <w:r w:rsidRPr="00632792">
        <w:rPr>
          <w:rFonts w:eastAsia="Calibri"/>
          <w:lang w:val="en-GB"/>
        </w:rPr>
        <w:t xml:space="preserve"> following extra testing when breeders appealed the initial refusal because they believed their candidates had market value (</w:t>
      </w:r>
      <w:proofErr w:type="spellStart"/>
      <w:r w:rsidRPr="00632792">
        <w:rPr>
          <w:rFonts w:eastAsia="Calibri"/>
          <w:lang w:val="en-GB"/>
        </w:rPr>
        <w:t>Gensollen</w:t>
      </w:r>
      <w:proofErr w:type="spellEnd"/>
      <w:r w:rsidRPr="00632792">
        <w:rPr>
          <w:rFonts w:eastAsia="Calibri"/>
          <w:lang w:val="en-GB"/>
        </w:rPr>
        <w:t xml:space="preserve">, GEVES, pers. comm., 2015).  Furthermore, in both territories, some varieties of improved end-use value </w:t>
      </w:r>
      <w:proofErr w:type="gramStart"/>
      <w:r w:rsidRPr="00632792">
        <w:rPr>
          <w:rFonts w:eastAsia="Calibri"/>
          <w:lang w:val="en-GB"/>
        </w:rPr>
        <w:t>were still rejected</w:t>
      </w:r>
      <w:proofErr w:type="gramEnd"/>
      <w:r w:rsidRPr="00632792">
        <w:rPr>
          <w:rFonts w:eastAsia="Calibri"/>
          <w:lang w:val="en-GB"/>
        </w:rPr>
        <w:t xml:space="preserve"> for absence of distinctness.</w:t>
      </w:r>
    </w:p>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t>1.3</w:t>
      </w:r>
      <w:r w:rsidRPr="00632792">
        <w:rPr>
          <w:rFonts w:eastAsia="Calibri"/>
          <w:lang w:val="en-GB"/>
        </w:rPr>
        <w:tab/>
        <w:t xml:space="preserve">Test records show that non-distinctions are more frequent between varieties from the same breeding programme or with contemporary market leaders.  This later aspect does not indicate any malpractice.  This is because breeders </w:t>
      </w:r>
      <w:proofErr w:type="gramStart"/>
      <w:r w:rsidRPr="00632792">
        <w:rPr>
          <w:rFonts w:eastAsia="Calibri"/>
          <w:lang w:val="en-GB"/>
        </w:rPr>
        <w:t>are permitted</w:t>
      </w:r>
      <w:proofErr w:type="gramEnd"/>
      <w:r w:rsidRPr="00632792">
        <w:rPr>
          <w:rFonts w:eastAsia="Calibri"/>
          <w:lang w:val="en-GB"/>
        </w:rPr>
        <w:t xml:space="preserve"> to exploit positive genes in any registered variety they do not own, by using plants from that variety as parents in crosses with their own germplasm.  If, during the subsequent selective crossings and evaluations, the new candidate does not sufficiently diverge from the protected source variety, then it correctly fails the DUS test.  Arguably, however, if the candidate has a statistically significant greater value to a registered variety, and </w:t>
      </w:r>
      <w:proofErr w:type="gramStart"/>
      <w:r w:rsidRPr="00632792">
        <w:rPr>
          <w:rFonts w:eastAsia="Calibri"/>
          <w:lang w:val="en-GB"/>
        </w:rPr>
        <w:t>is shown not to be predominately derived</w:t>
      </w:r>
      <w:proofErr w:type="gramEnd"/>
      <w:r w:rsidRPr="00632792">
        <w:rPr>
          <w:rFonts w:eastAsia="Calibri"/>
          <w:lang w:val="en-GB"/>
        </w:rPr>
        <w:t xml:space="preserve"> from that variety, the DUS system should be sufficiently adaptive to award PBR.</w:t>
      </w:r>
    </w:p>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t>1.4</w:t>
      </w:r>
      <w:r w:rsidRPr="00632792">
        <w:rPr>
          <w:rFonts w:eastAsia="Calibri"/>
          <w:lang w:val="en-GB"/>
        </w:rPr>
        <w:tab/>
        <w:t xml:space="preserve">The remainder of this paper uses examples from outbreeding herbage species to demonstrate the principles and practicality of this </w:t>
      </w:r>
      <w:r w:rsidR="004239EB" w:rsidRPr="00632792">
        <w:t>value-molecular linked ‘</w:t>
      </w:r>
      <w:proofErr w:type="spellStart"/>
      <w:r w:rsidR="004239EB" w:rsidRPr="00632792">
        <w:t>vmDUS</w:t>
      </w:r>
      <w:proofErr w:type="spellEnd"/>
      <w:r w:rsidR="004239EB" w:rsidRPr="00632792">
        <w:t>’ concept</w:t>
      </w:r>
      <w:r w:rsidR="004239EB">
        <w:rPr>
          <w:rFonts w:eastAsia="Calibri"/>
          <w:lang w:val="en-GB"/>
        </w:rPr>
        <w:t xml:space="preserve"> (</w:t>
      </w:r>
      <w:proofErr w:type="spellStart"/>
      <w:r w:rsidRPr="00632792">
        <w:rPr>
          <w:rFonts w:eastAsia="Calibri"/>
          <w:lang w:val="en-GB"/>
        </w:rPr>
        <w:t>vmDUS</w:t>
      </w:r>
      <w:proofErr w:type="spellEnd"/>
      <w:r w:rsidR="004239EB">
        <w:rPr>
          <w:rFonts w:eastAsia="Calibri"/>
          <w:lang w:val="en-GB"/>
        </w:rPr>
        <w:t>)</w:t>
      </w:r>
      <w:r w:rsidRPr="00632792">
        <w:rPr>
          <w:rFonts w:eastAsia="Calibri"/>
          <w:lang w:val="en-GB"/>
        </w:rPr>
        <w:t xml:space="preserve"> system which is also suitable for wider use in DUS testing of other species, where appropriate.</w:t>
      </w:r>
    </w:p>
    <w:p w:rsidR="00632792" w:rsidRDefault="00632792" w:rsidP="00632792">
      <w:pPr>
        <w:rPr>
          <w:rFonts w:eastAsia="Calibri"/>
          <w:lang w:val="en-GB"/>
        </w:rPr>
      </w:pPr>
    </w:p>
    <w:p w:rsidR="00632792" w:rsidRPr="00632792" w:rsidRDefault="00632792" w:rsidP="00632792">
      <w:pPr>
        <w:rPr>
          <w:rFonts w:eastAsia="Calibri"/>
          <w:lang w:val="en-GB"/>
        </w:rPr>
      </w:pPr>
    </w:p>
    <w:p w:rsidR="00632792" w:rsidRDefault="00632792" w:rsidP="00632792">
      <w:pPr>
        <w:pStyle w:val="Heading2"/>
      </w:pPr>
      <w:r>
        <w:t>2.</w:t>
      </w:r>
      <w:r>
        <w:tab/>
      </w:r>
      <w:r w:rsidRPr="00632792">
        <w:t>The value-molecular linked ‘</w:t>
      </w:r>
      <w:proofErr w:type="spellStart"/>
      <w:r w:rsidRPr="00632792">
        <w:t>vmDUS</w:t>
      </w:r>
      <w:proofErr w:type="spellEnd"/>
      <w:r w:rsidRPr="00632792">
        <w:t>’ concept</w:t>
      </w:r>
    </w:p>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t>2.1</w:t>
      </w:r>
      <w:r w:rsidRPr="00632792">
        <w:rPr>
          <w:rFonts w:eastAsia="Calibri"/>
          <w:lang w:val="en-GB"/>
        </w:rPr>
        <w:tab/>
        <w:t xml:space="preserve">High throughput genotyping has proven capability for diversity analyses </w:t>
      </w:r>
      <w:r w:rsidRPr="00632792">
        <w:rPr>
          <w:rFonts w:eastAsia="Calibri"/>
          <w:lang w:val="en-GB"/>
        </w:rPr>
        <w:fldChar w:fldCharType="begin"/>
      </w:r>
      <w:r w:rsidRPr="00632792">
        <w:rPr>
          <w:rFonts w:eastAsia="Calibri"/>
          <w:lang w:val="en-GB"/>
        </w:rPr>
        <w:instrText xml:space="preserve"> ADDIN EN.CITE &lt;EndNote&gt;&lt;Cite&gt;&lt;Author&gt;Byrne&lt;/Author&gt;&lt;Year&gt;2013&lt;/Year&gt;&lt;RecNum&gt;3824&lt;/RecNum&gt;&lt;DisplayText&gt;(Byrne&lt;style face="italic"&gt; et al.&lt;/style&gt; 2013)&lt;/DisplayText&gt;&lt;record&gt;&lt;rec-number&gt;3824&lt;/rec-number&gt;&lt;foreign-keys&gt;&lt;key app="EN" db-id="sx25apap6sd2vlezfa7v5rwapv0vadtfwdvz" timestamp="1417599727"&gt;3824&lt;/key&gt;&lt;/foreign-keys&gt;&lt;ref-type name="Journal Article"&gt;17&lt;/ref-type&gt;&lt;contributors&gt;&lt;authors&gt;&lt;author&gt;Byrne,S.&lt;/author&gt;&lt;author&gt;Czaban,A.&lt;/author&gt;&lt;author&gt;Studer,B.&lt;/author&gt;&lt;author&gt;Panitz,F.&lt;/author&gt;&lt;author&gt;Bendixen,C.&lt;/author&gt;&lt;author&gt;Asp,T.&lt;/author&gt;&lt;/authors&gt;&lt;/contributors&gt;&lt;titles&gt;&lt;title&gt;Genome Wide Allele Frequency Fingerprints (GWAFFs) of populations via genotyping by sequencing&lt;/title&gt;&lt;secondary-title&gt;Plos One&lt;/secondary-title&gt;&lt;/titles&gt;&lt;volume&gt;8&lt;/volume&gt;&lt;number&gt;3&lt;/number&gt;&lt;reprint-edition&gt;IN FILE&lt;/reprint-edition&gt;&lt;keywords&gt;&lt;keyword&gt;allele&lt;/keyword&gt;&lt;keyword&gt;ALLELE FREQUENCIES&lt;/keyword&gt;&lt;keyword&gt;FREQUENCIES&lt;/keyword&gt;&lt;keyword&gt;FREQUENCY&lt;/keyword&gt;&lt;keyword&gt;genome&lt;/keyword&gt;&lt;keyword&gt;genotyping&lt;/keyword&gt;&lt;keyword&gt;population&lt;/keyword&gt;&lt;keyword&gt;populations&lt;/keyword&gt;&lt;keyword&gt;sequencing&lt;/keyword&gt;&lt;/keywords&gt;&lt;dates&gt;&lt;year&gt;2013&lt;/year&gt;&lt;/dates&gt;&lt;urls&gt;&lt;related-urls&gt;&lt;url&gt;WOS:000315634900021&lt;/url&gt;&lt;/related-urls&gt;&lt;pdf-urls&gt;&lt;url&gt; file://X:\biblio\fulltext\Byrne_Asp_2013_ID3824.pdf &lt;/url&gt;&lt;url&gt; file://X:\biblio\fulltext\Byrne_Asp_2013_ID3824sup1.tif &lt;/url&gt;&lt;url&gt; file://X:\biblio\fulltext\Byrne_Asp_2013_ID3824sup2.tif &lt;/url&gt;&lt;url&gt; file://X:\biblio\fulltext\Byrne_Asp_2013_ID3824sup3.tif &lt;/url&gt;&lt;url&gt; file://X:\biblio\fulltext\Byrne &lt;/url&gt;&lt;/pdf-urls&gt;&lt;/urls&gt;&lt;/record&gt;&lt;/Cite&gt;&lt;/EndNote&gt;</w:instrText>
      </w:r>
      <w:r w:rsidRPr="00632792">
        <w:rPr>
          <w:rFonts w:eastAsia="Calibri"/>
          <w:lang w:val="en-GB"/>
        </w:rPr>
        <w:fldChar w:fldCharType="separate"/>
      </w:r>
      <w:r w:rsidRPr="00632792">
        <w:rPr>
          <w:rFonts w:eastAsia="Calibri"/>
          <w:lang w:val="en-GB"/>
        </w:rPr>
        <w:t>(Byrne et al, 2013)</w:t>
      </w:r>
      <w:r w:rsidRPr="00632792">
        <w:rPr>
          <w:rFonts w:eastAsia="Calibri"/>
          <w:lang w:val="en-GB"/>
        </w:rPr>
        <w:fldChar w:fldCharType="end"/>
      </w:r>
      <w:r w:rsidRPr="00632792">
        <w:rPr>
          <w:rFonts w:eastAsia="Calibri"/>
          <w:lang w:val="en-GB"/>
        </w:rPr>
        <w:t xml:space="preserve"> and major gene identification </w:t>
      </w:r>
      <w:r w:rsidRPr="00632792">
        <w:rPr>
          <w:rFonts w:eastAsia="Calibri"/>
          <w:lang w:val="en-GB"/>
        </w:rPr>
        <w:fldChar w:fldCharType="begin"/>
      </w:r>
      <w:r w:rsidRPr="00632792">
        <w:rPr>
          <w:rFonts w:eastAsia="Calibri"/>
          <w:lang w:val="en-GB"/>
        </w:rPr>
        <w:instrText xml:space="preserve"> ADDIN EN.CITE &lt;EndNote&gt;&lt;Cite&gt;&lt;Author&gt;Liu&lt;/Author&gt;&lt;Year&gt;2017&lt;/Year&gt;&lt;RecNum&gt;4287&lt;/RecNum&gt;&lt;DisplayText&gt;(Liu and Yu 2017)&lt;/DisplayText&gt;&lt;record&gt;&lt;rec-number&gt;4287&lt;/rec-number&gt;&lt;foreign-keys&gt;&lt;key app="EN" db-id="sx25apap6sd2vlezfa7v5rwapv0vadtfwdvz" timestamp="1500470290"&gt;4287&lt;/key&gt;&lt;/foreign-keys&gt;&lt;ref-type name="Journal Article"&gt;17&lt;/ref-type&gt;&lt;contributors&gt;&lt;authors&gt;&lt;author&gt;Liu, X. P.&lt;/author&gt;&lt;author&gt;Yu, L. X.&lt;/author&gt;&lt;/authors&gt;&lt;/contributors&gt;&lt;titles&gt;&lt;title&gt;Genome-Wide Association Mapping of Loci Associated with Plant Growth and Forage Production under Salt Stress in Alfalfa (Medicago sativa L.)&lt;/title&gt;&lt;secondary-title&gt;Frontiers in Plant Science&lt;/secondary-title&gt;&lt;/titles&gt;&lt;volume&gt;8&lt;/volume&gt;&lt;keywords&gt;&lt;keyword&gt;GWAS&lt;/keyword&gt;&lt;keyword&gt;alfalfa&lt;/keyword&gt;&lt;keyword&gt;SNP&lt;/keyword&gt;&lt;keyword&gt;linkage disequilibrium&lt;/keyword&gt;&lt;keyword&gt;salt tolerance&lt;/keyword&gt;&lt;keyword&gt;programmed cell-death&lt;/keyword&gt;&lt;keyword&gt;autotetraploid lucerne&lt;/keyword&gt;&lt;keyword&gt;salinity tolerance&lt;/keyword&gt;&lt;keyword&gt;tetraploid alfalfa&lt;/keyword&gt;&lt;keyword&gt;inbred lines&lt;/keyword&gt;&lt;keyword&gt;resistance&lt;/keyword&gt;&lt;keyword&gt;truncatula&lt;/keyword&gt;&lt;keyword&gt;maize&lt;/keyword&gt;&lt;keyword&gt;identification&lt;/keyword&gt;&lt;keyword&gt;traits&lt;/keyword&gt;&lt;/keywords&gt;&lt;dates&gt;&lt;year&gt;2017&lt;/year&gt;&lt;pub-dates&gt;&lt;date&gt;May&lt;/date&gt;&lt;/pub-dates&gt;&lt;/dates&gt;&lt;isbn&gt;1664-462X&lt;/isbn&gt;&lt;accession-num&gt;WOS:000402032000001&lt;/accession-num&gt;&lt;urls&gt;&lt;related-urls&gt;&lt;url&gt;&amp;lt;Go to ISI&amp;gt;://WOS:000402032000001&lt;/url&gt;&lt;/related-urls&gt;&lt;/urls&gt;&lt;custom7&gt;853&lt;/custom7&gt;&lt;electronic-resource-num&gt;10.3389/fpls.2017.00853&lt;/electronic-resource-num&gt;&lt;/record&gt;&lt;/Cite&gt;&lt;/EndNote&gt;</w:instrText>
      </w:r>
      <w:r w:rsidRPr="00632792">
        <w:rPr>
          <w:rFonts w:eastAsia="Calibri"/>
          <w:lang w:val="en-GB"/>
        </w:rPr>
        <w:fldChar w:fldCharType="separate"/>
      </w:r>
      <w:r w:rsidRPr="00632792">
        <w:rPr>
          <w:rFonts w:eastAsia="Calibri"/>
          <w:lang w:val="en-GB"/>
        </w:rPr>
        <w:t>(Liu and Yu</w:t>
      </w:r>
      <w:r w:rsidR="004239EB">
        <w:rPr>
          <w:rFonts w:eastAsia="Calibri"/>
          <w:lang w:val="en-GB"/>
        </w:rPr>
        <w:t>,</w:t>
      </w:r>
      <w:r w:rsidRPr="00632792">
        <w:rPr>
          <w:rFonts w:eastAsia="Calibri"/>
          <w:lang w:val="en-GB"/>
        </w:rPr>
        <w:t xml:space="preserve"> 2017)</w:t>
      </w:r>
      <w:r w:rsidRPr="00632792">
        <w:rPr>
          <w:rFonts w:eastAsia="Calibri"/>
          <w:lang w:val="en-GB"/>
        </w:rPr>
        <w:fldChar w:fldCharType="end"/>
      </w:r>
      <w:r w:rsidRPr="00632792">
        <w:rPr>
          <w:rFonts w:eastAsia="Calibri"/>
          <w:lang w:val="en-GB"/>
        </w:rPr>
        <w:t xml:space="preserve"> and its efficacy as a discriminating tool has previously been presented to the BMT (</w:t>
      </w:r>
      <w:proofErr w:type="spellStart"/>
      <w:r w:rsidRPr="00632792">
        <w:rPr>
          <w:rFonts w:eastAsia="Calibri"/>
          <w:lang w:val="en-GB"/>
        </w:rPr>
        <w:t>eg</w:t>
      </w:r>
      <w:proofErr w:type="spellEnd"/>
      <w:r w:rsidRPr="00632792">
        <w:rPr>
          <w:rFonts w:eastAsia="Calibri"/>
          <w:lang w:val="en-GB"/>
        </w:rPr>
        <w:t xml:space="preserve"> among </w:t>
      </w:r>
      <w:proofErr w:type="spellStart"/>
      <w:r w:rsidRPr="00632792">
        <w:rPr>
          <w:rFonts w:eastAsia="Calibri"/>
          <w:lang w:val="en-GB"/>
        </w:rPr>
        <w:t>lucerne</w:t>
      </w:r>
      <w:proofErr w:type="spellEnd"/>
      <w:r w:rsidRPr="00632792">
        <w:rPr>
          <w:rFonts w:eastAsia="Calibri"/>
          <w:lang w:val="en-GB"/>
        </w:rPr>
        <w:t xml:space="preserve"> varieties; BMT/16/17, 2017).  Hence, BMT has produced proposals for how this technology </w:t>
      </w:r>
      <w:proofErr w:type="gramStart"/>
      <w:r w:rsidRPr="00632792">
        <w:rPr>
          <w:rFonts w:eastAsia="Calibri"/>
          <w:lang w:val="en-GB"/>
        </w:rPr>
        <w:t>could be applied</w:t>
      </w:r>
      <w:proofErr w:type="gramEnd"/>
      <w:r w:rsidRPr="00632792">
        <w:rPr>
          <w:rFonts w:eastAsia="Calibri"/>
          <w:lang w:val="en-GB"/>
        </w:rPr>
        <w:t xml:space="preserve"> to certain variety protection functions (TGP/15/2 Draft 1, 2018).  These proposals include using markers for combining phenotypic and molecular distances to manage reference collections, for identifying similar varieties within the reference collection and as proxies for major genes.</w:t>
      </w:r>
    </w:p>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lastRenderedPageBreak/>
        <w:t>2.2</w:t>
      </w:r>
      <w:r w:rsidRPr="00632792">
        <w:rPr>
          <w:rFonts w:eastAsia="Calibri"/>
          <w:lang w:val="en-GB"/>
        </w:rPr>
        <w:tab/>
        <w:t xml:space="preserve">While recognising the IPR position of principle incumbent on UPOV, the </w:t>
      </w:r>
      <w:proofErr w:type="spellStart"/>
      <w:r w:rsidRPr="00632792">
        <w:rPr>
          <w:rFonts w:eastAsia="Calibri"/>
          <w:lang w:val="en-GB"/>
        </w:rPr>
        <w:t>vmDUS</w:t>
      </w:r>
      <w:proofErr w:type="spellEnd"/>
      <w:r w:rsidRPr="00632792">
        <w:rPr>
          <w:rFonts w:eastAsia="Calibri"/>
          <w:lang w:val="en-GB"/>
        </w:rPr>
        <w:t xml:space="preserve"> proposal seeks to implement a molecular discrimination subject to the fulfilment of precisely defined evidence of ‘improved value’.  Consequently, marker testing would only be undertaken when a candidate variety has a </w:t>
      </w:r>
      <w:r w:rsidRPr="00632792">
        <w:rPr>
          <w:rFonts w:eastAsia="Calibri"/>
          <w:u w:val="single"/>
          <w:lang w:val="en-GB"/>
        </w:rPr>
        <w:t>statistically</w:t>
      </w:r>
      <w:r w:rsidRPr="00632792">
        <w:rPr>
          <w:rFonts w:eastAsia="Calibri"/>
          <w:lang w:val="en-GB"/>
        </w:rPr>
        <w:t xml:space="preserve"> </w:t>
      </w:r>
      <w:r w:rsidRPr="00632792">
        <w:rPr>
          <w:rFonts w:eastAsia="Calibri"/>
          <w:u w:val="single"/>
          <w:lang w:val="en-GB"/>
        </w:rPr>
        <w:t>significant</w:t>
      </w:r>
      <w:r w:rsidRPr="00632792">
        <w:rPr>
          <w:rFonts w:eastAsia="Calibri"/>
          <w:lang w:val="en-GB"/>
        </w:rPr>
        <w:t xml:space="preserve"> </w:t>
      </w:r>
      <w:r w:rsidRPr="00632792">
        <w:rPr>
          <w:rFonts w:eastAsia="Calibri"/>
          <w:u w:val="single"/>
          <w:lang w:val="en-GB"/>
        </w:rPr>
        <w:t>improvement</w:t>
      </w:r>
      <w:r w:rsidRPr="00632792">
        <w:rPr>
          <w:rFonts w:eastAsia="Calibri"/>
          <w:lang w:val="en-GB"/>
        </w:rPr>
        <w:t xml:space="preserve"> in a value trait compared to the registered variety for which the existing DUS procedures cannot provide a distinction (</w:t>
      </w:r>
      <w:proofErr w:type="spellStart"/>
      <w:r w:rsidRPr="00632792">
        <w:rPr>
          <w:rFonts w:eastAsia="Calibri"/>
          <w:lang w:val="en-GB"/>
        </w:rPr>
        <w:t>eg</w:t>
      </w:r>
      <w:proofErr w:type="spellEnd"/>
      <w:r w:rsidRPr="00632792">
        <w:rPr>
          <w:rFonts w:eastAsia="Calibri"/>
          <w:lang w:val="en-GB"/>
        </w:rPr>
        <w:t xml:space="preserve"> at a probability of p&lt;0.01 or as a discrete character state).  The source of this evidence could be from a formal ‘Value of Cultivation and Use’ scheme, but equally any statistically valid evidence of greater candidate value </w:t>
      </w:r>
      <w:proofErr w:type="gramStart"/>
      <w:r w:rsidRPr="00632792">
        <w:rPr>
          <w:rFonts w:eastAsia="Calibri"/>
          <w:lang w:val="en-GB"/>
        </w:rPr>
        <w:t>could be used</w:t>
      </w:r>
      <w:proofErr w:type="gramEnd"/>
      <w:r w:rsidRPr="00632792">
        <w:rPr>
          <w:rFonts w:eastAsia="Calibri"/>
          <w:lang w:val="en-GB"/>
        </w:rPr>
        <w:t xml:space="preserve">.  Some UPOV guidelines would be required to define what form of evidence was acceptable.  If a direct comparison between the candidate and registered varieties does not exist, indirect statistical comparisons can provide the necessary standard errors for variety pair comparison using linkage controls (for </w:t>
      </w:r>
      <w:proofErr w:type="gramStart"/>
      <w:r w:rsidRPr="00632792">
        <w:rPr>
          <w:rFonts w:eastAsia="Calibri"/>
          <w:lang w:val="en-GB"/>
        </w:rPr>
        <w:t>example</w:t>
      </w:r>
      <w:proofErr w:type="gramEnd"/>
      <w:r w:rsidRPr="00632792">
        <w:rPr>
          <w:rFonts w:eastAsia="Calibri"/>
          <w:lang w:val="en-GB"/>
        </w:rPr>
        <w:t xml:space="preserve"> the long standing fitted constant analyses of </w:t>
      </w:r>
      <w:proofErr w:type="spellStart"/>
      <w:r w:rsidRPr="00632792">
        <w:rPr>
          <w:rFonts w:eastAsia="Calibri"/>
          <w:lang w:val="en-GB"/>
        </w:rPr>
        <w:t>Silvey</w:t>
      </w:r>
      <w:proofErr w:type="spellEnd"/>
      <w:r w:rsidRPr="00632792">
        <w:rPr>
          <w:rFonts w:eastAsia="Calibri"/>
          <w:lang w:val="en-GB"/>
        </w:rPr>
        <w:t xml:space="preserve">, 1978).  If this </w:t>
      </w:r>
      <w:proofErr w:type="gramStart"/>
      <w:r w:rsidRPr="00632792">
        <w:rPr>
          <w:rFonts w:eastAsia="Calibri"/>
          <w:lang w:val="en-GB"/>
        </w:rPr>
        <w:t>cannot be achieved</w:t>
      </w:r>
      <w:proofErr w:type="gramEnd"/>
      <w:r w:rsidRPr="00632792">
        <w:rPr>
          <w:rFonts w:eastAsia="Calibri"/>
          <w:lang w:val="en-GB"/>
        </w:rPr>
        <w:t xml:space="preserve"> then the evidence for improved value does not exist and the marker-based </w:t>
      </w:r>
      <w:proofErr w:type="spellStart"/>
      <w:r w:rsidRPr="00632792">
        <w:rPr>
          <w:rFonts w:eastAsia="Calibri"/>
          <w:lang w:val="en-GB"/>
        </w:rPr>
        <w:t>vmDUS</w:t>
      </w:r>
      <w:proofErr w:type="spellEnd"/>
      <w:r w:rsidRPr="00632792">
        <w:rPr>
          <w:rFonts w:eastAsia="Calibri"/>
          <w:lang w:val="en-GB"/>
        </w:rPr>
        <w:t xml:space="preserve"> test cannot be initiated.</w:t>
      </w:r>
    </w:p>
    <w:p w:rsidR="00632792" w:rsidRPr="00632792" w:rsidRDefault="00632792" w:rsidP="00632792">
      <w:pPr>
        <w:rPr>
          <w:rFonts w:eastAsia="Calibri"/>
          <w:lang w:val="en-GB"/>
        </w:rPr>
      </w:pPr>
    </w:p>
    <w:p w:rsidR="00632792" w:rsidRPr="00632792" w:rsidRDefault="00632792" w:rsidP="00632792">
      <w:pPr>
        <w:rPr>
          <w:rFonts w:eastAsia="Calibri"/>
          <w:lang w:val="en-GB"/>
        </w:rPr>
      </w:pPr>
      <w:r>
        <w:rPr>
          <w:rFonts w:eastAsia="Calibri"/>
          <w:lang w:val="en-GB"/>
        </w:rPr>
        <w:t>2.3</w:t>
      </w:r>
      <w:r>
        <w:rPr>
          <w:rFonts w:eastAsia="Calibri"/>
          <w:lang w:val="en-GB"/>
        </w:rPr>
        <w:tab/>
      </w:r>
      <w:r w:rsidRPr="00632792">
        <w:rPr>
          <w:rFonts w:eastAsia="Calibri"/>
          <w:lang w:val="en-GB"/>
        </w:rPr>
        <w:t xml:space="preserve">The concept underpinning </w:t>
      </w:r>
      <w:proofErr w:type="spellStart"/>
      <w:r w:rsidRPr="00632792">
        <w:rPr>
          <w:rFonts w:eastAsia="Calibri"/>
          <w:lang w:val="en-GB"/>
        </w:rPr>
        <w:t>vmDUS</w:t>
      </w:r>
      <w:proofErr w:type="spellEnd"/>
      <w:r w:rsidRPr="00632792">
        <w:rPr>
          <w:rFonts w:eastAsia="Calibri"/>
          <w:lang w:val="en-GB"/>
        </w:rPr>
        <w:t xml:space="preserve"> is that there </w:t>
      </w:r>
      <w:proofErr w:type="gramStart"/>
      <w:r w:rsidRPr="00632792">
        <w:rPr>
          <w:rFonts w:eastAsia="Calibri"/>
          <w:lang w:val="en-GB"/>
        </w:rPr>
        <w:t>are basically</w:t>
      </w:r>
      <w:proofErr w:type="gramEnd"/>
      <w:r w:rsidRPr="00632792">
        <w:rPr>
          <w:rFonts w:eastAsia="Calibri"/>
          <w:lang w:val="en-GB"/>
        </w:rPr>
        <w:t xml:space="preserve"> two fundamentally different reasons why a registered and a candidate variety are indistinguishable.  This is either due to non-divergence or to convergence during breeding.  These juxtaposing scenarios (A and B below) have differing implications for the protection of existing varieties: </w:t>
      </w:r>
    </w:p>
    <w:p w:rsidR="00632792" w:rsidRPr="00632792" w:rsidRDefault="00632792" w:rsidP="00632792">
      <w:pPr>
        <w:rPr>
          <w:rFonts w:eastAsia="Calibri"/>
          <w:lang w:val="en-GB"/>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070"/>
      </w:tblGrid>
      <w:tr w:rsidR="00632792" w:rsidRPr="00632792" w:rsidTr="00D00101">
        <w:tc>
          <w:tcPr>
            <w:tcW w:w="9070" w:type="dxa"/>
          </w:tcPr>
          <w:p w:rsidR="00632792" w:rsidRPr="00632792" w:rsidRDefault="00632792" w:rsidP="00632792">
            <w:pPr>
              <w:tabs>
                <w:tab w:val="left" w:pos="313"/>
              </w:tabs>
              <w:autoSpaceDE w:val="0"/>
              <w:autoSpaceDN w:val="0"/>
              <w:adjustRightInd w:val="0"/>
              <w:spacing w:line="360" w:lineRule="auto"/>
              <w:ind w:left="1134" w:hanging="1134"/>
              <w:jc w:val="left"/>
              <w:rPr>
                <w:rFonts w:cs="Arial"/>
                <w:lang w:val="en-US"/>
              </w:rPr>
            </w:pPr>
            <w:r w:rsidRPr="00632792">
              <w:rPr>
                <w:rFonts w:cs="Arial"/>
                <w:lang w:val="en-US"/>
              </w:rPr>
              <w:t xml:space="preserve">Scenario A: Candidate is indistinguishable using current DUS </w:t>
            </w:r>
            <w:proofErr w:type="gramStart"/>
            <w:r w:rsidRPr="00632792">
              <w:rPr>
                <w:rFonts w:cs="Arial"/>
                <w:lang w:val="en-US"/>
              </w:rPr>
              <w:t>tests</w:t>
            </w:r>
            <w:proofErr w:type="gramEnd"/>
            <w:r w:rsidRPr="00632792">
              <w:rPr>
                <w:rFonts w:cs="Arial"/>
                <w:lang w:val="en-US"/>
              </w:rPr>
              <w:t xml:space="preserve"> as it has not sufficiently </w:t>
            </w:r>
            <w:r w:rsidRPr="00632792">
              <w:rPr>
                <w:rFonts w:cs="Arial"/>
                <w:u w:val="single"/>
                <w:lang w:val="en-US"/>
              </w:rPr>
              <w:t>diverged</w:t>
            </w:r>
            <w:r w:rsidRPr="00632792">
              <w:rPr>
                <w:rFonts w:cs="Arial"/>
                <w:lang w:val="en-US"/>
              </w:rPr>
              <w:t xml:space="preserve"> in its DUS </w:t>
            </w:r>
            <w:proofErr w:type="spellStart"/>
            <w:r w:rsidRPr="00632792">
              <w:rPr>
                <w:rFonts w:cs="Arial"/>
                <w:lang w:val="en-US"/>
              </w:rPr>
              <w:t>morphophysiological</w:t>
            </w:r>
            <w:proofErr w:type="spellEnd"/>
            <w:r w:rsidRPr="00632792">
              <w:rPr>
                <w:rFonts w:cs="Arial"/>
                <w:lang w:val="en-US"/>
              </w:rPr>
              <w:t xml:space="preserve"> identity from a genepool it shares with the registered variety, (</w:t>
            </w:r>
            <w:proofErr w:type="spellStart"/>
            <w:r w:rsidRPr="00632792">
              <w:rPr>
                <w:rFonts w:cs="Arial"/>
                <w:lang w:val="en-US"/>
              </w:rPr>
              <w:t>ie</w:t>
            </w:r>
            <w:proofErr w:type="spellEnd"/>
            <w:r w:rsidRPr="00632792">
              <w:rPr>
                <w:rFonts w:cs="Arial"/>
                <w:lang w:val="en-US"/>
              </w:rPr>
              <w:t xml:space="preserve"> due to the registered variety having provided the genetic base or parental material used in </w:t>
            </w:r>
            <w:proofErr w:type="spellStart"/>
            <w:r w:rsidRPr="00632792">
              <w:rPr>
                <w:rFonts w:cs="Arial"/>
                <w:lang w:val="en-US"/>
              </w:rPr>
              <w:t>synthesising</w:t>
            </w:r>
            <w:proofErr w:type="spellEnd"/>
            <w:r w:rsidRPr="00632792">
              <w:rPr>
                <w:rFonts w:cs="Arial"/>
                <w:lang w:val="en-US"/>
              </w:rPr>
              <w:t xml:space="preserve"> the candidate).</w:t>
            </w:r>
          </w:p>
        </w:tc>
      </w:tr>
      <w:tr w:rsidR="00632792" w:rsidRPr="00632792" w:rsidTr="00D00101">
        <w:tc>
          <w:tcPr>
            <w:tcW w:w="9070" w:type="dxa"/>
          </w:tcPr>
          <w:p w:rsidR="00632792" w:rsidRPr="00632792" w:rsidRDefault="00632792" w:rsidP="00632792">
            <w:pPr>
              <w:tabs>
                <w:tab w:val="left" w:pos="313"/>
              </w:tabs>
              <w:autoSpaceDE w:val="0"/>
              <w:autoSpaceDN w:val="0"/>
              <w:adjustRightInd w:val="0"/>
              <w:spacing w:line="360" w:lineRule="auto"/>
              <w:ind w:left="1134" w:hanging="1134"/>
              <w:jc w:val="left"/>
              <w:rPr>
                <w:rFonts w:cs="Arial"/>
                <w:lang w:val="en-US"/>
              </w:rPr>
            </w:pPr>
            <w:r w:rsidRPr="00632792">
              <w:rPr>
                <w:rFonts w:cs="Arial"/>
                <w:lang w:val="en-US"/>
              </w:rPr>
              <w:t xml:space="preserve">Scenario B: Candidate is indistinguishable using current DUS tests as it has </w:t>
            </w:r>
            <w:r w:rsidRPr="00632792">
              <w:rPr>
                <w:rFonts w:cs="Arial"/>
                <w:u w:val="single"/>
                <w:lang w:val="en-US"/>
              </w:rPr>
              <w:t>converged</w:t>
            </w:r>
            <w:r w:rsidRPr="00632792">
              <w:rPr>
                <w:rFonts w:cs="Arial"/>
                <w:lang w:val="en-US"/>
              </w:rPr>
              <w:t xml:space="preserve"> in its DUS </w:t>
            </w:r>
            <w:proofErr w:type="spellStart"/>
            <w:r w:rsidRPr="00632792">
              <w:rPr>
                <w:rFonts w:cs="Arial"/>
                <w:lang w:val="en-US"/>
              </w:rPr>
              <w:t>morphophysiological</w:t>
            </w:r>
            <w:proofErr w:type="spellEnd"/>
            <w:r w:rsidRPr="00632792">
              <w:rPr>
                <w:rFonts w:cs="Arial"/>
                <w:lang w:val="en-US"/>
              </w:rPr>
              <w:t xml:space="preserve"> identity to a registered variety, (</w:t>
            </w:r>
            <w:proofErr w:type="spellStart"/>
            <w:r w:rsidRPr="00632792">
              <w:rPr>
                <w:rFonts w:cs="Arial"/>
                <w:lang w:val="en-US"/>
              </w:rPr>
              <w:t>ie</w:t>
            </w:r>
            <w:proofErr w:type="spellEnd"/>
            <w:r w:rsidRPr="00632792">
              <w:rPr>
                <w:rFonts w:cs="Arial"/>
                <w:lang w:val="en-US"/>
              </w:rPr>
              <w:t xml:space="preserve"> despite being from a genepool that is effectively independent of that registered variety).</w:t>
            </w:r>
          </w:p>
        </w:tc>
      </w:tr>
    </w:tbl>
    <w:p w:rsidR="00632792" w:rsidRPr="00632792" w:rsidRDefault="00632792" w:rsidP="00632792">
      <w:pPr>
        <w:rPr>
          <w:rFonts w:eastAsia="Calibri"/>
          <w:lang w:val="en-GB"/>
        </w:rPr>
      </w:pPr>
    </w:p>
    <w:p w:rsidR="00632792" w:rsidRDefault="00632792" w:rsidP="00632792">
      <w:pPr>
        <w:rPr>
          <w:rFonts w:eastAsia="Calibri"/>
          <w:lang w:val="en-GB"/>
        </w:rPr>
      </w:pPr>
      <w:r w:rsidRPr="00632792">
        <w:rPr>
          <w:rFonts w:eastAsia="Calibri"/>
          <w:lang w:val="en-GB"/>
        </w:rPr>
        <w:t xml:space="preserve">Therefore, the </w:t>
      </w:r>
      <w:proofErr w:type="spellStart"/>
      <w:r w:rsidRPr="00632792">
        <w:rPr>
          <w:rFonts w:eastAsia="Calibri"/>
          <w:lang w:val="en-GB"/>
        </w:rPr>
        <w:t>vmDUS</w:t>
      </w:r>
      <w:proofErr w:type="spellEnd"/>
      <w:r w:rsidRPr="00632792">
        <w:rPr>
          <w:rFonts w:eastAsia="Calibri"/>
          <w:lang w:val="en-GB"/>
        </w:rPr>
        <w:t xml:space="preserve"> molecular assessment would require a statistically valid test of variety distinctness (e.g. based on hundreds or thousands of SNP markers), to verify whether the candidate variety was bred from a sufficiently diversified genepool rather than being essentially derived from a protected variety.</w:t>
      </w:r>
    </w:p>
    <w:p w:rsidR="00632792" w:rsidRPr="00632792" w:rsidRDefault="00632792" w:rsidP="00632792">
      <w:pPr>
        <w:rPr>
          <w:rFonts w:eastAsia="Calibri"/>
          <w:lang w:val="en-GB"/>
        </w:rPr>
      </w:pPr>
    </w:p>
    <w:p w:rsidR="00632792" w:rsidRPr="00632792" w:rsidRDefault="00632792" w:rsidP="00632792">
      <w:pPr>
        <w:rPr>
          <w:rFonts w:eastAsia="Calibri"/>
          <w:lang w:val="en-GB"/>
        </w:rPr>
      </w:pPr>
      <w:r>
        <w:rPr>
          <w:rFonts w:eastAsia="Calibri"/>
          <w:lang w:val="en-GB"/>
        </w:rPr>
        <w:t>2.4</w:t>
      </w:r>
      <w:r>
        <w:rPr>
          <w:rFonts w:eastAsia="Calibri"/>
          <w:lang w:val="en-GB"/>
        </w:rPr>
        <w:tab/>
      </w:r>
      <w:r w:rsidRPr="00632792">
        <w:rPr>
          <w:rFonts w:eastAsia="Calibri"/>
          <w:lang w:val="en-GB"/>
        </w:rPr>
        <w:t xml:space="preserve">The diagrams on the following two pages further explain pictorially the logic underpinning the </w:t>
      </w:r>
      <w:proofErr w:type="spellStart"/>
      <w:r w:rsidRPr="00632792">
        <w:rPr>
          <w:rFonts w:eastAsia="Calibri"/>
          <w:lang w:val="en-GB"/>
        </w:rPr>
        <w:t>vmDUS</w:t>
      </w:r>
      <w:proofErr w:type="spellEnd"/>
      <w:r w:rsidRPr="00632792">
        <w:rPr>
          <w:rFonts w:eastAsia="Calibri"/>
          <w:lang w:val="en-GB"/>
        </w:rPr>
        <w:t xml:space="preserve"> decision process, with associated descriptions of how candidates with different genetic backgrounds and performance values </w:t>
      </w:r>
      <w:proofErr w:type="gramStart"/>
      <w:r w:rsidRPr="00632792">
        <w:rPr>
          <w:rFonts w:eastAsia="Calibri"/>
          <w:lang w:val="en-GB"/>
        </w:rPr>
        <w:t>would be judged</w:t>
      </w:r>
      <w:proofErr w:type="gramEnd"/>
      <w:r w:rsidRPr="00632792">
        <w:rPr>
          <w:rFonts w:eastAsia="Calibri"/>
          <w:lang w:val="en-GB"/>
        </w:rPr>
        <w:t>.</w:t>
      </w:r>
    </w:p>
    <w:p w:rsidR="00632792" w:rsidRPr="00632792" w:rsidRDefault="00632792" w:rsidP="00632792">
      <w:pPr>
        <w:spacing w:after="200" w:line="276" w:lineRule="auto"/>
        <w:jc w:val="left"/>
        <w:rPr>
          <w:rFonts w:ascii="Calibri" w:eastAsia="Calibri" w:hAnsi="Calibri"/>
          <w:sz w:val="24"/>
          <w:szCs w:val="24"/>
          <w:lang w:val="en-GB"/>
        </w:rPr>
      </w:pPr>
      <w:r w:rsidRPr="00632792">
        <w:rPr>
          <w:rFonts w:ascii="Calibri" w:eastAsia="Calibri" w:hAnsi="Calibri"/>
          <w:sz w:val="24"/>
          <w:szCs w:val="24"/>
          <w:lang w:val="en-GB"/>
        </w:rPr>
        <w:br w:type="page"/>
      </w:r>
    </w:p>
    <w:p w:rsidR="00632792" w:rsidRDefault="00632792" w:rsidP="00632792">
      <w:pPr>
        <w:rPr>
          <w:rFonts w:eastAsia="Calibri"/>
          <w:lang w:val="en-GB"/>
        </w:rPr>
      </w:pPr>
      <w:r w:rsidRPr="00632792">
        <w:rPr>
          <w:rFonts w:eastAsia="Calibri"/>
          <w:u w:val="single"/>
          <w:lang w:val="en-GB"/>
        </w:rPr>
        <w:t>In Scenario A</w:t>
      </w:r>
      <w:r w:rsidRPr="00632792">
        <w:rPr>
          <w:rFonts w:eastAsia="Calibri"/>
          <w:lang w:val="en-GB"/>
        </w:rPr>
        <w:t>, the candidates</w:t>
      </w:r>
      <w:bookmarkStart w:id="4" w:name="_Ref48318897"/>
      <w:r w:rsidR="00596AF1" w:rsidRPr="00D30F96">
        <w:rPr>
          <w:rStyle w:val="FootnoteReference"/>
          <w:rFonts w:eastAsia="Calibri"/>
          <w:lang w:val="en-GB"/>
        </w:rPr>
        <w:footnoteReference w:id="2"/>
      </w:r>
      <w:bookmarkEnd w:id="4"/>
      <w:r w:rsidRPr="00632792">
        <w:rPr>
          <w:rFonts w:eastAsia="Calibri"/>
          <w:lang w:val="en-GB"/>
        </w:rPr>
        <w:t xml:space="preserve"> (</w:t>
      </w:r>
      <w:bookmarkStart w:id="5" w:name="_Hlk19823808"/>
      <w:r w:rsidRPr="00632792">
        <w:rPr>
          <w:rFonts w:eastAsia="Calibri"/>
          <w:lang w:val="en-GB"/>
        </w:rPr>
        <w:t>Regan, Reggie and Regina</w:t>
      </w:r>
      <w:bookmarkEnd w:id="5"/>
      <w:r w:rsidRPr="00632792">
        <w:rPr>
          <w:rFonts w:eastAsia="Calibri"/>
          <w:lang w:val="en-GB"/>
        </w:rPr>
        <w:t xml:space="preserve">) </w:t>
      </w:r>
      <w:proofErr w:type="gramStart"/>
      <w:r w:rsidRPr="00632792">
        <w:rPr>
          <w:rFonts w:eastAsia="Calibri"/>
          <w:lang w:val="en-GB"/>
        </w:rPr>
        <w:t>have all been bred</w:t>
      </w:r>
      <w:proofErr w:type="gramEnd"/>
      <w:r w:rsidRPr="00632792">
        <w:rPr>
          <w:rFonts w:eastAsia="Calibri"/>
          <w:lang w:val="en-GB"/>
        </w:rPr>
        <w:t xml:space="preserve"> from a genepool largely provided by the registered variety Reg.  Therefore, they must sufficiently diverge in DUS characters from the source variety </w:t>
      </w:r>
      <w:proofErr w:type="spellStart"/>
      <w:r w:rsidRPr="00632792">
        <w:rPr>
          <w:rFonts w:eastAsia="Calibri"/>
          <w:lang w:val="en-GB"/>
        </w:rPr>
        <w:t>Reg</w:t>
      </w:r>
      <w:proofErr w:type="spellEnd"/>
      <w:r w:rsidRPr="00632792">
        <w:rPr>
          <w:rFonts w:eastAsia="Calibri"/>
          <w:lang w:val="en-GB"/>
        </w:rPr>
        <w:t xml:space="preserve"> to gain PBR.  </w:t>
      </w:r>
    </w:p>
    <w:p w:rsidR="00632792" w:rsidRPr="00632792" w:rsidRDefault="00632792" w:rsidP="00632792">
      <w:pPr>
        <w:rPr>
          <w:rFonts w:eastAsia="Calibri"/>
          <w:lang w:val="en-GB"/>
        </w:rPr>
      </w:pPr>
    </w:p>
    <w:p w:rsidR="00632792" w:rsidRPr="00632792" w:rsidRDefault="00632792" w:rsidP="00632792">
      <w:pPr>
        <w:tabs>
          <w:tab w:val="left" w:pos="284"/>
        </w:tabs>
        <w:spacing w:line="360" w:lineRule="auto"/>
        <w:rPr>
          <w:rFonts w:ascii="Calibri" w:eastAsia="Calibri" w:hAnsi="Calibri"/>
          <w:sz w:val="24"/>
          <w:szCs w:val="24"/>
          <w:lang w:val="en-GB"/>
        </w:rPr>
      </w:pPr>
      <w:r w:rsidRPr="00632792">
        <w:rPr>
          <w:rFonts w:ascii="Calibri" w:eastAsia="Calibri" w:hAnsi="Calibri"/>
          <w:noProof/>
          <w:sz w:val="24"/>
          <w:szCs w:val="24"/>
        </w:rPr>
        <w:drawing>
          <wp:inline distT="0" distB="0" distL="0" distR="0" wp14:anchorId="21B68A2F" wp14:editId="72DFE292">
            <wp:extent cx="5585236" cy="3904828"/>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 Scenario A.jpg"/>
                    <pic:cNvPicPr/>
                  </pic:nvPicPr>
                  <pic:blipFill>
                    <a:blip r:embed="rId9">
                      <a:extLst>
                        <a:ext uri="{28A0092B-C50C-407E-A947-70E740481C1C}">
                          <a14:useLocalDpi xmlns:a14="http://schemas.microsoft.com/office/drawing/2010/main" val="0"/>
                        </a:ext>
                      </a:extLst>
                    </a:blip>
                    <a:stretch>
                      <a:fillRect/>
                    </a:stretch>
                  </pic:blipFill>
                  <pic:spPr>
                    <a:xfrm>
                      <a:off x="0" y="0"/>
                      <a:ext cx="5632555" cy="3937911"/>
                    </a:xfrm>
                    <a:prstGeom prst="rect">
                      <a:avLst/>
                    </a:prstGeom>
                  </pic:spPr>
                </pic:pic>
              </a:graphicData>
            </a:graphic>
          </wp:inline>
        </w:drawing>
      </w:r>
    </w:p>
    <w:p w:rsidR="00632792" w:rsidRPr="00632792" w:rsidRDefault="00632792" w:rsidP="00632792">
      <w:pPr>
        <w:ind w:left="1134" w:hanging="1134"/>
        <w:rPr>
          <w:rFonts w:eastAsia="Calibri" w:cs="Arial"/>
          <w:lang w:val="en-GB"/>
        </w:rPr>
      </w:pPr>
      <w:r w:rsidRPr="00632792">
        <w:rPr>
          <w:rFonts w:eastAsia="Calibri" w:cs="Arial"/>
          <w:u w:val="single"/>
          <w:lang w:val="en-GB"/>
        </w:rPr>
        <w:t>Figure 1.</w:t>
      </w:r>
      <w:r w:rsidRPr="00632792">
        <w:rPr>
          <w:rFonts w:eastAsia="Calibri" w:cs="Arial"/>
          <w:lang w:val="en-GB"/>
        </w:rPr>
        <w:t xml:space="preserve"> Scenario A: ‘Divergence’ - candidate and registered </w:t>
      </w:r>
      <w:r w:rsidR="00926749">
        <w:rPr>
          <w:rFonts w:eastAsia="Calibri" w:cs="Arial"/>
          <w:lang w:val="en-GB"/>
        </w:rPr>
        <w:t>variety</w:t>
      </w:r>
      <w:r w:rsidRPr="00632792">
        <w:rPr>
          <w:rFonts w:eastAsia="Calibri" w:cs="Arial"/>
          <w:lang w:val="en-GB"/>
        </w:rPr>
        <w:t xml:space="preserve"> DUS and performance </w:t>
      </w:r>
      <w:r>
        <w:rPr>
          <w:rFonts w:eastAsia="Calibri" w:cs="Arial"/>
          <w:lang w:val="en-GB"/>
        </w:rPr>
        <w:br/>
      </w:r>
      <w:r w:rsidRPr="00632792">
        <w:rPr>
          <w:rFonts w:eastAsia="Calibri" w:cs="Arial"/>
          <w:lang w:val="en-GB"/>
        </w:rPr>
        <w:t xml:space="preserve">value relationships. </w:t>
      </w:r>
    </w:p>
    <w:p w:rsidR="00632792" w:rsidRPr="00632792" w:rsidRDefault="00632792" w:rsidP="00632792">
      <w:pPr>
        <w:ind w:left="1134"/>
        <w:rPr>
          <w:rFonts w:eastAsia="Calibri" w:cs="Arial"/>
          <w:lang w:val="en-GB"/>
        </w:rPr>
      </w:pPr>
      <w:proofErr w:type="spellStart"/>
      <w:r w:rsidRPr="00632792">
        <w:rPr>
          <w:rFonts w:eastAsia="Calibri" w:cs="Arial"/>
          <w:lang w:val="en-GB"/>
        </w:rPr>
        <w:t>Reg</w:t>
      </w:r>
      <w:proofErr w:type="spellEnd"/>
      <w:r w:rsidRPr="00632792">
        <w:rPr>
          <w:rFonts w:eastAsia="Calibri" w:cs="Arial"/>
          <w:lang w:val="en-GB"/>
        </w:rPr>
        <w:t xml:space="preserve"> is the registered </w:t>
      </w:r>
      <w:r w:rsidR="00926749">
        <w:rPr>
          <w:rFonts w:eastAsia="Calibri" w:cs="Arial"/>
          <w:lang w:val="en-GB"/>
        </w:rPr>
        <w:t>variety</w:t>
      </w:r>
      <w:r w:rsidRPr="00632792">
        <w:rPr>
          <w:rFonts w:eastAsia="Calibri" w:cs="Arial"/>
          <w:lang w:val="en-GB"/>
        </w:rPr>
        <w:t xml:space="preserve"> that has contributed entirely or largely to the new genepool to produce candidate </w:t>
      </w:r>
      <w:r w:rsidR="00926749">
        <w:rPr>
          <w:rFonts w:eastAsia="Calibri" w:cs="Arial"/>
          <w:lang w:val="en-GB"/>
        </w:rPr>
        <w:t>varieties</w:t>
      </w:r>
      <w:r w:rsidRPr="00632792">
        <w:rPr>
          <w:rFonts w:eastAsia="Calibri" w:cs="Arial"/>
          <w:lang w:val="en-GB"/>
        </w:rPr>
        <w:t xml:space="preserve"> Regan, Reggie and Regina. </w:t>
      </w:r>
    </w:p>
    <w:p w:rsidR="00632792" w:rsidRPr="00632792" w:rsidRDefault="00632792" w:rsidP="00632792">
      <w:pPr>
        <w:ind w:left="1134"/>
        <w:rPr>
          <w:rFonts w:eastAsia="Calibri" w:cs="Arial"/>
          <w:lang w:val="en-GB"/>
        </w:rPr>
      </w:pPr>
      <w:r w:rsidRPr="00632792">
        <w:rPr>
          <w:rFonts w:eastAsia="Calibri" w:cs="Arial"/>
          <w:lang w:val="en-GB"/>
        </w:rPr>
        <w:t>[Broad arrows show germplasm source; dotted lines represent significant difference limits for ‘performance value’ and DUS differences].</w:t>
      </w:r>
    </w:p>
    <w:p w:rsidR="00632792" w:rsidRPr="00632792" w:rsidRDefault="00632792" w:rsidP="008B4B15">
      <w:pPr>
        <w:rPr>
          <w:rFonts w:eastAsia="Calibri"/>
          <w:lang w:val="en-GB"/>
        </w:rPr>
      </w:pPr>
    </w:p>
    <w:p w:rsidR="00632792" w:rsidRPr="00632792" w:rsidRDefault="00632792" w:rsidP="008B4B15">
      <w:pPr>
        <w:rPr>
          <w:rFonts w:eastAsia="Calibri"/>
          <w:lang w:val="en-GB"/>
        </w:rPr>
      </w:pPr>
      <w:r w:rsidRPr="00632792">
        <w:rPr>
          <w:rFonts w:eastAsia="Calibri"/>
          <w:lang w:val="en-GB"/>
        </w:rPr>
        <w:t>As shown in Figure 1:</w:t>
      </w:r>
    </w:p>
    <w:p w:rsidR="00632792" w:rsidRPr="00632792" w:rsidRDefault="00632792" w:rsidP="008B4B15">
      <w:pPr>
        <w:numPr>
          <w:ilvl w:val="0"/>
          <w:numId w:val="2"/>
        </w:numPr>
        <w:tabs>
          <w:tab w:val="left" w:pos="426"/>
        </w:tabs>
        <w:ind w:left="425" w:hanging="425"/>
        <w:rPr>
          <w:rFonts w:eastAsia="Calibri" w:cs="Arial"/>
          <w:strike/>
          <w:lang w:val="en-GB"/>
        </w:rPr>
      </w:pPr>
      <w:r w:rsidRPr="00632792">
        <w:rPr>
          <w:rFonts w:eastAsia="Calibri" w:cs="Arial"/>
          <w:lang w:val="en-GB"/>
        </w:rPr>
        <w:t xml:space="preserve">Reggie is both DUS </w:t>
      </w:r>
      <w:proofErr w:type="gramStart"/>
      <w:r w:rsidRPr="00632792">
        <w:rPr>
          <w:rFonts w:eastAsia="Calibri" w:cs="Arial"/>
          <w:lang w:val="en-GB"/>
        </w:rPr>
        <w:t xml:space="preserve">distinct and has an improved VCU compared to </w:t>
      </w:r>
      <w:proofErr w:type="spellStart"/>
      <w:r w:rsidRPr="00632792">
        <w:rPr>
          <w:rFonts w:eastAsia="Calibri" w:cs="Arial"/>
          <w:lang w:val="en-GB"/>
        </w:rPr>
        <w:t>Reg</w:t>
      </w:r>
      <w:proofErr w:type="spellEnd"/>
      <w:proofErr w:type="gramEnd"/>
      <w:r w:rsidRPr="00632792">
        <w:rPr>
          <w:rFonts w:eastAsia="Calibri" w:cs="Arial"/>
          <w:lang w:val="en-GB"/>
        </w:rPr>
        <w:t xml:space="preserve"> and so automatically passes DUS without any need of a </w:t>
      </w:r>
      <w:proofErr w:type="spellStart"/>
      <w:r w:rsidRPr="00632792">
        <w:rPr>
          <w:rFonts w:eastAsia="Calibri" w:cs="Arial"/>
          <w:lang w:val="en-GB"/>
        </w:rPr>
        <w:t>vmDUS</w:t>
      </w:r>
      <w:proofErr w:type="spellEnd"/>
      <w:r w:rsidRPr="00632792">
        <w:rPr>
          <w:rFonts w:eastAsia="Calibri" w:cs="Arial"/>
          <w:lang w:val="en-GB"/>
        </w:rPr>
        <w:t xml:space="preserve"> test.</w:t>
      </w:r>
    </w:p>
    <w:p w:rsidR="00632792" w:rsidRPr="00632792" w:rsidRDefault="00632792" w:rsidP="008B4B15">
      <w:pPr>
        <w:numPr>
          <w:ilvl w:val="0"/>
          <w:numId w:val="2"/>
        </w:numPr>
        <w:tabs>
          <w:tab w:val="left" w:pos="426"/>
        </w:tabs>
        <w:ind w:left="425" w:hanging="425"/>
        <w:rPr>
          <w:rFonts w:eastAsia="Calibri" w:cs="Arial"/>
          <w:lang w:val="en-GB"/>
        </w:rPr>
      </w:pPr>
      <w:r w:rsidRPr="00632792">
        <w:rPr>
          <w:rFonts w:eastAsia="Calibri" w:cs="Arial"/>
          <w:lang w:val="en-GB"/>
        </w:rPr>
        <w:t xml:space="preserve">Regan does not have an improved VCU compared to </w:t>
      </w:r>
      <w:proofErr w:type="spellStart"/>
      <w:proofErr w:type="gramStart"/>
      <w:r w:rsidRPr="00632792">
        <w:rPr>
          <w:rFonts w:eastAsia="Calibri" w:cs="Arial"/>
          <w:lang w:val="en-GB"/>
        </w:rPr>
        <w:t>Reg</w:t>
      </w:r>
      <w:proofErr w:type="spellEnd"/>
      <w:r w:rsidRPr="00632792">
        <w:rPr>
          <w:rFonts w:eastAsia="Calibri" w:cs="Arial"/>
          <w:lang w:val="en-GB"/>
        </w:rPr>
        <w:t xml:space="preserve"> and</w:t>
      </w:r>
      <w:r w:rsidRPr="00632792" w:rsidDel="00221FA9">
        <w:rPr>
          <w:rFonts w:eastAsia="Calibri" w:cs="Arial"/>
          <w:lang w:val="en-GB"/>
        </w:rPr>
        <w:t xml:space="preserve"> </w:t>
      </w:r>
      <w:r w:rsidRPr="00632792">
        <w:rPr>
          <w:rFonts w:eastAsia="Calibri" w:cs="Arial"/>
          <w:lang w:val="en-GB"/>
        </w:rPr>
        <w:t xml:space="preserve">is not significantly different in DUS from </w:t>
      </w:r>
      <w:proofErr w:type="spellStart"/>
      <w:r w:rsidRPr="00632792">
        <w:rPr>
          <w:rFonts w:eastAsia="Calibri" w:cs="Arial"/>
          <w:lang w:val="en-GB"/>
        </w:rPr>
        <w:t>Reg</w:t>
      </w:r>
      <w:proofErr w:type="spellEnd"/>
      <w:proofErr w:type="gramEnd"/>
      <w:r w:rsidRPr="00632792">
        <w:rPr>
          <w:rFonts w:eastAsia="Calibri" w:cs="Arial"/>
          <w:lang w:val="en-GB"/>
        </w:rPr>
        <w:t xml:space="preserve"> and therefore would correctly be refused registration, with no justification for a </w:t>
      </w:r>
      <w:proofErr w:type="spellStart"/>
      <w:r w:rsidRPr="00632792">
        <w:rPr>
          <w:rFonts w:eastAsia="Calibri" w:cs="Arial"/>
          <w:lang w:val="en-GB"/>
        </w:rPr>
        <w:t>vmDUS</w:t>
      </w:r>
      <w:proofErr w:type="spellEnd"/>
      <w:r w:rsidRPr="00632792">
        <w:rPr>
          <w:rFonts w:eastAsia="Calibri" w:cs="Arial"/>
          <w:lang w:val="en-GB"/>
        </w:rPr>
        <w:t xml:space="preserve"> test.</w:t>
      </w:r>
    </w:p>
    <w:p w:rsidR="00632792" w:rsidRPr="00632792" w:rsidRDefault="00632792" w:rsidP="008B4B15">
      <w:pPr>
        <w:numPr>
          <w:ilvl w:val="0"/>
          <w:numId w:val="2"/>
        </w:numPr>
        <w:tabs>
          <w:tab w:val="left" w:pos="426"/>
        </w:tabs>
        <w:spacing w:after="120"/>
        <w:ind w:left="425" w:hanging="425"/>
        <w:rPr>
          <w:rFonts w:eastAsia="Calibri" w:cs="Arial"/>
          <w:lang w:val="en-GB"/>
        </w:rPr>
      </w:pPr>
      <w:r w:rsidRPr="00632792">
        <w:rPr>
          <w:rFonts w:eastAsia="Calibri" w:cs="Arial"/>
          <w:lang w:val="en-GB"/>
        </w:rPr>
        <w:t xml:space="preserve">Regina is not DUS distinct from </w:t>
      </w:r>
      <w:proofErr w:type="spellStart"/>
      <w:r w:rsidRPr="00632792">
        <w:rPr>
          <w:rFonts w:eastAsia="Calibri" w:cs="Arial"/>
          <w:lang w:val="en-GB"/>
        </w:rPr>
        <w:t>Reg</w:t>
      </w:r>
      <w:proofErr w:type="spellEnd"/>
      <w:r w:rsidRPr="00632792">
        <w:rPr>
          <w:rFonts w:eastAsia="Calibri" w:cs="Arial"/>
          <w:lang w:val="en-GB"/>
        </w:rPr>
        <w:t xml:space="preserve"> but has a significantly better VCU </w:t>
      </w:r>
      <w:proofErr w:type="gramStart"/>
      <w:r w:rsidRPr="00632792">
        <w:rPr>
          <w:rFonts w:eastAsia="Calibri" w:cs="Arial"/>
          <w:lang w:val="en-GB"/>
        </w:rPr>
        <w:t>performance which</w:t>
      </w:r>
      <w:proofErr w:type="gramEnd"/>
      <w:r w:rsidRPr="00632792">
        <w:rPr>
          <w:rFonts w:eastAsia="Calibri" w:cs="Arial"/>
          <w:lang w:val="en-GB"/>
        </w:rPr>
        <w:t xml:space="preserve"> would justify a </w:t>
      </w:r>
      <w:proofErr w:type="spellStart"/>
      <w:r w:rsidRPr="00632792">
        <w:rPr>
          <w:rFonts w:eastAsia="Calibri" w:cs="Arial"/>
          <w:lang w:val="en-GB"/>
        </w:rPr>
        <w:t>vmDUS</w:t>
      </w:r>
      <w:proofErr w:type="spellEnd"/>
      <w:r w:rsidRPr="00632792">
        <w:rPr>
          <w:rFonts w:eastAsia="Calibri" w:cs="Arial"/>
          <w:lang w:val="en-GB"/>
        </w:rPr>
        <w:t xml:space="preserve"> examination.  As Regina </w:t>
      </w:r>
      <w:proofErr w:type="gramStart"/>
      <w:r w:rsidRPr="00632792">
        <w:rPr>
          <w:rFonts w:eastAsia="Calibri" w:cs="Arial"/>
          <w:lang w:val="en-GB"/>
        </w:rPr>
        <w:t>was bred</w:t>
      </w:r>
      <w:proofErr w:type="gramEnd"/>
      <w:r w:rsidRPr="00632792">
        <w:rPr>
          <w:rFonts w:eastAsia="Calibri" w:cs="Arial"/>
          <w:lang w:val="en-GB"/>
        </w:rPr>
        <w:t xml:space="preserve"> out of a genepool largely provided by </w:t>
      </w:r>
      <w:proofErr w:type="spellStart"/>
      <w:r w:rsidRPr="00632792">
        <w:rPr>
          <w:rFonts w:eastAsia="Calibri" w:cs="Arial"/>
          <w:lang w:val="en-GB"/>
        </w:rPr>
        <w:t>Reg</w:t>
      </w:r>
      <w:proofErr w:type="spellEnd"/>
      <w:r w:rsidRPr="00632792">
        <w:rPr>
          <w:rFonts w:eastAsia="Calibri" w:cs="Arial"/>
          <w:lang w:val="en-GB"/>
        </w:rPr>
        <w:t xml:space="preserve">, the molecular markers would be expected to reveal the degree of relatedness to </w:t>
      </w:r>
      <w:proofErr w:type="spellStart"/>
      <w:r w:rsidRPr="00632792">
        <w:rPr>
          <w:rFonts w:eastAsia="Calibri" w:cs="Arial"/>
          <w:lang w:val="en-GB"/>
        </w:rPr>
        <w:t>Reg</w:t>
      </w:r>
      <w:proofErr w:type="spellEnd"/>
      <w:r w:rsidRPr="00632792">
        <w:rPr>
          <w:rFonts w:eastAsia="Calibri" w:cs="Arial"/>
          <w:lang w:val="en-GB"/>
        </w:rPr>
        <w:t xml:space="preserve"> and would determine if Regina passed the </w:t>
      </w:r>
      <w:proofErr w:type="spellStart"/>
      <w:r w:rsidRPr="00632792">
        <w:rPr>
          <w:rFonts w:eastAsia="Calibri" w:cs="Arial"/>
          <w:lang w:val="en-GB"/>
        </w:rPr>
        <w:t>vmDUS</w:t>
      </w:r>
      <w:proofErr w:type="spellEnd"/>
      <w:r w:rsidRPr="00632792">
        <w:rPr>
          <w:rFonts w:eastAsia="Calibri" w:cs="Arial"/>
          <w:lang w:val="en-GB"/>
        </w:rPr>
        <w:t xml:space="preserve"> test or failed for being too closely constructed out of Reg.</w:t>
      </w:r>
    </w:p>
    <w:p w:rsidR="00632792" w:rsidRPr="00632792" w:rsidRDefault="00632792" w:rsidP="00632792">
      <w:pPr>
        <w:spacing w:after="200" w:line="276" w:lineRule="auto"/>
        <w:jc w:val="left"/>
        <w:rPr>
          <w:rFonts w:ascii="Calibri" w:eastAsia="Calibri" w:hAnsi="Calibri"/>
          <w:sz w:val="24"/>
          <w:szCs w:val="24"/>
          <w:lang w:val="en-GB"/>
        </w:rPr>
      </w:pPr>
      <w:r w:rsidRPr="00632792">
        <w:rPr>
          <w:rFonts w:ascii="Calibri" w:eastAsia="Calibri" w:hAnsi="Calibri"/>
          <w:sz w:val="24"/>
          <w:szCs w:val="24"/>
          <w:lang w:val="en-GB"/>
        </w:rPr>
        <w:br w:type="page"/>
      </w:r>
    </w:p>
    <w:p w:rsidR="00632792" w:rsidRDefault="00632792" w:rsidP="008B4B15">
      <w:pPr>
        <w:rPr>
          <w:rFonts w:eastAsia="Calibri"/>
          <w:lang w:val="en-GB"/>
        </w:rPr>
      </w:pPr>
      <w:r w:rsidRPr="00632792">
        <w:rPr>
          <w:rFonts w:eastAsia="Calibri"/>
          <w:u w:val="single"/>
          <w:lang w:val="en-GB"/>
        </w:rPr>
        <w:t>In Scenario B</w:t>
      </w:r>
      <w:r w:rsidRPr="00632792">
        <w:rPr>
          <w:rFonts w:eastAsia="Calibri"/>
          <w:lang w:val="en-GB"/>
        </w:rPr>
        <w:t>, all candidates</w:t>
      </w:r>
      <w:r w:rsidR="00E71F3F">
        <w:rPr>
          <w:rStyle w:val="FootnoteReference"/>
          <w:rFonts w:eastAsia="Calibri"/>
          <w:lang w:val="en-GB"/>
        </w:rPr>
        <w:footnoteReference w:id="3"/>
      </w:r>
      <w:r w:rsidRPr="00632792">
        <w:rPr>
          <w:rFonts w:eastAsia="Calibri"/>
          <w:lang w:val="en-GB"/>
        </w:rPr>
        <w:t xml:space="preserve"> (Starter, Fresh and Initial) are new synthetics from an independent genepool to that of Reg.  </w:t>
      </w:r>
    </w:p>
    <w:p w:rsidR="008B4B15" w:rsidRPr="00632792" w:rsidRDefault="008B4B15" w:rsidP="008B4B15">
      <w:pPr>
        <w:rPr>
          <w:rFonts w:eastAsia="Calibri"/>
          <w:lang w:val="en-GB"/>
        </w:rPr>
      </w:pPr>
    </w:p>
    <w:p w:rsidR="00632792" w:rsidRPr="00632792" w:rsidRDefault="00632792" w:rsidP="00632792">
      <w:pPr>
        <w:tabs>
          <w:tab w:val="left" w:pos="313"/>
        </w:tabs>
        <w:autoSpaceDE w:val="0"/>
        <w:autoSpaceDN w:val="0"/>
        <w:adjustRightInd w:val="0"/>
        <w:spacing w:line="360" w:lineRule="auto"/>
        <w:jc w:val="left"/>
        <w:rPr>
          <w:rFonts w:ascii="Calibri" w:eastAsia="Calibri" w:hAnsi="Calibri"/>
          <w:sz w:val="24"/>
          <w:szCs w:val="24"/>
          <w:lang w:val="en-GB"/>
        </w:rPr>
      </w:pPr>
      <w:r w:rsidRPr="00632792">
        <w:rPr>
          <w:rFonts w:ascii="Calibri" w:eastAsia="Calibri" w:hAnsi="Calibri"/>
          <w:noProof/>
          <w:sz w:val="24"/>
          <w:szCs w:val="24"/>
        </w:rPr>
        <w:drawing>
          <wp:inline distT="0" distB="0" distL="0" distR="0" wp14:anchorId="1203EF68" wp14:editId="3C041FB4">
            <wp:extent cx="5524500" cy="38311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2 Scenario B.jpg"/>
                    <pic:cNvPicPr/>
                  </pic:nvPicPr>
                  <pic:blipFill>
                    <a:blip r:embed="rId10">
                      <a:extLst>
                        <a:ext uri="{28A0092B-C50C-407E-A947-70E740481C1C}">
                          <a14:useLocalDpi xmlns:a14="http://schemas.microsoft.com/office/drawing/2010/main" val="0"/>
                        </a:ext>
                      </a:extLst>
                    </a:blip>
                    <a:stretch>
                      <a:fillRect/>
                    </a:stretch>
                  </pic:blipFill>
                  <pic:spPr>
                    <a:xfrm>
                      <a:off x="0" y="0"/>
                      <a:ext cx="5524500" cy="3831122"/>
                    </a:xfrm>
                    <a:prstGeom prst="rect">
                      <a:avLst/>
                    </a:prstGeom>
                  </pic:spPr>
                </pic:pic>
              </a:graphicData>
            </a:graphic>
          </wp:inline>
        </w:drawing>
      </w:r>
    </w:p>
    <w:p w:rsidR="00632792" w:rsidRPr="00632792" w:rsidRDefault="00632792" w:rsidP="008B4B15">
      <w:pPr>
        <w:ind w:left="1134" w:hanging="1134"/>
        <w:rPr>
          <w:rFonts w:eastAsia="Calibri" w:cs="Arial"/>
          <w:lang w:val="en-GB"/>
        </w:rPr>
      </w:pPr>
      <w:r w:rsidRPr="00632792">
        <w:rPr>
          <w:rFonts w:eastAsia="Calibri" w:cs="Arial"/>
          <w:u w:val="single"/>
          <w:lang w:val="en-GB"/>
        </w:rPr>
        <w:t>Figure 2.</w:t>
      </w:r>
      <w:r w:rsidRPr="00632792">
        <w:rPr>
          <w:rFonts w:eastAsia="Calibri" w:cs="Arial"/>
          <w:lang w:val="en-GB"/>
        </w:rPr>
        <w:t xml:space="preserve"> Scenario B: convergence—candidate and registered </w:t>
      </w:r>
      <w:r w:rsidR="00926749">
        <w:rPr>
          <w:rFonts w:eastAsia="Calibri" w:cs="Arial"/>
          <w:lang w:val="en-GB"/>
        </w:rPr>
        <w:t>variety</w:t>
      </w:r>
      <w:r w:rsidRPr="00632792">
        <w:rPr>
          <w:rFonts w:eastAsia="Calibri" w:cs="Arial"/>
          <w:lang w:val="en-GB"/>
        </w:rPr>
        <w:t xml:space="preserve"> DUS and performance</w:t>
      </w:r>
      <w:r w:rsidR="008B4B15">
        <w:rPr>
          <w:rFonts w:eastAsia="Calibri" w:cs="Arial"/>
          <w:lang w:val="en-GB"/>
        </w:rPr>
        <w:t xml:space="preserve"> </w:t>
      </w:r>
      <w:r w:rsidR="008B4B15">
        <w:rPr>
          <w:rFonts w:eastAsia="Calibri" w:cs="Arial"/>
          <w:lang w:val="en-GB"/>
        </w:rPr>
        <w:br/>
      </w:r>
      <w:r w:rsidRPr="00632792">
        <w:rPr>
          <w:rFonts w:eastAsia="Calibri" w:cs="Arial"/>
          <w:lang w:val="en-GB"/>
        </w:rPr>
        <w:t xml:space="preserve">value relationships. </w:t>
      </w:r>
    </w:p>
    <w:p w:rsidR="00632792" w:rsidRPr="00632792" w:rsidRDefault="00632792" w:rsidP="008B4B15">
      <w:pPr>
        <w:ind w:left="1134"/>
        <w:rPr>
          <w:rFonts w:eastAsia="Calibri" w:cs="Arial"/>
          <w:lang w:val="en-GB"/>
        </w:rPr>
      </w:pPr>
      <w:proofErr w:type="spellStart"/>
      <w:r w:rsidRPr="00632792">
        <w:rPr>
          <w:rFonts w:eastAsia="Calibri" w:cs="Arial"/>
          <w:lang w:val="en-GB"/>
        </w:rPr>
        <w:t>Reg</w:t>
      </w:r>
      <w:proofErr w:type="spellEnd"/>
      <w:r w:rsidRPr="00632792">
        <w:rPr>
          <w:rFonts w:eastAsia="Calibri" w:cs="Arial"/>
          <w:lang w:val="en-GB"/>
        </w:rPr>
        <w:t xml:space="preserve"> is the registered </w:t>
      </w:r>
      <w:r w:rsidR="00926749">
        <w:rPr>
          <w:rFonts w:eastAsia="Calibri" w:cs="Arial"/>
          <w:lang w:val="en-GB"/>
        </w:rPr>
        <w:t>variety</w:t>
      </w:r>
      <w:r w:rsidRPr="00632792">
        <w:rPr>
          <w:rFonts w:eastAsia="Calibri" w:cs="Arial"/>
          <w:lang w:val="en-GB"/>
        </w:rPr>
        <w:t xml:space="preserve">; Fresh, Starter and Initial are candidates bred from a largely independent gene pool. </w:t>
      </w:r>
    </w:p>
    <w:p w:rsidR="00632792" w:rsidRPr="00632792" w:rsidRDefault="00632792" w:rsidP="008B4B15">
      <w:pPr>
        <w:ind w:left="1134"/>
        <w:rPr>
          <w:rFonts w:eastAsia="Calibri" w:cs="Arial"/>
          <w:lang w:val="en-GB"/>
        </w:rPr>
      </w:pPr>
      <w:r w:rsidRPr="00632792">
        <w:rPr>
          <w:rFonts w:eastAsia="Calibri" w:cs="Arial"/>
          <w:lang w:val="en-GB"/>
        </w:rPr>
        <w:t>[Broad arrows show candidate germplasm source; dotted lines represent significant difference limits for ‘performance value’ and DUS differences]</w:t>
      </w:r>
    </w:p>
    <w:p w:rsidR="00632792" w:rsidRPr="00632792" w:rsidRDefault="00632792" w:rsidP="002D6D18">
      <w:pPr>
        <w:rPr>
          <w:rFonts w:eastAsia="Calibri"/>
          <w:lang w:val="en-GB"/>
        </w:rPr>
      </w:pPr>
    </w:p>
    <w:p w:rsidR="00632792" w:rsidRPr="00632792" w:rsidRDefault="00632792" w:rsidP="002D6D18">
      <w:pPr>
        <w:rPr>
          <w:rFonts w:eastAsia="Calibri"/>
          <w:lang w:val="en-GB"/>
        </w:rPr>
      </w:pPr>
      <w:r w:rsidRPr="00632792">
        <w:rPr>
          <w:rFonts w:eastAsia="Calibri"/>
          <w:lang w:val="en-GB"/>
        </w:rPr>
        <w:t>As shown in Figure 2:</w:t>
      </w:r>
    </w:p>
    <w:p w:rsidR="00632792" w:rsidRPr="00632792" w:rsidRDefault="00632792" w:rsidP="002D6D18">
      <w:pPr>
        <w:rPr>
          <w:rFonts w:eastAsia="Calibri"/>
          <w:lang w:val="en-GB"/>
        </w:rPr>
      </w:pPr>
      <w:proofErr w:type="gramStart"/>
      <w:r w:rsidRPr="00632792">
        <w:rPr>
          <w:rFonts w:eastAsia="Calibri"/>
          <w:lang w:val="en-GB"/>
        </w:rPr>
        <w:t xml:space="preserve">Fresh is DUS distinct (and higher performing than </w:t>
      </w:r>
      <w:proofErr w:type="spellStart"/>
      <w:r w:rsidRPr="00632792">
        <w:rPr>
          <w:rFonts w:eastAsia="Calibri"/>
          <w:lang w:val="en-GB"/>
        </w:rPr>
        <w:t>Reg</w:t>
      </w:r>
      <w:proofErr w:type="spellEnd"/>
      <w:r w:rsidRPr="00632792">
        <w:rPr>
          <w:rFonts w:eastAsia="Calibri"/>
          <w:lang w:val="en-GB"/>
        </w:rPr>
        <w:t xml:space="preserve">) and so automatically passes DUS without any need of a </w:t>
      </w:r>
      <w:proofErr w:type="spellStart"/>
      <w:r w:rsidRPr="00632792">
        <w:rPr>
          <w:rFonts w:eastAsia="Calibri"/>
          <w:lang w:val="en-GB"/>
        </w:rPr>
        <w:t>vmDUS</w:t>
      </w:r>
      <w:proofErr w:type="spellEnd"/>
      <w:r w:rsidRPr="00632792">
        <w:rPr>
          <w:rFonts w:eastAsia="Calibri"/>
          <w:lang w:val="en-GB"/>
        </w:rPr>
        <w:t xml:space="preserve"> test.</w:t>
      </w:r>
      <w:proofErr w:type="gramEnd"/>
    </w:p>
    <w:p w:rsidR="00632792" w:rsidRPr="00632792" w:rsidRDefault="00632792" w:rsidP="002D6D18">
      <w:pPr>
        <w:rPr>
          <w:rFonts w:eastAsia="Calibri"/>
          <w:lang w:val="en-GB"/>
        </w:rPr>
      </w:pPr>
      <w:r w:rsidRPr="00632792">
        <w:rPr>
          <w:rFonts w:eastAsia="Calibri"/>
          <w:lang w:val="en-GB"/>
        </w:rPr>
        <w:t xml:space="preserve">Starter has converged with </w:t>
      </w:r>
      <w:proofErr w:type="spellStart"/>
      <w:r w:rsidRPr="00632792">
        <w:rPr>
          <w:rFonts w:eastAsia="Calibri"/>
          <w:lang w:val="en-GB"/>
        </w:rPr>
        <w:t>Reg</w:t>
      </w:r>
      <w:proofErr w:type="spellEnd"/>
      <w:r w:rsidRPr="00632792">
        <w:rPr>
          <w:rFonts w:eastAsia="Calibri"/>
          <w:lang w:val="en-GB"/>
        </w:rPr>
        <w:t xml:space="preserve"> as it is not DUS distinct from it and has a similar value performance.  </w:t>
      </w:r>
      <w:proofErr w:type="gramStart"/>
      <w:r w:rsidRPr="00632792">
        <w:rPr>
          <w:rFonts w:eastAsia="Calibri"/>
          <w:lang w:val="en-GB"/>
        </w:rPr>
        <w:t>So</w:t>
      </w:r>
      <w:proofErr w:type="gramEnd"/>
      <w:r w:rsidRPr="00632792">
        <w:rPr>
          <w:rFonts w:eastAsia="Calibri"/>
          <w:lang w:val="en-GB"/>
        </w:rPr>
        <w:t xml:space="preserve">, it correctly fails DUS with no justification for a </w:t>
      </w:r>
      <w:proofErr w:type="spellStart"/>
      <w:r w:rsidRPr="00632792">
        <w:rPr>
          <w:rFonts w:eastAsia="Calibri"/>
          <w:lang w:val="en-GB"/>
        </w:rPr>
        <w:t>vmDUS</w:t>
      </w:r>
      <w:proofErr w:type="spellEnd"/>
      <w:r w:rsidRPr="00632792">
        <w:rPr>
          <w:rFonts w:eastAsia="Calibri"/>
          <w:lang w:val="en-GB"/>
        </w:rPr>
        <w:t xml:space="preserve"> test (even if its value was sufficient to justify it being marketed).</w:t>
      </w:r>
    </w:p>
    <w:p w:rsidR="00632792" w:rsidRDefault="00632792" w:rsidP="002D6D18">
      <w:pPr>
        <w:rPr>
          <w:rFonts w:eastAsia="Calibri"/>
          <w:lang w:val="en-GB"/>
        </w:rPr>
      </w:pPr>
      <w:r w:rsidRPr="00632792">
        <w:rPr>
          <w:rFonts w:eastAsia="Calibri"/>
          <w:lang w:val="en-GB"/>
        </w:rPr>
        <w:t xml:space="preserve">Initial is not DUS distinct from </w:t>
      </w:r>
      <w:proofErr w:type="spellStart"/>
      <w:r w:rsidRPr="00632792">
        <w:rPr>
          <w:rFonts w:eastAsia="Calibri"/>
          <w:lang w:val="en-GB"/>
        </w:rPr>
        <w:t>Reg</w:t>
      </w:r>
      <w:proofErr w:type="spellEnd"/>
      <w:r w:rsidRPr="00632792">
        <w:rPr>
          <w:rFonts w:eastAsia="Calibri"/>
          <w:lang w:val="en-GB"/>
        </w:rPr>
        <w:t xml:space="preserve"> but has a significantly higher value.  Similar to Regina in Scenario A, evidence of superior value compared to the blocking variety would justify a </w:t>
      </w:r>
      <w:proofErr w:type="spellStart"/>
      <w:r w:rsidRPr="00632792">
        <w:rPr>
          <w:rFonts w:eastAsia="Calibri"/>
          <w:lang w:val="en-GB"/>
        </w:rPr>
        <w:t>vmDUS</w:t>
      </w:r>
      <w:proofErr w:type="spellEnd"/>
      <w:r w:rsidRPr="00632792">
        <w:rPr>
          <w:rFonts w:eastAsia="Calibri"/>
          <w:lang w:val="en-GB"/>
        </w:rPr>
        <w:t xml:space="preserve"> test.  </w:t>
      </w:r>
    </w:p>
    <w:p w:rsidR="002D6D18" w:rsidRPr="00632792" w:rsidRDefault="002D6D18" w:rsidP="002D6D18">
      <w:pPr>
        <w:rPr>
          <w:rFonts w:eastAsia="Calibri"/>
          <w:lang w:val="en-GB"/>
        </w:rPr>
      </w:pPr>
    </w:p>
    <w:p w:rsidR="002D6D18" w:rsidRDefault="00632792" w:rsidP="002D6D18">
      <w:pPr>
        <w:ind w:left="567" w:right="567"/>
        <w:rPr>
          <w:rFonts w:eastAsia="Calibri"/>
          <w:lang w:val="en-GB"/>
        </w:rPr>
      </w:pPr>
      <w:r w:rsidRPr="00632792">
        <w:rPr>
          <w:rFonts w:eastAsia="Calibri"/>
          <w:lang w:val="en-GB"/>
        </w:rPr>
        <w:t xml:space="preserve">In this </w:t>
      </w:r>
      <w:proofErr w:type="gramStart"/>
      <w:r w:rsidRPr="00632792">
        <w:rPr>
          <w:rFonts w:eastAsia="Calibri"/>
          <w:lang w:val="en-GB"/>
        </w:rPr>
        <w:t>scenario</w:t>
      </w:r>
      <w:proofErr w:type="gramEnd"/>
      <w:r w:rsidRPr="00632792">
        <w:rPr>
          <w:rFonts w:eastAsia="Calibri"/>
          <w:lang w:val="en-GB"/>
        </w:rPr>
        <w:t xml:space="preserve"> the molecular markers would be expected to reveal a large genetic distance between Initial and </w:t>
      </w:r>
      <w:proofErr w:type="spellStart"/>
      <w:r w:rsidRPr="00632792">
        <w:rPr>
          <w:rFonts w:eastAsia="Calibri"/>
          <w:lang w:val="en-GB"/>
        </w:rPr>
        <w:t>Reg</w:t>
      </w:r>
      <w:proofErr w:type="spellEnd"/>
      <w:r w:rsidRPr="00632792">
        <w:rPr>
          <w:rFonts w:eastAsia="Calibri"/>
          <w:lang w:val="en-GB"/>
        </w:rPr>
        <w:t xml:space="preserve"> and thus evidence of phenotypic convergence from a distinct genepool.  If so, Initial would pass the </w:t>
      </w:r>
      <w:proofErr w:type="spellStart"/>
      <w:r w:rsidRPr="00632792">
        <w:rPr>
          <w:rFonts w:eastAsia="Calibri"/>
          <w:lang w:val="en-GB"/>
        </w:rPr>
        <w:t>vmDUS</w:t>
      </w:r>
      <w:proofErr w:type="spellEnd"/>
      <w:r w:rsidRPr="00632792">
        <w:rPr>
          <w:rFonts w:eastAsia="Calibri"/>
          <w:lang w:val="en-GB"/>
        </w:rPr>
        <w:t xml:space="preserve"> test and </w:t>
      </w:r>
      <w:proofErr w:type="gramStart"/>
      <w:r w:rsidRPr="00632792">
        <w:rPr>
          <w:rFonts w:eastAsia="Calibri"/>
          <w:lang w:val="en-GB"/>
        </w:rPr>
        <w:t>get</w:t>
      </w:r>
      <w:proofErr w:type="gramEnd"/>
      <w:r w:rsidRPr="00632792">
        <w:rPr>
          <w:rFonts w:eastAsia="Calibri"/>
          <w:lang w:val="en-GB"/>
        </w:rPr>
        <w:t xml:space="preserve"> registered.  This would correctly reward the breeder for achieving a significant genetic improvement by a valid breeding activity and ensure it </w:t>
      </w:r>
      <w:proofErr w:type="gramStart"/>
      <w:r w:rsidRPr="00632792">
        <w:rPr>
          <w:rFonts w:eastAsia="Calibri"/>
          <w:lang w:val="en-GB"/>
        </w:rPr>
        <w:t>could be marketed</w:t>
      </w:r>
      <w:proofErr w:type="gramEnd"/>
      <w:r w:rsidRPr="00632792">
        <w:rPr>
          <w:rFonts w:eastAsia="Calibri"/>
          <w:lang w:val="en-GB"/>
        </w:rPr>
        <w:t xml:space="preserve"> to benefit users.</w:t>
      </w:r>
    </w:p>
    <w:p w:rsidR="00632792" w:rsidRPr="00632792" w:rsidRDefault="00632792" w:rsidP="00632792">
      <w:pPr>
        <w:tabs>
          <w:tab w:val="left" w:pos="709"/>
        </w:tabs>
        <w:ind w:left="1276"/>
        <w:rPr>
          <w:rFonts w:ascii="Calibri" w:eastAsia="Calibri" w:hAnsi="Calibri"/>
          <w:sz w:val="24"/>
          <w:szCs w:val="24"/>
          <w:lang w:val="en-GB"/>
        </w:rPr>
      </w:pPr>
      <w:r w:rsidRPr="00632792">
        <w:rPr>
          <w:rFonts w:ascii="Calibri" w:eastAsia="Calibri" w:hAnsi="Calibri"/>
          <w:sz w:val="24"/>
          <w:szCs w:val="24"/>
          <w:lang w:val="en-GB"/>
        </w:rPr>
        <w:br w:type="page"/>
      </w:r>
    </w:p>
    <w:p w:rsidR="00632792" w:rsidRDefault="002D6D18" w:rsidP="002D6D18">
      <w:pPr>
        <w:pStyle w:val="Heading2"/>
      </w:pPr>
      <w:r>
        <w:t>3.</w:t>
      </w:r>
      <w:r>
        <w:tab/>
      </w:r>
      <w:r w:rsidR="00632792" w:rsidRPr="00632792">
        <w:t xml:space="preserve">Implementation of the </w:t>
      </w:r>
      <w:proofErr w:type="spellStart"/>
      <w:r w:rsidR="00632792" w:rsidRPr="00632792">
        <w:t>vmDUS</w:t>
      </w:r>
      <w:proofErr w:type="spellEnd"/>
      <w:r w:rsidR="00632792" w:rsidRPr="00632792">
        <w:t xml:space="preserve"> Proposal</w:t>
      </w:r>
    </w:p>
    <w:p w:rsidR="002D6D18" w:rsidRPr="002D6D18" w:rsidRDefault="002D6D18" w:rsidP="002D6D18">
      <w:pPr>
        <w:rPr>
          <w:rFonts w:eastAsia="Calibri"/>
          <w:lang w:val="en-GB"/>
        </w:rPr>
      </w:pPr>
    </w:p>
    <w:p w:rsidR="00632792" w:rsidRDefault="002D6D18" w:rsidP="002D6D18">
      <w:pPr>
        <w:rPr>
          <w:rFonts w:eastAsia="Calibri"/>
          <w:lang w:val="en-GB"/>
        </w:rPr>
      </w:pPr>
      <w:r>
        <w:rPr>
          <w:rFonts w:eastAsia="Calibri"/>
          <w:lang w:val="en-GB"/>
        </w:rPr>
        <w:t>3.1</w:t>
      </w:r>
      <w:r>
        <w:rPr>
          <w:rFonts w:eastAsia="Calibri"/>
          <w:lang w:val="en-GB"/>
        </w:rPr>
        <w:tab/>
      </w:r>
      <w:r w:rsidR="00632792" w:rsidRPr="00632792">
        <w:rPr>
          <w:rFonts w:eastAsia="Calibri"/>
          <w:lang w:val="en-GB"/>
        </w:rPr>
        <w:t xml:space="preserve">The </w:t>
      </w:r>
      <w:proofErr w:type="spellStart"/>
      <w:r w:rsidR="00632792" w:rsidRPr="00632792">
        <w:rPr>
          <w:rFonts w:eastAsia="Calibri"/>
          <w:lang w:val="en-GB"/>
        </w:rPr>
        <w:t>vmDUS</w:t>
      </w:r>
      <w:proofErr w:type="spellEnd"/>
      <w:r w:rsidR="00632792" w:rsidRPr="00632792">
        <w:rPr>
          <w:rFonts w:eastAsia="Calibri"/>
          <w:lang w:val="en-GB"/>
        </w:rPr>
        <w:t xml:space="preserve"> molecular examination would need to have a UPOV approved pass/fail threshold.  Therefore, in a process that matches the </w:t>
      </w:r>
      <w:proofErr w:type="spellStart"/>
      <w:r w:rsidR="00632792" w:rsidRPr="00632792">
        <w:rPr>
          <w:rFonts w:eastAsia="Calibri"/>
          <w:lang w:val="en-GB"/>
        </w:rPr>
        <w:t>morphophysiological</w:t>
      </w:r>
      <w:proofErr w:type="spellEnd"/>
      <w:r w:rsidR="00632792" w:rsidRPr="00632792">
        <w:rPr>
          <w:rFonts w:eastAsia="Calibri"/>
          <w:lang w:val="en-GB"/>
        </w:rPr>
        <w:t xml:space="preserve"> trait-based distinctness, </w:t>
      </w:r>
      <w:proofErr w:type="spellStart"/>
      <w:r w:rsidR="00632792" w:rsidRPr="00632792">
        <w:rPr>
          <w:rFonts w:eastAsia="Calibri"/>
          <w:lang w:val="en-GB"/>
        </w:rPr>
        <w:t>vmDUS</w:t>
      </w:r>
      <w:proofErr w:type="spellEnd"/>
      <w:r w:rsidR="00632792" w:rsidRPr="00632792">
        <w:rPr>
          <w:rFonts w:eastAsia="Calibri"/>
          <w:lang w:val="en-GB"/>
        </w:rPr>
        <w:t xml:space="preserve"> distinctness could assess the whole set of available markers</w:t>
      </w:r>
      <w:r w:rsidR="00632792" w:rsidRPr="00632792">
        <w:rPr>
          <w:rFonts w:eastAsia="Calibri"/>
          <w:sz w:val="22"/>
          <w:szCs w:val="22"/>
          <w:lang w:val="en-GB"/>
        </w:rPr>
        <w:t xml:space="preserve"> </w:t>
      </w:r>
      <w:r w:rsidR="00632792" w:rsidRPr="00632792">
        <w:rPr>
          <w:rFonts w:eastAsia="Calibri"/>
          <w:lang w:val="en-GB"/>
        </w:rPr>
        <w:t xml:space="preserve">and using a statistical test to express a Type 1 error probability, apply a p&lt;0.01 pass threshold.  For </w:t>
      </w:r>
      <w:proofErr w:type="spellStart"/>
      <w:r w:rsidR="00632792" w:rsidRPr="00632792">
        <w:rPr>
          <w:rFonts w:eastAsia="Calibri"/>
          <w:lang w:val="en-GB"/>
        </w:rPr>
        <w:t>allogamous</w:t>
      </w:r>
      <w:proofErr w:type="spellEnd"/>
      <w:r w:rsidR="00632792" w:rsidRPr="00632792">
        <w:rPr>
          <w:rFonts w:eastAsia="Calibri"/>
          <w:lang w:val="en-GB"/>
        </w:rPr>
        <w:t xml:space="preserve"> species, this </w:t>
      </w:r>
      <w:proofErr w:type="gramStart"/>
      <w:r w:rsidR="00632792" w:rsidRPr="00632792">
        <w:rPr>
          <w:rFonts w:eastAsia="Calibri"/>
          <w:lang w:val="en-GB"/>
        </w:rPr>
        <w:t>could be based</w:t>
      </w:r>
      <w:proofErr w:type="gramEnd"/>
      <w:r w:rsidR="00632792" w:rsidRPr="00632792">
        <w:rPr>
          <w:rFonts w:eastAsia="Calibri"/>
          <w:lang w:val="en-GB"/>
        </w:rPr>
        <w:t xml:space="preserve"> on 3-4 independent bulked DNA samples each from a separate set of plants, applying ANOVA of variety scores on principal components axes or discriminant analysis.  A similarly stringent approach </w:t>
      </w:r>
      <w:proofErr w:type="gramStart"/>
      <w:r w:rsidR="00632792" w:rsidRPr="00632792">
        <w:rPr>
          <w:rFonts w:eastAsia="Calibri"/>
          <w:lang w:val="en-GB"/>
        </w:rPr>
        <w:t>could be applied</w:t>
      </w:r>
      <w:proofErr w:type="gramEnd"/>
      <w:r w:rsidR="00632792" w:rsidRPr="00632792">
        <w:rPr>
          <w:rFonts w:eastAsia="Calibri"/>
          <w:lang w:val="en-GB"/>
        </w:rPr>
        <w:t xml:space="preserve"> to species of different genetic construction </w:t>
      </w:r>
    </w:p>
    <w:p w:rsidR="002D6D18" w:rsidRPr="00632792" w:rsidRDefault="002D6D18" w:rsidP="002D6D18">
      <w:pPr>
        <w:rPr>
          <w:rFonts w:eastAsia="Calibri"/>
          <w:lang w:val="en-GB"/>
        </w:rPr>
      </w:pPr>
    </w:p>
    <w:p w:rsidR="00632792" w:rsidRDefault="002D6D18" w:rsidP="002D6D18">
      <w:pPr>
        <w:rPr>
          <w:rFonts w:eastAsia="Calibri"/>
          <w:lang w:val="en-GB"/>
        </w:rPr>
      </w:pPr>
      <w:r>
        <w:rPr>
          <w:rFonts w:eastAsia="Calibri"/>
          <w:lang w:val="en-GB"/>
        </w:rPr>
        <w:t>3.2</w:t>
      </w:r>
      <w:r>
        <w:rPr>
          <w:rFonts w:eastAsia="Calibri"/>
          <w:lang w:val="en-GB"/>
        </w:rPr>
        <w:tab/>
      </w:r>
      <w:r w:rsidR="00D30F96">
        <w:rPr>
          <w:rFonts w:cs="Arial"/>
          <w:lang w:val="en-GB"/>
        </w:rPr>
        <w:t xml:space="preserve">As an alternative, distinctness </w:t>
      </w:r>
      <w:proofErr w:type="gramStart"/>
      <w:r w:rsidR="00D30F96">
        <w:rPr>
          <w:rFonts w:cs="Arial"/>
          <w:lang w:val="en-GB"/>
        </w:rPr>
        <w:t>could be granted</w:t>
      </w:r>
      <w:proofErr w:type="gramEnd"/>
      <w:r w:rsidR="00D30F96">
        <w:rPr>
          <w:rFonts w:cs="Arial"/>
          <w:lang w:val="en-GB"/>
        </w:rPr>
        <w:t xml:space="preserve"> on the grounds of a minimal threshold of a genetic distance measure, without statistical tests. </w:t>
      </w:r>
      <w:r w:rsidR="00D30F96" w:rsidRPr="00D30F96">
        <w:rPr>
          <w:rFonts w:cs="Arial"/>
          <w:lang w:val="en-GB"/>
        </w:rPr>
        <w:t xml:space="preserve">The proposal would be to explore methods </w:t>
      </w:r>
      <w:proofErr w:type="gramStart"/>
      <w:r w:rsidR="00D30F96" w:rsidRPr="00D30F96">
        <w:rPr>
          <w:rFonts w:cs="Arial"/>
          <w:lang w:val="en-GB"/>
        </w:rPr>
        <w:t>that  follow</w:t>
      </w:r>
      <w:proofErr w:type="gramEnd"/>
      <w:r w:rsidR="00D30F96" w:rsidRPr="00D30F96">
        <w:rPr>
          <w:rFonts w:cs="Arial"/>
          <w:lang w:val="en-GB"/>
        </w:rPr>
        <w:t xml:space="preserve"> similar principles to previously published guidance on marker use to differentiate between convergent and divergent pairings (UPOV 2018).</w:t>
      </w:r>
      <w:r w:rsidR="00C809AE">
        <w:rPr>
          <w:rFonts w:cs="Arial"/>
          <w:lang w:val="en-GB"/>
        </w:rPr>
        <w:t xml:space="preserve"> </w:t>
      </w:r>
      <w:r w:rsidR="00D30F96">
        <w:rPr>
          <w:rFonts w:cs="Arial"/>
          <w:lang w:val="en-GB"/>
        </w:rPr>
        <w:t xml:space="preserve"> Indeed, for species where there is an agreed molecular threshold for EDV, an approved pass standard for the </w:t>
      </w:r>
      <w:proofErr w:type="spellStart"/>
      <w:r w:rsidR="00D30F96">
        <w:rPr>
          <w:rFonts w:cs="Arial"/>
          <w:lang w:val="en-GB"/>
        </w:rPr>
        <w:t>vmDUS</w:t>
      </w:r>
      <w:proofErr w:type="spellEnd"/>
      <w:r w:rsidR="00D30F96">
        <w:rPr>
          <w:rFonts w:cs="Arial"/>
          <w:lang w:val="en-GB"/>
        </w:rPr>
        <w:t xml:space="preserve"> test could be set beyond the EDV threshold, based on the same research evidence. So, for example, the EDV threshold for perennial ryegrass (</w:t>
      </w:r>
      <w:r w:rsidR="00D30F96">
        <w:rPr>
          <w:rFonts w:cs="Arial"/>
          <w:i/>
          <w:iCs/>
          <w:lang w:val="en-GB"/>
        </w:rPr>
        <w:t xml:space="preserve">L. </w:t>
      </w:r>
      <w:proofErr w:type="spellStart"/>
      <w:r w:rsidR="00D30F96">
        <w:rPr>
          <w:rFonts w:cs="Arial"/>
          <w:i/>
          <w:iCs/>
          <w:lang w:val="en-GB"/>
        </w:rPr>
        <w:t>perenne</w:t>
      </w:r>
      <w:proofErr w:type="spellEnd"/>
      <w:r w:rsidR="00D30F96">
        <w:rPr>
          <w:rFonts w:cs="Arial"/>
          <w:lang w:val="en-GB"/>
        </w:rPr>
        <w:t xml:space="preserve"> L.) established by Roldan</w:t>
      </w:r>
      <w:r w:rsidR="00D30F96">
        <w:rPr>
          <w:rFonts w:cs="Arial"/>
          <w:lang w:val="en-GB"/>
        </w:rPr>
        <w:noBreakHyphen/>
        <w:t xml:space="preserve">Ruiz </w:t>
      </w:r>
      <w:r w:rsidR="00D30F96">
        <w:rPr>
          <w:rFonts w:cs="Arial"/>
          <w:i/>
          <w:iCs/>
          <w:lang w:val="en-GB"/>
        </w:rPr>
        <w:t>et al</w:t>
      </w:r>
      <w:r w:rsidR="00D30F96">
        <w:rPr>
          <w:rFonts w:cs="Arial"/>
          <w:lang w:val="en-GB"/>
        </w:rPr>
        <w:t xml:space="preserve"> (2000), which lead to the microsatellite methodology adopted by ISF (2009, 2020), could be directly adapted to this new function. Therefore, when a genetic distance between a registered variety and a candidate variety exceeded an agreed point beyond this EDV threshold, they </w:t>
      </w:r>
      <w:proofErr w:type="gramStart"/>
      <w:r w:rsidR="00D30F96">
        <w:rPr>
          <w:rFonts w:cs="Arial"/>
          <w:lang w:val="en-GB"/>
        </w:rPr>
        <w:t>would be regarded</w:t>
      </w:r>
      <w:proofErr w:type="gramEnd"/>
      <w:r w:rsidR="00D30F96">
        <w:rPr>
          <w:rFonts w:cs="Arial"/>
          <w:lang w:val="en-GB"/>
        </w:rPr>
        <w:t xml:space="preserve"> as being from independent genepools</w:t>
      </w:r>
      <w:r w:rsidR="00632792" w:rsidRPr="00632792">
        <w:rPr>
          <w:rFonts w:eastAsia="Calibri"/>
          <w:lang w:val="en-GB"/>
        </w:rPr>
        <w:t>.</w:t>
      </w:r>
    </w:p>
    <w:p w:rsidR="002D6D18" w:rsidRPr="00632792" w:rsidRDefault="002D6D18" w:rsidP="002D6D18">
      <w:pPr>
        <w:rPr>
          <w:rFonts w:eastAsia="Calibri"/>
          <w:lang w:val="en-GB"/>
        </w:rPr>
      </w:pPr>
    </w:p>
    <w:p w:rsidR="00632792" w:rsidRDefault="002D6D18" w:rsidP="002D6D18">
      <w:pPr>
        <w:rPr>
          <w:rFonts w:eastAsia="Calibri"/>
        </w:rPr>
      </w:pPr>
      <w:r>
        <w:rPr>
          <w:rFonts w:eastAsia="Calibri"/>
          <w:lang w:val="en-GB"/>
        </w:rPr>
        <w:t>3.3</w:t>
      </w:r>
      <w:r>
        <w:rPr>
          <w:rFonts w:eastAsia="Calibri"/>
          <w:lang w:val="en-GB"/>
        </w:rPr>
        <w:tab/>
      </w:r>
      <w:r w:rsidR="00632792" w:rsidRPr="00632792">
        <w:rPr>
          <w:rFonts w:eastAsia="Calibri"/>
          <w:lang w:val="en-GB"/>
        </w:rPr>
        <w:t xml:space="preserve">In species without any thresholds or comprehensive data sets of variety molecular diversity, implementing </w:t>
      </w:r>
      <w:proofErr w:type="spellStart"/>
      <w:r w:rsidR="00632792" w:rsidRPr="00632792">
        <w:rPr>
          <w:rFonts w:eastAsia="Calibri"/>
          <w:lang w:val="en-GB"/>
        </w:rPr>
        <w:t>vmDUS</w:t>
      </w:r>
      <w:proofErr w:type="spellEnd"/>
      <w:r w:rsidR="00632792" w:rsidRPr="00632792">
        <w:rPr>
          <w:rFonts w:eastAsia="Calibri"/>
          <w:lang w:val="en-GB"/>
        </w:rPr>
        <w:t xml:space="preserve"> will require the prior genotyping of the entire reference collection</w:t>
      </w:r>
      <w:r w:rsidR="00632792" w:rsidRPr="00632792">
        <w:rPr>
          <w:rFonts w:eastAsia="Calibri"/>
          <w:sz w:val="22"/>
          <w:szCs w:val="22"/>
          <w:lang w:val="en-GB"/>
        </w:rPr>
        <w:t xml:space="preserve"> </w:t>
      </w:r>
      <w:r w:rsidR="00632792" w:rsidRPr="00632792">
        <w:rPr>
          <w:rFonts w:eastAsia="Calibri"/>
          <w:lang w:val="en-GB"/>
        </w:rPr>
        <w:t xml:space="preserve">and the provision of an easy-to-use marker tool to Registration Offices.  This will likely comprise of some hundred </w:t>
      </w:r>
      <w:proofErr w:type="gramStart"/>
      <w:r w:rsidR="00632792" w:rsidRPr="00632792">
        <w:rPr>
          <w:rFonts w:eastAsia="Calibri"/>
          <w:lang w:val="en-GB"/>
        </w:rPr>
        <w:t>highly-discriminating</w:t>
      </w:r>
      <w:proofErr w:type="gramEnd"/>
      <w:r w:rsidR="00632792" w:rsidRPr="00632792">
        <w:rPr>
          <w:rFonts w:eastAsia="Calibri"/>
          <w:lang w:val="en-GB"/>
        </w:rPr>
        <w:t xml:space="preserve"> SNP </w:t>
      </w:r>
      <w:r w:rsidR="00632792" w:rsidRPr="002D6D18">
        <w:rPr>
          <w:rFonts w:eastAsia="Calibri"/>
        </w:rPr>
        <w:t>markers (such as a small array or a RAD capture tool).  Currently two EU Horizon 2020 projects, INVITE (H2020-SFS-2018-2,</w:t>
      </w:r>
      <w:r w:rsidRPr="002D6D18">
        <w:rPr>
          <w:rFonts w:eastAsia="Calibri"/>
        </w:rPr>
        <w:t xml:space="preserve"> </w:t>
      </w:r>
      <w:r w:rsidR="00632792" w:rsidRPr="002D6D18">
        <w:rPr>
          <w:rFonts w:eastAsia="Calibri"/>
        </w:rPr>
        <w:t xml:space="preserve">www.h2020 -invite.eu) and </w:t>
      </w:r>
      <w:proofErr w:type="spellStart"/>
      <w:r w:rsidR="00632792" w:rsidRPr="002D6D18">
        <w:rPr>
          <w:rFonts w:eastAsia="Calibri"/>
        </w:rPr>
        <w:t>InnoVar</w:t>
      </w:r>
      <w:proofErr w:type="spellEnd"/>
      <w:r w:rsidR="00632792" w:rsidRPr="002D6D18">
        <w:rPr>
          <w:rFonts w:eastAsia="Calibri"/>
        </w:rPr>
        <w:t xml:space="preserve"> (H2020-SFS-2018-29, https://cordis.europa.eu/proje </w:t>
      </w:r>
      <w:proofErr w:type="spellStart"/>
      <w:r w:rsidR="00632792" w:rsidRPr="002D6D18">
        <w:rPr>
          <w:rFonts w:eastAsia="Calibri"/>
        </w:rPr>
        <w:t>ct</w:t>
      </w:r>
      <w:proofErr w:type="spellEnd"/>
      <w:r w:rsidR="00632792" w:rsidRPr="002D6D18">
        <w:rPr>
          <w:rFonts w:eastAsia="Calibri"/>
        </w:rPr>
        <w:t>/</w:t>
      </w:r>
      <w:proofErr w:type="spellStart"/>
      <w:r w:rsidR="00632792" w:rsidRPr="002D6D18">
        <w:rPr>
          <w:rFonts w:eastAsia="Calibri"/>
        </w:rPr>
        <w:t>rcn</w:t>
      </w:r>
      <w:proofErr w:type="spellEnd"/>
      <w:r w:rsidR="00632792" w:rsidRPr="002D6D18">
        <w:rPr>
          <w:rFonts w:eastAsia="Calibri"/>
        </w:rPr>
        <w:t xml:space="preserve">/22322 3/facts </w:t>
      </w:r>
      <w:proofErr w:type="spellStart"/>
      <w:r w:rsidR="00632792" w:rsidRPr="002D6D18">
        <w:rPr>
          <w:rFonts w:eastAsia="Calibri"/>
        </w:rPr>
        <w:t>heet</w:t>
      </w:r>
      <w:proofErr w:type="spellEnd"/>
      <w:r w:rsidR="00632792" w:rsidRPr="002D6D18">
        <w:rPr>
          <w:rFonts w:eastAsia="Calibri"/>
        </w:rPr>
        <w:t xml:space="preserve">/en) are scoping the definition of such a tool for several species, including </w:t>
      </w:r>
      <w:proofErr w:type="spellStart"/>
      <w:r w:rsidR="00632792" w:rsidRPr="002D6D18">
        <w:rPr>
          <w:rFonts w:eastAsia="Calibri"/>
        </w:rPr>
        <w:t>lucerne</w:t>
      </w:r>
      <w:proofErr w:type="spellEnd"/>
      <w:r w:rsidR="00632792" w:rsidRPr="002D6D18">
        <w:rPr>
          <w:rFonts w:eastAsia="Calibri"/>
        </w:rPr>
        <w:t xml:space="preserve"> and perennial ryegrass.  A more detailed description of the </w:t>
      </w:r>
      <w:proofErr w:type="spellStart"/>
      <w:r w:rsidR="00632792" w:rsidRPr="002D6D18">
        <w:rPr>
          <w:rFonts w:eastAsia="Calibri"/>
        </w:rPr>
        <w:t>vmDUS</w:t>
      </w:r>
      <w:proofErr w:type="spellEnd"/>
      <w:r w:rsidR="00632792" w:rsidRPr="002D6D18">
        <w:rPr>
          <w:rFonts w:eastAsia="Calibri"/>
        </w:rPr>
        <w:t xml:space="preserve"> concept has been peer-review published by Gilliland </w:t>
      </w:r>
      <w:r w:rsidR="00632792" w:rsidRPr="002D6D18">
        <w:rPr>
          <w:rFonts w:eastAsia="Calibri"/>
          <w:i/>
        </w:rPr>
        <w:t>et al</w:t>
      </w:r>
      <w:r w:rsidR="00632792" w:rsidRPr="002D6D18">
        <w:rPr>
          <w:rFonts w:eastAsia="Calibri"/>
        </w:rPr>
        <w:t xml:space="preserve"> (2020).</w:t>
      </w:r>
    </w:p>
    <w:p w:rsidR="002D6D18" w:rsidRPr="002D6D18" w:rsidRDefault="002D6D18" w:rsidP="002D6D18">
      <w:pPr>
        <w:rPr>
          <w:rFonts w:eastAsia="Calibri"/>
        </w:rPr>
      </w:pPr>
    </w:p>
    <w:p w:rsidR="00632792" w:rsidRDefault="002D6D18" w:rsidP="002D6D18">
      <w:pPr>
        <w:pStyle w:val="Heading2"/>
      </w:pPr>
      <w:r>
        <w:t>4.</w:t>
      </w:r>
      <w:r>
        <w:tab/>
      </w:r>
      <w:r w:rsidR="00632792" w:rsidRPr="002D6D18">
        <w:t>Summary</w:t>
      </w:r>
    </w:p>
    <w:p w:rsidR="002D6D18" w:rsidRPr="002D6D18" w:rsidRDefault="002D6D18" w:rsidP="002D6D18">
      <w:pPr>
        <w:rPr>
          <w:lang w:val="en-GB"/>
        </w:rPr>
      </w:pPr>
    </w:p>
    <w:p w:rsidR="00632792" w:rsidRDefault="00632792" w:rsidP="002D6D18">
      <w:pPr>
        <w:rPr>
          <w:rFonts w:eastAsia="Calibri"/>
          <w:lang w:val="en-GB"/>
        </w:rPr>
      </w:pPr>
      <w:r w:rsidRPr="00632792">
        <w:rPr>
          <w:rFonts w:eastAsia="Calibri"/>
          <w:lang w:val="en-GB"/>
        </w:rPr>
        <w:t>4.1</w:t>
      </w:r>
      <w:r w:rsidR="002D6D18">
        <w:rPr>
          <w:rFonts w:eastAsia="Calibri"/>
          <w:lang w:val="en-GB"/>
        </w:rPr>
        <w:tab/>
      </w:r>
      <w:r w:rsidRPr="00632792">
        <w:rPr>
          <w:rFonts w:eastAsia="Calibri"/>
          <w:lang w:val="en-GB"/>
        </w:rPr>
        <w:t xml:space="preserve">First and foremost, the </w:t>
      </w:r>
      <w:proofErr w:type="spellStart"/>
      <w:r w:rsidRPr="00632792">
        <w:rPr>
          <w:rFonts w:eastAsia="Calibri"/>
          <w:lang w:val="en-GB"/>
        </w:rPr>
        <w:t>vmDUS</w:t>
      </w:r>
      <w:proofErr w:type="spellEnd"/>
      <w:r w:rsidRPr="00632792">
        <w:rPr>
          <w:rFonts w:eastAsia="Calibri"/>
          <w:lang w:val="en-GB"/>
        </w:rPr>
        <w:t xml:space="preserve"> proposal accepts that PBR must protect the commercial investment imbedded in existing registered </w:t>
      </w:r>
      <w:r w:rsidR="00926749">
        <w:rPr>
          <w:rFonts w:eastAsia="Calibri"/>
          <w:lang w:val="en-GB"/>
        </w:rPr>
        <w:t>varieties</w:t>
      </w:r>
      <w:r w:rsidRPr="00632792">
        <w:rPr>
          <w:rFonts w:eastAsia="Calibri"/>
          <w:lang w:val="en-GB"/>
        </w:rPr>
        <w:t xml:space="preserve"> and so candidates that are not ‘unique’ and ‘improved’ are correctly barred from registration.  However, when the currently approved </w:t>
      </w:r>
      <w:proofErr w:type="spellStart"/>
      <w:r w:rsidRPr="00632792">
        <w:rPr>
          <w:rFonts w:eastAsia="Calibri"/>
          <w:lang w:val="en-GB"/>
        </w:rPr>
        <w:t>morphophysiological</w:t>
      </w:r>
      <w:proofErr w:type="spellEnd"/>
      <w:r w:rsidRPr="00632792">
        <w:rPr>
          <w:rFonts w:eastAsia="Calibri"/>
          <w:lang w:val="en-GB"/>
        </w:rPr>
        <w:t xml:space="preserve"> DUS tests reject the registration of significantly higher performing candidates, the UPOV process is infringing its own core objective of promoting genetic improvement.  Therefore, it is vital that UPOV acts to remove any unjust impediments to genetic gain that penalise breeders, growers and end-users.</w:t>
      </w:r>
    </w:p>
    <w:p w:rsidR="002D6D18" w:rsidRPr="00632792" w:rsidRDefault="002D6D18" w:rsidP="002D6D18">
      <w:pPr>
        <w:rPr>
          <w:rFonts w:eastAsia="Calibri"/>
          <w:lang w:val="en-GB"/>
        </w:rPr>
      </w:pPr>
    </w:p>
    <w:p w:rsidR="00632792" w:rsidRDefault="00632792" w:rsidP="002D6D18">
      <w:pPr>
        <w:rPr>
          <w:rFonts w:eastAsia="Calibri"/>
          <w:lang w:val="en-GB"/>
        </w:rPr>
      </w:pPr>
      <w:r w:rsidRPr="00632792">
        <w:rPr>
          <w:rFonts w:eastAsia="Calibri"/>
          <w:lang w:val="en-GB"/>
        </w:rPr>
        <w:t>4.2</w:t>
      </w:r>
      <w:r w:rsidRPr="00632792">
        <w:rPr>
          <w:rFonts w:eastAsia="Calibri"/>
          <w:lang w:val="en-GB"/>
        </w:rPr>
        <w:tab/>
        <w:t xml:space="preserve">As </w:t>
      </w:r>
      <w:proofErr w:type="spellStart"/>
      <w:r w:rsidRPr="00632792">
        <w:rPr>
          <w:rFonts w:eastAsia="Calibri"/>
          <w:lang w:val="en-GB"/>
        </w:rPr>
        <w:t>morphophysiological</w:t>
      </w:r>
      <w:proofErr w:type="spellEnd"/>
      <w:r w:rsidRPr="00632792">
        <w:rPr>
          <w:rFonts w:eastAsia="Calibri"/>
          <w:lang w:val="en-GB"/>
        </w:rPr>
        <w:t xml:space="preserve"> DUS character testing </w:t>
      </w:r>
      <w:proofErr w:type="gramStart"/>
      <w:r w:rsidRPr="00632792">
        <w:rPr>
          <w:rFonts w:eastAsia="Calibri"/>
          <w:lang w:val="en-GB"/>
        </w:rPr>
        <w:t>can’t</w:t>
      </w:r>
      <w:proofErr w:type="gramEnd"/>
      <w:r w:rsidRPr="00632792">
        <w:rPr>
          <w:rFonts w:eastAsia="Calibri"/>
          <w:lang w:val="en-GB"/>
        </w:rPr>
        <w:t xml:space="preserve"> differentiate divergence from convergence, molecular markers are currently the only option to resolve the present anomaly.  As described, the </w:t>
      </w:r>
      <w:proofErr w:type="spellStart"/>
      <w:r w:rsidRPr="00632792">
        <w:rPr>
          <w:rFonts w:eastAsia="Calibri"/>
          <w:lang w:val="en-GB"/>
        </w:rPr>
        <w:t>vmDUS</w:t>
      </w:r>
      <w:proofErr w:type="spellEnd"/>
      <w:r w:rsidRPr="00632792">
        <w:rPr>
          <w:rFonts w:eastAsia="Calibri"/>
          <w:lang w:val="en-GB"/>
        </w:rPr>
        <w:t xml:space="preserve"> decision processes are designed to differentiate between true breeding and plagiaristic exploitation of a protected </w:t>
      </w:r>
      <w:r w:rsidR="00926749">
        <w:rPr>
          <w:rFonts w:eastAsia="Calibri"/>
          <w:lang w:val="en-GB"/>
        </w:rPr>
        <w:t>variety</w:t>
      </w:r>
      <w:r w:rsidRPr="00632792">
        <w:rPr>
          <w:rFonts w:eastAsia="Calibri"/>
          <w:lang w:val="en-GB"/>
        </w:rPr>
        <w:t xml:space="preserve">.  If adopted, </w:t>
      </w:r>
      <w:proofErr w:type="spellStart"/>
      <w:r w:rsidRPr="00632792">
        <w:rPr>
          <w:rFonts w:eastAsia="Calibri"/>
          <w:lang w:val="en-GB"/>
        </w:rPr>
        <w:t>vmDUS</w:t>
      </w:r>
      <w:proofErr w:type="spellEnd"/>
      <w:r w:rsidRPr="00632792">
        <w:rPr>
          <w:rFonts w:eastAsia="Calibri"/>
          <w:lang w:val="en-GB"/>
        </w:rPr>
        <w:t xml:space="preserve"> would be the first time that evidence of a statistical improvement in a variety’s ‘value’ </w:t>
      </w:r>
      <w:proofErr w:type="gramStart"/>
      <w:r w:rsidRPr="00632792">
        <w:rPr>
          <w:rFonts w:eastAsia="Calibri"/>
          <w:lang w:val="en-GB"/>
        </w:rPr>
        <w:t>was used</w:t>
      </w:r>
      <w:proofErr w:type="gramEnd"/>
      <w:r w:rsidRPr="00632792">
        <w:rPr>
          <w:rFonts w:eastAsia="Calibri"/>
          <w:lang w:val="en-GB"/>
        </w:rPr>
        <w:t xml:space="preserve"> to justify a specific test for awarding PBR.  Once a </w:t>
      </w:r>
      <w:proofErr w:type="spellStart"/>
      <w:r w:rsidRPr="00632792">
        <w:rPr>
          <w:rFonts w:eastAsia="Calibri"/>
          <w:lang w:val="en-GB"/>
        </w:rPr>
        <w:t>vmDUS</w:t>
      </w:r>
      <w:proofErr w:type="spellEnd"/>
      <w:r w:rsidRPr="00632792">
        <w:rPr>
          <w:rFonts w:eastAsia="Calibri"/>
          <w:lang w:val="en-GB"/>
        </w:rPr>
        <w:t xml:space="preserve"> distinction </w:t>
      </w:r>
      <w:proofErr w:type="gramStart"/>
      <w:r w:rsidRPr="00632792">
        <w:rPr>
          <w:rFonts w:eastAsia="Calibri"/>
          <w:lang w:val="en-GB"/>
        </w:rPr>
        <w:t>is achieved</w:t>
      </w:r>
      <w:proofErr w:type="gramEnd"/>
      <w:r w:rsidRPr="00632792">
        <w:rPr>
          <w:rFonts w:eastAsia="Calibri"/>
          <w:lang w:val="en-GB"/>
        </w:rPr>
        <w:t xml:space="preserve">, that molecular identity would form part of the description of the newly registered variety.  However, due to the safety lock requirement for evidence of a statistically significant improvement in value, </w:t>
      </w:r>
      <w:proofErr w:type="spellStart"/>
      <w:r w:rsidRPr="00632792">
        <w:rPr>
          <w:rFonts w:eastAsia="Calibri"/>
          <w:lang w:val="en-GB"/>
        </w:rPr>
        <w:t>vmDUS</w:t>
      </w:r>
      <w:proofErr w:type="spellEnd"/>
      <w:r w:rsidRPr="00632792">
        <w:rPr>
          <w:rFonts w:eastAsia="Calibri"/>
          <w:lang w:val="en-GB"/>
        </w:rPr>
        <w:t xml:space="preserve"> </w:t>
      </w:r>
      <w:proofErr w:type="gramStart"/>
      <w:r w:rsidRPr="00632792">
        <w:rPr>
          <w:rFonts w:eastAsia="Calibri"/>
          <w:lang w:val="en-GB"/>
        </w:rPr>
        <w:t>can be implemented</w:t>
      </w:r>
      <w:proofErr w:type="gramEnd"/>
      <w:r w:rsidRPr="00632792">
        <w:rPr>
          <w:rFonts w:eastAsia="Calibri"/>
          <w:lang w:val="en-GB"/>
        </w:rPr>
        <w:t xml:space="preserve"> without setting a prescient that automatically leads to a wider use of molecular markers in distinctness testing. </w:t>
      </w:r>
    </w:p>
    <w:p w:rsidR="002D6D18" w:rsidRPr="00632792" w:rsidRDefault="002D6D18" w:rsidP="002D6D18">
      <w:pPr>
        <w:rPr>
          <w:rFonts w:eastAsia="Calibri"/>
          <w:lang w:val="en-GB"/>
        </w:rPr>
      </w:pPr>
    </w:p>
    <w:p w:rsidR="00632792" w:rsidRDefault="002D6D18" w:rsidP="002D6D18">
      <w:pPr>
        <w:pStyle w:val="Heading2"/>
      </w:pPr>
      <w:r>
        <w:t>5.</w:t>
      </w:r>
      <w:r>
        <w:tab/>
      </w:r>
      <w:r w:rsidR="00632792" w:rsidRPr="00632792">
        <w:t>References</w:t>
      </w:r>
    </w:p>
    <w:p w:rsidR="002D6D18" w:rsidRPr="002D6D18" w:rsidRDefault="002D6D18" w:rsidP="002D6D18">
      <w:pPr>
        <w:rPr>
          <w:rFonts w:eastAsia="Calibri"/>
          <w:lang w:val="en-GB"/>
        </w:rPr>
      </w:pPr>
    </w:p>
    <w:p w:rsidR="00632792" w:rsidRDefault="00632792" w:rsidP="002D6D18">
      <w:pPr>
        <w:rPr>
          <w:rFonts w:eastAsia="Calibri"/>
          <w:color w:val="0000FF"/>
          <w:u w:val="single"/>
          <w:lang w:val="en-GB"/>
        </w:rPr>
      </w:pPr>
      <w:r w:rsidRPr="00632792">
        <w:rPr>
          <w:rFonts w:eastAsia="Calibri"/>
          <w:lang w:val="en-GB"/>
        </w:rPr>
        <w:t xml:space="preserve">BMT/16/17. (2017). Use of GBS for </w:t>
      </w:r>
      <w:proofErr w:type="spellStart"/>
      <w:r w:rsidRPr="00632792">
        <w:rPr>
          <w:rFonts w:eastAsia="Calibri"/>
          <w:lang w:val="en-GB"/>
        </w:rPr>
        <w:t>lucerne</w:t>
      </w:r>
      <w:proofErr w:type="spellEnd"/>
      <w:r w:rsidRPr="00632792">
        <w:rPr>
          <w:rFonts w:eastAsia="Calibri"/>
          <w:lang w:val="en-GB"/>
        </w:rPr>
        <w:t xml:space="preserve"> variety distinctness. </w:t>
      </w:r>
      <w:proofErr w:type="spellStart"/>
      <w:r w:rsidRPr="00632792">
        <w:rPr>
          <w:rFonts w:eastAsia="Calibri"/>
          <w:lang w:val="en-GB"/>
        </w:rPr>
        <w:t>Julier</w:t>
      </w:r>
      <w:proofErr w:type="spellEnd"/>
      <w:r w:rsidRPr="00632792">
        <w:rPr>
          <w:rFonts w:eastAsia="Calibri"/>
          <w:lang w:val="en-GB"/>
        </w:rPr>
        <w:t xml:space="preserve">, B., Barre, P., </w:t>
      </w:r>
      <w:proofErr w:type="spellStart"/>
      <w:r w:rsidRPr="00632792">
        <w:rPr>
          <w:rFonts w:eastAsia="Calibri"/>
          <w:lang w:val="en-GB"/>
        </w:rPr>
        <w:t>Lambroni</w:t>
      </w:r>
      <w:proofErr w:type="spellEnd"/>
      <w:r w:rsidRPr="00632792">
        <w:rPr>
          <w:rFonts w:eastAsia="Calibri"/>
          <w:lang w:val="en-GB"/>
        </w:rPr>
        <w:t xml:space="preserve">, P., Delaunay, S., </w:t>
      </w:r>
      <w:proofErr w:type="spellStart"/>
      <w:r w:rsidRPr="00632792">
        <w:rPr>
          <w:rFonts w:eastAsia="Calibri"/>
          <w:lang w:val="en-GB"/>
        </w:rPr>
        <w:t>Thomasset</w:t>
      </w:r>
      <w:proofErr w:type="spellEnd"/>
      <w:r w:rsidRPr="00632792">
        <w:rPr>
          <w:rFonts w:eastAsia="Calibri"/>
          <w:lang w:val="en-GB"/>
        </w:rPr>
        <w:t xml:space="preserve">, M., </w:t>
      </w:r>
      <w:proofErr w:type="spellStart"/>
      <w:r w:rsidRPr="00632792">
        <w:rPr>
          <w:rFonts w:eastAsia="Calibri"/>
          <w:lang w:val="en-GB"/>
        </w:rPr>
        <w:t>Lafaillette</w:t>
      </w:r>
      <w:proofErr w:type="spellEnd"/>
      <w:r w:rsidRPr="00632792">
        <w:rPr>
          <w:rFonts w:eastAsia="Calibri"/>
          <w:lang w:val="en-GB"/>
        </w:rPr>
        <w:t xml:space="preserve">, F., &amp; </w:t>
      </w:r>
      <w:proofErr w:type="spellStart"/>
      <w:r w:rsidRPr="00632792">
        <w:rPr>
          <w:rFonts w:eastAsia="Calibri"/>
          <w:lang w:val="en-GB"/>
        </w:rPr>
        <w:t>Gensollen</w:t>
      </w:r>
      <w:proofErr w:type="spellEnd"/>
      <w:r w:rsidRPr="00632792">
        <w:rPr>
          <w:rFonts w:eastAsia="Calibri"/>
          <w:lang w:val="en-GB"/>
        </w:rPr>
        <w:t xml:space="preserve">, V. (authors), Working Group on Biochemical and Molecular Techniques and DNA Profiling in Particular. La Rochelle, France, November 7 to November 10, 2017. Retrieved from </w:t>
      </w:r>
      <w:hyperlink r:id="rId11" w:history="1">
        <w:r w:rsidRPr="00632792">
          <w:rPr>
            <w:rFonts w:eastAsia="Calibri"/>
            <w:color w:val="0000FF"/>
            <w:u w:val="single"/>
            <w:lang w:val="en-GB"/>
          </w:rPr>
          <w:t>http://www.upov.int/edocs/mdocs/upov/en/bmt_16/bmt_16_17.pdf</w:t>
        </w:r>
      </w:hyperlink>
    </w:p>
    <w:p w:rsidR="002D6D18" w:rsidRPr="00632792" w:rsidRDefault="002D6D18" w:rsidP="002D6D18">
      <w:pPr>
        <w:rPr>
          <w:rFonts w:eastAsia="Calibri"/>
          <w:lang w:val="en-GB"/>
        </w:rPr>
      </w:pPr>
    </w:p>
    <w:p w:rsidR="00632792" w:rsidRDefault="00632792" w:rsidP="002D6D18">
      <w:pPr>
        <w:rPr>
          <w:rFonts w:eastAsia="Calibri"/>
          <w:color w:val="0000FF"/>
          <w:u w:val="single"/>
          <w:lang w:val="en-GB"/>
        </w:rPr>
      </w:pPr>
      <w:r w:rsidRPr="00632792">
        <w:rPr>
          <w:rFonts w:eastAsia="Calibri"/>
          <w:lang w:val="en-GB"/>
        </w:rPr>
        <w:t xml:space="preserve">Byrne, N., Gilliland, T. J., McHugh, N., </w:t>
      </w:r>
      <w:proofErr w:type="spellStart"/>
      <w:r w:rsidRPr="00632792">
        <w:rPr>
          <w:rFonts w:eastAsia="Calibri"/>
          <w:lang w:val="en-GB"/>
        </w:rPr>
        <w:t>Delaby</w:t>
      </w:r>
      <w:proofErr w:type="spellEnd"/>
      <w:r w:rsidRPr="00632792">
        <w:rPr>
          <w:rFonts w:eastAsia="Calibri"/>
          <w:lang w:val="en-GB"/>
        </w:rPr>
        <w:t xml:space="preserve">, L., </w:t>
      </w:r>
      <w:proofErr w:type="spellStart"/>
      <w:r w:rsidRPr="00632792">
        <w:rPr>
          <w:rFonts w:eastAsia="Calibri"/>
          <w:lang w:val="en-GB"/>
        </w:rPr>
        <w:t>Geoghegan</w:t>
      </w:r>
      <w:proofErr w:type="spellEnd"/>
      <w:r w:rsidRPr="00632792">
        <w:rPr>
          <w:rFonts w:eastAsia="Calibri"/>
          <w:lang w:val="en-GB"/>
        </w:rPr>
        <w:t xml:space="preserve">, A., &amp; O'Donovan, M. (2017). Establishing phenotypic performance of grass varieties on Irish grassland farms. Journal of Agricultural Science, 155, 1633–1645. </w:t>
      </w:r>
      <w:hyperlink r:id="rId12" w:history="1">
        <w:r w:rsidRPr="00632792">
          <w:rPr>
            <w:rFonts w:eastAsia="Calibri"/>
            <w:color w:val="0000FF"/>
            <w:u w:val="single"/>
            <w:lang w:val="en-GB"/>
          </w:rPr>
          <w:t>https://doi.org/10.1017/S0021 85961 7000740</w:t>
        </w:r>
      </w:hyperlink>
    </w:p>
    <w:p w:rsidR="002D6D18" w:rsidRPr="00632792" w:rsidRDefault="002D6D18" w:rsidP="002D6D18">
      <w:pPr>
        <w:rPr>
          <w:rFonts w:eastAsia="Calibri"/>
          <w:lang w:val="en-GB"/>
        </w:rPr>
      </w:pPr>
    </w:p>
    <w:p w:rsidR="00632792" w:rsidRDefault="00632792" w:rsidP="002D6D18">
      <w:pPr>
        <w:rPr>
          <w:rFonts w:eastAsia="Calibri"/>
          <w:lang w:val="en-GB"/>
        </w:rPr>
      </w:pPr>
      <w:r w:rsidRPr="00613E10">
        <w:rPr>
          <w:rFonts w:eastAsia="Calibri"/>
          <w:lang w:val="de-DE"/>
        </w:rPr>
        <w:t xml:space="preserve">Gilliland, T. J., &amp; </w:t>
      </w:r>
      <w:proofErr w:type="spellStart"/>
      <w:r w:rsidRPr="00613E10">
        <w:rPr>
          <w:rFonts w:eastAsia="Calibri"/>
          <w:lang w:val="de-DE"/>
        </w:rPr>
        <w:t>Gensollen</w:t>
      </w:r>
      <w:proofErr w:type="spellEnd"/>
      <w:r w:rsidRPr="00613E10">
        <w:rPr>
          <w:rFonts w:eastAsia="Calibri"/>
          <w:lang w:val="de-DE"/>
        </w:rPr>
        <w:t xml:space="preserve">, V. (2010). </w:t>
      </w:r>
      <w:r w:rsidRPr="00632792">
        <w:rPr>
          <w:rFonts w:eastAsia="Calibri"/>
          <w:lang w:val="en-GB"/>
        </w:rPr>
        <w:t xml:space="preserve">Review of the protocols used for assessment of DUS and VCU in Europe-perspectives. In C. </w:t>
      </w:r>
      <w:proofErr w:type="spellStart"/>
      <w:r w:rsidRPr="00632792">
        <w:rPr>
          <w:rFonts w:eastAsia="Calibri"/>
          <w:lang w:val="en-GB"/>
        </w:rPr>
        <w:t>Huyghe</w:t>
      </w:r>
      <w:proofErr w:type="spellEnd"/>
      <w:r w:rsidRPr="00632792">
        <w:rPr>
          <w:rFonts w:eastAsia="Calibri"/>
          <w:lang w:val="en-GB"/>
        </w:rPr>
        <w:t xml:space="preserve"> (Ed.), Sustainable use of genetic diversity in forage and turf breeding (pp. 261–275). Dordrecht, </w:t>
      </w:r>
      <w:proofErr w:type="gramStart"/>
      <w:r w:rsidRPr="00632792">
        <w:rPr>
          <w:rFonts w:eastAsia="Calibri"/>
          <w:lang w:val="en-GB"/>
        </w:rPr>
        <w:t>The</w:t>
      </w:r>
      <w:proofErr w:type="gramEnd"/>
      <w:r w:rsidRPr="00632792">
        <w:rPr>
          <w:rFonts w:eastAsia="Calibri"/>
          <w:lang w:val="en-GB"/>
        </w:rPr>
        <w:t xml:space="preserve"> Netherlands: Springer. </w:t>
      </w:r>
    </w:p>
    <w:p w:rsidR="002D6D18" w:rsidRPr="00632792" w:rsidRDefault="002D6D18" w:rsidP="002D6D18">
      <w:pPr>
        <w:rPr>
          <w:rFonts w:eastAsia="Calibri"/>
          <w:lang w:val="en-GB"/>
        </w:rPr>
      </w:pPr>
    </w:p>
    <w:p w:rsidR="00632792" w:rsidRPr="00632792" w:rsidRDefault="00632792" w:rsidP="002D6D18">
      <w:pPr>
        <w:rPr>
          <w:rFonts w:eastAsia="Calibri"/>
          <w:lang w:val="en-GB"/>
        </w:rPr>
      </w:pPr>
      <w:r w:rsidRPr="00632792">
        <w:rPr>
          <w:rFonts w:eastAsia="Calibri"/>
          <w:lang w:val="en-GB"/>
        </w:rPr>
        <w:t xml:space="preserve">Gilliland, T. J., Annicchiarico, P., </w:t>
      </w:r>
      <w:proofErr w:type="spellStart"/>
      <w:r w:rsidRPr="00632792">
        <w:rPr>
          <w:rFonts w:eastAsia="Calibri"/>
          <w:lang w:val="en-GB"/>
        </w:rPr>
        <w:t>Julier</w:t>
      </w:r>
      <w:proofErr w:type="spellEnd"/>
      <w:r w:rsidRPr="00632792">
        <w:rPr>
          <w:rFonts w:eastAsia="Calibri"/>
          <w:lang w:val="en-GB"/>
        </w:rPr>
        <w:t xml:space="preserve">, B. and </w:t>
      </w:r>
      <w:proofErr w:type="spellStart"/>
      <w:r w:rsidRPr="00632792">
        <w:rPr>
          <w:rFonts w:eastAsia="Calibri"/>
          <w:lang w:val="en-GB"/>
        </w:rPr>
        <w:t>Ghesquière</w:t>
      </w:r>
      <w:proofErr w:type="spellEnd"/>
      <w:r w:rsidRPr="00632792">
        <w:rPr>
          <w:rFonts w:eastAsia="Calibri"/>
          <w:lang w:val="en-GB"/>
        </w:rPr>
        <w:t xml:space="preserve">, M. (2020). A proposal for enhanced EU herbage VCU and DUS testing procedures. Grass and Forage Science, Accepted: 31 May 2020 and published online at </w:t>
      </w:r>
      <w:hyperlink r:id="rId13" w:history="1">
        <w:r w:rsidRPr="00632792">
          <w:rPr>
            <w:rFonts w:eastAsia="Calibri"/>
            <w:color w:val="0000FF"/>
            <w:u w:val="single"/>
            <w:lang w:val="en-GB"/>
          </w:rPr>
          <w:t>https://doi.org/10.1111/gfs.12492</w:t>
        </w:r>
      </w:hyperlink>
    </w:p>
    <w:p w:rsidR="00632792" w:rsidRDefault="00632792" w:rsidP="002D6D18">
      <w:pPr>
        <w:rPr>
          <w:rFonts w:eastAsia="Calibri"/>
          <w:lang w:val="en-GB"/>
        </w:rPr>
      </w:pPr>
      <w:r w:rsidRPr="00632792">
        <w:rPr>
          <w:rFonts w:eastAsia="Calibri"/>
          <w:lang w:val="en-GB"/>
        </w:rPr>
        <w:t xml:space="preserve">ISF. (2009). International seed federation, guidelines for handling a dispute on essential derivation in ryegrass. Retrieved from </w:t>
      </w:r>
      <w:hyperlink r:id="rId14" w:history="1">
        <w:r w:rsidRPr="00632792">
          <w:rPr>
            <w:rFonts w:eastAsia="Calibri"/>
            <w:color w:val="0000FF"/>
            <w:u w:val="single"/>
            <w:lang w:val="en-GB"/>
          </w:rPr>
          <w:t>www.worldseed.org/wp-content/uploads/2015/10/Guide lines_EDV_Ryegrass_Nov_2009.pdf</w:t>
        </w:r>
      </w:hyperlink>
      <w:r w:rsidRPr="00632792">
        <w:rPr>
          <w:rFonts w:eastAsia="Calibri"/>
          <w:lang w:val="en-GB"/>
        </w:rPr>
        <w:t>.</w:t>
      </w:r>
    </w:p>
    <w:p w:rsidR="002D6D18" w:rsidRPr="00632792" w:rsidRDefault="002D6D18" w:rsidP="002D6D18">
      <w:pPr>
        <w:rPr>
          <w:rFonts w:eastAsia="Calibri"/>
          <w:lang w:val="en-GB"/>
        </w:rPr>
      </w:pPr>
    </w:p>
    <w:p w:rsidR="00632792" w:rsidRDefault="00632792" w:rsidP="002D6D18">
      <w:pPr>
        <w:rPr>
          <w:rFonts w:eastAsia="Calibri"/>
          <w:color w:val="0000FF"/>
          <w:u w:val="single"/>
          <w:lang w:val="en-GB"/>
        </w:rPr>
      </w:pPr>
      <w:r w:rsidRPr="00632792">
        <w:rPr>
          <w:rFonts w:eastAsia="Calibri"/>
          <w:lang w:val="en-GB"/>
        </w:rPr>
        <w:t>Liu, X. P., &amp; Yu, L. X. (2017). Genome-Wide Association Mapping of Loci Associated with Plant Growth and Forage Production under Salt Stress in Alfalfa (</w:t>
      </w:r>
      <w:proofErr w:type="spellStart"/>
      <w:r w:rsidRPr="00632792">
        <w:rPr>
          <w:rFonts w:eastAsia="Calibri"/>
          <w:lang w:val="en-GB"/>
        </w:rPr>
        <w:t>Medicago</w:t>
      </w:r>
      <w:proofErr w:type="spellEnd"/>
      <w:r w:rsidRPr="00632792">
        <w:rPr>
          <w:rFonts w:eastAsia="Calibri"/>
          <w:lang w:val="en-GB"/>
        </w:rPr>
        <w:t xml:space="preserve"> </w:t>
      </w:r>
      <w:proofErr w:type="spellStart"/>
      <w:r w:rsidRPr="00632792">
        <w:rPr>
          <w:rFonts w:eastAsia="Calibri"/>
          <w:lang w:val="en-GB"/>
        </w:rPr>
        <w:t>sativa</w:t>
      </w:r>
      <w:proofErr w:type="spellEnd"/>
      <w:r w:rsidRPr="00632792">
        <w:rPr>
          <w:rFonts w:eastAsia="Calibri"/>
          <w:lang w:val="en-GB"/>
        </w:rPr>
        <w:t xml:space="preserve"> L.). Frontiers in Plant Science, 8, 1–13. </w:t>
      </w:r>
      <w:hyperlink r:id="rId15" w:history="1">
        <w:r w:rsidRPr="00632792">
          <w:rPr>
            <w:rFonts w:eastAsia="Calibri"/>
            <w:color w:val="0000FF"/>
            <w:u w:val="single"/>
            <w:lang w:val="en-GB"/>
          </w:rPr>
          <w:t>https://doi.org/10.3389/fpls.2017.00853BMT/16/17,2017</w:t>
        </w:r>
      </w:hyperlink>
    </w:p>
    <w:p w:rsidR="002D6D18" w:rsidRPr="00632792" w:rsidRDefault="002D6D18" w:rsidP="002D6D18">
      <w:pPr>
        <w:rPr>
          <w:rFonts w:eastAsia="Calibri"/>
          <w:lang w:val="en-GB"/>
        </w:rPr>
      </w:pPr>
    </w:p>
    <w:p w:rsidR="00632792" w:rsidRDefault="00632792" w:rsidP="002D6D18">
      <w:pPr>
        <w:rPr>
          <w:rFonts w:eastAsia="Calibri"/>
          <w:color w:val="0000FF"/>
          <w:u w:val="single"/>
          <w:lang w:val="en-GB"/>
        </w:rPr>
      </w:pPr>
      <w:r w:rsidRPr="004239EB">
        <w:rPr>
          <w:rFonts w:eastAsia="Calibri"/>
        </w:rPr>
        <w:t xml:space="preserve">Roldan-Ruiz, I., </w:t>
      </w:r>
      <w:proofErr w:type="spellStart"/>
      <w:r w:rsidRPr="004239EB">
        <w:rPr>
          <w:rFonts w:eastAsia="Calibri"/>
        </w:rPr>
        <w:t>Calsyn</w:t>
      </w:r>
      <w:proofErr w:type="spellEnd"/>
      <w:r w:rsidRPr="004239EB">
        <w:rPr>
          <w:rFonts w:eastAsia="Calibri"/>
        </w:rPr>
        <w:t xml:space="preserve">, E., Gilliland, T. J., </w:t>
      </w:r>
      <w:proofErr w:type="spellStart"/>
      <w:r w:rsidRPr="004239EB">
        <w:rPr>
          <w:rFonts w:eastAsia="Calibri"/>
        </w:rPr>
        <w:t>Coll</w:t>
      </w:r>
      <w:proofErr w:type="spellEnd"/>
      <w:r w:rsidRPr="004239EB">
        <w:rPr>
          <w:rFonts w:eastAsia="Calibri"/>
        </w:rPr>
        <w:t xml:space="preserve">, R., Van </w:t>
      </w:r>
      <w:proofErr w:type="spellStart"/>
      <w:r w:rsidRPr="004239EB">
        <w:rPr>
          <w:rFonts w:eastAsia="Calibri"/>
        </w:rPr>
        <w:t>Eijk</w:t>
      </w:r>
      <w:proofErr w:type="spellEnd"/>
      <w:r w:rsidRPr="004239EB">
        <w:rPr>
          <w:rFonts w:eastAsia="Calibri"/>
        </w:rPr>
        <w:t xml:space="preserve">, M. J. T., &amp; De Loose, M. (2000). </w:t>
      </w:r>
      <w:r w:rsidRPr="00632792">
        <w:rPr>
          <w:rFonts w:eastAsia="Calibri"/>
          <w:lang w:val="en-GB"/>
        </w:rPr>
        <w:t>Estimating Genetic conformity between related ryegrass (</w:t>
      </w:r>
      <w:proofErr w:type="spellStart"/>
      <w:r w:rsidRPr="00632792">
        <w:rPr>
          <w:rFonts w:eastAsia="Calibri"/>
          <w:lang w:val="en-GB"/>
        </w:rPr>
        <w:t>Lolium</w:t>
      </w:r>
      <w:proofErr w:type="spellEnd"/>
      <w:r w:rsidRPr="00632792">
        <w:rPr>
          <w:rFonts w:eastAsia="Calibri"/>
          <w:lang w:val="en-GB"/>
        </w:rPr>
        <w:t xml:space="preserve">) varieties, II. AFLP-based markers. Molecular Breeding, 6, 593–602. </w:t>
      </w:r>
      <w:hyperlink r:id="rId16" w:history="1">
        <w:r w:rsidRPr="00632792">
          <w:rPr>
            <w:rFonts w:eastAsia="Calibri"/>
            <w:color w:val="0000FF"/>
            <w:u w:val="single"/>
            <w:lang w:val="en-GB"/>
          </w:rPr>
          <w:t>https://doi.org/10.1023/A:1011398124933</w:t>
        </w:r>
      </w:hyperlink>
    </w:p>
    <w:p w:rsidR="002D6D18" w:rsidRPr="00632792" w:rsidRDefault="002D6D18" w:rsidP="002D6D18">
      <w:pPr>
        <w:rPr>
          <w:rFonts w:eastAsia="Calibri"/>
          <w:lang w:val="en-GB"/>
        </w:rPr>
      </w:pPr>
    </w:p>
    <w:p w:rsidR="00632792" w:rsidRDefault="00632792" w:rsidP="002D6D18">
      <w:pPr>
        <w:rPr>
          <w:rFonts w:eastAsia="Calibri"/>
          <w:lang w:val="en-GB"/>
        </w:rPr>
      </w:pPr>
      <w:proofErr w:type="spellStart"/>
      <w:r w:rsidRPr="00632792">
        <w:rPr>
          <w:rFonts w:eastAsia="Calibri"/>
          <w:lang w:val="en-GB"/>
        </w:rPr>
        <w:t>Silvey</w:t>
      </w:r>
      <w:proofErr w:type="spellEnd"/>
      <w:r w:rsidRPr="00632792">
        <w:rPr>
          <w:rFonts w:eastAsia="Calibri"/>
          <w:lang w:val="en-GB"/>
        </w:rPr>
        <w:t>, V. (1978). Methods of analysing NIAB variety trials over many sites and several seasons. Journal of the National Institute of Agricultural Botany, 14, 385–400.</w:t>
      </w:r>
    </w:p>
    <w:p w:rsidR="002D6D18" w:rsidRPr="00632792" w:rsidRDefault="002D6D18" w:rsidP="002D6D18">
      <w:pPr>
        <w:rPr>
          <w:rFonts w:eastAsia="Calibri"/>
          <w:lang w:val="en-GB"/>
        </w:rPr>
      </w:pPr>
    </w:p>
    <w:p w:rsidR="00632792" w:rsidRDefault="00632792" w:rsidP="002D6D18">
      <w:pPr>
        <w:rPr>
          <w:rFonts w:eastAsia="Calibri"/>
          <w:color w:val="0000FF"/>
          <w:u w:val="single"/>
          <w:lang w:val="en-GB"/>
        </w:rPr>
      </w:pPr>
      <w:r w:rsidRPr="00632792">
        <w:rPr>
          <w:rFonts w:eastAsia="Calibri"/>
          <w:lang w:val="en-GB"/>
        </w:rPr>
        <w:t xml:space="preserve">TGP/15/2 Draft 1. (2018). Guidance on the Use of Biochemical and Molecular Markers in the Examination of Distinctness, Uniformity and Stability (DUS). Retrieved from </w:t>
      </w:r>
      <w:hyperlink r:id="rId17" w:history="1">
        <w:r w:rsidRPr="00632792">
          <w:rPr>
            <w:rFonts w:eastAsia="Calibri"/>
            <w:color w:val="0000FF"/>
            <w:u w:val="single"/>
            <w:lang w:val="en-GB"/>
          </w:rPr>
          <w:t>https://www.upov.int/meetings/en/topic.jsp?group_id=261</w:t>
        </w:r>
      </w:hyperlink>
    </w:p>
    <w:p w:rsidR="002D6D18" w:rsidRPr="00632792" w:rsidRDefault="002D6D18" w:rsidP="002D6D18">
      <w:pPr>
        <w:rPr>
          <w:rFonts w:eastAsia="Calibri"/>
          <w:lang w:val="en-GB"/>
        </w:rPr>
      </w:pPr>
    </w:p>
    <w:p w:rsidR="00632792" w:rsidRPr="00632792" w:rsidRDefault="00632792" w:rsidP="002D6D18">
      <w:pPr>
        <w:rPr>
          <w:rFonts w:eastAsia="Calibri"/>
          <w:b/>
          <w:bCs/>
          <w:lang w:val="en-GB"/>
        </w:rPr>
      </w:pPr>
      <w:r w:rsidRPr="00632792">
        <w:rPr>
          <w:rFonts w:eastAsia="Calibri"/>
          <w:lang w:val="en-GB"/>
        </w:rPr>
        <w:t xml:space="preserve">UPOV (2013). Guidance of the use of biochemical and molecular markers in the examination of distinctness, uniformity and stability (DUS). Document TGP/15, Geneva, pp 1–10. Retrieved from </w:t>
      </w:r>
      <w:hyperlink r:id="rId18" w:history="1">
        <w:r w:rsidRPr="00632792">
          <w:rPr>
            <w:rFonts w:eastAsia="Calibri"/>
            <w:color w:val="0000FF"/>
            <w:u w:val="single"/>
            <w:lang w:val="en-GB"/>
          </w:rPr>
          <w:t>https://www.upov.int/meetings/en/doc_details.jsp?meeting_id=47214&amp;doc_id=415191</w:t>
        </w:r>
      </w:hyperlink>
    </w:p>
    <w:p w:rsidR="00050E16" w:rsidRPr="00632792" w:rsidRDefault="00050E16" w:rsidP="004B1215">
      <w:pPr>
        <w:rPr>
          <w:lang w:val="en-GB"/>
        </w:rPr>
      </w:pPr>
    </w:p>
    <w:p w:rsidR="00544581" w:rsidRDefault="00544581">
      <w:pPr>
        <w:jc w:val="left"/>
      </w:pPr>
    </w:p>
    <w:p w:rsidR="00713D28" w:rsidRDefault="00713D28">
      <w:pPr>
        <w:jc w:val="left"/>
      </w:pPr>
    </w:p>
    <w:p w:rsidR="00713D28" w:rsidRDefault="00713D28" w:rsidP="00713D28">
      <w:r w:rsidRPr="00C065A8">
        <w:rPr>
          <w:vertAlign w:val="superscript"/>
        </w:rPr>
        <w:t>1</w:t>
      </w:r>
      <w:r w:rsidRPr="00C065A8">
        <w:t xml:space="preserve">Gilliland, T. J., </w:t>
      </w:r>
      <w:r w:rsidRPr="00C065A8">
        <w:rPr>
          <w:vertAlign w:val="superscript"/>
        </w:rPr>
        <w:t>2</w:t>
      </w:r>
      <w:r w:rsidRPr="00C065A8">
        <w:t xml:space="preserve">Annicchiarico, P., </w:t>
      </w:r>
      <w:r w:rsidRPr="00C065A8">
        <w:rPr>
          <w:vertAlign w:val="superscript"/>
        </w:rPr>
        <w:t>3</w:t>
      </w:r>
      <w:r w:rsidRPr="00C065A8">
        <w:t xml:space="preserve">Julier B. and </w:t>
      </w:r>
      <w:r w:rsidRPr="00C065A8">
        <w:rPr>
          <w:vertAlign w:val="superscript"/>
        </w:rPr>
        <w:t>3</w:t>
      </w:r>
      <w:r w:rsidRPr="00C065A8">
        <w:t>Ghesquière M.</w:t>
      </w:r>
    </w:p>
    <w:p w:rsidR="00713D28" w:rsidRPr="00C065A8" w:rsidRDefault="00713D28" w:rsidP="00713D28"/>
    <w:p w:rsidR="00713D28" w:rsidRPr="00C065A8" w:rsidRDefault="00713D28" w:rsidP="00713D28">
      <w:r w:rsidRPr="00C065A8">
        <w:rPr>
          <w:vertAlign w:val="superscript"/>
        </w:rPr>
        <w:t>1</w:t>
      </w:r>
      <w:r w:rsidRPr="00C065A8">
        <w:t>Institute of Global Food Security, Queens University Belfast, Northern Ireland, UK</w:t>
      </w:r>
    </w:p>
    <w:p w:rsidR="00713D28" w:rsidRPr="00C065A8" w:rsidRDefault="00713D28" w:rsidP="00713D28">
      <w:r w:rsidRPr="00C065A8">
        <w:rPr>
          <w:vertAlign w:val="superscript"/>
        </w:rPr>
        <w:t>2</w:t>
      </w:r>
      <w:r w:rsidRPr="00C065A8">
        <w:t xml:space="preserve">Council for Agriculture Research and Economics (CREA), Research Centre for Animal Production and Aquaculture, </w:t>
      </w:r>
      <w:proofErr w:type="spellStart"/>
      <w:r w:rsidRPr="00C065A8">
        <w:t>viale</w:t>
      </w:r>
      <w:proofErr w:type="spellEnd"/>
      <w:r w:rsidRPr="00C065A8">
        <w:t xml:space="preserve"> Piacenza 29, 26900 Lodi, Italy</w:t>
      </w:r>
    </w:p>
    <w:p w:rsidR="00713D28" w:rsidRPr="00930447" w:rsidRDefault="00713D28" w:rsidP="00713D28">
      <w:pPr>
        <w:rPr>
          <w:lang w:val="fr-CH"/>
        </w:rPr>
      </w:pPr>
      <w:r w:rsidRPr="00C065A8">
        <w:rPr>
          <w:vertAlign w:val="superscript"/>
          <w:lang w:val="fr-CH"/>
        </w:rPr>
        <w:t>3</w:t>
      </w:r>
      <w:r w:rsidRPr="00C065A8">
        <w:rPr>
          <w:lang w:val="fr-CH"/>
        </w:rPr>
        <w:t>INRAE, P3F, RD 150 Le Chêne, CS 80006, 86600 Lusignan, France</w:t>
      </w:r>
    </w:p>
    <w:p w:rsidR="00713D28" w:rsidRPr="00713D28" w:rsidRDefault="00713D28" w:rsidP="00050E16">
      <w:pPr>
        <w:rPr>
          <w:lang w:val="fr-CH"/>
        </w:rPr>
      </w:pPr>
    </w:p>
    <w:p w:rsidR="00713D28" w:rsidRPr="00713D28" w:rsidRDefault="00713D28" w:rsidP="00050E16">
      <w:pPr>
        <w:rPr>
          <w:lang w:val="fr-CH"/>
        </w:rPr>
      </w:pPr>
    </w:p>
    <w:p w:rsidR="00713D28" w:rsidRPr="00713D28" w:rsidRDefault="00713D28" w:rsidP="00050E16">
      <w:pPr>
        <w:rPr>
          <w:lang w:val="fr-CH"/>
        </w:rPr>
      </w:pPr>
    </w:p>
    <w:p w:rsidR="009B440E" w:rsidRDefault="00050E16" w:rsidP="00050E16">
      <w:pPr>
        <w:jc w:val="right"/>
      </w:pPr>
      <w:r w:rsidRPr="00713D28">
        <w:rPr>
          <w:lang w:val="fr-CH"/>
        </w:rPr>
        <w:t xml:space="preserve"> </w:t>
      </w:r>
      <w:r w:rsidRPr="00C5280D">
        <w:t>[End of document]</w:t>
      </w:r>
    </w:p>
    <w:p w:rsidR="00624E05" w:rsidRDefault="00624E05">
      <w:pPr>
        <w:jc w:val="left"/>
      </w:pPr>
    </w:p>
    <w:p w:rsidR="00050E16" w:rsidRPr="00C5280D" w:rsidRDefault="00050E16" w:rsidP="009B440E">
      <w:pPr>
        <w:jc w:val="left"/>
      </w:pPr>
    </w:p>
    <w:sectPr w:rsidR="00050E16" w:rsidRPr="00C5280D"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F87" w:rsidRDefault="008A1F87" w:rsidP="006655D3">
      <w:r>
        <w:separator/>
      </w:r>
    </w:p>
    <w:p w:rsidR="008A1F87" w:rsidRDefault="008A1F87" w:rsidP="006655D3"/>
    <w:p w:rsidR="008A1F87" w:rsidRDefault="008A1F87" w:rsidP="006655D3"/>
  </w:endnote>
  <w:endnote w:type="continuationSeparator" w:id="0">
    <w:p w:rsidR="008A1F87" w:rsidRDefault="008A1F87" w:rsidP="006655D3">
      <w:r>
        <w:separator/>
      </w:r>
    </w:p>
    <w:p w:rsidR="008A1F87" w:rsidRPr="00294751" w:rsidRDefault="008A1F87">
      <w:pPr>
        <w:pStyle w:val="Footer"/>
        <w:spacing w:after="60"/>
        <w:rPr>
          <w:sz w:val="18"/>
          <w:lang w:val="fr-FR"/>
        </w:rPr>
      </w:pPr>
      <w:r w:rsidRPr="00294751">
        <w:rPr>
          <w:sz w:val="18"/>
          <w:lang w:val="fr-FR"/>
        </w:rPr>
        <w:t>[Suite de la note de la page précédente]</w:t>
      </w:r>
    </w:p>
    <w:p w:rsidR="008A1F87" w:rsidRPr="00294751" w:rsidRDefault="008A1F87" w:rsidP="006655D3">
      <w:pPr>
        <w:rPr>
          <w:lang w:val="fr-FR"/>
        </w:rPr>
      </w:pPr>
    </w:p>
    <w:p w:rsidR="008A1F87" w:rsidRPr="00294751" w:rsidRDefault="008A1F87" w:rsidP="006655D3">
      <w:pPr>
        <w:rPr>
          <w:lang w:val="fr-FR"/>
        </w:rPr>
      </w:pPr>
    </w:p>
  </w:endnote>
  <w:endnote w:type="continuationNotice" w:id="1">
    <w:p w:rsidR="008A1F87" w:rsidRPr="00294751" w:rsidRDefault="008A1F87" w:rsidP="006655D3">
      <w:pPr>
        <w:rPr>
          <w:lang w:val="fr-FR"/>
        </w:rPr>
      </w:pPr>
      <w:r w:rsidRPr="00294751">
        <w:rPr>
          <w:lang w:val="fr-FR"/>
        </w:rPr>
        <w:t>[Suite de la note page suivante]</w:t>
      </w:r>
    </w:p>
    <w:p w:rsidR="008A1F87" w:rsidRPr="00294751" w:rsidRDefault="008A1F87" w:rsidP="006655D3">
      <w:pPr>
        <w:rPr>
          <w:lang w:val="fr-FR"/>
        </w:rPr>
      </w:pPr>
    </w:p>
    <w:p w:rsidR="008A1F87" w:rsidRPr="00294751" w:rsidRDefault="008A1F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F87" w:rsidRDefault="008A1F87" w:rsidP="006655D3">
      <w:r>
        <w:separator/>
      </w:r>
    </w:p>
  </w:footnote>
  <w:footnote w:type="continuationSeparator" w:id="0">
    <w:p w:rsidR="008A1F87" w:rsidRDefault="008A1F87" w:rsidP="006655D3">
      <w:r>
        <w:separator/>
      </w:r>
    </w:p>
  </w:footnote>
  <w:footnote w:type="continuationNotice" w:id="1">
    <w:p w:rsidR="008A1F87" w:rsidRPr="00AB530F" w:rsidRDefault="008A1F87" w:rsidP="00AB530F">
      <w:pPr>
        <w:pStyle w:val="Footer"/>
      </w:pPr>
    </w:p>
  </w:footnote>
  <w:footnote w:id="2">
    <w:p w:rsidR="00596AF1" w:rsidRDefault="00596AF1">
      <w:pPr>
        <w:pStyle w:val="FootnoteText"/>
      </w:pPr>
      <w:r w:rsidRPr="00D30F96">
        <w:rPr>
          <w:rStyle w:val="FootnoteReference"/>
        </w:rPr>
        <w:footnoteRef/>
      </w:r>
      <w:r w:rsidRPr="00D30F96">
        <w:t xml:space="preserve"> The denominations are fictitious and </w:t>
      </w:r>
      <w:r w:rsidR="00926749" w:rsidRPr="00D30F96">
        <w:t xml:space="preserve">do </w:t>
      </w:r>
      <w:r w:rsidRPr="00D30F96">
        <w:t>not correspond to any existing varieties or candidate varieties</w:t>
      </w:r>
    </w:p>
  </w:footnote>
  <w:footnote w:id="3">
    <w:p w:rsidR="00E71F3F" w:rsidRDefault="00E71F3F" w:rsidP="00E71F3F">
      <w:pPr>
        <w:pStyle w:val="FootnoteText"/>
      </w:pPr>
      <w:r>
        <w:rPr>
          <w:rStyle w:val="FootnoteReference"/>
        </w:rPr>
        <w:footnoteRef/>
      </w:r>
      <w:r w:rsidRPr="00D30F96">
        <w:t>The denominations are fictitious and do not correspond to any existing varieties or candidate varieties</w:t>
      </w:r>
    </w:p>
    <w:p w:rsidR="00E71F3F" w:rsidRDefault="00E71F3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507702" w:rsidP="00EB048E">
    <w:pPr>
      <w:pStyle w:val="Header"/>
      <w:rPr>
        <w:rStyle w:val="PageNumber"/>
        <w:lang w:val="en-US"/>
      </w:rPr>
    </w:pPr>
    <w:r>
      <w:rPr>
        <w:rStyle w:val="PageNumber"/>
        <w:lang w:val="en-US"/>
      </w:rPr>
      <w:t>BMT/19</w:t>
    </w:r>
    <w:r w:rsidR="00624E05">
      <w:rPr>
        <w:rStyle w:val="PageNumber"/>
        <w:lang w:val="en-US"/>
      </w:rPr>
      <w:t>/</w:t>
    </w:r>
    <w:r w:rsidR="00632792">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13E10">
      <w:rPr>
        <w:rStyle w:val="PageNumber"/>
        <w:noProof/>
        <w:lang w:val="en-US"/>
      </w:rPr>
      <w:t>6</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47EFB"/>
    <w:multiLevelType w:val="hybridMultilevel"/>
    <w:tmpl w:val="55C84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A15187"/>
    <w:multiLevelType w:val="hybridMultilevel"/>
    <w:tmpl w:val="CBB0B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4F"/>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5326B"/>
    <w:rsid w:val="00172084"/>
    <w:rsid w:val="0017474A"/>
    <w:rsid w:val="001758C6"/>
    <w:rsid w:val="00182B99"/>
    <w:rsid w:val="001D6303"/>
    <w:rsid w:val="0021332C"/>
    <w:rsid w:val="00213982"/>
    <w:rsid w:val="0024416D"/>
    <w:rsid w:val="00271911"/>
    <w:rsid w:val="002800A0"/>
    <w:rsid w:val="002801B3"/>
    <w:rsid w:val="00281060"/>
    <w:rsid w:val="002940E8"/>
    <w:rsid w:val="00294751"/>
    <w:rsid w:val="002A6E50"/>
    <w:rsid w:val="002B4298"/>
    <w:rsid w:val="002C256A"/>
    <w:rsid w:val="002D6D18"/>
    <w:rsid w:val="00305A7F"/>
    <w:rsid w:val="003152FE"/>
    <w:rsid w:val="00327436"/>
    <w:rsid w:val="00335389"/>
    <w:rsid w:val="00344BD6"/>
    <w:rsid w:val="0035528D"/>
    <w:rsid w:val="00361821"/>
    <w:rsid w:val="00361E9E"/>
    <w:rsid w:val="003C7FBE"/>
    <w:rsid w:val="003D227C"/>
    <w:rsid w:val="003D2B4D"/>
    <w:rsid w:val="004239EB"/>
    <w:rsid w:val="00444A88"/>
    <w:rsid w:val="00474DA4"/>
    <w:rsid w:val="00476B4D"/>
    <w:rsid w:val="004805FA"/>
    <w:rsid w:val="004935D2"/>
    <w:rsid w:val="0049744F"/>
    <w:rsid w:val="004B1215"/>
    <w:rsid w:val="004D047D"/>
    <w:rsid w:val="004F1E9E"/>
    <w:rsid w:val="004F305A"/>
    <w:rsid w:val="00507702"/>
    <w:rsid w:val="00512164"/>
    <w:rsid w:val="00520297"/>
    <w:rsid w:val="005338F9"/>
    <w:rsid w:val="0054281C"/>
    <w:rsid w:val="00544581"/>
    <w:rsid w:val="0055268D"/>
    <w:rsid w:val="00576BE4"/>
    <w:rsid w:val="00596AF1"/>
    <w:rsid w:val="005A400A"/>
    <w:rsid w:val="005F7B92"/>
    <w:rsid w:val="00612379"/>
    <w:rsid w:val="00613E10"/>
    <w:rsid w:val="006153B6"/>
    <w:rsid w:val="0061555F"/>
    <w:rsid w:val="00621302"/>
    <w:rsid w:val="00624E05"/>
    <w:rsid w:val="00632792"/>
    <w:rsid w:val="00636CA6"/>
    <w:rsid w:val="00641200"/>
    <w:rsid w:val="006655D3"/>
    <w:rsid w:val="00667404"/>
    <w:rsid w:val="00687EB4"/>
    <w:rsid w:val="00695C56"/>
    <w:rsid w:val="006A5CDE"/>
    <w:rsid w:val="006A644A"/>
    <w:rsid w:val="006B17D2"/>
    <w:rsid w:val="006C224E"/>
    <w:rsid w:val="006D780A"/>
    <w:rsid w:val="0071271E"/>
    <w:rsid w:val="00713D28"/>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2409"/>
    <w:rsid w:val="00867AC1"/>
    <w:rsid w:val="00890DF8"/>
    <w:rsid w:val="008A1F87"/>
    <w:rsid w:val="008A743F"/>
    <w:rsid w:val="008B4B15"/>
    <w:rsid w:val="008C0970"/>
    <w:rsid w:val="008C594F"/>
    <w:rsid w:val="008D0BC5"/>
    <w:rsid w:val="008D2CF7"/>
    <w:rsid w:val="00900C26"/>
    <w:rsid w:val="0090197F"/>
    <w:rsid w:val="00906DDC"/>
    <w:rsid w:val="00926749"/>
    <w:rsid w:val="00930447"/>
    <w:rsid w:val="00934E09"/>
    <w:rsid w:val="00936253"/>
    <w:rsid w:val="00940D46"/>
    <w:rsid w:val="00952DD4"/>
    <w:rsid w:val="00953180"/>
    <w:rsid w:val="00965AE7"/>
    <w:rsid w:val="00970FED"/>
    <w:rsid w:val="00977024"/>
    <w:rsid w:val="00992D82"/>
    <w:rsid w:val="00997029"/>
    <w:rsid w:val="009A7339"/>
    <w:rsid w:val="009B440E"/>
    <w:rsid w:val="009D690D"/>
    <w:rsid w:val="009E65B6"/>
    <w:rsid w:val="00A17ABA"/>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926A7"/>
    <w:rsid w:val="00BA411D"/>
    <w:rsid w:val="00BA43FB"/>
    <w:rsid w:val="00BC127D"/>
    <w:rsid w:val="00BC1FE6"/>
    <w:rsid w:val="00C0001E"/>
    <w:rsid w:val="00C061B6"/>
    <w:rsid w:val="00C065A8"/>
    <w:rsid w:val="00C2446C"/>
    <w:rsid w:val="00C36AE5"/>
    <w:rsid w:val="00C41F17"/>
    <w:rsid w:val="00C527FA"/>
    <w:rsid w:val="00C5280D"/>
    <w:rsid w:val="00C53EB3"/>
    <w:rsid w:val="00C5791C"/>
    <w:rsid w:val="00C66290"/>
    <w:rsid w:val="00C72B7A"/>
    <w:rsid w:val="00C809AE"/>
    <w:rsid w:val="00C973F2"/>
    <w:rsid w:val="00CA304C"/>
    <w:rsid w:val="00CA774A"/>
    <w:rsid w:val="00CC11B0"/>
    <w:rsid w:val="00CC2841"/>
    <w:rsid w:val="00CF1330"/>
    <w:rsid w:val="00CF7E36"/>
    <w:rsid w:val="00D30F96"/>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1F3F"/>
    <w:rsid w:val="00E72D49"/>
    <w:rsid w:val="00E7593C"/>
    <w:rsid w:val="00E7678A"/>
    <w:rsid w:val="00E935F1"/>
    <w:rsid w:val="00E94A81"/>
    <w:rsid w:val="00EA1FFB"/>
    <w:rsid w:val="00EB048E"/>
    <w:rsid w:val="00EB4E9C"/>
    <w:rsid w:val="00EC481C"/>
    <w:rsid w:val="00EC7C4F"/>
    <w:rsid w:val="00EE1AFA"/>
    <w:rsid w:val="00EE34DF"/>
    <w:rsid w:val="00EF2F89"/>
    <w:rsid w:val="00F03E98"/>
    <w:rsid w:val="00F1237A"/>
    <w:rsid w:val="00F22CBD"/>
    <w:rsid w:val="00F272F1"/>
    <w:rsid w:val="00F45372"/>
    <w:rsid w:val="00F4631F"/>
    <w:rsid w:val="00F560F7"/>
    <w:rsid w:val="00F6334D"/>
    <w:rsid w:val="00FA49AB"/>
    <w:rsid w:val="00FE39C7"/>
    <w:rsid w:val="00FE637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8234E5-B458-4B87-8C4D-FA8FA6E4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32792"/>
    <w:pPr>
      <w:jc w:val="both"/>
      <w:outlineLvl w:val="0"/>
    </w:pPr>
    <w:rPr>
      <w:rFonts w:ascii="Arial" w:hAnsi="Arial"/>
      <w:caps/>
    </w:rPr>
  </w:style>
  <w:style w:type="paragraph" w:styleId="Heading2">
    <w:name w:val="heading 2"/>
    <w:next w:val="Normal"/>
    <w:autoRedefine/>
    <w:qFormat/>
    <w:rsid w:val="002D6D18"/>
    <w:pPr>
      <w:keepNext/>
      <w:jc w:val="both"/>
      <w:outlineLvl w:val="1"/>
    </w:pPr>
    <w:rPr>
      <w:rFonts w:ascii="Arial" w:eastAsia="Calibri" w:hAnsi="Arial"/>
      <w:u w:val="single"/>
      <w:lang w:val="en-GB"/>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table" w:styleId="TableGrid">
    <w:name w:val="Table Grid"/>
    <w:basedOn w:val="TableNormal"/>
    <w:uiPriority w:val="59"/>
    <w:rsid w:val="00632792"/>
    <w:rPr>
      <w:rFonts w:ascii="Calibri" w:eastAsia="Calibri" w:hAnsi="Calibri"/>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32792"/>
    <w:pPr>
      <w:jc w:val="left"/>
    </w:pPr>
    <w:rPr>
      <w:rFonts w:ascii="Calibri" w:eastAsia="Calibri" w:hAnsi="Calibri"/>
      <w:sz w:val="22"/>
      <w:szCs w:val="21"/>
      <w:lang w:val="en-GB"/>
    </w:rPr>
  </w:style>
  <w:style w:type="character" w:customStyle="1" w:styleId="PlainTextChar">
    <w:name w:val="Plain Text Char"/>
    <w:basedOn w:val="DefaultParagraphFont"/>
    <w:link w:val="PlainText"/>
    <w:uiPriority w:val="99"/>
    <w:rsid w:val="00632792"/>
    <w:rPr>
      <w:rFonts w:ascii="Calibri" w:eastAsia="Calibr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gfs.12492" TargetMode="External"/><Relationship Id="rId18" Type="http://schemas.openxmlformats.org/officeDocument/2006/relationships/hyperlink" Target="https://www.upov.int/meetings/en/doc_details.jsp?meeting_id=47214&amp;doc_id=41519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7/S0021%2085961%207000740" TargetMode="External"/><Relationship Id="rId17" Type="http://schemas.openxmlformats.org/officeDocument/2006/relationships/hyperlink" Target="https://www.upov.int/meetings/en/topic.jsp?group_id=261" TargetMode="External"/><Relationship Id="rId2" Type="http://schemas.openxmlformats.org/officeDocument/2006/relationships/numbering" Target="numbering.xml"/><Relationship Id="rId16" Type="http://schemas.openxmlformats.org/officeDocument/2006/relationships/hyperlink" Target="https://doi.org/10.1023/A:101139812493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edocs/mdocs/upov/en/bmt_16/bmt_16_17.pdf" TargetMode="External"/><Relationship Id="rId5" Type="http://schemas.openxmlformats.org/officeDocument/2006/relationships/webSettings" Target="webSettings.xml"/><Relationship Id="rId15" Type="http://schemas.openxmlformats.org/officeDocument/2006/relationships/hyperlink" Target="https://doi.org/10.3389/fpls.2017.00853BMT/16/17,2017"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worldseed.org/wp-content/uploads/2015/10/Guide%20lines_EDV_Ryegrass_Nov_200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9\Template\BMT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9DF4D-A63E-4EC5-9973-41A02CC8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BMT_19</Template>
  <TotalTime>0</TotalTime>
  <Pages>6</Pages>
  <Words>2407</Words>
  <Characters>17836</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BMT/19</vt:lpstr>
    </vt:vector>
  </TitlesOfParts>
  <Company>UPOV</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BMT/19</dc:title>
  <dc:creator>MAY Jessica</dc:creator>
  <cp:lastModifiedBy>MAY Jessica</cp:lastModifiedBy>
  <cp:revision>9</cp:revision>
  <cp:lastPrinted>2016-11-22T16:03:00Z</cp:lastPrinted>
  <dcterms:created xsi:type="dcterms:W3CDTF">2020-08-14T15:59:00Z</dcterms:created>
  <dcterms:modified xsi:type="dcterms:W3CDTF">2020-08-20T06:36:00Z</dcterms:modified>
</cp:coreProperties>
</file>