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5634B" w:rsidP="00D5634B">
            <w:pPr>
              <w:pStyle w:val="Sessiontcplacedate"/>
              <w:rPr>
                <w:sz w:val="22"/>
              </w:rPr>
            </w:pPr>
            <w:r>
              <w:t>Eigh</w:t>
            </w:r>
            <w:r w:rsidR="00624E05">
              <w:t>teenth</w:t>
            </w:r>
            <w:r w:rsidR="00624E05" w:rsidRPr="00DA4973">
              <w:t xml:space="preserve"> Session</w:t>
            </w:r>
            <w:r w:rsidR="00EB4E9C" w:rsidRPr="00DA4973">
              <w:br/>
            </w:r>
            <w:r>
              <w:t>Hangzhou, China, October 16 to 18, 2019</w:t>
            </w:r>
          </w:p>
        </w:tc>
        <w:tc>
          <w:tcPr>
            <w:tcW w:w="3127" w:type="dxa"/>
          </w:tcPr>
          <w:p w:rsidR="00EB4E9C" w:rsidRDefault="00D5634B" w:rsidP="003C7FBE">
            <w:pPr>
              <w:pStyle w:val="Doccode"/>
            </w:pPr>
            <w:r>
              <w:t>BMT/18</w:t>
            </w:r>
            <w:r w:rsidR="00EB4E9C" w:rsidRPr="00AC2883">
              <w:t>/</w:t>
            </w:r>
            <w:r w:rsidR="00E36F83">
              <w:t>7</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42D0C">
            <w:pPr>
              <w:pStyle w:val="Docoriginal"/>
            </w:pPr>
            <w:r w:rsidRPr="00AC2883">
              <w:t>Date:</w:t>
            </w:r>
            <w:r w:rsidR="00D5634B">
              <w:rPr>
                <w:b w:val="0"/>
                <w:spacing w:val="0"/>
              </w:rPr>
              <w:t xml:space="preserve">  </w:t>
            </w:r>
            <w:r w:rsidR="00D42D0C" w:rsidRPr="00D42D0C">
              <w:rPr>
                <w:b w:val="0"/>
                <w:spacing w:val="0"/>
              </w:rPr>
              <w:t>October 4</w:t>
            </w:r>
            <w:r w:rsidR="00D5634B" w:rsidRPr="00D42D0C">
              <w:rPr>
                <w:b w:val="0"/>
                <w:spacing w:val="0"/>
              </w:rPr>
              <w:t>, 2019</w:t>
            </w:r>
          </w:p>
        </w:tc>
      </w:tr>
    </w:tbl>
    <w:p w:rsidR="000D7780" w:rsidRPr="006A644A" w:rsidRDefault="00E36F83" w:rsidP="006A644A">
      <w:pPr>
        <w:pStyle w:val="Titleofdoc0"/>
      </w:pPr>
      <w:bookmarkStart w:id="0" w:name="TitleOfDoc"/>
      <w:bookmarkEnd w:id="0"/>
      <w:r w:rsidRPr="00E36F83">
        <w:t>REVISION OF DOCUMENT TGP/15 “GUIDANCE ON THE USE OF BIOCHEMICAL AND MOLECULAR MARKERS IN THE EXAMINATION OF DISTINCTNESS, UNIFORMITY AND STABILITY (DUS)”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5E7BA2" w:rsidRPr="005E7BA2" w:rsidRDefault="005E7BA2" w:rsidP="005E7BA2">
      <w:pPr>
        <w:keepNext/>
        <w:outlineLvl w:val="0"/>
        <w:rPr>
          <w:caps/>
          <w:snapToGrid w:val="0"/>
        </w:rPr>
      </w:pPr>
      <w:bookmarkStart w:id="2" w:name="_Toc19817791"/>
      <w:r w:rsidRPr="005E7BA2">
        <w:rPr>
          <w:caps/>
          <w:snapToGrid w:val="0"/>
        </w:rPr>
        <w:t>Executive Summary</w:t>
      </w:r>
      <w:bookmarkEnd w:id="2"/>
    </w:p>
    <w:p w:rsidR="005E7BA2" w:rsidRPr="005E7BA2" w:rsidRDefault="005E7BA2" w:rsidP="005E7BA2">
      <w:pPr>
        <w:rPr>
          <w:snapToGrid w:val="0"/>
        </w:rPr>
      </w:pPr>
    </w:p>
    <w:p w:rsidR="005E7BA2" w:rsidRPr="005E7BA2" w:rsidRDefault="005E7BA2" w:rsidP="005E7BA2">
      <w:pPr>
        <w:rPr>
          <w:snapToGrid w:val="0"/>
        </w:rPr>
      </w:pPr>
      <w:r w:rsidRPr="005E7BA2">
        <w:rPr>
          <w:snapToGrid w:val="0"/>
        </w:rPr>
        <w:fldChar w:fldCharType="begin"/>
      </w:r>
      <w:r w:rsidRPr="005E7BA2">
        <w:rPr>
          <w:snapToGrid w:val="0"/>
        </w:rPr>
        <w:instrText xml:space="preserve"> AUTONUM  </w:instrText>
      </w:r>
      <w:r w:rsidRPr="005E7BA2">
        <w:rPr>
          <w:snapToGrid w:val="0"/>
        </w:rPr>
        <w:fldChar w:fldCharType="end"/>
      </w:r>
      <w:r w:rsidRPr="005E7BA2">
        <w:rPr>
          <w:snapToGrid w:val="0"/>
        </w:rPr>
        <w:tab/>
        <w:t xml:space="preserve">The purpose of this document is </w:t>
      </w:r>
      <w:r>
        <w:rPr>
          <w:snapToGrid w:val="0"/>
        </w:rPr>
        <w:t>to report</w:t>
      </w:r>
      <w:r w:rsidRPr="005E7BA2">
        <w:rPr>
          <w:snapToGrid w:val="0"/>
        </w:rPr>
        <w:t xml:space="preserve"> developments concerning document TGP/15 “Guidance on the Use of Biochemical and Molecular Markers in the Examination of Distinctness, Uniformity and Stability (DUS)”</w:t>
      </w:r>
      <w:r>
        <w:rPr>
          <w:snapToGrid w:val="0"/>
        </w:rPr>
        <w:t xml:space="preserve"> and </w:t>
      </w:r>
      <w:r w:rsidRPr="005E7BA2">
        <w:rPr>
          <w:snapToGrid w:val="0"/>
        </w:rPr>
        <w:t xml:space="preserve">to present a proposal </w:t>
      </w:r>
      <w:r w:rsidR="0014610D">
        <w:rPr>
          <w:snapToGrid w:val="0"/>
        </w:rPr>
        <w:t>on</w:t>
      </w:r>
      <w:r w:rsidRPr="005E7BA2">
        <w:rPr>
          <w:snapToGrid w:val="0"/>
        </w:rPr>
        <w:t xml:space="preserve"> </w:t>
      </w:r>
      <w:r w:rsidR="0014610D">
        <w:rPr>
          <w:snapToGrid w:val="0"/>
        </w:rPr>
        <w:t xml:space="preserve">the </w:t>
      </w:r>
      <w:r w:rsidRPr="005E7BA2">
        <w:rPr>
          <w:snapToGrid w:val="0"/>
        </w:rPr>
        <w:t>revision of document TGP/15 for inclusion of a new example for Model</w:t>
      </w:r>
      <w:r>
        <w:rPr>
          <w:snapToGrid w:val="0"/>
        </w:rPr>
        <w:t> </w:t>
      </w:r>
      <w:r w:rsidRPr="005E7BA2">
        <w:rPr>
          <w:snapToGrid w:val="0"/>
        </w:rPr>
        <w:t>(1) “Characteristic-specific molecular marker”.</w:t>
      </w:r>
    </w:p>
    <w:p w:rsidR="005E7BA2" w:rsidRPr="005E7BA2" w:rsidRDefault="005E7BA2" w:rsidP="005E7BA2">
      <w:pPr>
        <w:rPr>
          <w:snapToGrid w:val="0"/>
        </w:rPr>
      </w:pPr>
    </w:p>
    <w:p w:rsidR="00020077" w:rsidRPr="002077C4" w:rsidRDefault="005E7BA2" w:rsidP="00470DBE">
      <w:r w:rsidRPr="005E7BA2">
        <w:rPr>
          <w:snapToGrid w:val="0"/>
        </w:rPr>
        <w:fldChar w:fldCharType="begin"/>
      </w:r>
      <w:r w:rsidRPr="005E7BA2">
        <w:rPr>
          <w:snapToGrid w:val="0"/>
        </w:rPr>
        <w:instrText xml:space="preserve"> AUTONUM  </w:instrText>
      </w:r>
      <w:r w:rsidRPr="005E7BA2">
        <w:rPr>
          <w:snapToGrid w:val="0"/>
        </w:rPr>
        <w:fldChar w:fldCharType="end"/>
      </w:r>
      <w:r w:rsidRPr="005E7BA2">
        <w:rPr>
          <w:snapToGrid w:val="0"/>
        </w:rPr>
        <w:tab/>
        <w:t xml:space="preserve">The </w:t>
      </w:r>
      <w:r>
        <w:rPr>
          <w:snapToGrid w:val="0"/>
        </w:rPr>
        <w:t>BM</w:t>
      </w:r>
      <w:r w:rsidRPr="005E7BA2">
        <w:rPr>
          <w:snapToGrid w:val="0"/>
        </w:rPr>
        <w:t>T is invited to</w:t>
      </w:r>
      <w:r w:rsidR="00470DBE">
        <w:rPr>
          <w:snapToGrid w:val="0"/>
        </w:rPr>
        <w:t xml:space="preserve"> </w:t>
      </w:r>
      <w:r w:rsidR="00020077" w:rsidRPr="004451F4">
        <w:rPr>
          <w:rFonts w:eastAsia="Times New Roman"/>
          <w:snapToGrid w:val="0"/>
        </w:rPr>
        <w:t xml:space="preserve">consider the proposal for </w:t>
      </w:r>
      <w:r w:rsidR="00020077" w:rsidRPr="004451F4">
        <w:rPr>
          <w:rFonts w:eastAsia="Times New Roman"/>
        </w:rPr>
        <w:t xml:space="preserve">a new example </w:t>
      </w:r>
      <w:r w:rsidR="00470DBE">
        <w:rPr>
          <w:rFonts w:eastAsia="Times New Roman"/>
        </w:rPr>
        <w:t xml:space="preserve">to </w:t>
      </w:r>
      <w:r w:rsidR="00020077" w:rsidRPr="004451F4">
        <w:rPr>
          <w:rFonts w:eastAsia="Times New Roman"/>
        </w:rPr>
        <w:t xml:space="preserve">be added to document TGP/15 to illustrate a situation where the characteristic-specific marker does not provide complete information on the state of expression of a characteristic, as set out in </w:t>
      </w:r>
      <w:r w:rsidR="00020077" w:rsidRPr="00D42D0C">
        <w:rPr>
          <w:rFonts w:eastAsia="Times New Roman"/>
        </w:rPr>
        <w:t>the Annex II to this</w:t>
      </w:r>
      <w:r w:rsidR="00020077" w:rsidRPr="004451F4">
        <w:rPr>
          <w:rFonts w:eastAsia="Times New Roman"/>
        </w:rPr>
        <w:t xml:space="preserve"> document</w:t>
      </w:r>
      <w:r w:rsidR="00470DBE">
        <w:rPr>
          <w:rFonts w:eastAsia="Times New Roman"/>
        </w:rPr>
        <w:t>, including:</w:t>
      </w:r>
    </w:p>
    <w:p w:rsidR="00020077" w:rsidRPr="002077C4" w:rsidRDefault="00020077" w:rsidP="00020077">
      <w:pPr>
        <w:pStyle w:val="ListParagraph"/>
        <w:tabs>
          <w:tab w:val="left" w:pos="567"/>
          <w:tab w:val="left" w:pos="1134"/>
        </w:tabs>
        <w:ind w:left="0"/>
      </w:pPr>
    </w:p>
    <w:p w:rsidR="00020077" w:rsidRPr="00020077" w:rsidRDefault="00020077" w:rsidP="00020077">
      <w:pPr>
        <w:pStyle w:val="ListParagraph"/>
        <w:numPr>
          <w:ilvl w:val="0"/>
          <w:numId w:val="1"/>
        </w:numPr>
        <w:tabs>
          <w:tab w:val="left" w:pos="567"/>
          <w:tab w:val="left" w:pos="1134"/>
          <w:tab w:val="left" w:pos="5387"/>
          <w:tab w:val="left" w:pos="5954"/>
        </w:tabs>
        <w:ind w:left="0" w:firstLine="570"/>
      </w:pPr>
      <w:r w:rsidRPr="00020077">
        <w:rPr>
          <w:rFonts w:eastAsia="Times New Roman"/>
          <w:snapToGrid w:val="0"/>
        </w:rPr>
        <w:t xml:space="preserve">whether the request by the TWV is covered in the draft guidance by the following sentence: </w:t>
      </w:r>
      <w:r w:rsidRPr="00020077">
        <w:rPr>
          <w:rFonts w:eastAsia="Times New Roman"/>
          <w:snapToGrid w:val="0"/>
          <w:lang w:val="en-GB"/>
        </w:rPr>
        <w:t xml:space="preserve">“6.  If a variety is claimed to be resistant to </w:t>
      </w:r>
      <w:proofErr w:type="spellStart"/>
      <w:r w:rsidRPr="00020077">
        <w:rPr>
          <w:rFonts w:eastAsia="Times New Roman"/>
          <w:snapToGrid w:val="0"/>
          <w:lang w:val="en-GB"/>
        </w:rPr>
        <w:t>ToMV</w:t>
      </w:r>
      <w:proofErr w:type="spellEnd"/>
      <w:r w:rsidRPr="00020077">
        <w:rPr>
          <w:rFonts w:eastAsia="Times New Roman"/>
          <w:snapToGrid w:val="0"/>
          <w:lang w:val="en-GB"/>
        </w:rPr>
        <w:t xml:space="preserve"> Strain 0 and the DNA marker test result is tm2/tm2 (homozygous susceptible) a bioassay needs to be performed to determine whether the variety is resistant on the basis of another gene, such as Tm1”</w:t>
      </w:r>
      <w:r w:rsidRPr="00020077">
        <w:rPr>
          <w:rFonts w:eastAsia="Times New Roman"/>
        </w:rPr>
        <w:t>;</w:t>
      </w:r>
    </w:p>
    <w:p w:rsidR="008B128B" w:rsidRPr="002077C4" w:rsidRDefault="008B128B" w:rsidP="008B128B">
      <w:pPr>
        <w:pStyle w:val="ListParagraph"/>
        <w:tabs>
          <w:tab w:val="left" w:pos="567"/>
          <w:tab w:val="left" w:pos="1134"/>
        </w:tabs>
        <w:ind w:left="0"/>
      </w:pPr>
    </w:p>
    <w:p w:rsidR="008B128B" w:rsidRPr="00792C1E" w:rsidRDefault="00470DBE" w:rsidP="008B128B">
      <w:pPr>
        <w:pStyle w:val="ListParagraph"/>
        <w:numPr>
          <w:ilvl w:val="0"/>
          <w:numId w:val="1"/>
        </w:numPr>
        <w:tabs>
          <w:tab w:val="left" w:pos="567"/>
          <w:tab w:val="left" w:pos="1134"/>
          <w:tab w:val="left" w:pos="5387"/>
          <w:tab w:val="left" w:pos="5954"/>
        </w:tabs>
        <w:ind w:left="0" w:firstLine="570"/>
      </w:pPr>
      <w:r w:rsidRPr="00020077">
        <w:rPr>
          <w:rFonts w:eastAsia="Times New Roman"/>
          <w:snapToGrid w:val="0"/>
        </w:rPr>
        <w:t xml:space="preserve">whether </w:t>
      </w:r>
      <w:r w:rsidR="00792C1E" w:rsidRPr="00792C1E">
        <w:rPr>
          <w:rFonts w:eastAsia="Times New Roman"/>
          <w:snapToGrid w:val="0"/>
        </w:rPr>
        <w:t xml:space="preserve">it should be clarified whether the sources of resistance to </w:t>
      </w:r>
      <w:proofErr w:type="spellStart"/>
      <w:r w:rsidR="00792C1E" w:rsidRPr="00792C1E">
        <w:rPr>
          <w:rFonts w:eastAsia="Times New Roman"/>
          <w:snapToGrid w:val="0"/>
        </w:rPr>
        <w:t>ToMV</w:t>
      </w:r>
      <w:proofErr w:type="spellEnd"/>
      <w:r w:rsidR="00792C1E" w:rsidRPr="00792C1E">
        <w:rPr>
          <w:rFonts w:eastAsia="Times New Roman"/>
          <w:snapToGrid w:val="0"/>
        </w:rPr>
        <w:t xml:space="preserve"> Strain 0 were genes Tm1/tm1 and Tm2/Tm2</w:t>
      </w:r>
      <w:r w:rsidR="00792C1E" w:rsidRPr="00792C1E">
        <w:rPr>
          <w:rFonts w:eastAsia="Times New Roman"/>
          <w:snapToGrid w:val="0"/>
          <w:vertAlign w:val="superscript"/>
        </w:rPr>
        <w:t>2</w:t>
      </w:r>
      <w:r w:rsidR="00792C1E" w:rsidRPr="00792C1E">
        <w:rPr>
          <w:rFonts w:eastAsia="Times New Roman"/>
          <w:snapToGrid w:val="0"/>
        </w:rPr>
        <w:t>/tm2 or whether there were other known sources of resistance</w:t>
      </w:r>
      <w:r w:rsidR="00792C1E">
        <w:rPr>
          <w:rFonts w:eastAsia="Times New Roman"/>
          <w:snapToGrid w:val="0"/>
        </w:rPr>
        <w:t>;</w:t>
      </w:r>
    </w:p>
    <w:p w:rsidR="00792C1E" w:rsidRPr="00792C1E" w:rsidRDefault="00792C1E" w:rsidP="00792C1E">
      <w:pPr>
        <w:pStyle w:val="ListParagraph"/>
        <w:tabs>
          <w:tab w:val="left" w:pos="567"/>
          <w:tab w:val="left" w:pos="1134"/>
          <w:tab w:val="left" w:pos="5387"/>
          <w:tab w:val="left" w:pos="5954"/>
        </w:tabs>
        <w:ind w:left="570"/>
      </w:pPr>
    </w:p>
    <w:p w:rsidR="00020077" w:rsidRPr="00792C1E" w:rsidRDefault="00470DBE" w:rsidP="008B128B">
      <w:pPr>
        <w:pStyle w:val="ListParagraph"/>
        <w:numPr>
          <w:ilvl w:val="0"/>
          <w:numId w:val="1"/>
        </w:numPr>
        <w:tabs>
          <w:tab w:val="left" w:pos="567"/>
          <w:tab w:val="left" w:pos="1134"/>
          <w:tab w:val="left" w:pos="5387"/>
          <w:tab w:val="left" w:pos="5954"/>
        </w:tabs>
        <w:ind w:left="0" w:firstLine="570"/>
      </w:pPr>
      <w:proofErr w:type="gramStart"/>
      <w:r w:rsidRPr="00020077">
        <w:rPr>
          <w:rFonts w:eastAsia="Times New Roman"/>
          <w:snapToGrid w:val="0"/>
        </w:rPr>
        <w:t>whether</w:t>
      </w:r>
      <w:proofErr w:type="gramEnd"/>
      <w:r w:rsidRPr="00020077">
        <w:rPr>
          <w:rFonts w:eastAsia="Times New Roman"/>
          <w:snapToGrid w:val="0"/>
        </w:rPr>
        <w:t xml:space="preserve"> </w:t>
      </w:r>
      <w:r w:rsidR="00792C1E" w:rsidRPr="00792C1E">
        <w:t>it should be clarified whether different markers were linked to the alleles Tm2 and Tm2</w:t>
      </w:r>
      <w:r w:rsidR="00792C1E" w:rsidRPr="00792C1E">
        <w:rPr>
          <w:vertAlign w:val="superscript"/>
        </w:rPr>
        <w:t>2</w:t>
      </w:r>
      <w:r w:rsidR="00792C1E" w:rsidRPr="00792C1E">
        <w:t>.  In case both alleles were linked to the same marker, the two columns for the resistant alleles should be combined in Table 1 “Schematic overview of resistance to Tomato mosaic virus and resistance alleles.”</w:t>
      </w:r>
      <w:r w:rsidR="00792C1E">
        <w:t>; and</w:t>
      </w:r>
    </w:p>
    <w:p w:rsidR="00792C1E" w:rsidRPr="00792C1E" w:rsidRDefault="00792C1E" w:rsidP="00792C1E">
      <w:pPr>
        <w:jc w:val="left"/>
        <w:rPr>
          <w:snapToGrid w:val="0"/>
        </w:rPr>
      </w:pPr>
    </w:p>
    <w:p w:rsidR="00DF2D8A" w:rsidRDefault="00470DBE" w:rsidP="00470DBE">
      <w:pPr>
        <w:pStyle w:val="ListParagraph"/>
        <w:numPr>
          <w:ilvl w:val="0"/>
          <w:numId w:val="1"/>
        </w:numPr>
        <w:tabs>
          <w:tab w:val="left" w:pos="567"/>
          <w:tab w:val="left" w:pos="1134"/>
          <w:tab w:val="left" w:pos="5387"/>
          <w:tab w:val="left" w:pos="5954"/>
        </w:tabs>
        <w:ind w:left="0" w:firstLine="570"/>
        <w:rPr>
          <w:snapToGrid w:val="0"/>
        </w:rPr>
      </w:pPr>
      <w:proofErr w:type="gramStart"/>
      <w:r w:rsidRPr="00020077">
        <w:rPr>
          <w:rFonts w:eastAsia="Times New Roman"/>
          <w:snapToGrid w:val="0"/>
        </w:rPr>
        <w:t>whether</w:t>
      </w:r>
      <w:proofErr w:type="gramEnd"/>
      <w:r w:rsidRPr="00020077">
        <w:rPr>
          <w:rFonts w:eastAsia="Times New Roman"/>
          <w:snapToGrid w:val="0"/>
        </w:rPr>
        <w:t xml:space="preserve"> </w:t>
      </w:r>
      <w:r w:rsidR="00792C1E" w:rsidRPr="00792C1E">
        <w:rPr>
          <w:rFonts w:eastAsia="Times New Roman"/>
          <w:snapToGrid w:val="0"/>
        </w:rPr>
        <w:t>the guidance should clarify that, according to the procedure, varieties claimed as susceptible would also be included in the bioassay</w:t>
      </w:r>
      <w:r w:rsidR="00792C1E">
        <w:rPr>
          <w:snapToGrid w:val="0"/>
        </w:rPr>
        <w:t>.</w:t>
      </w:r>
    </w:p>
    <w:p w:rsidR="005E7BA2" w:rsidRDefault="005E7BA2" w:rsidP="005E7BA2">
      <w:pPr>
        <w:rPr>
          <w:snapToGrid w:val="0"/>
        </w:rPr>
      </w:pPr>
    </w:p>
    <w:p w:rsidR="00F53F69" w:rsidRPr="005E7BA2" w:rsidRDefault="00F53F69" w:rsidP="005E7BA2">
      <w:pPr>
        <w:rPr>
          <w:snapToGrid w:val="0"/>
        </w:rPr>
      </w:pPr>
    </w:p>
    <w:p w:rsidR="005E7BA2" w:rsidRPr="005E7BA2" w:rsidRDefault="005E7BA2" w:rsidP="005E7BA2">
      <w:pPr>
        <w:rPr>
          <w:rFonts w:cs="Arial"/>
        </w:rPr>
      </w:pPr>
      <w:r w:rsidRPr="005E7BA2">
        <w:rPr>
          <w:rFonts w:cs="Arial"/>
        </w:rPr>
        <w:fldChar w:fldCharType="begin"/>
      </w:r>
      <w:r w:rsidRPr="005E7BA2">
        <w:rPr>
          <w:rFonts w:cs="Arial"/>
        </w:rPr>
        <w:instrText xml:space="preserve"> AUTONUM  </w:instrText>
      </w:r>
      <w:r w:rsidRPr="005E7BA2">
        <w:rPr>
          <w:rFonts w:cs="Arial"/>
        </w:rPr>
        <w:fldChar w:fldCharType="end"/>
      </w:r>
      <w:r w:rsidRPr="005E7BA2">
        <w:rPr>
          <w:rFonts w:cs="Arial"/>
        </w:rPr>
        <w:tab/>
        <w:t>The structure of this document is as follows:</w:t>
      </w:r>
    </w:p>
    <w:p w:rsidR="0030109E" w:rsidRDefault="0030109E" w:rsidP="005E7BA2">
      <w:pPr>
        <w:tabs>
          <w:tab w:val="right" w:leader="dot" w:pos="9639"/>
        </w:tabs>
        <w:spacing w:before="60"/>
        <w:ind w:right="1418"/>
        <w:contextualSpacing/>
        <w:jc w:val="center"/>
        <w:rPr>
          <w:rFonts w:cs="Arial"/>
          <w:caps/>
          <w:snapToGrid w:val="0"/>
          <w:sz w:val="18"/>
        </w:rPr>
      </w:pPr>
    </w:p>
    <w:p w:rsidR="00CA52C2" w:rsidRDefault="005E7BA2">
      <w:pPr>
        <w:pStyle w:val="TOC1"/>
        <w:rPr>
          <w:rFonts w:asciiTheme="minorHAnsi" w:eastAsiaTheme="minorEastAsia" w:hAnsiTheme="minorHAnsi" w:cstheme="minorBidi"/>
          <w:caps w:val="0"/>
          <w:noProof/>
          <w:sz w:val="22"/>
          <w:szCs w:val="22"/>
          <w:lang w:eastAsia="ja-JP"/>
        </w:rPr>
      </w:pPr>
      <w:r w:rsidRPr="005E7BA2">
        <w:rPr>
          <w:rFonts w:cs="Arial"/>
          <w:snapToGrid w:val="0"/>
        </w:rPr>
        <w:fldChar w:fldCharType="begin"/>
      </w:r>
      <w:r w:rsidRPr="005E7BA2">
        <w:rPr>
          <w:rFonts w:cs="Arial"/>
          <w:bCs/>
          <w:snapToGrid w:val="0"/>
        </w:rPr>
        <w:instrText xml:space="preserve"> TOC \o "1-3" \h \z \u </w:instrText>
      </w:r>
      <w:r w:rsidRPr="005E7BA2">
        <w:rPr>
          <w:rFonts w:cs="Arial"/>
          <w:snapToGrid w:val="0"/>
        </w:rPr>
        <w:fldChar w:fldCharType="separate"/>
      </w:r>
      <w:hyperlink w:anchor="_Toc19817791" w:history="1">
        <w:r w:rsidR="00CA52C2" w:rsidRPr="00FD0E12">
          <w:rPr>
            <w:rStyle w:val="Hyperlink"/>
            <w:noProof/>
            <w:snapToGrid w:val="0"/>
          </w:rPr>
          <w:t>Executive Summary</w:t>
        </w:r>
        <w:r w:rsidR="00CA52C2">
          <w:rPr>
            <w:noProof/>
            <w:webHidden/>
          </w:rPr>
          <w:tab/>
        </w:r>
        <w:r w:rsidR="00CA52C2">
          <w:rPr>
            <w:noProof/>
            <w:webHidden/>
          </w:rPr>
          <w:fldChar w:fldCharType="begin"/>
        </w:r>
        <w:r w:rsidR="00CA52C2">
          <w:rPr>
            <w:noProof/>
            <w:webHidden/>
          </w:rPr>
          <w:instrText xml:space="preserve"> PAGEREF _Toc19817791 \h </w:instrText>
        </w:r>
        <w:r w:rsidR="00CA52C2">
          <w:rPr>
            <w:noProof/>
            <w:webHidden/>
          </w:rPr>
        </w:r>
        <w:r w:rsidR="00CA52C2">
          <w:rPr>
            <w:noProof/>
            <w:webHidden/>
          </w:rPr>
          <w:fldChar w:fldCharType="separate"/>
        </w:r>
        <w:r w:rsidR="00F53F69">
          <w:rPr>
            <w:noProof/>
            <w:webHidden/>
          </w:rPr>
          <w:t>1</w:t>
        </w:r>
        <w:r w:rsidR="00CA52C2">
          <w:rPr>
            <w:noProof/>
            <w:webHidden/>
          </w:rPr>
          <w:fldChar w:fldCharType="end"/>
        </w:r>
      </w:hyperlink>
    </w:p>
    <w:p w:rsidR="00CA52C2" w:rsidRDefault="00373CEC" w:rsidP="00CA52C2">
      <w:pPr>
        <w:pStyle w:val="TOC1"/>
        <w:jc w:val="both"/>
        <w:rPr>
          <w:rFonts w:asciiTheme="minorHAnsi" w:eastAsiaTheme="minorEastAsia" w:hAnsiTheme="minorHAnsi" w:cstheme="minorBidi"/>
          <w:caps w:val="0"/>
          <w:noProof/>
          <w:sz w:val="22"/>
          <w:szCs w:val="22"/>
          <w:lang w:eastAsia="ja-JP"/>
        </w:rPr>
      </w:pPr>
      <w:hyperlink w:anchor="_Toc19817792" w:history="1">
        <w:r w:rsidR="00CA52C2" w:rsidRPr="00FD0E12">
          <w:rPr>
            <w:rStyle w:val="Hyperlink"/>
            <w:noProof/>
            <w:lang w:eastAsia="ja-JP"/>
          </w:rPr>
          <w:t>Revision of the model “Combining phenotypic and molecular distances in the management of variety collections”</w:t>
        </w:r>
        <w:r w:rsidR="00CA52C2">
          <w:rPr>
            <w:noProof/>
            <w:webHidden/>
          </w:rPr>
          <w:tab/>
        </w:r>
        <w:r w:rsidR="00CA52C2">
          <w:rPr>
            <w:noProof/>
            <w:webHidden/>
          </w:rPr>
          <w:fldChar w:fldCharType="begin"/>
        </w:r>
        <w:r w:rsidR="00CA52C2">
          <w:rPr>
            <w:noProof/>
            <w:webHidden/>
          </w:rPr>
          <w:instrText xml:space="preserve"> PAGEREF _Toc19817792 \h </w:instrText>
        </w:r>
        <w:r w:rsidR="00CA52C2">
          <w:rPr>
            <w:noProof/>
            <w:webHidden/>
          </w:rPr>
        </w:r>
        <w:r w:rsidR="00CA52C2">
          <w:rPr>
            <w:noProof/>
            <w:webHidden/>
          </w:rPr>
          <w:fldChar w:fldCharType="separate"/>
        </w:r>
        <w:r w:rsidR="00F53F69">
          <w:rPr>
            <w:noProof/>
            <w:webHidden/>
          </w:rPr>
          <w:t>2</w:t>
        </w:r>
        <w:r w:rsidR="00CA52C2">
          <w:rPr>
            <w:noProof/>
            <w:webHidden/>
          </w:rPr>
          <w:fldChar w:fldCharType="end"/>
        </w:r>
      </w:hyperlink>
    </w:p>
    <w:p w:rsidR="00CA52C2" w:rsidRDefault="00373CEC" w:rsidP="00CA52C2">
      <w:pPr>
        <w:pStyle w:val="TOC1"/>
        <w:jc w:val="both"/>
        <w:rPr>
          <w:rFonts w:asciiTheme="minorHAnsi" w:eastAsiaTheme="minorEastAsia" w:hAnsiTheme="minorHAnsi" w:cstheme="minorBidi"/>
          <w:caps w:val="0"/>
          <w:noProof/>
          <w:sz w:val="22"/>
          <w:szCs w:val="22"/>
          <w:lang w:eastAsia="ja-JP"/>
        </w:rPr>
      </w:pPr>
      <w:hyperlink w:anchor="_Toc19817795" w:history="1">
        <w:r w:rsidR="00CA52C2" w:rsidRPr="00FD0E12">
          <w:rPr>
            <w:rStyle w:val="Hyperlink"/>
            <w:noProof/>
            <w:lang w:eastAsia="ja-JP"/>
          </w:rPr>
          <w:t>Proposal for inclusion of a new model “Genetic selection of similar varieties for the first growing cycle”</w:t>
        </w:r>
        <w:r w:rsidR="00CA52C2">
          <w:rPr>
            <w:noProof/>
            <w:webHidden/>
          </w:rPr>
          <w:tab/>
        </w:r>
        <w:r w:rsidR="00CA52C2">
          <w:rPr>
            <w:noProof/>
            <w:webHidden/>
          </w:rPr>
          <w:fldChar w:fldCharType="begin"/>
        </w:r>
        <w:r w:rsidR="00CA52C2">
          <w:rPr>
            <w:noProof/>
            <w:webHidden/>
          </w:rPr>
          <w:instrText xml:space="preserve"> PAGEREF _Toc19817795 \h </w:instrText>
        </w:r>
        <w:r w:rsidR="00CA52C2">
          <w:rPr>
            <w:noProof/>
            <w:webHidden/>
          </w:rPr>
        </w:r>
        <w:r w:rsidR="00CA52C2">
          <w:rPr>
            <w:noProof/>
            <w:webHidden/>
          </w:rPr>
          <w:fldChar w:fldCharType="separate"/>
        </w:r>
        <w:r w:rsidR="00F53F69">
          <w:rPr>
            <w:noProof/>
            <w:webHidden/>
          </w:rPr>
          <w:t>3</w:t>
        </w:r>
        <w:r w:rsidR="00CA52C2">
          <w:rPr>
            <w:noProof/>
            <w:webHidden/>
          </w:rPr>
          <w:fldChar w:fldCharType="end"/>
        </w:r>
      </w:hyperlink>
    </w:p>
    <w:p w:rsidR="00CA52C2" w:rsidRDefault="00373CEC" w:rsidP="00CA52C2">
      <w:pPr>
        <w:pStyle w:val="TOC1"/>
        <w:jc w:val="both"/>
        <w:rPr>
          <w:rFonts w:asciiTheme="minorHAnsi" w:eastAsiaTheme="minorEastAsia" w:hAnsiTheme="minorHAnsi" w:cstheme="minorBidi"/>
          <w:caps w:val="0"/>
          <w:noProof/>
          <w:sz w:val="22"/>
          <w:szCs w:val="22"/>
          <w:lang w:eastAsia="ja-JP"/>
        </w:rPr>
      </w:pPr>
      <w:hyperlink w:anchor="_Toc19817798" w:history="1">
        <w:r w:rsidR="00CA52C2" w:rsidRPr="00DF2D8A">
          <w:rPr>
            <w:rStyle w:val="Hyperlink"/>
            <w:noProof/>
            <w:lang w:eastAsia="ja-JP"/>
          </w:rPr>
          <w:t>Characteristic-specific marker with incomplete information on state of expression</w:t>
        </w:r>
        <w:r w:rsidR="00CA52C2">
          <w:rPr>
            <w:noProof/>
            <w:webHidden/>
          </w:rPr>
          <w:tab/>
        </w:r>
        <w:r w:rsidR="00CA52C2">
          <w:rPr>
            <w:noProof/>
            <w:webHidden/>
          </w:rPr>
          <w:fldChar w:fldCharType="begin"/>
        </w:r>
        <w:r w:rsidR="00CA52C2">
          <w:rPr>
            <w:noProof/>
            <w:webHidden/>
          </w:rPr>
          <w:instrText xml:space="preserve"> PAGEREF _Toc19817798 \h </w:instrText>
        </w:r>
        <w:r w:rsidR="00CA52C2">
          <w:rPr>
            <w:noProof/>
            <w:webHidden/>
          </w:rPr>
        </w:r>
        <w:r w:rsidR="00CA52C2">
          <w:rPr>
            <w:noProof/>
            <w:webHidden/>
          </w:rPr>
          <w:fldChar w:fldCharType="separate"/>
        </w:r>
        <w:r w:rsidR="00F53F69">
          <w:rPr>
            <w:noProof/>
            <w:webHidden/>
          </w:rPr>
          <w:t>4</w:t>
        </w:r>
        <w:r w:rsidR="00CA52C2">
          <w:rPr>
            <w:noProof/>
            <w:webHidden/>
          </w:rPr>
          <w:fldChar w:fldCharType="end"/>
        </w:r>
      </w:hyperlink>
    </w:p>
    <w:p w:rsidR="00D47496" w:rsidRPr="00D47496" w:rsidRDefault="005E7BA2" w:rsidP="00D47496">
      <w:pPr>
        <w:rPr>
          <w:rFonts w:cs="Arial"/>
          <w:bCs/>
          <w:snapToGrid w:val="0"/>
          <w:sz w:val="18"/>
        </w:rPr>
      </w:pPr>
      <w:r w:rsidRPr="005E7BA2">
        <w:rPr>
          <w:rFonts w:cs="Arial"/>
          <w:bCs/>
          <w:snapToGrid w:val="0"/>
          <w:sz w:val="18"/>
        </w:rPr>
        <w:fldChar w:fldCharType="end"/>
      </w:r>
      <w:r w:rsidR="00D47496" w:rsidRPr="00D47496">
        <w:rPr>
          <w:rFonts w:cs="Arial"/>
          <w:bCs/>
          <w:snapToGrid w:val="0"/>
          <w:sz w:val="18"/>
        </w:rPr>
        <w:t xml:space="preserve"> </w:t>
      </w:r>
    </w:p>
    <w:p w:rsidR="00D47496" w:rsidRPr="00D47496" w:rsidRDefault="00D47496" w:rsidP="00D47496">
      <w:pPr>
        <w:ind w:left="1134" w:hanging="1134"/>
        <w:rPr>
          <w:rFonts w:cs="Arial"/>
          <w:bCs/>
          <w:snapToGrid w:val="0"/>
          <w:sz w:val="18"/>
        </w:rPr>
      </w:pPr>
      <w:r w:rsidRPr="00D47496">
        <w:rPr>
          <w:rFonts w:cs="Arial"/>
          <w:bCs/>
          <w:snapToGrid w:val="0"/>
          <w:sz w:val="18"/>
        </w:rPr>
        <w:t xml:space="preserve">ANNEX </w:t>
      </w:r>
      <w:r>
        <w:rPr>
          <w:rFonts w:cs="Arial"/>
          <w:bCs/>
          <w:snapToGrid w:val="0"/>
          <w:sz w:val="18"/>
        </w:rPr>
        <w:t>I</w:t>
      </w:r>
      <w:r w:rsidRPr="00D47496">
        <w:rPr>
          <w:rFonts w:cs="Arial"/>
          <w:bCs/>
          <w:snapToGrid w:val="0"/>
          <w:sz w:val="18"/>
        </w:rPr>
        <w:tab/>
        <w:t>PROPOSAL AGREED BY THE TECHNICAL COMMITTEE (TC) TO AMEND DOCUMENT TGP/15/2 DRAFT 1 “GUIDANCE ON THE USE OF BIOCHEMICAL AND MOLECULAR MARKERS IN THE EXAMINATION OF DISTINCTNESS, UNIFORMITY AND STABILITY (DUS)” NEW MODEL: “GENETIC SELECTION OF SIMILAR VARIETIES FOR THE FIRST GROWING CYCLE”</w:t>
      </w:r>
    </w:p>
    <w:p w:rsidR="0030109E" w:rsidRDefault="0030109E" w:rsidP="005E7BA2">
      <w:pPr>
        <w:rPr>
          <w:rFonts w:cs="Arial"/>
          <w:bCs/>
          <w:snapToGrid w:val="0"/>
          <w:sz w:val="18"/>
        </w:rPr>
      </w:pPr>
    </w:p>
    <w:p w:rsidR="005E7BA2" w:rsidRPr="005E7BA2" w:rsidRDefault="005E7BA2" w:rsidP="005E7BA2">
      <w:pPr>
        <w:rPr>
          <w:snapToGrid w:val="0"/>
          <w:sz w:val="18"/>
          <w:szCs w:val="18"/>
        </w:rPr>
      </w:pPr>
      <w:r w:rsidRPr="005E7BA2">
        <w:rPr>
          <w:snapToGrid w:val="0"/>
          <w:sz w:val="18"/>
          <w:szCs w:val="18"/>
        </w:rPr>
        <w:t>ANNEX</w:t>
      </w:r>
      <w:r w:rsidR="00D47496">
        <w:rPr>
          <w:snapToGrid w:val="0"/>
          <w:sz w:val="18"/>
          <w:szCs w:val="18"/>
        </w:rPr>
        <w:t xml:space="preserve"> II</w:t>
      </w:r>
      <w:r w:rsidRPr="005E7BA2">
        <w:rPr>
          <w:snapToGrid w:val="0"/>
          <w:sz w:val="18"/>
          <w:szCs w:val="18"/>
        </w:rPr>
        <w:tab/>
      </w:r>
      <w:r w:rsidR="00D47496">
        <w:rPr>
          <w:snapToGrid w:val="0"/>
          <w:sz w:val="18"/>
          <w:szCs w:val="18"/>
        </w:rPr>
        <w:t xml:space="preserve">EXAMPLE 2:  </w:t>
      </w:r>
      <w:r w:rsidR="00D47496" w:rsidRPr="005E7BA2">
        <w:rPr>
          <w:snapToGrid w:val="0"/>
          <w:sz w:val="18"/>
          <w:szCs w:val="18"/>
        </w:rPr>
        <w:t>GENE-SPECIFIC MARKER FOR DISEASE RESISTANCE IN TOMATO</w:t>
      </w:r>
    </w:p>
    <w:p w:rsidR="005E7BA2" w:rsidRDefault="005E7BA2" w:rsidP="005E7BA2">
      <w:pPr>
        <w:jc w:val="left"/>
        <w:rPr>
          <w:snapToGrid w:val="0"/>
          <w:sz w:val="18"/>
          <w:szCs w:val="18"/>
        </w:rPr>
      </w:pPr>
    </w:p>
    <w:p w:rsidR="0014610D" w:rsidRPr="005E7BA2" w:rsidRDefault="0014610D" w:rsidP="005E7BA2">
      <w:pPr>
        <w:jc w:val="left"/>
        <w:rPr>
          <w:snapToGrid w:val="0"/>
          <w:sz w:val="18"/>
          <w:szCs w:val="18"/>
        </w:rPr>
      </w:pPr>
    </w:p>
    <w:bookmarkStart w:id="3" w:name="_Toc352678045"/>
    <w:bookmarkStart w:id="4" w:name="_Toc353797725"/>
    <w:bookmarkStart w:id="5" w:name="_Toc386185970"/>
    <w:bookmarkStart w:id="6" w:name="_Toc419124858"/>
    <w:bookmarkStart w:id="7" w:name="_Toc386185971"/>
    <w:bookmarkStart w:id="8" w:name="_Toc419124859"/>
    <w:p w:rsidR="005E7BA2" w:rsidRPr="005E7BA2" w:rsidRDefault="005E7BA2" w:rsidP="005E7BA2">
      <w:pPr>
        <w:keepNext/>
      </w:pPr>
      <w:r w:rsidRPr="005E7BA2">
        <w:fldChar w:fldCharType="begin"/>
      </w:r>
      <w:r w:rsidRPr="005E7BA2">
        <w:instrText xml:space="preserve"> AUTONUM  </w:instrText>
      </w:r>
      <w:r w:rsidRPr="005E7BA2">
        <w:fldChar w:fldCharType="end"/>
      </w:r>
      <w:r w:rsidRPr="005E7BA2">
        <w:tab/>
        <w:t>The following abbreviations are used in this document:</w:t>
      </w:r>
    </w:p>
    <w:bookmarkEnd w:id="3"/>
    <w:bookmarkEnd w:id="4"/>
    <w:bookmarkEnd w:id="5"/>
    <w:bookmarkEnd w:id="6"/>
    <w:bookmarkEnd w:id="7"/>
    <w:bookmarkEnd w:id="8"/>
    <w:p w:rsidR="005E7BA2" w:rsidRPr="005E7BA2" w:rsidRDefault="005E7BA2" w:rsidP="005E7BA2"/>
    <w:p w:rsidR="005E7BA2" w:rsidRDefault="005E7BA2" w:rsidP="005E7BA2">
      <w:pPr>
        <w:tabs>
          <w:tab w:val="left" w:pos="567"/>
        </w:tabs>
        <w:ind w:left="1701" w:hanging="1134"/>
      </w:pPr>
      <w:r w:rsidRPr="005E7BA2">
        <w:t>BMT:</w:t>
      </w:r>
      <w:r w:rsidRPr="005E7BA2">
        <w:tab/>
        <w:t xml:space="preserve">Working Group on Biochemical and Molecular Techniques, and DNA-Profiling in Particular </w:t>
      </w:r>
    </w:p>
    <w:p w:rsidR="009231CD" w:rsidRDefault="009231CD" w:rsidP="009231CD">
      <w:pPr>
        <w:tabs>
          <w:tab w:val="left" w:pos="567"/>
        </w:tabs>
        <w:ind w:left="1701" w:hanging="1134"/>
      </w:pPr>
      <w:r>
        <w:t>CAJ</w:t>
      </w:r>
      <w:r w:rsidRPr="005E7BA2">
        <w:t>:</w:t>
      </w:r>
      <w:r w:rsidRPr="005E7BA2">
        <w:tab/>
      </w:r>
      <w:r w:rsidRPr="000B3ADF">
        <w:t>Administrative and Legal Committee</w:t>
      </w:r>
    </w:p>
    <w:p w:rsidR="005E7BA2" w:rsidRPr="005E7BA2" w:rsidRDefault="005E7BA2" w:rsidP="005E7BA2">
      <w:pPr>
        <w:tabs>
          <w:tab w:val="left" w:pos="567"/>
        </w:tabs>
        <w:ind w:left="1701" w:hanging="1134"/>
      </w:pPr>
      <w:r w:rsidRPr="005E7BA2">
        <w:t>TC:</w:t>
      </w:r>
      <w:r w:rsidRPr="005E7BA2">
        <w:tab/>
        <w:t>Technical Committee</w:t>
      </w:r>
    </w:p>
    <w:p w:rsidR="005E7BA2" w:rsidRPr="005E7BA2" w:rsidRDefault="005E7BA2" w:rsidP="005E7BA2">
      <w:pPr>
        <w:ind w:left="1701" w:hanging="1134"/>
        <w:rPr>
          <w:rFonts w:eastAsia="PMingLiU" w:cs="Arial"/>
        </w:rPr>
      </w:pPr>
      <w:r w:rsidRPr="005E7BA2">
        <w:rPr>
          <w:rFonts w:eastAsia="PMingLiU" w:cs="Arial"/>
        </w:rPr>
        <w:t>TWA:</w:t>
      </w:r>
      <w:r w:rsidRPr="005E7BA2">
        <w:rPr>
          <w:rFonts w:eastAsia="PMingLiU" w:cs="Arial"/>
        </w:rPr>
        <w:tab/>
        <w:t>Technical Working Party for Agricultural Crops</w:t>
      </w:r>
    </w:p>
    <w:p w:rsidR="005E7BA2" w:rsidRPr="005E7BA2" w:rsidRDefault="005E7BA2" w:rsidP="005E7BA2">
      <w:pPr>
        <w:ind w:left="1701" w:hanging="1134"/>
        <w:rPr>
          <w:rFonts w:eastAsia="PMingLiU" w:cs="Arial"/>
        </w:rPr>
      </w:pPr>
      <w:r w:rsidRPr="005E7BA2">
        <w:rPr>
          <w:rFonts w:eastAsia="PMingLiU" w:cs="Arial"/>
        </w:rPr>
        <w:t>TWC:</w:t>
      </w:r>
      <w:r w:rsidRPr="005E7BA2">
        <w:rPr>
          <w:rFonts w:eastAsia="PMingLiU" w:cs="Arial"/>
        </w:rPr>
        <w:tab/>
        <w:t>Technical Working Party on Automation and Computer Programs</w:t>
      </w:r>
    </w:p>
    <w:p w:rsidR="005E7BA2" w:rsidRPr="005E7BA2" w:rsidRDefault="005E7BA2" w:rsidP="005E7BA2">
      <w:pPr>
        <w:ind w:left="1701" w:hanging="1134"/>
        <w:rPr>
          <w:rFonts w:eastAsia="PMingLiU" w:cs="Arial"/>
        </w:rPr>
      </w:pPr>
      <w:r w:rsidRPr="005E7BA2">
        <w:rPr>
          <w:rFonts w:eastAsia="PMingLiU" w:cs="Arial"/>
        </w:rPr>
        <w:t>TWF:</w:t>
      </w:r>
      <w:r w:rsidRPr="005E7BA2">
        <w:rPr>
          <w:rFonts w:eastAsia="PMingLiU" w:cs="Arial"/>
        </w:rPr>
        <w:tab/>
        <w:t>Technical Working Party for Fruit Crops</w:t>
      </w:r>
    </w:p>
    <w:p w:rsidR="005E7BA2" w:rsidRPr="005E7BA2" w:rsidRDefault="005E7BA2" w:rsidP="005E7BA2">
      <w:pPr>
        <w:ind w:left="1701" w:hanging="1134"/>
        <w:rPr>
          <w:rFonts w:eastAsia="PMingLiU" w:cs="Arial"/>
        </w:rPr>
      </w:pPr>
      <w:r w:rsidRPr="005E7BA2">
        <w:rPr>
          <w:rFonts w:eastAsia="PMingLiU" w:cs="Arial"/>
        </w:rPr>
        <w:t>TWO:</w:t>
      </w:r>
      <w:r w:rsidRPr="005E7BA2">
        <w:rPr>
          <w:rFonts w:eastAsia="PMingLiU" w:cs="Arial"/>
        </w:rPr>
        <w:tab/>
        <w:t>Technical Working Party for Ornamental Plants and Forest Trees</w:t>
      </w:r>
    </w:p>
    <w:p w:rsidR="005E7BA2" w:rsidRPr="005E7BA2" w:rsidRDefault="005E7BA2" w:rsidP="005E7BA2">
      <w:pPr>
        <w:ind w:left="1701" w:hanging="1134"/>
        <w:rPr>
          <w:rFonts w:eastAsia="PMingLiU" w:cs="Arial"/>
        </w:rPr>
      </w:pPr>
      <w:r w:rsidRPr="005E7BA2">
        <w:rPr>
          <w:rFonts w:eastAsia="PMingLiU" w:cs="Arial"/>
        </w:rPr>
        <w:t>TWPs:</w:t>
      </w:r>
      <w:r w:rsidRPr="005E7BA2">
        <w:rPr>
          <w:rFonts w:eastAsia="PMingLiU" w:cs="Arial"/>
        </w:rPr>
        <w:tab/>
        <w:t>Technical Working Parties</w:t>
      </w:r>
    </w:p>
    <w:p w:rsidR="005E7BA2" w:rsidRPr="005E7BA2" w:rsidRDefault="005E7BA2" w:rsidP="005E7BA2">
      <w:pPr>
        <w:ind w:left="1701" w:hanging="1134"/>
        <w:rPr>
          <w:rFonts w:eastAsia="PMingLiU" w:cs="Arial"/>
        </w:rPr>
      </w:pPr>
      <w:r w:rsidRPr="005E7BA2">
        <w:rPr>
          <w:rFonts w:eastAsia="PMingLiU" w:cs="Arial"/>
        </w:rPr>
        <w:t>TWV:</w:t>
      </w:r>
      <w:r w:rsidRPr="005E7BA2">
        <w:rPr>
          <w:rFonts w:eastAsia="PMingLiU" w:cs="Arial"/>
        </w:rPr>
        <w:tab/>
        <w:t>Technical Working Party for Vegetables</w:t>
      </w:r>
    </w:p>
    <w:p w:rsidR="005E7BA2" w:rsidRDefault="005E7BA2" w:rsidP="005E7BA2">
      <w:pPr>
        <w:rPr>
          <w:rFonts w:cs="Arial"/>
        </w:rPr>
      </w:pPr>
    </w:p>
    <w:p w:rsidR="005E7BA2" w:rsidRPr="005E7BA2" w:rsidRDefault="005E7BA2" w:rsidP="005E7BA2">
      <w:pPr>
        <w:rPr>
          <w:rFonts w:cs="Arial"/>
        </w:rPr>
      </w:pPr>
    </w:p>
    <w:p w:rsidR="0030109E" w:rsidRPr="00494F2F" w:rsidRDefault="0030109E" w:rsidP="006C78DA">
      <w:pPr>
        <w:pStyle w:val="Heading1"/>
      </w:pPr>
      <w:bookmarkStart w:id="9" w:name="_Toc525748535"/>
      <w:bookmarkStart w:id="10" w:name="_Toc535518939"/>
      <w:bookmarkStart w:id="11" w:name="_Toc536782771"/>
      <w:bookmarkStart w:id="12" w:name="_Toc19817792"/>
      <w:r>
        <w:t>R</w:t>
      </w:r>
      <w:r w:rsidRPr="00E919B6">
        <w:t>evision of the model “Combining phenotypic and molecular distances in the management of variety collections”</w:t>
      </w:r>
      <w:bookmarkEnd w:id="9"/>
      <w:bookmarkEnd w:id="10"/>
      <w:bookmarkEnd w:id="11"/>
      <w:bookmarkEnd w:id="12"/>
    </w:p>
    <w:p w:rsidR="0030109E" w:rsidRDefault="0030109E" w:rsidP="0030109E"/>
    <w:p w:rsidR="0030109E" w:rsidRDefault="0030109E" w:rsidP="0030109E">
      <w:pPr>
        <w:pStyle w:val="Heading2"/>
      </w:pPr>
      <w:bookmarkStart w:id="13" w:name="_Toc19817793"/>
      <w:r>
        <w:t>Background</w:t>
      </w:r>
      <w:bookmarkEnd w:id="13"/>
    </w:p>
    <w:p w:rsidR="0030109E" w:rsidRDefault="0030109E" w:rsidP="0030109E"/>
    <w:p w:rsidR="0030109E" w:rsidRPr="00494F2F" w:rsidRDefault="0030109E" w:rsidP="0030109E">
      <w:pPr>
        <w:keepNext/>
        <w:rPr>
          <w:rFonts w:eastAsiaTheme="minorEastAsia"/>
          <w:lang w:eastAsia="ja-JP"/>
        </w:rPr>
      </w:pPr>
      <w:r w:rsidRPr="00274B8D">
        <w:fldChar w:fldCharType="begin"/>
      </w:r>
      <w:r w:rsidRPr="00274B8D">
        <w:instrText xml:space="preserve"> AUTONUM  </w:instrText>
      </w:r>
      <w:r w:rsidRPr="00274B8D">
        <w:fldChar w:fldCharType="end"/>
      </w:r>
      <w:r w:rsidRPr="00274B8D">
        <w:tab/>
      </w:r>
      <w:r w:rsidRPr="00274B8D">
        <w:rPr>
          <w:rFonts w:eastAsiaTheme="minorEastAsia"/>
          <w:lang w:eastAsia="ja-JP"/>
        </w:rPr>
        <w:t>The background</w:t>
      </w:r>
      <w:r w:rsidRPr="00274B8D">
        <w:rPr>
          <w:rFonts w:eastAsiaTheme="minorEastAsia" w:hint="eastAsia"/>
          <w:lang w:eastAsia="ja-JP"/>
        </w:rPr>
        <w:t xml:space="preserve"> to this matter is provided in document </w:t>
      </w:r>
      <w:r w:rsidR="00274B8D">
        <w:rPr>
          <w:rFonts w:eastAsiaTheme="minorEastAsia"/>
          <w:lang w:eastAsia="ja-JP"/>
        </w:rPr>
        <w:t>BM</w:t>
      </w:r>
      <w:r w:rsidRPr="00274B8D">
        <w:rPr>
          <w:rFonts w:eastAsiaTheme="minorEastAsia"/>
          <w:lang w:eastAsia="ja-JP"/>
        </w:rPr>
        <w:t>T</w:t>
      </w:r>
      <w:r w:rsidRPr="00274B8D">
        <w:rPr>
          <w:rFonts w:hint="eastAsia"/>
          <w:lang w:eastAsia="ja-JP"/>
        </w:rPr>
        <w:t>/</w:t>
      </w:r>
      <w:r w:rsidR="00274B8D">
        <w:rPr>
          <w:lang w:eastAsia="ja-JP"/>
        </w:rPr>
        <w:t>17</w:t>
      </w:r>
      <w:r w:rsidRPr="00274B8D">
        <w:rPr>
          <w:rFonts w:hint="eastAsia"/>
          <w:lang w:eastAsia="ja-JP"/>
        </w:rPr>
        <w:t>/</w:t>
      </w:r>
      <w:r w:rsidRPr="00274B8D">
        <w:rPr>
          <w:lang w:eastAsia="ja-JP"/>
        </w:rPr>
        <w:t>7</w:t>
      </w:r>
      <w:r w:rsidRPr="00274B8D">
        <w:rPr>
          <w:rFonts w:hint="eastAsia"/>
          <w:lang w:eastAsia="ja-JP"/>
        </w:rPr>
        <w:t xml:space="preserve"> </w:t>
      </w:r>
      <w:r w:rsidRPr="00274B8D">
        <w:rPr>
          <w:lang w:eastAsia="ja-JP"/>
        </w:rPr>
        <w:t>“</w:t>
      </w:r>
      <w:r w:rsidR="00274B8D" w:rsidRPr="00274B8D">
        <w:rPr>
          <w:lang w:eastAsia="ja-JP"/>
        </w:rPr>
        <w:t xml:space="preserve">Revision of document TGP/15 </w:t>
      </w:r>
      <w:r w:rsidR="007F47A5">
        <w:rPr>
          <w:lang w:eastAsia="ja-JP"/>
        </w:rPr>
        <w:t>‘</w:t>
      </w:r>
      <w:r w:rsidR="00274B8D" w:rsidRPr="00274B8D">
        <w:rPr>
          <w:lang w:eastAsia="ja-JP"/>
        </w:rPr>
        <w:t>Guidance on the Use of Biochemical and Molecular Markers in the Examination of Distinctness, Uniformity and Stability (DUS)</w:t>
      </w:r>
      <w:r w:rsidR="007F47A5">
        <w:rPr>
          <w:lang w:eastAsia="ja-JP"/>
        </w:rPr>
        <w:t>’</w:t>
      </w:r>
      <w:r w:rsidRPr="00274B8D">
        <w:rPr>
          <w:lang w:eastAsia="ja-JP"/>
        </w:rPr>
        <w:t>”, paragraph</w:t>
      </w:r>
      <w:r w:rsidR="00055705">
        <w:rPr>
          <w:lang w:eastAsia="ja-JP"/>
        </w:rPr>
        <w:t>s</w:t>
      </w:r>
      <w:r w:rsidRPr="00274B8D">
        <w:rPr>
          <w:lang w:eastAsia="ja-JP"/>
        </w:rPr>
        <w:t xml:space="preserve"> </w:t>
      </w:r>
      <w:r w:rsidR="00055705">
        <w:rPr>
          <w:lang w:eastAsia="ja-JP"/>
        </w:rPr>
        <w:t>9</w:t>
      </w:r>
      <w:r w:rsidRPr="00274B8D">
        <w:rPr>
          <w:lang w:eastAsia="ja-JP"/>
        </w:rPr>
        <w:t xml:space="preserve"> to 1</w:t>
      </w:r>
      <w:r w:rsidR="00055705">
        <w:rPr>
          <w:lang w:eastAsia="ja-JP"/>
        </w:rPr>
        <w:t>8</w:t>
      </w:r>
      <w:r w:rsidRPr="00274B8D">
        <w:rPr>
          <w:rFonts w:eastAsiaTheme="minorEastAsia" w:hint="eastAsia"/>
          <w:lang w:eastAsia="ja-JP"/>
        </w:rPr>
        <w:t>.</w:t>
      </w:r>
    </w:p>
    <w:p w:rsidR="0030109E" w:rsidRPr="004D01F1" w:rsidRDefault="0030109E" w:rsidP="0030109E">
      <w:pPr>
        <w:keepNext/>
        <w:autoSpaceDE w:val="0"/>
        <w:autoSpaceDN w:val="0"/>
        <w:adjustRightInd w:val="0"/>
      </w:pPr>
    </w:p>
    <w:p w:rsidR="0030109E" w:rsidRDefault="0030109E" w:rsidP="0030109E">
      <w:pPr>
        <w:keepNext/>
      </w:pPr>
      <w:r w:rsidRPr="005B00D8">
        <w:rPr>
          <w:rFonts w:cs="Arial"/>
        </w:rPr>
        <w:fldChar w:fldCharType="begin"/>
      </w:r>
      <w:r w:rsidRPr="005B00D8">
        <w:rPr>
          <w:rFonts w:cs="Arial"/>
        </w:rPr>
        <w:instrText xml:space="preserve"> AUTONUM  </w:instrText>
      </w:r>
      <w:r w:rsidRPr="005B00D8">
        <w:rPr>
          <w:rFonts w:cs="Arial"/>
        </w:rPr>
        <w:fldChar w:fldCharType="end"/>
      </w:r>
      <w:r w:rsidRPr="005B00D8">
        <w:rPr>
          <w:rFonts w:cs="Arial"/>
        </w:rPr>
        <w:tab/>
        <w:t>T</w:t>
      </w:r>
      <w:r w:rsidRPr="005B00D8">
        <w:rPr>
          <w:rFonts w:hint="eastAsia"/>
          <w:color w:val="000000"/>
          <w:lang w:eastAsia="ja-JP"/>
        </w:rPr>
        <w:t xml:space="preserve">he </w:t>
      </w:r>
      <w:r w:rsidR="00055705" w:rsidRPr="00055705">
        <w:rPr>
          <w:color w:val="000000"/>
          <w:lang w:eastAsia="ja-JP"/>
        </w:rPr>
        <w:t xml:space="preserve">Working Group on Biochemical and Molecular Techniques, and DNA-Profiling in Particular </w:t>
      </w:r>
      <w:r w:rsidR="00055705">
        <w:rPr>
          <w:color w:val="000000"/>
          <w:lang w:eastAsia="ja-JP"/>
        </w:rPr>
        <w:t>(</w:t>
      </w:r>
      <w:r w:rsidRPr="005B00D8">
        <w:rPr>
          <w:color w:val="000000"/>
          <w:lang w:eastAsia="ja-JP"/>
        </w:rPr>
        <w:t>BMT</w:t>
      </w:r>
      <w:r w:rsidR="00055705">
        <w:rPr>
          <w:color w:val="000000"/>
          <w:lang w:eastAsia="ja-JP"/>
        </w:rPr>
        <w:t>)</w:t>
      </w:r>
      <w:r w:rsidRPr="005B00D8">
        <w:rPr>
          <w:color w:val="000000"/>
          <w:lang w:eastAsia="ja-JP"/>
        </w:rPr>
        <w:t>, at its seventeenth session</w:t>
      </w:r>
      <w:r w:rsidRPr="005B00D8">
        <w:rPr>
          <w:rFonts w:cs="Arial"/>
          <w:iCs/>
        </w:rPr>
        <w:t xml:space="preserve">, </w:t>
      </w:r>
      <w:r w:rsidR="00055705">
        <w:rPr>
          <w:rFonts w:cs="Arial"/>
          <w:iCs/>
        </w:rPr>
        <w:t xml:space="preserve">held in Montevideo, Uruguay, from September 10 to 13, 2018, </w:t>
      </w:r>
      <w:r w:rsidRPr="005B00D8">
        <w:rPr>
          <w:snapToGrid w:val="0"/>
          <w:color w:val="000000"/>
        </w:rPr>
        <w:t>considered documents BMT/17/7</w:t>
      </w:r>
      <w:r>
        <w:t xml:space="preserve"> and </w:t>
      </w:r>
      <w:r w:rsidRPr="001854C5">
        <w:t>TGP/15/2 Draft 1</w:t>
      </w:r>
      <w:r>
        <w:t xml:space="preserve">.  Document BMT/17/7 contained a revised proposal from France for the revision of document TGP/15, Section 2.2, in response to the comments made by the </w:t>
      </w:r>
      <w:r w:rsidR="00055705" w:rsidRPr="00055705">
        <w:t xml:space="preserve">Technical Working Party for Agricultural Crops </w:t>
      </w:r>
      <w:r w:rsidR="00055705">
        <w:t>(</w:t>
      </w:r>
      <w:r>
        <w:t>TWA</w:t>
      </w:r>
      <w:r w:rsidR="00055705">
        <w:t>),</w:t>
      </w:r>
      <w:r>
        <w:t xml:space="preserve"> at its forty</w:t>
      </w:r>
      <w:r w:rsidR="00055705">
        <w:noBreakHyphen/>
      </w:r>
      <w:r>
        <w:t>seventh session.</w:t>
      </w:r>
    </w:p>
    <w:p w:rsidR="0030109E" w:rsidRPr="00217A34" w:rsidRDefault="0030109E" w:rsidP="0030109E"/>
    <w:p w:rsidR="0030109E" w:rsidRPr="00217A34" w:rsidRDefault="0030109E" w:rsidP="0030109E">
      <w:r w:rsidRPr="00217A34">
        <w:fldChar w:fldCharType="begin"/>
      </w:r>
      <w:r w:rsidRPr="00217A34">
        <w:instrText xml:space="preserve"> AUTONUM  </w:instrText>
      </w:r>
      <w:r w:rsidRPr="00217A34">
        <w:fldChar w:fldCharType="end"/>
      </w:r>
      <w:r w:rsidRPr="00217A34">
        <w:tab/>
        <w:t>The BMT considered the revision of the example of parent lines in maize prepared by the experts from France.  The BMT noted that the establishment of an additional threshold for genetic distance below GAIA distance 2 had not been implemented in France at that time. The BMT noted that the nature of document TGP/15 was to present examples of the use of molecular markers in DUS examination among UPOV members. The BMT agreed to recommend that the example in document TGP/15</w:t>
      </w:r>
      <w:r>
        <w:t>, Section 2.2,</w:t>
      </w:r>
      <w:r w:rsidRPr="00217A34">
        <w:t xml:space="preserve"> be revised at a later stage once the additional threshold level had been implemented in France</w:t>
      </w:r>
      <w:r>
        <w:t xml:space="preserve"> </w:t>
      </w:r>
      <w:r w:rsidRPr="006A27CC">
        <w:rPr>
          <w:rFonts w:cs="Arial" w:hint="eastAsia"/>
          <w:lang w:eastAsia="ja-JP"/>
        </w:rPr>
        <w:t>(see document</w:t>
      </w:r>
      <w:r>
        <w:rPr>
          <w:rFonts w:cs="Arial"/>
          <w:lang w:eastAsia="ja-JP"/>
        </w:rPr>
        <w:t> BM</w:t>
      </w:r>
      <w:r w:rsidRPr="006A27CC">
        <w:rPr>
          <w:rFonts w:cs="Arial" w:hint="eastAsia"/>
          <w:lang w:eastAsia="ja-JP"/>
        </w:rPr>
        <w:t>T/</w:t>
      </w:r>
      <w:r>
        <w:rPr>
          <w:rFonts w:cs="Arial"/>
          <w:lang w:eastAsia="ja-JP"/>
        </w:rPr>
        <w:t>17</w:t>
      </w:r>
      <w:r w:rsidRPr="006A27CC">
        <w:rPr>
          <w:rFonts w:cs="Arial" w:hint="eastAsia"/>
          <w:lang w:eastAsia="ja-JP"/>
        </w:rPr>
        <w:t>/</w:t>
      </w:r>
      <w:r>
        <w:rPr>
          <w:rFonts w:cs="Arial"/>
          <w:lang w:eastAsia="ja-JP"/>
        </w:rPr>
        <w:t>25</w:t>
      </w:r>
      <w:r w:rsidRPr="006A27CC">
        <w:rPr>
          <w:rFonts w:cs="Arial" w:hint="eastAsia"/>
          <w:lang w:eastAsia="ja-JP"/>
        </w:rPr>
        <w:t xml:space="preserve"> </w:t>
      </w:r>
      <w:r w:rsidRPr="006A27CC">
        <w:rPr>
          <w:rFonts w:cs="Arial"/>
          <w:lang w:eastAsia="ja-JP"/>
        </w:rPr>
        <w:t>“</w:t>
      </w:r>
      <w:r w:rsidRPr="006A27CC">
        <w:rPr>
          <w:rFonts w:cs="Arial" w:hint="eastAsia"/>
          <w:lang w:eastAsia="ja-JP"/>
        </w:rPr>
        <w:t>Report</w:t>
      </w:r>
      <w:r w:rsidRPr="006A27CC">
        <w:rPr>
          <w:rFonts w:cs="Arial"/>
          <w:lang w:eastAsia="ja-JP"/>
        </w:rPr>
        <w:t>”</w:t>
      </w:r>
      <w:r w:rsidRPr="006A27CC">
        <w:rPr>
          <w:rFonts w:cs="Arial" w:hint="eastAsia"/>
          <w:lang w:eastAsia="ja-JP"/>
        </w:rPr>
        <w:t xml:space="preserve">, paragraph </w:t>
      </w:r>
      <w:r>
        <w:rPr>
          <w:rFonts w:cs="Arial"/>
          <w:lang w:eastAsia="ja-JP"/>
        </w:rPr>
        <w:t>58</w:t>
      </w:r>
      <w:r w:rsidRPr="006A27CC">
        <w:rPr>
          <w:rFonts w:cs="Arial" w:hint="eastAsia"/>
          <w:lang w:eastAsia="ja-JP"/>
        </w:rPr>
        <w:t>)</w:t>
      </w:r>
      <w:r w:rsidRPr="00217A34">
        <w:t>.</w:t>
      </w:r>
    </w:p>
    <w:p w:rsidR="0030109E" w:rsidRPr="00494F2F" w:rsidRDefault="0030109E" w:rsidP="0030109E">
      <w:pPr>
        <w:pStyle w:val="Heading2"/>
      </w:pPr>
    </w:p>
    <w:p w:rsidR="0030109E" w:rsidRPr="00494F2F" w:rsidRDefault="0030109E" w:rsidP="0030109E">
      <w:pPr>
        <w:pStyle w:val="Heading2"/>
        <w:rPr>
          <w:caps/>
          <w:snapToGrid w:val="0"/>
          <w:lang w:eastAsia="ja-JP"/>
        </w:rPr>
      </w:pPr>
      <w:bookmarkStart w:id="14" w:name="_Toc536782782"/>
      <w:bookmarkStart w:id="15" w:name="_Toc19817794"/>
      <w:r>
        <w:rPr>
          <w:snapToGrid w:val="0"/>
          <w:lang w:eastAsia="ja-JP"/>
        </w:rPr>
        <w:t>D</w:t>
      </w:r>
      <w:r w:rsidRPr="00494F2F">
        <w:rPr>
          <w:snapToGrid w:val="0"/>
          <w:lang w:eastAsia="ja-JP"/>
        </w:rPr>
        <w:t xml:space="preserve">evelopments at </w:t>
      </w:r>
      <w:r w:rsidRPr="00DF06EF">
        <w:rPr>
          <w:snapToGrid w:val="0"/>
          <w:lang w:eastAsia="ja-JP"/>
        </w:rPr>
        <w:t>the f</w:t>
      </w:r>
      <w:r>
        <w:rPr>
          <w:snapToGrid w:val="0"/>
          <w:lang w:eastAsia="ja-JP"/>
        </w:rPr>
        <w:t>if</w:t>
      </w:r>
      <w:r w:rsidRPr="00DF06EF">
        <w:rPr>
          <w:snapToGrid w:val="0"/>
          <w:lang w:eastAsia="ja-JP"/>
        </w:rPr>
        <w:t>ty-</w:t>
      </w:r>
      <w:r>
        <w:rPr>
          <w:snapToGrid w:val="0"/>
          <w:lang w:eastAsia="ja-JP"/>
        </w:rPr>
        <w:t>fourth</w:t>
      </w:r>
      <w:r w:rsidRPr="00DF06EF">
        <w:rPr>
          <w:snapToGrid w:val="0"/>
          <w:lang w:eastAsia="ja-JP"/>
        </w:rPr>
        <w:t xml:space="preserve"> session of </w:t>
      </w:r>
      <w:r w:rsidRPr="00494F2F">
        <w:rPr>
          <w:snapToGrid w:val="0"/>
          <w:lang w:eastAsia="ja-JP"/>
        </w:rPr>
        <w:t xml:space="preserve">the </w:t>
      </w:r>
      <w:r>
        <w:rPr>
          <w:snapToGrid w:val="0"/>
          <w:lang w:eastAsia="ja-JP"/>
        </w:rPr>
        <w:t>T</w:t>
      </w:r>
      <w:r w:rsidRPr="00DF06EF">
        <w:rPr>
          <w:snapToGrid w:val="0"/>
          <w:lang w:eastAsia="ja-JP"/>
        </w:rPr>
        <w:t xml:space="preserve">echnical </w:t>
      </w:r>
      <w:r>
        <w:rPr>
          <w:snapToGrid w:val="0"/>
          <w:lang w:eastAsia="ja-JP"/>
        </w:rPr>
        <w:t>Committee</w:t>
      </w:r>
      <w:bookmarkEnd w:id="14"/>
      <w:bookmarkEnd w:id="15"/>
    </w:p>
    <w:p w:rsidR="0030109E" w:rsidRDefault="0030109E" w:rsidP="0030109E">
      <w:pPr>
        <w:autoSpaceDE w:val="0"/>
        <w:autoSpaceDN w:val="0"/>
        <w:adjustRightInd w:val="0"/>
        <w:rPr>
          <w:rFonts w:cs="Arial"/>
          <w:lang w:eastAsia="ja-JP"/>
        </w:rPr>
      </w:pPr>
    </w:p>
    <w:p w:rsidR="0030109E" w:rsidRDefault="0030109E" w:rsidP="0030109E">
      <w:r>
        <w:fldChar w:fldCharType="begin"/>
      </w:r>
      <w:r>
        <w:instrText xml:space="preserve"> AUTONUM  </w:instrText>
      </w:r>
      <w:r>
        <w:fldChar w:fldCharType="end"/>
      </w:r>
      <w:r>
        <w:tab/>
      </w:r>
      <w:r w:rsidRPr="009A1EE3">
        <w:t xml:space="preserve">The </w:t>
      </w:r>
      <w:r w:rsidR="00055705" w:rsidRPr="00055705">
        <w:t xml:space="preserve">Technical Committee </w:t>
      </w:r>
      <w:r w:rsidR="00055705">
        <w:t>(</w:t>
      </w:r>
      <w:r w:rsidRPr="009A1EE3">
        <w:t>TC</w:t>
      </w:r>
      <w:r w:rsidR="00055705">
        <w:t>)</w:t>
      </w:r>
      <w:r>
        <w:t>,</w:t>
      </w:r>
      <w:r w:rsidRPr="004F1276">
        <w:t xml:space="preserve"> </w:t>
      </w:r>
      <w:r>
        <w:t>at its fifty-fourth session</w:t>
      </w:r>
      <w:r w:rsidR="00055705" w:rsidRPr="005B00D8">
        <w:rPr>
          <w:rFonts w:cs="Arial"/>
          <w:iCs/>
        </w:rPr>
        <w:t xml:space="preserve">, </w:t>
      </w:r>
      <w:r w:rsidR="00055705">
        <w:rPr>
          <w:rFonts w:cs="Arial"/>
          <w:iCs/>
        </w:rPr>
        <w:t xml:space="preserve">held in Geneva, from October 29 to 30, 2018, </w:t>
      </w:r>
      <w:r w:rsidRPr="009A1EE3">
        <w:t xml:space="preserve"> </w:t>
      </w:r>
      <w:r>
        <w:t>agreed</w:t>
      </w:r>
      <w:r w:rsidRPr="009A1EE3">
        <w:t xml:space="preserve"> </w:t>
      </w:r>
      <w:r>
        <w:t xml:space="preserve">with the BMT </w:t>
      </w:r>
      <w:r w:rsidRPr="009A1EE3">
        <w:t xml:space="preserve">that the Model “Combining Phenotypic and Molecular Distances in the Management of Variety Collections” of document TGP/15, Section 2.2, </w:t>
      </w:r>
      <w:r>
        <w:t xml:space="preserve">should </w:t>
      </w:r>
      <w:r w:rsidRPr="009A1EE3">
        <w:t>be revised at a later stage once an additional threshold level has been implemented in France</w:t>
      </w:r>
      <w:r>
        <w:t xml:space="preserve"> </w:t>
      </w:r>
      <w:r w:rsidRPr="00795E22">
        <w:rPr>
          <w:lang w:eastAsia="ja-JP"/>
        </w:rPr>
        <w:t xml:space="preserve">(see document </w:t>
      </w:r>
      <w:r>
        <w:rPr>
          <w:lang w:eastAsia="ja-JP"/>
        </w:rPr>
        <w:t>T</w:t>
      </w:r>
      <w:r w:rsidRPr="00795E22">
        <w:rPr>
          <w:lang w:eastAsia="ja-JP"/>
        </w:rPr>
        <w:t>C/5</w:t>
      </w:r>
      <w:r>
        <w:rPr>
          <w:lang w:eastAsia="ja-JP"/>
        </w:rPr>
        <w:t>4</w:t>
      </w:r>
      <w:r w:rsidRPr="00795E22">
        <w:rPr>
          <w:lang w:eastAsia="ja-JP"/>
        </w:rPr>
        <w:t>/</w:t>
      </w:r>
      <w:r>
        <w:rPr>
          <w:lang w:eastAsia="ja-JP"/>
        </w:rPr>
        <w:t>31</w:t>
      </w:r>
      <w:r w:rsidRPr="00070795">
        <w:rPr>
          <w:lang w:eastAsia="ja-JP"/>
        </w:rPr>
        <w:t xml:space="preserve"> “Report”, paragraph </w:t>
      </w:r>
      <w:r>
        <w:rPr>
          <w:lang w:eastAsia="ja-JP"/>
        </w:rPr>
        <w:t>289</w:t>
      </w:r>
      <w:r w:rsidRPr="00795E22">
        <w:rPr>
          <w:lang w:eastAsia="ja-JP"/>
        </w:rPr>
        <w:t>)</w:t>
      </w:r>
      <w:r>
        <w:t>.</w:t>
      </w:r>
    </w:p>
    <w:p w:rsidR="009231CD" w:rsidRDefault="009231CD" w:rsidP="0030109E">
      <w:pPr>
        <w:jc w:val="left"/>
        <w:rPr>
          <w:lang w:eastAsia="ja-JP"/>
        </w:rPr>
      </w:pPr>
    </w:p>
    <w:p w:rsidR="009231CD" w:rsidRDefault="009231CD" w:rsidP="0030109E">
      <w:pPr>
        <w:jc w:val="left"/>
        <w:rPr>
          <w:lang w:eastAsia="ja-JP"/>
        </w:rPr>
      </w:pPr>
    </w:p>
    <w:p w:rsidR="0030109E" w:rsidRPr="00494F2F" w:rsidRDefault="0030109E" w:rsidP="006C78DA">
      <w:pPr>
        <w:pStyle w:val="Heading1"/>
      </w:pPr>
      <w:bookmarkStart w:id="16" w:name="_Toc525748539"/>
      <w:bookmarkStart w:id="17" w:name="_Toc535518940"/>
      <w:bookmarkStart w:id="18" w:name="_Toc536782772"/>
      <w:bookmarkStart w:id="19" w:name="_Toc19817795"/>
      <w:r w:rsidRPr="00E919B6">
        <w:t>Proposal for inclusion of a new model “</w:t>
      </w:r>
      <w:r>
        <w:t>G</w:t>
      </w:r>
      <w:r w:rsidRPr="00E919B6">
        <w:t>enetic selection of similar varieties for the first growing cycle”</w:t>
      </w:r>
      <w:bookmarkEnd w:id="16"/>
      <w:bookmarkEnd w:id="17"/>
      <w:bookmarkEnd w:id="18"/>
      <w:bookmarkEnd w:id="19"/>
    </w:p>
    <w:p w:rsidR="009231CD" w:rsidRDefault="009231CD" w:rsidP="009231CD"/>
    <w:p w:rsidR="009231CD" w:rsidRDefault="009231CD" w:rsidP="009231CD">
      <w:pPr>
        <w:pStyle w:val="Heading2"/>
      </w:pPr>
      <w:bookmarkStart w:id="20" w:name="_Toc19817796"/>
      <w:r>
        <w:t>Background</w:t>
      </w:r>
      <w:bookmarkEnd w:id="20"/>
    </w:p>
    <w:p w:rsidR="0030109E" w:rsidRDefault="0030109E" w:rsidP="0030109E"/>
    <w:p w:rsidR="0030109E" w:rsidRPr="00494F2F" w:rsidRDefault="0030109E" w:rsidP="0030109E">
      <w:pPr>
        <w:keepNext/>
        <w:rPr>
          <w:rFonts w:eastAsiaTheme="minorEastAsia"/>
          <w:lang w:eastAsia="ja-JP"/>
        </w:rPr>
      </w:pPr>
      <w:r w:rsidRPr="00494F2F">
        <w:fldChar w:fldCharType="begin"/>
      </w:r>
      <w:r w:rsidRPr="00494F2F">
        <w:instrText xml:space="preserve"> AUTONUM  </w:instrText>
      </w:r>
      <w:r w:rsidRPr="00494F2F">
        <w:fldChar w:fldCharType="end"/>
      </w:r>
      <w:r w:rsidRPr="00494F2F">
        <w:tab/>
      </w:r>
      <w:r w:rsidR="005E640B" w:rsidRPr="005E640B">
        <w:t>The background</w:t>
      </w:r>
      <w:r w:rsidR="005E640B" w:rsidRPr="005E640B">
        <w:rPr>
          <w:rFonts w:hint="eastAsia"/>
        </w:rPr>
        <w:t xml:space="preserve"> to this matter is provided in document </w:t>
      </w:r>
      <w:r w:rsidR="005E640B" w:rsidRPr="005E640B">
        <w:t>BMT</w:t>
      </w:r>
      <w:r w:rsidR="005E640B" w:rsidRPr="005E640B">
        <w:rPr>
          <w:rFonts w:hint="eastAsia"/>
        </w:rPr>
        <w:t>/</w:t>
      </w:r>
      <w:r w:rsidR="005E640B" w:rsidRPr="005E640B">
        <w:t>17</w:t>
      </w:r>
      <w:r w:rsidR="005E640B" w:rsidRPr="005E640B">
        <w:rPr>
          <w:rFonts w:hint="eastAsia"/>
        </w:rPr>
        <w:t>/</w:t>
      </w:r>
      <w:r w:rsidR="005E640B" w:rsidRPr="005E640B">
        <w:t>7</w:t>
      </w:r>
      <w:r w:rsidR="005E640B" w:rsidRPr="005E640B">
        <w:rPr>
          <w:rFonts w:hint="eastAsia"/>
        </w:rPr>
        <w:t xml:space="preserve"> </w:t>
      </w:r>
      <w:r w:rsidR="005E640B" w:rsidRPr="005E640B">
        <w:t xml:space="preserve">“Revision of document TGP/15 </w:t>
      </w:r>
      <w:r w:rsidR="007F47A5">
        <w:t>‘</w:t>
      </w:r>
      <w:r w:rsidR="005E640B" w:rsidRPr="005E640B">
        <w:t>Guidance on the Use of Biochemical and Molecular Markers in the Examination of Distinctness, Uniformity and Stability (DUS)</w:t>
      </w:r>
      <w:r w:rsidR="007F47A5">
        <w:t>’</w:t>
      </w:r>
      <w:r w:rsidR="005E640B" w:rsidRPr="005E640B">
        <w:t xml:space="preserve">”, paragraphs </w:t>
      </w:r>
      <w:r w:rsidR="005E640B">
        <w:t>20</w:t>
      </w:r>
      <w:r w:rsidR="005E640B" w:rsidRPr="005E640B">
        <w:t xml:space="preserve"> to </w:t>
      </w:r>
      <w:r w:rsidR="005E640B">
        <w:t>23</w:t>
      </w:r>
      <w:r w:rsidRPr="00494F2F">
        <w:rPr>
          <w:rFonts w:eastAsiaTheme="minorEastAsia" w:hint="eastAsia"/>
          <w:lang w:eastAsia="ja-JP"/>
        </w:rPr>
        <w:t>.</w:t>
      </w:r>
    </w:p>
    <w:p w:rsidR="0030109E" w:rsidRPr="00883F54" w:rsidRDefault="0030109E" w:rsidP="0030109E">
      <w:pPr>
        <w:keepNext/>
        <w:autoSpaceDE w:val="0"/>
        <w:autoSpaceDN w:val="0"/>
        <w:adjustRightInd w:val="0"/>
      </w:pPr>
    </w:p>
    <w:p w:rsidR="0030109E" w:rsidRPr="00883F54" w:rsidRDefault="0030109E" w:rsidP="0030109E">
      <w:pPr>
        <w:keepNext/>
        <w:rPr>
          <w:snapToGrid w:val="0"/>
          <w:color w:val="000000"/>
        </w:rPr>
      </w:pPr>
      <w:r w:rsidRPr="00883F54">
        <w:rPr>
          <w:rFonts w:cs="Arial"/>
        </w:rPr>
        <w:fldChar w:fldCharType="begin"/>
      </w:r>
      <w:r w:rsidRPr="00883F54">
        <w:rPr>
          <w:rFonts w:cs="Arial"/>
        </w:rPr>
        <w:instrText xml:space="preserve"> AUTONUM  </w:instrText>
      </w:r>
      <w:r w:rsidRPr="00883F54">
        <w:rPr>
          <w:rFonts w:cs="Arial"/>
        </w:rPr>
        <w:fldChar w:fldCharType="end"/>
      </w:r>
      <w:r w:rsidRPr="00883F54">
        <w:rPr>
          <w:rFonts w:cs="Arial"/>
        </w:rPr>
        <w:tab/>
        <w:t>T</w:t>
      </w:r>
      <w:r w:rsidRPr="00883F54">
        <w:rPr>
          <w:rFonts w:hint="eastAsia"/>
          <w:color w:val="000000"/>
          <w:lang w:eastAsia="ja-JP"/>
        </w:rPr>
        <w:t xml:space="preserve">he </w:t>
      </w:r>
      <w:r w:rsidRPr="00883F54">
        <w:rPr>
          <w:color w:val="000000"/>
          <w:lang w:eastAsia="ja-JP"/>
        </w:rPr>
        <w:t>BMT, at its seventeenth session</w:t>
      </w:r>
      <w:r w:rsidRPr="00883F54">
        <w:rPr>
          <w:rFonts w:cs="Arial"/>
          <w:iCs/>
        </w:rPr>
        <w:t xml:space="preserve">, </w:t>
      </w:r>
      <w:r w:rsidRPr="00883F54">
        <w:rPr>
          <w:snapToGrid w:val="0"/>
          <w:color w:val="000000"/>
        </w:rPr>
        <w:t>considered documents BMT/17/7</w:t>
      </w:r>
      <w:r w:rsidRPr="00883F54">
        <w:rPr>
          <w:snapToGrid w:val="0"/>
          <w:color w:val="000000"/>
          <w:lang w:eastAsia="ja-JP"/>
        </w:rPr>
        <w:t xml:space="preserve"> and</w:t>
      </w:r>
      <w:r w:rsidRPr="00883F54">
        <w:t xml:space="preserve"> TGP/15/2 Draft 1</w:t>
      </w:r>
      <w:r w:rsidRPr="00883F54">
        <w:rPr>
          <w:snapToGrid w:val="0"/>
          <w:color w:val="000000"/>
        </w:rPr>
        <w:t>.</w:t>
      </w:r>
    </w:p>
    <w:p w:rsidR="0030109E" w:rsidRDefault="0030109E" w:rsidP="0030109E">
      <w:pPr>
        <w:rPr>
          <w:lang w:eastAsia="ja-JP"/>
        </w:rPr>
      </w:pPr>
    </w:p>
    <w:p w:rsidR="0030109E" w:rsidRDefault="0030109E" w:rsidP="0030109E">
      <w:pPr>
        <w:rPr>
          <w:highlight w:val="yellow"/>
          <w:lang w:eastAsia="ja-JP"/>
        </w:rPr>
      </w:pPr>
      <w:r w:rsidRPr="00883F54">
        <w:rPr>
          <w:rFonts w:cs="Arial"/>
        </w:rPr>
        <w:fldChar w:fldCharType="begin"/>
      </w:r>
      <w:r w:rsidRPr="00883F54">
        <w:rPr>
          <w:rFonts w:cs="Arial"/>
        </w:rPr>
        <w:instrText xml:space="preserve"> AUTONUM  </w:instrText>
      </w:r>
      <w:r w:rsidRPr="00883F54">
        <w:rPr>
          <w:rFonts w:cs="Arial"/>
        </w:rPr>
        <w:fldChar w:fldCharType="end"/>
      </w:r>
      <w:r w:rsidRPr="00883F54">
        <w:rPr>
          <w:rFonts w:cs="Arial"/>
        </w:rPr>
        <w:tab/>
      </w:r>
      <w:r>
        <w:rPr>
          <w:lang w:eastAsia="ja-JP"/>
        </w:rPr>
        <w:t>The BMT considered the new application model “Genetic Selection of Similar Varieties for the First Growing Cycle” and agreed that it should be proposed for inclusion in document TGP/15 on the basis of a simplified version of draft text presented in document TGP/15/2 draft 1. The BMT agreed that the proposal to be put forward for approval by the TC should contain the description of the method without comparison to other approaches. The BMT also agreed to invite the Netherlands to review whether the schematic explaining the process was necessary and/or might be simplified</w:t>
      </w:r>
      <w:r>
        <w:t xml:space="preserve"> </w:t>
      </w:r>
      <w:r w:rsidRPr="006A27CC">
        <w:rPr>
          <w:rFonts w:cs="Arial" w:hint="eastAsia"/>
          <w:lang w:eastAsia="ja-JP"/>
        </w:rPr>
        <w:t xml:space="preserve">(see document </w:t>
      </w:r>
      <w:r>
        <w:rPr>
          <w:rFonts w:cs="Arial"/>
          <w:lang w:eastAsia="ja-JP"/>
        </w:rPr>
        <w:t>BM</w:t>
      </w:r>
      <w:r w:rsidRPr="006A27CC">
        <w:rPr>
          <w:rFonts w:cs="Arial" w:hint="eastAsia"/>
          <w:lang w:eastAsia="ja-JP"/>
        </w:rPr>
        <w:t>T/</w:t>
      </w:r>
      <w:r>
        <w:rPr>
          <w:rFonts w:cs="Arial"/>
          <w:lang w:eastAsia="ja-JP"/>
        </w:rPr>
        <w:t>17</w:t>
      </w:r>
      <w:r w:rsidRPr="006A27CC">
        <w:rPr>
          <w:rFonts w:cs="Arial" w:hint="eastAsia"/>
          <w:lang w:eastAsia="ja-JP"/>
        </w:rPr>
        <w:t>/</w:t>
      </w:r>
      <w:r>
        <w:rPr>
          <w:rFonts w:cs="Arial"/>
          <w:lang w:eastAsia="ja-JP"/>
        </w:rPr>
        <w:t>25</w:t>
      </w:r>
      <w:r w:rsidRPr="006A27CC">
        <w:rPr>
          <w:rFonts w:cs="Arial" w:hint="eastAsia"/>
          <w:lang w:eastAsia="ja-JP"/>
        </w:rPr>
        <w:t xml:space="preserve"> </w:t>
      </w:r>
      <w:r w:rsidRPr="006A27CC">
        <w:rPr>
          <w:rFonts w:cs="Arial"/>
          <w:lang w:eastAsia="ja-JP"/>
        </w:rPr>
        <w:t>“</w:t>
      </w:r>
      <w:r w:rsidRPr="006A27CC">
        <w:rPr>
          <w:rFonts w:cs="Arial" w:hint="eastAsia"/>
          <w:lang w:eastAsia="ja-JP"/>
        </w:rPr>
        <w:t>Report</w:t>
      </w:r>
      <w:r w:rsidRPr="006A27CC">
        <w:rPr>
          <w:rFonts w:cs="Arial"/>
          <w:lang w:eastAsia="ja-JP"/>
        </w:rPr>
        <w:t>”</w:t>
      </w:r>
      <w:r w:rsidRPr="006A27CC">
        <w:rPr>
          <w:rFonts w:cs="Arial" w:hint="eastAsia"/>
          <w:lang w:eastAsia="ja-JP"/>
        </w:rPr>
        <w:t xml:space="preserve">, paragraph </w:t>
      </w:r>
      <w:r>
        <w:rPr>
          <w:rFonts w:cs="Arial"/>
          <w:lang w:eastAsia="ja-JP"/>
        </w:rPr>
        <w:t>59</w:t>
      </w:r>
      <w:r w:rsidRPr="006A27CC">
        <w:rPr>
          <w:rFonts w:cs="Arial" w:hint="eastAsia"/>
          <w:lang w:eastAsia="ja-JP"/>
        </w:rPr>
        <w:t>)</w:t>
      </w:r>
      <w:r>
        <w:rPr>
          <w:lang w:eastAsia="ja-JP"/>
        </w:rPr>
        <w:t>.</w:t>
      </w:r>
    </w:p>
    <w:p w:rsidR="0030109E" w:rsidRDefault="0030109E" w:rsidP="0030109E"/>
    <w:p w:rsidR="0030109E" w:rsidRPr="00494F2F" w:rsidRDefault="0030109E" w:rsidP="0030109E"/>
    <w:p w:rsidR="0030109E" w:rsidRPr="00494F2F" w:rsidRDefault="009231CD" w:rsidP="009231CD">
      <w:pPr>
        <w:pStyle w:val="Heading2"/>
        <w:rPr>
          <w:snapToGrid w:val="0"/>
          <w:lang w:eastAsia="ja-JP"/>
        </w:rPr>
      </w:pPr>
      <w:bookmarkStart w:id="21" w:name="_Toc19817797"/>
      <w:r>
        <w:rPr>
          <w:snapToGrid w:val="0"/>
          <w:lang w:eastAsia="ja-JP"/>
        </w:rPr>
        <w:t>D</w:t>
      </w:r>
      <w:r w:rsidR="0030109E" w:rsidRPr="00494F2F">
        <w:rPr>
          <w:rFonts w:hint="eastAsia"/>
          <w:snapToGrid w:val="0"/>
          <w:lang w:eastAsia="ja-JP"/>
        </w:rPr>
        <w:t xml:space="preserve">evelopments at </w:t>
      </w:r>
      <w:r w:rsidR="0030109E" w:rsidRPr="00DF06EF">
        <w:rPr>
          <w:snapToGrid w:val="0"/>
          <w:lang w:eastAsia="ja-JP"/>
        </w:rPr>
        <w:t>the f</w:t>
      </w:r>
      <w:r w:rsidR="0030109E">
        <w:rPr>
          <w:snapToGrid w:val="0"/>
          <w:lang w:eastAsia="ja-JP"/>
        </w:rPr>
        <w:t>if</w:t>
      </w:r>
      <w:r w:rsidR="0030109E" w:rsidRPr="00DF06EF">
        <w:rPr>
          <w:snapToGrid w:val="0"/>
          <w:lang w:eastAsia="ja-JP"/>
        </w:rPr>
        <w:t>ty-</w:t>
      </w:r>
      <w:r w:rsidR="0030109E">
        <w:rPr>
          <w:snapToGrid w:val="0"/>
          <w:lang w:eastAsia="ja-JP"/>
        </w:rPr>
        <w:t>fourth</w:t>
      </w:r>
      <w:r w:rsidR="0030109E" w:rsidRPr="00DF06EF">
        <w:rPr>
          <w:snapToGrid w:val="0"/>
          <w:lang w:eastAsia="ja-JP"/>
        </w:rPr>
        <w:t xml:space="preserve"> session of </w:t>
      </w:r>
      <w:r w:rsidR="0030109E" w:rsidRPr="00494F2F">
        <w:rPr>
          <w:rFonts w:hint="eastAsia"/>
          <w:snapToGrid w:val="0"/>
          <w:lang w:eastAsia="ja-JP"/>
        </w:rPr>
        <w:t xml:space="preserve">the </w:t>
      </w:r>
      <w:r w:rsidR="0030109E" w:rsidRPr="00DF06EF">
        <w:rPr>
          <w:snapToGrid w:val="0"/>
          <w:lang w:eastAsia="ja-JP"/>
        </w:rPr>
        <w:t xml:space="preserve">Technical </w:t>
      </w:r>
      <w:r>
        <w:rPr>
          <w:snapToGrid w:val="0"/>
          <w:lang w:eastAsia="ja-JP"/>
        </w:rPr>
        <w:t>C</w:t>
      </w:r>
      <w:r w:rsidR="0030109E">
        <w:rPr>
          <w:snapToGrid w:val="0"/>
          <w:lang w:eastAsia="ja-JP"/>
        </w:rPr>
        <w:t>ommittee</w:t>
      </w:r>
      <w:bookmarkEnd w:id="21"/>
    </w:p>
    <w:p w:rsidR="0030109E" w:rsidRDefault="0030109E" w:rsidP="0030109E">
      <w:pPr>
        <w:autoSpaceDE w:val="0"/>
        <w:autoSpaceDN w:val="0"/>
        <w:adjustRightInd w:val="0"/>
        <w:rPr>
          <w:rFonts w:cs="Arial"/>
          <w:lang w:eastAsia="ja-JP"/>
        </w:rPr>
      </w:pPr>
    </w:p>
    <w:p w:rsidR="0030109E" w:rsidRDefault="0030109E" w:rsidP="0030109E">
      <w:r>
        <w:fldChar w:fldCharType="begin"/>
      </w:r>
      <w:r>
        <w:instrText xml:space="preserve"> AUTONUM  </w:instrText>
      </w:r>
      <w:r>
        <w:fldChar w:fldCharType="end"/>
      </w:r>
      <w:r>
        <w:tab/>
      </w:r>
      <w:proofErr w:type="gramStart"/>
      <w:r w:rsidRPr="009A1EE3">
        <w:t>The TC</w:t>
      </w:r>
      <w:r>
        <w:t>,</w:t>
      </w:r>
      <w:r w:rsidRPr="004F1276">
        <w:t xml:space="preserve"> </w:t>
      </w:r>
      <w:r>
        <w:t>at its fifty-fourth session,</w:t>
      </w:r>
      <w:r w:rsidRPr="009A1EE3">
        <w:t xml:space="preserve"> </w:t>
      </w:r>
      <w:r w:rsidRPr="00904EB7">
        <w:t xml:space="preserve">agreed with the inclusion of a new model “Genetic selection of similar varieties for the first growing cycle: example French Bean” in document TGP/15 on the basis of the proposal by the Netherlands revised by the </w:t>
      </w:r>
      <w:r w:rsidRPr="00550C39">
        <w:rPr>
          <w:lang w:val="en"/>
        </w:rPr>
        <w:t>Enlarged Editorial Committee</w:t>
      </w:r>
      <w:r w:rsidRPr="00550C39">
        <w:t xml:space="preserve"> </w:t>
      </w:r>
      <w:r>
        <w:t>(</w:t>
      </w:r>
      <w:r w:rsidRPr="00904EB7">
        <w:t>TC-EDC</w:t>
      </w:r>
      <w:r>
        <w:t>)</w:t>
      </w:r>
      <w:r w:rsidR="005A0AC5">
        <w:t xml:space="preserve">, as presented in the </w:t>
      </w:r>
      <w:r w:rsidR="005A0AC5" w:rsidRPr="00373CEC">
        <w:t>Annex I to</w:t>
      </w:r>
      <w:bookmarkStart w:id="22" w:name="_GoBack"/>
      <w:bookmarkEnd w:id="22"/>
      <w:r w:rsidR="005A0AC5">
        <w:t xml:space="preserve"> this document</w:t>
      </w:r>
      <w:r>
        <w:t xml:space="preserve"> </w:t>
      </w:r>
      <w:r w:rsidRPr="00795E22">
        <w:rPr>
          <w:lang w:eastAsia="ja-JP"/>
        </w:rPr>
        <w:t xml:space="preserve">(see document </w:t>
      </w:r>
      <w:r>
        <w:rPr>
          <w:lang w:eastAsia="ja-JP"/>
        </w:rPr>
        <w:t>T</w:t>
      </w:r>
      <w:r w:rsidRPr="00795E22">
        <w:rPr>
          <w:lang w:eastAsia="ja-JP"/>
        </w:rPr>
        <w:t>C/5</w:t>
      </w:r>
      <w:r>
        <w:rPr>
          <w:lang w:eastAsia="ja-JP"/>
        </w:rPr>
        <w:t>4</w:t>
      </w:r>
      <w:r w:rsidRPr="00795E22">
        <w:rPr>
          <w:lang w:eastAsia="ja-JP"/>
        </w:rPr>
        <w:t>/</w:t>
      </w:r>
      <w:r>
        <w:rPr>
          <w:lang w:eastAsia="ja-JP"/>
        </w:rPr>
        <w:t>31</w:t>
      </w:r>
      <w:r w:rsidRPr="00070795">
        <w:rPr>
          <w:lang w:eastAsia="ja-JP"/>
        </w:rPr>
        <w:t xml:space="preserve">, paragraph </w:t>
      </w:r>
      <w:r>
        <w:rPr>
          <w:lang w:eastAsia="ja-JP"/>
        </w:rPr>
        <w:t>291</w:t>
      </w:r>
      <w:r w:rsidRPr="00795E22">
        <w:rPr>
          <w:lang w:eastAsia="ja-JP"/>
        </w:rPr>
        <w:t>)</w:t>
      </w:r>
      <w:r w:rsidRPr="00904EB7">
        <w:t>.</w:t>
      </w:r>
      <w:proofErr w:type="gramEnd"/>
    </w:p>
    <w:p w:rsidR="0030109E" w:rsidRDefault="0030109E" w:rsidP="0030109E"/>
    <w:p w:rsidR="0030109E" w:rsidRPr="001E00AA" w:rsidRDefault="0030109E" w:rsidP="0030109E">
      <w:pPr>
        <w:rPr>
          <w:lang w:eastAsia="ja-JP"/>
        </w:rPr>
      </w:pPr>
      <w:r w:rsidRPr="001E00AA">
        <w:fldChar w:fldCharType="begin"/>
      </w:r>
      <w:r w:rsidRPr="001E00AA">
        <w:instrText xml:space="preserve"> AUTONUM  </w:instrText>
      </w:r>
      <w:r w:rsidRPr="001E00AA">
        <w:fldChar w:fldCharType="end"/>
      </w:r>
      <w:r w:rsidRPr="001E00AA">
        <w:tab/>
      </w:r>
      <w:r>
        <w:t>A</w:t>
      </w:r>
      <w:r w:rsidRPr="0087428F">
        <w:t xml:space="preserve"> draft of document </w:t>
      </w:r>
      <w:r>
        <w:t>TGP</w:t>
      </w:r>
      <w:r w:rsidRPr="0087428F">
        <w:t>/1</w:t>
      </w:r>
      <w:r>
        <w:t>5</w:t>
      </w:r>
      <w:r w:rsidRPr="0087428F">
        <w:rPr>
          <w:rFonts w:hint="eastAsia"/>
        </w:rPr>
        <w:t>/</w:t>
      </w:r>
      <w:r>
        <w:t>2</w:t>
      </w:r>
      <w:r w:rsidRPr="0087428F">
        <w:t xml:space="preserve"> “Guidance on the Use of Biochemical and Molecular Markers in the Examination of Distinctness, Uniformity and Stability (DUS)”</w:t>
      </w:r>
      <w:r>
        <w:t xml:space="preserve"> </w:t>
      </w:r>
      <w:r w:rsidRPr="00C87E71">
        <w:t>incorporating</w:t>
      </w:r>
      <w:r>
        <w:t xml:space="preserve"> the new model</w:t>
      </w:r>
      <w:r w:rsidRPr="0087428F">
        <w:t xml:space="preserve"> “Genetic selection of similar varieties for the first growing cycle: example French Bean”</w:t>
      </w:r>
      <w:r>
        <w:t xml:space="preserve"> will </w:t>
      </w:r>
      <w:r w:rsidRPr="001E00AA">
        <w:rPr>
          <w:lang w:eastAsia="ja-JP"/>
        </w:rPr>
        <w:t xml:space="preserve">be presented to </w:t>
      </w:r>
      <w:r w:rsidRPr="001E00AA">
        <w:rPr>
          <w:rFonts w:cs="Arial"/>
          <w:snapToGrid w:val="0"/>
          <w:lang w:eastAsia="ja-JP"/>
        </w:rPr>
        <w:t xml:space="preserve">the seventy-sixth session of the </w:t>
      </w:r>
      <w:r w:rsidRPr="00C7219C">
        <w:rPr>
          <w:rFonts w:cs="Arial"/>
          <w:snapToGrid w:val="0"/>
          <w:lang w:eastAsia="ja-JP"/>
        </w:rPr>
        <w:t xml:space="preserve">Administrative and Legal Committee </w:t>
      </w:r>
      <w:r>
        <w:rPr>
          <w:rFonts w:cs="Arial"/>
          <w:snapToGrid w:val="0"/>
          <w:lang w:eastAsia="ja-JP"/>
        </w:rPr>
        <w:t>(CAJ)</w:t>
      </w:r>
      <w:r w:rsidRPr="001E00AA">
        <w:rPr>
          <w:rFonts w:cs="Arial"/>
          <w:snapToGrid w:val="0"/>
          <w:lang w:eastAsia="ja-JP"/>
        </w:rPr>
        <w:t>, to be held on October 30, 2019.</w:t>
      </w:r>
      <w:r w:rsidRPr="001E00AA">
        <w:rPr>
          <w:lang w:eastAsia="ja-JP"/>
        </w:rPr>
        <w:t xml:space="preserve"> </w:t>
      </w:r>
    </w:p>
    <w:p w:rsidR="0030109E" w:rsidRPr="00294402" w:rsidRDefault="0030109E" w:rsidP="0030109E">
      <w:pPr>
        <w:rPr>
          <w:snapToGrid w:val="0"/>
        </w:rPr>
      </w:pPr>
    </w:p>
    <w:p w:rsidR="0030109E" w:rsidRDefault="0030109E" w:rsidP="0030109E">
      <w:pPr>
        <w:keepLines/>
        <w:rPr>
          <w:snapToGrid w:val="0"/>
          <w:lang w:eastAsia="ja-JP"/>
        </w:rPr>
      </w:pPr>
      <w:r w:rsidRPr="00294402">
        <w:rPr>
          <w:snapToGrid w:val="0"/>
        </w:rPr>
        <w:fldChar w:fldCharType="begin"/>
      </w:r>
      <w:r w:rsidRPr="00294402">
        <w:rPr>
          <w:snapToGrid w:val="0"/>
        </w:rPr>
        <w:instrText xml:space="preserve"> AUTONUM  </w:instrText>
      </w:r>
      <w:r w:rsidRPr="00294402">
        <w:rPr>
          <w:snapToGrid w:val="0"/>
        </w:rPr>
        <w:fldChar w:fldCharType="end"/>
      </w:r>
      <w:r w:rsidRPr="00294402">
        <w:rPr>
          <w:snapToGrid w:val="0"/>
        </w:rPr>
        <w:tab/>
        <w:t xml:space="preserve">Subject to agreement by the CAJ at its </w:t>
      </w:r>
      <w:r w:rsidRPr="00294402">
        <w:rPr>
          <w:rFonts w:hint="eastAsia"/>
          <w:snapToGrid w:val="0"/>
          <w:lang w:eastAsia="ja-JP"/>
        </w:rPr>
        <w:t>seventy</w:t>
      </w:r>
      <w:r w:rsidRPr="00294402">
        <w:rPr>
          <w:snapToGrid w:val="0"/>
        </w:rPr>
        <w:t>-</w:t>
      </w:r>
      <w:r>
        <w:rPr>
          <w:snapToGrid w:val="0"/>
        </w:rPr>
        <w:t>sixt</w:t>
      </w:r>
      <w:r>
        <w:rPr>
          <w:rFonts w:hint="eastAsia"/>
          <w:snapToGrid w:val="0"/>
          <w:lang w:eastAsia="ja-JP"/>
        </w:rPr>
        <w:t>h</w:t>
      </w:r>
      <w:r w:rsidRPr="00294402">
        <w:rPr>
          <w:snapToGrid w:val="0"/>
        </w:rPr>
        <w:t xml:space="preserve"> session, a draft of document </w:t>
      </w:r>
      <w:r>
        <w:rPr>
          <w:snapToGrid w:val="0"/>
        </w:rPr>
        <w:t>TGP/15/2 will</w:t>
      </w:r>
      <w:r w:rsidRPr="00294402">
        <w:rPr>
          <w:snapToGrid w:val="0"/>
        </w:rPr>
        <w:t xml:space="preserve"> be presented for </w:t>
      </w:r>
      <w:r>
        <w:rPr>
          <w:snapToGrid w:val="0"/>
        </w:rPr>
        <w:t>adoption by the Council, at its </w:t>
      </w:r>
      <w:r>
        <w:rPr>
          <w:rFonts w:hint="eastAsia"/>
          <w:snapToGrid w:val="0"/>
          <w:lang w:eastAsia="ja-JP"/>
        </w:rPr>
        <w:t>fifty</w:t>
      </w:r>
      <w:r>
        <w:rPr>
          <w:snapToGrid w:val="0"/>
          <w:lang w:eastAsia="ja-JP"/>
        </w:rPr>
        <w:noBreakHyphen/>
        <w:t>third</w:t>
      </w:r>
      <w:r w:rsidRPr="00294402">
        <w:rPr>
          <w:snapToGrid w:val="0"/>
        </w:rPr>
        <w:t xml:space="preserve"> ordinary session, to be held in Geneva on </w:t>
      </w:r>
      <w:r>
        <w:rPr>
          <w:snapToGrid w:val="0"/>
        </w:rPr>
        <w:t>November 1, </w:t>
      </w:r>
      <w:r w:rsidRPr="00294402">
        <w:rPr>
          <w:snapToGrid w:val="0"/>
        </w:rPr>
        <w:t>201</w:t>
      </w:r>
      <w:r>
        <w:rPr>
          <w:snapToGrid w:val="0"/>
        </w:rPr>
        <w:t>9</w:t>
      </w:r>
      <w:r w:rsidRPr="000146B5">
        <w:rPr>
          <w:snapToGrid w:val="0"/>
        </w:rPr>
        <w:t>.</w:t>
      </w:r>
    </w:p>
    <w:p w:rsidR="0030109E" w:rsidRPr="00494F2F" w:rsidRDefault="0030109E" w:rsidP="005E7962">
      <w:pPr>
        <w:rPr>
          <w:snapToGrid w:val="0"/>
          <w:lang w:eastAsia="ja-JP"/>
        </w:rPr>
      </w:pPr>
    </w:p>
    <w:p w:rsidR="0030109E" w:rsidRPr="00494F2F" w:rsidRDefault="0030109E" w:rsidP="006C78DA">
      <w:pPr>
        <w:pStyle w:val="Heading1"/>
      </w:pPr>
    </w:p>
    <w:p w:rsidR="0030109E" w:rsidRPr="006C78DA" w:rsidRDefault="0030109E" w:rsidP="006C78DA">
      <w:pPr>
        <w:pStyle w:val="Heading1"/>
      </w:pPr>
      <w:bookmarkStart w:id="23" w:name="_Toc19817798"/>
      <w:r w:rsidRPr="006C78DA">
        <w:t>Characteristic-specific marker with incomplete information on state of expression</w:t>
      </w:r>
      <w:bookmarkEnd w:id="23"/>
    </w:p>
    <w:p w:rsidR="0028123B" w:rsidRDefault="0028123B" w:rsidP="009B1A8C">
      <w:pPr>
        <w:keepNext/>
      </w:pPr>
    </w:p>
    <w:p w:rsidR="0028123B" w:rsidRDefault="0028123B" w:rsidP="009B1A8C">
      <w:pPr>
        <w:pStyle w:val="Heading2"/>
      </w:pPr>
      <w:bookmarkStart w:id="24" w:name="_Toc19817799"/>
      <w:r>
        <w:t>Background</w:t>
      </w:r>
      <w:bookmarkEnd w:id="24"/>
    </w:p>
    <w:p w:rsidR="005E7BA2" w:rsidRDefault="005E7BA2" w:rsidP="005E7BA2">
      <w:pPr>
        <w:ind w:left="567" w:hanging="567"/>
        <w:rPr>
          <w:rFonts w:cs="Arial"/>
        </w:rPr>
      </w:pPr>
    </w:p>
    <w:p w:rsidR="005E7BA2" w:rsidRPr="003C088F" w:rsidRDefault="005E7BA2" w:rsidP="005E7BA2">
      <w:pPr>
        <w:rPr>
          <w:rFonts w:cs="Arial"/>
          <w:iCs/>
        </w:rPr>
      </w:pPr>
      <w:r>
        <w:rPr>
          <w:rFonts w:cs="Arial"/>
        </w:rPr>
        <w:fldChar w:fldCharType="begin"/>
      </w:r>
      <w:r>
        <w:rPr>
          <w:rFonts w:cs="Arial"/>
        </w:rPr>
        <w:instrText xml:space="preserve"> AUTONUM  </w:instrText>
      </w:r>
      <w:r>
        <w:rPr>
          <w:rFonts w:cs="Arial"/>
        </w:rPr>
        <w:fldChar w:fldCharType="end"/>
      </w:r>
      <w:r>
        <w:rPr>
          <w:rFonts w:cs="Arial"/>
        </w:rPr>
        <w:tab/>
        <w:t xml:space="preserve">The BMT, at its seventeenth session, </w:t>
      </w:r>
      <w:r w:rsidRPr="003C088F">
        <w:rPr>
          <w:rFonts w:cs="Arial"/>
          <w:iCs/>
        </w:rPr>
        <w:t xml:space="preserve">considered document BMT/17/21 </w:t>
      </w:r>
      <w:r>
        <w:rPr>
          <w:rFonts w:cs="Arial"/>
          <w:iCs/>
        </w:rPr>
        <w:t>“</w:t>
      </w:r>
      <w:r w:rsidRPr="00BA0B78">
        <w:rPr>
          <w:rFonts w:cs="Arial"/>
          <w:iCs/>
        </w:rPr>
        <w:t>Do resistance markers for tomato fulfil the requirements of TGP/15?</w:t>
      </w:r>
      <w:r>
        <w:rPr>
          <w:rFonts w:cs="Arial"/>
          <w:iCs/>
        </w:rPr>
        <w:t xml:space="preserve">” </w:t>
      </w:r>
      <w:r w:rsidRPr="003C088F">
        <w:rPr>
          <w:rFonts w:cs="Arial"/>
          <w:iCs/>
        </w:rPr>
        <w:t>and received a presentation by</w:t>
      </w:r>
      <w:r w:rsidRPr="003C088F">
        <w:t xml:space="preserve"> </w:t>
      </w:r>
      <w:r w:rsidRPr="003C088F">
        <w:rPr>
          <w:rFonts w:cs="Arial"/>
          <w:iCs/>
        </w:rPr>
        <w:t>Ms. Amanda van Dijk</w:t>
      </w:r>
      <w:r w:rsidRPr="003C088F">
        <w:rPr>
          <w:rFonts w:cs="Arial"/>
          <w:iCs/>
        </w:rPr>
        <w:noBreakHyphen/>
      </w:r>
      <w:proofErr w:type="spellStart"/>
      <w:r w:rsidRPr="003C088F">
        <w:rPr>
          <w:rFonts w:cs="Arial"/>
          <w:iCs/>
        </w:rPr>
        <w:t>Veldhuizen</w:t>
      </w:r>
      <w:proofErr w:type="spellEnd"/>
      <w:r w:rsidRPr="003C088F">
        <w:rPr>
          <w:rFonts w:cs="Arial"/>
          <w:iCs/>
        </w:rPr>
        <w:t xml:space="preserve"> (Netherlands), a copy of which </w:t>
      </w:r>
      <w:r>
        <w:rPr>
          <w:rFonts w:cs="Arial"/>
          <w:iCs/>
        </w:rPr>
        <w:t>was</w:t>
      </w:r>
      <w:r w:rsidRPr="003C088F">
        <w:rPr>
          <w:rFonts w:cs="Arial"/>
          <w:iCs/>
        </w:rPr>
        <w:t xml:space="preserve"> provided as document BMT/17/21 Add.</w:t>
      </w:r>
      <w:r>
        <w:rPr>
          <w:rFonts w:cs="Arial"/>
          <w:iCs/>
        </w:rPr>
        <w:t xml:space="preserve"> (see document BMT/17/25 “Report”, paragraphs 10 to 12).</w:t>
      </w:r>
    </w:p>
    <w:p w:rsidR="005E7BA2" w:rsidRPr="003C088F" w:rsidRDefault="005E7BA2" w:rsidP="005E7BA2"/>
    <w:p w:rsidR="005E7BA2" w:rsidRPr="003C088F" w:rsidRDefault="005E7BA2" w:rsidP="005E7BA2">
      <w:r w:rsidRPr="003C088F">
        <w:fldChar w:fldCharType="begin"/>
      </w:r>
      <w:r w:rsidRPr="003C088F">
        <w:instrText xml:space="preserve"> AUTONUM  </w:instrText>
      </w:r>
      <w:r w:rsidRPr="003C088F">
        <w:fldChar w:fldCharType="end"/>
      </w:r>
      <w:r w:rsidRPr="003C088F">
        <w:tab/>
        <w:t>The BMT agreed that the method presented in document BMT/17/21 was consistent with the model “Characteristic-Specific Molecular Markers” in document TGP/15.  The BMT agreed to propose that a new example be added to document TGP/15, on the basis of the example provided by the Netherlands, to illustrate a situation where the characteristic-specific marker did not provide complete information on the state of expression of a characteristic.</w:t>
      </w:r>
    </w:p>
    <w:p w:rsidR="005E7BA2" w:rsidRPr="003C088F" w:rsidRDefault="005E7BA2" w:rsidP="005E7BA2"/>
    <w:p w:rsidR="005E7BA2" w:rsidRDefault="005E7BA2" w:rsidP="005E7BA2">
      <w:r w:rsidRPr="003C088F">
        <w:fldChar w:fldCharType="begin"/>
      </w:r>
      <w:r w:rsidRPr="003C088F">
        <w:instrText xml:space="preserve"> AUTONUM  </w:instrText>
      </w:r>
      <w:r w:rsidRPr="003C088F">
        <w:fldChar w:fldCharType="end"/>
      </w:r>
      <w:r w:rsidRPr="003C088F">
        <w:tab/>
        <w:t>The BMT agreed to propose that paragraph 3.1.4 (reproduced below) from document UPOV/INF/18/1 be introduced in document TGP/15 to clarify that it was the responsibility of the authority to decide on the reliability of the link between the gene and the expression of the characteristic</w:t>
      </w:r>
      <w:r>
        <w:t xml:space="preserve">.  </w:t>
      </w:r>
    </w:p>
    <w:p w:rsidR="005E7BA2" w:rsidRPr="003C088F" w:rsidRDefault="005E7BA2" w:rsidP="005E7BA2">
      <w:pPr>
        <w:pStyle w:val="ListParagraph"/>
        <w:autoSpaceDE w:val="0"/>
        <w:autoSpaceDN w:val="0"/>
        <w:adjustRightInd w:val="0"/>
        <w:ind w:left="0"/>
        <w:contextualSpacing w:val="0"/>
        <w:rPr>
          <w:lang w:eastAsia="ja-JP"/>
        </w:rPr>
      </w:pPr>
    </w:p>
    <w:p w:rsidR="005E7BA2" w:rsidRPr="00591EFF" w:rsidRDefault="005E7BA2" w:rsidP="005E7BA2">
      <w:pPr>
        <w:autoSpaceDE w:val="0"/>
        <w:autoSpaceDN w:val="0"/>
        <w:adjustRightInd w:val="0"/>
        <w:ind w:left="567" w:right="567"/>
        <w:rPr>
          <w:sz w:val="18"/>
          <w:lang w:eastAsia="ja-JP"/>
        </w:rPr>
      </w:pPr>
      <w:r w:rsidRPr="00591EFF">
        <w:rPr>
          <w:sz w:val="18"/>
          <w:szCs w:val="18"/>
          <w:lang w:eastAsia="ja-JP"/>
        </w:rPr>
        <w:t>“3.1.4   In considering the model and example, as presented in Annex 1 of this document</w:t>
      </w:r>
      <w:r>
        <w:rPr>
          <w:sz w:val="18"/>
          <w:szCs w:val="18"/>
          <w:lang w:eastAsia="ja-JP"/>
        </w:rPr>
        <w:t xml:space="preserve"> [Characteristic</w:t>
      </w:r>
      <w:r>
        <w:rPr>
          <w:sz w:val="18"/>
          <w:szCs w:val="18"/>
          <w:lang w:eastAsia="ja-JP"/>
        </w:rPr>
        <w:noBreakHyphen/>
        <w:t>specific molecular markers]</w:t>
      </w:r>
      <w:r w:rsidRPr="00591EFF">
        <w:rPr>
          <w:sz w:val="18"/>
          <w:szCs w:val="18"/>
          <w:lang w:eastAsia="ja-JP"/>
        </w:rPr>
        <w: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5E7BA2" w:rsidRDefault="005E7BA2" w:rsidP="005E7BA2"/>
    <w:p w:rsidR="005E7BA2" w:rsidRPr="003C088F" w:rsidRDefault="005E7BA2" w:rsidP="005E7BA2">
      <w:r>
        <w:fldChar w:fldCharType="begin"/>
      </w:r>
      <w:r>
        <w:instrText xml:space="preserve"> AUTONUM  </w:instrText>
      </w:r>
      <w:r>
        <w:fldChar w:fldCharType="end"/>
      </w:r>
      <w:r>
        <w:tab/>
      </w:r>
      <w:r w:rsidRPr="003C088F">
        <w:t xml:space="preserve">When considering whether to include the method in the Test Guidelines, the BMT further proposed that TGP/15 include an explanation that it would be the responsibility of the respective </w:t>
      </w:r>
      <w:r w:rsidR="00812ED1" w:rsidRPr="00812ED1">
        <w:rPr>
          <w:rFonts w:eastAsia="Times New Roman"/>
        </w:rPr>
        <w:t>Technical Working Part</w:t>
      </w:r>
      <w:r w:rsidR="00812ED1">
        <w:t>y (</w:t>
      </w:r>
      <w:r w:rsidRPr="003C088F">
        <w:t>TWP</w:t>
      </w:r>
      <w:r w:rsidR="00812ED1">
        <w:t>)</w:t>
      </w:r>
      <w:r w:rsidRPr="003C088F">
        <w:t xml:space="preserve"> and the TC to assess whether the reliability of the link between the gene and the expression of the characteristic was satisfied.</w:t>
      </w:r>
    </w:p>
    <w:p w:rsidR="0028123B" w:rsidRPr="00494F2F" w:rsidRDefault="0028123B" w:rsidP="0028123B"/>
    <w:p w:rsidR="0028123B" w:rsidRPr="00494F2F" w:rsidRDefault="0028123B" w:rsidP="0028123B">
      <w:pPr>
        <w:pStyle w:val="Heading2"/>
        <w:rPr>
          <w:snapToGrid w:val="0"/>
          <w:lang w:eastAsia="ja-JP"/>
        </w:rPr>
      </w:pPr>
      <w:bookmarkStart w:id="25" w:name="_Toc19817800"/>
      <w:r>
        <w:rPr>
          <w:snapToGrid w:val="0"/>
          <w:lang w:eastAsia="ja-JP"/>
        </w:rPr>
        <w:t>D</w:t>
      </w:r>
      <w:r w:rsidRPr="00494F2F">
        <w:rPr>
          <w:rFonts w:hint="eastAsia"/>
          <w:snapToGrid w:val="0"/>
          <w:lang w:eastAsia="ja-JP"/>
        </w:rPr>
        <w:t xml:space="preserve">evelopments at </w:t>
      </w:r>
      <w:r w:rsidRPr="00DF06EF">
        <w:rPr>
          <w:snapToGrid w:val="0"/>
          <w:lang w:eastAsia="ja-JP"/>
        </w:rPr>
        <w:t>the f</w:t>
      </w:r>
      <w:r>
        <w:rPr>
          <w:snapToGrid w:val="0"/>
          <w:lang w:eastAsia="ja-JP"/>
        </w:rPr>
        <w:t>if</w:t>
      </w:r>
      <w:r w:rsidRPr="00DF06EF">
        <w:rPr>
          <w:snapToGrid w:val="0"/>
          <w:lang w:eastAsia="ja-JP"/>
        </w:rPr>
        <w:t>ty-</w:t>
      </w:r>
      <w:r>
        <w:rPr>
          <w:snapToGrid w:val="0"/>
          <w:lang w:eastAsia="ja-JP"/>
        </w:rPr>
        <w:t>fourth</w:t>
      </w:r>
      <w:r w:rsidRPr="00DF06EF">
        <w:rPr>
          <w:snapToGrid w:val="0"/>
          <w:lang w:eastAsia="ja-JP"/>
        </w:rPr>
        <w:t xml:space="preserve"> session of </w:t>
      </w:r>
      <w:r w:rsidRPr="00494F2F">
        <w:rPr>
          <w:rFonts w:hint="eastAsia"/>
          <w:snapToGrid w:val="0"/>
          <w:lang w:eastAsia="ja-JP"/>
        </w:rPr>
        <w:t xml:space="preserve">the </w:t>
      </w:r>
      <w:r w:rsidRPr="00DF06EF">
        <w:rPr>
          <w:snapToGrid w:val="0"/>
          <w:lang w:eastAsia="ja-JP"/>
        </w:rPr>
        <w:t xml:space="preserve">Technical </w:t>
      </w:r>
      <w:r>
        <w:rPr>
          <w:snapToGrid w:val="0"/>
          <w:lang w:eastAsia="ja-JP"/>
        </w:rPr>
        <w:t>Committee</w:t>
      </w:r>
      <w:bookmarkEnd w:id="25"/>
    </w:p>
    <w:p w:rsidR="005E7BA2" w:rsidRPr="005E7BA2" w:rsidRDefault="005E7BA2" w:rsidP="005E7BA2">
      <w:pPr>
        <w:rPr>
          <w:rFonts w:cs="Arial"/>
        </w:rPr>
      </w:pPr>
    </w:p>
    <w:p w:rsidR="00060D3D" w:rsidRPr="00060D3D" w:rsidRDefault="00060D3D" w:rsidP="00060D3D">
      <w:pPr>
        <w:rPr>
          <w:rFonts w:eastAsia="Times New Roman"/>
        </w:rPr>
      </w:pPr>
      <w:r w:rsidRPr="00060D3D">
        <w:rPr>
          <w:rFonts w:eastAsia="Times New Roman" w:cs="Arial"/>
        </w:rPr>
        <w:fldChar w:fldCharType="begin"/>
      </w:r>
      <w:r w:rsidRPr="00060D3D">
        <w:rPr>
          <w:rFonts w:eastAsia="Times New Roman" w:cs="Arial"/>
        </w:rPr>
        <w:instrText xml:space="preserve"> AUTONUM  </w:instrText>
      </w:r>
      <w:r w:rsidRPr="00060D3D">
        <w:rPr>
          <w:rFonts w:eastAsia="Times New Roman" w:cs="Arial"/>
        </w:rPr>
        <w:fldChar w:fldCharType="end"/>
      </w:r>
      <w:r w:rsidRPr="00060D3D">
        <w:rPr>
          <w:rFonts w:eastAsia="Times New Roman" w:cs="Arial"/>
        </w:rPr>
        <w:tab/>
      </w:r>
      <w:proofErr w:type="gramStart"/>
      <w:r w:rsidRPr="00060D3D">
        <w:rPr>
          <w:rFonts w:eastAsia="Times New Roman" w:cs="Arial"/>
        </w:rPr>
        <w:t>The TC, at its fifty-fourth session, agreed</w:t>
      </w:r>
      <w:r w:rsidRPr="00060D3D">
        <w:rPr>
          <w:rFonts w:eastAsia="Times New Roman"/>
        </w:rPr>
        <w:t xml:space="preserve"> that the following text from document UPOV/INF/18/1 should be introduced in document TGP/15 to clarify that it was the responsibility of the authority to decide on the reliability of the link between the gene and the expression of the characteristic (see document TC/54/31 “Report”, paragraphs 272 to 275):</w:t>
      </w:r>
      <w:proofErr w:type="gramEnd"/>
    </w:p>
    <w:p w:rsidR="00060D3D" w:rsidRPr="00060D3D" w:rsidRDefault="00060D3D" w:rsidP="00060D3D">
      <w:pPr>
        <w:rPr>
          <w:rFonts w:eastAsia="Times New Roman" w:cs="Arial"/>
        </w:rPr>
      </w:pPr>
    </w:p>
    <w:p w:rsidR="00060D3D" w:rsidRPr="00060D3D" w:rsidRDefault="00060D3D" w:rsidP="00060D3D">
      <w:pPr>
        <w:autoSpaceDE w:val="0"/>
        <w:autoSpaceDN w:val="0"/>
        <w:adjustRightInd w:val="0"/>
        <w:ind w:left="567" w:right="567"/>
        <w:rPr>
          <w:rFonts w:eastAsia="Times New Roman"/>
          <w:sz w:val="18"/>
          <w:lang w:eastAsia="ja-JP"/>
        </w:rPr>
      </w:pPr>
      <w:r w:rsidRPr="00060D3D">
        <w:rPr>
          <w:rFonts w:eastAsia="Times New Roman"/>
          <w:sz w:val="18"/>
          <w:szCs w:val="18"/>
          <w:lang w:eastAsia="ja-JP"/>
        </w:rPr>
        <w:t xml:space="preserve">“3.1.4   </w:t>
      </w:r>
      <w:proofErr w:type="gramStart"/>
      <w:r w:rsidRPr="00060D3D">
        <w:rPr>
          <w:rFonts w:eastAsia="Times New Roman"/>
          <w:sz w:val="18"/>
          <w:szCs w:val="18"/>
          <w:lang w:eastAsia="ja-JP"/>
        </w:rPr>
        <w:t>In</w:t>
      </w:r>
      <w:proofErr w:type="gramEnd"/>
      <w:r w:rsidRPr="00060D3D">
        <w:rPr>
          <w:rFonts w:eastAsia="Times New Roman"/>
          <w:sz w:val="18"/>
          <w:szCs w:val="18"/>
          <w:lang w:eastAsia="ja-JP"/>
        </w:rPr>
        <w:t xml:space="preserve"> considering the model and example, as presented in Annex 1 of this document [Characteristic</w:t>
      </w:r>
      <w:r w:rsidRPr="00060D3D">
        <w:rPr>
          <w:rFonts w:eastAsia="Times New Roman"/>
          <w:sz w:val="18"/>
          <w:szCs w:val="18"/>
          <w:lang w:eastAsia="ja-JP"/>
        </w:rPr>
        <w:noBreakHyphen/>
        <w:t>specific molecular markers], the TC emphasized the importance of meeting the assumptions. In that regard, it clarified that it is a matter for the relevant authority to consider if the assumptions are met (see document TC/45/16 “Report”, paragraph 152).</w:t>
      </w:r>
      <w:r w:rsidRPr="00060D3D">
        <w:rPr>
          <w:rFonts w:eastAsia="Times New Roman"/>
          <w:sz w:val="18"/>
          <w:lang w:eastAsia="ja-JP"/>
        </w:rPr>
        <w:t xml:space="preserve">” </w:t>
      </w:r>
    </w:p>
    <w:p w:rsidR="00060D3D" w:rsidRPr="00060D3D" w:rsidRDefault="00060D3D" w:rsidP="00060D3D">
      <w:pPr>
        <w:ind w:left="567" w:hanging="567"/>
        <w:rPr>
          <w:rFonts w:eastAsia="Times New Roman" w:cs="Arial"/>
        </w:rPr>
      </w:pPr>
    </w:p>
    <w:p w:rsidR="00060D3D" w:rsidRPr="00060D3D" w:rsidRDefault="00060D3D" w:rsidP="00916C54">
      <w:pPr>
        <w:keepLines/>
        <w:rPr>
          <w:rFonts w:eastAsia="Times New Roman"/>
        </w:rPr>
      </w:pPr>
      <w:r w:rsidRPr="00060D3D">
        <w:rPr>
          <w:rFonts w:eastAsia="Times New Roman" w:cs="Arial"/>
        </w:rPr>
        <w:lastRenderedPageBreak/>
        <w:fldChar w:fldCharType="begin"/>
      </w:r>
      <w:r w:rsidRPr="00060D3D">
        <w:rPr>
          <w:rFonts w:eastAsia="Times New Roman" w:cs="Arial"/>
        </w:rPr>
        <w:instrText xml:space="preserve"> AUTONUM  </w:instrText>
      </w:r>
      <w:r w:rsidRPr="00060D3D">
        <w:rPr>
          <w:rFonts w:eastAsia="Times New Roman" w:cs="Arial"/>
        </w:rPr>
        <w:fldChar w:fldCharType="end"/>
      </w:r>
      <w:r w:rsidRPr="00060D3D">
        <w:rPr>
          <w:rFonts w:eastAsia="Times New Roman" w:cs="Arial"/>
        </w:rPr>
        <w:tab/>
        <w:t xml:space="preserve">The TC considered the proposal by the BMT and agreed </w:t>
      </w:r>
      <w:r w:rsidRPr="00060D3D">
        <w:rPr>
          <w:rFonts w:eastAsia="Times New Roman"/>
        </w:rPr>
        <w:t>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p>
    <w:p w:rsidR="00060D3D" w:rsidRPr="00060D3D" w:rsidRDefault="00060D3D" w:rsidP="00060D3D">
      <w:pPr>
        <w:rPr>
          <w:rFonts w:eastAsia="Times New Roman"/>
        </w:rPr>
      </w:pPr>
    </w:p>
    <w:p w:rsidR="00060D3D" w:rsidRPr="00060D3D" w:rsidRDefault="00060D3D" w:rsidP="00060D3D">
      <w:pPr>
        <w:rPr>
          <w:rFonts w:eastAsia="Times New Roman"/>
        </w:rPr>
      </w:pPr>
      <w:r w:rsidRPr="00060D3D">
        <w:rPr>
          <w:rFonts w:eastAsia="Times New Roman"/>
        </w:rPr>
        <w:fldChar w:fldCharType="begin"/>
      </w:r>
      <w:r w:rsidRPr="00060D3D">
        <w:rPr>
          <w:rFonts w:eastAsia="Times New Roman"/>
        </w:rPr>
        <w:instrText xml:space="preserve"> AUTONUM  </w:instrText>
      </w:r>
      <w:r w:rsidRPr="00060D3D">
        <w:rPr>
          <w:rFonts w:eastAsia="Times New Roman"/>
        </w:rPr>
        <w:fldChar w:fldCharType="end"/>
      </w:r>
      <w:r w:rsidRPr="00060D3D">
        <w:rPr>
          <w:rFonts w:eastAsia="Times New Roman"/>
        </w:rPr>
        <w:tab/>
        <w:t xml:space="preserve">The TC noted that the BMT, at its seventeenth session, had considered document BMT/17/21 “Do resistance markers for tomato fulfil the requirements of TGP/15” </w:t>
      </w:r>
      <w:r w:rsidRPr="00060D3D">
        <w:rPr>
          <w:rFonts w:eastAsia="Times New Roman"/>
          <w:iCs/>
        </w:rPr>
        <w:t>and received a presentation by</w:t>
      </w:r>
      <w:r w:rsidRPr="00060D3D">
        <w:rPr>
          <w:rFonts w:eastAsia="Times New Roman"/>
        </w:rPr>
        <w:t xml:space="preserve"> </w:t>
      </w:r>
      <w:r w:rsidRPr="00060D3D">
        <w:rPr>
          <w:rFonts w:eastAsia="Times New Roman"/>
          <w:iCs/>
        </w:rPr>
        <w:t>Ms. Amanda van Dijk</w:t>
      </w:r>
      <w:r w:rsidRPr="00060D3D">
        <w:rPr>
          <w:rFonts w:eastAsia="Times New Roman"/>
          <w:iCs/>
        </w:rPr>
        <w:noBreakHyphen/>
      </w:r>
      <w:proofErr w:type="spellStart"/>
      <w:r w:rsidRPr="00060D3D">
        <w:rPr>
          <w:rFonts w:eastAsia="Times New Roman"/>
          <w:iCs/>
        </w:rPr>
        <w:t>Veldhuizen</w:t>
      </w:r>
      <w:proofErr w:type="spellEnd"/>
      <w:r w:rsidRPr="00060D3D">
        <w:rPr>
          <w:rFonts w:eastAsia="Times New Roman"/>
          <w:iCs/>
        </w:rPr>
        <w:t xml:space="preserve"> (Netherlands), a copy of which was provided as document BMT/17/21 </w:t>
      </w:r>
      <w:proofErr w:type="gramStart"/>
      <w:r w:rsidRPr="00060D3D">
        <w:rPr>
          <w:rFonts w:eastAsia="Times New Roman"/>
          <w:iCs/>
        </w:rPr>
        <w:t>Add.</w:t>
      </w:r>
      <w:r w:rsidRPr="00060D3D">
        <w:rPr>
          <w:rFonts w:eastAsia="Times New Roman"/>
        </w:rPr>
        <w:t>.</w:t>
      </w:r>
      <w:proofErr w:type="gramEnd"/>
    </w:p>
    <w:p w:rsidR="00060D3D" w:rsidRPr="00060D3D" w:rsidRDefault="00060D3D" w:rsidP="00060D3D">
      <w:pPr>
        <w:rPr>
          <w:rFonts w:eastAsia="Times New Roman"/>
        </w:rPr>
      </w:pPr>
    </w:p>
    <w:p w:rsidR="00060D3D" w:rsidRPr="00060D3D" w:rsidRDefault="00060D3D" w:rsidP="00060D3D">
      <w:pPr>
        <w:rPr>
          <w:rFonts w:eastAsia="Times New Roman"/>
        </w:rPr>
      </w:pPr>
      <w:r w:rsidRPr="00060D3D">
        <w:rPr>
          <w:rFonts w:eastAsia="Times New Roman"/>
        </w:rPr>
        <w:fldChar w:fldCharType="begin"/>
      </w:r>
      <w:r w:rsidRPr="00060D3D">
        <w:rPr>
          <w:rFonts w:eastAsia="Times New Roman"/>
        </w:rPr>
        <w:instrText xml:space="preserve"> AUTONUM  </w:instrText>
      </w:r>
      <w:r w:rsidRPr="00060D3D">
        <w:rPr>
          <w:rFonts w:eastAsia="Times New Roman"/>
        </w:rPr>
        <w:fldChar w:fldCharType="end"/>
      </w:r>
      <w:r w:rsidRPr="00060D3D">
        <w:rPr>
          <w:rFonts w:eastAsia="Times New Roman"/>
        </w:rPr>
        <w:tab/>
        <w:t xml:space="preserve">The TC agreed with the proposal by the BMT that a new example be added to document TGP/15 to illustrate a situation where the characteristic-specific marker did not provide complete information on the state of expression of a characteristic, on the basis of the proposal by the Netherlands presented in document BMT/17/21.  The TC agreed to invite the experts from the Netherlands to prepare a proposal to </w:t>
      </w:r>
      <w:proofErr w:type="gramStart"/>
      <w:r w:rsidRPr="00060D3D">
        <w:rPr>
          <w:rFonts w:eastAsia="Times New Roman"/>
        </w:rPr>
        <w:t>be presented</w:t>
      </w:r>
      <w:proofErr w:type="gramEnd"/>
      <w:r w:rsidRPr="00060D3D">
        <w:rPr>
          <w:rFonts w:eastAsia="Times New Roman"/>
        </w:rPr>
        <w:t xml:space="preserve"> to the TWPs and BMT and agreed that the resultant proposal should be presented to the TC, at its fifty-fifth session.</w:t>
      </w:r>
    </w:p>
    <w:p w:rsidR="0028123B" w:rsidRPr="005E7BA2" w:rsidRDefault="0028123B" w:rsidP="0028123B">
      <w:pPr>
        <w:pStyle w:val="Heading2"/>
      </w:pPr>
    </w:p>
    <w:p w:rsidR="005E7BA2" w:rsidRPr="005E7BA2" w:rsidRDefault="0028123B" w:rsidP="0028123B">
      <w:pPr>
        <w:pStyle w:val="Heading2"/>
        <w:rPr>
          <w:caps/>
        </w:rPr>
      </w:pPr>
      <w:bookmarkStart w:id="26" w:name="_Toc19817801"/>
      <w:r>
        <w:t>D</w:t>
      </w:r>
      <w:r w:rsidRPr="005E7BA2">
        <w:t xml:space="preserve">evelopments at the </w:t>
      </w:r>
      <w:r>
        <w:t>T</w:t>
      </w:r>
      <w:r w:rsidRPr="005E7BA2">
        <w:t xml:space="preserve">echnical </w:t>
      </w:r>
      <w:r>
        <w:t>W</w:t>
      </w:r>
      <w:r w:rsidRPr="005E7BA2">
        <w:t xml:space="preserve">orking </w:t>
      </w:r>
      <w:r>
        <w:t>P</w:t>
      </w:r>
      <w:r w:rsidRPr="005E7BA2">
        <w:t>arties</w:t>
      </w:r>
      <w:bookmarkEnd w:id="26"/>
    </w:p>
    <w:p w:rsidR="005E7BA2" w:rsidRPr="005E7BA2" w:rsidRDefault="005E7BA2" w:rsidP="0028123B">
      <w:pPr>
        <w:pStyle w:val="Heading2"/>
      </w:pPr>
    </w:p>
    <w:p w:rsidR="005E7BA2" w:rsidRPr="005E7BA2" w:rsidRDefault="005E7BA2" w:rsidP="005E7BA2">
      <w:r w:rsidRPr="005E7BA2">
        <w:fldChar w:fldCharType="begin"/>
      </w:r>
      <w:r w:rsidRPr="005E7BA2">
        <w:instrText xml:space="preserve"> AUTONUM  </w:instrText>
      </w:r>
      <w:r w:rsidRPr="005E7BA2">
        <w:fldChar w:fldCharType="end"/>
      </w:r>
      <w:r w:rsidRPr="005E7BA2">
        <w:tab/>
        <w:t xml:space="preserve">The </w:t>
      </w:r>
      <w:r w:rsidR="00AB3D90" w:rsidRPr="00AB3D90">
        <w:t>T</w:t>
      </w:r>
      <w:r w:rsidR="0014610D">
        <w:t>WPs, at their sessions in 2019,</w:t>
      </w:r>
      <w:r w:rsidR="00AB3D90">
        <w:t xml:space="preserve"> </w:t>
      </w:r>
      <w:r w:rsidRPr="005E7BA2">
        <w:t>considered document TWP/3/12 “Characteristic</w:t>
      </w:r>
      <w:r w:rsidR="00AB3D90">
        <w:noBreakHyphen/>
      </w:r>
      <w:r w:rsidRPr="005E7BA2">
        <w:t>specific marker with incomplete information on state of expression” (see documents TWO/51/12 “Report”, paragraphs 33 to 35, TWV/53/14 “Report”, paragraphs 28 to 30</w:t>
      </w:r>
      <w:r w:rsidR="00AB3D90">
        <w:t xml:space="preserve">, </w:t>
      </w:r>
      <w:r w:rsidRPr="005E7BA2">
        <w:t>TWF/50/13 “Report”, paragraphs 28 and 29</w:t>
      </w:r>
      <w:r w:rsidR="00AB3D90">
        <w:t xml:space="preserve">, and </w:t>
      </w:r>
      <w:r w:rsidR="00AB3D90" w:rsidRPr="005E7BA2">
        <w:t>TW</w:t>
      </w:r>
      <w:r w:rsidR="00AB3D90">
        <w:t>A</w:t>
      </w:r>
      <w:r w:rsidR="00AB3D90" w:rsidRPr="005E7BA2">
        <w:t>/</w:t>
      </w:r>
      <w:r w:rsidR="00AB3D90">
        <w:t>48</w:t>
      </w:r>
      <w:r w:rsidR="00AB3D90" w:rsidRPr="005E7BA2">
        <w:t>/</w:t>
      </w:r>
      <w:r w:rsidR="00AB3D90" w:rsidRPr="0014610D">
        <w:t>9</w:t>
      </w:r>
      <w:r w:rsidR="00AB3D90" w:rsidRPr="005E7BA2">
        <w:t xml:space="preserve"> “Report”, paragraphs </w:t>
      </w:r>
      <w:r w:rsidR="00AB3D90" w:rsidRPr="0014610D">
        <w:t>3</w:t>
      </w:r>
      <w:r w:rsidR="0014610D" w:rsidRPr="0014610D">
        <w:t>2</w:t>
      </w:r>
      <w:r w:rsidR="00AB3D90" w:rsidRPr="0014610D">
        <w:t xml:space="preserve"> to 35</w:t>
      </w:r>
      <w:r w:rsidRPr="005E7BA2">
        <w:t>).</w:t>
      </w:r>
    </w:p>
    <w:p w:rsidR="005E7BA2" w:rsidRPr="005E7BA2" w:rsidRDefault="005E7BA2" w:rsidP="005E7BA2"/>
    <w:p w:rsidR="005E7BA2" w:rsidRPr="005E7BA2" w:rsidRDefault="005E7BA2" w:rsidP="005E7BA2">
      <w:r w:rsidRPr="005E7BA2">
        <w:fldChar w:fldCharType="begin"/>
      </w:r>
      <w:r w:rsidRPr="005E7BA2">
        <w:instrText xml:space="preserve"> AUTONUM  </w:instrText>
      </w:r>
      <w:r w:rsidRPr="005E7BA2">
        <w:fldChar w:fldCharType="end"/>
      </w:r>
      <w:r w:rsidRPr="005E7BA2">
        <w:tab/>
        <w:t xml:space="preserve">The TWO, TWV and TWF agreed with the proposed example to </w:t>
      </w:r>
      <w:proofErr w:type="gramStart"/>
      <w:r w:rsidRPr="005E7BA2">
        <w:t>be added</w:t>
      </w:r>
      <w:proofErr w:type="gramEnd"/>
      <w:r w:rsidRPr="005E7BA2">
        <w:t xml:space="preserve"> to document TGP/15 to illustrate a situation where the characteristic-specific marker does not provide complete information on the state of expression of a characteristic, as set out </w:t>
      </w:r>
      <w:r w:rsidRPr="00D42D0C">
        <w:t>in the Annex</w:t>
      </w:r>
      <w:r w:rsidR="009E233E" w:rsidRPr="00D42D0C">
        <w:t xml:space="preserve"> II</w:t>
      </w:r>
      <w:r w:rsidRPr="00D42D0C">
        <w:t xml:space="preserve"> to this</w:t>
      </w:r>
      <w:r w:rsidRPr="005E7BA2">
        <w:t xml:space="preserve"> document.</w:t>
      </w:r>
    </w:p>
    <w:p w:rsidR="005E7BA2" w:rsidRPr="005E7BA2" w:rsidRDefault="005E7BA2" w:rsidP="005E7BA2"/>
    <w:p w:rsidR="005E7BA2" w:rsidRPr="005E7BA2" w:rsidRDefault="005E7BA2" w:rsidP="005E7BA2">
      <w:r w:rsidRPr="005E7BA2">
        <w:fldChar w:fldCharType="begin"/>
      </w:r>
      <w:r w:rsidRPr="005E7BA2">
        <w:instrText xml:space="preserve"> AUTONUM  </w:instrText>
      </w:r>
      <w:r w:rsidRPr="005E7BA2">
        <w:fldChar w:fldCharType="end"/>
      </w:r>
      <w:r w:rsidRPr="005E7BA2">
        <w:tab/>
        <w:t>The TWO noted that disease resistance characteristics were not commonly used in ornamental plants.</w:t>
      </w:r>
    </w:p>
    <w:p w:rsidR="005E7BA2" w:rsidRPr="005E7BA2" w:rsidRDefault="005E7BA2" w:rsidP="005E7BA2"/>
    <w:p w:rsidR="005E7BA2" w:rsidRPr="005E7BA2" w:rsidRDefault="005E7BA2" w:rsidP="005E7BA2">
      <w:pPr>
        <w:rPr>
          <w:rFonts w:eastAsia="Calibri" w:cs="Arial"/>
          <w:sz w:val="18"/>
          <w:lang w:val="en-GB"/>
        </w:rPr>
      </w:pPr>
      <w:r w:rsidRPr="005E7BA2">
        <w:fldChar w:fldCharType="begin"/>
      </w:r>
      <w:r w:rsidRPr="005E7BA2">
        <w:instrText xml:space="preserve"> AUTONUM  </w:instrText>
      </w:r>
      <w:r w:rsidRPr="005E7BA2">
        <w:fldChar w:fldCharType="end"/>
      </w:r>
      <w:r w:rsidRPr="005E7BA2">
        <w:tab/>
        <w:t xml:space="preserve">The TWV agreed that a new sentence should be added to TGP/15 in the case where a variety was claimed by the applicant to be resistant in the TQ but the marker test is negative, a bio-assay should be conducted/performed and be conclusive.  </w:t>
      </w:r>
    </w:p>
    <w:p w:rsidR="0014610D" w:rsidRPr="0014610D" w:rsidRDefault="0014610D" w:rsidP="0014610D">
      <w:pPr>
        <w:rPr>
          <w:rFonts w:eastAsia="Times New Roman"/>
        </w:rPr>
      </w:pPr>
    </w:p>
    <w:p w:rsidR="0014610D" w:rsidRPr="0014610D" w:rsidRDefault="0014610D" w:rsidP="0014610D">
      <w:pPr>
        <w:rPr>
          <w:rFonts w:eastAsia="Times New Roman"/>
        </w:rPr>
      </w:pPr>
      <w:r w:rsidRPr="0014610D">
        <w:rPr>
          <w:rFonts w:eastAsia="Times New Roman"/>
        </w:rPr>
        <w:fldChar w:fldCharType="begin"/>
      </w:r>
      <w:r w:rsidRPr="0014610D">
        <w:rPr>
          <w:rFonts w:eastAsia="Times New Roman"/>
        </w:rPr>
        <w:instrText xml:space="preserve"> AUTONUM  </w:instrText>
      </w:r>
      <w:r w:rsidRPr="0014610D">
        <w:rPr>
          <w:rFonts w:eastAsia="Times New Roman"/>
        </w:rPr>
        <w:fldChar w:fldCharType="end"/>
      </w:r>
      <w:r w:rsidRPr="0014610D">
        <w:rPr>
          <w:rFonts w:eastAsia="Times New Roman"/>
        </w:rPr>
        <w:tab/>
        <w:t xml:space="preserve">The TWA agreed that it </w:t>
      </w:r>
      <w:proofErr w:type="gramStart"/>
      <w:r w:rsidRPr="0014610D">
        <w:rPr>
          <w:rFonts w:eastAsia="Times New Roman"/>
        </w:rPr>
        <w:t>should be clarified</w:t>
      </w:r>
      <w:proofErr w:type="gramEnd"/>
      <w:r w:rsidRPr="0014610D">
        <w:rPr>
          <w:rFonts w:eastAsia="Times New Roman"/>
        </w:rPr>
        <w:t xml:space="preserve"> whether the sources of resistance to </w:t>
      </w:r>
      <w:proofErr w:type="spellStart"/>
      <w:r w:rsidRPr="0014610D">
        <w:rPr>
          <w:rFonts w:eastAsia="Times New Roman"/>
        </w:rPr>
        <w:t>ToMV</w:t>
      </w:r>
      <w:proofErr w:type="spellEnd"/>
      <w:r w:rsidRPr="0014610D">
        <w:rPr>
          <w:rFonts w:eastAsia="Times New Roman"/>
        </w:rPr>
        <w:t xml:space="preserve"> Strain 0 were genes Tm1/tm1 and Tm2/Tm2</w:t>
      </w:r>
      <w:r w:rsidRPr="0014610D">
        <w:rPr>
          <w:rFonts w:eastAsia="Times New Roman"/>
          <w:vertAlign w:val="superscript"/>
        </w:rPr>
        <w:t>2</w:t>
      </w:r>
      <w:r w:rsidRPr="0014610D">
        <w:rPr>
          <w:rFonts w:eastAsia="Times New Roman"/>
        </w:rPr>
        <w:t>/tm2 or whether there were other known sources of resistance.</w:t>
      </w:r>
    </w:p>
    <w:p w:rsidR="0014610D" w:rsidRPr="0014610D" w:rsidRDefault="0014610D" w:rsidP="0014610D">
      <w:pPr>
        <w:rPr>
          <w:rFonts w:eastAsia="Times New Roman"/>
        </w:rPr>
      </w:pPr>
    </w:p>
    <w:p w:rsidR="0014610D" w:rsidRPr="0014610D" w:rsidRDefault="0014610D" w:rsidP="0014610D">
      <w:pPr>
        <w:rPr>
          <w:rFonts w:eastAsia="Times New Roman"/>
        </w:rPr>
      </w:pPr>
      <w:r w:rsidRPr="0014610D">
        <w:rPr>
          <w:rFonts w:eastAsia="Times New Roman"/>
        </w:rPr>
        <w:fldChar w:fldCharType="begin"/>
      </w:r>
      <w:r w:rsidRPr="0014610D">
        <w:rPr>
          <w:rFonts w:eastAsia="Times New Roman"/>
        </w:rPr>
        <w:instrText xml:space="preserve"> AUTONUM  </w:instrText>
      </w:r>
      <w:r w:rsidRPr="0014610D">
        <w:rPr>
          <w:rFonts w:eastAsia="Times New Roman"/>
        </w:rPr>
        <w:fldChar w:fldCharType="end"/>
      </w:r>
      <w:r w:rsidRPr="0014610D">
        <w:rPr>
          <w:rFonts w:eastAsia="Times New Roman"/>
        </w:rPr>
        <w:tab/>
        <w:t xml:space="preserve">The TWA agreed that it </w:t>
      </w:r>
      <w:proofErr w:type="gramStart"/>
      <w:r w:rsidRPr="0014610D">
        <w:rPr>
          <w:rFonts w:eastAsia="Times New Roman"/>
        </w:rPr>
        <w:t>should be clarified</w:t>
      </w:r>
      <w:proofErr w:type="gramEnd"/>
      <w:r w:rsidRPr="0014610D">
        <w:rPr>
          <w:rFonts w:eastAsia="Times New Roman"/>
        </w:rPr>
        <w:t xml:space="preserve"> whether different markers were linked to the alleles Tm2 and Tm2</w:t>
      </w:r>
      <w:r w:rsidRPr="0014610D">
        <w:rPr>
          <w:rFonts w:eastAsia="Times New Roman"/>
          <w:vertAlign w:val="superscript"/>
        </w:rPr>
        <w:t>2</w:t>
      </w:r>
      <w:r w:rsidRPr="0014610D">
        <w:rPr>
          <w:rFonts w:eastAsia="Times New Roman"/>
        </w:rPr>
        <w:t xml:space="preserve">.  In case both alleles </w:t>
      </w:r>
      <w:proofErr w:type="gramStart"/>
      <w:r w:rsidRPr="0014610D">
        <w:rPr>
          <w:rFonts w:eastAsia="Times New Roman"/>
        </w:rPr>
        <w:t>were linked</w:t>
      </w:r>
      <w:proofErr w:type="gramEnd"/>
      <w:r w:rsidRPr="0014610D">
        <w:rPr>
          <w:rFonts w:eastAsia="Times New Roman"/>
        </w:rPr>
        <w:t xml:space="preserve"> to the same marker, the two columns for the resistant alleles should be combined in Table 1 “Schematic overview of resistance to Tomato mosaic virus and resistance alleles.”</w:t>
      </w:r>
    </w:p>
    <w:p w:rsidR="0014610D" w:rsidRPr="0014610D" w:rsidRDefault="0014610D" w:rsidP="0014610D">
      <w:pPr>
        <w:rPr>
          <w:rFonts w:eastAsia="Times New Roman"/>
        </w:rPr>
      </w:pPr>
    </w:p>
    <w:p w:rsidR="0014610D" w:rsidRPr="0014610D" w:rsidRDefault="0014610D" w:rsidP="0014610D">
      <w:pPr>
        <w:rPr>
          <w:rFonts w:eastAsia="Times New Roman"/>
        </w:rPr>
      </w:pPr>
      <w:r w:rsidRPr="0014610D">
        <w:rPr>
          <w:rFonts w:eastAsia="Times New Roman"/>
        </w:rPr>
        <w:fldChar w:fldCharType="begin"/>
      </w:r>
      <w:r w:rsidRPr="0014610D">
        <w:rPr>
          <w:rFonts w:eastAsia="Times New Roman"/>
        </w:rPr>
        <w:instrText xml:space="preserve"> AUTONUM  </w:instrText>
      </w:r>
      <w:r w:rsidRPr="0014610D">
        <w:rPr>
          <w:rFonts w:eastAsia="Times New Roman"/>
        </w:rPr>
        <w:fldChar w:fldCharType="end"/>
      </w:r>
      <w:r w:rsidRPr="0014610D">
        <w:rPr>
          <w:rFonts w:eastAsia="Times New Roman"/>
        </w:rPr>
        <w:tab/>
        <w:t>The TWA agreed that the guidance should clarify that, according to the procedure, varieties claimed as susceptible would also be included in the bioassay.</w:t>
      </w:r>
    </w:p>
    <w:p w:rsidR="007220D7" w:rsidRPr="005E7BA2" w:rsidRDefault="007220D7" w:rsidP="005E7BA2">
      <w:pPr>
        <w:rPr>
          <w:rFonts w:cs="Arial"/>
        </w:rPr>
      </w:pPr>
    </w:p>
    <w:p w:rsidR="005E7BA2" w:rsidRPr="005E7BA2" w:rsidRDefault="005E7BA2" w:rsidP="005E7BA2">
      <w:pPr>
        <w:rPr>
          <w:rFonts w:cs="Arial"/>
        </w:rPr>
      </w:pPr>
      <w:r w:rsidRPr="005E7BA2">
        <w:rPr>
          <w:rFonts w:cs="Arial"/>
        </w:rPr>
        <w:fldChar w:fldCharType="begin"/>
      </w:r>
      <w:r w:rsidRPr="005E7BA2">
        <w:rPr>
          <w:rFonts w:cs="Arial"/>
        </w:rPr>
        <w:instrText xml:space="preserve"> AUTONUM  </w:instrText>
      </w:r>
      <w:r w:rsidRPr="005E7BA2">
        <w:rPr>
          <w:rFonts w:cs="Arial"/>
        </w:rPr>
        <w:fldChar w:fldCharType="end"/>
      </w:r>
      <w:r w:rsidRPr="005E7BA2">
        <w:rPr>
          <w:rFonts w:cs="Arial"/>
        </w:rPr>
        <w:tab/>
        <w:t xml:space="preserve">Comments by the TWC, at its thirty-seventh session, to </w:t>
      </w:r>
      <w:proofErr w:type="gramStart"/>
      <w:r w:rsidRPr="005E7BA2">
        <w:rPr>
          <w:rFonts w:cs="Arial"/>
        </w:rPr>
        <w:t>be held</w:t>
      </w:r>
      <w:proofErr w:type="gramEnd"/>
      <w:r w:rsidRPr="005E7BA2">
        <w:rPr>
          <w:rFonts w:cs="Arial"/>
        </w:rPr>
        <w:t xml:space="preserve"> in Hangzhou, China, from October 14 to 16, 2019, and the BMT, at its eighteenth session, will be </w:t>
      </w:r>
      <w:r w:rsidR="00B4097C">
        <w:rPr>
          <w:rFonts w:cs="Arial"/>
        </w:rPr>
        <w:t>reported to the TC, at its fifty-fifth session.</w:t>
      </w:r>
    </w:p>
    <w:p w:rsidR="005E7BA2" w:rsidRPr="005E7BA2" w:rsidRDefault="005E7BA2" w:rsidP="0028123B">
      <w:pPr>
        <w:pStyle w:val="Heading2"/>
      </w:pPr>
    </w:p>
    <w:p w:rsidR="005E7BA2" w:rsidRPr="005E7BA2" w:rsidRDefault="005E7962" w:rsidP="0028123B">
      <w:pPr>
        <w:pStyle w:val="Heading2"/>
        <w:rPr>
          <w:caps/>
          <w:snapToGrid w:val="0"/>
        </w:rPr>
      </w:pPr>
      <w:r>
        <w:rPr>
          <w:snapToGrid w:val="0"/>
        </w:rPr>
        <w:t>Matters for consideration by the BMT</w:t>
      </w:r>
    </w:p>
    <w:p w:rsidR="005E7BA2" w:rsidRPr="005E7BA2" w:rsidRDefault="005E7BA2" w:rsidP="0028123B">
      <w:pPr>
        <w:pStyle w:val="Heading2"/>
        <w:rPr>
          <w:snapToGrid w:val="0"/>
        </w:rPr>
      </w:pPr>
    </w:p>
    <w:p w:rsidR="005E7BA2" w:rsidRPr="00D42D0C" w:rsidRDefault="005E7BA2" w:rsidP="005E7BA2">
      <w:pPr>
        <w:rPr>
          <w:snapToGrid w:val="0"/>
        </w:rPr>
      </w:pPr>
      <w:r w:rsidRPr="005E7BA2">
        <w:rPr>
          <w:snapToGrid w:val="0"/>
        </w:rPr>
        <w:fldChar w:fldCharType="begin"/>
      </w:r>
      <w:r w:rsidRPr="005E7BA2">
        <w:rPr>
          <w:snapToGrid w:val="0"/>
        </w:rPr>
        <w:instrText xml:space="preserve"> AUTONUM  </w:instrText>
      </w:r>
      <w:r w:rsidRPr="005E7BA2">
        <w:rPr>
          <w:snapToGrid w:val="0"/>
        </w:rPr>
        <w:fldChar w:fldCharType="end"/>
      </w:r>
      <w:r w:rsidRPr="005E7BA2">
        <w:rPr>
          <w:snapToGrid w:val="0"/>
        </w:rPr>
        <w:tab/>
      </w:r>
      <w:r w:rsidRPr="00D42D0C">
        <w:rPr>
          <w:snapToGrid w:val="0"/>
        </w:rPr>
        <w:t>Annex</w:t>
      </w:r>
      <w:r w:rsidR="005F1ADE" w:rsidRPr="00D42D0C">
        <w:rPr>
          <w:snapToGrid w:val="0"/>
        </w:rPr>
        <w:t xml:space="preserve"> II</w:t>
      </w:r>
      <w:r w:rsidRPr="00D42D0C">
        <w:rPr>
          <w:snapToGrid w:val="0"/>
        </w:rPr>
        <w:t xml:space="preserve"> to this document presents a proposal prepared by experts from the Netherlands for </w:t>
      </w:r>
      <w:r w:rsidRPr="00D42D0C">
        <w:t xml:space="preserve">a new example to </w:t>
      </w:r>
      <w:proofErr w:type="gramStart"/>
      <w:r w:rsidRPr="00D42D0C">
        <w:t>be added</w:t>
      </w:r>
      <w:proofErr w:type="gramEnd"/>
      <w:r w:rsidRPr="00D42D0C">
        <w:t xml:space="preserve"> to document TGP/15, Model “Characteristic-specific molecular markers”, to illustrate a situation where the characteristic-specific marker does not provide complete information on the state of expression of a characteristic</w:t>
      </w:r>
      <w:r w:rsidRPr="00D42D0C">
        <w:rPr>
          <w:snapToGrid w:val="0"/>
        </w:rPr>
        <w:t>.</w:t>
      </w:r>
    </w:p>
    <w:p w:rsidR="005E7BA2" w:rsidRPr="00D42D0C" w:rsidRDefault="005E7BA2" w:rsidP="005E7BA2">
      <w:pPr>
        <w:rPr>
          <w:rFonts w:cs="Arial"/>
        </w:rPr>
      </w:pPr>
    </w:p>
    <w:p w:rsidR="005E7BA2" w:rsidRPr="005E7BA2" w:rsidRDefault="005E7BA2" w:rsidP="005E7BA2">
      <w:r w:rsidRPr="00D42D0C">
        <w:fldChar w:fldCharType="begin"/>
      </w:r>
      <w:r w:rsidRPr="00D42D0C">
        <w:instrText xml:space="preserve"> AUTONUM  </w:instrText>
      </w:r>
      <w:r w:rsidRPr="00D42D0C">
        <w:fldChar w:fldCharType="end"/>
      </w:r>
      <w:r w:rsidRPr="00D42D0C">
        <w:tab/>
        <w:t xml:space="preserve">The </w:t>
      </w:r>
      <w:r w:rsidR="005F1ADE" w:rsidRPr="00D42D0C">
        <w:t>BM</w:t>
      </w:r>
      <w:r w:rsidRPr="00D42D0C">
        <w:t xml:space="preserve">T may wish to consider whether the request by the TWV in paragraph </w:t>
      </w:r>
      <w:r w:rsidR="005F1ADE" w:rsidRPr="00D42D0C">
        <w:t>2</w:t>
      </w:r>
      <w:r w:rsidR="00060D3D" w:rsidRPr="00D42D0C">
        <w:t>8</w:t>
      </w:r>
      <w:r w:rsidRPr="00D42D0C">
        <w:t xml:space="preserve"> </w:t>
      </w:r>
      <w:proofErr w:type="gramStart"/>
      <w:r w:rsidRPr="00D42D0C">
        <w:t>is covered</w:t>
      </w:r>
      <w:proofErr w:type="gramEnd"/>
      <w:r w:rsidRPr="005E7BA2">
        <w:t xml:space="preserve"> in the draft guidance by the following sentence:</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ind w:left="567" w:right="567"/>
        <w:rPr>
          <w:rFonts w:eastAsia="Calibri" w:cs="Arial"/>
          <w:sz w:val="18"/>
          <w:lang w:val="en-GB"/>
        </w:rPr>
      </w:pPr>
      <w:r w:rsidRPr="005E7BA2">
        <w:rPr>
          <w:rFonts w:eastAsia="Calibri" w:cs="Arial"/>
          <w:sz w:val="18"/>
          <w:lang w:val="en-GB"/>
        </w:rPr>
        <w:t>“6.</w:t>
      </w:r>
      <w:r w:rsidRPr="005E7BA2">
        <w:rPr>
          <w:rFonts w:eastAsia="Calibri" w:cs="Arial"/>
          <w:sz w:val="18"/>
          <w:lang w:val="en-GB"/>
        </w:rPr>
        <w:tab/>
        <w:t xml:space="preserve">If a variety is claimed to be resistant to </w:t>
      </w:r>
      <w:proofErr w:type="spellStart"/>
      <w:r w:rsidRPr="005E7BA2">
        <w:rPr>
          <w:rFonts w:eastAsia="Calibri" w:cs="Arial"/>
          <w:sz w:val="18"/>
          <w:lang w:val="en-GB"/>
        </w:rPr>
        <w:t>ToMV</w:t>
      </w:r>
      <w:proofErr w:type="spellEnd"/>
      <w:r w:rsidRPr="005E7BA2">
        <w:rPr>
          <w:rFonts w:eastAsia="Calibri" w:cs="Arial"/>
          <w:sz w:val="18"/>
          <w:lang w:val="en-GB"/>
        </w:rPr>
        <w:t xml:space="preserve"> Strain 0 and the DNA marker test result is tm2/tm2 (homozygous susceptible) a bioassay needs to be performed to determine whether the variety is resistant on the basis of another gene, such as Tm1.”</w:t>
      </w:r>
    </w:p>
    <w:p w:rsidR="00302207" w:rsidRPr="005E7BA2" w:rsidRDefault="00302207" w:rsidP="00302207">
      <w:pPr>
        <w:rPr>
          <w:rFonts w:cs="Arial"/>
        </w:rPr>
      </w:pPr>
    </w:p>
    <w:p w:rsidR="00302207" w:rsidRPr="005E7BA2" w:rsidRDefault="00302207" w:rsidP="00F6653E">
      <w:pPr>
        <w:keepNext/>
        <w:keepLines/>
      </w:pPr>
      <w:r w:rsidRPr="005E7BA2">
        <w:lastRenderedPageBreak/>
        <w:fldChar w:fldCharType="begin"/>
      </w:r>
      <w:r w:rsidRPr="005E7BA2">
        <w:instrText xml:space="preserve"> AUTONUM  </w:instrText>
      </w:r>
      <w:r w:rsidRPr="005E7BA2">
        <w:fldChar w:fldCharType="end"/>
      </w:r>
      <w:r w:rsidRPr="005E7BA2">
        <w:tab/>
        <w:t xml:space="preserve">The </w:t>
      </w:r>
      <w:r>
        <w:t>BM</w:t>
      </w:r>
      <w:r w:rsidRPr="005E7BA2">
        <w:t xml:space="preserve">T may wish to consider </w:t>
      </w:r>
      <w:r>
        <w:t xml:space="preserve">the following proposals by the TWA, as set out </w:t>
      </w:r>
      <w:r w:rsidRPr="005E7BA2">
        <w:t>in paragraph</w:t>
      </w:r>
      <w:r>
        <w:t>s</w:t>
      </w:r>
      <w:r w:rsidRPr="005E7BA2">
        <w:t xml:space="preserve"> </w:t>
      </w:r>
      <w:r w:rsidRPr="00D42D0C">
        <w:t>29 to 31 of this document:</w:t>
      </w:r>
    </w:p>
    <w:p w:rsidR="00302207" w:rsidRPr="00217A34" w:rsidRDefault="00302207" w:rsidP="00F6653E">
      <w:pPr>
        <w:keepNext/>
        <w:keepLines/>
        <w:rPr>
          <w:rFonts w:cs="Arial"/>
          <w:iCs/>
        </w:rPr>
      </w:pPr>
    </w:p>
    <w:p w:rsidR="00302207" w:rsidRPr="00217A34" w:rsidRDefault="00302207" w:rsidP="00F6653E">
      <w:pPr>
        <w:keepNext/>
        <w:keepLines/>
        <w:ind w:firstLine="567"/>
      </w:pPr>
      <w:r w:rsidRPr="00217A34">
        <w:t>(a)</w:t>
      </w:r>
      <w:r w:rsidRPr="00217A34">
        <w:tab/>
      </w:r>
      <w:proofErr w:type="gramStart"/>
      <w:r>
        <w:t>that</w:t>
      </w:r>
      <w:proofErr w:type="gramEnd"/>
      <w:r>
        <w:t xml:space="preserve"> </w:t>
      </w:r>
      <w:r w:rsidRPr="00302207">
        <w:t xml:space="preserve">it should be clarified whether the sources of resistance to </w:t>
      </w:r>
      <w:proofErr w:type="spellStart"/>
      <w:r w:rsidRPr="00302207">
        <w:t>ToMV</w:t>
      </w:r>
      <w:proofErr w:type="spellEnd"/>
      <w:r w:rsidRPr="00302207">
        <w:t xml:space="preserve"> Strain 0 were genes Tm1/tm1 and Tm2/Tm2</w:t>
      </w:r>
      <w:r w:rsidRPr="00302207">
        <w:rPr>
          <w:vertAlign w:val="superscript"/>
        </w:rPr>
        <w:t>2</w:t>
      </w:r>
      <w:r w:rsidRPr="00302207">
        <w:t>/tm2 or whether there were other known sources of resistance</w:t>
      </w:r>
      <w:r w:rsidRPr="00217A34">
        <w:t xml:space="preserve">; </w:t>
      </w:r>
    </w:p>
    <w:p w:rsidR="00302207" w:rsidRPr="00217A34" w:rsidRDefault="00302207" w:rsidP="00302207">
      <w:pPr>
        <w:ind w:firstLine="567"/>
      </w:pPr>
    </w:p>
    <w:p w:rsidR="00302207" w:rsidRPr="00217A34" w:rsidRDefault="00302207" w:rsidP="00302207">
      <w:pPr>
        <w:keepLines/>
        <w:ind w:firstLine="567"/>
      </w:pPr>
      <w:r w:rsidRPr="00217A34">
        <w:t>(b)</w:t>
      </w:r>
      <w:r w:rsidRPr="00217A34">
        <w:tab/>
      </w:r>
      <w:proofErr w:type="gramStart"/>
      <w:r w:rsidRPr="00302207">
        <w:t>that</w:t>
      </w:r>
      <w:proofErr w:type="gramEnd"/>
      <w:r w:rsidRPr="00302207">
        <w:t xml:space="preserve"> it should be clarified whether different markers were linked to the alleles Tm2 and Tm2</w:t>
      </w:r>
      <w:r w:rsidRPr="00302207">
        <w:rPr>
          <w:vertAlign w:val="superscript"/>
        </w:rPr>
        <w:t>2</w:t>
      </w:r>
      <w:r w:rsidRPr="00302207">
        <w:t>.  In case both alleles were linked to the same marker, the two columns for the resistant alleles should be combined in Table 1 “Schematic overview of resistance to Tomato mosaic virus and resistance alleles.”</w:t>
      </w:r>
      <w:r w:rsidRPr="00217A34">
        <w:t xml:space="preserve">; and </w:t>
      </w:r>
    </w:p>
    <w:p w:rsidR="00302207" w:rsidRPr="00217A34" w:rsidRDefault="00302207" w:rsidP="00302207">
      <w:pPr>
        <w:ind w:firstLine="567"/>
      </w:pPr>
    </w:p>
    <w:p w:rsidR="00302207" w:rsidRPr="00217A34" w:rsidRDefault="00302207" w:rsidP="00302207">
      <w:pPr>
        <w:ind w:firstLine="567"/>
      </w:pPr>
      <w:r w:rsidRPr="00217A34">
        <w:t>(c)</w:t>
      </w:r>
      <w:r w:rsidRPr="00217A34">
        <w:tab/>
      </w:r>
      <w:proofErr w:type="gramStart"/>
      <w:r w:rsidRPr="00302207">
        <w:t>that</w:t>
      </w:r>
      <w:proofErr w:type="gramEnd"/>
      <w:r w:rsidRPr="00302207">
        <w:t xml:space="preserve"> the guidance should clarify that, according to the procedure, varieties claimed as susceptible would also be included in the bioassay</w:t>
      </w:r>
      <w:r w:rsidRPr="00217A34">
        <w:t>.</w:t>
      </w:r>
    </w:p>
    <w:p w:rsidR="004451F4" w:rsidRPr="00302207" w:rsidRDefault="004451F4" w:rsidP="004451F4">
      <w:pPr>
        <w:rPr>
          <w:rFonts w:eastAsia="Times New Roman"/>
          <w:snapToGrid w:val="0"/>
        </w:rPr>
      </w:pPr>
    </w:p>
    <w:p w:rsidR="004451F4" w:rsidRPr="004451F4" w:rsidRDefault="004451F4" w:rsidP="004451F4">
      <w:pPr>
        <w:jc w:val="left"/>
        <w:rPr>
          <w:rFonts w:eastAsia="Times New Roman"/>
          <w:snapToGrid w:val="0"/>
        </w:rPr>
      </w:pPr>
    </w:p>
    <w:p w:rsidR="004451F4" w:rsidRPr="004451F4" w:rsidRDefault="004451F4" w:rsidP="005E7962">
      <w:pPr>
        <w:tabs>
          <w:tab w:val="left" w:pos="5387"/>
        </w:tabs>
        <w:ind w:left="4820"/>
        <w:rPr>
          <w:rFonts w:eastAsia="Times New Roman"/>
          <w:i/>
        </w:rPr>
      </w:pPr>
      <w:r w:rsidRPr="004451F4">
        <w:rPr>
          <w:rFonts w:eastAsia="Times New Roman"/>
          <w:i/>
          <w:snapToGrid w:val="0"/>
        </w:rPr>
        <w:fldChar w:fldCharType="begin"/>
      </w:r>
      <w:r w:rsidRPr="004451F4">
        <w:rPr>
          <w:rFonts w:eastAsia="Times New Roman"/>
          <w:i/>
          <w:snapToGrid w:val="0"/>
        </w:rPr>
        <w:instrText xml:space="preserve"> AUTONUM  </w:instrText>
      </w:r>
      <w:r w:rsidRPr="004451F4">
        <w:rPr>
          <w:rFonts w:eastAsia="Times New Roman"/>
          <w:i/>
          <w:snapToGrid w:val="0"/>
        </w:rPr>
        <w:fldChar w:fldCharType="end"/>
      </w:r>
      <w:r w:rsidRPr="004451F4">
        <w:rPr>
          <w:rFonts w:eastAsia="Times New Roman"/>
          <w:i/>
          <w:snapToGrid w:val="0"/>
        </w:rPr>
        <w:tab/>
        <w:t xml:space="preserve">The </w:t>
      </w:r>
      <w:r>
        <w:rPr>
          <w:rFonts w:eastAsia="Times New Roman"/>
          <w:i/>
          <w:snapToGrid w:val="0"/>
        </w:rPr>
        <w:t>BM</w:t>
      </w:r>
      <w:r w:rsidRPr="004451F4">
        <w:rPr>
          <w:rFonts w:eastAsia="Times New Roman"/>
          <w:i/>
          <w:snapToGrid w:val="0"/>
        </w:rPr>
        <w:t xml:space="preserve">T </w:t>
      </w:r>
      <w:r>
        <w:rPr>
          <w:rFonts w:eastAsia="Times New Roman"/>
          <w:i/>
          <w:snapToGrid w:val="0"/>
        </w:rPr>
        <w:t>is</w:t>
      </w:r>
      <w:r w:rsidRPr="004451F4">
        <w:rPr>
          <w:rFonts w:eastAsia="Times New Roman"/>
          <w:i/>
          <w:snapToGrid w:val="0"/>
        </w:rPr>
        <w:t xml:space="preserve"> invited to</w:t>
      </w:r>
      <w:r w:rsidR="005E7962">
        <w:rPr>
          <w:rFonts w:eastAsia="Times New Roman"/>
          <w:i/>
          <w:snapToGrid w:val="0"/>
        </w:rPr>
        <w:t xml:space="preserve"> </w:t>
      </w:r>
      <w:r w:rsidRPr="004451F4">
        <w:rPr>
          <w:rFonts w:eastAsia="Times New Roman"/>
          <w:i/>
          <w:snapToGrid w:val="0"/>
        </w:rPr>
        <w:t xml:space="preserve">consider the proposal for </w:t>
      </w:r>
      <w:r w:rsidRPr="004451F4">
        <w:rPr>
          <w:rFonts w:eastAsia="Times New Roman"/>
          <w:i/>
        </w:rPr>
        <w:t xml:space="preserve">a new example </w:t>
      </w:r>
      <w:r w:rsidR="005E7962">
        <w:rPr>
          <w:rFonts w:eastAsia="Times New Roman"/>
          <w:i/>
        </w:rPr>
        <w:t xml:space="preserve">to </w:t>
      </w:r>
      <w:r w:rsidRPr="004451F4">
        <w:rPr>
          <w:rFonts w:eastAsia="Times New Roman"/>
          <w:i/>
        </w:rPr>
        <w:t xml:space="preserve">be added to document TGP/15 to illustrate a situation where the characteristic-specific marker does not provide complete information on the state of expression of a characteristic, as set out in the </w:t>
      </w:r>
      <w:r w:rsidRPr="00D42D0C">
        <w:rPr>
          <w:rFonts w:eastAsia="Times New Roman"/>
          <w:i/>
        </w:rPr>
        <w:t>Annex II to</w:t>
      </w:r>
      <w:r w:rsidRPr="004451F4">
        <w:rPr>
          <w:rFonts w:eastAsia="Times New Roman"/>
          <w:i/>
        </w:rPr>
        <w:t xml:space="preserve"> this document</w:t>
      </w:r>
      <w:r w:rsidR="005E7962">
        <w:rPr>
          <w:rFonts w:eastAsia="Times New Roman"/>
          <w:i/>
        </w:rPr>
        <w:t>, including:</w:t>
      </w:r>
    </w:p>
    <w:p w:rsidR="00E43EB7" w:rsidRPr="004451F4" w:rsidRDefault="00E43EB7" w:rsidP="00E43EB7">
      <w:pPr>
        <w:tabs>
          <w:tab w:val="left" w:pos="5387"/>
          <w:tab w:val="left" w:pos="5954"/>
        </w:tabs>
        <w:rPr>
          <w:rFonts w:eastAsia="Times New Roman"/>
          <w:i/>
        </w:rPr>
      </w:pPr>
    </w:p>
    <w:p w:rsidR="00E43EB7" w:rsidRPr="004451F4" w:rsidRDefault="00E43EB7" w:rsidP="00E43EB7">
      <w:pPr>
        <w:numPr>
          <w:ilvl w:val="0"/>
          <w:numId w:val="2"/>
        </w:numPr>
        <w:tabs>
          <w:tab w:val="left" w:pos="5387"/>
          <w:tab w:val="left" w:pos="5954"/>
        </w:tabs>
        <w:ind w:left="4820" w:firstLine="570"/>
        <w:contextualSpacing/>
        <w:rPr>
          <w:rFonts w:eastAsia="Times New Roman"/>
          <w:i/>
        </w:rPr>
      </w:pPr>
      <w:r w:rsidRPr="00E43EB7">
        <w:rPr>
          <w:rFonts w:eastAsia="Times New Roman"/>
          <w:i/>
          <w:snapToGrid w:val="0"/>
        </w:rPr>
        <w:t xml:space="preserve">whether the </w:t>
      </w:r>
      <w:r>
        <w:rPr>
          <w:rFonts w:eastAsia="Times New Roman"/>
          <w:i/>
          <w:snapToGrid w:val="0"/>
        </w:rPr>
        <w:t xml:space="preserve">request </w:t>
      </w:r>
      <w:r w:rsidRPr="00E43EB7">
        <w:rPr>
          <w:rFonts w:eastAsia="Times New Roman"/>
          <w:i/>
          <w:snapToGrid w:val="0"/>
        </w:rPr>
        <w:t>by the TWV is covered in the draft guidance by the following sentence</w:t>
      </w:r>
      <w:r>
        <w:rPr>
          <w:rFonts w:eastAsia="Times New Roman"/>
          <w:i/>
          <w:snapToGrid w:val="0"/>
        </w:rPr>
        <w:t xml:space="preserve">: </w:t>
      </w:r>
      <w:r w:rsidRPr="00E43EB7">
        <w:rPr>
          <w:rFonts w:eastAsia="Times New Roman"/>
          <w:i/>
          <w:snapToGrid w:val="0"/>
          <w:lang w:val="en-GB"/>
        </w:rPr>
        <w:t>“6.</w:t>
      </w:r>
      <w:r w:rsidRPr="00E43EB7">
        <w:rPr>
          <w:rFonts w:eastAsia="Times New Roman"/>
          <w:i/>
          <w:snapToGrid w:val="0"/>
          <w:lang w:val="en-GB"/>
        </w:rPr>
        <w:tab/>
        <w:t xml:space="preserve">If a variety is claimed to be resistant to </w:t>
      </w:r>
      <w:proofErr w:type="spellStart"/>
      <w:r w:rsidRPr="00E43EB7">
        <w:rPr>
          <w:rFonts w:eastAsia="Times New Roman"/>
          <w:i/>
          <w:snapToGrid w:val="0"/>
          <w:lang w:val="en-GB"/>
        </w:rPr>
        <w:t>ToMV</w:t>
      </w:r>
      <w:proofErr w:type="spellEnd"/>
      <w:r w:rsidRPr="00E43EB7">
        <w:rPr>
          <w:rFonts w:eastAsia="Times New Roman"/>
          <w:i/>
          <w:snapToGrid w:val="0"/>
          <w:lang w:val="en-GB"/>
        </w:rPr>
        <w:t xml:space="preserve"> Strain 0 and the DNA marker test result is tm2/tm2 (homozygous susceptible) a bioassay needs to be performed to determine whether the variety is resistant on the basis of another gene, such as Tm1”</w:t>
      </w:r>
      <w:r>
        <w:rPr>
          <w:rFonts w:eastAsia="Times New Roman"/>
          <w:i/>
          <w:snapToGrid w:val="0"/>
          <w:lang w:val="en-GB"/>
        </w:rPr>
        <w:t xml:space="preserve">; </w:t>
      </w:r>
    </w:p>
    <w:p w:rsidR="00020077" w:rsidRPr="004451F4" w:rsidRDefault="00020077" w:rsidP="00020077">
      <w:pPr>
        <w:tabs>
          <w:tab w:val="left" w:pos="5387"/>
          <w:tab w:val="left" w:pos="5954"/>
        </w:tabs>
        <w:rPr>
          <w:rFonts w:eastAsia="Times New Roman"/>
          <w:i/>
        </w:rPr>
      </w:pPr>
    </w:p>
    <w:p w:rsidR="00020077" w:rsidRPr="004451F4" w:rsidRDefault="005E7962" w:rsidP="00020077">
      <w:pPr>
        <w:numPr>
          <w:ilvl w:val="0"/>
          <w:numId w:val="2"/>
        </w:numPr>
        <w:tabs>
          <w:tab w:val="left" w:pos="5387"/>
          <w:tab w:val="left" w:pos="5954"/>
        </w:tabs>
        <w:ind w:left="4820" w:firstLine="570"/>
        <w:contextualSpacing/>
        <w:rPr>
          <w:rFonts w:eastAsia="Times New Roman"/>
          <w:i/>
        </w:rPr>
      </w:pPr>
      <w:r>
        <w:rPr>
          <w:rFonts w:eastAsia="Times New Roman"/>
          <w:i/>
          <w:snapToGrid w:val="0"/>
        </w:rPr>
        <w:t>whether</w:t>
      </w:r>
      <w:r w:rsidR="00020077" w:rsidRPr="004451F4">
        <w:rPr>
          <w:rFonts w:eastAsia="Times New Roman"/>
          <w:i/>
          <w:snapToGrid w:val="0"/>
        </w:rPr>
        <w:t xml:space="preserve"> </w:t>
      </w:r>
      <w:r w:rsidR="00020077" w:rsidRPr="00EC7AFE">
        <w:rPr>
          <w:rFonts w:eastAsia="Times New Roman"/>
          <w:i/>
          <w:snapToGrid w:val="0"/>
        </w:rPr>
        <w:t xml:space="preserve">it should be clarified whether the sources of resistance to </w:t>
      </w:r>
      <w:proofErr w:type="spellStart"/>
      <w:r w:rsidR="00020077" w:rsidRPr="00EC7AFE">
        <w:rPr>
          <w:rFonts w:eastAsia="Times New Roman"/>
          <w:i/>
          <w:snapToGrid w:val="0"/>
        </w:rPr>
        <w:t>ToMV</w:t>
      </w:r>
      <w:proofErr w:type="spellEnd"/>
      <w:r w:rsidR="00020077" w:rsidRPr="00EC7AFE">
        <w:rPr>
          <w:rFonts w:eastAsia="Times New Roman"/>
          <w:i/>
          <w:snapToGrid w:val="0"/>
        </w:rPr>
        <w:t xml:space="preserve"> Strain 0 were genes Tm1/tm1 and Tm2/Tm2</w:t>
      </w:r>
      <w:r w:rsidR="00020077" w:rsidRPr="00EC7AFE">
        <w:rPr>
          <w:rFonts w:eastAsia="Times New Roman"/>
          <w:i/>
          <w:snapToGrid w:val="0"/>
          <w:vertAlign w:val="superscript"/>
        </w:rPr>
        <w:t>2</w:t>
      </w:r>
      <w:r w:rsidR="00020077" w:rsidRPr="00EC7AFE">
        <w:rPr>
          <w:rFonts w:eastAsia="Times New Roman"/>
          <w:i/>
          <w:snapToGrid w:val="0"/>
        </w:rPr>
        <w:t>/tm2 or whether there were other known sources of resistance</w:t>
      </w:r>
      <w:r w:rsidR="00020077">
        <w:rPr>
          <w:rFonts w:eastAsia="Times New Roman"/>
          <w:i/>
          <w:snapToGrid w:val="0"/>
        </w:rPr>
        <w:t>;</w:t>
      </w:r>
    </w:p>
    <w:p w:rsidR="00020077" w:rsidRPr="004451F4" w:rsidRDefault="00020077" w:rsidP="00020077">
      <w:pPr>
        <w:tabs>
          <w:tab w:val="left" w:pos="5387"/>
          <w:tab w:val="left" w:pos="5954"/>
        </w:tabs>
        <w:rPr>
          <w:rFonts w:eastAsia="Times New Roman"/>
          <w:i/>
        </w:rPr>
      </w:pPr>
    </w:p>
    <w:p w:rsidR="00020077" w:rsidRPr="004451F4" w:rsidRDefault="005E7962" w:rsidP="00020077">
      <w:pPr>
        <w:numPr>
          <w:ilvl w:val="0"/>
          <w:numId w:val="2"/>
        </w:numPr>
        <w:tabs>
          <w:tab w:val="left" w:pos="5387"/>
          <w:tab w:val="left" w:pos="5954"/>
        </w:tabs>
        <w:ind w:left="4820" w:firstLine="570"/>
        <w:contextualSpacing/>
        <w:rPr>
          <w:rFonts w:eastAsia="Times New Roman"/>
          <w:i/>
        </w:rPr>
      </w:pPr>
      <w:proofErr w:type="gramStart"/>
      <w:r>
        <w:rPr>
          <w:rFonts w:eastAsia="Times New Roman"/>
          <w:i/>
          <w:snapToGrid w:val="0"/>
        </w:rPr>
        <w:t>whether</w:t>
      </w:r>
      <w:proofErr w:type="gramEnd"/>
      <w:r w:rsidR="00020077" w:rsidRPr="00EC7AFE">
        <w:rPr>
          <w:rFonts w:eastAsia="Times New Roman"/>
          <w:i/>
          <w:snapToGrid w:val="0"/>
        </w:rPr>
        <w:t xml:space="preserve"> it should be clarified whether different markers were linked to the alleles Tm2 and Tm2</w:t>
      </w:r>
      <w:r w:rsidR="00020077" w:rsidRPr="00EC7AFE">
        <w:rPr>
          <w:rFonts w:eastAsia="Times New Roman"/>
          <w:i/>
          <w:snapToGrid w:val="0"/>
          <w:vertAlign w:val="superscript"/>
        </w:rPr>
        <w:t>2</w:t>
      </w:r>
      <w:r w:rsidR="00020077" w:rsidRPr="00EC7AFE">
        <w:rPr>
          <w:rFonts w:eastAsia="Times New Roman"/>
          <w:i/>
          <w:snapToGrid w:val="0"/>
        </w:rPr>
        <w:t>.  In case both alleles were linked to the same marker, the two columns for the resistant alleles should be combined in Table 1 “Schematic overview of resistance to Tomato mosaic virus and resistance alleles.”</w:t>
      </w:r>
      <w:r w:rsidR="00020077">
        <w:rPr>
          <w:rFonts w:eastAsia="Times New Roman"/>
          <w:i/>
          <w:snapToGrid w:val="0"/>
        </w:rPr>
        <w:t>;</w:t>
      </w:r>
      <w:r w:rsidR="00E9140F">
        <w:rPr>
          <w:rFonts w:eastAsia="Times New Roman"/>
          <w:i/>
          <w:snapToGrid w:val="0"/>
        </w:rPr>
        <w:t xml:space="preserve"> and</w:t>
      </w:r>
    </w:p>
    <w:p w:rsidR="00E43EB7" w:rsidRPr="004451F4" w:rsidRDefault="00E43EB7" w:rsidP="00E43EB7">
      <w:pPr>
        <w:tabs>
          <w:tab w:val="left" w:pos="5387"/>
          <w:tab w:val="left" w:pos="5954"/>
        </w:tabs>
        <w:rPr>
          <w:rFonts w:eastAsia="Times New Roman"/>
          <w:i/>
        </w:rPr>
      </w:pPr>
    </w:p>
    <w:p w:rsidR="00E43EB7" w:rsidRPr="004451F4" w:rsidRDefault="005E7962" w:rsidP="00E9140F">
      <w:pPr>
        <w:keepLines/>
        <w:numPr>
          <w:ilvl w:val="0"/>
          <w:numId w:val="2"/>
        </w:numPr>
        <w:tabs>
          <w:tab w:val="left" w:pos="5387"/>
          <w:tab w:val="left" w:pos="5954"/>
        </w:tabs>
        <w:ind w:left="4820" w:firstLine="570"/>
        <w:contextualSpacing/>
        <w:rPr>
          <w:rFonts w:eastAsia="Times New Roman"/>
          <w:i/>
        </w:rPr>
      </w:pPr>
      <w:proofErr w:type="gramStart"/>
      <w:r>
        <w:rPr>
          <w:rFonts w:eastAsia="Times New Roman"/>
          <w:i/>
          <w:snapToGrid w:val="0"/>
        </w:rPr>
        <w:t>whether</w:t>
      </w:r>
      <w:proofErr w:type="gramEnd"/>
      <w:r w:rsidR="00EC7AFE" w:rsidRPr="00EC7AFE">
        <w:rPr>
          <w:rFonts w:eastAsia="Times New Roman"/>
          <w:i/>
          <w:snapToGrid w:val="0"/>
        </w:rPr>
        <w:t xml:space="preserve"> the guidance should clarify that, according to the procedure, varieties claimed as susceptible would also be included in the bioassay</w:t>
      </w:r>
      <w:r w:rsidR="00EC7AFE">
        <w:rPr>
          <w:rFonts w:eastAsia="Times New Roman"/>
          <w:i/>
          <w:snapToGrid w:val="0"/>
        </w:rPr>
        <w:t>.</w:t>
      </w:r>
    </w:p>
    <w:p w:rsidR="005E7BA2" w:rsidRPr="005E7BA2" w:rsidRDefault="005E7BA2" w:rsidP="001F4F81"/>
    <w:p w:rsidR="005E7BA2" w:rsidRPr="005E7BA2" w:rsidRDefault="005E7BA2" w:rsidP="005E7BA2"/>
    <w:p w:rsidR="005E7BA2" w:rsidRPr="005E7BA2" w:rsidRDefault="005E7BA2" w:rsidP="005E7BA2"/>
    <w:p w:rsidR="008A652B" w:rsidRDefault="005E7BA2" w:rsidP="008A652B">
      <w:pPr>
        <w:jc w:val="right"/>
        <w:rPr>
          <w:rFonts w:cs="Arial"/>
        </w:rPr>
      </w:pPr>
      <w:r w:rsidRPr="005E7BA2">
        <w:t>[Annex</w:t>
      </w:r>
      <w:r w:rsidR="008A652B">
        <w:t>es</w:t>
      </w:r>
      <w:r w:rsidRPr="005E7BA2">
        <w:t xml:space="preserve"> follow]</w:t>
      </w:r>
      <w:r w:rsidR="008A652B" w:rsidRPr="008A652B">
        <w:rPr>
          <w:rFonts w:cs="Arial"/>
        </w:rPr>
        <w:t xml:space="preserve"> </w:t>
      </w:r>
    </w:p>
    <w:p w:rsidR="008A652B" w:rsidRPr="00C5280D" w:rsidRDefault="008A652B" w:rsidP="008A652B">
      <w:pPr>
        <w:jc w:val="right"/>
      </w:pPr>
      <w:r w:rsidRPr="008E4204">
        <w:rPr>
          <w:rFonts w:cs="Arial"/>
        </w:rPr>
        <w:t xml:space="preserve"> </w:t>
      </w:r>
    </w:p>
    <w:p w:rsidR="008A652B" w:rsidRDefault="008A652B" w:rsidP="008A652B"/>
    <w:p w:rsidR="008A652B" w:rsidRPr="00E333B1" w:rsidRDefault="008A652B" w:rsidP="008A652B">
      <w:pPr>
        <w:sectPr w:rsidR="008A652B" w:rsidRPr="00E333B1" w:rsidSect="005C5177">
          <w:headerReference w:type="default" r:id="rId8"/>
          <w:pgSz w:w="11907" w:h="16840" w:code="9"/>
          <w:pgMar w:top="510" w:right="1134" w:bottom="1134" w:left="1134" w:header="510" w:footer="680" w:gutter="0"/>
          <w:cols w:space="720"/>
          <w:titlePg/>
        </w:sectPr>
      </w:pPr>
    </w:p>
    <w:p w:rsidR="009A5E09" w:rsidRDefault="009A5E09" w:rsidP="006C78DA">
      <w:pPr>
        <w:pStyle w:val="Heading1"/>
      </w:pPr>
      <w:bookmarkStart w:id="27" w:name="_Toc536782791"/>
    </w:p>
    <w:p w:rsidR="008A652B" w:rsidRPr="00762714" w:rsidRDefault="008A652B" w:rsidP="006C78DA">
      <w:pPr>
        <w:pStyle w:val="Heading1"/>
      </w:pPr>
      <w:r>
        <w:t>PROPOSAL agreed BY THE technical committee (TC) TO AMEND Document TGP/15/2 Draft 1 “</w:t>
      </w:r>
      <w:r w:rsidRPr="00762714">
        <w:t>Guidance on the use of Biochemical and Molecular Markers in the examination of Distinctness, Uniformity and Stability (DUS)</w:t>
      </w:r>
      <w:r>
        <w:t>” new model: “</w:t>
      </w:r>
      <w:r w:rsidRPr="00DE5008">
        <w:rPr>
          <w:rFonts w:cs="Arial"/>
          <w:iCs/>
        </w:rPr>
        <w:t>Genetic selection of similar varieties for the first growing cycle”</w:t>
      </w:r>
      <w:bookmarkEnd w:id="27"/>
    </w:p>
    <w:p w:rsidR="008A652B" w:rsidRDefault="008A652B" w:rsidP="008A652B">
      <w:pPr>
        <w:jc w:val="center"/>
      </w:pPr>
    </w:p>
    <w:p w:rsidR="008A652B" w:rsidRDefault="008A652B" w:rsidP="008A652B">
      <w:pPr>
        <w:jc w:val="center"/>
      </w:pPr>
    </w:p>
    <w:p w:rsidR="008A652B" w:rsidRDefault="008A652B" w:rsidP="008A652B">
      <w:pPr>
        <w:pStyle w:val="Heading2"/>
      </w:pPr>
      <w:bookmarkStart w:id="28" w:name="_Toc536782792"/>
      <w:r>
        <w:t>Genetic Selection of Similar Varieties for the First Growing Cycle</w:t>
      </w:r>
      <w:bookmarkEnd w:id="28"/>
    </w:p>
    <w:p w:rsidR="008A652B" w:rsidRDefault="008A652B" w:rsidP="008A652B"/>
    <w:p w:rsidR="008A652B" w:rsidRDefault="008A652B" w:rsidP="008A652B">
      <w:proofErr w:type="gramStart"/>
      <w:r>
        <w:t xml:space="preserve">The </w:t>
      </w:r>
      <w:r w:rsidRPr="00BA7133">
        <w:rPr>
          <w:iCs/>
        </w:rPr>
        <w:t>Technical Committee</w:t>
      </w:r>
      <w:r>
        <w:rPr>
          <w:iCs/>
        </w:rPr>
        <w:t xml:space="preserve"> (TC)</w:t>
      </w:r>
      <w:r w:rsidRPr="00BA7133">
        <w:rPr>
          <w:iCs/>
        </w:rPr>
        <w:t>, at its fifty-fourth session, held in Geneva on October 29 and 30, 2018</w:t>
      </w:r>
      <w:r>
        <w:t xml:space="preserve"> agreed to amend </w:t>
      </w:r>
      <w:r w:rsidRPr="00ED41C6">
        <w:t>document TGP/15</w:t>
      </w:r>
      <w:r>
        <w:t>/2 Draft 1</w:t>
      </w:r>
      <w:r w:rsidRPr="00ED41C6">
        <w:t xml:space="preserve"> “Guidance on the Use of Biochemical and Molecular Markers in the Examination of Distinctness, Uniformity and Stability (DUS)”</w:t>
      </w:r>
      <w:r>
        <w:t xml:space="preserve"> for the inclusion of a new model </w:t>
      </w:r>
      <w:r w:rsidRPr="00ED41C6">
        <w:t>“</w:t>
      </w:r>
      <w:r w:rsidRPr="00ED41C6">
        <w:rPr>
          <w:iCs/>
        </w:rPr>
        <w:t>Genetic selection of similar varieties for the first growing cycle”</w:t>
      </w:r>
      <w:r>
        <w:rPr>
          <w:iCs/>
        </w:rPr>
        <w:t>,</w:t>
      </w:r>
      <w:r w:rsidRPr="00ED41C6">
        <w:rPr>
          <w:iCs/>
        </w:rPr>
        <w:t xml:space="preserve"> </w:t>
      </w:r>
      <w:r>
        <w:t>as follows:</w:t>
      </w:r>
      <w:proofErr w:type="gramEnd"/>
    </w:p>
    <w:p w:rsidR="008A652B" w:rsidRPr="0079303C" w:rsidRDefault="008A652B" w:rsidP="008A652B"/>
    <w:p w:rsidR="008A652B" w:rsidRPr="00D653D0" w:rsidRDefault="008A652B" w:rsidP="008A652B">
      <w:pPr>
        <w:pStyle w:val="Heading3"/>
        <w:ind w:left="567" w:right="567"/>
      </w:pPr>
      <w:bookmarkStart w:id="29" w:name="_Toc536782793"/>
      <w:r>
        <w:t>N</w:t>
      </w:r>
      <w:r w:rsidRPr="00D653D0">
        <w:t>ew Section 2.3 “Genetic Selection of Similar Varieties for the First Growing Cycle”</w:t>
      </w:r>
      <w:bookmarkEnd w:id="29"/>
    </w:p>
    <w:p w:rsidR="008A652B" w:rsidRPr="00D653D0" w:rsidRDefault="008A652B" w:rsidP="008A652B">
      <w:pPr>
        <w:ind w:left="567" w:right="567"/>
      </w:pPr>
    </w:p>
    <w:p w:rsidR="008A652B" w:rsidRPr="00D653D0" w:rsidRDefault="008A652B" w:rsidP="008A652B">
      <w:pPr>
        <w:ind w:left="567" w:right="567"/>
      </w:pPr>
      <w:r w:rsidRPr="00D653D0">
        <w:t>2.3</w:t>
      </w:r>
      <w:r w:rsidRPr="00D653D0">
        <w:tab/>
        <w:t>Genetic Selection of Similar Varieties for the First Growing Cycle (see Annex III)</w:t>
      </w:r>
    </w:p>
    <w:p w:rsidR="008A652B" w:rsidRPr="00D653D0" w:rsidRDefault="008A652B" w:rsidP="008A652B">
      <w:pPr>
        <w:ind w:left="567" w:right="567"/>
      </w:pPr>
    </w:p>
    <w:p w:rsidR="008A652B" w:rsidRPr="00D653D0" w:rsidRDefault="008A652B" w:rsidP="008A652B">
      <w:pPr>
        <w:ind w:left="567" w:right="567"/>
      </w:pPr>
      <w:r w:rsidRPr="00D653D0">
        <w:t xml:space="preserve">2.3.1 </w:t>
      </w:r>
      <w:r w:rsidRPr="00D653D0">
        <w:tab/>
        <w:t>This approach involves a step to check for genetic similarity before the first growing cycle.</w:t>
      </w:r>
    </w:p>
    <w:p w:rsidR="008A652B" w:rsidRPr="00D653D0" w:rsidRDefault="008A652B" w:rsidP="008A652B">
      <w:pPr>
        <w:ind w:left="567" w:right="567"/>
      </w:pPr>
    </w:p>
    <w:p w:rsidR="008A652B" w:rsidRPr="00D653D0" w:rsidRDefault="008A652B" w:rsidP="008A652B">
      <w:pPr>
        <w:ind w:left="567" w:right="567"/>
      </w:pPr>
      <w:r w:rsidRPr="00D653D0">
        <w:t>2.3.2</w:t>
      </w:r>
      <w:r w:rsidRPr="00D653D0">
        <w:tab/>
        <w:t xml:space="preserve">In cases where the minimum duration of tests is normally two growing cycles, a selection of similar varieties in the variety collection for comparison with candidate varieties in the first growing cycle </w:t>
      </w:r>
      <w:proofErr w:type="gramStart"/>
      <w:r w:rsidRPr="00D653D0">
        <w:t>is made</w:t>
      </w:r>
      <w:proofErr w:type="gramEnd"/>
      <w:r w:rsidRPr="00D653D0">
        <w:t xml:space="preserve"> according to genetic similarity. As a next step, the information provided by the applicant in the Technical Questionnaire (TQ) </w:t>
      </w:r>
      <w:proofErr w:type="gramStart"/>
      <w:r w:rsidRPr="00D653D0">
        <w:t>is used</w:t>
      </w:r>
      <w:proofErr w:type="gramEnd"/>
      <w:r w:rsidRPr="00D653D0">
        <w:t xml:space="preserve"> to see if some of the genetically similar varieties do not have to be compared in a growing trial because of differences in DUS characteristics.</w:t>
      </w:r>
    </w:p>
    <w:p w:rsidR="008A652B" w:rsidRPr="00D653D0" w:rsidRDefault="008A652B" w:rsidP="008A652B">
      <w:pPr>
        <w:ind w:left="567" w:right="567"/>
      </w:pPr>
      <w:r w:rsidRPr="00D653D0">
        <w:t xml:space="preserve"> </w:t>
      </w:r>
    </w:p>
    <w:p w:rsidR="008A652B" w:rsidRPr="00D653D0" w:rsidRDefault="008A652B" w:rsidP="008A652B">
      <w:pPr>
        <w:ind w:left="567" w:right="567"/>
      </w:pPr>
      <w:r w:rsidRPr="00D653D0">
        <w:t>2.3.3</w:t>
      </w:r>
      <w:r w:rsidRPr="00D653D0">
        <w:tab/>
        <w:t xml:space="preserve">On the basis of the variety description of DUS characteristics produced in the first growing cycle, a further search is made of varieties in the variety collection to identify any similar varieties that </w:t>
      </w:r>
      <w:proofErr w:type="gramStart"/>
      <w:r w:rsidRPr="00D653D0">
        <w:t>were not compared</w:t>
      </w:r>
      <w:proofErr w:type="gramEnd"/>
      <w:r w:rsidRPr="00D653D0">
        <w:t xml:space="preserve"> in the first growing cycle and which should be compared with the candidate variety in the second growing cycle. </w:t>
      </w:r>
    </w:p>
    <w:p w:rsidR="008A652B" w:rsidRPr="00D653D0" w:rsidRDefault="008A652B" w:rsidP="008A652B">
      <w:pPr>
        <w:ind w:left="567" w:right="567"/>
      </w:pPr>
    </w:p>
    <w:p w:rsidR="008A652B" w:rsidRPr="00D653D0" w:rsidRDefault="008A652B" w:rsidP="008A652B">
      <w:pPr>
        <w:ind w:left="567" w:right="567"/>
      </w:pPr>
      <w:r w:rsidRPr="00D653D0">
        <w:t>2.3.4</w:t>
      </w:r>
      <w:r w:rsidRPr="00D653D0">
        <w:tab/>
        <w:t>Annex III to this document “Genetic Selection of Similar Varieties for the First Growing Cycle” provides an example of the genetic selection of similar varieties for the first growing cycle.</w:t>
      </w:r>
    </w:p>
    <w:p w:rsidR="008A652B" w:rsidRDefault="008A652B" w:rsidP="008A652B"/>
    <w:p w:rsidR="008A652B" w:rsidRDefault="008A652B" w:rsidP="008A652B"/>
    <w:p w:rsidR="008A652B" w:rsidRPr="00D653D0" w:rsidRDefault="008A652B" w:rsidP="008A652B"/>
    <w:p w:rsidR="008A652B" w:rsidRPr="00D653D0" w:rsidRDefault="008A652B" w:rsidP="006C78DA">
      <w:pPr>
        <w:pStyle w:val="Heading1"/>
      </w:pPr>
      <w:bookmarkStart w:id="30" w:name="_Toc536782794"/>
      <w:r w:rsidRPr="00D653D0">
        <w:t>Annex III “Model: Genetic Selection of Similar Varieties for the First Growing Cycle”</w:t>
      </w:r>
      <w:bookmarkEnd w:id="30"/>
    </w:p>
    <w:p w:rsidR="008A652B" w:rsidRPr="00D653D0" w:rsidRDefault="008A652B" w:rsidP="008A652B">
      <w:pPr>
        <w:jc w:val="center"/>
        <w:rPr>
          <w:snapToGrid w:val="0"/>
          <w:color w:val="000000"/>
        </w:rPr>
      </w:pPr>
    </w:p>
    <w:p w:rsidR="008A652B" w:rsidRPr="00D653D0" w:rsidRDefault="008A652B" w:rsidP="008A652B">
      <w:pPr>
        <w:jc w:val="center"/>
      </w:pPr>
      <w:r w:rsidRPr="00D653D0">
        <w:t>EXAMPLE:  FRENCH BEAN</w:t>
      </w:r>
    </w:p>
    <w:p w:rsidR="008A652B" w:rsidRPr="00D653D0" w:rsidRDefault="008A652B" w:rsidP="008A652B">
      <w:pPr>
        <w:jc w:val="center"/>
      </w:pPr>
    </w:p>
    <w:p w:rsidR="008A652B" w:rsidRPr="00D653D0" w:rsidRDefault="008A652B" w:rsidP="008A652B">
      <w:pPr>
        <w:jc w:val="center"/>
        <w:rPr>
          <w:i/>
        </w:rPr>
      </w:pPr>
      <w:proofErr w:type="gramStart"/>
      <w:r w:rsidRPr="00D653D0">
        <w:rPr>
          <w:i/>
        </w:rPr>
        <w:t>prepared</w:t>
      </w:r>
      <w:proofErr w:type="gramEnd"/>
      <w:r w:rsidRPr="00D653D0">
        <w:rPr>
          <w:i/>
        </w:rPr>
        <w:t xml:space="preserve"> by an expert from the Netherlands</w:t>
      </w:r>
    </w:p>
    <w:p w:rsidR="008A652B" w:rsidRPr="00D653D0" w:rsidRDefault="008A652B" w:rsidP="008A652B">
      <w:pPr>
        <w:pStyle w:val="Header"/>
        <w:rPr>
          <w:rFonts w:cs="Arial"/>
          <w:i/>
          <w:lang w:val="en-US"/>
        </w:rPr>
      </w:pPr>
    </w:p>
    <w:p w:rsidR="008A652B" w:rsidRPr="00D653D0" w:rsidRDefault="008A652B" w:rsidP="008A652B">
      <w:pPr>
        <w:pStyle w:val="Heading2"/>
      </w:pPr>
      <w:bookmarkStart w:id="31" w:name="_Toc536782795"/>
      <w:r w:rsidRPr="00D653D0">
        <w:t>1.</w:t>
      </w:r>
      <w:r w:rsidRPr="00D653D0">
        <w:tab/>
        <w:t>Introduction</w:t>
      </w:r>
      <w:bookmarkEnd w:id="31"/>
    </w:p>
    <w:p w:rsidR="008A652B" w:rsidRPr="00D653D0" w:rsidRDefault="008A652B" w:rsidP="008A652B"/>
    <w:p w:rsidR="008A652B" w:rsidRPr="00D653D0" w:rsidRDefault="008A652B" w:rsidP="008A652B">
      <w:r w:rsidRPr="00D653D0">
        <w:t xml:space="preserve">1.1 </w:t>
      </w:r>
      <w:r w:rsidRPr="00D653D0">
        <w:tab/>
        <w:t xml:space="preserve">This approach involves a step to check for genetic similarity before the first growing cycle.  </w:t>
      </w:r>
    </w:p>
    <w:p w:rsidR="008A652B" w:rsidRPr="00D653D0" w:rsidRDefault="008A652B" w:rsidP="008A652B"/>
    <w:p w:rsidR="008A652B" w:rsidRPr="00D653D0" w:rsidRDefault="008A652B" w:rsidP="008A652B">
      <w:r w:rsidRPr="00D653D0">
        <w:t>1.2</w:t>
      </w:r>
      <w:r w:rsidRPr="00D653D0">
        <w:tab/>
        <w:t xml:space="preserve">In cases where the minimum duration of tests is normally two growing cycles, a selection of similar varieties in the variety collection for comparison with candidate varieties in the first growing cycle </w:t>
      </w:r>
      <w:proofErr w:type="gramStart"/>
      <w:r w:rsidRPr="00D653D0">
        <w:t>is made</w:t>
      </w:r>
      <w:proofErr w:type="gramEnd"/>
      <w:r w:rsidRPr="00D653D0">
        <w:t xml:space="preserve"> according to genetic similarity. As a next step, the information provided by the applicant in the Technical Questionnaire (TQ) </w:t>
      </w:r>
      <w:proofErr w:type="gramStart"/>
      <w:r w:rsidRPr="00D653D0">
        <w:t>is used</w:t>
      </w:r>
      <w:proofErr w:type="gramEnd"/>
      <w:r w:rsidRPr="00D653D0">
        <w:t xml:space="preserve"> to see if some of the genetically similar varieties do not have to be compared in a growing trial because of differences in DUS characteristics.  </w:t>
      </w:r>
    </w:p>
    <w:p w:rsidR="008A652B" w:rsidRPr="00D653D0" w:rsidRDefault="008A652B" w:rsidP="008A652B"/>
    <w:p w:rsidR="008A652B" w:rsidRPr="00D653D0" w:rsidRDefault="008A652B" w:rsidP="008A652B">
      <w:r w:rsidRPr="00D653D0">
        <w:t>1.3</w:t>
      </w:r>
      <w:r w:rsidRPr="00D653D0">
        <w:tab/>
        <w:t xml:space="preserve">On the basis of the variety description of DUS characteristics produced in the first growing cycle, a further search is made of varieties in the variety collection to identify any similar varieties that </w:t>
      </w:r>
      <w:proofErr w:type="gramStart"/>
      <w:r w:rsidRPr="00D653D0">
        <w:t>were not compared</w:t>
      </w:r>
      <w:proofErr w:type="gramEnd"/>
      <w:r w:rsidRPr="00D653D0">
        <w:t xml:space="preserve"> in the first growing cycle and which should be compared with the candidate variety in the second growing cycle. </w:t>
      </w:r>
    </w:p>
    <w:p w:rsidR="008A652B" w:rsidRPr="00D653D0" w:rsidRDefault="008A652B" w:rsidP="008A652B"/>
    <w:p w:rsidR="008A652B" w:rsidRPr="00D653D0" w:rsidRDefault="008A652B" w:rsidP="00205622">
      <w:pPr>
        <w:pStyle w:val="Heading2"/>
        <w:keepLines/>
      </w:pPr>
      <w:bookmarkStart w:id="32" w:name="_Toc536782796"/>
      <w:r w:rsidRPr="00D653D0">
        <w:lastRenderedPageBreak/>
        <w:t>2.</w:t>
      </w:r>
      <w:r w:rsidRPr="00D653D0">
        <w:tab/>
        <w:t>Procedure</w:t>
      </w:r>
      <w:bookmarkEnd w:id="32"/>
    </w:p>
    <w:p w:rsidR="008A652B" w:rsidRPr="00D653D0" w:rsidRDefault="008A652B" w:rsidP="00205622">
      <w:pPr>
        <w:pStyle w:val="Heading3"/>
        <w:keepLines/>
      </w:pPr>
      <w:r w:rsidRPr="00D653D0">
        <w:t xml:space="preserve"> </w:t>
      </w:r>
    </w:p>
    <w:p w:rsidR="008A652B" w:rsidRPr="00D653D0" w:rsidRDefault="008A652B" w:rsidP="00205622">
      <w:pPr>
        <w:pStyle w:val="Heading3"/>
        <w:keepLines/>
      </w:pPr>
      <w:bookmarkStart w:id="33" w:name="_Toc536782797"/>
      <w:r w:rsidRPr="00D653D0">
        <w:t>Determine genetic similarity</w:t>
      </w:r>
      <w:bookmarkEnd w:id="33"/>
    </w:p>
    <w:p w:rsidR="008A652B" w:rsidRPr="00D653D0" w:rsidRDefault="008A652B" w:rsidP="00205622">
      <w:pPr>
        <w:keepNext/>
        <w:keepLines/>
      </w:pPr>
    </w:p>
    <w:p w:rsidR="008A652B" w:rsidRPr="00D653D0" w:rsidRDefault="008A652B" w:rsidP="00205622">
      <w:pPr>
        <w:keepNext/>
        <w:keepLines/>
      </w:pPr>
      <w:r w:rsidRPr="00D653D0">
        <w:t>2.1</w:t>
      </w:r>
      <w:r w:rsidRPr="00D653D0">
        <w:tab/>
        <w:t xml:space="preserve">The DNA-profile of the candidate variety </w:t>
      </w:r>
      <w:proofErr w:type="gramStart"/>
      <w:r w:rsidRPr="00D653D0">
        <w:t>is produced</w:t>
      </w:r>
      <w:proofErr w:type="gramEnd"/>
      <w:r w:rsidRPr="00D653D0">
        <w:t xml:space="preserve"> as soon as plant material is received.</w:t>
      </w:r>
    </w:p>
    <w:p w:rsidR="008A652B" w:rsidRPr="00D653D0" w:rsidRDefault="008A652B" w:rsidP="008A652B"/>
    <w:p w:rsidR="008A652B" w:rsidRPr="00D653D0" w:rsidRDefault="008A652B" w:rsidP="008A652B">
      <w:r w:rsidRPr="00D653D0">
        <w:t>2.2</w:t>
      </w:r>
      <w:r w:rsidRPr="00D653D0">
        <w:tab/>
        <w:t xml:space="preserve">The DNA-profile </w:t>
      </w:r>
      <w:proofErr w:type="gramStart"/>
      <w:r w:rsidRPr="00D653D0">
        <w:t>is compared</w:t>
      </w:r>
      <w:proofErr w:type="gramEnd"/>
      <w:r w:rsidRPr="00D653D0">
        <w:t xml:space="preserve"> with the profiles of all varieties in the variety collection and genetically similar varieties are identified. </w:t>
      </w:r>
    </w:p>
    <w:p w:rsidR="008A652B" w:rsidRPr="00D653D0" w:rsidRDefault="008A652B" w:rsidP="008A652B"/>
    <w:p w:rsidR="008A652B" w:rsidRPr="00D653D0" w:rsidRDefault="008A652B" w:rsidP="008A652B">
      <w:pPr>
        <w:pStyle w:val="Heading3"/>
      </w:pPr>
      <w:bookmarkStart w:id="34" w:name="_Toc536782798"/>
      <w:r w:rsidRPr="00D653D0">
        <w:t>Technical Questionnaire information</w:t>
      </w:r>
      <w:bookmarkEnd w:id="34"/>
    </w:p>
    <w:p w:rsidR="008A652B" w:rsidRPr="00D653D0" w:rsidRDefault="008A652B" w:rsidP="008A652B"/>
    <w:p w:rsidR="008A652B" w:rsidRPr="00D653D0" w:rsidRDefault="008A652B" w:rsidP="008A652B">
      <w:r w:rsidRPr="00D653D0">
        <w:t>2.3</w:t>
      </w:r>
      <w:r w:rsidRPr="00D653D0">
        <w:tab/>
        <w:t xml:space="preserve">The information provided by the applicant in the Technical Questionnaire (TQ) </w:t>
      </w:r>
      <w:proofErr w:type="gramStart"/>
      <w:r w:rsidRPr="00D653D0">
        <w:t>is then used</w:t>
      </w:r>
      <w:proofErr w:type="gramEnd"/>
      <w:r w:rsidRPr="00D653D0">
        <w:t xml:space="preserve"> to see if there are clear differences in DUS characteristics from some of the genetically similar varieties so that they do not need to be compared with candidate varieties in a growing trial.   </w:t>
      </w:r>
    </w:p>
    <w:p w:rsidR="008A652B" w:rsidRPr="00D653D0" w:rsidRDefault="008A652B" w:rsidP="008A652B"/>
    <w:p w:rsidR="008A652B" w:rsidRPr="00D653D0" w:rsidRDefault="008A652B" w:rsidP="008A652B">
      <w:pPr>
        <w:pStyle w:val="Heading3"/>
      </w:pPr>
      <w:bookmarkStart w:id="35" w:name="_Toc536782799"/>
      <w:r w:rsidRPr="00D653D0">
        <w:t>Field trial</w:t>
      </w:r>
      <w:bookmarkEnd w:id="35"/>
    </w:p>
    <w:p w:rsidR="008A652B" w:rsidRPr="00D653D0" w:rsidRDefault="008A652B" w:rsidP="008A652B"/>
    <w:p w:rsidR="008A652B" w:rsidRPr="00D653D0" w:rsidRDefault="008A652B" w:rsidP="008A652B">
      <w:pPr>
        <w:pStyle w:val="Heading4"/>
        <w:rPr>
          <w:lang w:val="en-US"/>
        </w:rPr>
      </w:pPr>
      <w:r w:rsidRPr="00D653D0">
        <w:rPr>
          <w:lang w:val="en-US"/>
        </w:rPr>
        <w:t>First growing cycle:</w:t>
      </w:r>
    </w:p>
    <w:p w:rsidR="008A652B" w:rsidRPr="00D653D0" w:rsidRDefault="008A652B" w:rsidP="008A652B"/>
    <w:p w:rsidR="008A652B" w:rsidRPr="00D653D0" w:rsidRDefault="008A652B" w:rsidP="008A652B">
      <w:r w:rsidRPr="00D653D0">
        <w:t>2.4</w:t>
      </w:r>
      <w:r w:rsidRPr="00D653D0">
        <w:tab/>
        <w:t xml:space="preserve">The candidate and the genetically similar varieties selected by the procedure above are grown in the same field trial. A complete description of the DUS characteristics of the candidate variety </w:t>
      </w:r>
      <w:proofErr w:type="gramStart"/>
      <w:r w:rsidRPr="00D653D0">
        <w:t>is produced</w:t>
      </w:r>
      <w:proofErr w:type="gramEnd"/>
      <w:r w:rsidRPr="00D653D0">
        <w:t xml:space="preserve"> and is compared to the descriptions of all varieties in the variety collection using a database containing descriptions produced at the same location in previous years. </w:t>
      </w:r>
    </w:p>
    <w:p w:rsidR="008A652B" w:rsidRPr="00D653D0" w:rsidRDefault="008A652B" w:rsidP="008A652B"/>
    <w:p w:rsidR="008A652B" w:rsidRPr="00D653D0" w:rsidRDefault="008A652B" w:rsidP="008A652B">
      <w:r w:rsidRPr="00D653D0">
        <w:t>2.5</w:t>
      </w:r>
      <w:r w:rsidRPr="00D653D0">
        <w:tab/>
        <w:t xml:space="preserve">Possible outcomes: </w:t>
      </w:r>
    </w:p>
    <w:p w:rsidR="008A652B" w:rsidRPr="00D653D0" w:rsidRDefault="008A652B" w:rsidP="008A652B"/>
    <w:p w:rsidR="008A652B" w:rsidRPr="00D653D0" w:rsidRDefault="008A652B" w:rsidP="008A652B">
      <w:r w:rsidRPr="00D653D0">
        <w:t xml:space="preserve">If the candidate variety is not distinct from the genetically similar varieties </w:t>
      </w:r>
      <w:proofErr w:type="gramStart"/>
      <w:r w:rsidRPr="00D653D0">
        <w:t>on the basis of</w:t>
      </w:r>
      <w:proofErr w:type="gramEnd"/>
      <w:r w:rsidRPr="00D653D0">
        <w:t xml:space="preserve"> DUS characteristics, the test will be continued for another growing cycle. </w:t>
      </w:r>
    </w:p>
    <w:p w:rsidR="008A652B" w:rsidRPr="00D653D0" w:rsidRDefault="008A652B" w:rsidP="008A652B"/>
    <w:p w:rsidR="008A652B" w:rsidRPr="00D653D0" w:rsidRDefault="008A652B" w:rsidP="008A652B">
      <w:r w:rsidRPr="00D653D0">
        <w:t xml:space="preserve">In any case, the description of the candidate variety produced in the first growing cycle </w:t>
      </w:r>
      <w:proofErr w:type="gramStart"/>
      <w:r w:rsidRPr="00D653D0">
        <w:t>is compared</w:t>
      </w:r>
      <w:proofErr w:type="gramEnd"/>
      <w:r w:rsidRPr="00D653D0">
        <w:t xml:space="preserve"> to the descriptions of the varieties in the variety collection using a database containing descriptions produced at the same location. </w:t>
      </w:r>
    </w:p>
    <w:p w:rsidR="008A652B" w:rsidRPr="00D653D0" w:rsidRDefault="008A652B" w:rsidP="008A652B"/>
    <w:p w:rsidR="008A652B" w:rsidRPr="00D653D0" w:rsidRDefault="008A652B" w:rsidP="008A652B">
      <w:r w:rsidRPr="00D653D0">
        <w:tab/>
      </w:r>
      <w:r w:rsidRPr="00D653D0">
        <w:tab/>
        <w:t xml:space="preserve">(a) If the candidate variety </w:t>
      </w:r>
      <w:proofErr w:type="gramStart"/>
      <w:r w:rsidRPr="00D653D0">
        <w:t>is found</w:t>
      </w:r>
      <w:proofErr w:type="gramEnd"/>
      <w:r w:rsidRPr="00D653D0">
        <w:t xml:space="preserve">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8A652B" w:rsidRPr="00D653D0" w:rsidRDefault="008A652B" w:rsidP="008A652B"/>
    <w:p w:rsidR="008A652B" w:rsidRPr="00D653D0" w:rsidRDefault="008A652B" w:rsidP="008A652B">
      <w:r w:rsidRPr="00D653D0">
        <w:tab/>
      </w:r>
      <w:r w:rsidRPr="00D653D0">
        <w:tab/>
        <w:t xml:space="preserve">(b) In all other cases a second growing cycle </w:t>
      </w:r>
      <w:proofErr w:type="gramStart"/>
      <w:r w:rsidRPr="00D653D0">
        <w:t>is performed</w:t>
      </w:r>
      <w:proofErr w:type="gramEnd"/>
      <w:r w:rsidRPr="00D653D0">
        <w:t xml:space="preserve">. </w:t>
      </w:r>
    </w:p>
    <w:p w:rsidR="008A652B" w:rsidRPr="00D653D0" w:rsidRDefault="008A652B" w:rsidP="008A652B"/>
    <w:p w:rsidR="008A652B" w:rsidRPr="00D653D0" w:rsidRDefault="008A652B" w:rsidP="008A652B"/>
    <w:p w:rsidR="008A652B" w:rsidRPr="00D653D0" w:rsidRDefault="008A652B" w:rsidP="008A652B">
      <w:pPr>
        <w:pStyle w:val="Heading4"/>
        <w:rPr>
          <w:lang w:val="en-US"/>
        </w:rPr>
      </w:pPr>
      <w:r w:rsidRPr="00D653D0">
        <w:rPr>
          <w:lang w:val="en-US"/>
        </w:rPr>
        <w:t>Second growing cycle</w:t>
      </w:r>
    </w:p>
    <w:p w:rsidR="008A652B" w:rsidRPr="00D653D0" w:rsidRDefault="008A652B" w:rsidP="008A652B"/>
    <w:p w:rsidR="008A652B" w:rsidRPr="00D653D0" w:rsidRDefault="008A652B" w:rsidP="008A652B">
      <w:r w:rsidRPr="00D653D0">
        <w:t>2.6</w:t>
      </w:r>
      <w:r w:rsidRPr="00D653D0">
        <w:tab/>
        <w:t xml:space="preserve">In the second growing cycle, the candidate variety </w:t>
      </w:r>
      <w:proofErr w:type="gramStart"/>
      <w:r w:rsidRPr="00D653D0">
        <w:t>is grown</w:t>
      </w:r>
      <w:proofErr w:type="gramEnd"/>
      <w:r w:rsidRPr="00D653D0">
        <w:t xml:space="preserve"> with the all varieties in the variety collection from which it was not found to be distinct at the end of the first growing cycle. </w:t>
      </w:r>
    </w:p>
    <w:p w:rsidR="008A652B" w:rsidRPr="00D653D0" w:rsidRDefault="008A652B" w:rsidP="008A652B"/>
    <w:p w:rsidR="008A652B" w:rsidRPr="00D653D0" w:rsidRDefault="008A652B" w:rsidP="008A652B">
      <w:r w:rsidRPr="00D653D0">
        <w:t>2.7</w:t>
      </w:r>
      <w:r w:rsidRPr="00D653D0">
        <w:tab/>
        <w:t xml:space="preserve">At the end of the second growing cycle, an assessment of DUS </w:t>
      </w:r>
      <w:proofErr w:type="gramStart"/>
      <w:r w:rsidRPr="00D653D0">
        <w:t>is made</w:t>
      </w:r>
      <w:proofErr w:type="gramEnd"/>
      <w:r w:rsidRPr="00D653D0">
        <w:t xml:space="preserve">.  If it is not possible to reach a decision on DUS at the end of the second growing cycle, a further growing cycle </w:t>
      </w:r>
      <w:proofErr w:type="gramStart"/>
      <w:r w:rsidRPr="00D653D0">
        <w:t>may be conducted</w:t>
      </w:r>
      <w:proofErr w:type="gramEnd"/>
      <w:r w:rsidRPr="00D653D0">
        <w:t>.</w:t>
      </w:r>
    </w:p>
    <w:p w:rsidR="008A652B" w:rsidRPr="00D653D0" w:rsidRDefault="008A652B" w:rsidP="008A652B"/>
    <w:p w:rsidR="008A652B" w:rsidRPr="00D653D0" w:rsidRDefault="008A652B" w:rsidP="008A652B"/>
    <w:p w:rsidR="008A652B" w:rsidRPr="00D653D0" w:rsidRDefault="008A652B" w:rsidP="008A652B"/>
    <w:p w:rsidR="008A652B" w:rsidRDefault="008A652B" w:rsidP="008A652B">
      <w:pPr>
        <w:jc w:val="right"/>
      </w:pPr>
      <w:r>
        <w:rPr>
          <w:snapToGrid w:val="0"/>
          <w:sz w:val="18"/>
          <w:szCs w:val="18"/>
        </w:rPr>
        <w:tab/>
      </w:r>
      <w:r w:rsidRPr="00D653D0">
        <w:t>[</w:t>
      </w:r>
      <w:r>
        <w:t xml:space="preserve">Annex </w:t>
      </w:r>
      <w:r w:rsidRPr="00205622">
        <w:t>II f</w:t>
      </w:r>
      <w:r>
        <w:t>ollows</w:t>
      </w:r>
      <w:r w:rsidRPr="00D653D0">
        <w:t>]</w:t>
      </w:r>
    </w:p>
    <w:p w:rsidR="005E7BA2" w:rsidRPr="005E7BA2" w:rsidRDefault="005E7BA2" w:rsidP="008A652B">
      <w:pPr>
        <w:tabs>
          <w:tab w:val="left" w:pos="5960"/>
        </w:tabs>
        <w:rPr>
          <w:snapToGrid w:val="0"/>
          <w:sz w:val="18"/>
          <w:szCs w:val="18"/>
        </w:rPr>
      </w:pPr>
    </w:p>
    <w:p w:rsidR="005E7BA2" w:rsidRPr="005E7BA2" w:rsidRDefault="005E7BA2" w:rsidP="005E7BA2">
      <w:pPr>
        <w:jc w:val="left"/>
        <w:rPr>
          <w:snapToGrid w:val="0"/>
          <w:sz w:val="18"/>
          <w:szCs w:val="18"/>
        </w:rPr>
      </w:pPr>
    </w:p>
    <w:p w:rsidR="005E7BA2" w:rsidRPr="005E7BA2" w:rsidRDefault="005E7BA2" w:rsidP="005E7BA2">
      <w:pPr>
        <w:jc w:val="left"/>
        <w:sectPr w:rsidR="005E7BA2" w:rsidRPr="005E7BA2" w:rsidSect="00906DDC">
          <w:headerReference w:type="default" r:id="rId9"/>
          <w:headerReference w:type="first" r:id="rId10"/>
          <w:pgSz w:w="11907" w:h="16840" w:code="9"/>
          <w:pgMar w:top="510" w:right="1134" w:bottom="1134" w:left="1134" w:header="510" w:footer="680" w:gutter="0"/>
          <w:cols w:space="720"/>
          <w:titlePg/>
        </w:sectPr>
      </w:pPr>
    </w:p>
    <w:p w:rsidR="005E7BA2" w:rsidRPr="005E7BA2" w:rsidRDefault="005E7BA2" w:rsidP="005E7BA2">
      <w:pPr>
        <w:jc w:val="left"/>
      </w:pPr>
    </w:p>
    <w:p w:rsidR="005E7BA2" w:rsidRPr="005E7BA2" w:rsidRDefault="005E7BA2" w:rsidP="005E7BA2"/>
    <w:p w:rsidR="005E7BA2" w:rsidRPr="005E7BA2" w:rsidRDefault="005E7BA2" w:rsidP="005E7BA2">
      <w:pPr>
        <w:spacing w:after="160" w:line="259" w:lineRule="auto"/>
        <w:jc w:val="center"/>
        <w:rPr>
          <w:rFonts w:eastAsia="Calibri" w:cs="Arial"/>
          <w:lang w:val="en-GB"/>
        </w:rPr>
      </w:pPr>
      <w:r w:rsidRPr="005E7BA2">
        <w:rPr>
          <w:rFonts w:eastAsia="Calibri" w:cs="Arial"/>
          <w:lang w:val="en-GB"/>
        </w:rPr>
        <w:t>EXAMPLE 2:  GENE SPECIFIC MARKER FOR DISEASE RESISTANCE IN TOMATO</w:t>
      </w:r>
    </w:p>
    <w:p w:rsidR="005E7BA2" w:rsidRPr="005E7BA2" w:rsidRDefault="005E7BA2" w:rsidP="005E7BA2">
      <w:pPr>
        <w:spacing w:after="160" w:line="259" w:lineRule="auto"/>
        <w:jc w:val="center"/>
        <w:rPr>
          <w:rFonts w:eastAsia="Calibri" w:cs="Arial"/>
          <w:i/>
          <w:iCs/>
          <w:lang w:val="en-GB"/>
        </w:rPr>
      </w:pPr>
      <w:r w:rsidRPr="005E7BA2">
        <w:rPr>
          <w:rFonts w:eastAsia="Calibri" w:cs="Arial"/>
          <w:i/>
          <w:iCs/>
          <w:lang w:val="en-GB"/>
        </w:rPr>
        <w:t>prepared by experts from The Netherlands</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Example</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1.</w:t>
      </w:r>
      <w:r w:rsidRPr="005E7BA2">
        <w:rPr>
          <w:rFonts w:eastAsia="Calibri" w:cs="Arial"/>
          <w:lang w:val="en-GB"/>
        </w:rPr>
        <w:tab/>
        <w:t>Resistance to Tomato mosaic virus (</w:t>
      </w:r>
      <w:proofErr w:type="spellStart"/>
      <w:r w:rsidRPr="005E7BA2">
        <w:rPr>
          <w:rFonts w:eastAsia="Calibri" w:cs="Arial"/>
          <w:lang w:val="en-GB"/>
        </w:rPr>
        <w:t>ToMV</w:t>
      </w:r>
      <w:proofErr w:type="spellEnd"/>
      <w:r w:rsidRPr="005E7BA2">
        <w:rPr>
          <w:rFonts w:eastAsia="Calibri" w:cs="Arial"/>
          <w:lang w:val="en-GB"/>
        </w:rPr>
        <w:t>) is included in the Test Guidelines for Tomato.</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2.</w:t>
      </w:r>
      <w:r w:rsidRPr="005E7BA2">
        <w:rPr>
          <w:rFonts w:eastAsia="Calibri" w:cs="Arial"/>
          <w:lang w:val="en-GB"/>
        </w:rPr>
        <w:tab/>
        <w:t xml:space="preserve">Resistance to </w:t>
      </w:r>
      <w:proofErr w:type="spellStart"/>
      <w:r w:rsidRPr="005E7BA2">
        <w:rPr>
          <w:rFonts w:eastAsia="Calibri" w:cs="Arial"/>
          <w:lang w:val="en-GB"/>
        </w:rPr>
        <w:t>ToMV</w:t>
      </w:r>
      <w:proofErr w:type="spellEnd"/>
      <w:r w:rsidRPr="005E7BA2">
        <w:rPr>
          <w:rFonts w:eastAsia="Calibri" w:cs="Arial"/>
          <w:lang w:val="en-GB"/>
        </w:rPr>
        <w:t xml:space="preserve"> Strain 0 is conferred by the presence of one or more genes, including Tm1; Tm2; and Tm2</w:t>
      </w:r>
      <w:r w:rsidRPr="005E7BA2">
        <w:rPr>
          <w:rFonts w:eastAsia="Calibri" w:cs="Arial"/>
          <w:vertAlign w:val="superscript"/>
          <w:lang w:val="en-GB"/>
        </w:rPr>
        <w:t>2</w:t>
      </w:r>
      <w:r w:rsidRPr="005E7BA2">
        <w:rPr>
          <w:rFonts w:eastAsia="Calibri" w:cs="Arial"/>
          <w:lang w:val="en-GB"/>
        </w:rPr>
        <w:t>.</w:t>
      </w:r>
    </w:p>
    <w:p w:rsidR="005E7BA2" w:rsidRPr="005E7BA2" w:rsidRDefault="005E7BA2" w:rsidP="005E7BA2">
      <w:pPr>
        <w:autoSpaceDE w:val="0"/>
        <w:autoSpaceDN w:val="0"/>
        <w:adjustRightInd w:val="0"/>
        <w:rPr>
          <w:rFonts w:eastAsia="Calibri" w:cs="Arial"/>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Table 1:  Schematic overview of resistance to Tomato mosaic virus and resistance alleles:</w:t>
      </w:r>
    </w:p>
    <w:p w:rsidR="005E7BA2" w:rsidRPr="005E7BA2" w:rsidRDefault="005E7BA2" w:rsidP="005E7BA2">
      <w:pPr>
        <w:autoSpaceDE w:val="0"/>
        <w:autoSpaceDN w:val="0"/>
        <w:adjustRightInd w:val="0"/>
        <w:rPr>
          <w:rFonts w:eastAsia="Calibri" w:cs="Arial"/>
          <w:sz w:val="19"/>
          <w:szCs w:val="19"/>
          <w:lang w:val="en-GB"/>
        </w:rPr>
      </w:pPr>
    </w:p>
    <w:tbl>
      <w:tblPr>
        <w:tblStyle w:val="TableGrid"/>
        <w:tblW w:w="9634" w:type="dxa"/>
        <w:tblLook w:val="04A0" w:firstRow="1" w:lastRow="0" w:firstColumn="1" w:lastColumn="0" w:noHBand="0" w:noVBand="1"/>
      </w:tblPr>
      <w:tblGrid>
        <w:gridCol w:w="2122"/>
        <w:gridCol w:w="1842"/>
        <w:gridCol w:w="1985"/>
        <w:gridCol w:w="1843"/>
        <w:gridCol w:w="1842"/>
      </w:tblGrid>
      <w:tr w:rsidR="005E7BA2" w:rsidRPr="005E7BA2" w:rsidTr="00DF3D38">
        <w:tc>
          <w:tcPr>
            <w:tcW w:w="212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Genetic background</w:t>
            </w:r>
          </w:p>
        </w:tc>
        <w:tc>
          <w:tcPr>
            <w:tcW w:w="184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tm2/tm2 </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and </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tm1/tm1</w:t>
            </w:r>
          </w:p>
          <w:p w:rsidR="005E7BA2" w:rsidRPr="005E7BA2" w:rsidRDefault="005E7BA2" w:rsidP="005E7BA2">
            <w:pPr>
              <w:autoSpaceDE w:val="0"/>
              <w:autoSpaceDN w:val="0"/>
              <w:adjustRightInd w:val="0"/>
              <w:jc w:val="left"/>
              <w:rPr>
                <w:rFonts w:cs="Arial"/>
                <w:sz w:val="19"/>
                <w:szCs w:val="19"/>
                <w:lang w:val="en-GB"/>
              </w:rPr>
            </w:pPr>
          </w:p>
        </w:tc>
        <w:tc>
          <w:tcPr>
            <w:tcW w:w="1985" w:type="dxa"/>
            <w:vAlign w:val="center"/>
          </w:tcPr>
          <w:p w:rsidR="005E7BA2" w:rsidRPr="005E7BA2" w:rsidRDefault="005E7BA2" w:rsidP="005E7BA2">
            <w:pPr>
              <w:autoSpaceDE w:val="0"/>
              <w:autoSpaceDN w:val="0"/>
              <w:adjustRightInd w:val="0"/>
              <w:spacing w:before="60"/>
              <w:jc w:val="left"/>
              <w:rPr>
                <w:rFonts w:cs="Arial"/>
                <w:sz w:val="19"/>
                <w:szCs w:val="19"/>
                <w:lang w:val="en-GB"/>
              </w:rPr>
            </w:pPr>
            <w:r w:rsidRPr="005E7BA2">
              <w:rPr>
                <w:rFonts w:cs="Arial"/>
                <w:sz w:val="19"/>
                <w:szCs w:val="19"/>
                <w:lang w:val="en-GB"/>
              </w:rPr>
              <w:t xml:space="preserve">Tm2/Tm2 or Tm2/tm2 </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and </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spacing w:before="60"/>
              <w:jc w:val="left"/>
              <w:rPr>
                <w:rFonts w:cs="Arial"/>
                <w:sz w:val="19"/>
                <w:szCs w:val="19"/>
                <w:lang w:val="en-GB"/>
              </w:rPr>
            </w:pPr>
            <w:r w:rsidRPr="005E7BA2">
              <w:rPr>
                <w:rFonts w:cs="Arial"/>
                <w:sz w:val="19"/>
                <w:szCs w:val="19"/>
                <w:lang w:val="en-GB"/>
              </w:rPr>
              <w:t>Tm1/Tm1 or Tm1/tm1 or                tm1/tm1</w:t>
            </w:r>
          </w:p>
        </w:tc>
        <w:tc>
          <w:tcPr>
            <w:tcW w:w="1843" w:type="dxa"/>
            <w:vAlign w:val="center"/>
          </w:tcPr>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spacing w:before="60"/>
              <w:jc w:val="left"/>
              <w:rPr>
                <w:rFonts w:cs="Arial"/>
                <w:sz w:val="19"/>
                <w:szCs w:val="19"/>
                <w:lang w:val="en-GB"/>
              </w:rPr>
            </w:pPr>
            <w:r w:rsidRPr="005E7BA2">
              <w:rPr>
                <w:rFonts w:cs="Arial"/>
                <w:sz w:val="19"/>
                <w:szCs w:val="19"/>
                <w:lang w:val="en-GB"/>
              </w:rPr>
              <w:t>Tm2</w:t>
            </w:r>
            <w:r w:rsidRPr="005E7BA2">
              <w:rPr>
                <w:rFonts w:cs="Arial"/>
                <w:sz w:val="19"/>
                <w:szCs w:val="19"/>
                <w:vertAlign w:val="superscript"/>
                <w:lang w:val="en-GB"/>
              </w:rPr>
              <w:t>2</w:t>
            </w:r>
            <w:r w:rsidRPr="005E7BA2">
              <w:rPr>
                <w:rFonts w:cs="Arial"/>
                <w:sz w:val="19"/>
                <w:szCs w:val="19"/>
                <w:lang w:val="en-GB"/>
              </w:rPr>
              <w:t>/Tm2</w:t>
            </w:r>
            <w:r w:rsidRPr="005E7BA2">
              <w:rPr>
                <w:rFonts w:cs="Arial"/>
                <w:sz w:val="19"/>
                <w:szCs w:val="19"/>
                <w:vertAlign w:val="superscript"/>
                <w:lang w:val="en-GB"/>
              </w:rPr>
              <w:t>2</w:t>
            </w:r>
            <w:r w:rsidRPr="005E7BA2">
              <w:rPr>
                <w:rFonts w:cs="Arial"/>
                <w:sz w:val="19"/>
                <w:szCs w:val="19"/>
                <w:lang w:val="en-GB"/>
              </w:rPr>
              <w:t xml:space="preserve"> or Tm2</w:t>
            </w:r>
            <w:r w:rsidRPr="005E7BA2">
              <w:rPr>
                <w:rFonts w:cs="Arial"/>
                <w:sz w:val="19"/>
                <w:szCs w:val="19"/>
                <w:vertAlign w:val="superscript"/>
                <w:lang w:val="en-GB"/>
              </w:rPr>
              <w:t>2</w:t>
            </w:r>
            <w:r w:rsidRPr="005E7BA2">
              <w:rPr>
                <w:rFonts w:cs="Arial"/>
                <w:sz w:val="19"/>
                <w:szCs w:val="19"/>
                <w:lang w:val="en-GB"/>
              </w:rPr>
              <w:t>/Tm2 or        Tm2</w:t>
            </w:r>
            <w:r w:rsidRPr="005E7BA2">
              <w:rPr>
                <w:rFonts w:cs="Arial"/>
                <w:sz w:val="19"/>
                <w:szCs w:val="19"/>
                <w:vertAlign w:val="superscript"/>
                <w:lang w:val="en-GB"/>
              </w:rPr>
              <w:t>2</w:t>
            </w:r>
            <w:r w:rsidRPr="005E7BA2">
              <w:rPr>
                <w:rFonts w:cs="Arial"/>
                <w:sz w:val="19"/>
                <w:szCs w:val="19"/>
                <w:lang w:val="en-GB"/>
              </w:rPr>
              <w:t>/tm2</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and </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Tm1/Tm1 or Tm1/tm1 or </w:t>
            </w: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tm1/tm1</w:t>
            </w:r>
          </w:p>
          <w:p w:rsidR="005E7BA2" w:rsidRPr="005E7BA2" w:rsidRDefault="005E7BA2" w:rsidP="005E7BA2">
            <w:pPr>
              <w:autoSpaceDE w:val="0"/>
              <w:autoSpaceDN w:val="0"/>
              <w:adjustRightInd w:val="0"/>
              <w:jc w:val="left"/>
              <w:rPr>
                <w:rFonts w:cs="Arial"/>
                <w:sz w:val="19"/>
                <w:szCs w:val="19"/>
                <w:lang w:val="en-GB"/>
              </w:rPr>
            </w:pPr>
          </w:p>
        </w:tc>
        <w:tc>
          <w:tcPr>
            <w:tcW w:w="184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tm2tm2 </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and</w:t>
            </w:r>
          </w:p>
          <w:p w:rsidR="005E7BA2" w:rsidRPr="005E7BA2" w:rsidRDefault="005E7BA2" w:rsidP="005E7BA2">
            <w:pPr>
              <w:autoSpaceDE w:val="0"/>
              <w:autoSpaceDN w:val="0"/>
              <w:adjustRightInd w:val="0"/>
              <w:jc w:val="left"/>
              <w:rPr>
                <w:rFonts w:cs="Arial"/>
                <w:sz w:val="19"/>
                <w:szCs w:val="19"/>
                <w:lang w:val="en-GB"/>
              </w:rPr>
            </w:pP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Tm1/Tm1 or </w:t>
            </w:r>
          </w:p>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 xml:space="preserve">Tm1/tm1 </w:t>
            </w:r>
          </w:p>
        </w:tc>
      </w:tr>
      <w:tr w:rsidR="005E7BA2" w:rsidRPr="005E7BA2" w:rsidTr="00DF3D38">
        <w:trPr>
          <w:trHeight w:val="606"/>
        </w:trPr>
        <w:tc>
          <w:tcPr>
            <w:tcW w:w="212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Marker Tm2/2</w:t>
            </w:r>
            <w:r w:rsidRPr="005E7BA2">
              <w:rPr>
                <w:rFonts w:cs="Arial"/>
                <w:sz w:val="19"/>
                <w:szCs w:val="19"/>
                <w:vertAlign w:val="superscript"/>
                <w:lang w:val="en-GB"/>
              </w:rPr>
              <w:t>2</w:t>
            </w:r>
          </w:p>
        </w:tc>
        <w:tc>
          <w:tcPr>
            <w:tcW w:w="184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susceptible allele</w:t>
            </w:r>
          </w:p>
        </w:tc>
        <w:tc>
          <w:tcPr>
            <w:tcW w:w="1985"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resistant allele</w:t>
            </w:r>
          </w:p>
        </w:tc>
        <w:tc>
          <w:tcPr>
            <w:tcW w:w="1843"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resistant allele</w:t>
            </w:r>
          </w:p>
        </w:tc>
        <w:tc>
          <w:tcPr>
            <w:tcW w:w="184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susceptible allele</w:t>
            </w:r>
          </w:p>
        </w:tc>
      </w:tr>
      <w:tr w:rsidR="005E7BA2" w:rsidRPr="005E7BA2" w:rsidTr="00DF3D38">
        <w:trPr>
          <w:trHeight w:val="558"/>
        </w:trPr>
        <w:tc>
          <w:tcPr>
            <w:tcW w:w="2122" w:type="dxa"/>
            <w:vAlign w:val="center"/>
          </w:tcPr>
          <w:p w:rsidR="005E7BA2" w:rsidRPr="005E7BA2" w:rsidRDefault="005E7BA2" w:rsidP="005E7BA2">
            <w:pPr>
              <w:autoSpaceDE w:val="0"/>
              <w:autoSpaceDN w:val="0"/>
              <w:adjustRightInd w:val="0"/>
              <w:spacing w:before="120" w:after="120"/>
              <w:jc w:val="left"/>
              <w:rPr>
                <w:rFonts w:cs="Arial"/>
                <w:sz w:val="19"/>
                <w:szCs w:val="19"/>
                <w:lang w:val="en-GB"/>
              </w:rPr>
            </w:pPr>
            <w:r w:rsidRPr="005E7BA2">
              <w:rPr>
                <w:rFonts w:cs="Arial"/>
                <w:sz w:val="19"/>
                <w:szCs w:val="19"/>
                <w:lang w:val="en-GB"/>
              </w:rPr>
              <w:t xml:space="preserve">Resistance to </w:t>
            </w:r>
            <w:proofErr w:type="spellStart"/>
            <w:r w:rsidRPr="005E7BA2">
              <w:rPr>
                <w:rFonts w:cs="Arial"/>
                <w:sz w:val="19"/>
                <w:szCs w:val="19"/>
                <w:lang w:val="en-GB"/>
              </w:rPr>
              <w:t>ToMV</w:t>
            </w:r>
            <w:proofErr w:type="spellEnd"/>
            <w:r w:rsidRPr="005E7BA2">
              <w:rPr>
                <w:rFonts w:cs="Arial"/>
                <w:sz w:val="19"/>
                <w:szCs w:val="19"/>
                <w:lang w:val="en-GB"/>
              </w:rPr>
              <w:t xml:space="preserve"> - Strain 0</w:t>
            </w:r>
          </w:p>
        </w:tc>
        <w:tc>
          <w:tcPr>
            <w:tcW w:w="184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absent</w:t>
            </w:r>
          </w:p>
        </w:tc>
        <w:tc>
          <w:tcPr>
            <w:tcW w:w="1985"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present</w:t>
            </w:r>
          </w:p>
        </w:tc>
        <w:tc>
          <w:tcPr>
            <w:tcW w:w="1843"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present</w:t>
            </w:r>
          </w:p>
        </w:tc>
        <w:tc>
          <w:tcPr>
            <w:tcW w:w="1842" w:type="dxa"/>
            <w:vAlign w:val="center"/>
          </w:tcPr>
          <w:p w:rsidR="005E7BA2" w:rsidRPr="005E7BA2" w:rsidRDefault="005E7BA2" w:rsidP="005E7BA2">
            <w:pPr>
              <w:autoSpaceDE w:val="0"/>
              <w:autoSpaceDN w:val="0"/>
              <w:adjustRightInd w:val="0"/>
              <w:jc w:val="left"/>
              <w:rPr>
                <w:rFonts w:cs="Arial"/>
                <w:sz w:val="19"/>
                <w:szCs w:val="19"/>
                <w:lang w:val="en-GB"/>
              </w:rPr>
            </w:pPr>
            <w:r w:rsidRPr="005E7BA2">
              <w:rPr>
                <w:rFonts w:cs="Arial"/>
                <w:sz w:val="19"/>
                <w:szCs w:val="19"/>
                <w:lang w:val="en-GB"/>
              </w:rPr>
              <w:t>present</w:t>
            </w:r>
          </w:p>
        </w:tc>
      </w:tr>
    </w:tbl>
    <w:p w:rsidR="005E7BA2" w:rsidRPr="005E7BA2" w:rsidRDefault="005E7BA2" w:rsidP="005E7BA2">
      <w:pPr>
        <w:autoSpaceDE w:val="0"/>
        <w:autoSpaceDN w:val="0"/>
        <w:adjustRightInd w:val="0"/>
        <w:jc w:val="left"/>
        <w:rPr>
          <w:rFonts w:eastAsia="Calibri" w:cs="Arial"/>
          <w:sz w:val="19"/>
          <w:szCs w:val="19"/>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3.</w:t>
      </w:r>
      <w:r w:rsidRPr="005E7BA2">
        <w:rPr>
          <w:rFonts w:eastAsia="Calibri" w:cs="Arial"/>
          <w:lang w:val="en-GB"/>
        </w:rPr>
        <w:tab/>
        <w:t>A marker identifies the presence of resistance alleles Tm2 and Tm2</w:t>
      </w:r>
      <w:r w:rsidRPr="005E7BA2">
        <w:rPr>
          <w:rFonts w:eastAsia="Calibri" w:cs="Arial"/>
          <w:vertAlign w:val="superscript"/>
          <w:lang w:val="en-GB"/>
        </w:rPr>
        <w:t>2</w:t>
      </w:r>
      <w:r w:rsidRPr="005E7BA2">
        <w:rPr>
          <w:rFonts w:eastAsia="Calibri" w:cs="Arial"/>
          <w:lang w:val="en-GB"/>
        </w:rPr>
        <w:t xml:space="preserve"> and the susceptible allele tm2.  Marker Tm2/2</w:t>
      </w:r>
      <w:r w:rsidRPr="005E7BA2">
        <w:rPr>
          <w:rFonts w:eastAsia="Calibri" w:cs="Arial"/>
          <w:vertAlign w:val="superscript"/>
          <w:lang w:val="en-GB"/>
        </w:rPr>
        <w:t>2</w:t>
      </w:r>
      <w:r w:rsidRPr="005E7BA2">
        <w:rPr>
          <w:rFonts w:eastAsia="Calibri" w:cs="Arial"/>
          <w:lang w:val="en-GB"/>
        </w:rPr>
        <w:t xml:space="preserve"> is positioned in the protein coding sequence.</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4.</w:t>
      </w:r>
      <w:r w:rsidRPr="005E7BA2">
        <w:rPr>
          <w:rFonts w:eastAsia="Calibri" w:cs="Arial"/>
          <w:lang w:val="en-GB"/>
        </w:rPr>
        <w:tab/>
        <w:t xml:space="preserve">A variety will be resistant to </w:t>
      </w:r>
      <w:proofErr w:type="spellStart"/>
      <w:r w:rsidRPr="005E7BA2">
        <w:rPr>
          <w:rFonts w:eastAsia="Calibri" w:cs="Arial"/>
          <w:lang w:val="en-GB"/>
        </w:rPr>
        <w:t>ToMV</w:t>
      </w:r>
      <w:proofErr w:type="spellEnd"/>
      <w:r w:rsidRPr="005E7BA2">
        <w:rPr>
          <w:rFonts w:eastAsia="Calibri" w:cs="Arial"/>
          <w:lang w:val="en-GB"/>
        </w:rPr>
        <w:t xml:space="preserve"> Strain 0 if resistance allele Tm2 or resistance allele Tm2</w:t>
      </w:r>
      <w:r w:rsidRPr="005E7BA2">
        <w:rPr>
          <w:rFonts w:eastAsia="Calibri" w:cs="Arial"/>
          <w:vertAlign w:val="superscript"/>
          <w:lang w:val="en-GB"/>
        </w:rPr>
        <w:t>2</w:t>
      </w:r>
      <w:r w:rsidRPr="005E7BA2">
        <w:rPr>
          <w:rFonts w:eastAsia="Calibri" w:cs="Arial"/>
          <w:lang w:val="en-GB"/>
        </w:rPr>
        <w:t xml:space="preserve"> is present.  In this case, the DNA marker test could replace the traditional bioassay to assess resistance to </w:t>
      </w:r>
      <w:proofErr w:type="spellStart"/>
      <w:r w:rsidRPr="005E7BA2">
        <w:rPr>
          <w:rFonts w:eastAsia="Calibri" w:cs="Arial"/>
          <w:lang w:val="en-GB"/>
        </w:rPr>
        <w:t>ToMV</w:t>
      </w:r>
      <w:proofErr w:type="spellEnd"/>
      <w:r w:rsidRPr="005E7BA2">
        <w:rPr>
          <w:rFonts w:eastAsia="Calibri" w:cs="Arial"/>
          <w:lang w:val="en-GB"/>
        </w:rPr>
        <w:t> Strain 0.</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5.</w:t>
      </w:r>
      <w:r w:rsidRPr="005E7BA2">
        <w:rPr>
          <w:rFonts w:eastAsia="Calibri" w:cs="Arial"/>
          <w:lang w:val="en-GB"/>
        </w:rPr>
        <w:tab/>
        <w:t xml:space="preserve">A variety with homozygous allele tm2 will be susceptible to </w:t>
      </w:r>
      <w:proofErr w:type="spellStart"/>
      <w:r w:rsidRPr="005E7BA2">
        <w:rPr>
          <w:rFonts w:eastAsia="Calibri" w:cs="Arial"/>
          <w:lang w:val="en-GB"/>
        </w:rPr>
        <w:t>ToMV</w:t>
      </w:r>
      <w:proofErr w:type="spellEnd"/>
      <w:r w:rsidRPr="005E7BA2">
        <w:rPr>
          <w:rFonts w:eastAsia="Calibri" w:cs="Arial"/>
          <w:lang w:val="en-GB"/>
        </w:rPr>
        <w:t xml:space="preserve"> Strain 0 unless resistance is coded by resistance allele Tm1.  In this case, resistance to </w:t>
      </w:r>
      <w:proofErr w:type="spellStart"/>
      <w:r w:rsidRPr="005E7BA2">
        <w:rPr>
          <w:rFonts w:eastAsia="Calibri" w:cs="Arial"/>
          <w:lang w:val="en-GB"/>
        </w:rPr>
        <w:t>ToMV</w:t>
      </w:r>
      <w:proofErr w:type="spellEnd"/>
      <w:r w:rsidRPr="005E7BA2">
        <w:rPr>
          <w:rFonts w:eastAsia="Calibri" w:cs="Arial"/>
          <w:lang w:val="en-GB"/>
        </w:rPr>
        <w:t xml:space="preserve"> Strain 0 cannot be assessed by a DNA marker test because there is no reliable marker for gene Tm1.  </w:t>
      </w:r>
    </w:p>
    <w:p w:rsidR="005E7BA2" w:rsidRPr="005E7BA2" w:rsidRDefault="005E7BA2" w:rsidP="005E7BA2">
      <w:pPr>
        <w:autoSpaceDE w:val="0"/>
        <w:autoSpaceDN w:val="0"/>
        <w:adjustRightInd w:val="0"/>
        <w:rPr>
          <w:rFonts w:eastAsia="Calibri" w:cs="Arial"/>
          <w:lang w:val="en-GB"/>
        </w:rPr>
      </w:pPr>
    </w:p>
    <w:p w:rsidR="005E7BA2" w:rsidRPr="005E7BA2" w:rsidRDefault="005E7BA2" w:rsidP="005E7BA2">
      <w:pPr>
        <w:autoSpaceDE w:val="0"/>
        <w:autoSpaceDN w:val="0"/>
        <w:adjustRightInd w:val="0"/>
        <w:rPr>
          <w:rFonts w:eastAsia="Calibri" w:cs="Arial"/>
          <w:lang w:val="en-GB"/>
        </w:rPr>
      </w:pPr>
      <w:r w:rsidRPr="005E7BA2">
        <w:rPr>
          <w:rFonts w:eastAsia="Calibri" w:cs="Arial"/>
          <w:lang w:val="en-GB"/>
        </w:rPr>
        <w:t>6.</w:t>
      </w:r>
      <w:r w:rsidRPr="005E7BA2">
        <w:rPr>
          <w:rFonts w:eastAsia="Calibri" w:cs="Arial"/>
          <w:lang w:val="en-GB"/>
        </w:rPr>
        <w:tab/>
        <w:t xml:space="preserve">If a variety is claimed to be resistant to </w:t>
      </w:r>
      <w:proofErr w:type="spellStart"/>
      <w:r w:rsidRPr="005E7BA2">
        <w:rPr>
          <w:rFonts w:eastAsia="Calibri" w:cs="Arial"/>
          <w:lang w:val="en-GB"/>
        </w:rPr>
        <w:t>ToMV</w:t>
      </w:r>
      <w:proofErr w:type="spellEnd"/>
      <w:r w:rsidRPr="005E7BA2">
        <w:rPr>
          <w:rFonts w:eastAsia="Calibri" w:cs="Arial"/>
          <w:lang w:val="en-GB"/>
        </w:rPr>
        <w:t xml:space="preserve"> Strain 0 and the DNA marker test result is tm2/tm2 (homozygous susceptible) a bioassay needs to be performed to determine whether the variety is resistant </w:t>
      </w:r>
      <w:proofErr w:type="gramStart"/>
      <w:r w:rsidRPr="005E7BA2">
        <w:rPr>
          <w:rFonts w:eastAsia="Calibri" w:cs="Arial"/>
          <w:lang w:val="en-GB"/>
        </w:rPr>
        <w:t>on the basis of</w:t>
      </w:r>
      <w:proofErr w:type="gramEnd"/>
      <w:r w:rsidRPr="005E7BA2">
        <w:rPr>
          <w:rFonts w:eastAsia="Calibri" w:cs="Arial"/>
          <w:lang w:val="en-GB"/>
        </w:rPr>
        <w:t xml:space="preserve"> another gene, such as Tm1. </w:t>
      </w:r>
    </w:p>
    <w:p w:rsidR="005E7BA2" w:rsidRPr="005E7BA2" w:rsidRDefault="005E7BA2" w:rsidP="005E7BA2">
      <w:pPr>
        <w:autoSpaceDE w:val="0"/>
        <w:autoSpaceDN w:val="0"/>
        <w:adjustRightInd w:val="0"/>
        <w:rPr>
          <w:rFonts w:eastAsia="Calibri" w:cs="Arial"/>
        </w:rPr>
      </w:pPr>
    </w:p>
    <w:p w:rsidR="005E7BA2" w:rsidRPr="005E7BA2" w:rsidRDefault="005E7BA2" w:rsidP="005E7BA2"/>
    <w:p w:rsidR="005E7BA2" w:rsidRPr="005E7BA2" w:rsidRDefault="005E7BA2" w:rsidP="005E7BA2"/>
    <w:p w:rsidR="005E7BA2" w:rsidRPr="005E7BA2" w:rsidRDefault="005E7BA2" w:rsidP="005E7BA2">
      <w:pPr>
        <w:jc w:val="right"/>
      </w:pPr>
      <w:r w:rsidRPr="005E7BA2">
        <w:t>[End of Annex</w:t>
      </w:r>
      <w:r w:rsidR="008A652B">
        <w:t xml:space="preserve"> </w:t>
      </w:r>
      <w:r w:rsidR="008A652B" w:rsidRPr="004F41C7">
        <w:t>II</w:t>
      </w:r>
      <w:r w:rsidRPr="005E7BA2">
        <w:t xml:space="preserve"> and of document]</w:t>
      </w:r>
    </w:p>
    <w:p w:rsidR="00624E05" w:rsidRDefault="00624E05">
      <w:pPr>
        <w:jc w:val="left"/>
      </w:pPr>
    </w:p>
    <w:p w:rsidR="00050E16" w:rsidRPr="00C5280D" w:rsidRDefault="00050E16" w:rsidP="009B440E">
      <w:pPr>
        <w:jc w:val="left"/>
      </w:pPr>
    </w:p>
    <w:sectPr w:rsidR="00050E16" w:rsidRPr="00C5280D"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8B" w:rsidRDefault="0002578B" w:rsidP="006655D3">
      <w:r>
        <w:separator/>
      </w:r>
    </w:p>
    <w:p w:rsidR="0002578B" w:rsidRDefault="0002578B" w:rsidP="006655D3"/>
    <w:p w:rsidR="0002578B" w:rsidRDefault="0002578B" w:rsidP="006655D3"/>
  </w:endnote>
  <w:endnote w:type="continuationSeparator" w:id="0">
    <w:p w:rsidR="0002578B" w:rsidRDefault="0002578B" w:rsidP="006655D3">
      <w:r>
        <w:separator/>
      </w:r>
    </w:p>
    <w:p w:rsidR="0002578B" w:rsidRPr="00294751" w:rsidRDefault="0002578B">
      <w:pPr>
        <w:pStyle w:val="Footer"/>
        <w:spacing w:after="60"/>
        <w:rPr>
          <w:sz w:val="18"/>
          <w:lang w:val="fr-FR"/>
        </w:rPr>
      </w:pPr>
      <w:r w:rsidRPr="00294751">
        <w:rPr>
          <w:sz w:val="18"/>
          <w:lang w:val="fr-FR"/>
        </w:rPr>
        <w:t>[Suite de la note de la page précédente]</w:t>
      </w:r>
    </w:p>
    <w:p w:rsidR="0002578B" w:rsidRPr="00294751" w:rsidRDefault="0002578B" w:rsidP="006655D3">
      <w:pPr>
        <w:rPr>
          <w:lang w:val="fr-FR"/>
        </w:rPr>
      </w:pPr>
    </w:p>
    <w:p w:rsidR="0002578B" w:rsidRPr="00294751" w:rsidRDefault="0002578B" w:rsidP="006655D3">
      <w:pPr>
        <w:rPr>
          <w:lang w:val="fr-FR"/>
        </w:rPr>
      </w:pPr>
    </w:p>
  </w:endnote>
  <w:endnote w:type="continuationNotice" w:id="1">
    <w:p w:rsidR="0002578B" w:rsidRPr="00294751" w:rsidRDefault="0002578B" w:rsidP="006655D3">
      <w:pPr>
        <w:rPr>
          <w:lang w:val="fr-FR"/>
        </w:rPr>
      </w:pPr>
      <w:r w:rsidRPr="00294751">
        <w:rPr>
          <w:lang w:val="fr-FR"/>
        </w:rPr>
        <w:t>[Suite de la note page suivante]</w:t>
      </w:r>
    </w:p>
    <w:p w:rsidR="0002578B" w:rsidRPr="00294751" w:rsidRDefault="0002578B" w:rsidP="006655D3">
      <w:pPr>
        <w:rPr>
          <w:lang w:val="fr-FR"/>
        </w:rPr>
      </w:pPr>
    </w:p>
    <w:p w:rsidR="0002578B" w:rsidRPr="00294751" w:rsidRDefault="0002578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8B" w:rsidRDefault="0002578B" w:rsidP="006655D3">
      <w:r>
        <w:separator/>
      </w:r>
    </w:p>
  </w:footnote>
  <w:footnote w:type="continuationSeparator" w:id="0">
    <w:p w:rsidR="0002578B" w:rsidRDefault="0002578B" w:rsidP="006655D3">
      <w:r>
        <w:separator/>
      </w:r>
    </w:p>
  </w:footnote>
  <w:footnote w:type="continuationNotice" w:id="1">
    <w:p w:rsidR="0002578B" w:rsidRPr="00AB530F" w:rsidRDefault="0002578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18" w:rsidRPr="00C5280D" w:rsidRDefault="00490318" w:rsidP="00490318">
    <w:pPr>
      <w:pStyle w:val="Header"/>
      <w:rPr>
        <w:rStyle w:val="PageNumber"/>
        <w:lang w:val="en-US"/>
      </w:rPr>
    </w:pPr>
    <w:r>
      <w:t>BMT/18/7</w:t>
    </w:r>
  </w:p>
  <w:p w:rsidR="00490318" w:rsidRPr="00C5280D" w:rsidRDefault="00490318" w:rsidP="00490318">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3CEC">
      <w:rPr>
        <w:rStyle w:val="PageNumber"/>
        <w:noProof/>
        <w:lang w:val="en-US"/>
      </w:rPr>
      <w:t>3</w:t>
    </w:r>
    <w:r w:rsidRPr="00C5280D">
      <w:rPr>
        <w:rStyle w:val="PageNumber"/>
        <w:lang w:val="en-US"/>
      </w:rPr>
      <w:fldChar w:fldCharType="end"/>
    </w:r>
  </w:p>
  <w:p w:rsidR="00490318" w:rsidRDefault="00490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2B" w:rsidRPr="00C5280D" w:rsidRDefault="008A652B" w:rsidP="008A652B">
    <w:pPr>
      <w:pStyle w:val="Header"/>
      <w:rPr>
        <w:rStyle w:val="PageNumber"/>
        <w:lang w:val="en-US"/>
      </w:rPr>
    </w:pPr>
    <w:r>
      <w:rPr>
        <w:rStyle w:val="PageNumber"/>
        <w:lang w:val="en-US"/>
      </w:rPr>
      <w:t>BMT/18/7</w:t>
    </w:r>
  </w:p>
  <w:p w:rsidR="008A652B" w:rsidRPr="00ED1670" w:rsidRDefault="008A652B" w:rsidP="008A652B">
    <w:pPr>
      <w:pStyle w:val="Header"/>
      <w:rPr>
        <w:lang w:val="fr-CH"/>
      </w:rPr>
    </w:pPr>
    <w:proofErr w:type="spellStart"/>
    <w:r w:rsidRPr="00ED1670">
      <w:rPr>
        <w:rStyle w:val="PageNumber"/>
        <w:lang w:val="fr-CH"/>
      </w:rPr>
      <w:t>Annex</w:t>
    </w:r>
    <w:proofErr w:type="spellEnd"/>
    <w:r w:rsidR="00A30C13">
      <w:rPr>
        <w:rStyle w:val="PageNumber"/>
        <w:lang w:val="fr-CH"/>
      </w:rPr>
      <w:t xml:space="preserve"> I</w:t>
    </w:r>
    <w:r>
      <w:rPr>
        <w:rStyle w:val="PageNumber"/>
        <w:lang w:val="fr-CH"/>
      </w:rPr>
      <w:t xml:space="preserve">, </w:t>
    </w:r>
    <w:r w:rsidRPr="00ED1670">
      <w:rPr>
        <w:lang w:val="fr-CH"/>
      </w:rPr>
      <w:t xml:space="preserve">page </w:t>
    </w:r>
    <w:r>
      <w:rPr>
        <w:rStyle w:val="PageNumber"/>
        <w:lang w:val="en-US"/>
      </w:rPr>
      <w:t>2</w:t>
    </w:r>
  </w:p>
  <w:p w:rsidR="005E7BA2" w:rsidRPr="00C5280D" w:rsidRDefault="005E7BA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2B" w:rsidRDefault="008A652B" w:rsidP="00E035E8">
    <w:pPr>
      <w:pStyle w:val="Header"/>
      <w:rPr>
        <w:lang w:eastAsia="ja-JP"/>
      </w:rPr>
    </w:pPr>
    <w:r>
      <w:t>BMT/18/</w:t>
    </w:r>
    <w:r>
      <w:rPr>
        <w:lang w:eastAsia="ja-JP"/>
      </w:rPr>
      <w:t>7</w:t>
    </w:r>
  </w:p>
  <w:p w:rsidR="008A652B" w:rsidRDefault="008A652B" w:rsidP="00E035E8">
    <w:pPr>
      <w:pStyle w:val="Header"/>
    </w:pPr>
  </w:p>
  <w:p w:rsidR="008A652B" w:rsidRPr="00C5280D" w:rsidRDefault="008A652B" w:rsidP="00E035E8">
    <w:pPr>
      <w:pStyle w:val="Header"/>
    </w:pPr>
    <w:r>
      <w:t xml:space="preserve">ANNEX </w:t>
    </w:r>
    <w:r w:rsidRPr="00A30C13">
      <w:t>I</w:t>
    </w:r>
  </w:p>
  <w:p w:rsidR="008A652B" w:rsidRPr="00E333B1" w:rsidRDefault="008A652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5634B" w:rsidP="00EB048E">
    <w:pPr>
      <w:pStyle w:val="Header"/>
      <w:rPr>
        <w:rStyle w:val="PageNumber"/>
        <w:lang w:val="en-US"/>
      </w:rPr>
    </w:pPr>
    <w:r>
      <w:rPr>
        <w:rStyle w:val="PageNumber"/>
        <w:lang w:val="en-US"/>
      </w:rPr>
      <w:t>BMT/18</w:t>
    </w:r>
    <w:r w:rsidR="00624E05">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E05">
      <w:rPr>
        <w:rStyle w:val="PageNumber"/>
        <w:noProof/>
        <w:lang w:val="en-US"/>
      </w:rPr>
      <w:t>2</w:t>
    </w:r>
    <w:r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A2" w:rsidRDefault="005E7BA2" w:rsidP="005E7BA2">
    <w:pPr>
      <w:pStyle w:val="Header"/>
    </w:pPr>
    <w:r>
      <w:t>BMT/18/7</w:t>
    </w:r>
  </w:p>
  <w:p w:rsidR="005E7BA2" w:rsidRDefault="005E7BA2" w:rsidP="005E7BA2">
    <w:pPr>
      <w:pStyle w:val="Header"/>
    </w:pPr>
  </w:p>
  <w:p w:rsidR="005E7BA2" w:rsidRDefault="005E7BA2" w:rsidP="005E7BA2">
    <w:pPr>
      <w:pStyle w:val="Header"/>
    </w:pPr>
    <w:r w:rsidRPr="00A30C13">
      <w:t>ANNEX</w:t>
    </w:r>
    <w:r w:rsidR="008A652B" w:rsidRPr="00A30C13">
      <w:t xml:space="preserve"> II</w:t>
    </w:r>
  </w:p>
  <w:p w:rsidR="005E7BA2" w:rsidRDefault="005E7B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54D9"/>
    <w:multiLevelType w:val="hybridMultilevel"/>
    <w:tmpl w:val="41CEC9F2"/>
    <w:lvl w:ilvl="0" w:tplc="6B7860B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29962CA8"/>
    <w:multiLevelType w:val="hybridMultilevel"/>
    <w:tmpl w:val="41CEC9F2"/>
    <w:lvl w:ilvl="0" w:tplc="6B7860B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09"/>
    <w:rsid w:val="00010CF3"/>
    <w:rsid w:val="00011E27"/>
    <w:rsid w:val="000148BC"/>
    <w:rsid w:val="00020077"/>
    <w:rsid w:val="00024AB8"/>
    <w:rsid w:val="0002578B"/>
    <w:rsid w:val="00030854"/>
    <w:rsid w:val="00036028"/>
    <w:rsid w:val="00044642"/>
    <w:rsid w:val="000446B9"/>
    <w:rsid w:val="00047E21"/>
    <w:rsid w:val="00050E16"/>
    <w:rsid w:val="00055705"/>
    <w:rsid w:val="00060D3D"/>
    <w:rsid w:val="00085505"/>
    <w:rsid w:val="000C4E25"/>
    <w:rsid w:val="000C7021"/>
    <w:rsid w:val="000D1BAE"/>
    <w:rsid w:val="000D6BBC"/>
    <w:rsid w:val="000D7780"/>
    <w:rsid w:val="000E0360"/>
    <w:rsid w:val="000E636A"/>
    <w:rsid w:val="000F2F11"/>
    <w:rsid w:val="00105929"/>
    <w:rsid w:val="00110C36"/>
    <w:rsid w:val="001131D5"/>
    <w:rsid w:val="00141DB8"/>
    <w:rsid w:val="0014610D"/>
    <w:rsid w:val="0015326B"/>
    <w:rsid w:val="00172084"/>
    <w:rsid w:val="0017474A"/>
    <w:rsid w:val="001758C6"/>
    <w:rsid w:val="00182B99"/>
    <w:rsid w:val="001A3AEE"/>
    <w:rsid w:val="001C5409"/>
    <w:rsid w:val="001D6303"/>
    <w:rsid w:val="001F4F81"/>
    <w:rsid w:val="00205622"/>
    <w:rsid w:val="002077C4"/>
    <w:rsid w:val="0021332C"/>
    <w:rsid w:val="00213982"/>
    <w:rsid w:val="0024416D"/>
    <w:rsid w:val="00271911"/>
    <w:rsid w:val="00274B8D"/>
    <w:rsid w:val="002800A0"/>
    <w:rsid w:val="002801B3"/>
    <w:rsid w:val="00281060"/>
    <w:rsid w:val="0028123B"/>
    <w:rsid w:val="002940E8"/>
    <w:rsid w:val="00294751"/>
    <w:rsid w:val="002A6E50"/>
    <w:rsid w:val="002B4298"/>
    <w:rsid w:val="002C256A"/>
    <w:rsid w:val="0030109E"/>
    <w:rsid w:val="00302207"/>
    <w:rsid w:val="00305A7F"/>
    <w:rsid w:val="003152FE"/>
    <w:rsid w:val="00327436"/>
    <w:rsid w:val="00335389"/>
    <w:rsid w:val="00344BD6"/>
    <w:rsid w:val="0035528D"/>
    <w:rsid w:val="00361821"/>
    <w:rsid w:val="00361E9E"/>
    <w:rsid w:val="00373CEC"/>
    <w:rsid w:val="003C7FBE"/>
    <w:rsid w:val="003D227C"/>
    <w:rsid w:val="003D2B4D"/>
    <w:rsid w:val="003F6B71"/>
    <w:rsid w:val="00420B78"/>
    <w:rsid w:val="00444A88"/>
    <w:rsid w:val="004451F4"/>
    <w:rsid w:val="00470DBE"/>
    <w:rsid w:val="00474DA4"/>
    <w:rsid w:val="00476B4D"/>
    <w:rsid w:val="004805FA"/>
    <w:rsid w:val="00490318"/>
    <w:rsid w:val="004935D2"/>
    <w:rsid w:val="0049744F"/>
    <w:rsid w:val="004B1215"/>
    <w:rsid w:val="004D047D"/>
    <w:rsid w:val="004F1E9E"/>
    <w:rsid w:val="004F305A"/>
    <w:rsid w:val="004F41C7"/>
    <w:rsid w:val="00512164"/>
    <w:rsid w:val="00520297"/>
    <w:rsid w:val="005338F9"/>
    <w:rsid w:val="0054281C"/>
    <w:rsid w:val="00544581"/>
    <w:rsid w:val="0055268D"/>
    <w:rsid w:val="00576BE4"/>
    <w:rsid w:val="005A0AC5"/>
    <w:rsid w:val="005A400A"/>
    <w:rsid w:val="005E640B"/>
    <w:rsid w:val="005E7962"/>
    <w:rsid w:val="005E7BA2"/>
    <w:rsid w:val="005F1ADE"/>
    <w:rsid w:val="005F7B92"/>
    <w:rsid w:val="0060592B"/>
    <w:rsid w:val="00612379"/>
    <w:rsid w:val="006153B6"/>
    <w:rsid w:val="0061555F"/>
    <w:rsid w:val="00621302"/>
    <w:rsid w:val="00624E05"/>
    <w:rsid w:val="00636CA6"/>
    <w:rsid w:val="00641200"/>
    <w:rsid w:val="006655D3"/>
    <w:rsid w:val="00667404"/>
    <w:rsid w:val="00687EB4"/>
    <w:rsid w:val="00695C56"/>
    <w:rsid w:val="006A5CDE"/>
    <w:rsid w:val="006A644A"/>
    <w:rsid w:val="006B17D2"/>
    <w:rsid w:val="006C224E"/>
    <w:rsid w:val="006C78DA"/>
    <w:rsid w:val="006D780A"/>
    <w:rsid w:val="0071271E"/>
    <w:rsid w:val="007220D7"/>
    <w:rsid w:val="00732DEC"/>
    <w:rsid w:val="00735BD5"/>
    <w:rsid w:val="00751613"/>
    <w:rsid w:val="007556F6"/>
    <w:rsid w:val="00760EEF"/>
    <w:rsid w:val="00777EE5"/>
    <w:rsid w:val="00784836"/>
    <w:rsid w:val="0079023E"/>
    <w:rsid w:val="00792C1E"/>
    <w:rsid w:val="007A2854"/>
    <w:rsid w:val="007C1D92"/>
    <w:rsid w:val="007C4CB9"/>
    <w:rsid w:val="007D0B9D"/>
    <w:rsid w:val="007D19B0"/>
    <w:rsid w:val="007F47A5"/>
    <w:rsid w:val="007F498F"/>
    <w:rsid w:val="0080679D"/>
    <w:rsid w:val="008108B0"/>
    <w:rsid w:val="00811B20"/>
    <w:rsid w:val="00812ABC"/>
    <w:rsid w:val="00812ED1"/>
    <w:rsid w:val="008211B5"/>
    <w:rsid w:val="0082296E"/>
    <w:rsid w:val="00824099"/>
    <w:rsid w:val="00846D7C"/>
    <w:rsid w:val="00851F71"/>
    <w:rsid w:val="00860A1D"/>
    <w:rsid w:val="00867AC1"/>
    <w:rsid w:val="00890DF8"/>
    <w:rsid w:val="008A652B"/>
    <w:rsid w:val="008A743F"/>
    <w:rsid w:val="008B128B"/>
    <w:rsid w:val="008C0970"/>
    <w:rsid w:val="008D0BC5"/>
    <w:rsid w:val="008D2CF7"/>
    <w:rsid w:val="00900C26"/>
    <w:rsid w:val="0090197F"/>
    <w:rsid w:val="00906DDC"/>
    <w:rsid w:val="00916C54"/>
    <w:rsid w:val="009231CD"/>
    <w:rsid w:val="00934E09"/>
    <w:rsid w:val="00936253"/>
    <w:rsid w:val="00940D46"/>
    <w:rsid w:val="00952DD4"/>
    <w:rsid w:val="00963FED"/>
    <w:rsid w:val="00965AE7"/>
    <w:rsid w:val="00970FED"/>
    <w:rsid w:val="00992D82"/>
    <w:rsid w:val="00997029"/>
    <w:rsid w:val="009A5E09"/>
    <w:rsid w:val="009A7339"/>
    <w:rsid w:val="009B1A8C"/>
    <w:rsid w:val="009B440E"/>
    <w:rsid w:val="009D690D"/>
    <w:rsid w:val="009E233E"/>
    <w:rsid w:val="009E2583"/>
    <w:rsid w:val="009E65B6"/>
    <w:rsid w:val="009F7A5F"/>
    <w:rsid w:val="00A24C10"/>
    <w:rsid w:val="00A30C13"/>
    <w:rsid w:val="00A42AC3"/>
    <w:rsid w:val="00A430CF"/>
    <w:rsid w:val="00A54309"/>
    <w:rsid w:val="00AB2B93"/>
    <w:rsid w:val="00AB3D90"/>
    <w:rsid w:val="00AB530F"/>
    <w:rsid w:val="00AB7E5B"/>
    <w:rsid w:val="00AC2883"/>
    <w:rsid w:val="00AC7FDD"/>
    <w:rsid w:val="00AE0EF1"/>
    <w:rsid w:val="00AE2937"/>
    <w:rsid w:val="00B07301"/>
    <w:rsid w:val="00B11F3E"/>
    <w:rsid w:val="00B224DE"/>
    <w:rsid w:val="00B324D4"/>
    <w:rsid w:val="00B4097C"/>
    <w:rsid w:val="00B46575"/>
    <w:rsid w:val="00B61777"/>
    <w:rsid w:val="00B84BBD"/>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52C2"/>
    <w:rsid w:val="00CA774A"/>
    <w:rsid w:val="00CC11B0"/>
    <w:rsid w:val="00CC2841"/>
    <w:rsid w:val="00CE7D9D"/>
    <w:rsid w:val="00CF1330"/>
    <w:rsid w:val="00CF7E36"/>
    <w:rsid w:val="00D111AD"/>
    <w:rsid w:val="00D3708D"/>
    <w:rsid w:val="00D40426"/>
    <w:rsid w:val="00D42D0C"/>
    <w:rsid w:val="00D47496"/>
    <w:rsid w:val="00D5634B"/>
    <w:rsid w:val="00D57C96"/>
    <w:rsid w:val="00D57D18"/>
    <w:rsid w:val="00D91203"/>
    <w:rsid w:val="00D95174"/>
    <w:rsid w:val="00DA1712"/>
    <w:rsid w:val="00DA4499"/>
    <w:rsid w:val="00DA4973"/>
    <w:rsid w:val="00DA6F36"/>
    <w:rsid w:val="00DB596E"/>
    <w:rsid w:val="00DB7773"/>
    <w:rsid w:val="00DC00EA"/>
    <w:rsid w:val="00DC3802"/>
    <w:rsid w:val="00DF2D8A"/>
    <w:rsid w:val="00E07D87"/>
    <w:rsid w:val="00E32F7E"/>
    <w:rsid w:val="00E36F83"/>
    <w:rsid w:val="00E43EB7"/>
    <w:rsid w:val="00E5267B"/>
    <w:rsid w:val="00E72D49"/>
    <w:rsid w:val="00E7593C"/>
    <w:rsid w:val="00E7678A"/>
    <w:rsid w:val="00E9140F"/>
    <w:rsid w:val="00E935F1"/>
    <w:rsid w:val="00E94A81"/>
    <w:rsid w:val="00EA1FFB"/>
    <w:rsid w:val="00EB048E"/>
    <w:rsid w:val="00EB4E9C"/>
    <w:rsid w:val="00EC481C"/>
    <w:rsid w:val="00EC7AFE"/>
    <w:rsid w:val="00EE1AFA"/>
    <w:rsid w:val="00EE34DF"/>
    <w:rsid w:val="00EF2F89"/>
    <w:rsid w:val="00F03E98"/>
    <w:rsid w:val="00F1237A"/>
    <w:rsid w:val="00F22CBD"/>
    <w:rsid w:val="00F272F1"/>
    <w:rsid w:val="00F45372"/>
    <w:rsid w:val="00F53F69"/>
    <w:rsid w:val="00F560F7"/>
    <w:rsid w:val="00F6334D"/>
    <w:rsid w:val="00F6653E"/>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B9DA962-1D9C-4725-981B-B5B8174A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C78DA"/>
    <w:pPr>
      <w:keepNext/>
      <w:jc w:val="both"/>
      <w:outlineLvl w:val="0"/>
    </w:pPr>
    <w:rPr>
      <w:rFonts w:ascii="Arial" w:hAnsi="Arial"/>
      <w:caps/>
      <w:lang w:eastAsia="ja-JP"/>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9E2583"/>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table" w:styleId="TableGrid">
    <w:name w:val="Table Grid"/>
    <w:basedOn w:val="TableNormal"/>
    <w:uiPriority w:val="39"/>
    <w:rsid w:val="005E7BA2"/>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BA2"/>
    <w:pPr>
      <w:ind w:left="720"/>
      <w:contextualSpacing/>
    </w:pPr>
  </w:style>
  <w:style w:type="character" w:customStyle="1" w:styleId="Heading1Char">
    <w:name w:val="Heading 1 Char"/>
    <w:aliases w:val="COMMON NAME Char,common Char"/>
    <w:basedOn w:val="DefaultParagraphFont"/>
    <w:link w:val="Heading1"/>
    <w:rsid w:val="006C78DA"/>
    <w:rPr>
      <w:rFonts w:ascii="Arial" w:hAnsi="Arial"/>
      <w:caps/>
      <w:lang w:eastAsia="ja-JP"/>
    </w:rPr>
  </w:style>
  <w:style w:type="character" w:customStyle="1" w:styleId="HeaderChar">
    <w:name w:val="Header Char"/>
    <w:basedOn w:val="DefaultParagraphFont"/>
    <w:link w:val="Header"/>
    <w:uiPriority w:val="99"/>
    <w:rsid w:val="008A652B"/>
    <w:rPr>
      <w:rFonts w:ascii="Arial" w:hAnsi="Arial"/>
      <w:lang w:val="fr-FR"/>
    </w:rPr>
  </w:style>
  <w:style w:type="character" w:customStyle="1" w:styleId="Heading2Char">
    <w:name w:val="Heading 2 Char"/>
    <w:aliases w:val="VARIETY Char,variety Char"/>
    <w:link w:val="Heading2"/>
    <w:locked/>
    <w:rsid w:val="008A652B"/>
    <w:rPr>
      <w:rFonts w:ascii="Arial" w:hAnsi="Arial"/>
      <w:u w:val="single"/>
    </w:rPr>
  </w:style>
  <w:style w:type="character" w:customStyle="1" w:styleId="Heading4Char">
    <w:name w:val="Heading 4 Char"/>
    <w:link w:val="Heading4"/>
    <w:rsid w:val="008A652B"/>
    <w:rPr>
      <w:rFonts w:ascii="Arial" w:hAnsi="Arial"/>
      <w:u w:val="single"/>
      <w:lang w:val="fr-FR"/>
    </w:rPr>
  </w:style>
  <w:style w:type="character" w:customStyle="1" w:styleId="Heading3Char">
    <w:name w:val="Heading 3 Char"/>
    <w:basedOn w:val="DefaultParagraphFont"/>
    <w:link w:val="Heading3"/>
    <w:rsid w:val="008A652B"/>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8\template\BMT_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BMT_18</Template>
  <TotalTime>0</TotalTime>
  <Pages>8</Pages>
  <Words>3709</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dc:title>
  <dc:creator>MOTOMURA Tomochika</dc:creator>
  <cp:lastModifiedBy>MAY Jessica</cp:lastModifiedBy>
  <cp:revision>49</cp:revision>
  <cp:lastPrinted>2016-11-22T16:03:00Z</cp:lastPrinted>
  <dcterms:created xsi:type="dcterms:W3CDTF">2019-09-19T19:06:00Z</dcterms:created>
  <dcterms:modified xsi:type="dcterms:W3CDTF">2019-10-07T08:55:00Z</dcterms:modified>
</cp:coreProperties>
</file>