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DA4499" w:rsidP="00DA4499">
            <w:pPr>
              <w:pStyle w:val="Sessiontc"/>
            </w:pPr>
            <w:r>
              <w:t xml:space="preserve">Working Group on Biochemical and Molecular Techniques </w:t>
            </w:r>
            <w:r>
              <w:br/>
              <w:t>and DNA-Profiling in Particular</w:t>
            </w:r>
          </w:p>
          <w:p w:rsidR="00EB4E9C" w:rsidRPr="00DC3802" w:rsidRDefault="00D5634B" w:rsidP="00D5634B">
            <w:pPr>
              <w:pStyle w:val="Sessiontcplacedate"/>
              <w:rPr>
                <w:sz w:val="22"/>
              </w:rPr>
            </w:pPr>
            <w:r>
              <w:t>Eigh</w:t>
            </w:r>
            <w:r w:rsidR="00624E05">
              <w:t>teenth</w:t>
            </w:r>
            <w:r w:rsidR="00624E05" w:rsidRPr="00DA4973">
              <w:t xml:space="preserve"> Session</w:t>
            </w:r>
            <w:r w:rsidR="00EB4E9C" w:rsidRPr="00DA4973">
              <w:br/>
            </w:r>
            <w:r>
              <w:t>Hangzhou, China, October 16 to 18, 2019</w:t>
            </w:r>
          </w:p>
        </w:tc>
        <w:tc>
          <w:tcPr>
            <w:tcW w:w="3127" w:type="dxa"/>
          </w:tcPr>
          <w:p w:rsidR="00EB4E9C" w:rsidRDefault="00D5634B" w:rsidP="003C7FBE">
            <w:pPr>
              <w:pStyle w:val="Doccode"/>
            </w:pPr>
            <w:r>
              <w:t>BMT/18</w:t>
            </w:r>
            <w:r w:rsidR="00EB4E9C" w:rsidRPr="00AC2883">
              <w:t>/</w:t>
            </w:r>
            <w:r w:rsidR="00DE3445">
              <w:t>12</w:t>
            </w:r>
          </w:p>
          <w:p w:rsidR="00DA4499" w:rsidRPr="003C7FBE" w:rsidRDefault="00DA4499" w:rsidP="003C7FBE">
            <w:pPr>
              <w:pStyle w:val="Doccode"/>
            </w:pP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E627E1">
            <w:pPr>
              <w:pStyle w:val="Docoriginal"/>
            </w:pPr>
            <w:r w:rsidRPr="00AC2883">
              <w:t>Date</w:t>
            </w:r>
            <w:r w:rsidRPr="00E627E1">
              <w:t>:</w:t>
            </w:r>
            <w:r w:rsidR="00D5634B" w:rsidRPr="00E627E1">
              <w:rPr>
                <w:b w:val="0"/>
                <w:spacing w:val="0"/>
              </w:rPr>
              <w:t xml:space="preserve">  </w:t>
            </w:r>
            <w:r w:rsidR="00E627E1" w:rsidRPr="00E627E1">
              <w:rPr>
                <w:b w:val="0"/>
                <w:spacing w:val="0"/>
              </w:rPr>
              <w:t>September 5</w:t>
            </w:r>
            <w:r w:rsidR="007954A9" w:rsidRPr="00E627E1">
              <w:rPr>
                <w:b w:val="0"/>
                <w:spacing w:val="0"/>
              </w:rPr>
              <w:t>, 2019</w:t>
            </w:r>
            <w:bookmarkStart w:id="0" w:name="_GoBack"/>
            <w:bookmarkEnd w:id="0"/>
          </w:p>
        </w:tc>
      </w:tr>
    </w:tbl>
    <w:p w:rsidR="000D7780" w:rsidRPr="006A644A" w:rsidRDefault="00DE3445" w:rsidP="006A644A">
      <w:pPr>
        <w:pStyle w:val="Titleofdoc0"/>
      </w:pPr>
      <w:bookmarkStart w:id="1" w:name="TitleOfDoc"/>
      <w:bookmarkEnd w:id="1"/>
      <w:r w:rsidRPr="00DE3445">
        <w:t>Next generation variety testing for improved cropping on European farmland (InnoVar)</w:t>
      </w:r>
    </w:p>
    <w:p w:rsidR="006A644A" w:rsidRPr="006A644A" w:rsidRDefault="00AE0EF1" w:rsidP="006A644A">
      <w:pPr>
        <w:pStyle w:val="preparedby1"/>
        <w:jc w:val="left"/>
      </w:pPr>
      <w:bookmarkStart w:id="2" w:name="Prepared"/>
      <w:bookmarkEnd w:id="2"/>
      <w:r w:rsidRPr="000C4E25">
        <w:t xml:space="preserve">Document </w:t>
      </w:r>
      <w:r w:rsidR="0061555F" w:rsidRPr="000C4E25">
        <w:t xml:space="preserve">prepared by </w:t>
      </w:r>
      <w:r w:rsidR="007954A9" w:rsidRPr="007954A9">
        <w:t xml:space="preserve">an expert from the </w:t>
      </w:r>
      <w:r w:rsidR="00DE3445">
        <w:t>United Kingdom</w:t>
      </w:r>
    </w:p>
    <w:p w:rsidR="00050E16" w:rsidRPr="006A644A" w:rsidRDefault="00050E16" w:rsidP="006A644A">
      <w:pPr>
        <w:pStyle w:val="Disclaimer"/>
      </w:pPr>
      <w:r w:rsidRPr="006A644A">
        <w:t>Disclaimer:  this document does not represent UPOV policies or guidance</w:t>
      </w:r>
    </w:p>
    <w:p w:rsidR="00DE3445" w:rsidRPr="00B87A19" w:rsidRDefault="00520CBE" w:rsidP="00DE3445">
      <w:pPr>
        <w:rPr>
          <w:rFonts w:eastAsia="Calibri"/>
          <w:lang w:val="en-GB"/>
        </w:rPr>
      </w:pPr>
      <w:r w:rsidRPr="00520CBE">
        <w:rPr>
          <w:rFonts w:eastAsia="Calibri"/>
          <w:lang w:val="en-GB"/>
        </w:rPr>
        <w:fldChar w:fldCharType="begin"/>
      </w:r>
      <w:r w:rsidRPr="00520CBE">
        <w:rPr>
          <w:rFonts w:eastAsia="Calibri"/>
          <w:lang w:val="en-GB"/>
        </w:rPr>
        <w:instrText xml:space="preserve"> AUTONUM  </w:instrText>
      </w:r>
      <w:r w:rsidRPr="00520CBE">
        <w:rPr>
          <w:rFonts w:eastAsia="Calibri"/>
          <w:lang w:val="en-GB"/>
        </w:rPr>
        <w:fldChar w:fldCharType="end"/>
      </w:r>
      <w:r w:rsidRPr="00520CBE">
        <w:rPr>
          <w:rFonts w:eastAsia="Calibri"/>
          <w:lang w:val="en-GB"/>
        </w:rPr>
        <w:tab/>
      </w:r>
      <w:proofErr w:type="spellStart"/>
      <w:r w:rsidR="00DE3445" w:rsidRPr="00520CBE">
        <w:rPr>
          <w:rFonts w:eastAsia="Calibri"/>
          <w:lang w:val="en-GB"/>
        </w:rPr>
        <w:t>InnoVar</w:t>
      </w:r>
      <w:proofErr w:type="spellEnd"/>
      <w:r w:rsidR="00DE3445" w:rsidRPr="00520CBE">
        <w:rPr>
          <w:rFonts w:eastAsia="Calibri"/>
          <w:lang w:val="en-GB"/>
        </w:rPr>
        <w:t xml:space="preserve"> (‘Next</w:t>
      </w:r>
      <w:r w:rsidR="00DE3445" w:rsidRPr="00DE3445">
        <w:rPr>
          <w:rFonts w:eastAsia="Calibri"/>
          <w:lang w:val="en-GB"/>
        </w:rPr>
        <w:t xml:space="preserve"> generation variety testing for improved cropping on European farmland’) is a Horizon 2020 ‘Research and Innovation Action’ addressing the topic SFS-29-2018 ‘Innovations in plant variety testing’.  </w:t>
      </w:r>
      <w:proofErr w:type="spellStart"/>
      <w:proofErr w:type="gramStart"/>
      <w:r w:rsidR="00DE3445" w:rsidRPr="00520CBE">
        <w:rPr>
          <w:rFonts w:eastAsia="Calibri"/>
          <w:lang w:val="en-GB"/>
        </w:rPr>
        <w:t>InnoVar</w:t>
      </w:r>
      <w:proofErr w:type="spellEnd"/>
      <w:r w:rsidR="00DE3445" w:rsidRPr="00DE3445">
        <w:rPr>
          <w:rFonts w:eastAsia="Calibri"/>
          <w:lang w:val="en-GB"/>
        </w:rPr>
        <w:t xml:space="preserve"> is coordinated by the </w:t>
      </w:r>
      <w:proofErr w:type="spellStart"/>
      <w:r w:rsidR="00DE3445" w:rsidRPr="00DE3445">
        <w:rPr>
          <w:rFonts w:eastAsia="Calibri"/>
          <w:lang w:val="en-GB"/>
        </w:rPr>
        <w:t>Agri</w:t>
      </w:r>
      <w:proofErr w:type="spellEnd"/>
      <w:r w:rsidR="00DE3445" w:rsidRPr="00DE3445">
        <w:rPr>
          <w:rFonts w:eastAsia="Calibri"/>
          <w:lang w:val="en-GB"/>
        </w:rPr>
        <w:t>-Food and Biosciences Institute (U</w:t>
      </w:r>
      <w:r w:rsidR="009012F7">
        <w:rPr>
          <w:rFonts w:eastAsia="Calibri"/>
          <w:lang w:val="en-GB"/>
        </w:rPr>
        <w:t xml:space="preserve">nited </w:t>
      </w:r>
      <w:r w:rsidR="00DE3445" w:rsidRPr="00DE3445">
        <w:rPr>
          <w:rFonts w:eastAsia="Calibri"/>
          <w:lang w:val="en-GB"/>
        </w:rPr>
        <w:t>K</w:t>
      </w:r>
      <w:r w:rsidR="009012F7">
        <w:rPr>
          <w:rFonts w:eastAsia="Calibri"/>
          <w:lang w:val="en-GB"/>
        </w:rPr>
        <w:t>ingdom</w:t>
      </w:r>
      <w:r w:rsidR="00DE3445" w:rsidRPr="00DE3445">
        <w:rPr>
          <w:rFonts w:eastAsia="Calibri"/>
          <w:lang w:val="en-GB"/>
        </w:rPr>
        <w:t>)</w:t>
      </w:r>
      <w:proofErr w:type="gramEnd"/>
      <w:r w:rsidR="00DE3445" w:rsidRPr="00DE3445">
        <w:rPr>
          <w:rFonts w:eastAsia="Calibri"/>
          <w:lang w:val="en-GB"/>
        </w:rPr>
        <w:t xml:space="preserve"> with funding of almost €8M shared between 21 partners in 10 </w:t>
      </w:r>
      <w:r w:rsidR="00DE3445" w:rsidRPr="00B87A19">
        <w:rPr>
          <w:rFonts w:eastAsia="Calibri"/>
          <w:lang w:val="en-GB"/>
        </w:rPr>
        <w:t>countries</w:t>
      </w:r>
      <w:r w:rsidR="00F24498" w:rsidRPr="00B87A19">
        <w:rPr>
          <w:rFonts w:eastAsia="Calibri"/>
          <w:lang w:val="en-GB"/>
        </w:rPr>
        <w:t xml:space="preserve"> (</w:t>
      </w:r>
      <w:r w:rsidRPr="00B87A19">
        <w:rPr>
          <w:rFonts w:eastAsia="Calibri"/>
          <w:lang w:val="en-GB"/>
        </w:rPr>
        <w:t>see A</w:t>
      </w:r>
      <w:r w:rsidR="00CF62EC" w:rsidRPr="00B87A19">
        <w:rPr>
          <w:rFonts w:eastAsia="Calibri"/>
          <w:lang w:val="en-GB"/>
        </w:rPr>
        <w:t>nnex</w:t>
      </w:r>
      <w:r w:rsidR="00F24498" w:rsidRPr="00B87A19">
        <w:rPr>
          <w:rFonts w:eastAsia="Calibri"/>
          <w:lang w:val="en-GB"/>
        </w:rPr>
        <w:t>)</w:t>
      </w:r>
      <w:r w:rsidR="00DE3445" w:rsidRPr="00B87A19">
        <w:rPr>
          <w:rFonts w:eastAsia="Calibri"/>
          <w:lang w:val="en-GB"/>
        </w:rPr>
        <w:t>.  Beginning in October 2019, the project will continue for 4½ years.</w:t>
      </w:r>
    </w:p>
    <w:p w:rsidR="00DE3445" w:rsidRPr="00B87A19" w:rsidRDefault="00DE3445" w:rsidP="00DE3445">
      <w:pPr>
        <w:rPr>
          <w:rFonts w:eastAsia="Calibri"/>
          <w:lang w:val="en-GB"/>
        </w:rPr>
      </w:pPr>
    </w:p>
    <w:p w:rsidR="00DE3445" w:rsidRDefault="00520CBE" w:rsidP="00DE3445">
      <w:pPr>
        <w:rPr>
          <w:rFonts w:eastAsia="Calibri"/>
          <w:lang w:val="en-GB"/>
        </w:rPr>
      </w:pPr>
      <w:r w:rsidRPr="00B87A19">
        <w:rPr>
          <w:rFonts w:eastAsia="Calibri"/>
          <w:lang w:val="en-GB"/>
        </w:rPr>
        <w:fldChar w:fldCharType="begin"/>
      </w:r>
      <w:r w:rsidRPr="00B87A19">
        <w:rPr>
          <w:rFonts w:eastAsia="Calibri"/>
          <w:lang w:val="en-GB"/>
        </w:rPr>
        <w:instrText xml:space="preserve"> AUTONUM  </w:instrText>
      </w:r>
      <w:r w:rsidRPr="00B87A19">
        <w:rPr>
          <w:rFonts w:eastAsia="Calibri"/>
          <w:lang w:val="en-GB"/>
        </w:rPr>
        <w:fldChar w:fldCharType="end"/>
      </w:r>
      <w:r w:rsidRPr="00B87A19">
        <w:rPr>
          <w:rFonts w:eastAsia="Calibri"/>
          <w:lang w:val="en-GB"/>
        </w:rPr>
        <w:tab/>
      </w:r>
      <w:r w:rsidR="00DE3445" w:rsidRPr="00B87A19">
        <w:rPr>
          <w:rFonts w:eastAsia="Calibri"/>
          <w:lang w:val="en-GB"/>
        </w:rPr>
        <w:t xml:space="preserve">Variety evaluation systems have evolved in response to changing economic and environmental influences on farming and to drivers and advances in science and technology.  Since 1995, the Community Plant Variety Office </w:t>
      </w:r>
      <w:r w:rsidR="009012F7" w:rsidRPr="00B87A19">
        <w:rPr>
          <w:rFonts w:eastAsia="Calibri"/>
          <w:lang w:val="en-GB"/>
        </w:rPr>
        <w:t xml:space="preserve">of the European Union </w:t>
      </w:r>
      <w:r w:rsidR="00DE3445" w:rsidRPr="00B87A19">
        <w:rPr>
          <w:rFonts w:eastAsia="Calibri"/>
          <w:lang w:val="en-GB"/>
        </w:rPr>
        <w:t xml:space="preserve">(CPVO) has implemented and applied the system for the protection of plant variety rights established by European Commission legislation, </w:t>
      </w:r>
      <w:r w:rsidR="00093E1D" w:rsidRPr="00B87A19">
        <w:rPr>
          <w:rFonts w:eastAsia="Calibri"/>
          <w:lang w:val="en-GB"/>
        </w:rPr>
        <w:t>according to the 1991 Act of the International Convention</w:t>
      </w:r>
      <w:r w:rsidR="00093E1D" w:rsidRPr="00B87A19">
        <w:t xml:space="preserve"> </w:t>
      </w:r>
      <w:r w:rsidR="00093E1D" w:rsidRPr="00B87A19">
        <w:rPr>
          <w:rFonts w:eastAsia="Calibri"/>
        </w:rPr>
        <w:t>for the Protection of New Varieties of Plants</w:t>
      </w:r>
      <w:r w:rsidR="00DE3445" w:rsidRPr="00B87A19">
        <w:rPr>
          <w:rFonts w:eastAsia="Calibri"/>
          <w:lang w:val="en-GB"/>
        </w:rPr>
        <w:t xml:space="preserve"> (UPOV</w:t>
      </w:r>
      <w:r w:rsidR="00093E1D" w:rsidRPr="00B87A19">
        <w:rPr>
          <w:rFonts w:eastAsia="Calibri"/>
          <w:lang w:val="en-GB"/>
        </w:rPr>
        <w:t xml:space="preserve"> Convention</w:t>
      </w:r>
      <w:r w:rsidR="00DE3445" w:rsidRPr="00B87A19">
        <w:rPr>
          <w:rFonts w:eastAsia="Calibri"/>
          <w:lang w:val="en-GB"/>
        </w:rPr>
        <w:t>).  Currently</w:t>
      </w:r>
      <w:r w:rsidR="00DE3445" w:rsidRPr="00DE3445">
        <w:rPr>
          <w:rFonts w:eastAsia="Calibri"/>
          <w:lang w:val="en-GB"/>
        </w:rPr>
        <w:t xml:space="preserve">, rapid developments in genomics, </w:t>
      </w:r>
      <w:proofErr w:type="spellStart"/>
      <w:r w:rsidR="00DE3445" w:rsidRPr="00DE3445">
        <w:rPr>
          <w:rFonts w:eastAsia="Calibri"/>
          <w:lang w:val="en-GB"/>
        </w:rPr>
        <w:t>phenomics</w:t>
      </w:r>
      <w:proofErr w:type="spellEnd"/>
      <w:r w:rsidR="00DE3445" w:rsidRPr="00DE3445">
        <w:rPr>
          <w:rFonts w:eastAsia="Calibri"/>
          <w:lang w:val="en-GB"/>
        </w:rPr>
        <w:t xml:space="preserve">, </w:t>
      </w:r>
      <w:proofErr w:type="gramStart"/>
      <w:r w:rsidR="00DE3445" w:rsidRPr="00DE3445">
        <w:rPr>
          <w:rFonts w:eastAsia="Calibri"/>
          <w:lang w:val="en-GB"/>
        </w:rPr>
        <w:t>molecular</w:t>
      </w:r>
      <w:proofErr w:type="gramEnd"/>
      <w:r w:rsidR="00DE3445" w:rsidRPr="00DE3445">
        <w:rPr>
          <w:rFonts w:eastAsia="Calibri"/>
          <w:lang w:val="en-GB"/>
        </w:rPr>
        <w:t xml:space="preserve"> biology and digital technologies are opening up a multitude of opportunities for a ‘next generation’ and ongoing evolution of DUS processes. In parallel, there is a requirement to measure the response of plant varieties (VCU) to environmental challenges including climate change and the associated variability in both biotic and abiotic </w:t>
      </w:r>
      <w:proofErr w:type="gramStart"/>
      <w:r w:rsidR="00DE3445" w:rsidRPr="00DE3445">
        <w:rPr>
          <w:rFonts w:eastAsia="Calibri"/>
          <w:lang w:val="en-GB"/>
        </w:rPr>
        <w:t>stresses which</w:t>
      </w:r>
      <w:proofErr w:type="gramEnd"/>
      <w:r w:rsidR="00DE3445" w:rsidRPr="00DE3445">
        <w:rPr>
          <w:rFonts w:eastAsia="Calibri"/>
          <w:lang w:val="en-GB"/>
        </w:rPr>
        <w:t xml:space="preserve"> are increasingly affecting crops, grassland and horticulture. </w:t>
      </w:r>
    </w:p>
    <w:p w:rsidR="00DE3445" w:rsidRPr="00DE3445" w:rsidRDefault="00DE3445" w:rsidP="00DE3445">
      <w:pPr>
        <w:rPr>
          <w:rFonts w:eastAsia="Calibri"/>
          <w:lang w:val="en-GB"/>
        </w:rPr>
      </w:pPr>
    </w:p>
    <w:p w:rsidR="00DE3445" w:rsidRDefault="00520CBE" w:rsidP="00DE3445">
      <w:pPr>
        <w:rPr>
          <w:rFonts w:eastAsia="Calibri"/>
          <w:lang w:val="en-GB"/>
        </w:rPr>
      </w:pPr>
      <w:r>
        <w:rPr>
          <w:rFonts w:eastAsia="Calibri"/>
          <w:lang w:val="en-GB"/>
        </w:rPr>
        <w:fldChar w:fldCharType="begin"/>
      </w:r>
      <w:r>
        <w:rPr>
          <w:rFonts w:eastAsia="Calibri"/>
          <w:lang w:val="en-GB"/>
        </w:rPr>
        <w:instrText xml:space="preserve"> AUTONUM  </w:instrText>
      </w:r>
      <w:r>
        <w:rPr>
          <w:rFonts w:eastAsia="Calibri"/>
          <w:lang w:val="en-GB"/>
        </w:rPr>
        <w:fldChar w:fldCharType="end"/>
      </w:r>
      <w:r>
        <w:rPr>
          <w:rFonts w:eastAsia="Calibri"/>
          <w:lang w:val="en-GB"/>
        </w:rPr>
        <w:tab/>
      </w:r>
      <w:r w:rsidR="00DE3445" w:rsidRPr="00DE3445">
        <w:rPr>
          <w:rFonts w:eastAsia="Calibri"/>
          <w:lang w:val="en-GB"/>
        </w:rPr>
        <w:t>Using wheat as a test crop</w:t>
      </w:r>
      <w:r w:rsidR="00DE3445" w:rsidRPr="00520CBE">
        <w:rPr>
          <w:rFonts w:eastAsia="Calibri"/>
          <w:lang w:val="en-GB"/>
        </w:rPr>
        <w:t xml:space="preserve">, </w:t>
      </w:r>
      <w:proofErr w:type="spellStart"/>
      <w:r w:rsidR="00DE3445" w:rsidRPr="00520CBE">
        <w:rPr>
          <w:rFonts w:eastAsia="Calibri"/>
          <w:lang w:val="en-GB"/>
        </w:rPr>
        <w:t>InnoVar</w:t>
      </w:r>
      <w:proofErr w:type="spellEnd"/>
      <w:r w:rsidR="00DE3445" w:rsidRPr="00520CBE">
        <w:rPr>
          <w:rFonts w:eastAsia="Calibri"/>
          <w:lang w:val="en-GB"/>
        </w:rPr>
        <w:t xml:space="preserve"> will devise</w:t>
      </w:r>
      <w:r w:rsidR="00DE3445" w:rsidRPr="00DE3445">
        <w:rPr>
          <w:rFonts w:eastAsia="Calibri"/>
          <w:lang w:val="en-GB"/>
        </w:rPr>
        <w:t xml:space="preserve"> and demonstrate improved, efficient methods </w:t>
      </w:r>
      <w:proofErr w:type="gramStart"/>
      <w:r w:rsidR="00DE3445" w:rsidRPr="00DE3445">
        <w:rPr>
          <w:rFonts w:eastAsia="Calibri"/>
          <w:lang w:val="en-GB"/>
        </w:rPr>
        <w:t>of</w:t>
      </w:r>
      <w:proofErr w:type="gramEnd"/>
      <w:r w:rsidR="00DE3445" w:rsidRPr="00DE3445">
        <w:rPr>
          <w:rFonts w:eastAsia="Calibri"/>
          <w:lang w:val="en-GB"/>
        </w:rPr>
        <w:t xml:space="preserve">: </w:t>
      </w:r>
    </w:p>
    <w:p w:rsidR="00DE3445" w:rsidRPr="00DE3445" w:rsidRDefault="00DE3445" w:rsidP="00DE3445">
      <w:pPr>
        <w:rPr>
          <w:rFonts w:eastAsia="Calibri"/>
          <w:lang w:val="en-GB"/>
        </w:rPr>
      </w:pPr>
    </w:p>
    <w:p w:rsidR="00DE3445" w:rsidRPr="00DE3445" w:rsidRDefault="00DE3445" w:rsidP="00DE3445">
      <w:pPr>
        <w:pStyle w:val="ListParagraph"/>
        <w:numPr>
          <w:ilvl w:val="0"/>
          <w:numId w:val="12"/>
        </w:numPr>
        <w:rPr>
          <w:rFonts w:eastAsia="Calibri"/>
          <w:lang w:val="en-GB"/>
        </w:rPr>
      </w:pPr>
      <w:r w:rsidRPr="00DE3445">
        <w:rPr>
          <w:rFonts w:eastAsia="Calibri"/>
          <w:lang w:val="en-GB"/>
        </w:rPr>
        <w:t xml:space="preserve">integrating new science into DUS and VCU testing processes, </w:t>
      </w:r>
    </w:p>
    <w:p w:rsidR="00DE3445" w:rsidRPr="00DE3445" w:rsidRDefault="00DE3445" w:rsidP="00514431">
      <w:pPr>
        <w:rPr>
          <w:rFonts w:eastAsia="Calibri"/>
          <w:lang w:val="en-GB"/>
        </w:rPr>
      </w:pPr>
    </w:p>
    <w:p w:rsidR="00DE3445" w:rsidRPr="00DE3445" w:rsidRDefault="00DE3445" w:rsidP="00DE3445">
      <w:pPr>
        <w:pStyle w:val="ListParagraph"/>
        <w:numPr>
          <w:ilvl w:val="0"/>
          <w:numId w:val="12"/>
        </w:numPr>
        <w:rPr>
          <w:rFonts w:eastAsia="Calibri"/>
          <w:lang w:val="en-GB"/>
        </w:rPr>
      </w:pPr>
      <w:r w:rsidRPr="00DE3445">
        <w:rPr>
          <w:rFonts w:eastAsia="Calibri"/>
          <w:lang w:val="en-GB"/>
        </w:rPr>
        <w:t xml:space="preserve">combining DUS and VCU characters, and </w:t>
      </w:r>
    </w:p>
    <w:p w:rsidR="00DE3445" w:rsidRPr="00DE3445" w:rsidRDefault="00DE3445" w:rsidP="00DE3445">
      <w:pPr>
        <w:rPr>
          <w:rFonts w:eastAsia="Calibri"/>
          <w:lang w:val="en-GB"/>
        </w:rPr>
      </w:pPr>
    </w:p>
    <w:p w:rsidR="00DE3445" w:rsidRDefault="00DE3445" w:rsidP="00DE3445">
      <w:pPr>
        <w:ind w:left="567"/>
        <w:rPr>
          <w:rFonts w:eastAsia="Calibri"/>
          <w:lang w:val="en-GB"/>
        </w:rPr>
      </w:pPr>
      <w:r w:rsidRPr="00DE3445">
        <w:rPr>
          <w:rFonts w:eastAsia="Calibri"/>
          <w:lang w:val="en-GB"/>
        </w:rPr>
        <w:t xml:space="preserve">(3) </w:t>
      </w:r>
      <w:proofErr w:type="gramStart"/>
      <w:r w:rsidRPr="00DE3445">
        <w:rPr>
          <w:rFonts w:eastAsia="Calibri"/>
          <w:lang w:val="en-GB"/>
        </w:rPr>
        <w:t>incorporating</w:t>
      </w:r>
      <w:proofErr w:type="gramEnd"/>
      <w:r w:rsidRPr="00DE3445">
        <w:rPr>
          <w:rFonts w:eastAsia="Calibri"/>
          <w:lang w:val="en-GB"/>
        </w:rPr>
        <w:t xml:space="preserve"> variety information into decision-making on-farm. </w:t>
      </w:r>
    </w:p>
    <w:p w:rsidR="00DE3445" w:rsidRPr="00DE3445" w:rsidRDefault="00DE3445" w:rsidP="00DE3445">
      <w:pPr>
        <w:ind w:left="567"/>
        <w:rPr>
          <w:rFonts w:eastAsia="Calibri"/>
          <w:lang w:val="en-GB"/>
        </w:rPr>
      </w:pPr>
    </w:p>
    <w:p w:rsidR="00DE3445" w:rsidRPr="00520CBE" w:rsidRDefault="004569C4" w:rsidP="00662E73">
      <w:pPr>
        <w:rPr>
          <w:rFonts w:eastAsia="Calibri"/>
          <w:lang w:val="en-GB"/>
        </w:rPr>
      </w:pPr>
      <w:r>
        <w:rPr>
          <w:rFonts w:eastAsia="Calibri"/>
          <w:lang w:val="en-GB"/>
        </w:rPr>
        <w:fldChar w:fldCharType="begin"/>
      </w:r>
      <w:r>
        <w:rPr>
          <w:rFonts w:eastAsia="Calibri"/>
          <w:lang w:val="en-GB"/>
        </w:rPr>
        <w:instrText xml:space="preserve"> AUTONUM  </w:instrText>
      </w:r>
      <w:r>
        <w:rPr>
          <w:rFonts w:eastAsia="Calibri"/>
          <w:lang w:val="en-GB"/>
        </w:rPr>
        <w:fldChar w:fldCharType="end"/>
      </w:r>
      <w:r>
        <w:rPr>
          <w:rFonts w:eastAsia="Calibri"/>
          <w:lang w:val="en-GB"/>
        </w:rPr>
        <w:tab/>
      </w:r>
      <w:proofErr w:type="gramStart"/>
      <w:r w:rsidR="00DE3445" w:rsidRPr="00DE3445">
        <w:rPr>
          <w:rFonts w:eastAsia="Calibri"/>
          <w:lang w:val="en-GB"/>
        </w:rPr>
        <w:t>Ultimately</w:t>
      </w:r>
      <w:proofErr w:type="gramEnd"/>
      <w:r w:rsidR="00DE3445" w:rsidRPr="00DE3445">
        <w:rPr>
          <w:rFonts w:eastAsia="Calibri"/>
          <w:lang w:val="en-GB"/>
        </w:rPr>
        <w:t xml:space="preserve"> the tools and models developed will enable assessors to allocate varieties into High Performance Low Risk (HPLR) categories based on their field performance under variable input regimes and their target market environmental conditions. </w:t>
      </w:r>
      <w:proofErr w:type="gramStart"/>
      <w:r w:rsidR="00DE3445" w:rsidRPr="00DE3445">
        <w:rPr>
          <w:rFonts w:eastAsia="Calibri"/>
          <w:lang w:val="en-GB"/>
        </w:rPr>
        <w:t>This</w:t>
      </w:r>
      <w:proofErr w:type="gramEnd"/>
      <w:r w:rsidR="00DE3445" w:rsidRPr="00DE3445">
        <w:rPr>
          <w:rFonts w:eastAsia="Calibri"/>
          <w:lang w:val="en-GB"/>
        </w:rPr>
        <w:t xml:space="preserve"> HPLR categorisation is a novel branding that will be developed by </w:t>
      </w:r>
      <w:proofErr w:type="spellStart"/>
      <w:r w:rsidR="00DE3445" w:rsidRPr="00520CBE">
        <w:rPr>
          <w:rFonts w:eastAsia="Calibri"/>
          <w:lang w:val="en-GB"/>
        </w:rPr>
        <w:t>InnoVar</w:t>
      </w:r>
      <w:proofErr w:type="spellEnd"/>
      <w:r w:rsidR="00DE3445" w:rsidRPr="00520CBE">
        <w:rPr>
          <w:rFonts w:eastAsia="Calibri"/>
          <w:lang w:val="en-GB"/>
        </w:rPr>
        <w:t xml:space="preserve"> to promote understanding of ‘fit-for purpose’ varieties and their performance by farmers and growers.</w:t>
      </w:r>
    </w:p>
    <w:p w:rsidR="00662E73" w:rsidRPr="00520CBE" w:rsidRDefault="00662E73" w:rsidP="00662E73">
      <w:pPr>
        <w:rPr>
          <w:rFonts w:eastAsia="Calibri"/>
          <w:lang w:val="en-GB"/>
        </w:rPr>
      </w:pPr>
    </w:p>
    <w:p w:rsidR="00DE3445" w:rsidRDefault="004569C4" w:rsidP="00662E73">
      <w:pPr>
        <w:rPr>
          <w:rFonts w:eastAsia="Calibri"/>
          <w:lang w:val="en-GB"/>
        </w:rPr>
      </w:pPr>
      <w:r>
        <w:rPr>
          <w:rFonts w:eastAsia="Calibri"/>
          <w:iCs/>
          <w:lang w:val="en-GB"/>
        </w:rPr>
        <w:fldChar w:fldCharType="begin"/>
      </w:r>
      <w:r>
        <w:rPr>
          <w:rFonts w:eastAsia="Calibri"/>
          <w:iCs/>
          <w:lang w:val="en-GB"/>
        </w:rPr>
        <w:instrText xml:space="preserve"> AUTONUM  </w:instrText>
      </w:r>
      <w:r>
        <w:rPr>
          <w:rFonts w:eastAsia="Calibri"/>
          <w:iCs/>
          <w:lang w:val="en-GB"/>
        </w:rPr>
        <w:fldChar w:fldCharType="end"/>
      </w:r>
      <w:r>
        <w:rPr>
          <w:rFonts w:eastAsia="Calibri"/>
          <w:iCs/>
          <w:lang w:val="en-GB"/>
        </w:rPr>
        <w:tab/>
      </w:r>
      <w:proofErr w:type="spellStart"/>
      <w:proofErr w:type="gramStart"/>
      <w:r w:rsidR="00DE3445" w:rsidRPr="00520CBE">
        <w:rPr>
          <w:rFonts w:eastAsia="Calibri"/>
          <w:iCs/>
          <w:lang w:val="en-GB"/>
        </w:rPr>
        <w:t>InnoVar</w:t>
      </w:r>
      <w:proofErr w:type="spellEnd"/>
      <w:r w:rsidR="00DE3445" w:rsidRPr="00520CBE">
        <w:rPr>
          <w:rFonts w:eastAsia="Calibri"/>
          <w:i/>
          <w:iCs/>
          <w:lang w:val="en-GB"/>
        </w:rPr>
        <w:t xml:space="preserve"> </w:t>
      </w:r>
      <w:r w:rsidR="00DE3445" w:rsidRPr="00520CBE">
        <w:rPr>
          <w:rFonts w:eastAsia="Calibri"/>
          <w:lang w:val="en-GB"/>
        </w:rPr>
        <w:t>will draw together expertise and knowledge from across crop science, bioinformatics, soil science, meteorology, and computer science to develop and deliver methods and tools to achieve greater efficiency in</w:t>
      </w:r>
      <w:r w:rsidR="00DE3445" w:rsidRPr="00DE3445">
        <w:rPr>
          <w:rFonts w:eastAsia="Calibri"/>
          <w:lang w:val="en-GB"/>
        </w:rPr>
        <w:t xml:space="preserve"> the DUS and VCU testing processes and in the use of resources on-farm, enabling the EU and its farmers to maximise the potential of their land, in terms of both yield and environmental sustainability (including adaptation to climate change and environmental resilience).</w:t>
      </w:r>
      <w:proofErr w:type="gramEnd"/>
      <w:r w:rsidR="00DE3445" w:rsidRPr="00DE3445">
        <w:rPr>
          <w:rFonts w:eastAsia="Calibri"/>
          <w:lang w:val="en-GB"/>
        </w:rPr>
        <w:t xml:space="preserve"> Planned dialogue between DUS and VCU specialists and stakeholders on the one </w:t>
      </w:r>
      <w:proofErr w:type="gramStart"/>
      <w:r w:rsidR="00DE3445" w:rsidRPr="00DE3445">
        <w:rPr>
          <w:rFonts w:eastAsia="Calibri"/>
          <w:lang w:val="en-GB"/>
        </w:rPr>
        <w:t>hand and invited experts from across the EU</w:t>
      </w:r>
      <w:proofErr w:type="gramEnd"/>
      <w:r w:rsidR="00DE3445" w:rsidRPr="00DE3445">
        <w:rPr>
          <w:rFonts w:eastAsia="Calibri"/>
          <w:lang w:val="en-GB"/>
        </w:rPr>
        <w:t xml:space="preserve"> and internationally on the other, will ensure appropriate and targeted focus of the work for maximum impact and transfer of research outcomes to growers, breeders, end-users and other stakeholders. </w:t>
      </w:r>
    </w:p>
    <w:p w:rsidR="00662E73" w:rsidRPr="00DE3445" w:rsidRDefault="00662E73" w:rsidP="00662E73">
      <w:pPr>
        <w:rPr>
          <w:rFonts w:eastAsia="Calibri"/>
          <w:lang w:val="en-GB"/>
        </w:rPr>
      </w:pPr>
    </w:p>
    <w:p w:rsidR="00DE3445" w:rsidRDefault="004569C4" w:rsidP="00335256">
      <w:pPr>
        <w:keepNext/>
        <w:rPr>
          <w:rFonts w:eastAsia="Calibri"/>
          <w:lang w:val="en-GB"/>
        </w:rPr>
      </w:pPr>
      <w:r>
        <w:rPr>
          <w:rFonts w:eastAsia="Calibri"/>
          <w:lang w:val="en-GB"/>
        </w:rPr>
        <w:lastRenderedPageBreak/>
        <w:fldChar w:fldCharType="begin"/>
      </w:r>
      <w:r>
        <w:rPr>
          <w:rFonts w:eastAsia="Calibri"/>
          <w:lang w:val="en-GB"/>
        </w:rPr>
        <w:instrText xml:space="preserve"> AUTONUM  </w:instrText>
      </w:r>
      <w:r>
        <w:rPr>
          <w:rFonts w:eastAsia="Calibri"/>
          <w:lang w:val="en-GB"/>
        </w:rPr>
        <w:fldChar w:fldCharType="end"/>
      </w:r>
      <w:r>
        <w:rPr>
          <w:rFonts w:eastAsia="Calibri"/>
          <w:lang w:val="en-GB"/>
        </w:rPr>
        <w:tab/>
      </w:r>
      <w:r w:rsidR="00DE3445" w:rsidRPr="00DE3445">
        <w:rPr>
          <w:rFonts w:eastAsia="Calibri"/>
          <w:lang w:val="en-GB"/>
        </w:rPr>
        <w:t>The objectives are to:</w:t>
      </w:r>
    </w:p>
    <w:p w:rsidR="00662E73" w:rsidRPr="00DE3445" w:rsidRDefault="00662E73" w:rsidP="00335256">
      <w:pPr>
        <w:keepNext/>
        <w:rPr>
          <w:rFonts w:eastAsia="Calibri"/>
          <w:lang w:val="en-GB"/>
        </w:rPr>
      </w:pPr>
    </w:p>
    <w:p w:rsidR="00DE3445" w:rsidRDefault="00DE3445" w:rsidP="00335256">
      <w:pPr>
        <w:pStyle w:val="ListParagraph"/>
        <w:keepNext/>
        <w:numPr>
          <w:ilvl w:val="0"/>
          <w:numId w:val="13"/>
        </w:numPr>
        <w:rPr>
          <w:rFonts w:eastAsia="Calibri"/>
          <w:lang w:val="en-GB"/>
        </w:rPr>
      </w:pPr>
      <w:r w:rsidRPr="00662E73">
        <w:rPr>
          <w:rFonts w:eastAsia="Calibri"/>
          <w:lang w:val="en-GB"/>
        </w:rPr>
        <w:t xml:space="preserve">Identify crop characteristics and sustainability </w:t>
      </w:r>
      <w:proofErr w:type="gramStart"/>
      <w:r w:rsidRPr="00662E73">
        <w:rPr>
          <w:rFonts w:eastAsia="Calibri"/>
          <w:lang w:val="en-GB"/>
        </w:rPr>
        <w:t>criteria which</w:t>
      </w:r>
      <w:proofErr w:type="gramEnd"/>
      <w:r w:rsidRPr="00662E73">
        <w:rPr>
          <w:rFonts w:eastAsia="Calibri"/>
          <w:lang w:val="en-GB"/>
        </w:rPr>
        <w:t xml:space="preserve"> indicate the capacity of varieties to maintain yield under more variable conditions and more sustainable crop management practices. </w:t>
      </w:r>
    </w:p>
    <w:p w:rsidR="00662E73" w:rsidRPr="00662E73" w:rsidRDefault="00662E73" w:rsidP="00335256">
      <w:pPr>
        <w:keepNext/>
        <w:rPr>
          <w:rFonts w:eastAsia="Calibri"/>
          <w:lang w:val="en-GB"/>
        </w:rPr>
      </w:pPr>
    </w:p>
    <w:p w:rsidR="00DE3445" w:rsidRDefault="00DE3445" w:rsidP="00335256">
      <w:pPr>
        <w:pStyle w:val="ListParagraph"/>
        <w:keepNext/>
        <w:numPr>
          <w:ilvl w:val="0"/>
          <w:numId w:val="13"/>
        </w:numPr>
        <w:rPr>
          <w:rFonts w:eastAsia="Calibri"/>
          <w:lang w:val="en-GB"/>
        </w:rPr>
      </w:pPr>
      <w:r w:rsidRPr="00DE3445">
        <w:rPr>
          <w:rFonts w:eastAsia="Calibri"/>
          <w:lang w:val="en-GB"/>
        </w:rPr>
        <w:t xml:space="preserve">Develop precise, rapid and automated methods for DUS testing in compliance with European/international requirements and the granting of PVR for new varieties. </w:t>
      </w:r>
    </w:p>
    <w:p w:rsidR="00662E73" w:rsidRPr="00662E73" w:rsidRDefault="00662E73" w:rsidP="00662E73">
      <w:pPr>
        <w:rPr>
          <w:rFonts w:eastAsia="Calibri"/>
          <w:lang w:val="en-GB"/>
        </w:rPr>
      </w:pPr>
    </w:p>
    <w:p w:rsidR="00DE3445" w:rsidRDefault="00DE3445" w:rsidP="00662E73">
      <w:pPr>
        <w:pStyle w:val="ListParagraph"/>
        <w:numPr>
          <w:ilvl w:val="0"/>
          <w:numId w:val="13"/>
        </w:numPr>
        <w:rPr>
          <w:rFonts w:eastAsia="Calibri"/>
          <w:lang w:val="en-GB"/>
        </w:rPr>
      </w:pPr>
      <w:r w:rsidRPr="00DE3445">
        <w:rPr>
          <w:rFonts w:eastAsia="Calibri"/>
          <w:lang w:val="en-GB"/>
        </w:rPr>
        <w:t xml:space="preserve">Revise and develop VCU trialling processes to provide data on characters that contribute to the capacity of new varieties to maintain yield under more variable conditions and sustainable crop management practices. </w:t>
      </w:r>
    </w:p>
    <w:p w:rsidR="00662E73" w:rsidRPr="00662E73" w:rsidRDefault="00662E73" w:rsidP="00662E73">
      <w:pPr>
        <w:rPr>
          <w:rFonts w:eastAsia="Calibri"/>
          <w:lang w:val="en-GB"/>
        </w:rPr>
      </w:pPr>
    </w:p>
    <w:p w:rsidR="00DE3445" w:rsidRDefault="00DE3445" w:rsidP="00662E73">
      <w:pPr>
        <w:pStyle w:val="ListParagraph"/>
        <w:numPr>
          <w:ilvl w:val="0"/>
          <w:numId w:val="13"/>
        </w:numPr>
        <w:rPr>
          <w:rFonts w:eastAsia="Calibri"/>
          <w:lang w:val="en-GB"/>
        </w:rPr>
      </w:pPr>
      <w:r w:rsidRPr="00DE3445">
        <w:rPr>
          <w:rFonts w:eastAsia="Calibri"/>
          <w:lang w:val="en-GB"/>
        </w:rPr>
        <w:t xml:space="preserve">Exploit synergies between DUS and VCU testing using genomics, </w:t>
      </w:r>
      <w:proofErr w:type="spellStart"/>
      <w:r w:rsidRPr="00DE3445">
        <w:rPr>
          <w:rFonts w:eastAsia="Calibri"/>
          <w:lang w:val="en-GB"/>
        </w:rPr>
        <w:t>phenomics</w:t>
      </w:r>
      <w:proofErr w:type="spellEnd"/>
      <w:r w:rsidRPr="00DE3445">
        <w:rPr>
          <w:rFonts w:eastAsia="Calibri"/>
          <w:lang w:val="en-GB"/>
        </w:rPr>
        <w:t xml:space="preserve">, weather and soil data, and machine learning to set up databases and reference collections. </w:t>
      </w:r>
    </w:p>
    <w:p w:rsidR="00662E73" w:rsidRPr="00662E73" w:rsidRDefault="00662E73" w:rsidP="00662E73">
      <w:pPr>
        <w:rPr>
          <w:rFonts w:eastAsia="Calibri"/>
          <w:lang w:val="en-GB"/>
        </w:rPr>
      </w:pPr>
    </w:p>
    <w:p w:rsidR="00DE3445" w:rsidRDefault="00DE3445" w:rsidP="00662E73">
      <w:pPr>
        <w:pStyle w:val="ListParagraph"/>
        <w:numPr>
          <w:ilvl w:val="0"/>
          <w:numId w:val="13"/>
        </w:numPr>
        <w:rPr>
          <w:rFonts w:eastAsia="Calibri"/>
          <w:lang w:val="en-GB"/>
        </w:rPr>
      </w:pPr>
      <w:r w:rsidRPr="00DE3445">
        <w:rPr>
          <w:rFonts w:eastAsia="Calibri"/>
          <w:lang w:val="en-GB"/>
        </w:rPr>
        <w:t>Apply the methods and techniques developed for wheat to other cereals and other crop types, including grasses, legumes and maize.</w:t>
      </w:r>
    </w:p>
    <w:p w:rsidR="00662E73" w:rsidRPr="00662E73" w:rsidRDefault="00662E73" w:rsidP="00662E73">
      <w:pPr>
        <w:rPr>
          <w:rFonts w:eastAsia="Calibri"/>
          <w:lang w:val="en-GB"/>
        </w:rPr>
      </w:pPr>
    </w:p>
    <w:p w:rsidR="00DE3445" w:rsidRDefault="00DE3445" w:rsidP="00662E73">
      <w:pPr>
        <w:pStyle w:val="ListParagraph"/>
        <w:numPr>
          <w:ilvl w:val="0"/>
          <w:numId w:val="13"/>
        </w:numPr>
        <w:rPr>
          <w:rFonts w:eastAsia="Calibri"/>
          <w:lang w:val="en-GB"/>
        </w:rPr>
      </w:pPr>
      <w:r w:rsidRPr="00DE3445">
        <w:rPr>
          <w:rFonts w:eastAsia="Calibri"/>
          <w:lang w:val="en-GB"/>
        </w:rPr>
        <w:t xml:space="preserve">Develop new tools for the evaluation and detection of variety characteristics, using genomic, </w:t>
      </w:r>
      <w:proofErr w:type="spellStart"/>
      <w:r w:rsidRPr="00DE3445">
        <w:rPr>
          <w:rFonts w:eastAsia="Calibri"/>
          <w:lang w:val="en-GB"/>
        </w:rPr>
        <w:t>phenomic</w:t>
      </w:r>
      <w:proofErr w:type="spellEnd"/>
      <w:r w:rsidRPr="00DE3445">
        <w:rPr>
          <w:rFonts w:eastAsia="Calibri"/>
          <w:lang w:val="en-GB"/>
        </w:rPr>
        <w:t xml:space="preserve"> and digital technologies. </w:t>
      </w:r>
    </w:p>
    <w:p w:rsidR="00662E73" w:rsidRPr="00662E73" w:rsidRDefault="00662E73" w:rsidP="00662E73">
      <w:pPr>
        <w:rPr>
          <w:rFonts w:eastAsia="Calibri"/>
          <w:lang w:val="en-GB"/>
        </w:rPr>
      </w:pPr>
    </w:p>
    <w:p w:rsidR="00DE3445" w:rsidRDefault="00DE3445" w:rsidP="00662E73">
      <w:pPr>
        <w:pStyle w:val="ListParagraph"/>
        <w:numPr>
          <w:ilvl w:val="0"/>
          <w:numId w:val="13"/>
        </w:numPr>
        <w:rPr>
          <w:rFonts w:eastAsia="Calibri"/>
          <w:lang w:val="en-GB"/>
        </w:rPr>
      </w:pPr>
      <w:proofErr w:type="gramStart"/>
      <w:r w:rsidRPr="00DE3445">
        <w:rPr>
          <w:rFonts w:eastAsia="Calibri"/>
          <w:lang w:val="en-GB"/>
        </w:rPr>
        <w:t>Analyse and review existing systems for providing and delivering information about varieties</w:t>
      </w:r>
      <w:proofErr w:type="gramEnd"/>
      <w:r w:rsidRPr="00DE3445">
        <w:rPr>
          <w:rFonts w:eastAsia="Calibri"/>
          <w:lang w:val="en-GB"/>
        </w:rPr>
        <w:t xml:space="preserve"> and facilitate variety specialists in adopting and developing new effective methods and tools for dissemination. </w:t>
      </w:r>
    </w:p>
    <w:p w:rsidR="00662E73" w:rsidRPr="00662E73" w:rsidRDefault="00662E73" w:rsidP="00662E73">
      <w:pPr>
        <w:rPr>
          <w:rFonts w:eastAsia="Calibri"/>
          <w:lang w:val="en-GB"/>
        </w:rPr>
      </w:pPr>
    </w:p>
    <w:p w:rsidR="00DE3445" w:rsidRDefault="004569C4" w:rsidP="005F387C">
      <w:pPr>
        <w:rPr>
          <w:rFonts w:eastAsia="Calibri"/>
          <w:lang w:val="en-GB"/>
        </w:rPr>
      </w:pPr>
      <w:r>
        <w:rPr>
          <w:rFonts w:eastAsia="Calibri"/>
          <w:lang w:val="en-GB"/>
        </w:rPr>
        <w:fldChar w:fldCharType="begin"/>
      </w:r>
      <w:r>
        <w:rPr>
          <w:rFonts w:eastAsia="Calibri"/>
          <w:lang w:val="en-GB"/>
        </w:rPr>
        <w:instrText xml:space="preserve"> AUTONUM  </w:instrText>
      </w:r>
      <w:r>
        <w:rPr>
          <w:rFonts w:eastAsia="Calibri"/>
          <w:lang w:val="en-GB"/>
        </w:rPr>
        <w:fldChar w:fldCharType="end"/>
      </w:r>
      <w:r>
        <w:rPr>
          <w:rFonts w:eastAsia="Calibri"/>
          <w:lang w:val="en-GB"/>
        </w:rPr>
        <w:tab/>
      </w:r>
      <w:r w:rsidR="00DE3445" w:rsidRPr="00DE3445">
        <w:rPr>
          <w:rFonts w:eastAsia="Calibri"/>
          <w:lang w:val="en-GB"/>
        </w:rPr>
        <w:t xml:space="preserve">These objectives will be addressed in eight work packages using </w:t>
      </w:r>
      <w:proofErr w:type="gramStart"/>
      <w:r w:rsidR="00DE3445" w:rsidRPr="00DE3445">
        <w:rPr>
          <w:rFonts w:eastAsia="Calibri"/>
          <w:lang w:val="en-GB"/>
        </w:rPr>
        <w:t>technologies which</w:t>
      </w:r>
      <w:proofErr w:type="gramEnd"/>
      <w:r w:rsidR="00DE3445" w:rsidRPr="00DE3445">
        <w:rPr>
          <w:rFonts w:eastAsia="Calibri"/>
          <w:lang w:val="en-GB"/>
        </w:rPr>
        <w:t xml:space="preserve"> include:</w:t>
      </w:r>
    </w:p>
    <w:p w:rsidR="005F387C" w:rsidRPr="00DE3445" w:rsidRDefault="005F387C" w:rsidP="005F387C">
      <w:pPr>
        <w:rPr>
          <w:rFonts w:eastAsia="Calibri"/>
          <w:lang w:val="en-GB"/>
        </w:rPr>
      </w:pPr>
    </w:p>
    <w:p w:rsidR="00DE3445" w:rsidRPr="00DE3445" w:rsidRDefault="00DE3445" w:rsidP="00DE3445">
      <w:pPr>
        <w:autoSpaceDE w:val="0"/>
        <w:autoSpaceDN w:val="0"/>
        <w:adjustRightInd w:val="0"/>
        <w:rPr>
          <w:rFonts w:eastAsia="Calibri" w:cs="Arial"/>
          <w:b/>
          <w:lang w:val="en-GB"/>
        </w:rPr>
      </w:pPr>
      <w:r w:rsidRPr="00DE3445">
        <w:rPr>
          <w:rFonts w:eastAsia="Calibri" w:cs="Arial"/>
          <w:noProof/>
        </w:rPr>
        <w:drawing>
          <wp:anchor distT="0" distB="0" distL="114300" distR="114300" simplePos="0" relativeHeight="251659264" behindDoc="0" locked="0" layoutInCell="1" allowOverlap="1" wp14:anchorId="08A77D74" wp14:editId="1C8478A0">
            <wp:simplePos x="0" y="0"/>
            <wp:positionH relativeFrom="margin">
              <wp:posOffset>8255</wp:posOffset>
            </wp:positionH>
            <wp:positionV relativeFrom="paragraph">
              <wp:posOffset>4445</wp:posOffset>
            </wp:positionV>
            <wp:extent cx="3129915" cy="2328545"/>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9915" cy="2328545"/>
                    </a:xfrm>
                    <a:prstGeom prst="rect">
                      <a:avLst/>
                    </a:prstGeom>
                    <a:solidFill>
                      <a:sysClr val="window" lastClr="FFFFFF"/>
                    </a:solidFill>
                  </pic:spPr>
                </pic:pic>
              </a:graphicData>
            </a:graphic>
            <wp14:sizeRelH relativeFrom="page">
              <wp14:pctWidth>0</wp14:pctWidth>
            </wp14:sizeRelH>
            <wp14:sizeRelV relativeFrom="page">
              <wp14:pctHeight>0</wp14:pctHeight>
            </wp14:sizeRelV>
          </wp:anchor>
        </w:drawing>
      </w:r>
      <w:r w:rsidRPr="00DE3445">
        <w:rPr>
          <w:rFonts w:eastAsia="Calibri" w:cs="Arial"/>
          <w:b/>
          <w:lang w:val="en-GB"/>
        </w:rPr>
        <w:t xml:space="preserve">Phenotyping and </w:t>
      </w:r>
      <w:proofErr w:type="spellStart"/>
      <w:r w:rsidRPr="00DE3445">
        <w:rPr>
          <w:rFonts w:eastAsia="Calibri" w:cs="Arial"/>
          <w:b/>
          <w:lang w:val="en-GB"/>
        </w:rPr>
        <w:t>Phenomics</w:t>
      </w:r>
      <w:proofErr w:type="spellEnd"/>
    </w:p>
    <w:p w:rsidR="00DE3445" w:rsidRPr="00DE3445" w:rsidRDefault="00DE3445" w:rsidP="00DE3445">
      <w:pPr>
        <w:autoSpaceDE w:val="0"/>
        <w:autoSpaceDN w:val="0"/>
        <w:adjustRightInd w:val="0"/>
        <w:rPr>
          <w:rFonts w:eastAsia="Calibri" w:cs="Arial"/>
          <w:color w:val="000000"/>
          <w:lang w:val="en-GB"/>
        </w:rPr>
      </w:pPr>
      <w:r w:rsidRPr="00DE3445">
        <w:rPr>
          <w:rFonts w:eastAsia="Calibri" w:cs="Arial"/>
          <w:b/>
          <w:noProof/>
          <w:color w:val="000000"/>
          <w:lang w:val="en-GB" w:eastAsia="en-GB"/>
        </w:rPr>
        <w:t>InnoVar</w:t>
      </w:r>
      <w:r w:rsidRPr="00DE3445">
        <w:rPr>
          <w:rFonts w:eastAsia="Calibri" w:cs="Arial"/>
          <w:noProof/>
          <w:color w:val="000000"/>
          <w:lang w:val="en-GB" w:eastAsia="en-GB"/>
        </w:rPr>
        <w:t xml:space="preserve"> will develop a database based on historic phenotyping data as the foundation.  This will form the basis of a greatly expanded database that will capture standardized phenotyping data from standardized DUS and VCU trials across the EU.  The database will also include phenomic data collected from selected trials using drone-based technologies to systemically assess the development and resilience of varieties. Environmental data will also be collected for field sites including soil and weather information.</w:t>
      </w:r>
    </w:p>
    <w:p w:rsidR="00DE3445" w:rsidRDefault="00DE3445" w:rsidP="00F50E4D">
      <w:pPr>
        <w:rPr>
          <w:rFonts w:eastAsia="Calibri"/>
        </w:rPr>
      </w:pPr>
    </w:p>
    <w:p w:rsidR="005F387C" w:rsidRDefault="005F387C" w:rsidP="00F50E4D">
      <w:pPr>
        <w:rPr>
          <w:rFonts w:eastAsia="Calibri"/>
        </w:rPr>
      </w:pPr>
    </w:p>
    <w:p w:rsidR="005F387C" w:rsidRDefault="005F387C" w:rsidP="00F50E4D">
      <w:pPr>
        <w:rPr>
          <w:rFonts w:eastAsia="Calibri"/>
        </w:rPr>
      </w:pPr>
    </w:p>
    <w:p w:rsidR="005F387C" w:rsidRDefault="005F387C" w:rsidP="00F50E4D">
      <w:pPr>
        <w:rPr>
          <w:rFonts w:eastAsia="Calibri"/>
        </w:rPr>
      </w:pPr>
    </w:p>
    <w:p w:rsidR="005F387C" w:rsidRPr="00DE3445" w:rsidRDefault="005F387C" w:rsidP="00F50E4D">
      <w:pPr>
        <w:rPr>
          <w:rFonts w:eastAsia="Calibri"/>
        </w:rPr>
      </w:pPr>
    </w:p>
    <w:p w:rsidR="00DE3445" w:rsidRPr="009012F7" w:rsidRDefault="00DE3445" w:rsidP="00DE3445">
      <w:pPr>
        <w:autoSpaceDE w:val="0"/>
        <w:autoSpaceDN w:val="0"/>
        <w:adjustRightInd w:val="0"/>
        <w:rPr>
          <w:rFonts w:eastAsia="Calibri" w:cs="Arial"/>
          <w:bCs/>
          <w:color w:val="000000"/>
          <w:u w:val="single"/>
        </w:rPr>
      </w:pPr>
      <w:r w:rsidRPr="009012F7">
        <w:rPr>
          <w:rFonts w:eastAsia="Calibri" w:cs="Arial"/>
          <w:bCs/>
          <w:color w:val="000000"/>
          <w:u w:val="single"/>
        </w:rPr>
        <w:t xml:space="preserve">Genomics </w:t>
      </w:r>
    </w:p>
    <w:p w:rsidR="00F50E4D" w:rsidRPr="004569C4" w:rsidRDefault="00F50E4D" w:rsidP="00DE3445">
      <w:pPr>
        <w:autoSpaceDE w:val="0"/>
        <w:autoSpaceDN w:val="0"/>
        <w:adjustRightInd w:val="0"/>
        <w:rPr>
          <w:rFonts w:eastAsia="Calibri" w:cs="Arial"/>
          <w:color w:val="000000"/>
          <w:lang w:val="en-GB"/>
        </w:rPr>
      </w:pPr>
    </w:p>
    <w:p w:rsidR="00DE3445" w:rsidRPr="004569C4" w:rsidRDefault="004569C4" w:rsidP="00F50E4D">
      <w:pPr>
        <w:rPr>
          <w:rFonts w:eastAsia="Calibri"/>
          <w:lang w:val="en-GB"/>
        </w:rPr>
      </w:pPr>
      <w:r>
        <w:rPr>
          <w:rFonts w:eastAsia="Calibri"/>
        </w:rPr>
        <w:fldChar w:fldCharType="begin"/>
      </w:r>
      <w:r>
        <w:rPr>
          <w:rFonts w:eastAsia="Calibri"/>
        </w:rPr>
        <w:instrText xml:space="preserve"> AUTONUM  </w:instrText>
      </w:r>
      <w:r>
        <w:rPr>
          <w:rFonts w:eastAsia="Calibri"/>
        </w:rPr>
        <w:fldChar w:fldCharType="end"/>
      </w:r>
      <w:r>
        <w:rPr>
          <w:rFonts w:eastAsia="Calibri"/>
        </w:rPr>
        <w:tab/>
      </w:r>
      <w:r w:rsidR="00DE3445" w:rsidRPr="004569C4">
        <w:rPr>
          <w:rFonts w:eastAsia="Calibri"/>
        </w:rPr>
        <w:t xml:space="preserve">Existing and </w:t>
      </w:r>
      <w:r w:rsidR="00DE3445" w:rsidRPr="004569C4">
        <w:rPr>
          <w:rFonts w:eastAsia="Calibri"/>
          <w:i/>
          <w:iCs/>
        </w:rPr>
        <w:t xml:space="preserve">de novo </w:t>
      </w:r>
      <w:r w:rsidR="00DE3445" w:rsidRPr="004569C4">
        <w:rPr>
          <w:rFonts w:eastAsia="Calibri"/>
        </w:rPr>
        <w:t xml:space="preserve">genetic (SNP) data for selected DUS and VCU varieties </w:t>
      </w:r>
      <w:proofErr w:type="gramStart"/>
      <w:r w:rsidR="00DE3445" w:rsidRPr="004569C4">
        <w:rPr>
          <w:rFonts w:eastAsia="Calibri"/>
        </w:rPr>
        <w:t>will be added</w:t>
      </w:r>
      <w:proofErr w:type="gramEnd"/>
      <w:r w:rsidR="00DE3445" w:rsidRPr="004569C4">
        <w:rPr>
          <w:rFonts w:eastAsia="Calibri"/>
        </w:rPr>
        <w:t xml:space="preserve"> to the </w:t>
      </w:r>
      <w:proofErr w:type="spellStart"/>
      <w:r w:rsidR="00DE3445" w:rsidRPr="004569C4">
        <w:rPr>
          <w:rFonts w:eastAsia="Calibri"/>
        </w:rPr>
        <w:t>InnoVar</w:t>
      </w:r>
      <w:proofErr w:type="spellEnd"/>
      <w:r w:rsidR="00DE3445" w:rsidRPr="004569C4">
        <w:rPr>
          <w:rFonts w:eastAsia="Calibri"/>
        </w:rPr>
        <w:t xml:space="preserve"> database.</w:t>
      </w:r>
      <w:r w:rsidR="00DE3445" w:rsidRPr="004569C4">
        <w:rPr>
          <w:rFonts w:eastAsia="Calibri"/>
          <w:lang w:val="en-GB"/>
        </w:rPr>
        <w:t xml:space="preserve">  </w:t>
      </w:r>
      <w:r w:rsidR="00DE3445" w:rsidRPr="004569C4">
        <w:rPr>
          <w:rFonts w:eastAsia="Calibri"/>
        </w:rPr>
        <w:t xml:space="preserve">These data, combined with the phenotypic and </w:t>
      </w:r>
      <w:proofErr w:type="spellStart"/>
      <w:r w:rsidR="00DE3445" w:rsidRPr="004569C4">
        <w:rPr>
          <w:rFonts w:eastAsia="Calibri"/>
        </w:rPr>
        <w:t>phenomic</w:t>
      </w:r>
      <w:proofErr w:type="spellEnd"/>
      <w:r w:rsidR="00DE3445" w:rsidRPr="004569C4">
        <w:rPr>
          <w:rFonts w:eastAsia="Calibri"/>
        </w:rPr>
        <w:t xml:space="preserve"> data, </w:t>
      </w:r>
      <w:proofErr w:type="gramStart"/>
      <w:r w:rsidR="00DE3445" w:rsidRPr="004569C4">
        <w:rPr>
          <w:rFonts w:eastAsia="Calibri"/>
        </w:rPr>
        <w:t>will be used</w:t>
      </w:r>
      <w:proofErr w:type="gramEnd"/>
      <w:r w:rsidR="00DE3445" w:rsidRPr="004569C4">
        <w:rPr>
          <w:rFonts w:eastAsia="Calibri"/>
        </w:rPr>
        <w:t xml:space="preserve"> in genome-wide association studies to identify genomic loci and markers associated with DUS and VCU traits of interest. </w:t>
      </w:r>
    </w:p>
    <w:p w:rsidR="00DE3445" w:rsidRPr="004569C4" w:rsidRDefault="00DE3445" w:rsidP="00F50E4D">
      <w:pPr>
        <w:rPr>
          <w:rFonts w:eastAsia="Calibri"/>
          <w:lang w:val="en-GB"/>
        </w:rPr>
      </w:pPr>
    </w:p>
    <w:p w:rsidR="00DE3445" w:rsidRPr="004569C4" w:rsidRDefault="00DE3445" w:rsidP="009012F7">
      <w:pPr>
        <w:autoSpaceDE w:val="0"/>
        <w:autoSpaceDN w:val="0"/>
        <w:adjustRightInd w:val="0"/>
        <w:rPr>
          <w:rFonts w:eastAsia="Calibri" w:cs="Arial"/>
          <w:bCs/>
          <w:color w:val="000000"/>
          <w:u w:val="single"/>
        </w:rPr>
      </w:pPr>
      <w:r w:rsidRPr="004569C4">
        <w:rPr>
          <w:rFonts w:eastAsia="Calibri" w:cs="Arial"/>
          <w:bCs/>
          <w:color w:val="000000"/>
          <w:u w:val="single"/>
        </w:rPr>
        <w:t>Machine learning</w:t>
      </w:r>
    </w:p>
    <w:p w:rsidR="00F50E4D" w:rsidRPr="004569C4" w:rsidRDefault="00F50E4D" w:rsidP="00F50E4D">
      <w:pPr>
        <w:rPr>
          <w:rFonts w:eastAsia="Calibri"/>
          <w:lang w:val="en-GB"/>
        </w:rPr>
      </w:pPr>
    </w:p>
    <w:p w:rsidR="00DE3445" w:rsidRPr="004569C4" w:rsidRDefault="004569C4" w:rsidP="00F50E4D">
      <w:pPr>
        <w:rPr>
          <w:rFonts w:eastAsia="Calibri"/>
        </w:rPr>
      </w:pPr>
      <w:r>
        <w:rPr>
          <w:rFonts w:eastAsia="Calibri"/>
        </w:rPr>
        <w:fldChar w:fldCharType="begin"/>
      </w:r>
      <w:r>
        <w:rPr>
          <w:rFonts w:eastAsia="Calibri"/>
        </w:rPr>
        <w:instrText xml:space="preserve"> AUTONUM  </w:instrText>
      </w:r>
      <w:r>
        <w:rPr>
          <w:rFonts w:eastAsia="Calibri"/>
        </w:rPr>
        <w:fldChar w:fldCharType="end"/>
      </w:r>
      <w:r>
        <w:rPr>
          <w:rFonts w:eastAsia="Calibri"/>
        </w:rPr>
        <w:tab/>
      </w:r>
      <w:r w:rsidR="00DE3445" w:rsidRPr="004569C4">
        <w:rPr>
          <w:rFonts w:eastAsia="Calibri"/>
        </w:rPr>
        <w:t xml:space="preserve">Machine learning and deep learning </w:t>
      </w:r>
      <w:proofErr w:type="gramStart"/>
      <w:r w:rsidR="00DE3445" w:rsidRPr="004569C4">
        <w:rPr>
          <w:rFonts w:eastAsia="Calibri"/>
        </w:rPr>
        <w:t>will be applied</w:t>
      </w:r>
      <w:proofErr w:type="gramEnd"/>
      <w:r w:rsidR="00DE3445" w:rsidRPr="004569C4">
        <w:rPr>
          <w:rFonts w:eastAsia="Calibri"/>
        </w:rPr>
        <w:t xml:space="preserve"> to the created standardized environmental, phenotypic, </w:t>
      </w:r>
      <w:proofErr w:type="spellStart"/>
      <w:r w:rsidR="00DE3445" w:rsidRPr="004569C4">
        <w:rPr>
          <w:rFonts w:eastAsia="Calibri"/>
        </w:rPr>
        <w:t>phenomic</w:t>
      </w:r>
      <w:proofErr w:type="spellEnd"/>
      <w:r w:rsidR="00DE3445" w:rsidRPr="004569C4">
        <w:rPr>
          <w:rFonts w:eastAsia="Calibri"/>
        </w:rPr>
        <w:t xml:space="preserve"> and genomic data sets to determine the potential of more refined models and algorithms to contribute to DUS and VCU testing. </w:t>
      </w:r>
    </w:p>
    <w:p w:rsidR="00DE3445" w:rsidRPr="004569C4" w:rsidRDefault="00DE3445" w:rsidP="00F50E4D">
      <w:pPr>
        <w:rPr>
          <w:rFonts w:eastAsia="Calibri"/>
        </w:rPr>
      </w:pPr>
    </w:p>
    <w:p w:rsidR="00DE3445" w:rsidRPr="004569C4" w:rsidRDefault="004569C4" w:rsidP="00F50E4D">
      <w:pPr>
        <w:rPr>
          <w:rFonts w:eastAsia="Calibri"/>
        </w:rPr>
      </w:pPr>
      <w:r>
        <w:rPr>
          <w:rFonts w:eastAsia="Calibri"/>
        </w:rPr>
        <w:fldChar w:fldCharType="begin"/>
      </w:r>
      <w:r>
        <w:rPr>
          <w:rFonts w:eastAsia="Calibri"/>
        </w:rPr>
        <w:instrText xml:space="preserve"> AUTONUM  </w:instrText>
      </w:r>
      <w:r>
        <w:rPr>
          <w:rFonts w:eastAsia="Calibri"/>
        </w:rPr>
        <w:fldChar w:fldCharType="end"/>
      </w:r>
      <w:r>
        <w:rPr>
          <w:rFonts w:eastAsia="Calibri"/>
        </w:rPr>
        <w:tab/>
      </w:r>
      <w:proofErr w:type="spellStart"/>
      <w:r w:rsidR="00DE3445" w:rsidRPr="004569C4">
        <w:rPr>
          <w:rFonts w:eastAsia="Calibri"/>
        </w:rPr>
        <w:t>InnoVar</w:t>
      </w:r>
      <w:proofErr w:type="spellEnd"/>
      <w:r w:rsidR="00DE3445" w:rsidRPr="004569C4">
        <w:rPr>
          <w:rFonts w:eastAsia="Calibri"/>
        </w:rPr>
        <w:t xml:space="preserve"> will apply the lessons learned from wheat to provide </w:t>
      </w:r>
      <w:proofErr w:type="gramStart"/>
      <w:r w:rsidR="00DE3445" w:rsidRPr="004569C4">
        <w:rPr>
          <w:rFonts w:eastAsia="Calibri"/>
        </w:rPr>
        <w:t>road-maps</w:t>
      </w:r>
      <w:proofErr w:type="gramEnd"/>
      <w:r w:rsidR="00DE3445" w:rsidRPr="004569C4">
        <w:rPr>
          <w:rFonts w:eastAsia="Calibri"/>
        </w:rPr>
        <w:t xml:space="preserve"> for other crop groups with more detailed work on grass, maize and legumes.</w:t>
      </w:r>
    </w:p>
    <w:p w:rsidR="00DE3445" w:rsidRPr="004569C4" w:rsidRDefault="00DE3445" w:rsidP="00F50E4D">
      <w:pPr>
        <w:rPr>
          <w:rFonts w:eastAsia="Calibri"/>
        </w:rPr>
      </w:pPr>
      <w:r w:rsidRPr="004569C4">
        <w:rPr>
          <w:rFonts w:eastAsia="Calibri"/>
        </w:rPr>
        <w:t xml:space="preserve">The </w:t>
      </w:r>
      <w:proofErr w:type="spellStart"/>
      <w:r w:rsidRPr="004569C4">
        <w:rPr>
          <w:rFonts w:eastAsia="Calibri"/>
        </w:rPr>
        <w:t>InnoVar</w:t>
      </w:r>
      <w:proofErr w:type="spellEnd"/>
      <w:r w:rsidRPr="004569C4">
        <w:rPr>
          <w:rFonts w:eastAsia="Calibri"/>
        </w:rPr>
        <w:t xml:space="preserve"> App will provide a decision support system to empower growers to select crops that are best suited for their agro-climatic region, end-use and growing scenarios.</w:t>
      </w:r>
    </w:p>
    <w:p w:rsidR="00DE3445" w:rsidRPr="004569C4" w:rsidRDefault="00DE3445" w:rsidP="00F50E4D">
      <w:pPr>
        <w:rPr>
          <w:rFonts w:eastAsia="Calibri"/>
          <w:color w:val="000000"/>
        </w:rPr>
      </w:pPr>
    </w:p>
    <w:p w:rsidR="00DE3445" w:rsidRPr="00DE3445" w:rsidRDefault="004569C4" w:rsidP="00F50E4D">
      <w:pPr>
        <w:rPr>
          <w:rFonts w:eastAsia="Calibri"/>
          <w:color w:val="000000"/>
          <w:lang w:val="en-GB"/>
        </w:rPr>
      </w:pPr>
      <w:r>
        <w:rPr>
          <w:rFonts w:eastAsia="Calibri"/>
          <w:color w:val="000000"/>
        </w:rPr>
        <w:lastRenderedPageBreak/>
        <w:fldChar w:fldCharType="begin"/>
      </w:r>
      <w:r>
        <w:rPr>
          <w:rFonts w:eastAsia="Calibri"/>
          <w:color w:val="000000"/>
        </w:rPr>
        <w:instrText xml:space="preserve"> AUTONUM  </w:instrText>
      </w:r>
      <w:r>
        <w:rPr>
          <w:rFonts w:eastAsia="Calibri"/>
          <w:color w:val="000000"/>
        </w:rPr>
        <w:fldChar w:fldCharType="end"/>
      </w:r>
      <w:r>
        <w:rPr>
          <w:rFonts w:eastAsia="Calibri"/>
          <w:color w:val="000000"/>
        </w:rPr>
        <w:tab/>
      </w:r>
      <w:r w:rsidR="00DE3445" w:rsidRPr="00DE3445">
        <w:rPr>
          <w:rFonts w:eastAsia="Calibri"/>
          <w:color w:val="000000"/>
        </w:rPr>
        <w:t xml:space="preserve">These new approaches – combined with conventional plant evaluation techniques - will deliver Next Generation Variety Testing – NGVT.  The ultimate aim is to deliver </w:t>
      </w:r>
      <w:r w:rsidR="00DE3445" w:rsidRPr="00DE3445">
        <w:rPr>
          <w:rFonts w:eastAsia="Calibri"/>
          <w:color w:val="000000"/>
          <w:lang w:val="en-GB"/>
        </w:rPr>
        <w:t xml:space="preserve">harmonised variety testing across Europe so that average yields can approach potential yields </w:t>
      </w:r>
      <w:proofErr w:type="gramStart"/>
      <w:r w:rsidR="00DE3445" w:rsidRPr="00DE3445">
        <w:rPr>
          <w:rFonts w:eastAsia="Calibri"/>
          <w:color w:val="000000"/>
          <w:lang w:val="en-GB"/>
        </w:rPr>
        <w:t>through the use of</w:t>
      </w:r>
      <w:proofErr w:type="gramEnd"/>
      <w:r w:rsidR="00DE3445" w:rsidRPr="00DE3445">
        <w:rPr>
          <w:rFonts w:eastAsia="Calibri"/>
          <w:color w:val="000000"/>
          <w:lang w:val="en-GB"/>
        </w:rPr>
        <w:t xml:space="preserve"> ‘fit-for-purpose’ regional varieties. </w:t>
      </w:r>
    </w:p>
    <w:p w:rsidR="00DE3445" w:rsidRPr="00DE3445" w:rsidRDefault="00DE3445" w:rsidP="00F50E4D">
      <w:pPr>
        <w:rPr>
          <w:rFonts w:eastAsia="Calibri"/>
          <w:color w:val="000000"/>
          <w:lang w:val="en-GB"/>
        </w:rPr>
      </w:pPr>
    </w:p>
    <w:p w:rsidR="00DE3445" w:rsidRPr="00DE3445" w:rsidRDefault="00DE3445" w:rsidP="00DE3445">
      <w:pPr>
        <w:autoSpaceDE w:val="0"/>
        <w:autoSpaceDN w:val="0"/>
        <w:adjustRightInd w:val="0"/>
        <w:rPr>
          <w:rFonts w:ascii="Calibri" w:eastAsia="Calibri" w:hAnsi="Calibri" w:cs="Calibri"/>
          <w:color w:val="000000"/>
          <w:sz w:val="22"/>
          <w:szCs w:val="22"/>
          <w:lang w:val="en-GB"/>
        </w:rPr>
      </w:pPr>
      <w:r w:rsidRPr="00DE3445">
        <w:rPr>
          <w:rFonts w:ascii="Times New Roman" w:eastAsia="Calibri" w:hAnsi="Times New Roman"/>
          <w:noProof/>
          <w:color w:val="1F497D"/>
          <w:sz w:val="24"/>
          <w:szCs w:val="24"/>
        </w:rPr>
        <w:drawing>
          <wp:anchor distT="0" distB="0" distL="114300" distR="114300" simplePos="0" relativeHeight="251660288" behindDoc="0" locked="0" layoutInCell="1" allowOverlap="1" wp14:anchorId="21144F6B" wp14:editId="233785AD">
            <wp:simplePos x="0" y="0"/>
            <wp:positionH relativeFrom="margin">
              <wp:align>left</wp:align>
            </wp:positionH>
            <wp:positionV relativeFrom="paragraph">
              <wp:posOffset>106375</wp:posOffset>
            </wp:positionV>
            <wp:extent cx="786765" cy="520700"/>
            <wp:effectExtent l="0" t="0" r="0" b="0"/>
            <wp:wrapSquare wrapText="bothSides"/>
            <wp:docPr id="1" name="Picture 1" descr="https://ec.europa.eu/research/participants/docs/h2020-funding-guide/imgs/eu-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europa.eu/research/participants/docs/h2020-funding-guide/imgs/eu-fla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6765"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3445" w:rsidRPr="00DE3445" w:rsidRDefault="00DE3445" w:rsidP="00F50E4D">
      <w:pPr>
        <w:rPr>
          <w:rFonts w:eastAsia="Calibri"/>
          <w:lang w:val="en-GB"/>
        </w:rPr>
      </w:pPr>
      <w:r w:rsidRPr="00DE3445">
        <w:rPr>
          <w:rFonts w:eastAsia="Calibri"/>
          <w:lang w:val="en-GB"/>
        </w:rPr>
        <w:t xml:space="preserve">This project has received funding from the European Union's Horizon 2020 research and innovation programme under grant agreement No 848144 </w:t>
      </w:r>
      <w:hyperlink r:id="rId10" w:history="1">
        <w:proofErr w:type="spellStart"/>
        <w:r w:rsidRPr="00DE3445">
          <w:rPr>
            <w:rFonts w:eastAsia="Calibri"/>
            <w:b/>
            <w:color w:val="0563C1"/>
            <w:u w:val="single"/>
            <w:lang w:val="en-GB"/>
          </w:rPr>
          <w:t>InnoVar</w:t>
        </w:r>
        <w:proofErr w:type="spellEnd"/>
        <w:r w:rsidRPr="00DE3445">
          <w:rPr>
            <w:rFonts w:eastAsia="Calibri"/>
            <w:color w:val="0563C1"/>
            <w:u w:val="single"/>
            <w:lang w:val="en-GB"/>
          </w:rPr>
          <w:t xml:space="preserve"> Factsheet</w:t>
        </w:r>
      </w:hyperlink>
    </w:p>
    <w:p w:rsidR="00544581" w:rsidRPr="00DE3445" w:rsidRDefault="00544581">
      <w:pPr>
        <w:jc w:val="left"/>
        <w:rPr>
          <w:lang w:val="en-GB"/>
        </w:rPr>
      </w:pPr>
    </w:p>
    <w:p w:rsidR="00DE3445" w:rsidRDefault="00DE3445">
      <w:pPr>
        <w:jc w:val="left"/>
      </w:pPr>
    </w:p>
    <w:p w:rsidR="00DE3445" w:rsidRDefault="00DE3445">
      <w:pPr>
        <w:jc w:val="left"/>
      </w:pPr>
    </w:p>
    <w:p w:rsidR="00F50E4D" w:rsidRDefault="00F50E4D">
      <w:pPr>
        <w:jc w:val="left"/>
      </w:pPr>
    </w:p>
    <w:p w:rsidR="00050E16" w:rsidRDefault="00050E16" w:rsidP="00050E16"/>
    <w:p w:rsidR="00784720" w:rsidRDefault="00784720" w:rsidP="00784720">
      <w:pPr>
        <w:jc w:val="right"/>
      </w:pPr>
      <w:r>
        <w:t>[Annex follows]</w:t>
      </w:r>
    </w:p>
    <w:p w:rsidR="00784720" w:rsidRDefault="00784720" w:rsidP="00050E16">
      <w:pPr>
        <w:sectPr w:rsidR="00784720" w:rsidSect="00906DDC">
          <w:headerReference w:type="default" r:id="rId11"/>
          <w:pgSz w:w="11907" w:h="16840" w:code="9"/>
          <w:pgMar w:top="510" w:right="1134" w:bottom="1134" w:left="1134" w:header="510" w:footer="680" w:gutter="0"/>
          <w:cols w:space="720"/>
          <w:titlePg/>
        </w:sectPr>
      </w:pPr>
    </w:p>
    <w:p w:rsidR="00784720" w:rsidRDefault="00784720" w:rsidP="00050E16"/>
    <w:p w:rsidR="006A5A28" w:rsidRDefault="006A5A28" w:rsidP="006A5A28">
      <w:pPr>
        <w:jc w:val="center"/>
      </w:pPr>
      <w:r>
        <w:t>PARTICIPANTS IN INNOVAR</w:t>
      </w:r>
    </w:p>
    <w:p w:rsidR="00784720" w:rsidRDefault="00784720" w:rsidP="00050E16"/>
    <w:p w:rsidR="00784720" w:rsidRDefault="00784720" w:rsidP="00050E16"/>
    <w:p w:rsidR="00BD3F19" w:rsidRDefault="00BD3F19" w:rsidP="00BD3F19"/>
    <w:tbl>
      <w:tblPr>
        <w:tblStyle w:val="TableGrid"/>
        <w:tblW w:w="0" w:type="auto"/>
        <w:tblLook w:val="0000" w:firstRow="0" w:lastRow="0" w:firstColumn="0" w:lastColumn="0" w:noHBand="0" w:noVBand="0"/>
      </w:tblPr>
      <w:tblGrid>
        <w:gridCol w:w="1271"/>
        <w:gridCol w:w="5387"/>
        <w:gridCol w:w="1275"/>
        <w:gridCol w:w="1696"/>
      </w:tblGrid>
      <w:tr w:rsidR="00BD3F19" w:rsidRPr="00321804" w:rsidTr="00EA7D63">
        <w:tc>
          <w:tcPr>
            <w:tcW w:w="1271" w:type="dxa"/>
            <w:shd w:val="clear" w:color="auto" w:fill="00B050"/>
          </w:tcPr>
          <w:p w:rsidR="00BD3F19" w:rsidRPr="00321804" w:rsidRDefault="00BD3F19" w:rsidP="00CE3F0A">
            <w:pPr>
              <w:rPr>
                <w:b/>
              </w:rPr>
            </w:pPr>
            <w:r w:rsidRPr="00321804">
              <w:rPr>
                <w:b/>
              </w:rPr>
              <w:t>Participant No.</w:t>
            </w:r>
          </w:p>
        </w:tc>
        <w:tc>
          <w:tcPr>
            <w:tcW w:w="5387" w:type="dxa"/>
            <w:shd w:val="clear" w:color="auto" w:fill="00B050"/>
          </w:tcPr>
          <w:p w:rsidR="00BD3F19" w:rsidRPr="00321804" w:rsidRDefault="00BD3F19" w:rsidP="00CE3F0A">
            <w:pPr>
              <w:rPr>
                <w:b/>
              </w:rPr>
            </w:pPr>
            <w:r w:rsidRPr="00321804">
              <w:rPr>
                <w:b/>
              </w:rPr>
              <w:t>Participant organization name</w:t>
            </w:r>
          </w:p>
        </w:tc>
        <w:tc>
          <w:tcPr>
            <w:tcW w:w="1275" w:type="dxa"/>
            <w:shd w:val="clear" w:color="auto" w:fill="00B050"/>
          </w:tcPr>
          <w:p w:rsidR="00BD3F19" w:rsidRPr="00321804" w:rsidRDefault="00BD3F19" w:rsidP="00CE3F0A">
            <w:pPr>
              <w:rPr>
                <w:b/>
              </w:rPr>
            </w:pPr>
            <w:r>
              <w:rPr>
                <w:b/>
              </w:rPr>
              <w:t>T</w:t>
            </w:r>
            <w:r w:rsidRPr="00321804">
              <w:rPr>
                <w:b/>
              </w:rPr>
              <w:t>ype</w:t>
            </w:r>
          </w:p>
        </w:tc>
        <w:tc>
          <w:tcPr>
            <w:tcW w:w="1696" w:type="dxa"/>
            <w:shd w:val="clear" w:color="auto" w:fill="00B050"/>
          </w:tcPr>
          <w:p w:rsidR="00BD3F19" w:rsidRDefault="00BD3F19" w:rsidP="00CE3F0A">
            <w:pPr>
              <w:rPr>
                <w:b/>
              </w:rPr>
            </w:pPr>
            <w:r>
              <w:rPr>
                <w:b/>
              </w:rPr>
              <w:t>C</w:t>
            </w:r>
            <w:r w:rsidRPr="00321804">
              <w:rPr>
                <w:b/>
              </w:rPr>
              <w:t>ountry</w:t>
            </w:r>
          </w:p>
          <w:p w:rsidR="00BD3F19" w:rsidRPr="00321804" w:rsidRDefault="00BD3F19" w:rsidP="00CE3F0A">
            <w:pPr>
              <w:rPr>
                <w:b/>
              </w:rPr>
            </w:pPr>
          </w:p>
        </w:tc>
      </w:tr>
      <w:tr w:rsidR="00BD3F19" w:rsidTr="00EA7D63">
        <w:tc>
          <w:tcPr>
            <w:tcW w:w="1271" w:type="dxa"/>
          </w:tcPr>
          <w:p w:rsidR="00BD3F19" w:rsidRDefault="00BD3F19" w:rsidP="00CE3F0A">
            <w:r>
              <w:t>1 (</w:t>
            </w:r>
            <w:proofErr w:type="spellStart"/>
            <w:r>
              <w:t>Coord</w:t>
            </w:r>
            <w:proofErr w:type="spellEnd"/>
            <w:r>
              <w:t>)</w:t>
            </w:r>
          </w:p>
        </w:tc>
        <w:tc>
          <w:tcPr>
            <w:tcW w:w="5387" w:type="dxa"/>
          </w:tcPr>
          <w:p w:rsidR="00BD3F19" w:rsidRDefault="00BD3F19" w:rsidP="00CE3F0A">
            <w:proofErr w:type="spellStart"/>
            <w:r>
              <w:t>AgriFood</w:t>
            </w:r>
            <w:proofErr w:type="spellEnd"/>
            <w:r>
              <w:t xml:space="preserve"> and Biosciences Institute (AFBI)</w:t>
            </w:r>
          </w:p>
        </w:tc>
        <w:tc>
          <w:tcPr>
            <w:tcW w:w="1275" w:type="dxa"/>
          </w:tcPr>
          <w:p w:rsidR="00BD3F19" w:rsidRDefault="00BD3F19" w:rsidP="00CE3F0A">
            <w:r>
              <w:t>RES</w:t>
            </w:r>
          </w:p>
        </w:tc>
        <w:tc>
          <w:tcPr>
            <w:tcW w:w="1696" w:type="dxa"/>
          </w:tcPr>
          <w:p w:rsidR="00BD3F19" w:rsidRDefault="00BD3F19" w:rsidP="00CE3F0A">
            <w:r>
              <w:t>United Kingdom</w:t>
            </w:r>
          </w:p>
        </w:tc>
      </w:tr>
      <w:tr w:rsidR="00BD3F19" w:rsidTr="00EA7D63">
        <w:tc>
          <w:tcPr>
            <w:tcW w:w="1271" w:type="dxa"/>
          </w:tcPr>
          <w:p w:rsidR="00BD3F19" w:rsidRDefault="00BD3F19" w:rsidP="00CE3F0A">
            <w:r>
              <w:t>2</w:t>
            </w:r>
          </w:p>
        </w:tc>
        <w:tc>
          <w:tcPr>
            <w:tcW w:w="5387" w:type="dxa"/>
          </w:tcPr>
          <w:p w:rsidR="00BD3F19" w:rsidRDefault="00BD3F19" w:rsidP="00CE3F0A">
            <w:r>
              <w:t>University College Dublin, National University of Ireland, Dublin (UCD)</w:t>
            </w:r>
          </w:p>
        </w:tc>
        <w:tc>
          <w:tcPr>
            <w:tcW w:w="1275" w:type="dxa"/>
          </w:tcPr>
          <w:p w:rsidR="00BD3F19" w:rsidRDefault="00BD3F19" w:rsidP="00CE3F0A">
            <w:r>
              <w:t>UNIV</w:t>
            </w:r>
          </w:p>
        </w:tc>
        <w:tc>
          <w:tcPr>
            <w:tcW w:w="1696" w:type="dxa"/>
          </w:tcPr>
          <w:p w:rsidR="00BD3F19" w:rsidRDefault="00BD3F19" w:rsidP="00CE3F0A">
            <w:r>
              <w:t>Ireland</w:t>
            </w:r>
          </w:p>
        </w:tc>
      </w:tr>
      <w:tr w:rsidR="00BD3F19" w:rsidRPr="00E61EC6" w:rsidTr="00EA7D63">
        <w:tc>
          <w:tcPr>
            <w:tcW w:w="1271" w:type="dxa"/>
          </w:tcPr>
          <w:p w:rsidR="00BD3F19" w:rsidRDefault="00BD3F19" w:rsidP="00CE3F0A">
            <w:r>
              <w:t>3</w:t>
            </w:r>
          </w:p>
        </w:tc>
        <w:tc>
          <w:tcPr>
            <w:tcW w:w="5387" w:type="dxa"/>
          </w:tcPr>
          <w:p w:rsidR="00BD3F19" w:rsidRPr="00E61EC6" w:rsidRDefault="00BD3F19" w:rsidP="00CE3F0A">
            <w:pPr>
              <w:rPr>
                <w:lang w:val="es-ES"/>
              </w:rPr>
            </w:pPr>
            <w:r w:rsidRPr="00E61EC6">
              <w:rPr>
                <w:lang w:val="es-ES"/>
              </w:rPr>
              <w:t xml:space="preserve">Agencia Estatal Consejo Superior de </w:t>
            </w:r>
            <w:r>
              <w:rPr>
                <w:lang w:val="es-ES"/>
              </w:rPr>
              <w:t xml:space="preserve">Investigaciones </w:t>
            </w:r>
            <w:proofErr w:type="spellStart"/>
            <w:r>
              <w:rPr>
                <w:lang w:val="es-ES"/>
              </w:rPr>
              <w:t>C</w:t>
            </w:r>
            <w:r w:rsidRPr="00E61EC6">
              <w:rPr>
                <w:lang w:val="es-ES"/>
              </w:rPr>
              <w:t>ientificas</w:t>
            </w:r>
            <w:proofErr w:type="spellEnd"/>
            <w:r w:rsidRPr="00E61EC6">
              <w:rPr>
                <w:lang w:val="es-ES"/>
              </w:rPr>
              <w:t xml:space="preserve"> (CSIC)</w:t>
            </w:r>
          </w:p>
        </w:tc>
        <w:tc>
          <w:tcPr>
            <w:tcW w:w="1275" w:type="dxa"/>
          </w:tcPr>
          <w:p w:rsidR="00BD3F19" w:rsidRPr="00E61EC6" w:rsidRDefault="00BD3F19" w:rsidP="00CE3F0A">
            <w:pPr>
              <w:rPr>
                <w:lang w:val="es-ES"/>
              </w:rPr>
            </w:pPr>
            <w:r>
              <w:rPr>
                <w:lang w:val="es-ES"/>
              </w:rPr>
              <w:t>RES</w:t>
            </w:r>
          </w:p>
        </w:tc>
        <w:tc>
          <w:tcPr>
            <w:tcW w:w="1696" w:type="dxa"/>
          </w:tcPr>
          <w:p w:rsidR="00BD3F19" w:rsidRPr="00E61EC6" w:rsidRDefault="00BD3F19" w:rsidP="00CE3F0A">
            <w:pPr>
              <w:rPr>
                <w:lang w:val="es-ES"/>
              </w:rPr>
            </w:pPr>
            <w:proofErr w:type="spellStart"/>
            <w:r>
              <w:rPr>
                <w:lang w:val="es-ES"/>
              </w:rPr>
              <w:t>Spain</w:t>
            </w:r>
            <w:proofErr w:type="spellEnd"/>
          </w:p>
        </w:tc>
      </w:tr>
      <w:tr w:rsidR="00BD3F19" w:rsidTr="00EA7D63">
        <w:tc>
          <w:tcPr>
            <w:tcW w:w="1271" w:type="dxa"/>
          </w:tcPr>
          <w:p w:rsidR="00BD3F19" w:rsidRDefault="00BD3F19" w:rsidP="00CE3F0A">
            <w:r>
              <w:t>4</w:t>
            </w:r>
          </w:p>
        </w:tc>
        <w:tc>
          <w:tcPr>
            <w:tcW w:w="5387" w:type="dxa"/>
          </w:tcPr>
          <w:p w:rsidR="00BD3F19" w:rsidRDefault="00BD3F19" w:rsidP="00CE3F0A">
            <w:r>
              <w:t>RSK ADAS Limited (ADAS)</w:t>
            </w:r>
          </w:p>
        </w:tc>
        <w:tc>
          <w:tcPr>
            <w:tcW w:w="1275" w:type="dxa"/>
          </w:tcPr>
          <w:p w:rsidR="00BD3F19" w:rsidRDefault="00BD3F19" w:rsidP="00CE3F0A">
            <w:r>
              <w:t>IND</w:t>
            </w:r>
          </w:p>
        </w:tc>
        <w:tc>
          <w:tcPr>
            <w:tcW w:w="1696" w:type="dxa"/>
          </w:tcPr>
          <w:p w:rsidR="00BD3F19" w:rsidRDefault="00BD3F19" w:rsidP="00CE3F0A">
            <w:r>
              <w:t>United Kingdom</w:t>
            </w:r>
          </w:p>
        </w:tc>
      </w:tr>
      <w:tr w:rsidR="00BD3F19" w:rsidTr="00EA7D63">
        <w:tc>
          <w:tcPr>
            <w:tcW w:w="1271" w:type="dxa"/>
          </w:tcPr>
          <w:p w:rsidR="00BD3F19" w:rsidRDefault="00BD3F19" w:rsidP="00CE3F0A">
            <w:r>
              <w:t>5</w:t>
            </w:r>
          </w:p>
        </w:tc>
        <w:tc>
          <w:tcPr>
            <w:tcW w:w="5387" w:type="dxa"/>
          </w:tcPr>
          <w:p w:rsidR="00BD3F19" w:rsidRDefault="00BD3F19" w:rsidP="00CE3F0A">
            <w:proofErr w:type="spellStart"/>
            <w:r>
              <w:t>Debreceni</w:t>
            </w:r>
            <w:proofErr w:type="spellEnd"/>
            <w:r>
              <w:t xml:space="preserve"> </w:t>
            </w:r>
            <w:proofErr w:type="spellStart"/>
            <w:r>
              <w:t>Egytem</w:t>
            </w:r>
            <w:proofErr w:type="spellEnd"/>
            <w:r>
              <w:t xml:space="preserve"> (UNIDEB)</w:t>
            </w:r>
          </w:p>
        </w:tc>
        <w:tc>
          <w:tcPr>
            <w:tcW w:w="1275" w:type="dxa"/>
          </w:tcPr>
          <w:p w:rsidR="00BD3F19" w:rsidRDefault="00BD3F19" w:rsidP="00CE3F0A">
            <w:r>
              <w:t>UNIV</w:t>
            </w:r>
          </w:p>
        </w:tc>
        <w:tc>
          <w:tcPr>
            <w:tcW w:w="1696" w:type="dxa"/>
          </w:tcPr>
          <w:p w:rsidR="00BD3F19" w:rsidRDefault="00BD3F19" w:rsidP="00CE3F0A">
            <w:r>
              <w:t>Hungary</w:t>
            </w:r>
          </w:p>
        </w:tc>
      </w:tr>
      <w:tr w:rsidR="00BD3F19" w:rsidRPr="00E61EC6" w:rsidTr="00EA7D63">
        <w:tc>
          <w:tcPr>
            <w:tcW w:w="1271" w:type="dxa"/>
          </w:tcPr>
          <w:p w:rsidR="00BD3F19" w:rsidRDefault="00BD3F19" w:rsidP="00CE3F0A">
            <w:r>
              <w:t>6</w:t>
            </w:r>
          </w:p>
        </w:tc>
        <w:tc>
          <w:tcPr>
            <w:tcW w:w="5387" w:type="dxa"/>
          </w:tcPr>
          <w:p w:rsidR="00BD3F19" w:rsidRPr="00E61EC6" w:rsidRDefault="00BD3F19" w:rsidP="00CE3F0A">
            <w:pPr>
              <w:rPr>
                <w:lang w:val="es-ES"/>
              </w:rPr>
            </w:pPr>
            <w:proofErr w:type="spellStart"/>
            <w:r w:rsidRPr="00E61EC6">
              <w:rPr>
                <w:lang w:val="es-ES"/>
              </w:rPr>
              <w:t>Universita</w:t>
            </w:r>
            <w:proofErr w:type="spellEnd"/>
            <w:r w:rsidRPr="00E61EC6">
              <w:rPr>
                <w:lang w:val="es-ES"/>
              </w:rPr>
              <w:t xml:space="preserve"> </w:t>
            </w:r>
            <w:proofErr w:type="spellStart"/>
            <w:r w:rsidRPr="00E61EC6">
              <w:rPr>
                <w:lang w:val="es-ES"/>
              </w:rPr>
              <w:t>degli</w:t>
            </w:r>
            <w:proofErr w:type="spellEnd"/>
            <w:r w:rsidRPr="00E61EC6">
              <w:rPr>
                <w:lang w:val="es-ES"/>
              </w:rPr>
              <w:t xml:space="preserve"> </w:t>
            </w:r>
            <w:proofErr w:type="spellStart"/>
            <w:r w:rsidRPr="00E61EC6">
              <w:rPr>
                <w:lang w:val="es-ES"/>
              </w:rPr>
              <w:t>studi</w:t>
            </w:r>
            <w:proofErr w:type="spellEnd"/>
            <w:r w:rsidRPr="00E61EC6">
              <w:rPr>
                <w:lang w:val="es-ES"/>
              </w:rPr>
              <w:t xml:space="preserve"> </w:t>
            </w:r>
            <w:proofErr w:type="spellStart"/>
            <w:r w:rsidRPr="00E61EC6">
              <w:rPr>
                <w:lang w:val="es-ES"/>
              </w:rPr>
              <w:t>della</w:t>
            </w:r>
            <w:proofErr w:type="spellEnd"/>
            <w:r w:rsidRPr="00E61EC6">
              <w:rPr>
                <w:lang w:val="es-ES"/>
              </w:rPr>
              <w:t xml:space="preserve"> </w:t>
            </w:r>
            <w:proofErr w:type="spellStart"/>
            <w:r w:rsidRPr="00E61EC6">
              <w:rPr>
                <w:lang w:val="es-ES"/>
              </w:rPr>
              <w:t>Tuscia</w:t>
            </w:r>
            <w:proofErr w:type="spellEnd"/>
            <w:r w:rsidRPr="00E61EC6">
              <w:rPr>
                <w:lang w:val="es-ES"/>
              </w:rPr>
              <w:t xml:space="preserve"> (UNITUS)</w:t>
            </w:r>
          </w:p>
        </w:tc>
        <w:tc>
          <w:tcPr>
            <w:tcW w:w="1275" w:type="dxa"/>
          </w:tcPr>
          <w:p w:rsidR="00BD3F19" w:rsidRPr="00E61EC6" w:rsidRDefault="00BD3F19" w:rsidP="00CE3F0A">
            <w:pPr>
              <w:rPr>
                <w:lang w:val="es-ES"/>
              </w:rPr>
            </w:pPr>
            <w:r>
              <w:t>UNIV</w:t>
            </w:r>
          </w:p>
        </w:tc>
        <w:tc>
          <w:tcPr>
            <w:tcW w:w="1696" w:type="dxa"/>
          </w:tcPr>
          <w:p w:rsidR="00BD3F19" w:rsidRPr="00E61EC6" w:rsidRDefault="00BD3F19" w:rsidP="00CE3F0A">
            <w:pPr>
              <w:rPr>
                <w:lang w:val="es-ES"/>
              </w:rPr>
            </w:pPr>
            <w:proofErr w:type="spellStart"/>
            <w:r>
              <w:rPr>
                <w:lang w:val="es-ES"/>
              </w:rPr>
              <w:t>Italy</w:t>
            </w:r>
            <w:proofErr w:type="spellEnd"/>
          </w:p>
        </w:tc>
      </w:tr>
      <w:tr w:rsidR="00BD3F19" w:rsidTr="00EA7D63">
        <w:tc>
          <w:tcPr>
            <w:tcW w:w="1271" w:type="dxa"/>
          </w:tcPr>
          <w:p w:rsidR="00BD3F19" w:rsidRDefault="00BD3F19" w:rsidP="00CE3F0A">
            <w:r>
              <w:t>7</w:t>
            </w:r>
          </w:p>
        </w:tc>
        <w:tc>
          <w:tcPr>
            <w:tcW w:w="5387" w:type="dxa"/>
          </w:tcPr>
          <w:p w:rsidR="00BD3F19" w:rsidRDefault="00BD3F19" w:rsidP="00CE3F0A">
            <w:proofErr w:type="spellStart"/>
            <w:r>
              <w:t>Tystoftefonden</w:t>
            </w:r>
            <w:proofErr w:type="spellEnd"/>
            <w:r>
              <w:t xml:space="preserve"> (TYST)</w:t>
            </w:r>
          </w:p>
        </w:tc>
        <w:tc>
          <w:tcPr>
            <w:tcW w:w="1275" w:type="dxa"/>
          </w:tcPr>
          <w:p w:rsidR="00BD3F19" w:rsidRDefault="00BD3F19" w:rsidP="00CE3F0A">
            <w:r>
              <w:t>OTH</w:t>
            </w:r>
          </w:p>
        </w:tc>
        <w:tc>
          <w:tcPr>
            <w:tcW w:w="1696" w:type="dxa"/>
          </w:tcPr>
          <w:p w:rsidR="00BD3F19" w:rsidRDefault="00BD3F19" w:rsidP="00CE3F0A">
            <w:r>
              <w:t>Denmark</w:t>
            </w:r>
          </w:p>
        </w:tc>
      </w:tr>
      <w:tr w:rsidR="00BD3F19" w:rsidTr="00EA7D63">
        <w:tc>
          <w:tcPr>
            <w:tcW w:w="1271" w:type="dxa"/>
          </w:tcPr>
          <w:p w:rsidR="00BD3F19" w:rsidRDefault="00BD3F19" w:rsidP="00CE3F0A">
            <w:r>
              <w:t>8</w:t>
            </w:r>
          </w:p>
        </w:tc>
        <w:tc>
          <w:tcPr>
            <w:tcW w:w="5387" w:type="dxa"/>
          </w:tcPr>
          <w:p w:rsidR="00BD3F19" w:rsidRDefault="00BD3F19" w:rsidP="00CE3F0A">
            <w:r>
              <w:t>IP Pragmatics Limited (IPPL)</w:t>
            </w:r>
          </w:p>
        </w:tc>
        <w:tc>
          <w:tcPr>
            <w:tcW w:w="1275" w:type="dxa"/>
          </w:tcPr>
          <w:p w:rsidR="00BD3F19" w:rsidRDefault="00BD3F19" w:rsidP="00CE3F0A">
            <w:r>
              <w:t>SME</w:t>
            </w:r>
          </w:p>
        </w:tc>
        <w:tc>
          <w:tcPr>
            <w:tcW w:w="1696" w:type="dxa"/>
          </w:tcPr>
          <w:p w:rsidR="00BD3F19" w:rsidRDefault="00BD3F19" w:rsidP="00CE3F0A">
            <w:r>
              <w:t>United Kingdom</w:t>
            </w:r>
          </w:p>
        </w:tc>
      </w:tr>
      <w:tr w:rsidR="00BD3F19" w:rsidTr="00EA7D63">
        <w:tc>
          <w:tcPr>
            <w:tcW w:w="1271" w:type="dxa"/>
          </w:tcPr>
          <w:p w:rsidR="00BD3F19" w:rsidRDefault="00BD3F19" w:rsidP="00CE3F0A">
            <w:r>
              <w:t>9</w:t>
            </w:r>
          </w:p>
        </w:tc>
        <w:tc>
          <w:tcPr>
            <w:tcW w:w="5387" w:type="dxa"/>
          </w:tcPr>
          <w:p w:rsidR="00BD3F19" w:rsidRDefault="00BD3F19" w:rsidP="00CE3F0A">
            <w:r>
              <w:t>International Center for Agricultural Research in the dry areas (ICARDA)</w:t>
            </w:r>
          </w:p>
        </w:tc>
        <w:tc>
          <w:tcPr>
            <w:tcW w:w="1275" w:type="dxa"/>
          </w:tcPr>
          <w:p w:rsidR="00BD3F19" w:rsidRDefault="00BD3F19" w:rsidP="00CE3F0A">
            <w:r>
              <w:t>INTL ORG</w:t>
            </w:r>
          </w:p>
        </w:tc>
        <w:tc>
          <w:tcPr>
            <w:tcW w:w="1696" w:type="dxa"/>
          </w:tcPr>
          <w:p w:rsidR="00BD3F19" w:rsidRDefault="00DE3D9E" w:rsidP="00CE3F0A">
            <w:r w:rsidRPr="00DE3D9E">
              <w:t>Lebanon</w:t>
            </w:r>
          </w:p>
        </w:tc>
      </w:tr>
      <w:tr w:rsidR="00BD3F19" w:rsidRPr="00E61EC6" w:rsidTr="00EA7D63">
        <w:tc>
          <w:tcPr>
            <w:tcW w:w="1271" w:type="dxa"/>
          </w:tcPr>
          <w:p w:rsidR="00BD3F19" w:rsidRDefault="00BD3F19" w:rsidP="00CE3F0A">
            <w:r>
              <w:t>10</w:t>
            </w:r>
          </w:p>
        </w:tc>
        <w:tc>
          <w:tcPr>
            <w:tcW w:w="5387" w:type="dxa"/>
          </w:tcPr>
          <w:p w:rsidR="00BD3F19" w:rsidRPr="00E61EC6" w:rsidRDefault="00BD3F19" w:rsidP="00CE3F0A">
            <w:pPr>
              <w:rPr>
                <w:lang w:val="es-ES"/>
              </w:rPr>
            </w:pPr>
            <w:r w:rsidRPr="00E61EC6">
              <w:rPr>
                <w:lang w:val="es-ES"/>
              </w:rPr>
              <w:t xml:space="preserve">Alma Mater </w:t>
            </w:r>
            <w:proofErr w:type="spellStart"/>
            <w:r w:rsidRPr="00E61EC6">
              <w:rPr>
                <w:lang w:val="es-ES"/>
              </w:rPr>
              <w:t>Studiorum</w:t>
            </w:r>
            <w:proofErr w:type="spellEnd"/>
            <w:r w:rsidRPr="00E61EC6">
              <w:rPr>
                <w:lang w:val="es-ES"/>
              </w:rPr>
              <w:t xml:space="preserve"> – </w:t>
            </w:r>
            <w:proofErr w:type="spellStart"/>
            <w:r w:rsidRPr="00E61EC6">
              <w:rPr>
                <w:lang w:val="es-ES"/>
              </w:rPr>
              <w:t>Universita</w:t>
            </w:r>
            <w:proofErr w:type="spellEnd"/>
            <w:r w:rsidRPr="00E61EC6">
              <w:rPr>
                <w:lang w:val="es-ES"/>
              </w:rPr>
              <w:t xml:space="preserve"> di </w:t>
            </w:r>
            <w:proofErr w:type="spellStart"/>
            <w:r w:rsidRPr="00E61EC6">
              <w:rPr>
                <w:lang w:val="es-ES"/>
              </w:rPr>
              <w:t>Bologna</w:t>
            </w:r>
            <w:proofErr w:type="spellEnd"/>
            <w:r w:rsidRPr="00E61EC6">
              <w:rPr>
                <w:lang w:val="es-ES"/>
              </w:rPr>
              <w:t xml:space="preserve"> (UNIBO)</w:t>
            </w:r>
          </w:p>
        </w:tc>
        <w:tc>
          <w:tcPr>
            <w:tcW w:w="1275" w:type="dxa"/>
          </w:tcPr>
          <w:p w:rsidR="00BD3F19" w:rsidRPr="00E61EC6" w:rsidRDefault="00BD3F19" w:rsidP="00CE3F0A">
            <w:pPr>
              <w:rPr>
                <w:lang w:val="es-ES"/>
              </w:rPr>
            </w:pPr>
            <w:r>
              <w:rPr>
                <w:lang w:val="es-ES"/>
              </w:rPr>
              <w:t>UNIV</w:t>
            </w:r>
          </w:p>
        </w:tc>
        <w:tc>
          <w:tcPr>
            <w:tcW w:w="1696" w:type="dxa"/>
          </w:tcPr>
          <w:p w:rsidR="00BD3F19" w:rsidRPr="00E61EC6" w:rsidRDefault="00BD3F19" w:rsidP="00CE3F0A">
            <w:pPr>
              <w:rPr>
                <w:lang w:val="es-ES"/>
              </w:rPr>
            </w:pPr>
            <w:proofErr w:type="spellStart"/>
            <w:r>
              <w:rPr>
                <w:lang w:val="es-ES"/>
              </w:rPr>
              <w:t>Italy</w:t>
            </w:r>
            <w:proofErr w:type="spellEnd"/>
          </w:p>
        </w:tc>
      </w:tr>
      <w:tr w:rsidR="00BD3F19" w:rsidTr="00EA7D63">
        <w:tc>
          <w:tcPr>
            <w:tcW w:w="1271" w:type="dxa"/>
          </w:tcPr>
          <w:p w:rsidR="00BD3F19" w:rsidRDefault="00BD3F19" w:rsidP="00CE3F0A">
            <w:r>
              <w:t>11</w:t>
            </w:r>
          </w:p>
        </w:tc>
        <w:tc>
          <w:tcPr>
            <w:tcW w:w="5387" w:type="dxa"/>
          </w:tcPr>
          <w:p w:rsidR="00BD3F19" w:rsidRDefault="00BD3F19" w:rsidP="00CE3F0A">
            <w:r>
              <w:t>Department of Agriculture, Food and the Marine (DAFM)</w:t>
            </w:r>
          </w:p>
        </w:tc>
        <w:tc>
          <w:tcPr>
            <w:tcW w:w="1275" w:type="dxa"/>
          </w:tcPr>
          <w:p w:rsidR="00BD3F19" w:rsidRDefault="00BD3F19" w:rsidP="00CE3F0A">
            <w:r>
              <w:t>OTH</w:t>
            </w:r>
          </w:p>
        </w:tc>
        <w:tc>
          <w:tcPr>
            <w:tcW w:w="1696" w:type="dxa"/>
          </w:tcPr>
          <w:p w:rsidR="00BD3F19" w:rsidRDefault="00BD3F19" w:rsidP="00CE3F0A">
            <w:r>
              <w:t>Ireland</w:t>
            </w:r>
          </w:p>
        </w:tc>
      </w:tr>
      <w:tr w:rsidR="00BD3F19" w:rsidTr="00EA7D63">
        <w:tc>
          <w:tcPr>
            <w:tcW w:w="1271" w:type="dxa"/>
          </w:tcPr>
          <w:p w:rsidR="00BD3F19" w:rsidRDefault="00BD3F19" w:rsidP="00CE3F0A">
            <w:r>
              <w:t>12</w:t>
            </w:r>
          </w:p>
        </w:tc>
        <w:tc>
          <w:tcPr>
            <w:tcW w:w="5387" w:type="dxa"/>
          </w:tcPr>
          <w:p w:rsidR="00BD3F19" w:rsidRDefault="00BD3F19" w:rsidP="00CE3F0A">
            <w:r>
              <w:t>The Secretary of State for Environment, Food and Rural Affairs (DEFRA)</w:t>
            </w:r>
          </w:p>
        </w:tc>
        <w:tc>
          <w:tcPr>
            <w:tcW w:w="1275" w:type="dxa"/>
          </w:tcPr>
          <w:p w:rsidR="00BD3F19" w:rsidRDefault="00BD3F19" w:rsidP="00CE3F0A">
            <w:r>
              <w:t>OTH</w:t>
            </w:r>
          </w:p>
        </w:tc>
        <w:tc>
          <w:tcPr>
            <w:tcW w:w="1696" w:type="dxa"/>
          </w:tcPr>
          <w:p w:rsidR="00BD3F19" w:rsidRDefault="00BD3F19" w:rsidP="00CE3F0A">
            <w:r>
              <w:t>United Kingdom</w:t>
            </w:r>
          </w:p>
        </w:tc>
      </w:tr>
      <w:tr w:rsidR="00BD3F19" w:rsidTr="00EA7D63">
        <w:tc>
          <w:tcPr>
            <w:tcW w:w="1271" w:type="dxa"/>
          </w:tcPr>
          <w:p w:rsidR="00BD3F19" w:rsidRDefault="00BD3F19" w:rsidP="00CE3F0A">
            <w:r>
              <w:t>13</w:t>
            </w:r>
          </w:p>
        </w:tc>
        <w:tc>
          <w:tcPr>
            <w:tcW w:w="5387" w:type="dxa"/>
          </w:tcPr>
          <w:p w:rsidR="00BD3F19" w:rsidRDefault="00BD3F19" w:rsidP="00CE3F0A">
            <w:r>
              <w:t>The Agriculture and Horticulture Development Board (AHDB)</w:t>
            </w:r>
          </w:p>
        </w:tc>
        <w:tc>
          <w:tcPr>
            <w:tcW w:w="1275" w:type="dxa"/>
          </w:tcPr>
          <w:p w:rsidR="00BD3F19" w:rsidRDefault="00BD3F19" w:rsidP="00CE3F0A">
            <w:r>
              <w:t>RES</w:t>
            </w:r>
          </w:p>
        </w:tc>
        <w:tc>
          <w:tcPr>
            <w:tcW w:w="1696" w:type="dxa"/>
          </w:tcPr>
          <w:p w:rsidR="00BD3F19" w:rsidRDefault="00BD3F19" w:rsidP="00CE3F0A">
            <w:r>
              <w:t>United Kingdom</w:t>
            </w:r>
          </w:p>
        </w:tc>
      </w:tr>
      <w:tr w:rsidR="00BD3F19" w:rsidRPr="00321804" w:rsidTr="00EA7D63">
        <w:tc>
          <w:tcPr>
            <w:tcW w:w="1271" w:type="dxa"/>
          </w:tcPr>
          <w:p w:rsidR="00BD3F19" w:rsidRDefault="00BD3F19" w:rsidP="00CE3F0A">
            <w:r>
              <w:t>14</w:t>
            </w:r>
          </w:p>
        </w:tc>
        <w:tc>
          <w:tcPr>
            <w:tcW w:w="5387" w:type="dxa"/>
          </w:tcPr>
          <w:p w:rsidR="00BD3F19" w:rsidRPr="00321804" w:rsidRDefault="00BD3F19" w:rsidP="00DE3D9E">
            <w:pPr>
              <w:rPr>
                <w:lang w:val="es-ES"/>
              </w:rPr>
            </w:pPr>
            <w:proofErr w:type="spellStart"/>
            <w:r>
              <w:rPr>
                <w:lang w:val="es-ES"/>
              </w:rPr>
              <w:t>Consiglio</w:t>
            </w:r>
            <w:proofErr w:type="spellEnd"/>
            <w:r>
              <w:rPr>
                <w:lang w:val="es-ES"/>
              </w:rPr>
              <w:t xml:space="preserve"> per la </w:t>
            </w:r>
            <w:proofErr w:type="spellStart"/>
            <w:r>
              <w:rPr>
                <w:lang w:val="es-ES"/>
              </w:rPr>
              <w:t>Ricerca</w:t>
            </w:r>
            <w:proofErr w:type="spellEnd"/>
            <w:r>
              <w:rPr>
                <w:lang w:val="es-ES"/>
              </w:rPr>
              <w:t xml:space="preserve"> in </w:t>
            </w:r>
            <w:proofErr w:type="spellStart"/>
            <w:r>
              <w:rPr>
                <w:lang w:val="es-ES"/>
              </w:rPr>
              <w:t>A</w:t>
            </w:r>
            <w:r w:rsidRPr="00321804">
              <w:rPr>
                <w:lang w:val="es-ES"/>
              </w:rPr>
              <w:t>gr</w:t>
            </w:r>
            <w:r>
              <w:rPr>
                <w:lang w:val="es-ES"/>
              </w:rPr>
              <w:t>i</w:t>
            </w:r>
            <w:r w:rsidRPr="00321804">
              <w:rPr>
                <w:lang w:val="es-ES"/>
              </w:rPr>
              <w:t>coltura</w:t>
            </w:r>
            <w:proofErr w:type="spellEnd"/>
            <w:r w:rsidRPr="00321804">
              <w:rPr>
                <w:lang w:val="es-ES"/>
              </w:rPr>
              <w:t xml:space="preserve"> e </w:t>
            </w:r>
            <w:proofErr w:type="spellStart"/>
            <w:r>
              <w:rPr>
                <w:lang w:val="es-ES"/>
              </w:rPr>
              <w:t>l’Analisi</w:t>
            </w:r>
            <w:proofErr w:type="spellEnd"/>
            <w:r>
              <w:rPr>
                <w:lang w:val="es-ES"/>
              </w:rPr>
              <w:t xml:space="preserve"> </w:t>
            </w:r>
            <w:proofErr w:type="spellStart"/>
            <w:r>
              <w:rPr>
                <w:lang w:val="es-ES"/>
              </w:rPr>
              <w:t>dell’Economia</w:t>
            </w:r>
            <w:proofErr w:type="spellEnd"/>
            <w:r>
              <w:rPr>
                <w:lang w:val="es-ES"/>
              </w:rPr>
              <w:t xml:space="preserve"> </w:t>
            </w:r>
            <w:r w:rsidRPr="00DE3D9E">
              <w:rPr>
                <w:lang w:val="es-ES"/>
              </w:rPr>
              <w:t>Agraria (CREA)</w:t>
            </w:r>
          </w:p>
        </w:tc>
        <w:tc>
          <w:tcPr>
            <w:tcW w:w="1275" w:type="dxa"/>
          </w:tcPr>
          <w:p w:rsidR="00BD3F19" w:rsidRPr="00321804" w:rsidRDefault="00BD3F19" w:rsidP="00CE3F0A">
            <w:pPr>
              <w:rPr>
                <w:lang w:val="es-ES"/>
              </w:rPr>
            </w:pPr>
            <w:r>
              <w:rPr>
                <w:lang w:val="es-ES"/>
              </w:rPr>
              <w:t>RES</w:t>
            </w:r>
          </w:p>
        </w:tc>
        <w:tc>
          <w:tcPr>
            <w:tcW w:w="1696" w:type="dxa"/>
          </w:tcPr>
          <w:p w:rsidR="00BD3F19" w:rsidRPr="00321804" w:rsidRDefault="00BD3F19" w:rsidP="00CE3F0A">
            <w:pPr>
              <w:rPr>
                <w:lang w:val="es-ES"/>
              </w:rPr>
            </w:pPr>
            <w:proofErr w:type="spellStart"/>
            <w:r>
              <w:rPr>
                <w:lang w:val="es-ES"/>
              </w:rPr>
              <w:t>Italy</w:t>
            </w:r>
            <w:proofErr w:type="spellEnd"/>
          </w:p>
        </w:tc>
      </w:tr>
      <w:tr w:rsidR="00BD3F19" w:rsidTr="00EA7D63">
        <w:tc>
          <w:tcPr>
            <w:tcW w:w="1271" w:type="dxa"/>
          </w:tcPr>
          <w:p w:rsidR="00BD3F19" w:rsidRDefault="00BD3F19" w:rsidP="00CE3F0A">
            <w:r>
              <w:t>15</w:t>
            </w:r>
          </w:p>
        </w:tc>
        <w:tc>
          <w:tcPr>
            <w:tcW w:w="5387" w:type="dxa"/>
          </w:tcPr>
          <w:p w:rsidR="00BD3F19" w:rsidRDefault="00BD3F19" w:rsidP="00CE3F0A">
            <w:r>
              <w:t>Origin Enterprises PLC (ORIGIN)</w:t>
            </w:r>
          </w:p>
        </w:tc>
        <w:tc>
          <w:tcPr>
            <w:tcW w:w="1275" w:type="dxa"/>
          </w:tcPr>
          <w:p w:rsidR="00BD3F19" w:rsidRDefault="00BD3F19" w:rsidP="00CE3F0A">
            <w:r>
              <w:t>IND</w:t>
            </w:r>
          </w:p>
        </w:tc>
        <w:tc>
          <w:tcPr>
            <w:tcW w:w="1696" w:type="dxa"/>
          </w:tcPr>
          <w:p w:rsidR="00BD3F19" w:rsidRDefault="00BD3F19" w:rsidP="00CE3F0A">
            <w:r>
              <w:t>Ireland</w:t>
            </w:r>
          </w:p>
        </w:tc>
      </w:tr>
      <w:tr w:rsidR="00BD3F19" w:rsidRPr="00321804" w:rsidTr="00EA7D63">
        <w:tc>
          <w:tcPr>
            <w:tcW w:w="1271" w:type="dxa"/>
          </w:tcPr>
          <w:p w:rsidR="00BD3F19" w:rsidRDefault="00BD3F19" w:rsidP="00CE3F0A">
            <w:r>
              <w:t>16</w:t>
            </w:r>
          </w:p>
        </w:tc>
        <w:tc>
          <w:tcPr>
            <w:tcW w:w="5387" w:type="dxa"/>
          </w:tcPr>
          <w:p w:rsidR="00BD3F19" w:rsidRPr="00321804" w:rsidRDefault="00BD3F19" w:rsidP="00CE3F0A">
            <w:pPr>
              <w:rPr>
                <w:lang w:val="es-ES"/>
              </w:rPr>
            </w:pPr>
            <w:r w:rsidRPr="00321804">
              <w:rPr>
                <w:lang w:val="es-ES"/>
              </w:rPr>
              <w:t xml:space="preserve">Universidad </w:t>
            </w:r>
            <w:proofErr w:type="spellStart"/>
            <w:r w:rsidRPr="00321804">
              <w:rPr>
                <w:lang w:val="es-ES"/>
              </w:rPr>
              <w:t>Politecnica</w:t>
            </w:r>
            <w:proofErr w:type="spellEnd"/>
            <w:r w:rsidRPr="00321804">
              <w:rPr>
                <w:lang w:val="es-ES"/>
              </w:rPr>
              <w:t xml:space="preserve"> de Madrid (UPM)</w:t>
            </w:r>
          </w:p>
        </w:tc>
        <w:tc>
          <w:tcPr>
            <w:tcW w:w="1275" w:type="dxa"/>
          </w:tcPr>
          <w:p w:rsidR="00BD3F19" w:rsidRPr="00321804" w:rsidRDefault="00BD3F19" w:rsidP="00CE3F0A">
            <w:pPr>
              <w:rPr>
                <w:lang w:val="es-ES"/>
              </w:rPr>
            </w:pPr>
            <w:r>
              <w:rPr>
                <w:lang w:val="es-ES"/>
              </w:rPr>
              <w:t>UNIV</w:t>
            </w:r>
          </w:p>
        </w:tc>
        <w:tc>
          <w:tcPr>
            <w:tcW w:w="1696" w:type="dxa"/>
          </w:tcPr>
          <w:p w:rsidR="00BD3F19" w:rsidRPr="00321804" w:rsidRDefault="00BD3F19" w:rsidP="00CE3F0A">
            <w:pPr>
              <w:rPr>
                <w:lang w:val="es-ES"/>
              </w:rPr>
            </w:pPr>
            <w:proofErr w:type="spellStart"/>
            <w:r>
              <w:rPr>
                <w:lang w:val="es-ES"/>
              </w:rPr>
              <w:t>Spain</w:t>
            </w:r>
            <w:proofErr w:type="spellEnd"/>
          </w:p>
        </w:tc>
      </w:tr>
      <w:tr w:rsidR="00BD3F19" w:rsidTr="00EA7D63">
        <w:tc>
          <w:tcPr>
            <w:tcW w:w="1271" w:type="dxa"/>
          </w:tcPr>
          <w:p w:rsidR="00BD3F19" w:rsidRDefault="00BD3F19" w:rsidP="00CE3F0A">
            <w:r>
              <w:t>17</w:t>
            </w:r>
          </w:p>
        </w:tc>
        <w:tc>
          <w:tcPr>
            <w:tcW w:w="5387" w:type="dxa"/>
          </w:tcPr>
          <w:p w:rsidR="00BD3F19" w:rsidRDefault="00BD3F19" w:rsidP="00CE3F0A">
            <w:proofErr w:type="spellStart"/>
            <w:r>
              <w:t>Stichting</w:t>
            </w:r>
            <w:proofErr w:type="spellEnd"/>
            <w:r>
              <w:t xml:space="preserve"> International Soil reference and information Centre (ISRIC)</w:t>
            </w:r>
          </w:p>
        </w:tc>
        <w:tc>
          <w:tcPr>
            <w:tcW w:w="1275" w:type="dxa"/>
          </w:tcPr>
          <w:p w:rsidR="00BD3F19" w:rsidRDefault="00BD3F19" w:rsidP="00CE3F0A">
            <w:r>
              <w:t>RES</w:t>
            </w:r>
          </w:p>
        </w:tc>
        <w:tc>
          <w:tcPr>
            <w:tcW w:w="1696" w:type="dxa"/>
          </w:tcPr>
          <w:p w:rsidR="00BD3F19" w:rsidRDefault="00BD3F19" w:rsidP="00CE3F0A">
            <w:r>
              <w:t>Netherlands</w:t>
            </w:r>
          </w:p>
        </w:tc>
      </w:tr>
      <w:tr w:rsidR="00BD3F19" w:rsidRPr="00321804" w:rsidTr="00EA7D63">
        <w:tc>
          <w:tcPr>
            <w:tcW w:w="1271" w:type="dxa"/>
          </w:tcPr>
          <w:p w:rsidR="00BD3F19" w:rsidRDefault="00BD3F19" w:rsidP="00CE3F0A">
            <w:r>
              <w:t>18</w:t>
            </w:r>
          </w:p>
        </w:tc>
        <w:tc>
          <w:tcPr>
            <w:tcW w:w="5387" w:type="dxa"/>
          </w:tcPr>
          <w:p w:rsidR="00BD3F19" w:rsidRPr="00321804" w:rsidRDefault="00BD3F19" w:rsidP="00CE3F0A">
            <w:pPr>
              <w:rPr>
                <w:lang w:val="es-ES"/>
              </w:rPr>
            </w:pPr>
            <w:r w:rsidRPr="00321804">
              <w:rPr>
                <w:lang w:val="es-ES"/>
              </w:rPr>
              <w:t xml:space="preserve">Horta </w:t>
            </w:r>
            <w:proofErr w:type="spellStart"/>
            <w:r w:rsidRPr="00321804">
              <w:rPr>
                <w:lang w:val="es-ES"/>
              </w:rPr>
              <w:t>S.r.l</w:t>
            </w:r>
            <w:proofErr w:type="spellEnd"/>
            <w:r w:rsidRPr="00321804">
              <w:rPr>
                <w:lang w:val="es-ES"/>
              </w:rPr>
              <w:t>. (HORTA)</w:t>
            </w:r>
          </w:p>
        </w:tc>
        <w:tc>
          <w:tcPr>
            <w:tcW w:w="1275" w:type="dxa"/>
          </w:tcPr>
          <w:p w:rsidR="00BD3F19" w:rsidRPr="00321804" w:rsidRDefault="00BD3F19" w:rsidP="00CE3F0A">
            <w:pPr>
              <w:rPr>
                <w:lang w:val="es-ES"/>
              </w:rPr>
            </w:pPr>
            <w:r>
              <w:rPr>
                <w:lang w:val="es-ES"/>
              </w:rPr>
              <w:t>SME</w:t>
            </w:r>
          </w:p>
        </w:tc>
        <w:tc>
          <w:tcPr>
            <w:tcW w:w="1696" w:type="dxa"/>
          </w:tcPr>
          <w:p w:rsidR="00BD3F19" w:rsidRPr="00321804" w:rsidRDefault="00BD3F19" w:rsidP="00CE3F0A">
            <w:pPr>
              <w:rPr>
                <w:lang w:val="es-ES"/>
              </w:rPr>
            </w:pPr>
            <w:proofErr w:type="spellStart"/>
            <w:r>
              <w:rPr>
                <w:lang w:val="es-ES"/>
              </w:rPr>
              <w:t>Italy</w:t>
            </w:r>
            <w:proofErr w:type="spellEnd"/>
          </w:p>
        </w:tc>
      </w:tr>
      <w:tr w:rsidR="00BD3F19" w:rsidRPr="00321804" w:rsidTr="00EA7D63">
        <w:tc>
          <w:tcPr>
            <w:tcW w:w="1271" w:type="dxa"/>
          </w:tcPr>
          <w:p w:rsidR="00BD3F19" w:rsidRDefault="00BD3F19" w:rsidP="00CE3F0A">
            <w:r>
              <w:t>19</w:t>
            </w:r>
          </w:p>
        </w:tc>
        <w:tc>
          <w:tcPr>
            <w:tcW w:w="5387" w:type="dxa"/>
          </w:tcPr>
          <w:p w:rsidR="00BD3F19" w:rsidRPr="00321804" w:rsidRDefault="00BD3F19" w:rsidP="00CE3F0A">
            <w:pPr>
              <w:rPr>
                <w:lang w:val="es-ES"/>
              </w:rPr>
            </w:pPr>
            <w:r w:rsidRPr="00321804">
              <w:rPr>
                <w:lang w:val="es-ES"/>
              </w:rPr>
              <w:t xml:space="preserve">CONSULAI – </w:t>
            </w:r>
            <w:proofErr w:type="spellStart"/>
            <w:r w:rsidRPr="00321804">
              <w:rPr>
                <w:lang w:val="es-ES"/>
              </w:rPr>
              <w:t>Consultoria</w:t>
            </w:r>
            <w:proofErr w:type="spellEnd"/>
            <w:r w:rsidRPr="00321804">
              <w:rPr>
                <w:lang w:val="es-ES"/>
              </w:rPr>
              <w:t xml:space="preserve"> Agro-Industrial, Lda. </w:t>
            </w:r>
            <w:r>
              <w:rPr>
                <w:lang w:val="es-ES"/>
              </w:rPr>
              <w:t>(CONSULAI)</w:t>
            </w:r>
          </w:p>
        </w:tc>
        <w:tc>
          <w:tcPr>
            <w:tcW w:w="1275" w:type="dxa"/>
          </w:tcPr>
          <w:p w:rsidR="00BD3F19" w:rsidRPr="00321804" w:rsidRDefault="00BD3F19" w:rsidP="00CE3F0A">
            <w:pPr>
              <w:rPr>
                <w:lang w:val="es-ES"/>
              </w:rPr>
            </w:pPr>
            <w:r>
              <w:rPr>
                <w:lang w:val="es-ES"/>
              </w:rPr>
              <w:t>SME</w:t>
            </w:r>
          </w:p>
        </w:tc>
        <w:tc>
          <w:tcPr>
            <w:tcW w:w="1696" w:type="dxa"/>
          </w:tcPr>
          <w:p w:rsidR="00BD3F19" w:rsidRPr="00321804" w:rsidRDefault="00BD3F19" w:rsidP="00CE3F0A">
            <w:pPr>
              <w:rPr>
                <w:lang w:val="es-ES"/>
              </w:rPr>
            </w:pPr>
            <w:r>
              <w:rPr>
                <w:lang w:val="es-ES"/>
              </w:rPr>
              <w:t>Portugal</w:t>
            </w:r>
          </w:p>
        </w:tc>
      </w:tr>
      <w:tr w:rsidR="00BD3F19" w:rsidRPr="00321804" w:rsidTr="00EA7D63">
        <w:tc>
          <w:tcPr>
            <w:tcW w:w="1271" w:type="dxa"/>
          </w:tcPr>
          <w:p w:rsidR="00BD3F19" w:rsidRPr="00321804" w:rsidRDefault="00BD3F19" w:rsidP="00CE3F0A">
            <w:pPr>
              <w:rPr>
                <w:lang w:val="es-ES"/>
              </w:rPr>
            </w:pPr>
            <w:r w:rsidRPr="00321804">
              <w:rPr>
                <w:lang w:val="es-ES"/>
              </w:rPr>
              <w:t>20</w:t>
            </w:r>
          </w:p>
        </w:tc>
        <w:tc>
          <w:tcPr>
            <w:tcW w:w="5387" w:type="dxa"/>
          </w:tcPr>
          <w:p w:rsidR="00BD3F19" w:rsidRPr="00321804" w:rsidRDefault="00BD3F19" w:rsidP="00CE3F0A">
            <w:r w:rsidRPr="00321804">
              <w:t xml:space="preserve">National University of Ireland, </w:t>
            </w:r>
            <w:proofErr w:type="spellStart"/>
            <w:r w:rsidRPr="00321804">
              <w:t>Maynooth</w:t>
            </w:r>
            <w:proofErr w:type="spellEnd"/>
            <w:r w:rsidRPr="00321804">
              <w:t xml:space="preserve"> (NUIM)</w:t>
            </w:r>
          </w:p>
        </w:tc>
        <w:tc>
          <w:tcPr>
            <w:tcW w:w="1275" w:type="dxa"/>
          </w:tcPr>
          <w:p w:rsidR="00BD3F19" w:rsidRPr="00321804" w:rsidRDefault="00BD3F19" w:rsidP="00CE3F0A">
            <w:r>
              <w:t>UNIV</w:t>
            </w:r>
          </w:p>
        </w:tc>
        <w:tc>
          <w:tcPr>
            <w:tcW w:w="1696" w:type="dxa"/>
          </w:tcPr>
          <w:p w:rsidR="00BD3F19" w:rsidRPr="00321804" w:rsidRDefault="00BD3F19" w:rsidP="00CE3F0A">
            <w:r>
              <w:t>Ireland</w:t>
            </w:r>
          </w:p>
        </w:tc>
      </w:tr>
      <w:tr w:rsidR="00BD3F19" w:rsidRPr="00321804" w:rsidTr="00EA7D63">
        <w:tc>
          <w:tcPr>
            <w:tcW w:w="1271" w:type="dxa"/>
          </w:tcPr>
          <w:p w:rsidR="00BD3F19" w:rsidRPr="00321804" w:rsidRDefault="00BD3F19" w:rsidP="00CE3F0A">
            <w:pPr>
              <w:rPr>
                <w:lang w:val="es-ES"/>
              </w:rPr>
            </w:pPr>
            <w:r w:rsidRPr="00321804">
              <w:rPr>
                <w:lang w:val="es-ES"/>
              </w:rPr>
              <w:t>21</w:t>
            </w:r>
          </w:p>
        </w:tc>
        <w:tc>
          <w:tcPr>
            <w:tcW w:w="5387" w:type="dxa"/>
          </w:tcPr>
          <w:p w:rsidR="00BD3F19" w:rsidRPr="00321804" w:rsidRDefault="00BD3F19" w:rsidP="00CE3F0A">
            <w:pPr>
              <w:rPr>
                <w:lang w:val="es-ES"/>
              </w:rPr>
            </w:pPr>
            <w:proofErr w:type="spellStart"/>
            <w:r>
              <w:rPr>
                <w:lang w:val="es-ES"/>
              </w:rPr>
              <w:t>Lesprojekt</w:t>
            </w:r>
            <w:proofErr w:type="spellEnd"/>
            <w:r>
              <w:rPr>
                <w:lang w:val="es-ES"/>
              </w:rPr>
              <w:t xml:space="preserve"> – </w:t>
            </w:r>
            <w:proofErr w:type="spellStart"/>
            <w:r>
              <w:rPr>
                <w:lang w:val="es-ES"/>
              </w:rPr>
              <w:t>sluzby</w:t>
            </w:r>
            <w:proofErr w:type="spellEnd"/>
            <w:r>
              <w:rPr>
                <w:lang w:val="es-ES"/>
              </w:rPr>
              <w:t xml:space="preserve"> </w:t>
            </w:r>
            <w:proofErr w:type="spellStart"/>
            <w:r>
              <w:rPr>
                <w:lang w:val="es-ES"/>
              </w:rPr>
              <w:t>s.r.o</w:t>
            </w:r>
            <w:proofErr w:type="spellEnd"/>
            <w:r>
              <w:rPr>
                <w:lang w:val="es-ES"/>
              </w:rPr>
              <w:t>. (LESP)</w:t>
            </w:r>
          </w:p>
        </w:tc>
        <w:tc>
          <w:tcPr>
            <w:tcW w:w="1275" w:type="dxa"/>
          </w:tcPr>
          <w:p w:rsidR="00BD3F19" w:rsidRPr="00321804" w:rsidRDefault="00BD3F19" w:rsidP="00CE3F0A">
            <w:pPr>
              <w:rPr>
                <w:lang w:val="es-ES"/>
              </w:rPr>
            </w:pPr>
            <w:r>
              <w:rPr>
                <w:lang w:val="es-ES"/>
              </w:rPr>
              <w:t>SME</w:t>
            </w:r>
          </w:p>
        </w:tc>
        <w:tc>
          <w:tcPr>
            <w:tcW w:w="1696" w:type="dxa"/>
          </w:tcPr>
          <w:p w:rsidR="00BD3F19" w:rsidRPr="00321804" w:rsidRDefault="00BD3F19" w:rsidP="00CE3F0A">
            <w:pPr>
              <w:rPr>
                <w:lang w:val="es-ES"/>
              </w:rPr>
            </w:pPr>
            <w:proofErr w:type="spellStart"/>
            <w:r>
              <w:rPr>
                <w:lang w:val="es-ES"/>
              </w:rPr>
              <w:t>Czech</w:t>
            </w:r>
            <w:proofErr w:type="spellEnd"/>
            <w:r>
              <w:rPr>
                <w:lang w:val="es-ES"/>
              </w:rPr>
              <w:t xml:space="preserve"> </w:t>
            </w:r>
            <w:proofErr w:type="spellStart"/>
            <w:r>
              <w:rPr>
                <w:lang w:val="es-ES"/>
              </w:rPr>
              <w:t>Republic</w:t>
            </w:r>
            <w:proofErr w:type="spellEnd"/>
          </w:p>
        </w:tc>
      </w:tr>
    </w:tbl>
    <w:p w:rsidR="00BD3F19" w:rsidRDefault="00BD3F19" w:rsidP="00BD3F19"/>
    <w:p w:rsidR="00BD3F19" w:rsidRDefault="00BD3F19" w:rsidP="00BD3F19"/>
    <w:p w:rsidR="009016BD" w:rsidRPr="008601FB" w:rsidRDefault="009016BD" w:rsidP="00BD3F19">
      <w:pPr>
        <w:rPr>
          <w:sz w:val="18"/>
        </w:rPr>
      </w:pPr>
      <w:r w:rsidRPr="008601FB">
        <w:rPr>
          <w:sz w:val="18"/>
        </w:rPr>
        <w:t xml:space="preserve">RES:  </w:t>
      </w:r>
      <w:r w:rsidR="00CD4F48" w:rsidRPr="008601FB">
        <w:rPr>
          <w:sz w:val="18"/>
        </w:rPr>
        <w:t>R</w:t>
      </w:r>
      <w:r w:rsidRPr="008601FB">
        <w:rPr>
          <w:sz w:val="18"/>
        </w:rPr>
        <w:t>es</w:t>
      </w:r>
      <w:r w:rsidR="00CD4F48" w:rsidRPr="008601FB">
        <w:rPr>
          <w:sz w:val="18"/>
        </w:rPr>
        <w:t>earch</w:t>
      </w:r>
    </w:p>
    <w:p w:rsidR="009016BD" w:rsidRPr="008601FB" w:rsidRDefault="009016BD" w:rsidP="00BD3F19">
      <w:pPr>
        <w:rPr>
          <w:sz w:val="18"/>
        </w:rPr>
      </w:pPr>
      <w:r w:rsidRPr="008601FB">
        <w:rPr>
          <w:sz w:val="18"/>
        </w:rPr>
        <w:t>UNIV:  University</w:t>
      </w:r>
    </w:p>
    <w:p w:rsidR="009016BD" w:rsidRPr="008601FB" w:rsidRDefault="009016BD" w:rsidP="00BD3F19">
      <w:pPr>
        <w:rPr>
          <w:sz w:val="18"/>
        </w:rPr>
      </w:pPr>
      <w:r w:rsidRPr="008601FB">
        <w:rPr>
          <w:sz w:val="18"/>
        </w:rPr>
        <w:t xml:space="preserve">IND:  </w:t>
      </w:r>
      <w:r w:rsidR="00CD4F48" w:rsidRPr="008601FB">
        <w:rPr>
          <w:sz w:val="18"/>
        </w:rPr>
        <w:t>I</w:t>
      </w:r>
      <w:r w:rsidRPr="008601FB">
        <w:rPr>
          <w:sz w:val="18"/>
        </w:rPr>
        <w:t>nd</w:t>
      </w:r>
      <w:r w:rsidR="00CD4F48" w:rsidRPr="008601FB">
        <w:rPr>
          <w:sz w:val="18"/>
        </w:rPr>
        <w:t>ustry</w:t>
      </w:r>
    </w:p>
    <w:p w:rsidR="009016BD" w:rsidRPr="008601FB" w:rsidRDefault="009016BD" w:rsidP="00BD3F19">
      <w:pPr>
        <w:rPr>
          <w:sz w:val="18"/>
        </w:rPr>
      </w:pPr>
      <w:r w:rsidRPr="008601FB">
        <w:rPr>
          <w:sz w:val="18"/>
        </w:rPr>
        <w:t xml:space="preserve">OTH:  </w:t>
      </w:r>
      <w:r w:rsidR="00CD4F48" w:rsidRPr="008601FB">
        <w:rPr>
          <w:sz w:val="18"/>
        </w:rPr>
        <w:t>O</w:t>
      </w:r>
      <w:r w:rsidRPr="008601FB">
        <w:rPr>
          <w:sz w:val="18"/>
        </w:rPr>
        <w:t>ther</w:t>
      </w:r>
    </w:p>
    <w:p w:rsidR="009016BD" w:rsidRPr="008601FB" w:rsidRDefault="009016BD" w:rsidP="00BD3F19">
      <w:pPr>
        <w:rPr>
          <w:sz w:val="18"/>
        </w:rPr>
      </w:pPr>
      <w:r w:rsidRPr="008601FB">
        <w:rPr>
          <w:sz w:val="18"/>
        </w:rPr>
        <w:t xml:space="preserve">SME:  </w:t>
      </w:r>
      <w:r w:rsidR="00CD4F48" w:rsidRPr="008601FB">
        <w:rPr>
          <w:sz w:val="18"/>
        </w:rPr>
        <w:t>S</w:t>
      </w:r>
      <w:r w:rsidRPr="008601FB">
        <w:rPr>
          <w:sz w:val="18"/>
        </w:rPr>
        <w:t>mall</w:t>
      </w:r>
      <w:r w:rsidR="00CD4F48" w:rsidRPr="008601FB">
        <w:rPr>
          <w:sz w:val="18"/>
        </w:rPr>
        <w:t>-M</w:t>
      </w:r>
      <w:r w:rsidRPr="008601FB">
        <w:rPr>
          <w:sz w:val="18"/>
        </w:rPr>
        <w:t xml:space="preserve">edium </w:t>
      </w:r>
      <w:r w:rsidR="00CD4F48" w:rsidRPr="008601FB">
        <w:rPr>
          <w:sz w:val="18"/>
        </w:rPr>
        <w:t xml:space="preserve">sized </w:t>
      </w:r>
      <w:r w:rsidRPr="008601FB">
        <w:rPr>
          <w:sz w:val="18"/>
        </w:rPr>
        <w:t>enterprise</w:t>
      </w:r>
    </w:p>
    <w:p w:rsidR="009016BD" w:rsidRPr="008601FB" w:rsidRDefault="009016BD" w:rsidP="00BD3F19">
      <w:pPr>
        <w:rPr>
          <w:sz w:val="18"/>
        </w:rPr>
      </w:pPr>
      <w:r w:rsidRPr="008601FB">
        <w:rPr>
          <w:sz w:val="18"/>
        </w:rPr>
        <w:t xml:space="preserve">INTL ORG:  </w:t>
      </w:r>
      <w:r w:rsidR="00CD4F48" w:rsidRPr="008601FB">
        <w:rPr>
          <w:sz w:val="18"/>
        </w:rPr>
        <w:t>I</w:t>
      </w:r>
      <w:r w:rsidRPr="008601FB">
        <w:rPr>
          <w:sz w:val="18"/>
        </w:rPr>
        <w:t xml:space="preserve">nternational </w:t>
      </w:r>
      <w:r w:rsidR="00CD4F48" w:rsidRPr="008601FB">
        <w:rPr>
          <w:sz w:val="18"/>
        </w:rPr>
        <w:t>O</w:t>
      </w:r>
      <w:r w:rsidRPr="008601FB">
        <w:rPr>
          <w:sz w:val="18"/>
        </w:rPr>
        <w:t>rganization</w:t>
      </w:r>
    </w:p>
    <w:p w:rsidR="009016BD" w:rsidRDefault="009016BD" w:rsidP="00BD3F19"/>
    <w:p w:rsidR="009016BD" w:rsidRDefault="009016BD" w:rsidP="00BD3F19"/>
    <w:p w:rsidR="00784720" w:rsidRDefault="00784720" w:rsidP="00050E16">
      <w:pPr>
        <w:jc w:val="right"/>
      </w:pPr>
    </w:p>
    <w:p w:rsidR="009B440E" w:rsidRDefault="00050E16" w:rsidP="00050E16">
      <w:pPr>
        <w:jc w:val="right"/>
      </w:pPr>
      <w:r w:rsidRPr="00C5280D">
        <w:t xml:space="preserve"> [End of </w:t>
      </w:r>
      <w:r w:rsidR="00784720">
        <w:t xml:space="preserve">Annex and of </w:t>
      </w:r>
      <w:r w:rsidRPr="00C5280D">
        <w:t>document]</w:t>
      </w:r>
    </w:p>
    <w:p w:rsidR="00624E05" w:rsidRDefault="00624E05">
      <w:pPr>
        <w:jc w:val="left"/>
      </w:pPr>
    </w:p>
    <w:p w:rsidR="00050E16" w:rsidRPr="00C5280D" w:rsidRDefault="00050E16" w:rsidP="009B440E">
      <w:pPr>
        <w:jc w:val="left"/>
      </w:pPr>
    </w:p>
    <w:sectPr w:rsidR="00050E16" w:rsidRPr="00C5280D" w:rsidSect="00906DDC">
      <w:headerReference w:type="first" r:id="rId1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A73" w:rsidRDefault="00300A73" w:rsidP="006655D3">
      <w:r>
        <w:separator/>
      </w:r>
    </w:p>
    <w:p w:rsidR="00300A73" w:rsidRDefault="00300A73" w:rsidP="006655D3"/>
    <w:p w:rsidR="00300A73" w:rsidRDefault="00300A73" w:rsidP="006655D3"/>
  </w:endnote>
  <w:endnote w:type="continuationSeparator" w:id="0">
    <w:p w:rsidR="00300A73" w:rsidRDefault="00300A73" w:rsidP="006655D3">
      <w:r>
        <w:separator/>
      </w:r>
    </w:p>
    <w:p w:rsidR="00300A73" w:rsidRPr="00294751" w:rsidRDefault="00300A73">
      <w:pPr>
        <w:pStyle w:val="Footer"/>
        <w:spacing w:after="60"/>
        <w:rPr>
          <w:sz w:val="18"/>
          <w:lang w:val="fr-FR"/>
        </w:rPr>
      </w:pPr>
      <w:r w:rsidRPr="00294751">
        <w:rPr>
          <w:sz w:val="18"/>
          <w:lang w:val="fr-FR"/>
        </w:rPr>
        <w:t>[Suite de la note de la page précédente]</w:t>
      </w:r>
    </w:p>
    <w:p w:rsidR="00300A73" w:rsidRPr="00294751" w:rsidRDefault="00300A73" w:rsidP="006655D3">
      <w:pPr>
        <w:rPr>
          <w:lang w:val="fr-FR"/>
        </w:rPr>
      </w:pPr>
    </w:p>
    <w:p w:rsidR="00300A73" w:rsidRPr="00294751" w:rsidRDefault="00300A73" w:rsidP="006655D3">
      <w:pPr>
        <w:rPr>
          <w:lang w:val="fr-FR"/>
        </w:rPr>
      </w:pPr>
    </w:p>
  </w:endnote>
  <w:endnote w:type="continuationNotice" w:id="1">
    <w:p w:rsidR="00300A73" w:rsidRPr="00294751" w:rsidRDefault="00300A73" w:rsidP="006655D3">
      <w:pPr>
        <w:rPr>
          <w:lang w:val="fr-FR"/>
        </w:rPr>
      </w:pPr>
      <w:r w:rsidRPr="00294751">
        <w:rPr>
          <w:lang w:val="fr-FR"/>
        </w:rPr>
        <w:t>[Suite de la note page suivante]</w:t>
      </w:r>
    </w:p>
    <w:p w:rsidR="00300A73" w:rsidRPr="00294751" w:rsidRDefault="00300A73" w:rsidP="006655D3">
      <w:pPr>
        <w:rPr>
          <w:lang w:val="fr-FR"/>
        </w:rPr>
      </w:pPr>
    </w:p>
    <w:p w:rsidR="00300A73" w:rsidRPr="00294751" w:rsidRDefault="00300A7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A73" w:rsidRDefault="00300A73" w:rsidP="006655D3">
      <w:r>
        <w:separator/>
      </w:r>
    </w:p>
  </w:footnote>
  <w:footnote w:type="continuationSeparator" w:id="0">
    <w:p w:rsidR="00300A73" w:rsidRDefault="00300A73" w:rsidP="006655D3">
      <w:r>
        <w:separator/>
      </w:r>
    </w:p>
  </w:footnote>
  <w:footnote w:type="continuationNotice" w:id="1">
    <w:p w:rsidR="00300A73" w:rsidRPr="00AB530F" w:rsidRDefault="00300A73"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D5634B" w:rsidP="00EB048E">
    <w:pPr>
      <w:pStyle w:val="Header"/>
      <w:rPr>
        <w:rStyle w:val="PageNumber"/>
        <w:lang w:val="en-US"/>
      </w:rPr>
    </w:pPr>
    <w:r>
      <w:rPr>
        <w:rStyle w:val="PageNumber"/>
        <w:lang w:val="en-US"/>
      </w:rPr>
      <w:t>BMT/18</w:t>
    </w:r>
    <w:r w:rsidR="00624E05">
      <w:rPr>
        <w:rStyle w:val="PageNumber"/>
        <w:lang w:val="en-US"/>
      </w:rPr>
      <w:t>/</w:t>
    </w:r>
    <w:r w:rsidR="0021728C">
      <w:rPr>
        <w:rStyle w:val="PageNumber"/>
        <w:lang w:val="en-US"/>
      </w:rPr>
      <w:t>12</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627E1">
      <w:rPr>
        <w:rStyle w:val="PageNumber"/>
        <w:noProof/>
        <w:lang w:val="en-US"/>
      </w:rPr>
      <w:t>3</w:t>
    </w:r>
    <w:r w:rsidRPr="00C5280D">
      <w:rPr>
        <w:rStyle w:val="PageNumber"/>
        <w:lang w:val="en-US"/>
      </w:rPr>
      <w:fldChar w:fldCharType="end"/>
    </w:r>
  </w:p>
  <w:p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720" w:rsidRDefault="00784720">
    <w:pPr>
      <w:pStyle w:val="Header"/>
    </w:pPr>
    <w:r>
      <w:t>BMT/18/12</w:t>
    </w:r>
  </w:p>
  <w:p w:rsidR="00784720" w:rsidRDefault="00784720">
    <w:pPr>
      <w:pStyle w:val="Header"/>
    </w:pPr>
  </w:p>
  <w:p w:rsidR="00784720" w:rsidRDefault="00784720">
    <w:pPr>
      <w:pStyle w:val="Header"/>
    </w:pPr>
    <w:r>
      <w:t>ANNEX</w:t>
    </w:r>
  </w:p>
  <w:p w:rsidR="00784720" w:rsidRDefault="007847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C3652"/>
    <w:multiLevelType w:val="hybridMultilevel"/>
    <w:tmpl w:val="4CBC3A5E"/>
    <w:lvl w:ilvl="0" w:tplc="0409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15:restartNumberingAfterBreak="0">
    <w:nsid w:val="1DCB2BA6"/>
    <w:multiLevelType w:val="hybridMultilevel"/>
    <w:tmpl w:val="34284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14670E"/>
    <w:multiLevelType w:val="hybridMultilevel"/>
    <w:tmpl w:val="A170BE04"/>
    <w:lvl w:ilvl="0" w:tplc="4976955C">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1E48D3"/>
    <w:multiLevelType w:val="hybridMultilevel"/>
    <w:tmpl w:val="3344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A3219"/>
    <w:multiLevelType w:val="hybridMultilevel"/>
    <w:tmpl w:val="7130CA7A"/>
    <w:lvl w:ilvl="0" w:tplc="497695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F3C2B65"/>
    <w:multiLevelType w:val="hybridMultilevel"/>
    <w:tmpl w:val="29A05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F140B1"/>
    <w:multiLevelType w:val="hybridMultilevel"/>
    <w:tmpl w:val="2BBC5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4EF5611"/>
    <w:multiLevelType w:val="hybridMultilevel"/>
    <w:tmpl w:val="43F6B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C7C13"/>
    <w:multiLevelType w:val="hybridMultilevel"/>
    <w:tmpl w:val="5E0A3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A74223"/>
    <w:multiLevelType w:val="hybridMultilevel"/>
    <w:tmpl w:val="DBEA4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71215E"/>
    <w:multiLevelType w:val="hybridMultilevel"/>
    <w:tmpl w:val="B9D82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5B3A87"/>
    <w:multiLevelType w:val="hybridMultilevel"/>
    <w:tmpl w:val="2C54F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BF3F31"/>
    <w:multiLevelType w:val="hybridMultilevel"/>
    <w:tmpl w:val="1E364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7"/>
  </w:num>
  <w:num w:numId="4">
    <w:abstractNumId w:val="8"/>
  </w:num>
  <w:num w:numId="5">
    <w:abstractNumId w:val="11"/>
  </w:num>
  <w:num w:numId="6">
    <w:abstractNumId w:val="6"/>
  </w:num>
  <w:num w:numId="7">
    <w:abstractNumId w:val="10"/>
  </w:num>
  <w:num w:numId="8">
    <w:abstractNumId w:val="5"/>
  </w:num>
  <w:num w:numId="9">
    <w:abstractNumId w:val="0"/>
  </w:num>
  <w:num w:numId="10">
    <w:abstractNumId w:val="3"/>
  </w:num>
  <w:num w:numId="11">
    <w:abstractNumId w:val="9"/>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A73"/>
    <w:rsid w:val="00010CF3"/>
    <w:rsid w:val="00011E27"/>
    <w:rsid w:val="000148BC"/>
    <w:rsid w:val="00024AB8"/>
    <w:rsid w:val="00030854"/>
    <w:rsid w:val="00036028"/>
    <w:rsid w:val="00044642"/>
    <w:rsid w:val="000446B9"/>
    <w:rsid w:val="00047E21"/>
    <w:rsid w:val="00050E16"/>
    <w:rsid w:val="00085505"/>
    <w:rsid w:val="00093E1D"/>
    <w:rsid w:val="000952EC"/>
    <w:rsid w:val="000C4E25"/>
    <w:rsid w:val="000C7021"/>
    <w:rsid w:val="000D6BBC"/>
    <w:rsid w:val="000D7780"/>
    <w:rsid w:val="000E57D2"/>
    <w:rsid w:val="000E636A"/>
    <w:rsid w:val="000F2F11"/>
    <w:rsid w:val="00103170"/>
    <w:rsid w:val="00105929"/>
    <w:rsid w:val="001106B1"/>
    <w:rsid w:val="00110C36"/>
    <w:rsid w:val="001131D5"/>
    <w:rsid w:val="00141DB8"/>
    <w:rsid w:val="0015326B"/>
    <w:rsid w:val="00172084"/>
    <w:rsid w:val="0017474A"/>
    <w:rsid w:val="001758C6"/>
    <w:rsid w:val="00182B99"/>
    <w:rsid w:val="001D6303"/>
    <w:rsid w:val="0021332C"/>
    <w:rsid w:val="00213982"/>
    <w:rsid w:val="0021728C"/>
    <w:rsid w:val="0024416D"/>
    <w:rsid w:val="00271911"/>
    <w:rsid w:val="002800A0"/>
    <w:rsid w:val="002801B3"/>
    <w:rsid w:val="00281060"/>
    <w:rsid w:val="002940E8"/>
    <w:rsid w:val="00294751"/>
    <w:rsid w:val="002A6E50"/>
    <w:rsid w:val="002B4298"/>
    <w:rsid w:val="002C256A"/>
    <w:rsid w:val="00300A73"/>
    <w:rsid w:val="00305A7F"/>
    <w:rsid w:val="003152FE"/>
    <w:rsid w:val="00327436"/>
    <w:rsid w:val="00335256"/>
    <w:rsid w:val="00335389"/>
    <w:rsid w:val="00344BD6"/>
    <w:rsid w:val="0035528D"/>
    <w:rsid w:val="00361821"/>
    <w:rsid w:val="00361E9E"/>
    <w:rsid w:val="003C7FBE"/>
    <w:rsid w:val="003D227C"/>
    <w:rsid w:val="003D2B4D"/>
    <w:rsid w:val="00433E09"/>
    <w:rsid w:val="00444A88"/>
    <w:rsid w:val="004569C4"/>
    <w:rsid w:val="00474DA4"/>
    <w:rsid w:val="00476B4D"/>
    <w:rsid w:val="004805FA"/>
    <w:rsid w:val="004935D2"/>
    <w:rsid w:val="0049744F"/>
    <w:rsid w:val="004B1215"/>
    <w:rsid w:val="004B3483"/>
    <w:rsid w:val="004D047D"/>
    <w:rsid w:val="004F1E9E"/>
    <w:rsid w:val="004F305A"/>
    <w:rsid w:val="0050700B"/>
    <w:rsid w:val="00512164"/>
    <w:rsid w:val="00514431"/>
    <w:rsid w:val="00520297"/>
    <w:rsid w:val="00520CBE"/>
    <w:rsid w:val="00524B7A"/>
    <w:rsid w:val="005338F9"/>
    <w:rsid w:val="0054281C"/>
    <w:rsid w:val="00544581"/>
    <w:rsid w:val="0055268D"/>
    <w:rsid w:val="00576BE4"/>
    <w:rsid w:val="00597F8B"/>
    <w:rsid w:val="005A400A"/>
    <w:rsid w:val="005E3B96"/>
    <w:rsid w:val="005F387C"/>
    <w:rsid w:val="005F7B92"/>
    <w:rsid w:val="00612379"/>
    <w:rsid w:val="006153B6"/>
    <w:rsid w:val="0061555F"/>
    <w:rsid w:val="00621302"/>
    <w:rsid w:val="00624E05"/>
    <w:rsid w:val="00636CA6"/>
    <w:rsid w:val="00641200"/>
    <w:rsid w:val="006422B4"/>
    <w:rsid w:val="00662E73"/>
    <w:rsid w:val="006655D3"/>
    <w:rsid w:val="00667404"/>
    <w:rsid w:val="00687EB4"/>
    <w:rsid w:val="00695C56"/>
    <w:rsid w:val="006A5A28"/>
    <w:rsid w:val="006A5CDE"/>
    <w:rsid w:val="006A644A"/>
    <w:rsid w:val="006B17D2"/>
    <w:rsid w:val="006C224E"/>
    <w:rsid w:val="006D780A"/>
    <w:rsid w:val="0071271E"/>
    <w:rsid w:val="00732DEC"/>
    <w:rsid w:val="00735BD5"/>
    <w:rsid w:val="00751613"/>
    <w:rsid w:val="007556F6"/>
    <w:rsid w:val="00760EEF"/>
    <w:rsid w:val="00777EE5"/>
    <w:rsid w:val="00784720"/>
    <w:rsid w:val="00784836"/>
    <w:rsid w:val="0079023E"/>
    <w:rsid w:val="007954A9"/>
    <w:rsid w:val="00797EB7"/>
    <w:rsid w:val="007A2854"/>
    <w:rsid w:val="007C1D92"/>
    <w:rsid w:val="007C4CB9"/>
    <w:rsid w:val="007D0B9D"/>
    <w:rsid w:val="007D19B0"/>
    <w:rsid w:val="007F498F"/>
    <w:rsid w:val="0080679D"/>
    <w:rsid w:val="008108B0"/>
    <w:rsid w:val="00811B20"/>
    <w:rsid w:val="008211B5"/>
    <w:rsid w:val="0082296E"/>
    <w:rsid w:val="00824099"/>
    <w:rsid w:val="00846D7C"/>
    <w:rsid w:val="008601FB"/>
    <w:rsid w:val="00860A1D"/>
    <w:rsid w:val="00867AC1"/>
    <w:rsid w:val="00890DF8"/>
    <w:rsid w:val="008A743F"/>
    <w:rsid w:val="008C0970"/>
    <w:rsid w:val="008D0BC5"/>
    <w:rsid w:val="008D2CF7"/>
    <w:rsid w:val="00900C26"/>
    <w:rsid w:val="009012F7"/>
    <w:rsid w:val="009016BD"/>
    <w:rsid w:val="0090197F"/>
    <w:rsid w:val="00906DDC"/>
    <w:rsid w:val="00934E09"/>
    <w:rsid w:val="00936253"/>
    <w:rsid w:val="00940D46"/>
    <w:rsid w:val="00952DD4"/>
    <w:rsid w:val="00965AE7"/>
    <w:rsid w:val="00970FED"/>
    <w:rsid w:val="00992D82"/>
    <w:rsid w:val="00997029"/>
    <w:rsid w:val="009A7339"/>
    <w:rsid w:val="009B440E"/>
    <w:rsid w:val="009D690D"/>
    <w:rsid w:val="009E65B6"/>
    <w:rsid w:val="00A24C10"/>
    <w:rsid w:val="00A42AC3"/>
    <w:rsid w:val="00A430CF"/>
    <w:rsid w:val="00A54309"/>
    <w:rsid w:val="00AB2B93"/>
    <w:rsid w:val="00AB530F"/>
    <w:rsid w:val="00AB7E5B"/>
    <w:rsid w:val="00AC2883"/>
    <w:rsid w:val="00AE0EF1"/>
    <w:rsid w:val="00AE2937"/>
    <w:rsid w:val="00B07301"/>
    <w:rsid w:val="00B11F3E"/>
    <w:rsid w:val="00B224DE"/>
    <w:rsid w:val="00B324D4"/>
    <w:rsid w:val="00B46575"/>
    <w:rsid w:val="00B61777"/>
    <w:rsid w:val="00B84BBD"/>
    <w:rsid w:val="00B87A19"/>
    <w:rsid w:val="00BA43FB"/>
    <w:rsid w:val="00BC127D"/>
    <w:rsid w:val="00BC1FE6"/>
    <w:rsid w:val="00BD3F19"/>
    <w:rsid w:val="00BE4DE6"/>
    <w:rsid w:val="00C0001E"/>
    <w:rsid w:val="00C061B6"/>
    <w:rsid w:val="00C2446C"/>
    <w:rsid w:val="00C36AE5"/>
    <w:rsid w:val="00C41F17"/>
    <w:rsid w:val="00C527FA"/>
    <w:rsid w:val="00C5280D"/>
    <w:rsid w:val="00C53EB3"/>
    <w:rsid w:val="00C5791C"/>
    <w:rsid w:val="00C66290"/>
    <w:rsid w:val="00C72B7A"/>
    <w:rsid w:val="00C929F4"/>
    <w:rsid w:val="00C973F2"/>
    <w:rsid w:val="00CA304C"/>
    <w:rsid w:val="00CA774A"/>
    <w:rsid w:val="00CC11B0"/>
    <w:rsid w:val="00CC2841"/>
    <w:rsid w:val="00CD4F48"/>
    <w:rsid w:val="00CF1330"/>
    <w:rsid w:val="00CF62EC"/>
    <w:rsid w:val="00CF6726"/>
    <w:rsid w:val="00CF7E36"/>
    <w:rsid w:val="00D0128F"/>
    <w:rsid w:val="00D11A4A"/>
    <w:rsid w:val="00D3708D"/>
    <w:rsid w:val="00D40426"/>
    <w:rsid w:val="00D5634B"/>
    <w:rsid w:val="00D57C96"/>
    <w:rsid w:val="00D57D18"/>
    <w:rsid w:val="00D91203"/>
    <w:rsid w:val="00D94E7A"/>
    <w:rsid w:val="00D95174"/>
    <w:rsid w:val="00DA1712"/>
    <w:rsid w:val="00DA4499"/>
    <w:rsid w:val="00DA4973"/>
    <w:rsid w:val="00DA6F36"/>
    <w:rsid w:val="00DB596E"/>
    <w:rsid w:val="00DB7773"/>
    <w:rsid w:val="00DC00EA"/>
    <w:rsid w:val="00DC3802"/>
    <w:rsid w:val="00DD5D28"/>
    <w:rsid w:val="00DE3445"/>
    <w:rsid w:val="00DE3D9E"/>
    <w:rsid w:val="00E07D87"/>
    <w:rsid w:val="00E279B3"/>
    <w:rsid w:val="00E32F7E"/>
    <w:rsid w:val="00E5267B"/>
    <w:rsid w:val="00E627E1"/>
    <w:rsid w:val="00E71A3A"/>
    <w:rsid w:val="00E72D49"/>
    <w:rsid w:val="00E7593C"/>
    <w:rsid w:val="00E7678A"/>
    <w:rsid w:val="00E935F1"/>
    <w:rsid w:val="00E94404"/>
    <w:rsid w:val="00E94A81"/>
    <w:rsid w:val="00EA1FFB"/>
    <w:rsid w:val="00EA7D63"/>
    <w:rsid w:val="00EB048E"/>
    <w:rsid w:val="00EB4E9C"/>
    <w:rsid w:val="00EC481C"/>
    <w:rsid w:val="00EE1AFA"/>
    <w:rsid w:val="00EE34DF"/>
    <w:rsid w:val="00EF2F89"/>
    <w:rsid w:val="00F03E98"/>
    <w:rsid w:val="00F1237A"/>
    <w:rsid w:val="00F22CBD"/>
    <w:rsid w:val="00F24498"/>
    <w:rsid w:val="00F272F1"/>
    <w:rsid w:val="00F45372"/>
    <w:rsid w:val="00F50E4D"/>
    <w:rsid w:val="00F560F7"/>
    <w:rsid w:val="00F6334D"/>
    <w:rsid w:val="00FA49AB"/>
    <w:rsid w:val="00FD7357"/>
    <w:rsid w:val="00FE204C"/>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B71D19D"/>
  <w15:docId w15:val="{C125A609-BA82-4C56-974B-0FFF3E990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524B7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5326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5326B"/>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103170"/>
    <w:pPr>
      <w:ind w:left="720"/>
      <w:contextualSpacing/>
    </w:pPr>
  </w:style>
  <w:style w:type="character" w:customStyle="1" w:styleId="HeaderChar">
    <w:name w:val="Header Char"/>
    <w:basedOn w:val="DefaultParagraphFont"/>
    <w:link w:val="Header"/>
    <w:uiPriority w:val="99"/>
    <w:rsid w:val="00784720"/>
    <w:rPr>
      <w:rFonts w:ascii="Arial" w:hAnsi="Arial"/>
      <w:lang w:val="fr-FR"/>
    </w:rPr>
  </w:style>
  <w:style w:type="table" w:styleId="TableGrid">
    <w:name w:val="Table Grid"/>
    <w:basedOn w:val="TableNormal"/>
    <w:rsid w:val="00BD3F19"/>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ordis.europa.eu/project/rcn/223223/factsheet/e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18\template\BMT_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BMT_18</Template>
  <TotalTime>0</TotalTime>
  <Pages>4</Pages>
  <Words>1211</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BMT/17</vt:lpstr>
    </vt:vector>
  </TitlesOfParts>
  <Company>UPOV</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BMT/17</dc:title>
  <dc:creator>MAY Jessica</dc:creator>
  <cp:lastModifiedBy>MAY Jessica</cp:lastModifiedBy>
  <cp:revision>31</cp:revision>
  <cp:lastPrinted>2016-11-22T16:03:00Z</cp:lastPrinted>
  <dcterms:created xsi:type="dcterms:W3CDTF">2019-08-20T09:47:00Z</dcterms:created>
  <dcterms:modified xsi:type="dcterms:W3CDTF">2019-09-10T11:50:00Z</dcterms:modified>
</cp:coreProperties>
</file>