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624E05" w:rsidP="00DA4499">
            <w:pPr>
              <w:pStyle w:val="Sessiontcplacedate"/>
              <w:rPr>
                <w:sz w:val="22"/>
              </w:rPr>
            </w:pPr>
            <w:r>
              <w:t>Seventeenth</w:t>
            </w:r>
            <w:r w:rsidRPr="00DA4973">
              <w:t xml:space="preserve"> Session</w:t>
            </w:r>
            <w:r w:rsidR="00EB4E9C" w:rsidRPr="00DA4973">
              <w:br/>
            </w:r>
            <w:r w:rsidRPr="008873AE">
              <w:t>Montevideo, Uruguay, September 10 to 13</w:t>
            </w:r>
            <w:r w:rsidRPr="00DA4973">
              <w:t>, 201</w:t>
            </w:r>
            <w:r>
              <w:t>8</w:t>
            </w:r>
          </w:p>
        </w:tc>
        <w:tc>
          <w:tcPr>
            <w:tcW w:w="3127" w:type="dxa"/>
          </w:tcPr>
          <w:p w:rsidR="00EB4E9C" w:rsidRDefault="00624E05" w:rsidP="003C7FBE">
            <w:pPr>
              <w:pStyle w:val="Doccode"/>
            </w:pPr>
            <w:r>
              <w:t>BMT/17</w:t>
            </w:r>
            <w:r w:rsidR="00EB4E9C" w:rsidRPr="00AC2883">
              <w:t>/</w:t>
            </w:r>
            <w:r w:rsidR="008C3E8E">
              <w:t>1</w:t>
            </w:r>
            <w:r w:rsidR="002942E3">
              <w:t>2</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46766">
            <w:pPr>
              <w:pStyle w:val="Docoriginal"/>
            </w:pPr>
            <w:r w:rsidRPr="00AC2883">
              <w:t>Date:</w:t>
            </w:r>
            <w:r w:rsidRPr="000E636A">
              <w:rPr>
                <w:b w:val="0"/>
                <w:spacing w:val="0"/>
              </w:rPr>
              <w:t xml:space="preserve">  </w:t>
            </w:r>
            <w:r w:rsidR="006A1AA2" w:rsidRPr="00546766">
              <w:rPr>
                <w:b w:val="0"/>
                <w:spacing w:val="0"/>
              </w:rPr>
              <w:t xml:space="preserve">August </w:t>
            </w:r>
            <w:r w:rsidR="00546766" w:rsidRPr="00546766">
              <w:rPr>
                <w:b w:val="0"/>
                <w:spacing w:val="0"/>
              </w:rPr>
              <w:t>31</w:t>
            </w:r>
            <w:r w:rsidRPr="00546766">
              <w:rPr>
                <w:b w:val="0"/>
                <w:spacing w:val="0"/>
              </w:rPr>
              <w:t>, 201</w:t>
            </w:r>
            <w:r w:rsidR="006A1AA2" w:rsidRPr="00546766">
              <w:rPr>
                <w:b w:val="0"/>
                <w:spacing w:val="0"/>
              </w:rPr>
              <w:t>8</w:t>
            </w:r>
          </w:p>
        </w:tc>
      </w:tr>
    </w:tbl>
    <w:p w:rsidR="00B95E6F" w:rsidRPr="00B95E6F" w:rsidRDefault="006217E8" w:rsidP="00B95E6F">
      <w:pPr>
        <w:pStyle w:val="Titleofdoc0"/>
      </w:pPr>
      <w:r w:rsidRPr="006217E8">
        <w:t>Construction of a European Potato database with varieties of common knowledge and its implementation in the potato DUS testing system</w:t>
      </w:r>
      <w:r w:rsidR="00B95E6F">
        <w:br/>
      </w:r>
      <w:r w:rsidR="00B95E6F" w:rsidRPr="00B95E6F">
        <w:t>Part II: Generation of molecular data</w:t>
      </w:r>
      <w:r w:rsidR="00B95E6F" w:rsidRPr="00B95E6F">
        <w:rPr>
          <w:vertAlign w:val="superscript"/>
        </w:rPr>
        <w:footnoteReference w:id="2"/>
      </w:r>
    </w:p>
    <w:p w:rsidR="006A644A" w:rsidRPr="006A644A" w:rsidRDefault="00AE0EF1" w:rsidP="006A644A">
      <w:pPr>
        <w:pStyle w:val="preparedby1"/>
        <w:jc w:val="left"/>
      </w:pPr>
      <w:r w:rsidRPr="000C4E25">
        <w:t xml:space="preserve">Document </w:t>
      </w:r>
      <w:r w:rsidR="0061555F" w:rsidRPr="000C4E25">
        <w:t xml:space="preserve">prepared by </w:t>
      </w:r>
      <w:r w:rsidR="006A1AA2">
        <w:t>expert</w:t>
      </w:r>
      <w:r w:rsidR="006217E8">
        <w:t>s</w:t>
      </w:r>
      <w:r w:rsidR="006A1AA2">
        <w:t xml:space="preserve"> from </w:t>
      </w:r>
      <w:r w:rsidR="006217E8">
        <w:t>the United Kingdom and the Netherlands</w:t>
      </w:r>
    </w:p>
    <w:p w:rsidR="00050E16" w:rsidRPr="006A644A" w:rsidRDefault="00050E16" w:rsidP="006A644A">
      <w:pPr>
        <w:pStyle w:val="Disclaimer"/>
      </w:pPr>
      <w:r w:rsidRPr="006A644A">
        <w:t>Disclaimer:  this document does not represent UPOV policies or guidance</w:t>
      </w:r>
    </w:p>
    <w:p w:rsidR="006217E8" w:rsidRPr="00E73337" w:rsidRDefault="006217E8" w:rsidP="00E73337">
      <w:pPr>
        <w:pStyle w:val="ListParagraph"/>
        <w:numPr>
          <w:ilvl w:val="0"/>
          <w:numId w:val="4"/>
        </w:numPr>
        <w:ind w:left="0" w:firstLine="0"/>
        <w:rPr>
          <w:snapToGrid w:val="0"/>
          <w:lang w:val="en-GB"/>
        </w:rPr>
      </w:pPr>
      <w:r w:rsidRPr="00E73337">
        <w:rPr>
          <w:snapToGrid w:val="0"/>
          <w:lang w:val="en-GB"/>
        </w:rPr>
        <w:t>In 2004</w:t>
      </w:r>
      <w:r w:rsidR="001A62CA" w:rsidRPr="00E73337">
        <w:rPr>
          <w:snapToGrid w:val="0"/>
          <w:lang w:val="en-GB"/>
        </w:rPr>
        <w:t>,</w:t>
      </w:r>
      <w:r w:rsidRPr="00E73337">
        <w:rPr>
          <w:snapToGrid w:val="0"/>
          <w:lang w:val="en-GB"/>
        </w:rPr>
        <w:t xml:space="preserve"> </w:t>
      </w:r>
      <w:r w:rsidR="00E73337" w:rsidRPr="00E73337">
        <w:rPr>
          <w:snapToGrid w:val="0"/>
          <w:lang w:val="en-GB"/>
        </w:rPr>
        <w:t xml:space="preserve">the </w:t>
      </w:r>
      <w:r w:rsidR="00975660" w:rsidRPr="00706304">
        <w:rPr>
          <w:snapToGrid w:val="0"/>
        </w:rPr>
        <w:t>Centre for Genetic Resources/</w:t>
      </w:r>
      <w:r w:rsidR="00975660" w:rsidRPr="00706304">
        <w:rPr>
          <w:rFonts w:cs="Arial"/>
        </w:rPr>
        <w:t>Plant Research International (</w:t>
      </w:r>
      <w:r w:rsidRPr="00706304">
        <w:rPr>
          <w:snapToGrid w:val="0"/>
          <w:lang w:val="en-GB"/>
        </w:rPr>
        <w:t>CGN/PRI</w:t>
      </w:r>
      <w:r w:rsidR="00975660" w:rsidRPr="00706304">
        <w:rPr>
          <w:snapToGrid w:val="0"/>
          <w:lang w:val="en-GB"/>
        </w:rPr>
        <w:t>)</w:t>
      </w:r>
      <w:r w:rsidRPr="00706304">
        <w:rPr>
          <w:snapToGrid w:val="0"/>
          <w:lang w:val="en-GB"/>
        </w:rPr>
        <w:t xml:space="preserve"> and</w:t>
      </w:r>
      <w:r w:rsidRPr="00E73337">
        <w:rPr>
          <w:snapToGrid w:val="0"/>
          <w:lang w:val="en-GB"/>
        </w:rPr>
        <w:t xml:space="preserve"> SASA collaborated to produce, from the public domain, a harmonized set of 9 SSR markers for potato variety differentiation which yield results that are both rob</w:t>
      </w:r>
      <w:r w:rsidR="008A4C63" w:rsidRPr="00E73337">
        <w:rPr>
          <w:snapToGrid w:val="0"/>
          <w:lang w:val="en-GB"/>
        </w:rPr>
        <w:t xml:space="preserve">ust and easy to interpret. </w:t>
      </w:r>
      <w:r w:rsidR="001A62CA" w:rsidRPr="00E73337">
        <w:rPr>
          <w:snapToGrid w:val="0"/>
          <w:lang w:val="en-GB"/>
        </w:rPr>
        <w:t xml:space="preserve"> </w:t>
      </w:r>
      <w:r w:rsidR="008A4C63" w:rsidRPr="00E73337">
        <w:rPr>
          <w:snapToGrid w:val="0"/>
          <w:lang w:val="en-GB"/>
        </w:rPr>
        <w:t>This </w:t>
      </w:r>
      <w:r w:rsidRPr="00E73337">
        <w:rPr>
          <w:snapToGrid w:val="0"/>
          <w:lang w:val="en-GB"/>
        </w:rPr>
        <w:t>set</w:t>
      </w:r>
      <w:r w:rsidR="001A62CA" w:rsidRPr="00E73337">
        <w:rPr>
          <w:snapToGrid w:val="0"/>
          <w:lang w:val="en-GB"/>
        </w:rPr>
        <w:t xml:space="preserve"> </w:t>
      </w:r>
      <w:r w:rsidRPr="00E73337">
        <w:rPr>
          <w:snapToGrid w:val="0"/>
          <w:lang w:val="en-GB"/>
        </w:rPr>
        <w:t xml:space="preserve">of 9 markers has been used for the European </w:t>
      </w:r>
      <w:r w:rsidR="008A4C63" w:rsidRPr="00E73337">
        <w:rPr>
          <w:snapToGrid w:val="0"/>
          <w:lang w:val="en-GB"/>
        </w:rPr>
        <w:t>Potato Database since 2006 (</w:t>
      </w:r>
      <w:r w:rsidR="001A62CA" w:rsidRPr="00E73337">
        <w:rPr>
          <w:snapToGrid w:val="0"/>
          <w:lang w:val="en-GB"/>
        </w:rPr>
        <w:t>s</w:t>
      </w:r>
      <w:r w:rsidR="008A4C63" w:rsidRPr="00E73337">
        <w:rPr>
          <w:snapToGrid w:val="0"/>
          <w:lang w:val="en-GB"/>
        </w:rPr>
        <w:t>ee </w:t>
      </w:r>
      <w:r w:rsidR="001A62CA" w:rsidRPr="00E73337">
        <w:rPr>
          <w:snapToGrid w:val="0"/>
          <w:lang w:val="en-GB"/>
        </w:rPr>
        <w:t>documents </w:t>
      </w:r>
      <w:r w:rsidRPr="00E73337">
        <w:rPr>
          <w:snapToGrid w:val="0"/>
          <w:lang w:val="en-GB"/>
        </w:rPr>
        <w:t>BMT</w:t>
      </w:r>
      <w:r w:rsidR="00924774" w:rsidRPr="00E73337">
        <w:rPr>
          <w:snapToGrid w:val="0"/>
          <w:lang w:val="en-GB"/>
        </w:rPr>
        <w:noBreakHyphen/>
      </w:r>
      <w:r w:rsidRPr="00E73337">
        <w:rPr>
          <w:snapToGrid w:val="0"/>
          <w:lang w:val="en-GB"/>
        </w:rPr>
        <w:t xml:space="preserve">TWA/POTATO/1/4, BMT/10/5, BMT/11/9 and BMT/11/10 for background). </w:t>
      </w:r>
      <w:r w:rsidR="001A62CA" w:rsidRPr="00E73337">
        <w:rPr>
          <w:snapToGrid w:val="0"/>
          <w:lang w:val="en-GB"/>
        </w:rPr>
        <w:t xml:space="preserve"> </w:t>
      </w:r>
      <w:r w:rsidRPr="00E73337">
        <w:rPr>
          <w:snapToGrid w:val="0"/>
          <w:lang w:val="en-GB"/>
        </w:rPr>
        <w:t xml:space="preserve">During the initial stages both laboratories carrying out the molecular work used a similar capillary based platform making harmonization ‘relatively’ easy. </w:t>
      </w:r>
      <w:r w:rsidR="001A62CA" w:rsidRPr="00E73337">
        <w:rPr>
          <w:snapToGrid w:val="0"/>
          <w:lang w:val="en-GB"/>
        </w:rPr>
        <w:t xml:space="preserve"> </w:t>
      </w:r>
      <w:r w:rsidRPr="00E73337">
        <w:rPr>
          <w:snapToGrid w:val="0"/>
          <w:lang w:val="en-GB"/>
        </w:rPr>
        <w:t xml:space="preserve">The first European potato project ran from 2006 to 2008 and typed around 900 varieties in the EU Common Catalogue. </w:t>
      </w:r>
      <w:r w:rsidR="001A62CA" w:rsidRPr="00E73337">
        <w:rPr>
          <w:snapToGrid w:val="0"/>
          <w:lang w:val="en-GB"/>
        </w:rPr>
        <w:t xml:space="preserve"> </w:t>
      </w:r>
      <w:r w:rsidRPr="00E73337">
        <w:rPr>
          <w:snapToGrid w:val="0"/>
          <w:lang w:val="en-GB"/>
        </w:rPr>
        <w:t xml:space="preserve">A few years elapsed between the end of this first project and two subsequent projects. </w:t>
      </w:r>
      <w:r w:rsidR="001A62CA" w:rsidRPr="00E73337">
        <w:rPr>
          <w:snapToGrid w:val="0"/>
          <w:lang w:val="en-GB"/>
        </w:rPr>
        <w:t xml:space="preserve"> </w:t>
      </w:r>
      <w:r w:rsidRPr="00E73337">
        <w:rPr>
          <w:snapToGrid w:val="0"/>
          <w:lang w:val="en-GB"/>
        </w:rPr>
        <w:t>During this time</w:t>
      </w:r>
      <w:r w:rsidR="001A62CA" w:rsidRPr="00E73337">
        <w:rPr>
          <w:snapToGrid w:val="0"/>
          <w:lang w:val="en-GB"/>
        </w:rPr>
        <w:t>,</w:t>
      </w:r>
      <w:r w:rsidRPr="00E73337">
        <w:rPr>
          <w:snapToGrid w:val="0"/>
          <w:lang w:val="en-GB"/>
        </w:rPr>
        <w:t xml:space="preserve"> the SSR analysis of potato varieties in the Netherlands moved to Naktuinbouw and was set up using a different gel based platform. </w:t>
      </w:r>
      <w:r w:rsidR="001A62CA" w:rsidRPr="00E73337">
        <w:rPr>
          <w:snapToGrid w:val="0"/>
          <w:lang w:val="en-GB"/>
        </w:rPr>
        <w:t xml:space="preserve"> </w:t>
      </w:r>
      <w:r w:rsidRPr="00E73337">
        <w:rPr>
          <w:snapToGrid w:val="0"/>
          <w:lang w:val="en-GB"/>
        </w:rPr>
        <w:t>Between 2008 and 2011</w:t>
      </w:r>
      <w:r w:rsidR="001A62CA" w:rsidRPr="00E73337">
        <w:rPr>
          <w:snapToGrid w:val="0"/>
          <w:lang w:val="en-GB"/>
        </w:rPr>
        <w:t>,</w:t>
      </w:r>
      <w:r w:rsidRPr="00E73337">
        <w:rPr>
          <w:snapToGrid w:val="0"/>
          <w:lang w:val="en-GB"/>
        </w:rPr>
        <w:t xml:space="preserve"> </w:t>
      </w:r>
      <w:r w:rsidR="00924774" w:rsidRPr="00E73337">
        <w:rPr>
          <w:snapToGrid w:val="0"/>
          <w:lang w:val="en-GB"/>
        </w:rPr>
        <w:t>t</w:t>
      </w:r>
      <w:r w:rsidRPr="00E73337">
        <w:rPr>
          <w:snapToGrid w:val="0"/>
          <w:lang w:val="en-GB"/>
        </w:rPr>
        <w:t>he U</w:t>
      </w:r>
      <w:r w:rsidR="00924774" w:rsidRPr="00E73337">
        <w:rPr>
          <w:snapToGrid w:val="0"/>
          <w:lang w:val="en-GB"/>
        </w:rPr>
        <w:t xml:space="preserve">nited </w:t>
      </w:r>
      <w:r w:rsidRPr="00E73337">
        <w:rPr>
          <w:snapToGrid w:val="0"/>
          <w:lang w:val="en-GB"/>
        </w:rPr>
        <w:t>K</w:t>
      </w:r>
      <w:r w:rsidR="00924774" w:rsidRPr="00E73337">
        <w:rPr>
          <w:snapToGrid w:val="0"/>
          <w:lang w:val="en-GB"/>
        </w:rPr>
        <w:t>ingdom</w:t>
      </w:r>
      <w:r w:rsidRPr="00E73337">
        <w:rPr>
          <w:snapToGrid w:val="0"/>
          <w:lang w:val="en-GB"/>
        </w:rPr>
        <w:t xml:space="preserve"> and</w:t>
      </w:r>
      <w:r w:rsidR="00924774" w:rsidRPr="00E73337">
        <w:rPr>
          <w:snapToGrid w:val="0"/>
          <w:lang w:val="en-GB"/>
        </w:rPr>
        <w:t xml:space="preserve"> the </w:t>
      </w:r>
      <w:r w:rsidRPr="00E73337">
        <w:rPr>
          <w:snapToGrid w:val="0"/>
          <w:lang w:val="en-GB"/>
        </w:rPr>
        <w:t>N</w:t>
      </w:r>
      <w:r w:rsidR="00924774" w:rsidRPr="00E73337">
        <w:rPr>
          <w:snapToGrid w:val="0"/>
          <w:lang w:val="en-GB"/>
        </w:rPr>
        <w:t>etherlands</w:t>
      </w:r>
      <w:r w:rsidRPr="00E73337">
        <w:rPr>
          <w:snapToGrid w:val="0"/>
          <w:lang w:val="en-GB"/>
        </w:rPr>
        <w:t xml:space="preserve"> both continued to independently add varieties to their database and in 2012</w:t>
      </w:r>
      <w:r w:rsidR="001A62CA" w:rsidRPr="00E73337">
        <w:rPr>
          <w:snapToGrid w:val="0"/>
          <w:lang w:val="en-GB"/>
        </w:rPr>
        <w:t>,</w:t>
      </w:r>
      <w:r w:rsidRPr="00E73337">
        <w:rPr>
          <w:snapToGrid w:val="0"/>
          <w:lang w:val="en-GB"/>
        </w:rPr>
        <w:t xml:space="preserve"> a follow up project was arranged to update the database with varieties added to the Common Catalogue by all of t</w:t>
      </w:r>
      <w:r w:rsidR="00B573FF">
        <w:rPr>
          <w:snapToGrid w:val="0"/>
          <w:lang w:val="en-GB"/>
        </w:rPr>
        <w:t>he original project partners. A </w:t>
      </w:r>
      <w:r w:rsidRPr="00E73337">
        <w:rPr>
          <w:snapToGrid w:val="0"/>
          <w:lang w:val="en-GB"/>
        </w:rPr>
        <w:t>second project (</w:t>
      </w:r>
      <w:r w:rsidR="001A62CA" w:rsidRPr="00E73337">
        <w:rPr>
          <w:snapToGrid w:val="0"/>
          <w:lang w:val="en-GB"/>
        </w:rPr>
        <w:t>an</w:t>
      </w:r>
      <w:r w:rsidRPr="00E73337">
        <w:rPr>
          <w:snapToGrid w:val="0"/>
          <w:lang w:val="en-GB"/>
        </w:rPr>
        <w:t xml:space="preserve"> European Potato database as centralized collection of varieties of common knowledge) ran between 2014 to 2015 and included all 9 entrusted Examination Offices for potato in the EU. </w:t>
      </w:r>
      <w:r w:rsidR="001A62CA" w:rsidRPr="00E73337">
        <w:rPr>
          <w:snapToGrid w:val="0"/>
          <w:lang w:val="en-GB"/>
        </w:rPr>
        <w:t xml:space="preserve"> </w:t>
      </w:r>
      <w:r w:rsidRPr="00E73337">
        <w:rPr>
          <w:snapToGrid w:val="0"/>
          <w:lang w:val="en-GB"/>
        </w:rPr>
        <w:t>The third and final project followed on from this (Construction of a European Potato database with varieties of common knowledge and its implementation in the potato DUS testing system). During these subsequent projects</w:t>
      </w:r>
      <w:r w:rsidR="001A62CA" w:rsidRPr="00E73337">
        <w:rPr>
          <w:snapToGrid w:val="0"/>
          <w:lang w:val="en-GB"/>
        </w:rPr>
        <w:t>,</w:t>
      </w:r>
      <w:r w:rsidR="00B573FF">
        <w:rPr>
          <w:snapToGrid w:val="0"/>
          <w:lang w:val="en-GB"/>
        </w:rPr>
        <w:t xml:space="preserve"> the </w:t>
      </w:r>
      <w:r w:rsidR="00924774" w:rsidRPr="00E73337">
        <w:rPr>
          <w:snapToGrid w:val="0"/>
          <w:lang w:val="en-GB"/>
        </w:rPr>
        <w:t>United Kingdom and the Netherlands</w:t>
      </w:r>
      <w:r w:rsidRPr="00E73337">
        <w:rPr>
          <w:snapToGrid w:val="0"/>
          <w:lang w:val="en-GB"/>
        </w:rPr>
        <w:t xml:space="preserve"> laboratories had to undertake additional harmonization due to the differing platforms used in the two labs. </w:t>
      </w:r>
    </w:p>
    <w:p w:rsidR="006217E8" w:rsidRPr="006217E8" w:rsidRDefault="006217E8" w:rsidP="006217E8">
      <w:pPr>
        <w:rPr>
          <w:snapToGrid w:val="0"/>
          <w:lang w:val="en-GB"/>
        </w:rPr>
      </w:pPr>
    </w:p>
    <w:p w:rsidR="006217E8" w:rsidRDefault="006217E8" w:rsidP="00E73337">
      <w:pPr>
        <w:pStyle w:val="ListParagraph"/>
        <w:numPr>
          <w:ilvl w:val="0"/>
          <w:numId w:val="4"/>
        </w:numPr>
        <w:ind w:left="0" w:firstLine="0"/>
        <w:rPr>
          <w:snapToGrid w:val="0"/>
          <w:lang w:val="en-GB"/>
        </w:rPr>
      </w:pPr>
      <w:r w:rsidRPr="006217E8">
        <w:rPr>
          <w:snapToGrid w:val="0"/>
          <w:lang w:val="en-GB"/>
        </w:rPr>
        <w:t>The experience of the two labs is that reproducibility is generally high but that discrepancies can occur between the labs and that these generally fall into five categories.</w:t>
      </w:r>
    </w:p>
    <w:p w:rsidR="00924774" w:rsidRPr="006217E8" w:rsidRDefault="00924774" w:rsidP="006217E8">
      <w:pPr>
        <w:rPr>
          <w:snapToGrid w:val="0"/>
          <w:lang w:val="en-GB"/>
        </w:rPr>
      </w:pPr>
    </w:p>
    <w:p w:rsidR="006217E8" w:rsidRPr="00706304" w:rsidRDefault="00E73337" w:rsidP="00582ACE">
      <w:pPr>
        <w:ind w:left="567"/>
        <w:rPr>
          <w:b/>
          <w:bCs/>
          <w:snapToGrid w:val="0"/>
          <w:lang w:val="en-GB"/>
        </w:rPr>
      </w:pPr>
      <w:r w:rsidRPr="00706304">
        <w:rPr>
          <w:snapToGrid w:val="0"/>
          <w:lang w:val="en-GB"/>
        </w:rPr>
        <w:t>Category 1.</w:t>
      </w:r>
      <w:r w:rsidRPr="00706304">
        <w:rPr>
          <w:snapToGrid w:val="0"/>
          <w:lang w:val="en-GB"/>
        </w:rPr>
        <w:tab/>
      </w:r>
      <w:r w:rsidR="006217E8" w:rsidRPr="00706304">
        <w:rPr>
          <w:snapToGrid w:val="0"/>
          <w:lang w:val="en-GB"/>
        </w:rPr>
        <w:t>There is a new allele (for example</w:t>
      </w:r>
      <w:r w:rsidR="001A62CA" w:rsidRPr="00706304">
        <w:rPr>
          <w:snapToGrid w:val="0"/>
          <w:lang w:val="en-GB"/>
        </w:rPr>
        <w:t>,</w:t>
      </w:r>
      <w:r w:rsidR="006217E8" w:rsidRPr="00706304">
        <w:rPr>
          <w:snapToGrid w:val="0"/>
          <w:lang w:val="en-GB"/>
        </w:rPr>
        <w:t xml:space="preserve"> the allele-bin for 2028 F</w:t>
      </w:r>
      <w:r w:rsidR="001A62CA" w:rsidRPr="00706304">
        <w:rPr>
          <w:snapToGrid w:val="0"/>
          <w:lang w:val="en-GB"/>
        </w:rPr>
        <w:t>,</w:t>
      </w:r>
      <w:r w:rsidR="006217E8" w:rsidRPr="00706304">
        <w:rPr>
          <w:snapToGrid w:val="0"/>
          <w:lang w:val="en-GB"/>
        </w:rPr>
        <w:t xml:space="preserve"> actually contained 2 separate alleles now called F and K). </w:t>
      </w:r>
      <w:r w:rsidR="001A62CA" w:rsidRPr="00706304">
        <w:rPr>
          <w:snapToGrid w:val="0"/>
          <w:lang w:val="en-GB"/>
        </w:rPr>
        <w:t xml:space="preserve"> </w:t>
      </w:r>
      <w:r w:rsidR="006217E8" w:rsidRPr="00706304">
        <w:rPr>
          <w:snapToGrid w:val="0"/>
          <w:lang w:val="en-GB"/>
        </w:rPr>
        <w:t xml:space="preserve">These differences are normally resolved fairly easily by the labs agreeing on the presence of a new allele. – </w:t>
      </w:r>
      <w:r w:rsidR="006217E8" w:rsidRPr="00706304">
        <w:rPr>
          <w:b/>
          <w:bCs/>
          <w:snapToGrid w:val="0"/>
          <w:lang w:val="en-GB"/>
        </w:rPr>
        <w:t xml:space="preserve">3 % </w:t>
      </w:r>
    </w:p>
    <w:p w:rsidR="00924774" w:rsidRPr="00706304" w:rsidRDefault="00924774" w:rsidP="006217E8">
      <w:pPr>
        <w:rPr>
          <w:snapToGrid w:val="0"/>
          <w:lang w:val="en-GB"/>
        </w:rPr>
      </w:pPr>
    </w:p>
    <w:p w:rsidR="006217E8" w:rsidRPr="00706304" w:rsidRDefault="00E73337" w:rsidP="00582ACE">
      <w:pPr>
        <w:ind w:left="567"/>
        <w:rPr>
          <w:b/>
          <w:bCs/>
          <w:snapToGrid w:val="0"/>
          <w:lang w:val="en-GB"/>
        </w:rPr>
      </w:pPr>
      <w:r w:rsidRPr="00706304">
        <w:rPr>
          <w:snapToGrid w:val="0"/>
          <w:lang w:val="en-GB"/>
        </w:rPr>
        <w:t>Category 2.</w:t>
      </w:r>
      <w:r w:rsidRPr="00706304">
        <w:rPr>
          <w:snapToGrid w:val="0"/>
          <w:lang w:val="en-GB"/>
        </w:rPr>
        <w:tab/>
      </w:r>
      <w:r w:rsidR="006217E8" w:rsidRPr="00706304">
        <w:rPr>
          <w:snapToGrid w:val="0"/>
          <w:lang w:val="en-GB"/>
        </w:rPr>
        <w:t xml:space="preserve">An allele was miscalled by one lab (can either be missed completely or assigned an incorrect letter). </w:t>
      </w:r>
      <w:r w:rsidR="001A62CA" w:rsidRPr="00706304">
        <w:rPr>
          <w:snapToGrid w:val="0"/>
          <w:lang w:val="en-GB"/>
        </w:rPr>
        <w:t xml:space="preserve"> </w:t>
      </w:r>
      <w:r w:rsidR="006217E8" w:rsidRPr="00706304">
        <w:rPr>
          <w:snapToGrid w:val="0"/>
          <w:lang w:val="en-GB"/>
        </w:rPr>
        <w:t>These are normally resolved fairly easily by both labs checking their data and agreeing on the correct call. –</w:t>
      </w:r>
      <w:r w:rsidR="001A62CA" w:rsidRPr="00706304">
        <w:rPr>
          <w:snapToGrid w:val="0"/>
          <w:lang w:val="en-GB"/>
        </w:rPr>
        <w:t xml:space="preserve"> </w:t>
      </w:r>
      <w:r w:rsidR="006217E8" w:rsidRPr="00706304">
        <w:rPr>
          <w:b/>
          <w:bCs/>
          <w:snapToGrid w:val="0"/>
          <w:lang w:val="en-GB"/>
        </w:rPr>
        <w:t xml:space="preserve">44 % </w:t>
      </w:r>
    </w:p>
    <w:p w:rsidR="00924774" w:rsidRPr="00706304" w:rsidRDefault="00924774" w:rsidP="006217E8">
      <w:pPr>
        <w:rPr>
          <w:snapToGrid w:val="0"/>
          <w:lang w:val="en-GB"/>
        </w:rPr>
      </w:pPr>
    </w:p>
    <w:p w:rsidR="006217E8" w:rsidRDefault="00E73337" w:rsidP="00582ACE">
      <w:pPr>
        <w:ind w:left="567"/>
        <w:rPr>
          <w:snapToGrid w:val="0"/>
          <w:lang w:val="en-GB"/>
        </w:rPr>
      </w:pPr>
      <w:r w:rsidRPr="00706304">
        <w:rPr>
          <w:snapToGrid w:val="0"/>
          <w:lang w:val="en-GB"/>
        </w:rPr>
        <w:t>Category 3.</w:t>
      </w:r>
      <w:r w:rsidRPr="00706304">
        <w:rPr>
          <w:snapToGrid w:val="0"/>
          <w:lang w:val="en-GB"/>
        </w:rPr>
        <w:tab/>
      </w:r>
      <w:r w:rsidR="006217E8" w:rsidRPr="00706304">
        <w:rPr>
          <w:snapToGrid w:val="0"/>
          <w:lang w:val="en-GB"/>
        </w:rPr>
        <w:t>There is</w:t>
      </w:r>
      <w:r w:rsidR="006217E8" w:rsidRPr="006217E8">
        <w:rPr>
          <w:snapToGrid w:val="0"/>
          <w:lang w:val="en-GB"/>
        </w:rPr>
        <w:t xml:space="preserve"> a genuine difference in the profiles obtained by the two labs. </w:t>
      </w:r>
      <w:r w:rsidR="001A62CA">
        <w:rPr>
          <w:snapToGrid w:val="0"/>
          <w:lang w:val="en-GB"/>
        </w:rPr>
        <w:t xml:space="preserve"> </w:t>
      </w:r>
      <w:r w:rsidR="006217E8" w:rsidRPr="006217E8">
        <w:rPr>
          <w:snapToGrid w:val="0"/>
          <w:lang w:val="en-GB"/>
        </w:rPr>
        <w:t>Fortunately a rare occurrence, usually the result of a sample with poor DNA quality that does not amplify well (2017/PL-006 was such a sample but between the two labs and two tubers it was possible to obtain a complete profile for this variety).</w:t>
      </w:r>
      <w:r w:rsidR="001A62CA">
        <w:rPr>
          <w:snapToGrid w:val="0"/>
          <w:lang w:val="en-GB"/>
        </w:rPr>
        <w:t xml:space="preserve"> </w:t>
      </w:r>
      <w:r w:rsidR="006217E8" w:rsidRPr="006217E8">
        <w:rPr>
          <w:snapToGrid w:val="0"/>
          <w:lang w:val="en-GB"/>
        </w:rPr>
        <w:t xml:space="preserve"> Alternatively, this can be caused by a mixture of varieties, this is very easy to spot as the profiles are very different. </w:t>
      </w:r>
      <w:r w:rsidR="001A62CA">
        <w:rPr>
          <w:snapToGrid w:val="0"/>
          <w:lang w:val="en-GB"/>
        </w:rPr>
        <w:t xml:space="preserve"> </w:t>
      </w:r>
      <w:r w:rsidR="006217E8" w:rsidRPr="006217E8">
        <w:rPr>
          <w:snapToGrid w:val="0"/>
          <w:lang w:val="en-GB"/>
        </w:rPr>
        <w:t>There were only two instances of this in 753 candidate samples and these data have not been counted for this analysis.</w:t>
      </w:r>
    </w:p>
    <w:p w:rsidR="00924774" w:rsidRPr="006217E8" w:rsidRDefault="00924774" w:rsidP="006217E8">
      <w:pPr>
        <w:rPr>
          <w:snapToGrid w:val="0"/>
          <w:lang w:val="en-GB"/>
        </w:rPr>
      </w:pPr>
    </w:p>
    <w:p w:rsidR="006217E8" w:rsidRPr="00706304" w:rsidRDefault="00E73337" w:rsidP="00582ACE">
      <w:pPr>
        <w:ind w:left="567"/>
        <w:rPr>
          <w:b/>
          <w:snapToGrid w:val="0"/>
          <w:lang w:val="en-GB"/>
        </w:rPr>
      </w:pPr>
      <w:r w:rsidRPr="00706304">
        <w:rPr>
          <w:snapToGrid w:val="0"/>
          <w:lang w:val="en-GB"/>
        </w:rPr>
        <w:lastRenderedPageBreak/>
        <w:t>Category 4.</w:t>
      </w:r>
      <w:r w:rsidRPr="00706304">
        <w:rPr>
          <w:snapToGrid w:val="0"/>
          <w:lang w:val="en-GB"/>
        </w:rPr>
        <w:tab/>
      </w:r>
      <w:r w:rsidR="006217E8" w:rsidRPr="00706304">
        <w:rPr>
          <w:snapToGrid w:val="0"/>
          <w:lang w:val="en-GB"/>
        </w:rPr>
        <w:t xml:space="preserve">An allele is called as questionable by one lab (the lab cannot decide whether to call an allele or not) and IS called by the other lab. – </w:t>
      </w:r>
      <w:r w:rsidR="006217E8" w:rsidRPr="00706304">
        <w:rPr>
          <w:b/>
          <w:snapToGrid w:val="0"/>
          <w:lang w:val="en-GB"/>
        </w:rPr>
        <w:t>17 %</w:t>
      </w:r>
    </w:p>
    <w:p w:rsidR="00924774" w:rsidRPr="00706304" w:rsidRDefault="00924774" w:rsidP="006217E8">
      <w:pPr>
        <w:rPr>
          <w:snapToGrid w:val="0"/>
          <w:lang w:val="en-GB"/>
        </w:rPr>
      </w:pPr>
    </w:p>
    <w:p w:rsidR="006217E8" w:rsidRDefault="00E73337" w:rsidP="00582ACE">
      <w:pPr>
        <w:ind w:left="567"/>
        <w:rPr>
          <w:b/>
          <w:snapToGrid w:val="0"/>
          <w:lang w:val="en-GB"/>
        </w:rPr>
      </w:pPr>
      <w:r w:rsidRPr="00706304">
        <w:rPr>
          <w:snapToGrid w:val="0"/>
          <w:lang w:val="en-GB"/>
        </w:rPr>
        <w:t>Category 5.</w:t>
      </w:r>
      <w:r w:rsidRPr="00706304">
        <w:rPr>
          <w:snapToGrid w:val="0"/>
          <w:lang w:val="en-GB"/>
        </w:rPr>
        <w:tab/>
      </w:r>
      <w:r w:rsidR="006217E8" w:rsidRPr="00706304">
        <w:rPr>
          <w:snapToGrid w:val="0"/>
          <w:lang w:val="en-GB"/>
        </w:rPr>
        <w:t>An allele is called as questionable by one lab (the lab cannot decide whether to call an allele or not) and is</w:t>
      </w:r>
      <w:r w:rsidR="006217E8" w:rsidRPr="006217E8">
        <w:rPr>
          <w:snapToGrid w:val="0"/>
          <w:lang w:val="en-GB"/>
        </w:rPr>
        <w:t xml:space="preserve"> NOT called by the other lab. – </w:t>
      </w:r>
      <w:r w:rsidR="006217E8" w:rsidRPr="006217E8">
        <w:rPr>
          <w:b/>
          <w:snapToGrid w:val="0"/>
          <w:lang w:val="en-GB"/>
        </w:rPr>
        <w:t>36 %</w:t>
      </w:r>
    </w:p>
    <w:p w:rsidR="0045465B" w:rsidRPr="006217E8" w:rsidRDefault="0045465B" w:rsidP="006217E8">
      <w:pPr>
        <w:rPr>
          <w:snapToGrid w:val="0"/>
          <w:lang w:val="en-GB"/>
        </w:rPr>
      </w:pPr>
    </w:p>
    <w:p w:rsidR="006217E8" w:rsidRPr="006217E8" w:rsidRDefault="006217E8" w:rsidP="00E73337">
      <w:pPr>
        <w:pStyle w:val="ListParagraph"/>
        <w:numPr>
          <w:ilvl w:val="0"/>
          <w:numId w:val="4"/>
        </w:numPr>
        <w:ind w:left="0" w:firstLine="0"/>
        <w:rPr>
          <w:snapToGrid w:val="0"/>
        </w:rPr>
      </w:pPr>
      <w:r w:rsidRPr="006217E8">
        <w:rPr>
          <w:snapToGrid w:val="0"/>
        </w:rPr>
        <w:t>A considerable number of discrepancies were observed as shown in the following table.</w:t>
      </w:r>
      <w:r w:rsidR="001A62CA">
        <w:rPr>
          <w:snapToGrid w:val="0"/>
        </w:rPr>
        <w:t xml:space="preserve">  </w:t>
      </w:r>
      <w:r w:rsidRPr="006217E8">
        <w:rPr>
          <w:snapToGrid w:val="0"/>
        </w:rPr>
        <w:t>Better harmonization was reached since 2013 but there are still 20-25% of samples where clarification between the labs is necessary, at least for one maker.</w:t>
      </w:r>
    </w:p>
    <w:p w:rsidR="006217E8" w:rsidRPr="006217E8" w:rsidRDefault="006217E8" w:rsidP="006217E8">
      <w:pPr>
        <w:rPr>
          <w:snapToGrid w:val="0"/>
        </w:rPr>
      </w:pPr>
    </w:p>
    <w:tbl>
      <w:tblPr>
        <w:tblW w:w="5502" w:type="dxa"/>
        <w:jc w:val="center"/>
        <w:tblLook w:val="04A0" w:firstRow="1" w:lastRow="0" w:firstColumn="1" w:lastColumn="0" w:noHBand="0" w:noVBand="1"/>
      </w:tblPr>
      <w:tblGrid>
        <w:gridCol w:w="742"/>
        <w:gridCol w:w="1173"/>
        <w:gridCol w:w="1799"/>
        <w:gridCol w:w="1788"/>
      </w:tblGrid>
      <w:tr w:rsidR="006217E8" w:rsidRPr="006217E8" w:rsidTr="00CA742F">
        <w:trPr>
          <w:trHeight w:val="326"/>
          <w:jc w:val="center"/>
        </w:trPr>
        <w:tc>
          <w:tcPr>
            <w:tcW w:w="74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217E8" w:rsidRPr="006217E8" w:rsidRDefault="006217E8" w:rsidP="006217E8">
            <w:pPr>
              <w:rPr>
                <w:snapToGrid w:val="0"/>
              </w:rPr>
            </w:pPr>
            <w:r w:rsidRPr="006217E8">
              <w:rPr>
                <w:snapToGrid w:val="0"/>
              </w:rPr>
              <w:t>Year</w:t>
            </w:r>
          </w:p>
        </w:tc>
        <w:tc>
          <w:tcPr>
            <w:tcW w:w="1173" w:type="dxa"/>
            <w:tcBorders>
              <w:top w:val="single" w:sz="8" w:space="0" w:color="auto"/>
              <w:left w:val="nil"/>
              <w:bottom w:val="single" w:sz="8" w:space="0" w:color="auto"/>
              <w:right w:val="single" w:sz="4" w:space="0" w:color="auto"/>
            </w:tcBorders>
            <w:shd w:val="clear" w:color="auto" w:fill="auto"/>
            <w:noWrap/>
            <w:vAlign w:val="bottom"/>
            <w:hideMark/>
          </w:tcPr>
          <w:p w:rsidR="006217E8" w:rsidRPr="006217E8" w:rsidRDefault="006217E8" w:rsidP="006217E8">
            <w:pPr>
              <w:rPr>
                <w:snapToGrid w:val="0"/>
              </w:rPr>
            </w:pPr>
            <w:r w:rsidRPr="006217E8">
              <w:rPr>
                <w:snapToGrid w:val="0"/>
              </w:rPr>
              <w:t># samples</w:t>
            </w:r>
          </w:p>
        </w:tc>
        <w:tc>
          <w:tcPr>
            <w:tcW w:w="1799" w:type="dxa"/>
            <w:tcBorders>
              <w:top w:val="single" w:sz="8" w:space="0" w:color="auto"/>
              <w:left w:val="nil"/>
              <w:bottom w:val="single" w:sz="8" w:space="0" w:color="auto"/>
              <w:right w:val="single" w:sz="4" w:space="0" w:color="auto"/>
            </w:tcBorders>
            <w:shd w:val="clear" w:color="auto" w:fill="auto"/>
            <w:noWrap/>
            <w:vAlign w:val="bottom"/>
            <w:hideMark/>
          </w:tcPr>
          <w:p w:rsidR="006217E8" w:rsidRPr="006217E8" w:rsidRDefault="006217E8" w:rsidP="006217E8">
            <w:pPr>
              <w:rPr>
                <w:snapToGrid w:val="0"/>
              </w:rPr>
            </w:pPr>
            <w:r w:rsidRPr="006217E8">
              <w:rPr>
                <w:snapToGrid w:val="0"/>
              </w:rPr>
              <w:t># discrepancies</w:t>
            </w:r>
          </w:p>
        </w:tc>
        <w:tc>
          <w:tcPr>
            <w:tcW w:w="1788" w:type="dxa"/>
            <w:tcBorders>
              <w:top w:val="single" w:sz="8" w:space="0" w:color="auto"/>
              <w:left w:val="nil"/>
              <w:bottom w:val="single" w:sz="8" w:space="0" w:color="auto"/>
              <w:right w:val="single" w:sz="8" w:space="0" w:color="auto"/>
            </w:tcBorders>
            <w:shd w:val="clear" w:color="auto" w:fill="auto"/>
            <w:noWrap/>
            <w:vAlign w:val="bottom"/>
            <w:hideMark/>
          </w:tcPr>
          <w:p w:rsidR="006217E8" w:rsidRPr="006217E8" w:rsidRDefault="006217E8" w:rsidP="006217E8">
            <w:pPr>
              <w:rPr>
                <w:snapToGrid w:val="0"/>
              </w:rPr>
            </w:pPr>
            <w:r w:rsidRPr="006217E8">
              <w:rPr>
                <w:snapToGrid w:val="0"/>
              </w:rPr>
              <w:t>discrepancy %</w:t>
            </w:r>
          </w:p>
        </w:tc>
      </w:tr>
      <w:tr w:rsidR="006217E8" w:rsidRPr="006217E8" w:rsidTr="00CA742F">
        <w:trPr>
          <w:trHeight w:val="311"/>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2013</w:t>
            </w:r>
          </w:p>
        </w:tc>
        <w:tc>
          <w:tcPr>
            <w:tcW w:w="1173"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121</w:t>
            </w:r>
          </w:p>
        </w:tc>
        <w:tc>
          <w:tcPr>
            <w:tcW w:w="1799"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74</w:t>
            </w:r>
          </w:p>
        </w:tc>
        <w:tc>
          <w:tcPr>
            <w:tcW w:w="1788" w:type="dxa"/>
            <w:tcBorders>
              <w:top w:val="nil"/>
              <w:left w:val="nil"/>
              <w:bottom w:val="single" w:sz="4" w:space="0" w:color="auto"/>
              <w:right w:val="single" w:sz="8"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61.2</w:t>
            </w:r>
          </w:p>
        </w:tc>
      </w:tr>
      <w:tr w:rsidR="006217E8" w:rsidRPr="006217E8" w:rsidTr="00CA742F">
        <w:trPr>
          <w:trHeight w:val="311"/>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2014</w:t>
            </w:r>
          </w:p>
        </w:tc>
        <w:tc>
          <w:tcPr>
            <w:tcW w:w="1173"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208</w:t>
            </w:r>
          </w:p>
        </w:tc>
        <w:tc>
          <w:tcPr>
            <w:tcW w:w="1799"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82</w:t>
            </w:r>
          </w:p>
        </w:tc>
        <w:tc>
          <w:tcPr>
            <w:tcW w:w="1788" w:type="dxa"/>
            <w:tcBorders>
              <w:top w:val="nil"/>
              <w:left w:val="nil"/>
              <w:bottom w:val="single" w:sz="4" w:space="0" w:color="auto"/>
              <w:right w:val="single" w:sz="8"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39.4</w:t>
            </w:r>
          </w:p>
        </w:tc>
      </w:tr>
      <w:tr w:rsidR="006217E8" w:rsidRPr="006217E8" w:rsidTr="00CA742F">
        <w:trPr>
          <w:trHeight w:val="311"/>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2015</w:t>
            </w:r>
          </w:p>
        </w:tc>
        <w:tc>
          <w:tcPr>
            <w:tcW w:w="1173"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156</w:t>
            </w:r>
          </w:p>
        </w:tc>
        <w:tc>
          <w:tcPr>
            <w:tcW w:w="1799"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32</w:t>
            </w:r>
          </w:p>
        </w:tc>
        <w:tc>
          <w:tcPr>
            <w:tcW w:w="1788" w:type="dxa"/>
            <w:tcBorders>
              <w:top w:val="nil"/>
              <w:left w:val="nil"/>
              <w:bottom w:val="single" w:sz="4" w:space="0" w:color="auto"/>
              <w:right w:val="single" w:sz="8"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20.5</w:t>
            </w:r>
          </w:p>
        </w:tc>
      </w:tr>
      <w:tr w:rsidR="006217E8" w:rsidRPr="006217E8" w:rsidTr="00CA742F">
        <w:trPr>
          <w:trHeight w:val="311"/>
          <w:jc w:val="center"/>
        </w:trPr>
        <w:tc>
          <w:tcPr>
            <w:tcW w:w="742" w:type="dxa"/>
            <w:tcBorders>
              <w:top w:val="nil"/>
              <w:left w:val="single" w:sz="8" w:space="0" w:color="auto"/>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2016</w:t>
            </w:r>
          </w:p>
        </w:tc>
        <w:tc>
          <w:tcPr>
            <w:tcW w:w="1173"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147</w:t>
            </w:r>
          </w:p>
        </w:tc>
        <w:tc>
          <w:tcPr>
            <w:tcW w:w="1799" w:type="dxa"/>
            <w:tcBorders>
              <w:top w:val="nil"/>
              <w:left w:val="nil"/>
              <w:bottom w:val="single" w:sz="4"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36</w:t>
            </w:r>
          </w:p>
        </w:tc>
        <w:tc>
          <w:tcPr>
            <w:tcW w:w="1788" w:type="dxa"/>
            <w:tcBorders>
              <w:top w:val="nil"/>
              <w:left w:val="nil"/>
              <w:bottom w:val="single" w:sz="4" w:space="0" w:color="auto"/>
              <w:right w:val="single" w:sz="8"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24.5</w:t>
            </w:r>
          </w:p>
        </w:tc>
      </w:tr>
      <w:tr w:rsidR="006217E8" w:rsidRPr="006217E8" w:rsidTr="00CA742F">
        <w:trPr>
          <w:trHeight w:val="326"/>
          <w:jc w:val="center"/>
        </w:trPr>
        <w:tc>
          <w:tcPr>
            <w:tcW w:w="742" w:type="dxa"/>
            <w:tcBorders>
              <w:top w:val="nil"/>
              <w:left w:val="single" w:sz="8" w:space="0" w:color="auto"/>
              <w:bottom w:val="single" w:sz="8"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2017</w:t>
            </w:r>
          </w:p>
        </w:tc>
        <w:tc>
          <w:tcPr>
            <w:tcW w:w="1173" w:type="dxa"/>
            <w:tcBorders>
              <w:top w:val="nil"/>
              <w:left w:val="nil"/>
              <w:bottom w:val="single" w:sz="8"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121</w:t>
            </w:r>
          </w:p>
        </w:tc>
        <w:tc>
          <w:tcPr>
            <w:tcW w:w="1799" w:type="dxa"/>
            <w:tcBorders>
              <w:top w:val="nil"/>
              <w:left w:val="nil"/>
              <w:bottom w:val="single" w:sz="8" w:space="0" w:color="auto"/>
              <w:right w:val="single" w:sz="4"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27</w:t>
            </w:r>
          </w:p>
        </w:tc>
        <w:tc>
          <w:tcPr>
            <w:tcW w:w="1788" w:type="dxa"/>
            <w:tcBorders>
              <w:top w:val="nil"/>
              <w:left w:val="nil"/>
              <w:bottom w:val="single" w:sz="8" w:space="0" w:color="auto"/>
              <w:right w:val="single" w:sz="8" w:space="0" w:color="auto"/>
            </w:tcBorders>
            <w:shd w:val="clear" w:color="auto" w:fill="auto"/>
            <w:noWrap/>
            <w:vAlign w:val="bottom"/>
            <w:hideMark/>
          </w:tcPr>
          <w:p w:rsidR="006217E8" w:rsidRPr="006217E8" w:rsidRDefault="006217E8" w:rsidP="00CA742F">
            <w:pPr>
              <w:jc w:val="center"/>
              <w:rPr>
                <w:snapToGrid w:val="0"/>
              </w:rPr>
            </w:pPr>
            <w:r w:rsidRPr="006217E8">
              <w:rPr>
                <w:snapToGrid w:val="0"/>
              </w:rPr>
              <w:t>22.3</w:t>
            </w:r>
          </w:p>
        </w:tc>
      </w:tr>
      <w:tr w:rsidR="006217E8" w:rsidRPr="006217E8" w:rsidTr="00CA742F">
        <w:trPr>
          <w:trHeight w:val="326"/>
          <w:jc w:val="center"/>
        </w:trPr>
        <w:tc>
          <w:tcPr>
            <w:tcW w:w="742" w:type="dxa"/>
            <w:tcBorders>
              <w:top w:val="single" w:sz="8" w:space="0" w:color="auto"/>
              <w:left w:val="single" w:sz="8" w:space="0" w:color="auto"/>
              <w:bottom w:val="single" w:sz="4" w:space="0" w:color="auto"/>
              <w:right w:val="single" w:sz="4" w:space="0" w:color="auto"/>
            </w:tcBorders>
            <w:shd w:val="clear" w:color="auto" w:fill="auto"/>
            <w:noWrap/>
            <w:vAlign w:val="bottom"/>
          </w:tcPr>
          <w:p w:rsidR="006217E8" w:rsidRPr="006217E8" w:rsidRDefault="006217E8" w:rsidP="00CA742F">
            <w:pPr>
              <w:jc w:val="center"/>
              <w:rPr>
                <w:snapToGrid w:val="0"/>
              </w:rPr>
            </w:pPr>
            <w:r w:rsidRPr="006217E8">
              <w:rPr>
                <w:snapToGrid w:val="0"/>
              </w:rPr>
              <w:t>2018</w:t>
            </w:r>
          </w:p>
        </w:tc>
        <w:tc>
          <w:tcPr>
            <w:tcW w:w="1173" w:type="dxa"/>
            <w:tcBorders>
              <w:top w:val="single" w:sz="8" w:space="0" w:color="auto"/>
              <w:left w:val="nil"/>
              <w:bottom w:val="single" w:sz="4" w:space="0" w:color="auto"/>
              <w:right w:val="single" w:sz="4" w:space="0" w:color="auto"/>
            </w:tcBorders>
            <w:shd w:val="clear" w:color="auto" w:fill="auto"/>
            <w:noWrap/>
            <w:vAlign w:val="center"/>
          </w:tcPr>
          <w:p w:rsidR="006217E8" w:rsidRPr="006217E8" w:rsidRDefault="006217E8" w:rsidP="00CA742F">
            <w:pPr>
              <w:jc w:val="center"/>
              <w:rPr>
                <w:snapToGrid w:val="0"/>
              </w:rPr>
            </w:pPr>
            <w:r w:rsidRPr="006217E8">
              <w:rPr>
                <w:snapToGrid w:val="0"/>
              </w:rPr>
              <w:t>116</w:t>
            </w:r>
          </w:p>
        </w:tc>
        <w:tc>
          <w:tcPr>
            <w:tcW w:w="1799" w:type="dxa"/>
            <w:tcBorders>
              <w:top w:val="single" w:sz="8" w:space="0" w:color="auto"/>
              <w:left w:val="nil"/>
              <w:bottom w:val="single" w:sz="4" w:space="0" w:color="auto"/>
              <w:right w:val="single" w:sz="4" w:space="0" w:color="auto"/>
            </w:tcBorders>
            <w:shd w:val="clear" w:color="auto" w:fill="auto"/>
            <w:noWrap/>
            <w:vAlign w:val="center"/>
          </w:tcPr>
          <w:p w:rsidR="006217E8" w:rsidRPr="006217E8" w:rsidRDefault="006217E8" w:rsidP="00CA742F">
            <w:pPr>
              <w:jc w:val="center"/>
              <w:rPr>
                <w:snapToGrid w:val="0"/>
              </w:rPr>
            </w:pPr>
            <w:r w:rsidRPr="006217E8">
              <w:rPr>
                <w:snapToGrid w:val="0"/>
              </w:rPr>
              <w:t>16</w:t>
            </w:r>
          </w:p>
        </w:tc>
        <w:tc>
          <w:tcPr>
            <w:tcW w:w="1788" w:type="dxa"/>
            <w:tcBorders>
              <w:top w:val="single" w:sz="8" w:space="0" w:color="auto"/>
              <w:left w:val="nil"/>
              <w:bottom w:val="single" w:sz="4" w:space="0" w:color="auto"/>
              <w:right w:val="single" w:sz="8" w:space="0" w:color="auto"/>
            </w:tcBorders>
            <w:shd w:val="clear" w:color="auto" w:fill="auto"/>
            <w:noWrap/>
            <w:vAlign w:val="bottom"/>
          </w:tcPr>
          <w:p w:rsidR="006217E8" w:rsidRPr="006217E8" w:rsidRDefault="006217E8" w:rsidP="00CA742F">
            <w:pPr>
              <w:jc w:val="center"/>
              <w:rPr>
                <w:snapToGrid w:val="0"/>
              </w:rPr>
            </w:pPr>
            <w:r w:rsidRPr="006217E8">
              <w:rPr>
                <w:snapToGrid w:val="0"/>
              </w:rPr>
              <w:t>13.8</w:t>
            </w:r>
          </w:p>
        </w:tc>
      </w:tr>
      <w:tr w:rsidR="006217E8" w:rsidRPr="006217E8" w:rsidTr="00CA742F">
        <w:trPr>
          <w:trHeight w:val="167"/>
          <w:jc w:val="center"/>
        </w:trPr>
        <w:tc>
          <w:tcPr>
            <w:tcW w:w="742" w:type="dxa"/>
            <w:tcBorders>
              <w:top w:val="single" w:sz="4" w:space="0" w:color="auto"/>
              <w:left w:val="single" w:sz="8" w:space="0" w:color="auto"/>
              <w:bottom w:val="single" w:sz="8" w:space="0" w:color="auto"/>
              <w:right w:val="single" w:sz="4" w:space="0" w:color="auto"/>
            </w:tcBorders>
            <w:shd w:val="clear" w:color="auto" w:fill="auto"/>
            <w:noWrap/>
            <w:vAlign w:val="bottom"/>
          </w:tcPr>
          <w:p w:rsidR="006217E8" w:rsidRPr="006217E8" w:rsidRDefault="006217E8" w:rsidP="00CA742F">
            <w:pPr>
              <w:spacing w:before="240"/>
              <w:jc w:val="center"/>
              <w:rPr>
                <w:snapToGrid w:val="0"/>
              </w:rPr>
            </w:pPr>
            <w:r w:rsidRPr="006217E8">
              <w:rPr>
                <w:snapToGrid w:val="0"/>
              </w:rPr>
              <w:t>Total</w:t>
            </w:r>
          </w:p>
        </w:tc>
        <w:tc>
          <w:tcPr>
            <w:tcW w:w="1173" w:type="dxa"/>
            <w:tcBorders>
              <w:top w:val="single" w:sz="4" w:space="0" w:color="auto"/>
              <w:left w:val="nil"/>
              <w:bottom w:val="single" w:sz="8" w:space="0" w:color="auto"/>
              <w:right w:val="single" w:sz="4" w:space="0" w:color="auto"/>
            </w:tcBorders>
            <w:shd w:val="clear" w:color="auto" w:fill="auto"/>
            <w:noWrap/>
            <w:vAlign w:val="center"/>
          </w:tcPr>
          <w:p w:rsidR="006217E8" w:rsidRPr="006217E8" w:rsidRDefault="006217E8" w:rsidP="00CA742F">
            <w:pPr>
              <w:spacing w:before="240"/>
              <w:jc w:val="center"/>
              <w:rPr>
                <w:snapToGrid w:val="0"/>
              </w:rPr>
            </w:pPr>
            <w:r w:rsidRPr="006217E8">
              <w:rPr>
                <w:snapToGrid w:val="0"/>
              </w:rPr>
              <w:t>869</w:t>
            </w:r>
          </w:p>
        </w:tc>
        <w:tc>
          <w:tcPr>
            <w:tcW w:w="1799" w:type="dxa"/>
            <w:tcBorders>
              <w:top w:val="single" w:sz="4" w:space="0" w:color="auto"/>
              <w:left w:val="nil"/>
              <w:bottom w:val="single" w:sz="8" w:space="0" w:color="auto"/>
              <w:right w:val="single" w:sz="4" w:space="0" w:color="auto"/>
            </w:tcBorders>
            <w:shd w:val="clear" w:color="auto" w:fill="auto"/>
            <w:noWrap/>
            <w:vAlign w:val="center"/>
          </w:tcPr>
          <w:p w:rsidR="006217E8" w:rsidRPr="006217E8" w:rsidRDefault="006217E8" w:rsidP="00CA742F">
            <w:pPr>
              <w:spacing w:before="240"/>
              <w:jc w:val="center"/>
              <w:rPr>
                <w:snapToGrid w:val="0"/>
              </w:rPr>
            </w:pPr>
            <w:r w:rsidRPr="006217E8">
              <w:rPr>
                <w:snapToGrid w:val="0"/>
              </w:rPr>
              <w:t>267</w:t>
            </w:r>
          </w:p>
        </w:tc>
        <w:tc>
          <w:tcPr>
            <w:tcW w:w="1788" w:type="dxa"/>
            <w:tcBorders>
              <w:top w:val="single" w:sz="4" w:space="0" w:color="auto"/>
              <w:left w:val="nil"/>
              <w:bottom w:val="single" w:sz="8" w:space="0" w:color="auto"/>
              <w:right w:val="single" w:sz="8" w:space="0" w:color="auto"/>
            </w:tcBorders>
            <w:shd w:val="clear" w:color="auto" w:fill="auto"/>
            <w:noWrap/>
            <w:vAlign w:val="bottom"/>
          </w:tcPr>
          <w:p w:rsidR="006217E8" w:rsidRPr="006217E8" w:rsidRDefault="006217E8" w:rsidP="00CA742F">
            <w:pPr>
              <w:spacing w:before="240"/>
              <w:jc w:val="center"/>
              <w:rPr>
                <w:snapToGrid w:val="0"/>
              </w:rPr>
            </w:pPr>
            <w:r w:rsidRPr="006217E8">
              <w:rPr>
                <w:snapToGrid w:val="0"/>
              </w:rPr>
              <w:t>30.7</w:t>
            </w:r>
          </w:p>
        </w:tc>
      </w:tr>
    </w:tbl>
    <w:p w:rsidR="006217E8" w:rsidRPr="006217E8" w:rsidRDefault="006217E8" w:rsidP="006217E8">
      <w:pPr>
        <w:rPr>
          <w:snapToGrid w:val="0"/>
        </w:rPr>
      </w:pPr>
    </w:p>
    <w:p w:rsidR="006217E8" w:rsidRDefault="006217E8" w:rsidP="006217E8">
      <w:pPr>
        <w:rPr>
          <w:snapToGrid w:val="0"/>
        </w:rPr>
      </w:pPr>
      <w:r w:rsidRPr="006217E8">
        <w:rPr>
          <w:snapToGrid w:val="0"/>
        </w:rPr>
        <w:t xml:space="preserve">Discrepancies were not linked to specific markers or to specific alleles. </w:t>
      </w:r>
      <w:r w:rsidR="001A62CA">
        <w:rPr>
          <w:snapToGrid w:val="0"/>
        </w:rPr>
        <w:t xml:space="preserve"> </w:t>
      </w:r>
      <w:r w:rsidRPr="006217E8">
        <w:rPr>
          <w:snapToGrid w:val="0"/>
        </w:rPr>
        <w:t xml:space="preserve">Discrepancies </w:t>
      </w:r>
      <w:r w:rsidRPr="00706304">
        <w:rPr>
          <w:snapToGrid w:val="0"/>
        </w:rPr>
        <w:t xml:space="preserve">of </w:t>
      </w:r>
      <w:r w:rsidR="0052267A" w:rsidRPr="00706304">
        <w:rPr>
          <w:snapToGrid w:val="0"/>
        </w:rPr>
        <w:t>category</w:t>
      </w:r>
      <w:r w:rsidRPr="00706304">
        <w:rPr>
          <w:snapToGrid w:val="0"/>
        </w:rPr>
        <w:t xml:space="preserve"> 1, 2 and 3 are critical and have an effect on the calculation of the similarity values. </w:t>
      </w:r>
      <w:r w:rsidR="001A62CA" w:rsidRPr="00706304">
        <w:rPr>
          <w:snapToGrid w:val="0"/>
        </w:rPr>
        <w:t xml:space="preserve"> </w:t>
      </w:r>
      <w:r w:rsidRPr="00706304">
        <w:rPr>
          <w:snapToGrid w:val="0"/>
        </w:rPr>
        <w:t xml:space="preserve">Errors of </w:t>
      </w:r>
      <w:r w:rsidR="00DE4B74" w:rsidRPr="00706304">
        <w:rPr>
          <w:snapToGrid w:val="0"/>
        </w:rPr>
        <w:t>category</w:t>
      </w:r>
      <w:r w:rsidRPr="00706304">
        <w:rPr>
          <w:snapToGrid w:val="0"/>
        </w:rPr>
        <w:t xml:space="preserve"> 4 and 5 are less critical. </w:t>
      </w:r>
      <w:r w:rsidR="001A62CA" w:rsidRPr="00706304">
        <w:rPr>
          <w:snapToGrid w:val="0"/>
        </w:rPr>
        <w:t xml:space="preserve"> </w:t>
      </w:r>
      <w:r w:rsidRPr="00706304">
        <w:rPr>
          <w:snapToGrid w:val="0"/>
        </w:rPr>
        <w:t xml:space="preserve">Both labs consider a </w:t>
      </w:r>
      <w:r w:rsidR="00DE4B74" w:rsidRPr="00706304">
        <w:rPr>
          <w:snapToGrid w:val="0"/>
        </w:rPr>
        <w:t>category</w:t>
      </w:r>
      <w:r w:rsidRPr="00706304">
        <w:rPr>
          <w:snapToGrid w:val="0"/>
        </w:rPr>
        <w:t xml:space="preserve"> 4 discrepancy </w:t>
      </w:r>
      <w:bookmarkStart w:id="0" w:name="_GoBack"/>
      <w:bookmarkEnd w:id="0"/>
      <w:r w:rsidRPr="00706304">
        <w:rPr>
          <w:snapToGrid w:val="0"/>
        </w:rPr>
        <w:t xml:space="preserve">as not being a problem as the lab calling the allele as questionable thinks that there might be an allele present but it falls slightly below a predetermined threshold in the analysis software and the other lab definitely calls the allele as present. </w:t>
      </w:r>
      <w:r w:rsidR="001A62CA" w:rsidRPr="00706304">
        <w:rPr>
          <w:snapToGrid w:val="0"/>
        </w:rPr>
        <w:t xml:space="preserve"> </w:t>
      </w:r>
      <w:r w:rsidRPr="00706304">
        <w:rPr>
          <w:snapToGrid w:val="0"/>
        </w:rPr>
        <w:t xml:space="preserve">However, </w:t>
      </w:r>
      <w:r w:rsidR="00DE4B74" w:rsidRPr="00706304">
        <w:rPr>
          <w:snapToGrid w:val="0"/>
        </w:rPr>
        <w:t>category</w:t>
      </w:r>
      <w:r w:rsidRPr="00706304">
        <w:rPr>
          <w:snapToGrid w:val="0"/>
        </w:rPr>
        <w:t xml:space="preserve"> 5 is</w:t>
      </w:r>
      <w:r w:rsidRPr="006217E8">
        <w:rPr>
          <w:snapToGrid w:val="0"/>
        </w:rPr>
        <w:t xml:space="preserve"> more worrying as one lab thinks there might be an allele present but the other lab does not.</w:t>
      </w:r>
    </w:p>
    <w:p w:rsidR="00924774" w:rsidRPr="006217E8" w:rsidRDefault="00924774" w:rsidP="006217E8">
      <w:pPr>
        <w:rPr>
          <w:snapToGrid w:val="0"/>
        </w:rPr>
      </w:pPr>
    </w:p>
    <w:p w:rsidR="006217E8" w:rsidRPr="006217E8" w:rsidRDefault="006217E8" w:rsidP="006217E8">
      <w:pPr>
        <w:rPr>
          <w:snapToGrid w:val="0"/>
        </w:rPr>
      </w:pPr>
      <w:r w:rsidRPr="006217E8">
        <w:rPr>
          <w:snapToGrid w:val="0"/>
        </w:rPr>
        <w:t xml:space="preserve">Both labs have developed a set of decision rules. </w:t>
      </w:r>
      <w:r w:rsidR="001A62CA">
        <w:rPr>
          <w:snapToGrid w:val="0"/>
        </w:rPr>
        <w:t xml:space="preserve"> </w:t>
      </w:r>
      <w:r w:rsidRPr="006217E8">
        <w:rPr>
          <w:snapToGrid w:val="0"/>
        </w:rPr>
        <w:t xml:space="preserve">These are used as guidance in the interpretation and scoring of the alleles. Labs are aware from experience which alleles are more reliable on the ABI capillary system that is used by SASA and which of the alleles are always more </w:t>
      </w:r>
      <w:r w:rsidR="00924774">
        <w:rPr>
          <w:snapToGrid w:val="0"/>
        </w:rPr>
        <w:t>clear to score on the LICOR</w:t>
      </w:r>
      <w:r w:rsidR="001E25B7">
        <w:rPr>
          <w:snapToGrid w:val="0"/>
        </w:rPr>
        <w:t> </w:t>
      </w:r>
      <w:r w:rsidR="00924774">
        <w:rPr>
          <w:snapToGrid w:val="0"/>
        </w:rPr>
        <w:t>gel</w:t>
      </w:r>
      <w:r w:rsidR="00924774">
        <w:rPr>
          <w:snapToGrid w:val="0"/>
        </w:rPr>
        <w:noBreakHyphen/>
      </w:r>
      <w:r w:rsidRPr="006217E8">
        <w:rPr>
          <w:snapToGrid w:val="0"/>
        </w:rPr>
        <w:t xml:space="preserve">based system used by Naktuinbouw. </w:t>
      </w:r>
      <w:r w:rsidR="001E25B7">
        <w:rPr>
          <w:snapToGrid w:val="0"/>
        </w:rPr>
        <w:t xml:space="preserve"> </w:t>
      </w:r>
      <w:r w:rsidRPr="006217E8">
        <w:rPr>
          <w:snapToGrid w:val="0"/>
        </w:rPr>
        <w:t xml:space="preserve">There is not a better or more preferred machine/system. </w:t>
      </w:r>
      <w:r w:rsidR="001E25B7">
        <w:rPr>
          <w:snapToGrid w:val="0"/>
        </w:rPr>
        <w:t xml:space="preserve"> </w:t>
      </w:r>
      <w:r w:rsidRPr="006217E8">
        <w:rPr>
          <w:snapToGrid w:val="0"/>
        </w:rPr>
        <w:t>Both systems contribute equally to the accuracy of the DNA profiles.</w:t>
      </w:r>
    </w:p>
    <w:p w:rsidR="006217E8" w:rsidRPr="001E25B7" w:rsidRDefault="006217E8" w:rsidP="006217E8">
      <w:pPr>
        <w:rPr>
          <w:snapToGrid w:val="0"/>
        </w:rPr>
      </w:pPr>
    </w:p>
    <w:p w:rsidR="00A31935" w:rsidRPr="006217E8" w:rsidRDefault="00A31935" w:rsidP="00A31935">
      <w:pPr>
        <w:rPr>
          <w:lang w:val="en-GB"/>
        </w:rPr>
      </w:pPr>
    </w:p>
    <w:p w:rsidR="00A31935" w:rsidRPr="00C651CE" w:rsidRDefault="00A31935" w:rsidP="00A31935"/>
    <w:p w:rsidR="00A31935" w:rsidRDefault="00A31935" w:rsidP="00A31935">
      <w:pPr>
        <w:jc w:val="right"/>
      </w:pPr>
      <w:r w:rsidRPr="00C5280D">
        <w:t xml:space="preserve"> [</w:t>
      </w:r>
      <w:r>
        <w:t>End of document</w:t>
      </w:r>
      <w:r w:rsidRPr="00C5280D">
        <w:t>]</w:t>
      </w:r>
    </w:p>
    <w:p w:rsidR="006A1AA2" w:rsidRPr="00C5280D" w:rsidRDefault="006A1AA2" w:rsidP="00A31935"/>
    <w:sectPr w:rsidR="006A1AA2" w:rsidRPr="00C5280D" w:rsidSect="002F3171">
      <w:headerReference w:type="default" r:id="rId9"/>
      <w:footnotePr>
        <w:numFmt w:val="chicago"/>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D04" w:rsidRDefault="00073D04" w:rsidP="006655D3">
      <w:r>
        <w:separator/>
      </w:r>
    </w:p>
    <w:p w:rsidR="00073D04" w:rsidRDefault="00073D04" w:rsidP="006655D3"/>
    <w:p w:rsidR="00073D04" w:rsidRDefault="00073D04" w:rsidP="006655D3"/>
  </w:endnote>
  <w:endnote w:type="continuationSeparator" w:id="0">
    <w:p w:rsidR="00073D04" w:rsidRDefault="00073D04" w:rsidP="006655D3">
      <w:r>
        <w:separator/>
      </w:r>
    </w:p>
    <w:p w:rsidR="00073D04" w:rsidRPr="00294751" w:rsidRDefault="00073D04">
      <w:pPr>
        <w:pStyle w:val="Footer"/>
        <w:spacing w:after="60"/>
        <w:rPr>
          <w:sz w:val="18"/>
          <w:lang w:val="fr-FR"/>
        </w:rPr>
      </w:pPr>
      <w:r w:rsidRPr="00294751">
        <w:rPr>
          <w:sz w:val="18"/>
          <w:lang w:val="fr-FR"/>
        </w:rPr>
        <w:t>[Suite de la note de la page précédente]</w:t>
      </w:r>
    </w:p>
    <w:p w:rsidR="00073D04" w:rsidRPr="00294751" w:rsidRDefault="00073D04" w:rsidP="006655D3">
      <w:pPr>
        <w:rPr>
          <w:lang w:val="fr-FR"/>
        </w:rPr>
      </w:pPr>
    </w:p>
    <w:p w:rsidR="00073D04" w:rsidRPr="00294751" w:rsidRDefault="00073D04" w:rsidP="006655D3">
      <w:pPr>
        <w:rPr>
          <w:lang w:val="fr-FR"/>
        </w:rPr>
      </w:pPr>
    </w:p>
  </w:endnote>
  <w:endnote w:type="continuationNotice" w:id="1">
    <w:p w:rsidR="00073D04" w:rsidRPr="00294751" w:rsidRDefault="00073D04" w:rsidP="006655D3">
      <w:pPr>
        <w:rPr>
          <w:lang w:val="fr-FR"/>
        </w:rPr>
      </w:pPr>
      <w:r w:rsidRPr="00294751">
        <w:rPr>
          <w:lang w:val="fr-FR"/>
        </w:rPr>
        <w:t>[Suite de la note page suivante]</w:t>
      </w:r>
    </w:p>
    <w:p w:rsidR="00073D04" w:rsidRPr="00294751" w:rsidRDefault="00073D04" w:rsidP="006655D3">
      <w:pPr>
        <w:rPr>
          <w:lang w:val="fr-FR"/>
        </w:rPr>
      </w:pPr>
    </w:p>
    <w:p w:rsidR="00073D04" w:rsidRPr="00294751" w:rsidRDefault="00073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D04" w:rsidRDefault="00073D04" w:rsidP="006655D3">
      <w:r>
        <w:separator/>
      </w:r>
    </w:p>
  </w:footnote>
  <w:footnote w:type="continuationSeparator" w:id="0">
    <w:p w:rsidR="00073D04" w:rsidRDefault="00073D04" w:rsidP="006655D3">
      <w:r>
        <w:separator/>
      </w:r>
    </w:p>
  </w:footnote>
  <w:footnote w:type="continuationNotice" w:id="1">
    <w:p w:rsidR="00073D04" w:rsidRPr="00AB530F" w:rsidRDefault="00073D04" w:rsidP="00AB530F">
      <w:pPr>
        <w:pStyle w:val="Footer"/>
      </w:pPr>
    </w:p>
  </w:footnote>
  <w:footnote w:id="2">
    <w:p w:rsidR="00B95E6F" w:rsidRPr="00E22998" w:rsidRDefault="00B95E6F" w:rsidP="00B95E6F">
      <w:pPr>
        <w:pStyle w:val="FootnoteText"/>
      </w:pPr>
      <w:r>
        <w:rPr>
          <w:rStyle w:val="FootnoteReference"/>
        </w:rPr>
        <w:footnoteRef/>
      </w:r>
      <w:r>
        <w:t xml:space="preserve"> </w:t>
      </w:r>
      <w:r>
        <w:tab/>
        <w:t>Part I “</w:t>
      </w:r>
      <w:r w:rsidRPr="00E22998">
        <w:t>Construction, maintenance and use of the common database</w:t>
      </w:r>
      <w:r>
        <w:t>”, prepared by an expert from Germany, is presented in document BMT/17/11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171" w:rsidRDefault="002F3171" w:rsidP="00EB048E">
    <w:pPr>
      <w:pStyle w:val="Header"/>
      <w:rPr>
        <w:rStyle w:val="PageNumber"/>
        <w:lang w:val="en-US"/>
      </w:rPr>
    </w:pPr>
    <w:r>
      <w:rPr>
        <w:rStyle w:val="PageNumber"/>
        <w:lang w:val="en-US"/>
      </w:rPr>
      <w:t>BMT/17/</w:t>
    </w:r>
    <w:r w:rsidR="001C2FEC">
      <w:rPr>
        <w:rStyle w:val="PageNumber"/>
        <w:lang w:val="en-US"/>
      </w:rPr>
      <w:t>1</w:t>
    </w:r>
    <w:r w:rsidR="00924774">
      <w:rPr>
        <w:rStyle w:val="PageNumber"/>
        <w:lang w:val="en-US"/>
      </w:rPr>
      <w:t>2</w:t>
    </w:r>
  </w:p>
  <w:p w:rsidR="002F3171" w:rsidRPr="00C5280D" w:rsidRDefault="002F3171" w:rsidP="00EB048E">
    <w:pPr>
      <w:pStyle w:val="Header"/>
      <w:rPr>
        <w:lang w:val="en-US"/>
      </w:rPr>
    </w:pPr>
    <w:r>
      <w:rPr>
        <w:lang w:val="en-US"/>
      </w:rPr>
      <w:t xml:space="preserve">Annex, </w:t>
    </w:r>
    <w:r w:rsidRPr="00C5280D">
      <w:rPr>
        <w:lang w:val="en-US"/>
      </w:rPr>
      <w:t xml:space="preserve">page </w:t>
    </w:r>
    <w:r w:rsidRPr="002F3171">
      <w:rPr>
        <w:lang w:val="en-US"/>
      </w:rPr>
      <w:fldChar w:fldCharType="begin"/>
    </w:r>
    <w:r w:rsidRPr="002F3171">
      <w:rPr>
        <w:lang w:val="en-US"/>
      </w:rPr>
      <w:instrText xml:space="preserve"> PAGE   \* MERGEFORMAT </w:instrText>
    </w:r>
    <w:r w:rsidRPr="002F3171">
      <w:rPr>
        <w:lang w:val="en-US"/>
      </w:rPr>
      <w:fldChar w:fldCharType="separate"/>
    </w:r>
    <w:r w:rsidR="00050C9F">
      <w:rPr>
        <w:noProof/>
        <w:lang w:val="en-US"/>
      </w:rPr>
      <w:t>2</w:t>
    </w:r>
    <w:r w:rsidRPr="002F3171">
      <w:rPr>
        <w:noProof/>
        <w:lang w:val="en-US"/>
      </w:rPr>
      <w:fldChar w:fldCharType="end"/>
    </w:r>
  </w:p>
  <w:p w:rsidR="002F3171" w:rsidRPr="00C5280D" w:rsidRDefault="002F317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584"/>
    <w:multiLevelType w:val="hybridMultilevel"/>
    <w:tmpl w:val="D45A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F48D9"/>
    <w:multiLevelType w:val="hybridMultilevel"/>
    <w:tmpl w:val="0C380DA2"/>
    <w:lvl w:ilvl="0" w:tplc="2D48981C">
      <w:start w:val="2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E2208A"/>
    <w:multiLevelType w:val="hybridMultilevel"/>
    <w:tmpl w:val="FC60B1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6AD66667"/>
    <w:multiLevelType w:val="hybridMultilevel"/>
    <w:tmpl w:val="8798568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04"/>
    <w:rsid w:val="00010CF3"/>
    <w:rsid w:val="00011E27"/>
    <w:rsid w:val="000148BC"/>
    <w:rsid w:val="00024AB8"/>
    <w:rsid w:val="00030854"/>
    <w:rsid w:val="00036028"/>
    <w:rsid w:val="00044642"/>
    <w:rsid w:val="000446B9"/>
    <w:rsid w:val="00047E21"/>
    <w:rsid w:val="00050C9F"/>
    <w:rsid w:val="00050E16"/>
    <w:rsid w:val="00073D04"/>
    <w:rsid w:val="00085505"/>
    <w:rsid w:val="000C4E25"/>
    <w:rsid w:val="000C7021"/>
    <w:rsid w:val="000D6BBC"/>
    <w:rsid w:val="000D7780"/>
    <w:rsid w:val="000E636A"/>
    <w:rsid w:val="000F2F11"/>
    <w:rsid w:val="00105929"/>
    <w:rsid w:val="00110C36"/>
    <w:rsid w:val="001131D5"/>
    <w:rsid w:val="001418B2"/>
    <w:rsid w:val="00141DB8"/>
    <w:rsid w:val="0015326B"/>
    <w:rsid w:val="00172084"/>
    <w:rsid w:val="0017474A"/>
    <w:rsid w:val="001758C6"/>
    <w:rsid w:val="00182B99"/>
    <w:rsid w:val="00195F16"/>
    <w:rsid w:val="001A62CA"/>
    <w:rsid w:val="001C2FEC"/>
    <w:rsid w:val="001D1330"/>
    <w:rsid w:val="001D6303"/>
    <w:rsid w:val="001E25B7"/>
    <w:rsid w:val="0021332C"/>
    <w:rsid w:val="00213982"/>
    <w:rsid w:val="0024416D"/>
    <w:rsid w:val="00271911"/>
    <w:rsid w:val="002800A0"/>
    <w:rsid w:val="002801B3"/>
    <w:rsid w:val="00281060"/>
    <w:rsid w:val="002940E8"/>
    <w:rsid w:val="002942E3"/>
    <w:rsid w:val="00294751"/>
    <w:rsid w:val="002A6E50"/>
    <w:rsid w:val="002B4298"/>
    <w:rsid w:val="002B6AFB"/>
    <w:rsid w:val="002C256A"/>
    <w:rsid w:val="002F3171"/>
    <w:rsid w:val="002F4688"/>
    <w:rsid w:val="00305A7F"/>
    <w:rsid w:val="003152FE"/>
    <w:rsid w:val="00327436"/>
    <w:rsid w:val="003341A1"/>
    <w:rsid w:val="00335389"/>
    <w:rsid w:val="00344BD6"/>
    <w:rsid w:val="0035528D"/>
    <w:rsid w:val="00361821"/>
    <w:rsid w:val="00361E9E"/>
    <w:rsid w:val="0036532A"/>
    <w:rsid w:val="003C7FBE"/>
    <w:rsid w:val="003D227C"/>
    <w:rsid w:val="003D2B4D"/>
    <w:rsid w:val="00411EC2"/>
    <w:rsid w:val="00442D40"/>
    <w:rsid w:val="00444A88"/>
    <w:rsid w:val="0045465B"/>
    <w:rsid w:val="00474DA4"/>
    <w:rsid w:val="00476B4D"/>
    <w:rsid w:val="004805FA"/>
    <w:rsid w:val="004935D2"/>
    <w:rsid w:val="0049744F"/>
    <w:rsid w:val="004B1215"/>
    <w:rsid w:val="004D047D"/>
    <w:rsid w:val="004F1E9E"/>
    <w:rsid w:val="004F305A"/>
    <w:rsid w:val="00512164"/>
    <w:rsid w:val="00520297"/>
    <w:rsid w:val="0052267A"/>
    <w:rsid w:val="005320AA"/>
    <w:rsid w:val="005338F9"/>
    <w:rsid w:val="0054281C"/>
    <w:rsid w:val="00544581"/>
    <w:rsid w:val="00546766"/>
    <w:rsid w:val="0055268D"/>
    <w:rsid w:val="00576BE4"/>
    <w:rsid w:val="00582ACE"/>
    <w:rsid w:val="005A400A"/>
    <w:rsid w:val="005F7B92"/>
    <w:rsid w:val="00612379"/>
    <w:rsid w:val="006153B6"/>
    <w:rsid w:val="0061555F"/>
    <w:rsid w:val="00621302"/>
    <w:rsid w:val="006217E8"/>
    <w:rsid w:val="00624E05"/>
    <w:rsid w:val="00636CA6"/>
    <w:rsid w:val="00641200"/>
    <w:rsid w:val="006655D3"/>
    <w:rsid w:val="00667404"/>
    <w:rsid w:val="00687EB4"/>
    <w:rsid w:val="00687F21"/>
    <w:rsid w:val="00695C56"/>
    <w:rsid w:val="006A1AA2"/>
    <w:rsid w:val="006A5CDE"/>
    <w:rsid w:val="006A644A"/>
    <w:rsid w:val="006B17D2"/>
    <w:rsid w:val="006C224E"/>
    <w:rsid w:val="006D780A"/>
    <w:rsid w:val="00700FCD"/>
    <w:rsid w:val="00706304"/>
    <w:rsid w:val="0071271E"/>
    <w:rsid w:val="007254A9"/>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261FF"/>
    <w:rsid w:val="00846D7C"/>
    <w:rsid w:val="00860A1D"/>
    <w:rsid w:val="00867AC1"/>
    <w:rsid w:val="00890DF8"/>
    <w:rsid w:val="008A4C63"/>
    <w:rsid w:val="008A743F"/>
    <w:rsid w:val="008C0970"/>
    <w:rsid w:val="008C3E8E"/>
    <w:rsid w:val="008D0BC5"/>
    <w:rsid w:val="008D2CF7"/>
    <w:rsid w:val="00900C26"/>
    <w:rsid w:val="0090197F"/>
    <w:rsid w:val="00906DDC"/>
    <w:rsid w:val="00924774"/>
    <w:rsid w:val="00934E09"/>
    <w:rsid w:val="00936253"/>
    <w:rsid w:val="00940D46"/>
    <w:rsid w:val="00952DD4"/>
    <w:rsid w:val="00965AE7"/>
    <w:rsid w:val="00970FED"/>
    <w:rsid w:val="00975660"/>
    <w:rsid w:val="00992D82"/>
    <w:rsid w:val="00997029"/>
    <w:rsid w:val="009A7339"/>
    <w:rsid w:val="009B440E"/>
    <w:rsid w:val="009D690D"/>
    <w:rsid w:val="009E65B6"/>
    <w:rsid w:val="00A24C10"/>
    <w:rsid w:val="00A31935"/>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573FF"/>
    <w:rsid w:val="00B61777"/>
    <w:rsid w:val="00B84BBD"/>
    <w:rsid w:val="00B95E6F"/>
    <w:rsid w:val="00BA43FB"/>
    <w:rsid w:val="00BC127D"/>
    <w:rsid w:val="00BC1FE6"/>
    <w:rsid w:val="00C0001E"/>
    <w:rsid w:val="00C061B6"/>
    <w:rsid w:val="00C2446C"/>
    <w:rsid w:val="00C36AE5"/>
    <w:rsid w:val="00C41F17"/>
    <w:rsid w:val="00C527FA"/>
    <w:rsid w:val="00C5280D"/>
    <w:rsid w:val="00C53EB3"/>
    <w:rsid w:val="00C5791C"/>
    <w:rsid w:val="00C66290"/>
    <w:rsid w:val="00C72B7A"/>
    <w:rsid w:val="00C973F2"/>
    <w:rsid w:val="00CA304C"/>
    <w:rsid w:val="00CA742F"/>
    <w:rsid w:val="00CA774A"/>
    <w:rsid w:val="00CC11B0"/>
    <w:rsid w:val="00CC2841"/>
    <w:rsid w:val="00CF1330"/>
    <w:rsid w:val="00CF7E36"/>
    <w:rsid w:val="00D3708D"/>
    <w:rsid w:val="00D40426"/>
    <w:rsid w:val="00D57C96"/>
    <w:rsid w:val="00D57D18"/>
    <w:rsid w:val="00D70378"/>
    <w:rsid w:val="00D91203"/>
    <w:rsid w:val="00D95174"/>
    <w:rsid w:val="00DA1712"/>
    <w:rsid w:val="00DA4499"/>
    <w:rsid w:val="00DA4973"/>
    <w:rsid w:val="00DA6F36"/>
    <w:rsid w:val="00DB596E"/>
    <w:rsid w:val="00DB7773"/>
    <w:rsid w:val="00DC00EA"/>
    <w:rsid w:val="00DC3802"/>
    <w:rsid w:val="00DE4B74"/>
    <w:rsid w:val="00E07D87"/>
    <w:rsid w:val="00E22998"/>
    <w:rsid w:val="00E32F7E"/>
    <w:rsid w:val="00E5267B"/>
    <w:rsid w:val="00E72D49"/>
    <w:rsid w:val="00E73337"/>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55AC"/>
    <w:rsid w:val="00F272F1"/>
    <w:rsid w:val="00F45372"/>
    <w:rsid w:val="00F560F7"/>
    <w:rsid w:val="00F6334D"/>
    <w:rsid w:val="00FA49AB"/>
    <w:rsid w:val="00FE239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3BA3F47"/>
  <w15:docId w15:val="{950DF477-BC96-43B7-A7F4-5E3BC897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rsid w:val="006A1AA2"/>
    <w:rPr>
      <w:rFonts w:ascii="Arial" w:hAnsi="Arial"/>
      <w:lang w:val="fr-FR"/>
    </w:rPr>
  </w:style>
  <w:style w:type="paragraph" w:styleId="ListParagraph">
    <w:name w:val="List Paragraph"/>
    <w:basedOn w:val="Normal"/>
    <w:uiPriority w:val="34"/>
    <w:qFormat/>
    <w:rsid w:val="00D70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8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7\template\BMT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15CB-A9E6-4C8C-A185-03002420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BMT_17.dotx</Template>
  <TotalTime>0</TotalTime>
  <Pages>2</Pages>
  <Words>806</Words>
  <Characters>4716</Characters>
  <Application>Microsoft Office Word</Application>
  <DocSecurity>0</DocSecurity>
  <Lines>96</Lines>
  <Paragraphs>37</Paragraphs>
  <ScaleCrop>false</ScaleCrop>
  <HeadingPairs>
    <vt:vector size="2" baseType="variant">
      <vt:variant>
        <vt:lpstr>Title</vt:lpstr>
      </vt:variant>
      <vt:variant>
        <vt:i4>1</vt:i4>
      </vt:variant>
    </vt:vector>
  </HeadingPairs>
  <TitlesOfParts>
    <vt:vector size="1" baseType="lpstr">
      <vt:lpstr>BMT/17</vt:lpstr>
    </vt:vector>
  </TitlesOfParts>
  <Company>UPOV</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BMT/17/12</dc:title>
  <dc:creator>MAY Jessica</dc:creator>
  <cp:lastModifiedBy>MAY Jessica</cp:lastModifiedBy>
  <cp:revision>17</cp:revision>
  <cp:lastPrinted>2018-08-20T16:23:00Z</cp:lastPrinted>
  <dcterms:created xsi:type="dcterms:W3CDTF">2018-08-20T16:27:00Z</dcterms:created>
  <dcterms:modified xsi:type="dcterms:W3CDTF">2018-09-04T07:14:00Z</dcterms:modified>
</cp:coreProperties>
</file>