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A4499" w:rsidP="00E02914">
            <w:pPr>
              <w:pStyle w:val="Sessiontcplacedate"/>
              <w:rPr>
                <w:sz w:val="22"/>
              </w:rPr>
            </w:pPr>
            <w:r>
              <w:t>Sixteenth</w:t>
            </w:r>
            <w:r w:rsidR="00EB4E9C" w:rsidRPr="00DA4973">
              <w:t xml:space="preserve"> Session</w:t>
            </w:r>
            <w:r w:rsidR="00EB4E9C" w:rsidRPr="00DA4973">
              <w:br/>
            </w:r>
            <w:r>
              <w:t>La Rochelle, France</w:t>
            </w:r>
            <w:r w:rsidR="00EB4E9C" w:rsidRPr="00DA4973">
              <w:t xml:space="preserve">, </w:t>
            </w:r>
            <w:r w:rsidR="00E02914">
              <w:t>November</w:t>
            </w:r>
            <w:r>
              <w:t xml:space="preserve"> </w:t>
            </w:r>
            <w:r w:rsidR="00E02914">
              <w:t>7</w:t>
            </w:r>
            <w:r w:rsidR="00EB4E9C" w:rsidRPr="00DA4973">
              <w:t xml:space="preserve"> to </w:t>
            </w:r>
            <w:r w:rsidR="00E02914">
              <w:t>10</w:t>
            </w:r>
            <w:r w:rsidR="00EB4E9C" w:rsidRPr="00DA4973">
              <w:t>, 2017</w:t>
            </w:r>
          </w:p>
        </w:tc>
        <w:tc>
          <w:tcPr>
            <w:tcW w:w="3127" w:type="dxa"/>
          </w:tcPr>
          <w:p w:rsidR="00EB4E9C" w:rsidRDefault="00621302" w:rsidP="003C7FBE">
            <w:pPr>
              <w:pStyle w:val="Doccode"/>
            </w:pPr>
            <w:r>
              <w:t>BMT</w:t>
            </w:r>
            <w:r w:rsidR="00EB4E9C" w:rsidRPr="00AC2883">
              <w:t>/</w:t>
            </w:r>
            <w:r>
              <w:t>16</w:t>
            </w:r>
            <w:r w:rsidR="00EB4E9C" w:rsidRPr="00AC2883">
              <w:t>/</w:t>
            </w:r>
            <w:r w:rsidR="00B2072F">
              <w:t>2</w:t>
            </w:r>
            <w:r w:rsidR="00FE3C8A">
              <w:t>6</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A247B">
            <w:pPr>
              <w:pStyle w:val="Docoriginal"/>
            </w:pPr>
            <w:r w:rsidRPr="00AC2883">
              <w:t>Date:</w:t>
            </w:r>
            <w:r w:rsidRPr="000E636A">
              <w:rPr>
                <w:b w:val="0"/>
                <w:spacing w:val="0"/>
              </w:rPr>
              <w:t xml:space="preserve">  </w:t>
            </w:r>
            <w:bookmarkStart w:id="0" w:name="_GoBack"/>
            <w:bookmarkEnd w:id="0"/>
            <w:r w:rsidR="00D11C0E" w:rsidRPr="001A247B">
              <w:rPr>
                <w:b w:val="0"/>
                <w:spacing w:val="0"/>
              </w:rPr>
              <w:t>October</w:t>
            </w:r>
            <w:r w:rsidR="00FD52E3" w:rsidRPr="001A247B">
              <w:rPr>
                <w:b w:val="0"/>
                <w:spacing w:val="0"/>
              </w:rPr>
              <w:t xml:space="preserve"> </w:t>
            </w:r>
            <w:r w:rsidR="001A247B" w:rsidRPr="001A247B">
              <w:rPr>
                <w:b w:val="0"/>
                <w:spacing w:val="0"/>
              </w:rPr>
              <w:t>3</w:t>
            </w:r>
            <w:r w:rsidR="001A247B">
              <w:rPr>
                <w:b w:val="0"/>
                <w:spacing w:val="0"/>
              </w:rPr>
              <w:t>0</w:t>
            </w:r>
            <w:r w:rsidRPr="002E3EC2">
              <w:rPr>
                <w:b w:val="0"/>
                <w:spacing w:val="0"/>
              </w:rPr>
              <w:t>, 2017</w:t>
            </w:r>
          </w:p>
        </w:tc>
      </w:tr>
    </w:tbl>
    <w:p w:rsidR="000D7780" w:rsidRPr="006A644A" w:rsidRDefault="00FE3C8A" w:rsidP="006A644A">
      <w:pPr>
        <w:pStyle w:val="Titleofdoc0"/>
      </w:pPr>
      <w:bookmarkStart w:id="1" w:name="TitleOfDoc"/>
      <w:bookmarkEnd w:id="1"/>
      <w:r w:rsidRPr="00FE3C8A">
        <w:rPr>
          <w:rFonts w:cs="Arial"/>
          <w:bCs/>
        </w:rPr>
        <w:t>Determining the Parameters to Characterize Soybean Varieties using Single Nucleotide Polymorphisms</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AF0B3E">
        <w:t>expert</w:t>
      </w:r>
      <w:r w:rsidR="00FE3C8A">
        <w:t>s</w:t>
      </w:r>
      <w:r w:rsidR="00AF0B3E">
        <w:t xml:space="preserve"> from </w:t>
      </w:r>
      <w:r w:rsidR="0098788B" w:rsidRPr="00497165">
        <w:t>Seed Association of the Americas (SAA)</w:t>
      </w:r>
    </w:p>
    <w:p w:rsidR="00050E16" w:rsidRPr="006A644A" w:rsidRDefault="00050E16" w:rsidP="006A644A">
      <w:pPr>
        <w:pStyle w:val="Disclaimer"/>
      </w:pPr>
      <w:r w:rsidRPr="006A644A">
        <w:t>Disclaimer:  this document does not represent UPOV policies or guidance</w:t>
      </w:r>
    </w:p>
    <w:p w:rsidR="00FE3C8A" w:rsidRDefault="00FE3C8A" w:rsidP="00FE3C8A">
      <w:pPr>
        <w:pStyle w:val="Heading1"/>
      </w:pPr>
      <w:r w:rsidRPr="00FE3C8A">
        <w:t>Introduction</w:t>
      </w:r>
    </w:p>
    <w:p w:rsidR="00FE3C8A" w:rsidRPr="00FE3C8A" w:rsidRDefault="00FE3C8A" w:rsidP="00FE3C8A"/>
    <w:p w:rsidR="00FE3C8A" w:rsidRPr="00FE3C8A" w:rsidRDefault="00FE3C8A" w:rsidP="00110182">
      <w:r w:rsidRPr="007C25BD">
        <w:fldChar w:fldCharType="begin"/>
      </w:r>
      <w:r w:rsidRPr="007C25BD">
        <w:instrText xml:space="preserve"> AUTONUM  </w:instrText>
      </w:r>
      <w:r w:rsidRPr="007C25BD">
        <w:fldChar w:fldCharType="end"/>
      </w:r>
      <w:r w:rsidRPr="007C25BD">
        <w:tab/>
      </w:r>
      <w:r w:rsidRPr="00FE3C8A">
        <w:t xml:space="preserve">UPOV </w:t>
      </w:r>
      <w:r w:rsidR="00E9250C">
        <w:t>uses</w:t>
      </w:r>
      <w:r w:rsidRPr="00FE3C8A">
        <w:t xml:space="preserve"> morphologically </w:t>
      </w:r>
      <w:r w:rsidR="00E9250C">
        <w:t xml:space="preserve">and physiologically </w:t>
      </w:r>
      <w:r w:rsidRPr="00FE3C8A">
        <w:t>expressed characteristics to evaluate the Distinctness, Uniformity, and Stability (DUS) criteria that are required to be met for the grant of Plant Variety Protection (PVP). With the rapid evolution and increase in cost effective use of molecular markers, these data are increasingly playing a role in identifying varieties both post their grant of protection, and in the granting of protection as surrogates of morphological characteristics.  In addition, molecular markers are also being used to help manage reference collections that have become very difficult to use in some species due to the resources needed to accommodate the increasing numbers of varieties that make-up those collections (UPOV, 2011).</w:t>
      </w:r>
    </w:p>
    <w:p w:rsidR="00FE3C8A" w:rsidRDefault="00FE3C8A" w:rsidP="00FE3C8A"/>
    <w:p w:rsidR="00FE3C8A" w:rsidRPr="00FE3C8A" w:rsidRDefault="00FE3C8A" w:rsidP="00FE3C8A">
      <w:r w:rsidRPr="007C25BD">
        <w:fldChar w:fldCharType="begin"/>
      </w:r>
      <w:r w:rsidRPr="007C25BD">
        <w:instrText xml:space="preserve"> AUTONUM  </w:instrText>
      </w:r>
      <w:r w:rsidRPr="007C25BD">
        <w:fldChar w:fldCharType="end"/>
      </w:r>
      <w:r w:rsidRPr="007C25BD">
        <w:tab/>
      </w:r>
      <w:r w:rsidRPr="00FE3C8A">
        <w:t xml:space="preserve">The BMT was specifically instituted to “study DNA profiling in connection with plant breeders’ rights and to coordinate the development and harmonization of DNA analysis in the UPOV member States” (UPOV, 1993a). Key aspects of DNA analysis include the number of markers, the degree of map coverage, and the variety sampling method that is employed. Furthermore, as marker systems have evolved during the past 30 years to comprise from tens to thousands of loci, and especially as individual base pairs can now be routinely assayed, then inevitably many more markers are available for use in variety characterization compared to the number of morphological characteristics that are, or could be used in the DUS process.  It is important to understand that very large increases in the numbers of markers used to characterize varieties also increases the sensitivity to detect residual heterozygosity and the presence of marker </w:t>
      </w:r>
      <w:proofErr w:type="spellStart"/>
      <w:r w:rsidRPr="00FE3C8A">
        <w:t>ideotypes</w:t>
      </w:r>
      <w:proofErr w:type="spellEnd"/>
      <w:r w:rsidRPr="00FE3C8A">
        <w:t xml:space="preserve">, including in varieties that are, and have been considered acceptably distinct, uniform, stable, and thus protectable according to PVP.  For example, </w:t>
      </w:r>
      <w:proofErr w:type="spellStart"/>
      <w:r w:rsidRPr="00FE3C8A">
        <w:t>Fasoula</w:t>
      </w:r>
      <w:proofErr w:type="spellEnd"/>
      <w:r w:rsidRPr="00FE3C8A">
        <w:t xml:space="preserve"> and </w:t>
      </w:r>
      <w:proofErr w:type="spellStart"/>
      <w:r w:rsidRPr="00FE3C8A">
        <w:t>Boerma</w:t>
      </w:r>
      <w:proofErr w:type="spellEnd"/>
      <w:r w:rsidRPr="00FE3C8A">
        <w:t xml:space="preserve"> (2007) reported the derivation of sub-lines by selection within publicly available soybean varieties.  However, to maintain the level of protection afforded by PVP, it is a critical that distinctness be defined in relation to residual heterozygosity precisely to prevent the independent protection of sub-lines by a second breeder without any further cycles of crossing and selection.  Understanding residual heterozygosity is a critical aspect when assessing the utility of markers to support declaration of Distinctness (D) and must also be considered to establi</w:t>
      </w:r>
      <w:r w:rsidR="00173E5B">
        <w:t>sh Uniformity (U) and Stability </w:t>
      </w:r>
      <w:r w:rsidRPr="00FE3C8A">
        <w:t>(S).</w:t>
      </w:r>
    </w:p>
    <w:p w:rsidR="00FE3C8A" w:rsidRDefault="00FE3C8A" w:rsidP="00FE3C8A"/>
    <w:p w:rsidR="00FE3C8A" w:rsidRPr="00FE3C8A" w:rsidRDefault="00FE3C8A" w:rsidP="00FE3C8A">
      <w:pPr>
        <w:keepLines/>
      </w:pPr>
      <w:r w:rsidRPr="007C25BD">
        <w:fldChar w:fldCharType="begin"/>
      </w:r>
      <w:r w:rsidRPr="007C25BD">
        <w:instrText xml:space="preserve"> AUTONUM  </w:instrText>
      </w:r>
      <w:r w:rsidRPr="007C25BD">
        <w:fldChar w:fldCharType="end"/>
      </w:r>
      <w:r w:rsidRPr="007C25BD">
        <w:tab/>
      </w:r>
      <w:r w:rsidRPr="00FE3C8A">
        <w:t>Previous experience examining varieties of the same species using different marker systems indicated that distance measure</w:t>
      </w:r>
      <w:r w:rsidR="00AF7D14">
        <w:t>ments</w:t>
      </w:r>
      <w:r w:rsidRPr="00FE3C8A">
        <w:t xml:space="preserve"> between varieties are dependent upon the type of marker system that is used (Smith et al., 1997). We therefore chose to use Single Nucleotide Polymorphisms (SNPs) because these are the most numerous markers, provide the greatest degree of genomic coverage, provide a high degree of repeatability, and are rapidly becoming widespread and regularly used in soybean breeding and research. We address three important issues relevant to the potential use of SNPs in the characterization of, and comparisons among soybean varieties: 1) using single seed assays to measure the incidence of heterozygosity, and 2) using both single seed and various sized single seed bulks to measure residual heterozygosity (</w:t>
      </w:r>
      <w:proofErr w:type="spellStart"/>
      <w:r w:rsidRPr="00FE3C8A">
        <w:t>ideotypes</w:t>
      </w:r>
      <w:proofErr w:type="spellEnd"/>
      <w:r w:rsidRPr="00FE3C8A">
        <w:t>) within soybean varieties. These results are then analyzed to determine a) how many seeds are required to obtain a reliable SNP profile for a soybean variety, and b) if bulk samples can be used, then how many seeds comprise the bulk.</w:t>
      </w:r>
    </w:p>
    <w:p w:rsidR="00FE3C8A" w:rsidRDefault="00FE3C8A" w:rsidP="00FE3C8A"/>
    <w:p w:rsidR="00FE3C8A" w:rsidRPr="00FE3C8A" w:rsidRDefault="00FE3C8A" w:rsidP="00FE3C8A"/>
    <w:p w:rsidR="00FE3C8A" w:rsidRDefault="00FE3C8A" w:rsidP="00FE3C8A">
      <w:pPr>
        <w:pStyle w:val="Heading1"/>
      </w:pPr>
      <w:r w:rsidRPr="00FE3C8A">
        <w:lastRenderedPageBreak/>
        <w:t>Materials</w:t>
      </w:r>
    </w:p>
    <w:p w:rsidR="00FE3C8A" w:rsidRPr="00FE3C8A" w:rsidRDefault="00FE3C8A" w:rsidP="00FE3C8A"/>
    <w:p w:rsidR="00FE3C8A" w:rsidRPr="00FE3C8A" w:rsidRDefault="00FE3C8A" w:rsidP="00FE3C8A">
      <w:r w:rsidRPr="007C25BD">
        <w:fldChar w:fldCharType="begin"/>
      </w:r>
      <w:r w:rsidRPr="007C25BD">
        <w:instrText xml:space="preserve"> AUTONUM  </w:instrText>
      </w:r>
      <w:r w:rsidRPr="007C25BD">
        <w:fldChar w:fldCharType="end"/>
      </w:r>
      <w:r w:rsidRPr="007C25BD">
        <w:tab/>
      </w:r>
      <w:r w:rsidRPr="00FE3C8A">
        <w:t>Five publicly available soybean varieties with expired PVP status were selected that had been developed in the United States by two proprietary breeding programs (Table 1).  Each of these varieties had been granted PVP certificates by the US Plant Variety Protection Office using established morphological criteria.  Consequently, each seed lot had been determined to be sufficiently Distinct, Uniform, and Stable for the granting of Intellectual Property Rights in the form of PVP.</w:t>
      </w:r>
    </w:p>
    <w:tbl>
      <w:tblPr>
        <w:tblW w:w="9855" w:type="dxa"/>
        <w:tblLook w:val="04A0" w:firstRow="1" w:lastRow="0" w:firstColumn="1" w:lastColumn="0" w:noHBand="0" w:noVBand="1"/>
      </w:tblPr>
      <w:tblGrid>
        <w:gridCol w:w="1097"/>
        <w:gridCol w:w="1630"/>
        <w:gridCol w:w="1018"/>
        <w:gridCol w:w="3304"/>
        <w:gridCol w:w="2806"/>
      </w:tblGrid>
      <w:tr w:rsidR="00FE3C8A" w:rsidRPr="00FE3C8A" w:rsidTr="00173E5B">
        <w:trPr>
          <w:trHeight w:val="267"/>
        </w:trPr>
        <w:tc>
          <w:tcPr>
            <w:tcW w:w="1097" w:type="dxa"/>
            <w:tcBorders>
              <w:top w:val="nil"/>
              <w:left w:val="nil"/>
              <w:bottom w:val="nil"/>
              <w:right w:val="nil"/>
            </w:tcBorders>
            <w:shd w:val="clear" w:color="auto" w:fill="auto"/>
            <w:noWrap/>
            <w:vAlign w:val="bottom"/>
            <w:hideMark/>
          </w:tcPr>
          <w:p w:rsidR="00FE3C8A" w:rsidRDefault="00FE3C8A" w:rsidP="00173E5B">
            <w:pPr>
              <w:jc w:val="left"/>
            </w:pPr>
          </w:p>
          <w:p w:rsidR="00FE3C8A" w:rsidRPr="00FE3C8A" w:rsidRDefault="00FE3C8A" w:rsidP="00173E5B">
            <w:pPr>
              <w:jc w:val="left"/>
            </w:pPr>
            <w:r w:rsidRPr="00FE3C8A">
              <w:t>Table 1.</w:t>
            </w:r>
          </w:p>
        </w:tc>
        <w:tc>
          <w:tcPr>
            <w:tcW w:w="1630" w:type="dxa"/>
            <w:tcBorders>
              <w:top w:val="nil"/>
              <w:left w:val="nil"/>
              <w:bottom w:val="nil"/>
              <w:right w:val="nil"/>
            </w:tcBorders>
            <w:shd w:val="clear" w:color="auto" w:fill="auto"/>
            <w:noWrap/>
            <w:vAlign w:val="bottom"/>
            <w:hideMark/>
          </w:tcPr>
          <w:p w:rsidR="00FE3C8A" w:rsidRPr="00FE3C8A" w:rsidRDefault="00FE3C8A" w:rsidP="00173E5B">
            <w:pPr>
              <w:jc w:val="left"/>
            </w:pPr>
          </w:p>
        </w:tc>
        <w:tc>
          <w:tcPr>
            <w:tcW w:w="1018" w:type="dxa"/>
            <w:tcBorders>
              <w:top w:val="nil"/>
              <w:left w:val="nil"/>
              <w:bottom w:val="nil"/>
              <w:right w:val="nil"/>
            </w:tcBorders>
            <w:shd w:val="clear" w:color="auto" w:fill="auto"/>
            <w:noWrap/>
            <w:vAlign w:val="bottom"/>
            <w:hideMark/>
          </w:tcPr>
          <w:p w:rsidR="00FE3C8A" w:rsidRPr="00FE3C8A" w:rsidRDefault="00FE3C8A" w:rsidP="00FE3C8A"/>
        </w:tc>
        <w:tc>
          <w:tcPr>
            <w:tcW w:w="3304" w:type="dxa"/>
            <w:tcBorders>
              <w:top w:val="nil"/>
              <w:left w:val="nil"/>
              <w:bottom w:val="nil"/>
              <w:right w:val="nil"/>
            </w:tcBorders>
            <w:shd w:val="clear" w:color="auto" w:fill="auto"/>
            <w:noWrap/>
            <w:vAlign w:val="bottom"/>
            <w:hideMark/>
          </w:tcPr>
          <w:p w:rsidR="00FE3C8A" w:rsidRPr="00FE3C8A" w:rsidRDefault="00FE3C8A" w:rsidP="00173E5B">
            <w:pPr>
              <w:jc w:val="left"/>
            </w:pPr>
          </w:p>
        </w:tc>
        <w:tc>
          <w:tcPr>
            <w:tcW w:w="2806" w:type="dxa"/>
            <w:tcBorders>
              <w:top w:val="nil"/>
              <w:left w:val="nil"/>
              <w:bottom w:val="nil"/>
              <w:right w:val="nil"/>
            </w:tcBorders>
            <w:shd w:val="clear" w:color="auto" w:fill="auto"/>
            <w:noWrap/>
            <w:vAlign w:val="bottom"/>
            <w:hideMark/>
          </w:tcPr>
          <w:p w:rsidR="00FE3C8A" w:rsidRPr="00FE3C8A" w:rsidRDefault="00FE3C8A" w:rsidP="00173E5B">
            <w:pPr>
              <w:jc w:val="left"/>
            </w:pPr>
          </w:p>
        </w:tc>
      </w:tr>
      <w:tr w:rsidR="00FE3C8A" w:rsidRPr="00FE3C8A" w:rsidTr="00173E5B">
        <w:trPr>
          <w:trHeight w:val="267"/>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C8A" w:rsidRPr="00FE3C8A" w:rsidRDefault="00FE3C8A" w:rsidP="00173E5B">
            <w:pPr>
              <w:jc w:val="left"/>
              <w:rPr>
                <w:b/>
                <w:bCs/>
              </w:rPr>
            </w:pPr>
            <w:r w:rsidRPr="00FE3C8A">
              <w:rPr>
                <w:b/>
                <w:bCs/>
              </w:rPr>
              <w:t>Variety Name</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rsidR="00FE3C8A" w:rsidRPr="00FE3C8A" w:rsidRDefault="00FE3C8A" w:rsidP="00173E5B">
            <w:pPr>
              <w:jc w:val="left"/>
              <w:rPr>
                <w:b/>
                <w:bCs/>
              </w:rPr>
            </w:pPr>
            <w:r w:rsidRPr="00FE3C8A">
              <w:rPr>
                <w:b/>
                <w:bCs/>
              </w:rPr>
              <w:t>PI Accession Number</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FE3C8A" w:rsidRPr="00FE3C8A" w:rsidRDefault="00FE3C8A" w:rsidP="00FE3C8A">
            <w:pPr>
              <w:rPr>
                <w:b/>
                <w:bCs/>
              </w:rPr>
            </w:pPr>
            <w:r w:rsidRPr="00FE3C8A">
              <w:rPr>
                <w:b/>
                <w:bCs/>
              </w:rPr>
              <w:t>PVP Number</w:t>
            </w:r>
          </w:p>
        </w:tc>
        <w:tc>
          <w:tcPr>
            <w:tcW w:w="3304" w:type="dxa"/>
            <w:tcBorders>
              <w:top w:val="single" w:sz="4" w:space="0" w:color="auto"/>
              <w:left w:val="nil"/>
              <w:bottom w:val="single" w:sz="4" w:space="0" w:color="auto"/>
              <w:right w:val="single" w:sz="4" w:space="0" w:color="auto"/>
            </w:tcBorders>
            <w:shd w:val="clear" w:color="auto" w:fill="auto"/>
            <w:vAlign w:val="bottom"/>
            <w:hideMark/>
          </w:tcPr>
          <w:p w:rsidR="00FE3C8A" w:rsidRPr="00FE3C8A" w:rsidRDefault="00FE3C8A" w:rsidP="00173E5B">
            <w:pPr>
              <w:jc w:val="left"/>
              <w:rPr>
                <w:b/>
                <w:bCs/>
              </w:rPr>
            </w:pPr>
            <w:r w:rsidRPr="00FE3C8A">
              <w:rPr>
                <w:b/>
                <w:bCs/>
              </w:rPr>
              <w:t>PVP Applicant</w:t>
            </w:r>
          </w:p>
        </w:tc>
        <w:tc>
          <w:tcPr>
            <w:tcW w:w="2806" w:type="dxa"/>
            <w:tcBorders>
              <w:top w:val="single" w:sz="4" w:space="0" w:color="auto"/>
              <w:left w:val="nil"/>
              <w:bottom w:val="single" w:sz="4" w:space="0" w:color="auto"/>
              <w:right w:val="single" w:sz="4" w:space="0" w:color="auto"/>
            </w:tcBorders>
            <w:shd w:val="clear" w:color="auto" w:fill="auto"/>
            <w:vAlign w:val="bottom"/>
            <w:hideMark/>
          </w:tcPr>
          <w:p w:rsidR="00FE3C8A" w:rsidRPr="00FE3C8A" w:rsidRDefault="00FE3C8A" w:rsidP="00173E5B">
            <w:pPr>
              <w:jc w:val="left"/>
              <w:rPr>
                <w:b/>
                <w:bCs/>
              </w:rPr>
            </w:pPr>
            <w:r w:rsidRPr="00FE3C8A">
              <w:rPr>
                <w:b/>
                <w:bCs/>
              </w:rPr>
              <w:t>Pedigree as stated in PVP</w:t>
            </w:r>
          </w:p>
        </w:tc>
      </w:tr>
      <w:tr w:rsidR="00FE3C8A" w:rsidRPr="00FE3C8A" w:rsidTr="00173E5B">
        <w:trPr>
          <w:trHeight w:val="534"/>
        </w:trPr>
        <w:tc>
          <w:tcPr>
            <w:tcW w:w="1097" w:type="dxa"/>
            <w:tcBorders>
              <w:top w:val="nil"/>
              <w:left w:val="single" w:sz="4" w:space="0" w:color="auto"/>
              <w:bottom w:val="single" w:sz="4" w:space="0" w:color="auto"/>
              <w:right w:val="single" w:sz="4" w:space="0" w:color="auto"/>
            </w:tcBorders>
            <w:shd w:val="clear" w:color="auto" w:fill="auto"/>
            <w:noWrap/>
            <w:hideMark/>
          </w:tcPr>
          <w:p w:rsidR="00FE3C8A" w:rsidRPr="00FE3C8A" w:rsidRDefault="00FE3C8A" w:rsidP="00173E5B">
            <w:pPr>
              <w:jc w:val="left"/>
            </w:pPr>
            <w:r w:rsidRPr="00FE3C8A">
              <w:t>9171</w:t>
            </w:r>
          </w:p>
        </w:tc>
        <w:tc>
          <w:tcPr>
            <w:tcW w:w="1630"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PI 542056</w:t>
            </w:r>
          </w:p>
        </w:tc>
        <w:tc>
          <w:tcPr>
            <w:tcW w:w="1018"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9000181</w:t>
            </w:r>
          </w:p>
        </w:tc>
        <w:tc>
          <w:tcPr>
            <w:tcW w:w="3304"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r w:rsidRPr="00FE3C8A">
              <w:t>Pioneer Hi-Bred International, Inc. (DuPont Pioneer)</w:t>
            </w:r>
          </w:p>
        </w:tc>
        <w:tc>
          <w:tcPr>
            <w:tcW w:w="2806"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r w:rsidRPr="00FE3C8A">
              <w:t>9271 x A3127</w:t>
            </w:r>
          </w:p>
        </w:tc>
      </w:tr>
      <w:tr w:rsidR="00FE3C8A" w:rsidRPr="00FE3C8A" w:rsidTr="00173E5B">
        <w:trPr>
          <w:trHeight w:val="534"/>
        </w:trPr>
        <w:tc>
          <w:tcPr>
            <w:tcW w:w="1097" w:type="dxa"/>
            <w:tcBorders>
              <w:top w:val="nil"/>
              <w:left w:val="single" w:sz="4" w:space="0" w:color="auto"/>
              <w:bottom w:val="single" w:sz="4" w:space="0" w:color="auto"/>
              <w:right w:val="single" w:sz="4" w:space="0" w:color="auto"/>
            </w:tcBorders>
            <w:shd w:val="clear" w:color="auto" w:fill="auto"/>
            <w:noWrap/>
            <w:hideMark/>
          </w:tcPr>
          <w:p w:rsidR="00FE3C8A" w:rsidRPr="00FE3C8A" w:rsidRDefault="00FE3C8A" w:rsidP="00173E5B">
            <w:pPr>
              <w:jc w:val="left"/>
            </w:pPr>
            <w:r w:rsidRPr="00FE3C8A">
              <w:t>9221</w:t>
            </w:r>
          </w:p>
        </w:tc>
        <w:tc>
          <w:tcPr>
            <w:tcW w:w="1630"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PI 542058</w:t>
            </w:r>
          </w:p>
        </w:tc>
        <w:tc>
          <w:tcPr>
            <w:tcW w:w="1018"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9000183</w:t>
            </w:r>
          </w:p>
        </w:tc>
        <w:tc>
          <w:tcPr>
            <w:tcW w:w="3304"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r w:rsidRPr="00FE3C8A">
              <w:t>Pioneer Hi-Bred International, Inc. (DuPont Pioneer)</w:t>
            </w:r>
          </w:p>
        </w:tc>
        <w:tc>
          <w:tcPr>
            <w:tcW w:w="2806"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r w:rsidRPr="00FE3C8A">
              <w:t>1677 X Franklin</w:t>
            </w:r>
          </w:p>
        </w:tc>
      </w:tr>
      <w:tr w:rsidR="00FE3C8A" w:rsidRPr="00FE3C8A" w:rsidTr="00173E5B">
        <w:trPr>
          <w:trHeight w:val="1068"/>
        </w:trPr>
        <w:tc>
          <w:tcPr>
            <w:tcW w:w="1097" w:type="dxa"/>
            <w:tcBorders>
              <w:top w:val="nil"/>
              <w:left w:val="single" w:sz="4" w:space="0" w:color="auto"/>
              <w:bottom w:val="single" w:sz="4" w:space="0" w:color="auto"/>
              <w:right w:val="single" w:sz="4" w:space="0" w:color="auto"/>
            </w:tcBorders>
            <w:shd w:val="clear" w:color="auto" w:fill="auto"/>
            <w:noWrap/>
            <w:hideMark/>
          </w:tcPr>
          <w:p w:rsidR="00FE3C8A" w:rsidRPr="00FE3C8A" w:rsidRDefault="00FE3C8A" w:rsidP="00173E5B">
            <w:pPr>
              <w:jc w:val="left"/>
            </w:pPr>
            <w:r w:rsidRPr="00FE3C8A">
              <w:t>9551</w:t>
            </w:r>
          </w:p>
        </w:tc>
        <w:tc>
          <w:tcPr>
            <w:tcW w:w="1630"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PI 550733</w:t>
            </w:r>
          </w:p>
        </w:tc>
        <w:tc>
          <w:tcPr>
            <w:tcW w:w="1018"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9100185</w:t>
            </w:r>
          </w:p>
        </w:tc>
        <w:tc>
          <w:tcPr>
            <w:tcW w:w="3304"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r w:rsidRPr="00FE3C8A">
              <w:t>Pioneer Hi-Bred International, Inc. (DuPont Pioneer)</w:t>
            </w:r>
          </w:p>
        </w:tc>
        <w:tc>
          <w:tcPr>
            <w:tcW w:w="2806"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r w:rsidRPr="00FE3C8A">
              <w:t>J74-45/1095C42. J74-45 is a full sister to Bedford. 1095C42=Essex/D66-5566. D66-5566=D49-2491*4/Hawkeye.</w:t>
            </w:r>
          </w:p>
        </w:tc>
      </w:tr>
      <w:tr w:rsidR="00FE3C8A" w:rsidRPr="00FE3C8A" w:rsidTr="00173E5B">
        <w:trPr>
          <w:trHeight w:val="534"/>
        </w:trPr>
        <w:tc>
          <w:tcPr>
            <w:tcW w:w="1097" w:type="dxa"/>
            <w:tcBorders>
              <w:top w:val="nil"/>
              <w:left w:val="single" w:sz="4" w:space="0" w:color="auto"/>
              <w:bottom w:val="single" w:sz="4" w:space="0" w:color="auto"/>
              <w:right w:val="single" w:sz="4" w:space="0" w:color="auto"/>
            </w:tcBorders>
            <w:shd w:val="clear" w:color="auto" w:fill="auto"/>
            <w:noWrap/>
            <w:hideMark/>
          </w:tcPr>
          <w:p w:rsidR="00FE3C8A" w:rsidRPr="00FE3C8A" w:rsidRDefault="00FE3C8A" w:rsidP="00173E5B">
            <w:pPr>
              <w:jc w:val="left"/>
            </w:pPr>
            <w:r w:rsidRPr="00FE3C8A">
              <w:t>A2396</w:t>
            </w:r>
          </w:p>
        </w:tc>
        <w:tc>
          <w:tcPr>
            <w:tcW w:w="1630"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PI 540454</w:t>
            </w:r>
          </w:p>
        </w:tc>
        <w:tc>
          <w:tcPr>
            <w:tcW w:w="1018"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9000146</w:t>
            </w:r>
          </w:p>
        </w:tc>
        <w:tc>
          <w:tcPr>
            <w:tcW w:w="3304"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proofErr w:type="spellStart"/>
            <w:r w:rsidRPr="00FE3C8A">
              <w:t>Asgrow</w:t>
            </w:r>
            <w:proofErr w:type="spellEnd"/>
            <w:r w:rsidRPr="00FE3C8A">
              <w:t xml:space="preserve"> Seed Company (Monsanto)</w:t>
            </w:r>
          </w:p>
        </w:tc>
        <w:tc>
          <w:tcPr>
            <w:tcW w:w="2806"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r w:rsidRPr="00FE3C8A">
              <w:t>CM214 X A2943</w:t>
            </w:r>
          </w:p>
        </w:tc>
      </w:tr>
      <w:tr w:rsidR="00FE3C8A" w:rsidRPr="00FE3C8A" w:rsidTr="00173E5B">
        <w:trPr>
          <w:trHeight w:val="534"/>
        </w:trPr>
        <w:tc>
          <w:tcPr>
            <w:tcW w:w="1097" w:type="dxa"/>
            <w:tcBorders>
              <w:top w:val="nil"/>
              <w:left w:val="single" w:sz="4" w:space="0" w:color="auto"/>
              <w:bottom w:val="single" w:sz="4" w:space="0" w:color="auto"/>
              <w:right w:val="single" w:sz="4" w:space="0" w:color="auto"/>
            </w:tcBorders>
            <w:shd w:val="clear" w:color="auto" w:fill="auto"/>
            <w:noWrap/>
            <w:hideMark/>
          </w:tcPr>
          <w:p w:rsidR="00FE3C8A" w:rsidRPr="00FE3C8A" w:rsidRDefault="00FE3C8A" w:rsidP="00173E5B">
            <w:pPr>
              <w:jc w:val="left"/>
            </w:pPr>
            <w:r w:rsidRPr="00FE3C8A">
              <w:t>A2835</w:t>
            </w:r>
          </w:p>
        </w:tc>
        <w:tc>
          <w:tcPr>
            <w:tcW w:w="1630"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PI 561718</w:t>
            </w:r>
          </w:p>
        </w:tc>
        <w:tc>
          <w:tcPr>
            <w:tcW w:w="1018" w:type="dxa"/>
            <w:tcBorders>
              <w:top w:val="nil"/>
              <w:left w:val="nil"/>
              <w:bottom w:val="single" w:sz="4" w:space="0" w:color="auto"/>
              <w:right w:val="single" w:sz="4" w:space="0" w:color="auto"/>
            </w:tcBorders>
            <w:shd w:val="clear" w:color="auto" w:fill="auto"/>
            <w:noWrap/>
            <w:hideMark/>
          </w:tcPr>
          <w:p w:rsidR="00FE3C8A" w:rsidRPr="00FE3C8A" w:rsidRDefault="00FE3C8A" w:rsidP="00173E5B">
            <w:pPr>
              <w:jc w:val="left"/>
            </w:pPr>
            <w:r w:rsidRPr="00FE3C8A">
              <w:t>9200223</w:t>
            </w:r>
          </w:p>
        </w:tc>
        <w:tc>
          <w:tcPr>
            <w:tcW w:w="3304"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proofErr w:type="spellStart"/>
            <w:r w:rsidRPr="00FE3C8A">
              <w:t>Asgrow</w:t>
            </w:r>
            <w:proofErr w:type="spellEnd"/>
            <w:r w:rsidRPr="00FE3C8A">
              <w:t xml:space="preserve"> Seed Company (Monsanto)</w:t>
            </w:r>
          </w:p>
        </w:tc>
        <w:tc>
          <w:tcPr>
            <w:tcW w:w="2806" w:type="dxa"/>
            <w:tcBorders>
              <w:top w:val="nil"/>
              <w:left w:val="nil"/>
              <w:bottom w:val="single" w:sz="4" w:space="0" w:color="auto"/>
              <w:right w:val="single" w:sz="4" w:space="0" w:color="auto"/>
            </w:tcBorders>
            <w:shd w:val="clear" w:color="auto" w:fill="auto"/>
            <w:hideMark/>
          </w:tcPr>
          <w:p w:rsidR="00FE3C8A" w:rsidRPr="00FE3C8A" w:rsidRDefault="00FE3C8A" w:rsidP="00173E5B">
            <w:pPr>
              <w:jc w:val="left"/>
            </w:pPr>
            <w:r w:rsidRPr="00FE3C8A">
              <w:t>X1972 X A3935 (X1972 = A2 X Vickery)</w:t>
            </w:r>
          </w:p>
        </w:tc>
      </w:tr>
    </w:tbl>
    <w:p w:rsidR="00FE3C8A" w:rsidRPr="00FE3C8A" w:rsidRDefault="00FE3C8A" w:rsidP="00FE3C8A"/>
    <w:p w:rsidR="00FE3C8A" w:rsidRDefault="00FE3C8A" w:rsidP="00FE3C8A">
      <w:pPr>
        <w:rPr>
          <w:b/>
        </w:rPr>
      </w:pPr>
    </w:p>
    <w:p w:rsidR="00FE3C8A" w:rsidRPr="00FE3C8A" w:rsidRDefault="00FE3C8A" w:rsidP="00CF7B3E">
      <w:pPr>
        <w:pStyle w:val="Heading1"/>
      </w:pPr>
      <w:r w:rsidRPr="00FE3C8A">
        <w:t>Methods</w:t>
      </w:r>
    </w:p>
    <w:p w:rsidR="00FE3C8A" w:rsidRPr="00FE3C8A" w:rsidRDefault="00FE3C8A" w:rsidP="00FE3C8A">
      <w:pPr>
        <w:rPr>
          <w:b/>
        </w:rPr>
      </w:pPr>
    </w:p>
    <w:p w:rsidR="00FE3C8A" w:rsidRPr="00FE3C8A" w:rsidRDefault="00FE3C8A" w:rsidP="00CF7B3E">
      <w:pPr>
        <w:pStyle w:val="Heading2"/>
      </w:pPr>
      <w:r w:rsidRPr="00FE3C8A">
        <w:t>Individual Seed and Bulk Seed Sampling Regimes</w:t>
      </w:r>
    </w:p>
    <w:p w:rsidR="00FE3C8A" w:rsidRPr="00FE3C8A" w:rsidRDefault="00FE3C8A" w:rsidP="00FE3C8A">
      <w:pPr>
        <w:rPr>
          <w:u w:val="single"/>
        </w:rPr>
      </w:pPr>
    </w:p>
    <w:p w:rsidR="00FE3C8A" w:rsidRPr="00FE3C8A" w:rsidRDefault="00FE3C8A" w:rsidP="00FE3C8A">
      <w:r w:rsidRPr="007C25BD">
        <w:fldChar w:fldCharType="begin"/>
      </w:r>
      <w:r w:rsidRPr="007C25BD">
        <w:instrText xml:space="preserve"> AUTONUM  </w:instrText>
      </w:r>
      <w:r w:rsidRPr="007C25BD">
        <w:fldChar w:fldCharType="end"/>
      </w:r>
      <w:r w:rsidRPr="007C25BD">
        <w:tab/>
      </w:r>
      <w:r w:rsidRPr="00FE3C8A">
        <w:t xml:space="preserve">The BARCSoy6K panel (Lee et al, 2015) sourced from Illumina® (Illumina, Inc., San Diego, CA, USA) was used to profile each variety.  Soybean varieties 9171, 9221, and 9551 were assayed at the DuPont Pioneer Lab in Johnston, IA. USA.  Soybean varieties A2396 and A2835 were assayed at the Monsanto Lab in St. Louis, MO. USA.  </w:t>
      </w:r>
    </w:p>
    <w:p w:rsidR="00FE3C8A" w:rsidRPr="00FE3C8A" w:rsidRDefault="00FE3C8A" w:rsidP="00FE3C8A"/>
    <w:p w:rsidR="00FE3C8A" w:rsidRPr="00FE3C8A" w:rsidRDefault="00FE3C8A" w:rsidP="00FE3C8A">
      <w:r w:rsidRPr="007C25BD">
        <w:fldChar w:fldCharType="begin"/>
      </w:r>
      <w:r w:rsidRPr="007C25BD">
        <w:instrText xml:space="preserve"> AUTONUM  </w:instrText>
      </w:r>
      <w:r w:rsidRPr="007C25BD">
        <w:fldChar w:fldCharType="end"/>
      </w:r>
      <w:r w:rsidRPr="007C25BD">
        <w:tab/>
      </w:r>
      <w:r w:rsidRPr="00FE3C8A">
        <w:t>The sampling regimes used varied slightly by lab, but maintained the essential components of individual seed assays and subsequent bulk seed assays from the same set of individuals.</w:t>
      </w:r>
    </w:p>
    <w:p w:rsidR="00FE3C8A" w:rsidRPr="00FE3C8A" w:rsidRDefault="00FE3C8A" w:rsidP="00FE3C8A"/>
    <w:p w:rsidR="00FE3C8A" w:rsidRPr="00FE3C8A" w:rsidRDefault="00FE3C8A" w:rsidP="00CF7B3E">
      <w:pPr>
        <w:pStyle w:val="Heading3"/>
      </w:pPr>
      <w:r w:rsidRPr="00FE3C8A">
        <w:t>DuPont Pioneer Sampling Regime</w:t>
      </w:r>
    </w:p>
    <w:p w:rsidR="00FE3C8A" w:rsidRPr="00FE3C8A" w:rsidRDefault="00FE3C8A" w:rsidP="00CF7B3E">
      <w:pPr>
        <w:keepNext/>
        <w:rPr>
          <w:u w:val="single"/>
        </w:rPr>
      </w:pPr>
    </w:p>
    <w:p w:rsidR="00FE3C8A" w:rsidRPr="00FE3C8A" w:rsidRDefault="00FE3C8A" w:rsidP="00CF7B3E">
      <w:pPr>
        <w:keepNext/>
      </w:pPr>
      <w:r w:rsidRPr="007C25BD">
        <w:fldChar w:fldCharType="begin"/>
      </w:r>
      <w:r w:rsidRPr="007C25BD">
        <w:instrText xml:space="preserve"> AUTONUM  </w:instrText>
      </w:r>
      <w:r w:rsidRPr="007C25BD">
        <w:fldChar w:fldCharType="end"/>
      </w:r>
      <w:r w:rsidRPr="007C25BD">
        <w:tab/>
      </w:r>
      <w:r w:rsidRPr="00FE3C8A">
        <w:t>Nineteen individual seeds were grown out and each individual seed sampled and assayed.  Then different size bulk regimes were sampled and assayed as follows; seeds 1-3 were bulk sampled, then seeds 1-5, 1-7, 1-9, 1-11, 1-13, 1-15, 1-17, &amp; 1-19 made up the remaining bulk samples.  Each sampling regime was repeated twice for each variety, i.e. 19 seeds were selected for 1 replicate, and 19 additional seeds were selected for the second replicate.</w:t>
      </w:r>
    </w:p>
    <w:p w:rsidR="00FE3C8A" w:rsidRDefault="00FE3C8A" w:rsidP="00FE3C8A">
      <w:pPr>
        <w:rPr>
          <w:i/>
        </w:rPr>
      </w:pPr>
    </w:p>
    <w:p w:rsidR="00FE3C8A" w:rsidRDefault="00FE3C8A" w:rsidP="00CF7B3E">
      <w:pPr>
        <w:pStyle w:val="Heading3"/>
      </w:pPr>
      <w:r w:rsidRPr="00FE3C8A">
        <w:t>Monsanto Sampling Regime</w:t>
      </w:r>
    </w:p>
    <w:p w:rsidR="00FE3C8A" w:rsidRPr="00FE3C8A" w:rsidRDefault="00FE3C8A" w:rsidP="00FE3C8A">
      <w:pPr>
        <w:rPr>
          <w:i/>
        </w:rPr>
      </w:pPr>
    </w:p>
    <w:p w:rsidR="00FE3C8A" w:rsidRPr="00FE3C8A" w:rsidRDefault="00FE3C8A" w:rsidP="00FE3C8A">
      <w:r w:rsidRPr="007C25BD">
        <w:fldChar w:fldCharType="begin"/>
      </w:r>
      <w:r w:rsidRPr="007C25BD">
        <w:instrText xml:space="preserve"> AUTONUM  </w:instrText>
      </w:r>
      <w:r w:rsidRPr="007C25BD">
        <w:fldChar w:fldCharType="end"/>
      </w:r>
      <w:r w:rsidRPr="007C25BD">
        <w:tab/>
      </w:r>
      <w:r w:rsidRPr="00FE3C8A">
        <w:t>Seventeen individual seeds were grown out and each individual seed sampled and assayed.  Then different size bulk regimes were sampled and assayed from the same individ</w:t>
      </w:r>
      <w:r w:rsidR="00E449C1">
        <w:t>ual seeds as; seeds 1-5, 1-7, 1</w:t>
      </w:r>
      <w:r w:rsidR="00E449C1">
        <w:noBreakHyphen/>
      </w:r>
      <w:r w:rsidRPr="00FE3C8A">
        <w:t>9, 1-11, 1-13, 1-15, and 1-17.  The sampling regime was not repeated.</w:t>
      </w:r>
    </w:p>
    <w:p w:rsidR="00FE3C8A" w:rsidRDefault="00FE3C8A" w:rsidP="00FE3C8A">
      <w:pPr>
        <w:rPr>
          <w:u w:val="single"/>
        </w:rPr>
      </w:pPr>
    </w:p>
    <w:p w:rsidR="00FE3C8A" w:rsidRPr="00FE3C8A" w:rsidRDefault="00FE3C8A" w:rsidP="00CF7B3E">
      <w:pPr>
        <w:pStyle w:val="Heading2"/>
      </w:pPr>
      <w:r w:rsidRPr="00FE3C8A">
        <w:t xml:space="preserve">Evaluation of Heterozygosity and Residual Heterozygosity (Presence of SNP </w:t>
      </w:r>
      <w:proofErr w:type="spellStart"/>
      <w:r w:rsidRPr="00FE3C8A">
        <w:t>Ideotypes</w:t>
      </w:r>
      <w:proofErr w:type="spellEnd"/>
      <w:r w:rsidRPr="00FE3C8A">
        <w:t xml:space="preserve"> </w:t>
      </w:r>
      <w:proofErr w:type="gramStart"/>
      <w:r w:rsidRPr="00FE3C8A">
        <w:t>Within</w:t>
      </w:r>
      <w:proofErr w:type="gramEnd"/>
      <w:r w:rsidRPr="00FE3C8A">
        <w:t xml:space="preserve"> a Variety)</w:t>
      </w:r>
    </w:p>
    <w:p w:rsidR="00FE3C8A" w:rsidRDefault="00FE3C8A" w:rsidP="00FE3C8A"/>
    <w:p w:rsidR="00FE3C8A" w:rsidRPr="00FE3C8A" w:rsidRDefault="00FE3C8A" w:rsidP="00FE3C8A">
      <w:r w:rsidRPr="007C25BD">
        <w:fldChar w:fldCharType="begin"/>
      </w:r>
      <w:r w:rsidRPr="007C25BD">
        <w:instrText xml:space="preserve"> AUTONUM  </w:instrText>
      </w:r>
      <w:r w:rsidRPr="007C25BD">
        <w:fldChar w:fldCharType="end"/>
      </w:r>
      <w:r w:rsidRPr="007C25BD">
        <w:tab/>
      </w:r>
      <w:r w:rsidRPr="00FE3C8A">
        <w:t xml:space="preserve">The profiles of the BARCSoy6K panel generated from individual seeds were observed to determine the number of individuals and markers that were recorded as heterozygotes for each variety.  SNP profiles of individual seeds were used to compute observed allele frequencies, which would also be the expected allele frequencies for the bulk samples.  Heterogeneity can result from two sources: A) presence of heterozygous SNP individuals and B) individuals comprising the bulk that were reported as homozygous for alternate SNP alleles (Different </w:t>
      </w:r>
      <w:proofErr w:type="spellStart"/>
      <w:r w:rsidRPr="00FE3C8A">
        <w:t>Ideotypes</w:t>
      </w:r>
      <w:proofErr w:type="spellEnd"/>
      <w:r w:rsidRPr="00FE3C8A">
        <w:t xml:space="preserve">).  Minor allele frequencies were calculated from the results of single seed assays </w:t>
      </w:r>
      <w:r w:rsidRPr="00FE3C8A">
        <w:lastRenderedPageBreak/>
        <w:t>and these would be the expected minor allele frequencies for the bulked samples of those individual seeds.  Minor allele frequencies were calculated to determine if allele frequencies appeared to be associated with differences between observed compared to expected reports of heterogeneity in bulk samples.</w:t>
      </w:r>
    </w:p>
    <w:p w:rsidR="00FE3C8A" w:rsidRDefault="00FE3C8A" w:rsidP="00FE3C8A">
      <w:pPr>
        <w:rPr>
          <w:u w:val="single"/>
        </w:rPr>
      </w:pPr>
    </w:p>
    <w:p w:rsidR="00FE3C8A" w:rsidRPr="00FE3C8A" w:rsidRDefault="00FE3C8A" w:rsidP="00CF7B3E">
      <w:pPr>
        <w:pStyle w:val="Heading2"/>
      </w:pPr>
      <w:r w:rsidRPr="00FE3C8A">
        <w:t xml:space="preserve">Determining the Number of Seeds to Assay to Characterize a Soybean Variety </w:t>
      </w:r>
    </w:p>
    <w:p w:rsidR="00FE3C8A" w:rsidRPr="00FE3C8A" w:rsidRDefault="00FE3C8A" w:rsidP="00FE3C8A">
      <w:pPr>
        <w:rPr>
          <w:u w:val="single"/>
        </w:rPr>
      </w:pPr>
    </w:p>
    <w:p w:rsidR="00FE3C8A" w:rsidRPr="00FE3C8A" w:rsidRDefault="00FE3C8A" w:rsidP="00FE3C8A">
      <w:r w:rsidRPr="007C25BD">
        <w:fldChar w:fldCharType="begin"/>
      </w:r>
      <w:r w:rsidRPr="007C25BD">
        <w:instrText xml:space="preserve"> AUTONUM  </w:instrText>
      </w:r>
      <w:r w:rsidRPr="007C25BD">
        <w:fldChar w:fldCharType="end"/>
      </w:r>
      <w:r w:rsidRPr="007C25BD">
        <w:tab/>
      </w:r>
      <w:r w:rsidRPr="00FE3C8A">
        <w:t xml:space="preserve">To determine the number of seeds to be sampled to adequately characterize a variety, we calculated the measurement uncertainty (MU – ISO, 1995) associated to the heterogeneity rate.  This is derived as follows: Let </w:t>
      </w:r>
      <w:proofErr w:type="spellStart"/>
      <w:r w:rsidRPr="00FE3C8A">
        <w:t>M</w:t>
      </w:r>
      <w:r w:rsidRPr="00FE3C8A">
        <w:rPr>
          <w:i/>
          <w:vertAlign w:val="subscript"/>
        </w:rPr>
        <w:t>i</w:t>
      </w:r>
      <w:proofErr w:type="spellEnd"/>
      <w:r w:rsidRPr="00FE3C8A">
        <w:t xml:space="preserve"> </w:t>
      </w:r>
      <w:proofErr w:type="gramStart"/>
      <w:r w:rsidRPr="00FE3C8A">
        <w:t>be</w:t>
      </w:r>
      <w:proofErr w:type="gramEnd"/>
      <w:r w:rsidRPr="00FE3C8A">
        <w:t xml:space="preserve"> a “heterogeneous SNP” with Minor Allele Frequency (MAF) equal to </w:t>
      </w:r>
      <w:proofErr w:type="spellStart"/>
      <w:r w:rsidRPr="00FE3C8A">
        <w:rPr>
          <w:i/>
        </w:rPr>
        <w:t>MAF</w:t>
      </w:r>
      <w:r w:rsidRPr="00FE3C8A">
        <w:rPr>
          <w:i/>
          <w:vertAlign w:val="subscript"/>
        </w:rPr>
        <w:t>i</w:t>
      </w:r>
      <w:proofErr w:type="spellEnd"/>
      <w:r w:rsidRPr="00FE3C8A">
        <w:t xml:space="preserve">. Given </w:t>
      </w:r>
      <w:r w:rsidRPr="00FE3C8A">
        <w:rPr>
          <w:i/>
        </w:rPr>
        <w:t>k</w:t>
      </w:r>
      <w:r w:rsidRPr="00FE3C8A">
        <w:t xml:space="preserve"> seeds are sampled in the lot, </w:t>
      </w:r>
      <w:proofErr w:type="gramStart"/>
      <w:r w:rsidRPr="00FE3C8A">
        <w:t>then</w:t>
      </w:r>
      <w:proofErr w:type="gramEnd"/>
      <w:r w:rsidRPr="00FE3C8A">
        <w:t xml:space="preserve"> the probability </w:t>
      </w:r>
      <w:r w:rsidRPr="00FE3C8A">
        <w:object w:dxaOrig="30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10" o:title=""/>
          </v:shape>
          <o:OLEObject Type="Embed" ProgID="Equation.DSMT4" ShapeID="_x0000_i1025" DrawAspect="Content" ObjectID="_1570954962" r:id="rId11"/>
        </w:object>
      </w:r>
      <w:r w:rsidRPr="00FE3C8A">
        <w:t xml:space="preserve"> that there is at least one heterogeneous seed in the sample for this SNP is equal to: </w:t>
      </w:r>
    </w:p>
    <w:p w:rsidR="00FE3C8A" w:rsidRDefault="00FE3C8A" w:rsidP="00FE3C8A">
      <w:r w:rsidRPr="00FE3C8A">
        <w:object w:dxaOrig="1920" w:dyaOrig="380">
          <v:shape id="_x0000_i1026" type="#_x0000_t75" style="width:96.75pt;height:18.75pt" o:ole="">
            <v:imagedata r:id="rId12" o:title=""/>
          </v:shape>
          <o:OLEObject Type="Embed" ProgID="Equation.DSMT4" ShapeID="_x0000_i1026" DrawAspect="Content" ObjectID="_1570954963" r:id="rId13"/>
        </w:object>
      </w:r>
      <w:r w:rsidRPr="00FE3C8A">
        <w:t>.</w:t>
      </w:r>
      <w:r w:rsidRPr="00FE3C8A">
        <w:rPr>
          <w:vertAlign w:val="superscript"/>
        </w:rPr>
        <w:footnoteReference w:id="2"/>
      </w:r>
    </w:p>
    <w:p w:rsidR="00CF7B3E" w:rsidRPr="00173E5B" w:rsidRDefault="00CF7B3E" w:rsidP="00173E5B"/>
    <w:p w:rsidR="00FE3C8A" w:rsidRPr="00FE3C8A" w:rsidRDefault="00CF7B3E" w:rsidP="00173E5B">
      <w:r w:rsidRPr="007C25BD">
        <w:fldChar w:fldCharType="begin"/>
      </w:r>
      <w:r w:rsidRPr="007C25BD">
        <w:instrText xml:space="preserve"> AUTONUM  </w:instrText>
      </w:r>
      <w:r w:rsidRPr="007C25BD">
        <w:fldChar w:fldCharType="end"/>
      </w:r>
      <w:r w:rsidRPr="007C25BD">
        <w:tab/>
      </w:r>
      <w:r w:rsidR="00FE3C8A" w:rsidRPr="00FE3C8A">
        <w:t xml:space="preserve">We assume that </w:t>
      </w:r>
      <w:r w:rsidR="00FE3C8A" w:rsidRPr="00FE3C8A">
        <w:rPr>
          <w:i/>
        </w:rPr>
        <w:t>n</w:t>
      </w:r>
      <w:r w:rsidR="00FE3C8A" w:rsidRPr="00FE3C8A">
        <w:t xml:space="preserve"> SNP out of </w:t>
      </w:r>
      <w:r w:rsidR="00FE3C8A" w:rsidRPr="00FE3C8A">
        <w:rPr>
          <w:i/>
        </w:rPr>
        <w:t>N</w:t>
      </w:r>
      <w:r w:rsidR="00FE3C8A" w:rsidRPr="00FE3C8A">
        <w:t xml:space="preserve"> characterizes heterogeneity for a given variety. Let </w:t>
      </w:r>
      <w:r w:rsidR="00FE3C8A" w:rsidRPr="00FE3C8A">
        <w:object w:dxaOrig="360" w:dyaOrig="375">
          <v:shape id="_x0000_i1027" type="#_x0000_t75" style="width:18pt;height:18.75pt" o:ole="">
            <v:imagedata r:id="rId14" o:title=""/>
          </v:shape>
          <o:OLEObject Type="Embed" ProgID="Equation.DSMT4" ShapeID="_x0000_i1027" DrawAspect="Content" ObjectID="_1570954964" r:id="rId15"/>
        </w:object>
      </w:r>
      <w:r w:rsidR="00FE3C8A" w:rsidRPr="00FE3C8A">
        <w:t xml:space="preserve"> be the random variable having value 1 if there is at least one heterogeneous seed in the </w:t>
      </w:r>
      <w:r w:rsidR="00FE3C8A" w:rsidRPr="00FE3C8A">
        <w:rPr>
          <w:i/>
        </w:rPr>
        <w:t>k</w:t>
      </w:r>
      <w:r w:rsidR="00FE3C8A" w:rsidRPr="00FE3C8A">
        <w:t xml:space="preserve"> seeds sampled for marker </w:t>
      </w:r>
      <w:r w:rsidR="00FE3C8A" w:rsidRPr="00FE3C8A">
        <w:rPr>
          <w:i/>
        </w:rPr>
        <w:t>i</w:t>
      </w:r>
      <w:r w:rsidR="00FE3C8A" w:rsidRPr="00FE3C8A">
        <w:t xml:space="preserve">, 0 otherwise. Then the distribution of </w:t>
      </w:r>
      <w:r w:rsidR="00FE3C8A" w:rsidRPr="00FE3C8A">
        <w:object w:dxaOrig="1140" w:dyaOrig="675">
          <v:shape id="_x0000_i1028" type="#_x0000_t75" style="width:57pt;height:33.75pt" o:ole="">
            <v:imagedata r:id="rId16" o:title=""/>
          </v:shape>
          <o:OLEObject Type="Embed" ProgID="Equation.DSMT4" ShapeID="_x0000_i1028" DrawAspect="Content" ObjectID="_1570954965" r:id="rId17"/>
        </w:object>
      </w:r>
      <w:r w:rsidR="00FE3C8A" w:rsidRPr="00FE3C8A">
        <w:t xml:space="preserve">is Poisson binomial with mean </w:t>
      </w:r>
      <w:r w:rsidR="00FE3C8A" w:rsidRPr="00FE3C8A">
        <w:object w:dxaOrig="1080" w:dyaOrig="675">
          <v:shape id="_x0000_i1029" type="#_x0000_t75" style="width:54.75pt;height:33.75pt" o:ole="">
            <v:imagedata r:id="rId18" o:title=""/>
          </v:shape>
          <o:OLEObject Type="Embed" ProgID="Equation.DSMT4" ShapeID="_x0000_i1029" DrawAspect="Content" ObjectID="_1570954966" r:id="rId19"/>
        </w:object>
      </w:r>
      <w:r w:rsidR="00FE3C8A" w:rsidRPr="00FE3C8A">
        <w:t xml:space="preserve"> and </w:t>
      </w:r>
      <w:proofErr w:type="gramStart"/>
      <w:r w:rsidR="00FE3C8A" w:rsidRPr="00FE3C8A">
        <w:t xml:space="preserve">variance </w:t>
      </w:r>
      <w:proofErr w:type="gramEnd"/>
      <w:r w:rsidR="00FE3C8A" w:rsidRPr="00FE3C8A">
        <w:object w:dxaOrig="1815" w:dyaOrig="675">
          <v:shape id="_x0000_i1030" type="#_x0000_t75" style="width:90.75pt;height:33.75pt" o:ole="">
            <v:imagedata r:id="rId20" o:title=""/>
          </v:shape>
          <o:OLEObject Type="Embed" ProgID="Equation.DSMT4" ShapeID="_x0000_i1030" DrawAspect="Content" ObjectID="_1570954967" r:id="rId21"/>
        </w:object>
      </w:r>
      <w:r w:rsidR="00FE3C8A" w:rsidRPr="00FE3C8A">
        <w:t xml:space="preserve">. The heterogeneity rate </w:t>
      </w:r>
      <w:proofErr w:type="spellStart"/>
      <w:r w:rsidR="00FE3C8A" w:rsidRPr="00FE3C8A">
        <w:rPr>
          <w:i/>
        </w:rPr>
        <w:t>h</w:t>
      </w:r>
      <w:r w:rsidR="00FE3C8A" w:rsidRPr="00FE3C8A">
        <w:rPr>
          <w:i/>
          <w:vertAlign w:val="subscript"/>
        </w:rPr>
        <w:t>k</w:t>
      </w:r>
      <w:proofErr w:type="spellEnd"/>
      <w:r w:rsidR="00FE3C8A" w:rsidRPr="00FE3C8A">
        <w:t xml:space="preserve"> is therefore given by:</w:t>
      </w:r>
    </w:p>
    <w:p w:rsidR="00FE3C8A" w:rsidRPr="00FE3C8A" w:rsidRDefault="00FE3C8A" w:rsidP="00FE3C8A">
      <w:r w:rsidRPr="00FE3C8A">
        <w:object w:dxaOrig="765" w:dyaOrig="615">
          <v:shape id="_x0000_i1031" type="#_x0000_t75" style="width:38.25pt;height:30.75pt" o:ole="">
            <v:imagedata r:id="rId22" o:title=""/>
          </v:shape>
          <o:OLEObject Type="Embed" ProgID="Equation.DSMT4" ShapeID="_x0000_i1031" DrawAspect="Content" ObjectID="_1570954968" r:id="rId23"/>
        </w:object>
      </w:r>
    </w:p>
    <w:p w:rsidR="00FE3C8A" w:rsidRPr="00FE3C8A" w:rsidRDefault="00FE3C8A" w:rsidP="00FE3C8A">
      <w:proofErr w:type="gramStart"/>
      <w:r w:rsidRPr="00FE3C8A">
        <w:t>and</w:t>
      </w:r>
      <w:proofErr w:type="gramEnd"/>
      <w:r w:rsidRPr="00FE3C8A">
        <w:t xml:space="preserve"> its measurement uncertainty by:</w:t>
      </w:r>
    </w:p>
    <w:p w:rsidR="00FE3C8A" w:rsidRPr="00FE3C8A" w:rsidRDefault="00FE3C8A" w:rsidP="00FE3C8A">
      <w:r w:rsidRPr="00FE3C8A">
        <w:object w:dxaOrig="1200" w:dyaOrig="700">
          <v:shape id="_x0000_i1032" type="#_x0000_t75" style="width:60pt;height:35.25pt" o:ole="">
            <v:imagedata r:id="rId24" o:title=""/>
          </v:shape>
          <o:OLEObject Type="Embed" ProgID="Equation.DSMT4" ShapeID="_x0000_i1032" DrawAspect="Content" ObjectID="_1570954969" r:id="rId25"/>
        </w:object>
      </w:r>
    </w:p>
    <w:p w:rsidR="00CF7B3E" w:rsidRDefault="00CF7B3E" w:rsidP="00FE3C8A"/>
    <w:p w:rsidR="00FE3C8A" w:rsidRPr="00FE3C8A" w:rsidRDefault="00CF7B3E" w:rsidP="00FE3C8A">
      <w:r w:rsidRPr="007C25BD">
        <w:fldChar w:fldCharType="begin"/>
      </w:r>
      <w:r w:rsidRPr="007C25BD">
        <w:instrText xml:space="preserve"> AUTONUM  </w:instrText>
      </w:r>
      <w:r w:rsidRPr="007C25BD">
        <w:fldChar w:fldCharType="end"/>
      </w:r>
      <w:r w:rsidRPr="007C25BD">
        <w:tab/>
      </w:r>
      <w:r w:rsidR="00FE3C8A" w:rsidRPr="00FE3C8A">
        <w:t xml:space="preserve">MUs were then graphed to review the precision using Monte Carlo simulation: for each number of seeds sampled, a random MAF value within the MAF range is generated for each </w:t>
      </w:r>
      <w:proofErr w:type="spellStart"/>
      <w:r w:rsidR="00FE3C8A" w:rsidRPr="00FE3C8A">
        <w:t>heterogenous</w:t>
      </w:r>
      <w:proofErr w:type="spellEnd"/>
      <w:r w:rsidR="00FE3C8A" w:rsidRPr="00FE3C8A">
        <w:t xml:space="preserve"> SNP 10,000 times and the mean of the MUs computed and displayed.</w:t>
      </w:r>
    </w:p>
    <w:p w:rsidR="00CF7B3E" w:rsidRDefault="00CF7B3E" w:rsidP="00CF7B3E">
      <w:pPr>
        <w:pStyle w:val="Heading1"/>
      </w:pPr>
    </w:p>
    <w:p w:rsidR="00CF7B3E" w:rsidRDefault="00CF7B3E" w:rsidP="00CF7B3E">
      <w:pPr>
        <w:pStyle w:val="Heading1"/>
      </w:pPr>
    </w:p>
    <w:p w:rsidR="00FE3C8A" w:rsidRPr="00FE3C8A" w:rsidRDefault="00FE3C8A" w:rsidP="00CF7B3E">
      <w:pPr>
        <w:pStyle w:val="Heading1"/>
      </w:pPr>
      <w:r w:rsidRPr="00FE3C8A">
        <w:t>Results</w:t>
      </w:r>
    </w:p>
    <w:p w:rsidR="00FE3C8A" w:rsidRPr="00FE3C8A" w:rsidRDefault="00FE3C8A" w:rsidP="00FE3C8A"/>
    <w:p w:rsidR="00FE3C8A" w:rsidRPr="00FE3C8A" w:rsidRDefault="00FE3C8A" w:rsidP="00CF7B3E">
      <w:pPr>
        <w:pStyle w:val="Heading2"/>
      </w:pPr>
      <w:r w:rsidRPr="00FE3C8A">
        <w:t>Incidence of Heterozygosity</w:t>
      </w:r>
    </w:p>
    <w:p w:rsidR="00CF7B3E" w:rsidRDefault="00CF7B3E" w:rsidP="00FE3C8A"/>
    <w:p w:rsidR="00FE3C8A" w:rsidRPr="00FE3C8A" w:rsidRDefault="00CF7B3E" w:rsidP="00FE3C8A">
      <w:r w:rsidRPr="007C25BD">
        <w:fldChar w:fldCharType="begin"/>
      </w:r>
      <w:r w:rsidRPr="007C25BD">
        <w:instrText xml:space="preserve"> AUTONUM  </w:instrText>
      </w:r>
      <w:r w:rsidRPr="007C25BD">
        <w:fldChar w:fldCharType="end"/>
      </w:r>
      <w:r w:rsidRPr="007C25BD">
        <w:tab/>
      </w:r>
      <w:r w:rsidR="00FE3C8A" w:rsidRPr="00FE3C8A">
        <w:t>Heterozygous SNPs ranged from 0.02 – 0.15% across all varieties in the experiment, so were not a major contributor to the level of heterogeneity observed in the soybean varieties when sampled as bulks (Table 2).  The identity of heterozygous SNPs varied with each variety and wh</w:t>
      </w:r>
      <w:r w:rsidR="00110182">
        <w:t>ere reported, were present in &gt; </w:t>
      </w:r>
      <w:r w:rsidR="00FE3C8A" w:rsidRPr="00FE3C8A">
        <w:t>50% of individual seeds and consistently also using bulk.</w:t>
      </w:r>
    </w:p>
    <w:p w:rsidR="00CF7B3E" w:rsidRPr="00FE3C8A" w:rsidRDefault="00CF7B3E" w:rsidP="00FE3C8A"/>
    <w:p w:rsidR="00FE3C8A" w:rsidRDefault="00FE3C8A" w:rsidP="00CF7B3E">
      <w:pPr>
        <w:pStyle w:val="Heading2"/>
      </w:pPr>
      <w:r w:rsidRPr="00FE3C8A">
        <w:t>Incidence of Residual Heterozygosity (</w:t>
      </w:r>
      <w:proofErr w:type="spellStart"/>
      <w:r w:rsidRPr="00FE3C8A">
        <w:t>ideotypes</w:t>
      </w:r>
      <w:proofErr w:type="spellEnd"/>
      <w:r w:rsidRPr="00FE3C8A">
        <w:t>) within Soybean Varieties</w:t>
      </w:r>
    </w:p>
    <w:p w:rsidR="00CF7B3E" w:rsidRPr="00FE3C8A" w:rsidRDefault="00CF7B3E" w:rsidP="00FE3C8A"/>
    <w:p w:rsidR="00FE3C8A" w:rsidRPr="00FE3C8A" w:rsidRDefault="00CF7B3E" w:rsidP="00FE3C8A">
      <w:pPr>
        <w:rPr>
          <w:i/>
          <w:u w:val="single"/>
        </w:rPr>
      </w:pPr>
      <w:r w:rsidRPr="007C25BD">
        <w:fldChar w:fldCharType="begin"/>
      </w:r>
      <w:r w:rsidRPr="007C25BD">
        <w:instrText xml:space="preserve"> AUTONUM  </w:instrText>
      </w:r>
      <w:r w:rsidRPr="007C25BD">
        <w:fldChar w:fldCharType="end"/>
      </w:r>
      <w:r w:rsidRPr="007C25BD">
        <w:tab/>
      </w:r>
      <w:r w:rsidR="00FE3C8A" w:rsidRPr="00FE3C8A">
        <w:t>Percentages of SNPs per variety scored as heterogeneous ranged from 0.16% to 4.27% (adding together % SNPs scored in both individual seed and bulk assays with those scored in individual seeds but not in bulks).</w:t>
      </w:r>
    </w:p>
    <w:p w:rsidR="00FE3C8A" w:rsidRPr="00FE3C8A" w:rsidRDefault="00FE3C8A" w:rsidP="00FE3C8A"/>
    <w:p w:rsidR="00FE3C8A" w:rsidRPr="00FE3C8A" w:rsidRDefault="00CF7B3E" w:rsidP="00FE3C8A">
      <w:r w:rsidRPr="007C25BD">
        <w:fldChar w:fldCharType="begin"/>
      </w:r>
      <w:r w:rsidRPr="007C25BD">
        <w:instrText xml:space="preserve"> AUTONUM  </w:instrText>
      </w:r>
      <w:r w:rsidRPr="007C25BD">
        <w:fldChar w:fldCharType="end"/>
      </w:r>
      <w:r w:rsidRPr="007C25BD">
        <w:tab/>
      </w:r>
      <w:r w:rsidR="00FE3C8A" w:rsidRPr="00FE3C8A">
        <w:t xml:space="preserve">Comparison of levels of residual heterozygosity when measured using bulks to those known and expected from single seed assays if bulk sampling data were reported with 100% fidelity ranged from 91.67 to 97.1% fidelity.  </w:t>
      </w:r>
    </w:p>
    <w:p w:rsidR="00FE3C8A" w:rsidRPr="00FE3C8A" w:rsidRDefault="00FE3C8A" w:rsidP="00FE3C8A"/>
    <w:p w:rsidR="00FE3C8A" w:rsidRPr="00FE3C8A" w:rsidRDefault="00CF7B3E" w:rsidP="00FE3C8A">
      <w:pPr>
        <w:sectPr w:rsidR="00FE3C8A" w:rsidRPr="00FE3C8A" w:rsidSect="00173E5B">
          <w:headerReference w:type="default" r:id="rId26"/>
          <w:footerReference w:type="default" r:id="rId27"/>
          <w:pgSz w:w="11907" w:h="16840" w:code="9"/>
          <w:pgMar w:top="510" w:right="1134" w:bottom="1134" w:left="1134" w:header="680" w:footer="510" w:gutter="0"/>
          <w:pgNumType w:start="1"/>
          <w:cols w:space="720"/>
          <w:titlePg/>
          <w:docGrid w:linePitch="360"/>
        </w:sectPr>
      </w:pPr>
      <w:r w:rsidRPr="007C25BD">
        <w:fldChar w:fldCharType="begin"/>
      </w:r>
      <w:r w:rsidRPr="007C25BD">
        <w:instrText xml:space="preserve"> AUTONUM  </w:instrText>
      </w:r>
      <w:r w:rsidRPr="007C25BD">
        <w:fldChar w:fldCharType="end"/>
      </w:r>
      <w:r w:rsidRPr="007C25BD">
        <w:tab/>
      </w:r>
      <w:r w:rsidR="00FE3C8A" w:rsidRPr="00FE3C8A">
        <w:t xml:space="preserve">Table 2 provides the levels of occurrence of MAF. The number of SNP </w:t>
      </w:r>
      <w:proofErr w:type="spellStart"/>
      <w:r w:rsidR="00FE3C8A" w:rsidRPr="00FE3C8A">
        <w:t>ideotypes</w:t>
      </w:r>
      <w:proofErr w:type="spellEnd"/>
      <w:r w:rsidR="00FE3C8A" w:rsidRPr="00FE3C8A">
        <w:t xml:space="preserve"> rather than presence of heterozygous individuals </w:t>
      </w:r>
      <w:proofErr w:type="gramStart"/>
      <w:r w:rsidR="00FE3C8A" w:rsidRPr="00FE3C8A">
        <w:t>was</w:t>
      </w:r>
      <w:proofErr w:type="gramEnd"/>
      <w:r w:rsidR="00FE3C8A" w:rsidRPr="00FE3C8A">
        <w:t xml:space="preserve"> the primary factor contributing to heterogeneity in each variety. </w:t>
      </w:r>
      <w:r w:rsidR="00FE3C8A" w:rsidRPr="00FE3C8A">
        <w:br w:type="page"/>
      </w:r>
    </w:p>
    <w:p w:rsidR="00FE3C8A" w:rsidRPr="00FE3C8A" w:rsidRDefault="00FE3C8A" w:rsidP="00FE3C8A"/>
    <w:p w:rsidR="00FE3C8A" w:rsidRPr="00FE3C8A" w:rsidRDefault="00FE3C8A" w:rsidP="00FE3C8A">
      <w:proofErr w:type="gramStart"/>
      <w:r w:rsidRPr="00FE3C8A">
        <w:t>Table 2.</w:t>
      </w:r>
      <w:proofErr w:type="gramEnd"/>
      <w:r w:rsidRPr="00FE3C8A">
        <w:t xml:space="preserve"> Heterozygosity, residual heterozygosity and expected versus observed heterogeneity (heterozygosity + residual heterozygosity) among individuals of the largest bulk sample size observed in the experiment for each variety and replicate.</w:t>
      </w:r>
    </w:p>
    <w:p w:rsidR="00FE3C8A" w:rsidRPr="00FE3C8A" w:rsidRDefault="00FE3C8A" w:rsidP="00FE3C8A"/>
    <w:tbl>
      <w:tblPr>
        <w:tblW w:w="12632" w:type="dxa"/>
        <w:tblInd w:w="-100" w:type="dxa"/>
        <w:tblLook w:val="04A0" w:firstRow="1" w:lastRow="0" w:firstColumn="1" w:lastColumn="0" w:noHBand="0" w:noVBand="1"/>
      </w:tblPr>
      <w:tblGrid>
        <w:gridCol w:w="1260"/>
        <w:gridCol w:w="850"/>
        <w:gridCol w:w="739"/>
        <w:gridCol w:w="1539"/>
        <w:gridCol w:w="1539"/>
        <w:gridCol w:w="1340"/>
        <w:gridCol w:w="1340"/>
        <w:gridCol w:w="1340"/>
        <w:gridCol w:w="1340"/>
        <w:gridCol w:w="1595"/>
      </w:tblGrid>
      <w:tr w:rsidR="00FE3C8A" w:rsidRPr="00FE3C8A" w:rsidTr="00AB76F3">
        <w:trPr>
          <w:trHeight w:val="3615"/>
        </w:trPr>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Variety &amp; Rep</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Bulk Size</w:t>
            </w:r>
          </w:p>
        </w:tc>
        <w:tc>
          <w:tcPr>
            <w:tcW w:w="683" w:type="dxa"/>
            <w:tcBorders>
              <w:top w:val="single" w:sz="8" w:space="0" w:color="auto"/>
              <w:left w:val="nil"/>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Total SNPs</w:t>
            </w:r>
          </w:p>
        </w:tc>
        <w:tc>
          <w:tcPr>
            <w:tcW w:w="1470" w:type="dxa"/>
            <w:tcBorders>
              <w:top w:val="single" w:sz="8" w:space="0" w:color="auto"/>
              <w:left w:val="nil"/>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 SNPs scored with &gt; 50% individuals Heterozygous (All Heterozygous loci comprised &gt; 50% of all individuals)</w:t>
            </w:r>
          </w:p>
        </w:tc>
        <w:tc>
          <w:tcPr>
            <w:tcW w:w="1470" w:type="dxa"/>
            <w:tcBorders>
              <w:top w:val="single" w:sz="8" w:space="0" w:color="auto"/>
              <w:left w:val="nil"/>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 SNPs scored with &gt; 50% individuals Heterozygous (All Heterozygous loci comprised &gt; 50% of all individuals)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 xml:space="preserve"># SNPs Scored with </w:t>
            </w:r>
            <w:proofErr w:type="spellStart"/>
            <w:r w:rsidRPr="00FE3C8A">
              <w:rPr>
                <w:b/>
                <w:bCs/>
              </w:rPr>
              <w:t>ideotypes</w:t>
            </w:r>
            <w:proofErr w:type="spellEnd"/>
            <w:r w:rsidRPr="00FE3C8A">
              <w:rPr>
                <w:b/>
                <w:bCs/>
              </w:rPr>
              <w:t xml:space="preserve"> in both single seed and bulk samples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 xml:space="preserve">% SNPs Scored with </w:t>
            </w:r>
            <w:proofErr w:type="spellStart"/>
            <w:r w:rsidRPr="00FE3C8A">
              <w:rPr>
                <w:b/>
                <w:bCs/>
              </w:rPr>
              <w:t>ideotypes</w:t>
            </w:r>
            <w:proofErr w:type="spellEnd"/>
            <w:r w:rsidRPr="00FE3C8A">
              <w:rPr>
                <w:b/>
                <w:bCs/>
              </w:rPr>
              <w:t xml:space="preserve"> in both single seed and bulk samples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 xml:space="preserve"># SNPs not scored as </w:t>
            </w:r>
            <w:proofErr w:type="spellStart"/>
            <w:r w:rsidRPr="00FE3C8A">
              <w:rPr>
                <w:b/>
                <w:bCs/>
              </w:rPr>
              <w:t>ideotypes</w:t>
            </w:r>
            <w:proofErr w:type="spellEnd"/>
            <w:r w:rsidRPr="00FE3C8A">
              <w:rPr>
                <w:b/>
                <w:bCs/>
              </w:rPr>
              <w:t xml:space="preserve"> in bulk, but </w:t>
            </w:r>
            <w:proofErr w:type="spellStart"/>
            <w:r w:rsidRPr="00FE3C8A">
              <w:rPr>
                <w:b/>
                <w:bCs/>
              </w:rPr>
              <w:t>ideotypes</w:t>
            </w:r>
            <w:proofErr w:type="spellEnd"/>
            <w:r w:rsidRPr="00FE3C8A">
              <w:rPr>
                <w:b/>
                <w:bCs/>
              </w:rPr>
              <w:t xml:space="preserve"> present in individuals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 xml:space="preserve">% SNPs not scored as </w:t>
            </w:r>
            <w:proofErr w:type="spellStart"/>
            <w:r w:rsidRPr="00FE3C8A">
              <w:rPr>
                <w:b/>
                <w:bCs/>
              </w:rPr>
              <w:t>ideotypes</w:t>
            </w:r>
            <w:proofErr w:type="spellEnd"/>
            <w:r w:rsidRPr="00FE3C8A">
              <w:rPr>
                <w:b/>
                <w:bCs/>
              </w:rPr>
              <w:t xml:space="preserve"> in bulk, but </w:t>
            </w:r>
            <w:proofErr w:type="spellStart"/>
            <w:r w:rsidRPr="00FE3C8A">
              <w:rPr>
                <w:b/>
                <w:bCs/>
              </w:rPr>
              <w:t>ideotypes</w:t>
            </w:r>
            <w:proofErr w:type="spellEnd"/>
            <w:r w:rsidRPr="00FE3C8A">
              <w:rPr>
                <w:b/>
                <w:bCs/>
              </w:rPr>
              <w:t xml:space="preserve"> present in individuals</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rsidR="00FE3C8A" w:rsidRPr="00FE3C8A" w:rsidRDefault="00FE3C8A" w:rsidP="00173E5B">
            <w:pPr>
              <w:jc w:val="left"/>
              <w:rPr>
                <w:b/>
                <w:bCs/>
              </w:rPr>
            </w:pPr>
            <w:r w:rsidRPr="00FE3C8A">
              <w:rPr>
                <w:b/>
                <w:bCs/>
              </w:rPr>
              <w:t xml:space="preserve">Fidelity = % SNPs Heterozygotes + </w:t>
            </w:r>
            <w:proofErr w:type="spellStart"/>
            <w:r w:rsidRPr="00FE3C8A">
              <w:rPr>
                <w:b/>
                <w:bCs/>
              </w:rPr>
              <w:t>Ideotypes</w:t>
            </w:r>
            <w:proofErr w:type="spellEnd"/>
            <w:r w:rsidRPr="00FE3C8A">
              <w:rPr>
                <w:b/>
                <w:bCs/>
              </w:rPr>
              <w:t xml:space="preserve"> observed in bulks / % SNPs Heterozygotes + </w:t>
            </w:r>
            <w:proofErr w:type="spellStart"/>
            <w:r w:rsidRPr="00FE3C8A">
              <w:rPr>
                <w:b/>
                <w:bCs/>
              </w:rPr>
              <w:t>Ideotypes</w:t>
            </w:r>
            <w:proofErr w:type="spellEnd"/>
            <w:r w:rsidRPr="00FE3C8A">
              <w:rPr>
                <w:b/>
                <w:bCs/>
              </w:rPr>
              <w:t xml:space="preserve"> Expected in Individuals</w:t>
            </w:r>
          </w:p>
        </w:tc>
      </w:tr>
      <w:tr w:rsidR="00FE3C8A" w:rsidRPr="00FE3C8A" w:rsidTr="00AB76F3">
        <w:trPr>
          <w:trHeight w:val="3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E3C8A" w:rsidRPr="00FE3C8A" w:rsidRDefault="00FE3C8A" w:rsidP="00173E5B">
            <w:pPr>
              <w:jc w:val="left"/>
            </w:pPr>
            <w:r w:rsidRPr="00FE3C8A">
              <w:t>9171 Rep 1</w:t>
            </w:r>
          </w:p>
        </w:tc>
        <w:tc>
          <w:tcPr>
            <w:tcW w:w="85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19</w:t>
            </w:r>
          </w:p>
        </w:tc>
        <w:tc>
          <w:tcPr>
            <w:tcW w:w="683" w:type="dxa"/>
            <w:tcBorders>
              <w:top w:val="nil"/>
              <w:left w:val="nil"/>
              <w:bottom w:val="single" w:sz="8" w:space="0" w:color="auto"/>
              <w:right w:val="single" w:sz="8" w:space="0" w:color="auto"/>
            </w:tcBorders>
            <w:shd w:val="clear" w:color="auto" w:fill="auto"/>
            <w:vAlign w:val="center"/>
            <w:hideMark/>
          </w:tcPr>
          <w:p w:rsidR="00FE3C8A" w:rsidRPr="00FE3C8A" w:rsidRDefault="00FE3C8A" w:rsidP="00173E5B">
            <w:pPr>
              <w:jc w:val="center"/>
            </w:pPr>
            <w:r w:rsidRPr="00FE3C8A">
              <w:t>5902</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0.02%</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66</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1.12%</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4</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0.07%</w:t>
            </w:r>
          </w:p>
        </w:tc>
        <w:tc>
          <w:tcPr>
            <w:tcW w:w="1539"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94.37%</w:t>
            </w:r>
          </w:p>
        </w:tc>
      </w:tr>
      <w:tr w:rsidR="00FE3C8A" w:rsidRPr="00FE3C8A" w:rsidTr="00AB76F3">
        <w:trPr>
          <w:trHeight w:val="3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E3C8A" w:rsidRPr="00FE3C8A" w:rsidRDefault="00FE3C8A" w:rsidP="00173E5B">
            <w:pPr>
              <w:jc w:val="left"/>
            </w:pPr>
            <w:r w:rsidRPr="00FE3C8A">
              <w:t>9171 Rep 2</w:t>
            </w:r>
          </w:p>
        </w:tc>
        <w:tc>
          <w:tcPr>
            <w:tcW w:w="85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19</w:t>
            </w:r>
          </w:p>
        </w:tc>
        <w:tc>
          <w:tcPr>
            <w:tcW w:w="683" w:type="dxa"/>
            <w:tcBorders>
              <w:top w:val="nil"/>
              <w:left w:val="nil"/>
              <w:bottom w:val="single" w:sz="8" w:space="0" w:color="auto"/>
              <w:right w:val="single" w:sz="8" w:space="0" w:color="auto"/>
            </w:tcBorders>
            <w:shd w:val="clear" w:color="auto" w:fill="auto"/>
            <w:vAlign w:val="center"/>
            <w:hideMark/>
          </w:tcPr>
          <w:p w:rsidR="00FE3C8A" w:rsidRPr="00FE3C8A" w:rsidRDefault="00FE3C8A" w:rsidP="00173E5B">
            <w:pPr>
              <w:jc w:val="center"/>
            </w:pPr>
            <w:r w:rsidRPr="00FE3C8A">
              <w:t>5902</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0.02%</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66</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1.12%</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2</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0.03%</w:t>
            </w:r>
          </w:p>
        </w:tc>
        <w:tc>
          <w:tcPr>
            <w:tcW w:w="1539"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97.10%</w:t>
            </w:r>
          </w:p>
        </w:tc>
      </w:tr>
      <w:tr w:rsidR="00FE3C8A" w:rsidRPr="00FE3C8A" w:rsidTr="00AB76F3">
        <w:trPr>
          <w:trHeight w:val="3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E3C8A" w:rsidRPr="00FE3C8A" w:rsidRDefault="00FE3C8A" w:rsidP="00173E5B">
            <w:pPr>
              <w:jc w:val="left"/>
            </w:pPr>
            <w:r w:rsidRPr="00FE3C8A">
              <w:t>9551 Rep 1</w:t>
            </w:r>
          </w:p>
        </w:tc>
        <w:tc>
          <w:tcPr>
            <w:tcW w:w="85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19</w:t>
            </w:r>
          </w:p>
        </w:tc>
        <w:tc>
          <w:tcPr>
            <w:tcW w:w="683" w:type="dxa"/>
            <w:tcBorders>
              <w:top w:val="nil"/>
              <w:left w:val="nil"/>
              <w:bottom w:val="single" w:sz="8" w:space="0" w:color="auto"/>
              <w:right w:val="single" w:sz="8" w:space="0" w:color="auto"/>
            </w:tcBorders>
            <w:shd w:val="clear" w:color="auto" w:fill="auto"/>
            <w:vAlign w:val="center"/>
            <w:hideMark/>
          </w:tcPr>
          <w:p w:rsidR="00FE3C8A" w:rsidRPr="00FE3C8A" w:rsidRDefault="00FE3C8A" w:rsidP="00173E5B">
            <w:pPr>
              <w:jc w:val="center"/>
            </w:pPr>
            <w:r w:rsidRPr="00FE3C8A">
              <w:t>5902</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3</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0.05%</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8</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0.14%</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0.02%</w:t>
            </w:r>
          </w:p>
        </w:tc>
        <w:tc>
          <w:tcPr>
            <w:tcW w:w="1539"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91.67%</w:t>
            </w:r>
          </w:p>
        </w:tc>
      </w:tr>
      <w:tr w:rsidR="00FE3C8A" w:rsidRPr="00FE3C8A" w:rsidTr="00AB76F3">
        <w:trPr>
          <w:trHeight w:val="3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E3C8A" w:rsidRPr="00FE3C8A" w:rsidRDefault="00FE3C8A" w:rsidP="00173E5B">
            <w:pPr>
              <w:jc w:val="left"/>
            </w:pPr>
            <w:r w:rsidRPr="00FE3C8A">
              <w:t>9551 Rep 2</w:t>
            </w:r>
          </w:p>
        </w:tc>
        <w:tc>
          <w:tcPr>
            <w:tcW w:w="85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19</w:t>
            </w:r>
          </w:p>
        </w:tc>
        <w:tc>
          <w:tcPr>
            <w:tcW w:w="683" w:type="dxa"/>
            <w:tcBorders>
              <w:top w:val="nil"/>
              <w:left w:val="nil"/>
              <w:bottom w:val="single" w:sz="8" w:space="0" w:color="auto"/>
              <w:right w:val="single" w:sz="8" w:space="0" w:color="auto"/>
            </w:tcBorders>
            <w:shd w:val="clear" w:color="auto" w:fill="auto"/>
            <w:vAlign w:val="center"/>
            <w:hideMark/>
          </w:tcPr>
          <w:p w:rsidR="00FE3C8A" w:rsidRPr="00FE3C8A" w:rsidRDefault="00FE3C8A" w:rsidP="00173E5B">
            <w:pPr>
              <w:jc w:val="center"/>
            </w:pPr>
            <w:r w:rsidRPr="00FE3C8A">
              <w:t>5902</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3</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0.05%</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8</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0.14%</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0.02%</w:t>
            </w:r>
          </w:p>
        </w:tc>
        <w:tc>
          <w:tcPr>
            <w:tcW w:w="1539"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91.67%</w:t>
            </w:r>
          </w:p>
        </w:tc>
      </w:tr>
      <w:tr w:rsidR="00FE3C8A" w:rsidRPr="00FE3C8A" w:rsidTr="00AB76F3">
        <w:trPr>
          <w:trHeight w:val="3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E3C8A" w:rsidRPr="00FE3C8A" w:rsidRDefault="00FE3C8A" w:rsidP="00173E5B">
            <w:pPr>
              <w:jc w:val="left"/>
            </w:pPr>
            <w:r w:rsidRPr="00FE3C8A">
              <w:t>9221 Rep 1</w:t>
            </w:r>
          </w:p>
        </w:tc>
        <w:tc>
          <w:tcPr>
            <w:tcW w:w="85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19</w:t>
            </w:r>
          </w:p>
        </w:tc>
        <w:tc>
          <w:tcPr>
            <w:tcW w:w="683" w:type="dxa"/>
            <w:tcBorders>
              <w:top w:val="nil"/>
              <w:left w:val="nil"/>
              <w:bottom w:val="single" w:sz="8" w:space="0" w:color="auto"/>
              <w:right w:val="single" w:sz="8" w:space="0" w:color="auto"/>
            </w:tcBorders>
            <w:shd w:val="clear" w:color="auto" w:fill="auto"/>
            <w:vAlign w:val="center"/>
            <w:hideMark/>
          </w:tcPr>
          <w:p w:rsidR="00FE3C8A" w:rsidRPr="00FE3C8A" w:rsidRDefault="00FE3C8A" w:rsidP="00173E5B">
            <w:pPr>
              <w:jc w:val="center"/>
            </w:pPr>
            <w:r w:rsidRPr="00FE3C8A">
              <w:t>5896</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0.02%</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118</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2.00%</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5</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0.08%</w:t>
            </w:r>
          </w:p>
        </w:tc>
        <w:tc>
          <w:tcPr>
            <w:tcW w:w="1539"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95.97%</w:t>
            </w:r>
          </w:p>
        </w:tc>
      </w:tr>
      <w:tr w:rsidR="00FE3C8A" w:rsidRPr="00FE3C8A" w:rsidTr="00AB76F3">
        <w:trPr>
          <w:trHeight w:val="3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E3C8A" w:rsidRPr="00FE3C8A" w:rsidRDefault="00FE3C8A" w:rsidP="00173E5B">
            <w:pPr>
              <w:jc w:val="left"/>
            </w:pPr>
            <w:r w:rsidRPr="00FE3C8A">
              <w:t>9221 Rep 2</w:t>
            </w:r>
          </w:p>
        </w:tc>
        <w:tc>
          <w:tcPr>
            <w:tcW w:w="85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18</w:t>
            </w:r>
          </w:p>
        </w:tc>
        <w:tc>
          <w:tcPr>
            <w:tcW w:w="683" w:type="dxa"/>
            <w:tcBorders>
              <w:top w:val="nil"/>
              <w:left w:val="nil"/>
              <w:bottom w:val="single" w:sz="8" w:space="0" w:color="auto"/>
              <w:right w:val="single" w:sz="8" w:space="0" w:color="auto"/>
            </w:tcBorders>
            <w:shd w:val="clear" w:color="auto" w:fill="auto"/>
            <w:vAlign w:val="center"/>
            <w:hideMark/>
          </w:tcPr>
          <w:p w:rsidR="00FE3C8A" w:rsidRPr="00FE3C8A" w:rsidRDefault="00FE3C8A" w:rsidP="00173E5B">
            <w:pPr>
              <w:jc w:val="center"/>
            </w:pPr>
            <w:r w:rsidRPr="00FE3C8A">
              <w:t>5896</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0.02%</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115</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1.95%</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8</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0.14%</w:t>
            </w:r>
          </w:p>
        </w:tc>
        <w:tc>
          <w:tcPr>
            <w:tcW w:w="1539"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93.55%</w:t>
            </w:r>
          </w:p>
        </w:tc>
      </w:tr>
      <w:tr w:rsidR="00FE3C8A" w:rsidRPr="00FE3C8A" w:rsidTr="00AB76F3">
        <w:trPr>
          <w:trHeight w:val="3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E3C8A" w:rsidRPr="00FE3C8A" w:rsidRDefault="00FE3C8A" w:rsidP="00173E5B">
            <w:pPr>
              <w:jc w:val="left"/>
            </w:pPr>
            <w:r w:rsidRPr="00FE3C8A">
              <w:t>A2835</w:t>
            </w:r>
          </w:p>
        </w:tc>
        <w:tc>
          <w:tcPr>
            <w:tcW w:w="85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17</w:t>
            </w:r>
          </w:p>
        </w:tc>
        <w:tc>
          <w:tcPr>
            <w:tcW w:w="683" w:type="dxa"/>
            <w:tcBorders>
              <w:top w:val="nil"/>
              <w:left w:val="nil"/>
              <w:bottom w:val="single" w:sz="8" w:space="0" w:color="auto"/>
              <w:right w:val="single" w:sz="8" w:space="0" w:color="auto"/>
            </w:tcBorders>
            <w:shd w:val="clear" w:color="auto" w:fill="auto"/>
            <w:vAlign w:val="center"/>
            <w:hideMark/>
          </w:tcPr>
          <w:p w:rsidR="00FE3C8A" w:rsidRPr="00FE3C8A" w:rsidRDefault="00FE3C8A" w:rsidP="00173E5B">
            <w:pPr>
              <w:jc w:val="center"/>
            </w:pPr>
            <w:r w:rsidRPr="00FE3C8A">
              <w:t>4541</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7</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0.15%</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178</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3.92%</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16</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0.35%</w:t>
            </w:r>
          </w:p>
        </w:tc>
        <w:tc>
          <w:tcPr>
            <w:tcW w:w="1539"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92.04%</w:t>
            </w:r>
          </w:p>
        </w:tc>
      </w:tr>
      <w:tr w:rsidR="00FE3C8A" w:rsidRPr="00FE3C8A" w:rsidTr="00AB76F3">
        <w:trPr>
          <w:trHeight w:val="3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E3C8A" w:rsidRPr="00FE3C8A" w:rsidRDefault="00FE3C8A" w:rsidP="00173E5B">
            <w:pPr>
              <w:jc w:val="left"/>
            </w:pPr>
            <w:r w:rsidRPr="00FE3C8A">
              <w:t>A2396</w:t>
            </w:r>
          </w:p>
        </w:tc>
        <w:tc>
          <w:tcPr>
            <w:tcW w:w="85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17</w:t>
            </w:r>
          </w:p>
        </w:tc>
        <w:tc>
          <w:tcPr>
            <w:tcW w:w="683" w:type="dxa"/>
            <w:tcBorders>
              <w:top w:val="nil"/>
              <w:left w:val="nil"/>
              <w:bottom w:val="single" w:sz="8" w:space="0" w:color="auto"/>
              <w:right w:val="single" w:sz="8" w:space="0" w:color="auto"/>
            </w:tcBorders>
            <w:shd w:val="clear" w:color="auto" w:fill="auto"/>
            <w:vAlign w:val="center"/>
            <w:hideMark/>
          </w:tcPr>
          <w:p w:rsidR="00FE3C8A" w:rsidRPr="00FE3C8A" w:rsidRDefault="00FE3C8A" w:rsidP="00173E5B">
            <w:pPr>
              <w:jc w:val="center"/>
            </w:pPr>
            <w:r w:rsidRPr="00FE3C8A">
              <w:t>4541</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5</w:t>
            </w:r>
          </w:p>
        </w:tc>
        <w:tc>
          <w:tcPr>
            <w:tcW w:w="147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0.11%</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158</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3.48%</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11</w:t>
            </w:r>
          </w:p>
        </w:tc>
        <w:tc>
          <w:tcPr>
            <w:tcW w:w="1340"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0.24%</w:t>
            </w:r>
          </w:p>
        </w:tc>
        <w:tc>
          <w:tcPr>
            <w:tcW w:w="1539" w:type="dxa"/>
            <w:tcBorders>
              <w:top w:val="nil"/>
              <w:left w:val="nil"/>
              <w:bottom w:val="single" w:sz="8" w:space="0" w:color="auto"/>
              <w:right w:val="single" w:sz="8" w:space="0" w:color="auto"/>
            </w:tcBorders>
            <w:shd w:val="clear" w:color="auto" w:fill="auto"/>
            <w:noWrap/>
            <w:vAlign w:val="center"/>
            <w:hideMark/>
          </w:tcPr>
          <w:p w:rsidR="00FE3C8A" w:rsidRPr="00FE3C8A" w:rsidRDefault="00FE3C8A" w:rsidP="00173E5B">
            <w:pPr>
              <w:jc w:val="center"/>
            </w:pPr>
            <w:r w:rsidRPr="00FE3C8A">
              <w:t>93.68%</w:t>
            </w:r>
          </w:p>
        </w:tc>
      </w:tr>
    </w:tbl>
    <w:p w:rsidR="00FE3C8A" w:rsidRPr="00FE3C8A" w:rsidRDefault="00FE3C8A" w:rsidP="00FE3C8A">
      <w:pPr>
        <w:rPr>
          <w:u w:val="single"/>
        </w:rPr>
      </w:pPr>
    </w:p>
    <w:p w:rsidR="00FE3C8A" w:rsidRPr="00FE3C8A" w:rsidRDefault="00FE3C8A" w:rsidP="00FE3C8A">
      <w:pPr>
        <w:sectPr w:rsidR="00FE3C8A" w:rsidRPr="00FE3C8A" w:rsidSect="00C10C92">
          <w:headerReference w:type="default" r:id="rId28"/>
          <w:pgSz w:w="15840" w:h="12240" w:orient="landscape"/>
          <w:pgMar w:top="1440" w:right="1440" w:bottom="1440" w:left="1440" w:header="720" w:footer="720" w:gutter="0"/>
          <w:cols w:space="720"/>
          <w:docGrid w:linePitch="360"/>
        </w:sectPr>
      </w:pPr>
    </w:p>
    <w:p w:rsidR="00FE3C8A" w:rsidRPr="00FE3C8A" w:rsidRDefault="00FE3C8A" w:rsidP="00FE3C8A"/>
    <w:p w:rsidR="00FE3C8A" w:rsidRPr="00FE3C8A" w:rsidRDefault="00CF7B3E" w:rsidP="00FE3C8A">
      <w:r w:rsidRPr="007C25BD">
        <w:fldChar w:fldCharType="begin"/>
      </w:r>
      <w:r w:rsidRPr="007C25BD">
        <w:instrText xml:space="preserve"> AUTONUM  </w:instrText>
      </w:r>
      <w:r w:rsidRPr="007C25BD">
        <w:fldChar w:fldCharType="end"/>
      </w:r>
      <w:r w:rsidRPr="007C25BD">
        <w:tab/>
      </w:r>
      <w:r w:rsidR="00FE3C8A" w:rsidRPr="00FE3C8A">
        <w:t xml:space="preserve">The number of SNPs reporting </w:t>
      </w:r>
      <w:proofErr w:type="spellStart"/>
      <w:r w:rsidR="00FE3C8A" w:rsidRPr="00FE3C8A">
        <w:t>ideotypes</w:t>
      </w:r>
      <w:proofErr w:type="spellEnd"/>
      <w:r w:rsidR="00FE3C8A" w:rsidRPr="00FE3C8A">
        <w:t xml:space="preserve"> in a variety ranged from 8-178.  The overwhelming proportion of </w:t>
      </w:r>
      <w:proofErr w:type="spellStart"/>
      <w:r w:rsidR="00FE3C8A" w:rsidRPr="00FE3C8A">
        <w:t>ideotypes</w:t>
      </w:r>
      <w:proofErr w:type="spellEnd"/>
      <w:r w:rsidR="00FE3C8A" w:rsidRPr="00FE3C8A">
        <w:t xml:space="preserve"> were present with MAF greater than 21% (Figure 1) and the vast majority of these </w:t>
      </w:r>
      <w:proofErr w:type="spellStart"/>
      <w:r w:rsidR="00FE3C8A" w:rsidRPr="00FE3C8A">
        <w:t>ideotypes</w:t>
      </w:r>
      <w:proofErr w:type="spellEnd"/>
      <w:r w:rsidR="00FE3C8A" w:rsidRPr="00FE3C8A">
        <w:t xml:space="preserve"> were also reported using bulk assays (Table 2).  </w:t>
      </w:r>
      <w:proofErr w:type="spellStart"/>
      <w:r w:rsidR="00FE3C8A" w:rsidRPr="00FE3C8A">
        <w:t>Ideotypes</w:t>
      </w:r>
      <w:proofErr w:type="spellEnd"/>
      <w:r w:rsidR="00FE3C8A" w:rsidRPr="00FE3C8A">
        <w:t xml:space="preserve"> scored when sampled as individual seeds, but not reported in bulks were distributed across MAFs and not abnormally higher at low MAFs (Figure 1).  Low MAFs (&lt;21%) comparisons between </w:t>
      </w:r>
      <w:proofErr w:type="spellStart"/>
      <w:r w:rsidR="00FE3C8A" w:rsidRPr="00FE3C8A">
        <w:t>ideotypes</w:t>
      </w:r>
      <w:proofErr w:type="spellEnd"/>
      <w:r w:rsidR="00FE3C8A" w:rsidRPr="00FE3C8A">
        <w:t xml:space="preserve"> reported versus not reported were proportionally higher, but there are so few in these frequency categories, the impact was very small. There were no reports of heterozygosity for a variety using bulk samples where individual single seed assays had reported no </w:t>
      </w:r>
      <w:proofErr w:type="spellStart"/>
      <w:r w:rsidR="00FE3C8A" w:rsidRPr="00FE3C8A">
        <w:t>ideotypes</w:t>
      </w:r>
      <w:proofErr w:type="spellEnd"/>
      <w:r w:rsidR="00FE3C8A" w:rsidRPr="00FE3C8A">
        <w:t>.</w:t>
      </w:r>
    </w:p>
    <w:p w:rsidR="00FE3C8A" w:rsidRPr="00FE3C8A" w:rsidRDefault="00FE3C8A" w:rsidP="00FE3C8A"/>
    <w:p w:rsidR="00FE3C8A" w:rsidRPr="00FE3C8A" w:rsidRDefault="00FE3C8A" w:rsidP="00FE3C8A">
      <w:proofErr w:type="gramStart"/>
      <w:r w:rsidRPr="00FE3C8A">
        <w:t>Figure 1.</w:t>
      </w:r>
      <w:proofErr w:type="gramEnd"/>
      <w:r w:rsidRPr="00FE3C8A">
        <w:t xml:space="preserve">  Allele frequency comparison between </w:t>
      </w:r>
      <w:proofErr w:type="spellStart"/>
      <w:r w:rsidRPr="00FE3C8A">
        <w:t>ideotypes</w:t>
      </w:r>
      <w:proofErr w:type="spellEnd"/>
      <w:r w:rsidRPr="00FE3C8A">
        <w:t xml:space="preserve"> reported and not reported by allele frequency across five soybean varieties.</w:t>
      </w:r>
    </w:p>
    <w:p w:rsidR="00FE3C8A" w:rsidRPr="00FE3C8A" w:rsidRDefault="00FE3C8A" w:rsidP="00FE3C8A">
      <w:pPr>
        <w:rPr>
          <w:u w:val="single"/>
        </w:rPr>
      </w:pPr>
      <w:r w:rsidRPr="00FE3C8A">
        <w:rPr>
          <w:noProof/>
          <w:lang w:val="es-ES_tradnl" w:eastAsia="es-ES_tradnl"/>
        </w:rPr>
        <w:drawing>
          <wp:inline distT="0" distB="0" distL="0" distR="0" wp14:anchorId="121BE9FB" wp14:editId="53EC02B2">
            <wp:extent cx="4572000" cy="27432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E3C8A" w:rsidRPr="00FE3C8A" w:rsidRDefault="00FE3C8A" w:rsidP="00FE3C8A">
      <w:pPr>
        <w:rPr>
          <w:u w:val="single"/>
        </w:rPr>
      </w:pPr>
    </w:p>
    <w:p w:rsidR="00FE3C8A" w:rsidRPr="00FE3C8A" w:rsidRDefault="00FE3C8A" w:rsidP="00FE3C8A">
      <w:pPr>
        <w:rPr>
          <w:u w:val="single"/>
        </w:rPr>
      </w:pPr>
    </w:p>
    <w:p w:rsidR="00FE3C8A" w:rsidRPr="00FE3C8A" w:rsidRDefault="00FE3C8A" w:rsidP="00FE3C8A">
      <w:pPr>
        <w:rPr>
          <w:u w:val="single"/>
        </w:rPr>
      </w:pPr>
      <w:r w:rsidRPr="00FE3C8A">
        <w:rPr>
          <w:u w:val="single"/>
        </w:rPr>
        <w:br w:type="page"/>
      </w:r>
    </w:p>
    <w:p w:rsidR="00FE3C8A" w:rsidRPr="00FE3C8A" w:rsidRDefault="00FE3C8A" w:rsidP="00CF7B3E">
      <w:pPr>
        <w:pStyle w:val="Heading2"/>
      </w:pPr>
      <w:r w:rsidRPr="00FE3C8A">
        <w:lastRenderedPageBreak/>
        <w:t>What Size Bulks to Use?</w:t>
      </w:r>
    </w:p>
    <w:p w:rsidR="00FE3C8A" w:rsidRPr="00FE3C8A" w:rsidRDefault="00FE3C8A" w:rsidP="00FE3C8A"/>
    <w:p w:rsidR="00FE3C8A" w:rsidRDefault="00FE3C8A" w:rsidP="00FE3C8A">
      <w:proofErr w:type="gramStart"/>
      <w:r w:rsidRPr="00FE3C8A">
        <w:t>Figure 2.</w:t>
      </w:r>
      <w:proofErr w:type="gramEnd"/>
      <w:r w:rsidRPr="00FE3C8A">
        <w:t xml:space="preserve"> Measurement uncertainty response for 90 heterogeneous SNPs out of a total of 5560 SNPs while varying MAF between 10% and 50% and between 40% and 50%.  </w:t>
      </w:r>
    </w:p>
    <w:p w:rsidR="00CF7B3E" w:rsidRPr="00FE3C8A" w:rsidRDefault="00CF7B3E" w:rsidP="00FE3C8A"/>
    <w:p w:rsidR="00FE3C8A" w:rsidRPr="00FE3C8A" w:rsidRDefault="00FE3C8A" w:rsidP="00FE3C8A">
      <w:r w:rsidRPr="00FE3C8A">
        <w:rPr>
          <w:noProof/>
          <w:lang w:val="es-ES_tradnl" w:eastAsia="es-ES_tradnl"/>
        </w:rPr>
        <w:drawing>
          <wp:inline distT="0" distB="0" distL="0" distR="0" wp14:anchorId="20304F91" wp14:editId="78692C8A">
            <wp:extent cx="3945600" cy="50504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16277" cy="5140921"/>
                    </a:xfrm>
                    <a:prstGeom prst="rect">
                      <a:avLst/>
                    </a:prstGeom>
                  </pic:spPr>
                </pic:pic>
              </a:graphicData>
            </a:graphic>
          </wp:inline>
        </w:drawing>
      </w:r>
    </w:p>
    <w:p w:rsidR="00CF7B3E" w:rsidRDefault="00CF7B3E" w:rsidP="00FE3C8A"/>
    <w:p w:rsidR="00FE3C8A" w:rsidRPr="00FE3C8A" w:rsidRDefault="00CF7B3E" w:rsidP="00FE3C8A">
      <w:r w:rsidRPr="007C25BD">
        <w:fldChar w:fldCharType="begin"/>
      </w:r>
      <w:r w:rsidRPr="007C25BD">
        <w:instrText xml:space="preserve"> AUTONUM  </w:instrText>
      </w:r>
      <w:r w:rsidRPr="007C25BD">
        <w:fldChar w:fldCharType="end"/>
      </w:r>
      <w:r w:rsidRPr="007C25BD">
        <w:tab/>
      </w:r>
      <w:r w:rsidR="00FE3C8A" w:rsidRPr="00FE3C8A">
        <w:t>Figure 2 shows the response for MUs at different MAF.  With a MAF down to 10%, the MUs were 0.04% for 10 seeds and 0.02% for 20 seeds.   At MAF down to 40% MAF, the MUs were 0.01% for 10 seeds and .0001% for 20 seeds.</w:t>
      </w:r>
    </w:p>
    <w:p w:rsidR="00FE3C8A" w:rsidRPr="00FE3C8A" w:rsidRDefault="00FE3C8A" w:rsidP="00FE3C8A"/>
    <w:p w:rsidR="00FE3C8A" w:rsidRPr="00FE3C8A" w:rsidRDefault="00CF7B3E" w:rsidP="00FE3C8A">
      <w:r w:rsidRPr="007C25BD">
        <w:fldChar w:fldCharType="begin"/>
      </w:r>
      <w:r w:rsidRPr="007C25BD">
        <w:instrText xml:space="preserve"> AUTONUM  </w:instrText>
      </w:r>
      <w:r w:rsidRPr="007C25BD">
        <w:fldChar w:fldCharType="end"/>
      </w:r>
      <w:r w:rsidRPr="007C25BD">
        <w:tab/>
      </w:r>
      <w:r w:rsidR="00FE3C8A" w:rsidRPr="00FE3C8A">
        <w:t xml:space="preserve">The number of heterozygotes present in the soybean varieties was very low (0.02-0.15%). Presence of different </w:t>
      </w:r>
      <w:proofErr w:type="spellStart"/>
      <w:r w:rsidR="00FE3C8A" w:rsidRPr="00FE3C8A">
        <w:t>ideotypes</w:t>
      </w:r>
      <w:proofErr w:type="spellEnd"/>
      <w:r w:rsidR="00FE3C8A" w:rsidRPr="00FE3C8A">
        <w:t xml:space="preserve"> was, by far, the primary contributor to heterogeneity in the soybean variety assays (0.14-3.92%). These data show that for the vast majority of SNP loci we examined (MAF greater than 20%) that precision or a lower measure of uncertainty improves, but is fractionally very small for every additional seed assayed above 10.  Additional evidence from experimental data where up to 19 individual seeds were assayed per variety confirmed this conclusion. Bulk sampling of 10 seeds is </w:t>
      </w:r>
      <w:proofErr w:type="gramStart"/>
      <w:r w:rsidR="00FE3C8A" w:rsidRPr="00FE3C8A">
        <w:t>10x</w:t>
      </w:r>
      <w:proofErr w:type="gramEnd"/>
      <w:r w:rsidR="00FE3C8A" w:rsidRPr="00FE3C8A">
        <w:t xml:space="preserve"> more efficient in its use of resources than use of individual assays and maintains a high level of fidelity between results from bulk assays compared to results using those same individuals scored as individual seeds (91.7-97.1%). We therefore propose that a bulk sample of 10 seeds be used to provide the basis for a characteristic SNP profile for varieties soybean. </w:t>
      </w:r>
    </w:p>
    <w:p w:rsidR="00FE3C8A" w:rsidRDefault="00FE3C8A" w:rsidP="00FE3C8A"/>
    <w:p w:rsidR="00CF7B3E" w:rsidRDefault="00CF7B3E">
      <w:pPr>
        <w:jc w:val="left"/>
      </w:pPr>
      <w:r>
        <w:br w:type="page"/>
      </w:r>
    </w:p>
    <w:p w:rsidR="00FE3C8A" w:rsidRPr="00FE3C8A" w:rsidRDefault="00FE3C8A" w:rsidP="00CF7B3E">
      <w:pPr>
        <w:pStyle w:val="Heading1"/>
      </w:pPr>
      <w:r w:rsidRPr="00FE3C8A">
        <w:lastRenderedPageBreak/>
        <w:t>References</w:t>
      </w:r>
    </w:p>
    <w:p w:rsidR="00CF7B3E" w:rsidRDefault="00CF7B3E" w:rsidP="00FE3C8A"/>
    <w:p w:rsidR="00FE3C8A" w:rsidRPr="00FE3C8A" w:rsidRDefault="00FE3C8A" w:rsidP="00FE3C8A">
      <w:proofErr w:type="spellStart"/>
      <w:r w:rsidRPr="00FE3C8A">
        <w:t>Fasoula</w:t>
      </w:r>
      <w:proofErr w:type="spellEnd"/>
      <w:r w:rsidRPr="00FE3C8A">
        <w:t xml:space="preserve"> VA, </w:t>
      </w:r>
      <w:proofErr w:type="spellStart"/>
      <w:r w:rsidRPr="00FE3C8A">
        <w:t>Boerma</w:t>
      </w:r>
      <w:proofErr w:type="spellEnd"/>
      <w:r w:rsidRPr="00FE3C8A">
        <w:t xml:space="preserve"> HR (2007). </w:t>
      </w:r>
      <w:proofErr w:type="gramStart"/>
      <w:r w:rsidRPr="00FE3C8A">
        <w:t>Intra-cultivar variation for seed weight and other agronomic traits within three elite soybean cultivars.</w:t>
      </w:r>
      <w:proofErr w:type="gramEnd"/>
      <w:r w:rsidRPr="00FE3C8A">
        <w:t xml:space="preserve"> Crop </w:t>
      </w:r>
      <w:proofErr w:type="spellStart"/>
      <w:r w:rsidRPr="00FE3C8A">
        <w:t>Sci</w:t>
      </w:r>
      <w:proofErr w:type="spellEnd"/>
      <w:r w:rsidRPr="00FE3C8A">
        <w:t xml:space="preserve"> 47:367-373.</w:t>
      </w:r>
    </w:p>
    <w:p w:rsidR="00FE3C8A" w:rsidRPr="00FE3C8A" w:rsidRDefault="00FE3C8A" w:rsidP="00FE3C8A"/>
    <w:p w:rsidR="00FE3C8A" w:rsidRPr="00FE3C8A" w:rsidRDefault="00FE3C8A" w:rsidP="00FE3C8A">
      <w:proofErr w:type="gramStart"/>
      <w:r w:rsidRPr="00FE3C8A">
        <w:t>International Organization for Standardization (ISO) (1995).</w:t>
      </w:r>
      <w:proofErr w:type="gramEnd"/>
      <w:r w:rsidRPr="00FE3C8A">
        <w:t xml:space="preserve"> </w:t>
      </w:r>
      <w:proofErr w:type="gramStart"/>
      <w:r w:rsidRPr="00FE3C8A">
        <w:t>ISO Guide to the Expression of Uncertainty in Measurement, Geneva, Switzerland.</w:t>
      </w:r>
      <w:proofErr w:type="gramEnd"/>
    </w:p>
    <w:p w:rsidR="00FE3C8A" w:rsidRPr="00FE3C8A" w:rsidRDefault="00FE3C8A" w:rsidP="00FE3C8A"/>
    <w:p w:rsidR="00FE3C8A" w:rsidRPr="00FE3C8A" w:rsidRDefault="00FE3C8A" w:rsidP="00FE3C8A">
      <w:r w:rsidRPr="00FE3C8A">
        <w:t xml:space="preserve">Lee S, </w:t>
      </w:r>
      <w:proofErr w:type="spellStart"/>
      <w:r w:rsidRPr="00FE3C8A">
        <w:t>Freewalt</w:t>
      </w:r>
      <w:proofErr w:type="spellEnd"/>
      <w:r w:rsidRPr="00FE3C8A">
        <w:t xml:space="preserve"> KR, McHale LK, Song Q, Jun T-H, Michel AP, </w:t>
      </w:r>
      <w:proofErr w:type="spellStart"/>
      <w:r w:rsidRPr="00FE3C8A">
        <w:t>Dorrance</w:t>
      </w:r>
      <w:proofErr w:type="spellEnd"/>
      <w:r w:rsidRPr="00FE3C8A">
        <w:t xml:space="preserve"> AE, </w:t>
      </w:r>
      <w:proofErr w:type="spellStart"/>
      <w:r w:rsidRPr="00FE3C8A">
        <w:t>Mian</w:t>
      </w:r>
      <w:proofErr w:type="spellEnd"/>
      <w:r w:rsidRPr="00FE3C8A">
        <w:t xml:space="preserve"> MAR (2015). </w:t>
      </w:r>
      <w:proofErr w:type="gramStart"/>
      <w:r w:rsidRPr="00FE3C8A">
        <w:t>A high resolution genetic linkage map of soybean based on 357 recombinant inbred lines genotyped with BARCSoySNP6k.</w:t>
      </w:r>
      <w:proofErr w:type="gramEnd"/>
      <w:r w:rsidRPr="00FE3C8A">
        <w:t xml:space="preserve"> </w:t>
      </w:r>
      <w:proofErr w:type="spellStart"/>
      <w:proofErr w:type="gramStart"/>
      <w:r w:rsidRPr="00FE3C8A">
        <w:t>Mol</w:t>
      </w:r>
      <w:proofErr w:type="spellEnd"/>
      <w:r w:rsidRPr="00FE3C8A">
        <w:t xml:space="preserve"> Breed.</w:t>
      </w:r>
      <w:proofErr w:type="gramEnd"/>
      <w:r w:rsidRPr="00FE3C8A">
        <w:t xml:space="preserve"> </w:t>
      </w:r>
      <w:proofErr w:type="gramStart"/>
      <w:r w:rsidRPr="00FE3C8A">
        <w:t>doi:</w:t>
      </w:r>
      <w:proofErr w:type="gramEnd"/>
      <w:r w:rsidRPr="00FE3C8A">
        <w:t>10.1007/s11032-015-0209-5</w:t>
      </w:r>
    </w:p>
    <w:p w:rsidR="00FE3C8A" w:rsidRPr="00FE3C8A" w:rsidRDefault="00FE3C8A" w:rsidP="00FE3C8A"/>
    <w:p w:rsidR="00FE3C8A" w:rsidRPr="00FE3C8A" w:rsidRDefault="00FE3C8A" w:rsidP="00FE3C8A">
      <w:proofErr w:type="gramStart"/>
      <w:r w:rsidRPr="00FE3C8A">
        <w:t xml:space="preserve">Smith JSC, Chin ECL, Shu H, Smith OS, Wall SJ, Senior ML, Mitchell SE, </w:t>
      </w:r>
      <w:proofErr w:type="spellStart"/>
      <w:r w:rsidRPr="00FE3C8A">
        <w:t>Kresovich</w:t>
      </w:r>
      <w:proofErr w:type="spellEnd"/>
      <w:r w:rsidRPr="00FE3C8A">
        <w:t xml:space="preserve"> S and </w:t>
      </w:r>
      <w:proofErr w:type="spellStart"/>
      <w:r w:rsidRPr="00FE3C8A">
        <w:t>Ziegle</w:t>
      </w:r>
      <w:proofErr w:type="spellEnd"/>
      <w:r w:rsidRPr="00FE3C8A">
        <w:t xml:space="preserve"> J (1997).</w:t>
      </w:r>
      <w:proofErr w:type="gramEnd"/>
      <w:r w:rsidRPr="00FE3C8A">
        <w:t xml:space="preserve"> An evaluation of the utility of SSR loci as molecular markers in maize (</w:t>
      </w:r>
      <w:proofErr w:type="spellStart"/>
      <w:r w:rsidRPr="00FE3C8A">
        <w:t>Zea</w:t>
      </w:r>
      <w:proofErr w:type="spellEnd"/>
      <w:r w:rsidRPr="00FE3C8A">
        <w:t xml:space="preserve"> mays L.): Comparisons with data from RFLPs and pedigree. </w:t>
      </w:r>
      <w:proofErr w:type="spellStart"/>
      <w:r w:rsidRPr="00FE3C8A">
        <w:t>Theor</w:t>
      </w:r>
      <w:proofErr w:type="spellEnd"/>
      <w:r w:rsidRPr="00FE3C8A">
        <w:t xml:space="preserve"> Appl. Genet 95:163-173.</w:t>
      </w:r>
    </w:p>
    <w:p w:rsidR="00FE3C8A" w:rsidRPr="00FE3C8A" w:rsidRDefault="00FE3C8A" w:rsidP="00FE3C8A"/>
    <w:p w:rsidR="00FE3C8A" w:rsidRPr="00FE3C8A" w:rsidRDefault="00FE3C8A" w:rsidP="00FE3C8A">
      <w:proofErr w:type="gramStart"/>
      <w:r w:rsidRPr="00FE3C8A">
        <w:t>UPOV.</w:t>
      </w:r>
      <w:proofErr w:type="gramEnd"/>
      <w:r w:rsidRPr="00FE3C8A">
        <w:t xml:space="preserve"> 1993a. Report adopted by the technical committee from the 28th 582 session, October 21-23</w:t>
      </w:r>
      <w:proofErr w:type="gramStart"/>
      <w:r w:rsidRPr="00FE3C8A">
        <w:t>,1992</w:t>
      </w:r>
      <w:proofErr w:type="gramEnd"/>
      <w:r w:rsidRPr="00FE3C8A">
        <w:t xml:space="preserve"> in Geneva. </w:t>
      </w:r>
      <w:proofErr w:type="gramStart"/>
      <w:r w:rsidRPr="00FE3C8A">
        <w:t>TC/28/6.</w:t>
      </w:r>
      <w:proofErr w:type="gramEnd"/>
      <w:r w:rsidRPr="00FE3C8A">
        <w:t xml:space="preserve"> </w:t>
      </w:r>
      <w:proofErr w:type="gramStart"/>
      <w:r w:rsidRPr="00FE3C8A">
        <w:t>UPOV, Geneva, Switzerland.</w:t>
      </w:r>
      <w:proofErr w:type="gramEnd"/>
      <w:r w:rsidRPr="00FE3C8A">
        <w:t xml:space="preserve"> </w:t>
      </w:r>
    </w:p>
    <w:p w:rsidR="00FE3C8A" w:rsidRPr="00FE3C8A" w:rsidRDefault="00FE3C8A" w:rsidP="00FE3C8A"/>
    <w:p w:rsidR="00FE3C8A" w:rsidRPr="00FE3C8A" w:rsidRDefault="00FE3C8A" w:rsidP="00FE3C8A">
      <w:proofErr w:type="gramStart"/>
      <w:r w:rsidRPr="00FE3C8A">
        <w:t>UPOV.</w:t>
      </w:r>
      <w:proofErr w:type="gramEnd"/>
      <w:r w:rsidRPr="00FE3C8A">
        <w:t xml:space="preserve"> 2011. Possible use of molecular markers in the examination of Distinctness, Uniformity, and Stability (DUS). </w:t>
      </w:r>
      <w:proofErr w:type="gramStart"/>
      <w:r w:rsidRPr="00FE3C8A">
        <w:t>UPOV/INF/18//1 with 4 annexes.</w:t>
      </w:r>
      <w:proofErr w:type="gramEnd"/>
      <w:r w:rsidRPr="00FE3C8A">
        <w:t xml:space="preserve"> </w:t>
      </w:r>
      <w:proofErr w:type="gramStart"/>
      <w:r w:rsidRPr="00FE3C8A">
        <w:t>UPOV, Geneva, Switzerland.</w:t>
      </w:r>
      <w:proofErr w:type="gramEnd"/>
      <w:r w:rsidRPr="00FE3C8A">
        <w:t xml:space="preserve"> </w:t>
      </w:r>
      <w:proofErr w:type="gramStart"/>
      <w:r w:rsidRPr="00FE3C8A">
        <w:t>p.26.</w:t>
      </w:r>
      <w:proofErr w:type="gramEnd"/>
    </w:p>
    <w:p w:rsidR="007B3585" w:rsidRDefault="007B3585" w:rsidP="00D11C0E"/>
    <w:p w:rsidR="00B57082" w:rsidRDefault="00B57082" w:rsidP="00D11C0E"/>
    <w:p w:rsidR="00B57082" w:rsidRDefault="00B57082" w:rsidP="00B57082">
      <w:r>
        <w:t>Barry Nelson</w:t>
      </w:r>
      <w:r w:rsidRPr="004B7314">
        <w:rPr>
          <w:vertAlign w:val="superscript"/>
        </w:rPr>
        <w:t>1</w:t>
      </w:r>
      <w:r>
        <w:t>, Fred Achard</w:t>
      </w:r>
      <w:r w:rsidRPr="003D7A6C">
        <w:rPr>
          <w:vertAlign w:val="superscript"/>
        </w:rPr>
        <w:t>2</w:t>
      </w:r>
      <w:r>
        <w:t>, Jean-Louis Laffont</w:t>
      </w:r>
      <w:r w:rsidRPr="003D7A6C">
        <w:rPr>
          <w:vertAlign w:val="superscript"/>
        </w:rPr>
        <w:t>3</w:t>
      </w:r>
      <w:r>
        <w:t>, Stephen Smith</w:t>
      </w:r>
      <w:r w:rsidRPr="003D7A6C">
        <w:rPr>
          <w:vertAlign w:val="superscript"/>
        </w:rPr>
        <w:t>4</w:t>
      </w:r>
      <w:r>
        <w:t xml:space="preserve"> et al.</w:t>
      </w:r>
    </w:p>
    <w:p w:rsidR="00B57082" w:rsidRDefault="00B57082" w:rsidP="00B57082"/>
    <w:p w:rsidR="00B57082" w:rsidRPr="00393B36" w:rsidRDefault="00B57082" w:rsidP="00B57082">
      <w:proofErr w:type="gramStart"/>
      <w:r w:rsidRPr="004B7314">
        <w:rPr>
          <w:vertAlign w:val="superscript"/>
        </w:rPr>
        <w:t>1</w:t>
      </w:r>
      <w:r>
        <w:t>DuPont Pioneer, Johnston, IA.</w:t>
      </w:r>
      <w:proofErr w:type="gramEnd"/>
      <w:r>
        <w:t xml:space="preserve"> </w:t>
      </w:r>
      <w:r w:rsidRPr="00393B36">
        <w:t>USA</w:t>
      </w:r>
    </w:p>
    <w:p w:rsidR="00B57082" w:rsidRPr="00393B36" w:rsidRDefault="00B57082" w:rsidP="00B57082">
      <w:pPr>
        <w:rPr>
          <w:lang w:val="fr-CH"/>
        </w:rPr>
      </w:pPr>
      <w:r w:rsidRPr="00C2732E">
        <w:rPr>
          <w:vertAlign w:val="superscript"/>
          <w:lang w:val="fr-CH"/>
        </w:rPr>
        <w:t>2</w:t>
      </w:r>
      <w:r w:rsidRPr="00C2732E">
        <w:rPr>
          <w:lang w:val="fr-CH"/>
        </w:rPr>
        <w:t xml:space="preserve">Monsanto, St. Louis, MO. </w:t>
      </w:r>
      <w:r w:rsidRPr="00393B36">
        <w:rPr>
          <w:lang w:val="fr-CH"/>
        </w:rPr>
        <w:t>USA</w:t>
      </w:r>
    </w:p>
    <w:p w:rsidR="00B57082" w:rsidRPr="00393B36" w:rsidRDefault="00B57082" w:rsidP="00B57082">
      <w:pPr>
        <w:rPr>
          <w:lang w:val="fr-CH"/>
        </w:rPr>
      </w:pPr>
      <w:r w:rsidRPr="00393B36">
        <w:rPr>
          <w:vertAlign w:val="superscript"/>
          <w:lang w:val="fr-CH"/>
        </w:rPr>
        <w:t>3</w:t>
      </w:r>
      <w:r w:rsidRPr="00393B36">
        <w:rPr>
          <w:lang w:val="fr-CH"/>
        </w:rPr>
        <w:t>DuPont Pioneer, Aussonne, FR</w:t>
      </w:r>
    </w:p>
    <w:p w:rsidR="00B57082" w:rsidRDefault="00B57082" w:rsidP="00B57082">
      <w:proofErr w:type="gramStart"/>
      <w:r w:rsidRPr="003D7A6C">
        <w:rPr>
          <w:vertAlign w:val="superscript"/>
        </w:rPr>
        <w:t>4</w:t>
      </w:r>
      <w:r>
        <w:t>Seed Science Center, Iowa State University, Ames, IA.</w:t>
      </w:r>
      <w:proofErr w:type="gramEnd"/>
      <w:r>
        <w:t xml:space="preserve"> USA</w:t>
      </w:r>
    </w:p>
    <w:p w:rsidR="00B57082" w:rsidRDefault="00B57082" w:rsidP="00D11C0E"/>
    <w:p w:rsidR="00173E5B" w:rsidRDefault="00173E5B" w:rsidP="00D11C0E"/>
    <w:p w:rsidR="00173E5B" w:rsidRDefault="00173E5B" w:rsidP="00D11C0E"/>
    <w:p w:rsidR="00D11C0E" w:rsidRDefault="00D11C0E" w:rsidP="00123EC9"/>
    <w:p w:rsidR="00AF0B3E" w:rsidRPr="007C25BD" w:rsidRDefault="00AF0B3E" w:rsidP="00AF0B3E">
      <w:pPr>
        <w:jc w:val="right"/>
        <w:rPr>
          <w:bCs/>
          <w:snapToGrid w:val="0"/>
        </w:rPr>
      </w:pPr>
      <w:r w:rsidRPr="007C25BD">
        <w:rPr>
          <w:snapToGrid w:val="0"/>
        </w:rPr>
        <w:t>[</w:t>
      </w:r>
      <w:r>
        <w:rPr>
          <w:snapToGrid w:val="0"/>
        </w:rPr>
        <w:t>End of document</w:t>
      </w:r>
      <w:r w:rsidRPr="007C25BD">
        <w:rPr>
          <w:snapToGrid w:val="0"/>
        </w:rPr>
        <w:t>]</w:t>
      </w:r>
    </w:p>
    <w:p w:rsidR="00AF0B3E" w:rsidRPr="00AF0B3E" w:rsidRDefault="00AF0B3E" w:rsidP="00851506"/>
    <w:sectPr w:rsidR="00AF0B3E" w:rsidRPr="00AF0B3E" w:rsidSect="00906DDC">
      <w:headerReference w:type="default" r:id="rId31"/>
      <w:headerReference w:type="first" r:id="rId3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1C" w:rsidRDefault="00FC7E1C" w:rsidP="006655D3">
      <w:r>
        <w:separator/>
      </w:r>
    </w:p>
    <w:p w:rsidR="00FC7E1C" w:rsidRDefault="00FC7E1C" w:rsidP="006655D3"/>
    <w:p w:rsidR="00FC7E1C" w:rsidRDefault="00FC7E1C" w:rsidP="006655D3"/>
  </w:endnote>
  <w:endnote w:type="continuationSeparator" w:id="0">
    <w:p w:rsidR="00FC7E1C" w:rsidRDefault="00FC7E1C" w:rsidP="006655D3">
      <w:r>
        <w:separator/>
      </w:r>
    </w:p>
    <w:p w:rsidR="00FC7E1C" w:rsidRPr="00294751" w:rsidRDefault="00FC7E1C">
      <w:pPr>
        <w:pStyle w:val="Footer"/>
        <w:spacing w:after="60"/>
        <w:rPr>
          <w:sz w:val="18"/>
          <w:lang w:val="fr-FR"/>
        </w:rPr>
      </w:pPr>
      <w:r w:rsidRPr="00294751">
        <w:rPr>
          <w:sz w:val="18"/>
          <w:lang w:val="fr-FR"/>
        </w:rPr>
        <w:t>[Suite de la note de la page précédente]</w:t>
      </w:r>
    </w:p>
    <w:p w:rsidR="00FC7E1C" w:rsidRPr="00294751" w:rsidRDefault="00FC7E1C" w:rsidP="006655D3">
      <w:pPr>
        <w:rPr>
          <w:lang w:val="fr-FR"/>
        </w:rPr>
      </w:pPr>
    </w:p>
    <w:p w:rsidR="00FC7E1C" w:rsidRPr="00294751" w:rsidRDefault="00FC7E1C" w:rsidP="006655D3">
      <w:pPr>
        <w:rPr>
          <w:lang w:val="fr-FR"/>
        </w:rPr>
      </w:pPr>
    </w:p>
  </w:endnote>
  <w:endnote w:type="continuationNotice" w:id="1">
    <w:p w:rsidR="00FC7E1C" w:rsidRPr="00294751" w:rsidRDefault="00FC7E1C" w:rsidP="006655D3">
      <w:pPr>
        <w:rPr>
          <w:lang w:val="fr-FR"/>
        </w:rPr>
      </w:pPr>
      <w:r w:rsidRPr="00294751">
        <w:rPr>
          <w:lang w:val="fr-FR"/>
        </w:rPr>
        <w:t>[Suite de la note page suivante]</w:t>
      </w:r>
    </w:p>
    <w:p w:rsidR="00FC7E1C" w:rsidRPr="00294751" w:rsidRDefault="00FC7E1C" w:rsidP="006655D3">
      <w:pPr>
        <w:rPr>
          <w:lang w:val="fr-FR"/>
        </w:rPr>
      </w:pPr>
    </w:p>
    <w:p w:rsidR="00FC7E1C" w:rsidRPr="00294751" w:rsidRDefault="00FC7E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8A" w:rsidRDefault="00FE3C8A">
    <w:pPr>
      <w:pStyle w:val="Footer"/>
      <w:jc w:val="right"/>
    </w:pPr>
  </w:p>
  <w:p w:rsidR="00FE3C8A" w:rsidRDefault="00FE3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1C" w:rsidRDefault="00FC7E1C" w:rsidP="006655D3">
      <w:r>
        <w:separator/>
      </w:r>
    </w:p>
  </w:footnote>
  <w:footnote w:type="continuationSeparator" w:id="0">
    <w:p w:rsidR="00FC7E1C" w:rsidRDefault="00FC7E1C" w:rsidP="006655D3">
      <w:r>
        <w:separator/>
      </w:r>
    </w:p>
  </w:footnote>
  <w:footnote w:type="continuationNotice" w:id="1">
    <w:p w:rsidR="00FC7E1C" w:rsidRPr="00AB530F" w:rsidRDefault="00FC7E1C" w:rsidP="00AB530F">
      <w:pPr>
        <w:pStyle w:val="Footer"/>
      </w:pPr>
    </w:p>
  </w:footnote>
  <w:footnote w:id="2">
    <w:p w:rsidR="00FE3C8A" w:rsidRPr="00C86E03" w:rsidRDefault="00FE3C8A" w:rsidP="00FE3C8A">
      <w:pPr>
        <w:pStyle w:val="FootnoteText"/>
        <w:rPr>
          <w:rFonts w:asciiTheme="minorHAnsi" w:hAnsiTheme="minorHAnsi"/>
          <w:lang w:val="fr-FR"/>
        </w:rPr>
      </w:pPr>
      <w:r w:rsidRPr="00C86E03">
        <w:rPr>
          <w:rStyle w:val="FootnoteReference"/>
          <w:rFonts w:asciiTheme="minorHAnsi" w:hAnsiTheme="minorHAnsi"/>
        </w:rPr>
        <w:footnoteRef/>
      </w:r>
      <w:r w:rsidRPr="00C86E03">
        <w:rPr>
          <w:rFonts w:asciiTheme="minorHAnsi" w:hAnsiTheme="minorHAnsi"/>
        </w:rPr>
        <w:t xml:space="preserve"> </w:t>
      </w:r>
      <w:r w:rsidRPr="00C2732E">
        <w:rPr>
          <w:rFonts w:asciiTheme="minorHAnsi" w:hAnsiTheme="minorHAnsi"/>
        </w:rPr>
        <w:t xml:space="preserve">It is assumed here that there is no heterozygous individuals for SNP </w:t>
      </w:r>
      <w:proofErr w:type="gramStart"/>
      <w:r w:rsidRPr="00C2732E">
        <w:rPr>
          <w:rFonts w:asciiTheme="minorHAnsi" w:hAnsiTheme="minorHAnsi"/>
          <w:i/>
        </w:rPr>
        <w:t>i</w:t>
      </w:r>
      <w:r w:rsidRPr="00C2732E">
        <w:rPr>
          <w:rFonts w:asciiTheme="minorHAnsi" w:hAnsiTheme="minorHAnsi"/>
        </w:rPr>
        <w:t> .</w:t>
      </w:r>
      <w:proofErr w:type="gramEnd"/>
      <w:r w:rsidRPr="00C2732E">
        <w:rPr>
          <w:rFonts w:asciiTheme="minorHAnsi" w:hAnsiTheme="minorHAnsi"/>
        </w:rPr>
        <w:t xml:space="preserve">  </w:t>
      </w:r>
      <w:proofErr w:type="spellStart"/>
      <w:proofErr w:type="gramStart"/>
      <w:r w:rsidRPr="00C86E03">
        <w:rPr>
          <w:rFonts w:asciiTheme="minorHAnsi" w:hAnsiTheme="minorHAnsi"/>
          <w:lang w:val="fr-FR"/>
        </w:rPr>
        <w:t>Otherwise</w:t>
      </w:r>
      <w:proofErr w:type="spellEnd"/>
      <w:r w:rsidRPr="00C86E03">
        <w:rPr>
          <w:rFonts w:asciiTheme="minorHAnsi" w:hAnsiTheme="minorHAnsi"/>
          <w:lang w:val="fr-FR"/>
        </w:rPr>
        <w:t xml:space="preserve">, </w:t>
      </w:r>
      <w:r w:rsidRPr="00C86E03">
        <w:rPr>
          <w:rFonts w:asciiTheme="minorHAnsi" w:hAnsiTheme="minorHAnsi"/>
          <w:position w:val="-12"/>
          <w:sz w:val="24"/>
          <w:szCs w:val="24"/>
        </w:rPr>
        <w:object w:dxaOrig="1920" w:dyaOrig="380">
          <v:shape id="_x0000_i1034" type="#_x0000_t75" style="width:96.75pt;height:18.75pt" o:ole="">
            <v:imagedata r:id="rId1" o:title=""/>
          </v:shape>
          <o:OLEObject Type="Embed" ProgID="Equation.DSMT4" ShapeID="_x0000_i1034" DrawAspect="Content" ObjectID="_1570954970" r:id="rId2"/>
        </w:object>
      </w:r>
      <w:r w:rsidRPr="00C86E03">
        <w:rPr>
          <w:rFonts w:asciiTheme="minorHAnsi" w:hAnsiTheme="minorHAnsi"/>
          <w:sz w:val="24"/>
          <w:szCs w:val="24"/>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36" w:rsidRDefault="00393B36">
    <w:pPr>
      <w:pStyle w:val="Header"/>
    </w:pPr>
    <w:r>
      <w:t>BMT/16/26</w:t>
    </w:r>
  </w:p>
  <w:p w:rsidR="00393B36" w:rsidRDefault="00D50969">
    <w:pPr>
      <w:pStyle w:val="Header"/>
    </w:pPr>
    <w:proofErr w:type="gramStart"/>
    <w:r>
      <w:t>p</w:t>
    </w:r>
    <w:r w:rsidR="00393B36">
      <w:t>age</w:t>
    </w:r>
    <w:proofErr w:type="gramEnd"/>
    <w:r w:rsidR="00393B36">
      <w:t xml:space="preserve"> </w:t>
    </w:r>
    <w:r w:rsidR="00393B36">
      <w:fldChar w:fldCharType="begin"/>
    </w:r>
    <w:r w:rsidR="00393B36">
      <w:instrText xml:space="preserve"> PAGE   \* MERGEFORMAT </w:instrText>
    </w:r>
    <w:r w:rsidR="00393B36">
      <w:fldChar w:fldCharType="separate"/>
    </w:r>
    <w:r w:rsidR="001A247B">
      <w:rPr>
        <w:noProof/>
      </w:rPr>
      <w:t>3</w:t>
    </w:r>
    <w:r w:rsidR="00393B36">
      <w:rPr>
        <w:noProof/>
      </w:rPr>
      <w:fldChar w:fldCharType="end"/>
    </w:r>
  </w:p>
  <w:p w:rsidR="00D65025" w:rsidRPr="00D65025" w:rsidRDefault="00D65025" w:rsidP="00D65025">
    <w:pPr>
      <w:jc w:val="cent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2" w:rsidRDefault="00393B36">
    <w:pPr>
      <w:pStyle w:val="Header"/>
      <w:rPr>
        <w:lang w:val="fr-CH"/>
      </w:rPr>
    </w:pPr>
    <w:r>
      <w:rPr>
        <w:lang w:val="fr-CH"/>
      </w:rPr>
      <w:t>BMT/16/26</w:t>
    </w:r>
  </w:p>
  <w:p w:rsidR="00393B36" w:rsidRPr="00393B36" w:rsidRDefault="00393B36">
    <w:pPr>
      <w:pStyle w:val="Header"/>
      <w:rPr>
        <w:lang w:val="fr-CH"/>
      </w:rPr>
    </w:pPr>
    <w:proofErr w:type="gramStart"/>
    <w:r>
      <w:rPr>
        <w:lang w:val="fr-CH"/>
      </w:rPr>
      <w:t>page</w:t>
    </w:r>
    <w:proofErr w:type="gramEnd"/>
    <w:r>
      <w:rPr>
        <w:lang w:val="fr-CH"/>
      </w:rPr>
      <w:t xml:space="preserve"> </w:t>
    </w:r>
    <w:r w:rsidR="00FC16C3">
      <w:rPr>
        <w:lang w:val="fr-CH"/>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Default="00393B36" w:rsidP="00393B36">
    <w:pPr>
      <w:jc w:val="center"/>
      <w:rPr>
        <w:lang w:val="fr-CH"/>
      </w:rPr>
    </w:pPr>
    <w:r>
      <w:rPr>
        <w:lang w:val="fr-CH"/>
      </w:rPr>
      <w:t>BMT/16/26</w:t>
    </w:r>
  </w:p>
  <w:p w:rsidR="00393B36" w:rsidRDefault="00393B36" w:rsidP="00393B36">
    <w:pPr>
      <w:jc w:val="center"/>
      <w:rPr>
        <w:lang w:val="fr-CH"/>
      </w:rPr>
    </w:pPr>
    <w:r>
      <w:rPr>
        <w:lang w:val="fr-CH"/>
      </w:rPr>
      <w:t xml:space="preserve">Page </w:t>
    </w:r>
    <w:r w:rsidR="00FC16C3" w:rsidRPr="00FC16C3">
      <w:rPr>
        <w:lang w:val="fr-CH"/>
      </w:rPr>
      <w:fldChar w:fldCharType="begin"/>
    </w:r>
    <w:r w:rsidR="00FC16C3" w:rsidRPr="00FC16C3">
      <w:rPr>
        <w:lang w:val="fr-CH"/>
      </w:rPr>
      <w:instrText xml:space="preserve"> PAGE   \* MERGEFORMAT </w:instrText>
    </w:r>
    <w:r w:rsidR="00FC16C3" w:rsidRPr="00FC16C3">
      <w:rPr>
        <w:lang w:val="fr-CH"/>
      </w:rPr>
      <w:fldChar w:fldCharType="separate"/>
    </w:r>
    <w:r w:rsidR="001A247B">
      <w:rPr>
        <w:noProof/>
        <w:lang w:val="fr-CH"/>
      </w:rPr>
      <w:t>7</w:t>
    </w:r>
    <w:r w:rsidR="00FC16C3" w:rsidRPr="00FC16C3">
      <w:rPr>
        <w:noProof/>
        <w:lang w:val="fr-CH"/>
      </w:rPr>
      <w:fldChar w:fldCharType="end"/>
    </w:r>
  </w:p>
  <w:p w:rsidR="00393B36" w:rsidRPr="00393B36" w:rsidRDefault="00393B36" w:rsidP="00393B36">
    <w:pPr>
      <w:jc w:val="cent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2" w:rsidRDefault="00393B36" w:rsidP="00393B36">
    <w:pPr>
      <w:jc w:val="center"/>
      <w:rPr>
        <w:lang w:val="fr-CH"/>
      </w:rPr>
    </w:pPr>
    <w:r>
      <w:rPr>
        <w:lang w:val="fr-CH"/>
      </w:rPr>
      <w:t>BMT/16/26</w:t>
    </w:r>
  </w:p>
  <w:p w:rsidR="00393B36" w:rsidRDefault="00393B36" w:rsidP="00393B36">
    <w:pPr>
      <w:jc w:val="center"/>
      <w:rPr>
        <w:lang w:val="fr-CH"/>
      </w:rPr>
    </w:pPr>
    <w:proofErr w:type="gramStart"/>
    <w:r>
      <w:rPr>
        <w:lang w:val="fr-CH"/>
      </w:rPr>
      <w:t>page</w:t>
    </w:r>
    <w:proofErr w:type="gramEnd"/>
    <w:r>
      <w:rPr>
        <w:lang w:val="fr-CH"/>
      </w:rPr>
      <w:t xml:space="preserve"> </w:t>
    </w:r>
    <w:r w:rsidR="00FC16C3">
      <w:rPr>
        <w:lang w:val="fr-CH"/>
      </w:rPr>
      <w:t>5</w:t>
    </w:r>
  </w:p>
  <w:p w:rsidR="00393B36" w:rsidRPr="00393B36" w:rsidRDefault="00393B36" w:rsidP="00393B36">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C"/>
    <w:rsid w:val="00010CF3"/>
    <w:rsid w:val="00011E27"/>
    <w:rsid w:val="000148BC"/>
    <w:rsid w:val="00024AB8"/>
    <w:rsid w:val="00025F4E"/>
    <w:rsid w:val="00030854"/>
    <w:rsid w:val="00036028"/>
    <w:rsid w:val="00044642"/>
    <w:rsid w:val="000446B9"/>
    <w:rsid w:val="00047E21"/>
    <w:rsid w:val="00050E16"/>
    <w:rsid w:val="000724A3"/>
    <w:rsid w:val="00085505"/>
    <w:rsid w:val="000C4E25"/>
    <w:rsid w:val="000C7021"/>
    <w:rsid w:val="000D6BBC"/>
    <w:rsid w:val="000D7780"/>
    <w:rsid w:val="000E636A"/>
    <w:rsid w:val="000F1C0E"/>
    <w:rsid w:val="000F2F11"/>
    <w:rsid w:val="00105929"/>
    <w:rsid w:val="00110182"/>
    <w:rsid w:val="00110C36"/>
    <w:rsid w:val="001131D5"/>
    <w:rsid w:val="00123EC9"/>
    <w:rsid w:val="00141DB8"/>
    <w:rsid w:val="0015326B"/>
    <w:rsid w:val="00172084"/>
    <w:rsid w:val="00173E5B"/>
    <w:rsid w:val="0017474A"/>
    <w:rsid w:val="001758C6"/>
    <w:rsid w:val="00182B99"/>
    <w:rsid w:val="001A247B"/>
    <w:rsid w:val="001D6303"/>
    <w:rsid w:val="00212A19"/>
    <w:rsid w:val="0021332C"/>
    <w:rsid w:val="00213982"/>
    <w:rsid w:val="0024416D"/>
    <w:rsid w:val="002506FF"/>
    <w:rsid w:val="00271911"/>
    <w:rsid w:val="002800A0"/>
    <w:rsid w:val="002801B3"/>
    <w:rsid w:val="00281060"/>
    <w:rsid w:val="00292B63"/>
    <w:rsid w:val="002940E8"/>
    <w:rsid w:val="00294751"/>
    <w:rsid w:val="002A6E50"/>
    <w:rsid w:val="002B0558"/>
    <w:rsid w:val="002B4298"/>
    <w:rsid w:val="002C256A"/>
    <w:rsid w:val="002E3EC2"/>
    <w:rsid w:val="00305A7F"/>
    <w:rsid w:val="003152FE"/>
    <w:rsid w:val="00327436"/>
    <w:rsid w:val="00334165"/>
    <w:rsid w:val="00335389"/>
    <w:rsid w:val="00344BD6"/>
    <w:rsid w:val="0035528D"/>
    <w:rsid w:val="00361821"/>
    <w:rsid w:val="00361E9E"/>
    <w:rsid w:val="00365129"/>
    <w:rsid w:val="00393B36"/>
    <w:rsid w:val="003A1D7E"/>
    <w:rsid w:val="003B4156"/>
    <w:rsid w:val="003C7FBE"/>
    <w:rsid w:val="003D227C"/>
    <w:rsid w:val="003D2B4D"/>
    <w:rsid w:val="003E6848"/>
    <w:rsid w:val="00401F6C"/>
    <w:rsid w:val="00444A88"/>
    <w:rsid w:val="00463036"/>
    <w:rsid w:val="0047126E"/>
    <w:rsid w:val="00474DA4"/>
    <w:rsid w:val="00476B4D"/>
    <w:rsid w:val="004805FA"/>
    <w:rsid w:val="00480888"/>
    <w:rsid w:val="00482486"/>
    <w:rsid w:val="004935D2"/>
    <w:rsid w:val="00497165"/>
    <w:rsid w:val="0049744F"/>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1479A"/>
    <w:rsid w:val="00732DEC"/>
    <w:rsid w:val="00735BD5"/>
    <w:rsid w:val="00736838"/>
    <w:rsid w:val="00736F36"/>
    <w:rsid w:val="00751613"/>
    <w:rsid w:val="007556F6"/>
    <w:rsid w:val="00760880"/>
    <w:rsid w:val="00760EEF"/>
    <w:rsid w:val="00777EE5"/>
    <w:rsid w:val="00784836"/>
    <w:rsid w:val="0079023E"/>
    <w:rsid w:val="007A2854"/>
    <w:rsid w:val="007B3585"/>
    <w:rsid w:val="007C1D92"/>
    <w:rsid w:val="007C4CB9"/>
    <w:rsid w:val="007D0B9D"/>
    <w:rsid w:val="007D19B0"/>
    <w:rsid w:val="007D6CEC"/>
    <w:rsid w:val="007F498F"/>
    <w:rsid w:val="0080679D"/>
    <w:rsid w:val="008108B0"/>
    <w:rsid w:val="00811B20"/>
    <w:rsid w:val="008211B5"/>
    <w:rsid w:val="008212D3"/>
    <w:rsid w:val="0082296E"/>
    <w:rsid w:val="00824099"/>
    <w:rsid w:val="00846D7C"/>
    <w:rsid w:val="00851506"/>
    <w:rsid w:val="00855058"/>
    <w:rsid w:val="00860A1D"/>
    <w:rsid w:val="00867AC1"/>
    <w:rsid w:val="00890DF8"/>
    <w:rsid w:val="008A696A"/>
    <w:rsid w:val="008A743F"/>
    <w:rsid w:val="008C0970"/>
    <w:rsid w:val="008D0BC5"/>
    <w:rsid w:val="008D2CF7"/>
    <w:rsid w:val="00900C26"/>
    <w:rsid w:val="0090197F"/>
    <w:rsid w:val="00906DDC"/>
    <w:rsid w:val="0091607B"/>
    <w:rsid w:val="00925E3D"/>
    <w:rsid w:val="00934E09"/>
    <w:rsid w:val="00936253"/>
    <w:rsid w:val="00940D46"/>
    <w:rsid w:val="00952DD4"/>
    <w:rsid w:val="00965AE7"/>
    <w:rsid w:val="00970FED"/>
    <w:rsid w:val="0098788B"/>
    <w:rsid w:val="00992D82"/>
    <w:rsid w:val="00997029"/>
    <w:rsid w:val="009A5B69"/>
    <w:rsid w:val="009A7339"/>
    <w:rsid w:val="009B440E"/>
    <w:rsid w:val="009D690D"/>
    <w:rsid w:val="009E65B6"/>
    <w:rsid w:val="009F7082"/>
    <w:rsid w:val="00A1778A"/>
    <w:rsid w:val="00A21DEC"/>
    <w:rsid w:val="00A24C10"/>
    <w:rsid w:val="00A42AC3"/>
    <w:rsid w:val="00A430CF"/>
    <w:rsid w:val="00A54309"/>
    <w:rsid w:val="00AB2B93"/>
    <w:rsid w:val="00AB530F"/>
    <w:rsid w:val="00AB7E5B"/>
    <w:rsid w:val="00AC2883"/>
    <w:rsid w:val="00AE0EF1"/>
    <w:rsid w:val="00AE2937"/>
    <w:rsid w:val="00AF0B3E"/>
    <w:rsid w:val="00AF16C7"/>
    <w:rsid w:val="00AF7D14"/>
    <w:rsid w:val="00B07301"/>
    <w:rsid w:val="00B11F3E"/>
    <w:rsid w:val="00B15A91"/>
    <w:rsid w:val="00B2072F"/>
    <w:rsid w:val="00B224DE"/>
    <w:rsid w:val="00B324D4"/>
    <w:rsid w:val="00B46575"/>
    <w:rsid w:val="00B54321"/>
    <w:rsid w:val="00B57082"/>
    <w:rsid w:val="00B61777"/>
    <w:rsid w:val="00B84BBD"/>
    <w:rsid w:val="00BA43FB"/>
    <w:rsid w:val="00BC127D"/>
    <w:rsid w:val="00BC1FE6"/>
    <w:rsid w:val="00BE3384"/>
    <w:rsid w:val="00C061B6"/>
    <w:rsid w:val="00C2446C"/>
    <w:rsid w:val="00C36AE5"/>
    <w:rsid w:val="00C41F17"/>
    <w:rsid w:val="00C527FA"/>
    <w:rsid w:val="00C5280D"/>
    <w:rsid w:val="00C53EB3"/>
    <w:rsid w:val="00C5791C"/>
    <w:rsid w:val="00C64C6B"/>
    <w:rsid w:val="00C658B3"/>
    <w:rsid w:val="00C66290"/>
    <w:rsid w:val="00C72B7A"/>
    <w:rsid w:val="00C973F2"/>
    <w:rsid w:val="00CA304C"/>
    <w:rsid w:val="00CA6AE0"/>
    <w:rsid w:val="00CA774A"/>
    <w:rsid w:val="00CB213A"/>
    <w:rsid w:val="00CB63DD"/>
    <w:rsid w:val="00CC11B0"/>
    <w:rsid w:val="00CC2841"/>
    <w:rsid w:val="00CF1330"/>
    <w:rsid w:val="00CF7B3E"/>
    <w:rsid w:val="00CF7E36"/>
    <w:rsid w:val="00D079B4"/>
    <w:rsid w:val="00D11C0E"/>
    <w:rsid w:val="00D2303B"/>
    <w:rsid w:val="00D3708D"/>
    <w:rsid w:val="00D40426"/>
    <w:rsid w:val="00D50969"/>
    <w:rsid w:val="00D57C96"/>
    <w:rsid w:val="00D57D18"/>
    <w:rsid w:val="00D65025"/>
    <w:rsid w:val="00D66D8C"/>
    <w:rsid w:val="00D8607D"/>
    <w:rsid w:val="00D91203"/>
    <w:rsid w:val="00D95174"/>
    <w:rsid w:val="00DA1712"/>
    <w:rsid w:val="00DA4499"/>
    <w:rsid w:val="00DA4973"/>
    <w:rsid w:val="00DA6F36"/>
    <w:rsid w:val="00DB596E"/>
    <w:rsid w:val="00DB7773"/>
    <w:rsid w:val="00DC00EA"/>
    <w:rsid w:val="00DC3802"/>
    <w:rsid w:val="00DD2D20"/>
    <w:rsid w:val="00E02914"/>
    <w:rsid w:val="00E07D87"/>
    <w:rsid w:val="00E32F7E"/>
    <w:rsid w:val="00E449C1"/>
    <w:rsid w:val="00E5267B"/>
    <w:rsid w:val="00E6209D"/>
    <w:rsid w:val="00E72D49"/>
    <w:rsid w:val="00E7593C"/>
    <w:rsid w:val="00E7678A"/>
    <w:rsid w:val="00E9250C"/>
    <w:rsid w:val="00E935F1"/>
    <w:rsid w:val="00E94A81"/>
    <w:rsid w:val="00EA1FFB"/>
    <w:rsid w:val="00EB048E"/>
    <w:rsid w:val="00EB4CED"/>
    <w:rsid w:val="00EB4E9C"/>
    <w:rsid w:val="00EC481C"/>
    <w:rsid w:val="00EE1AFA"/>
    <w:rsid w:val="00EE34DF"/>
    <w:rsid w:val="00EF2F89"/>
    <w:rsid w:val="00F03E98"/>
    <w:rsid w:val="00F1237A"/>
    <w:rsid w:val="00F22CBD"/>
    <w:rsid w:val="00F272F1"/>
    <w:rsid w:val="00F34105"/>
    <w:rsid w:val="00F45372"/>
    <w:rsid w:val="00F560F7"/>
    <w:rsid w:val="00F6334D"/>
    <w:rsid w:val="00F71072"/>
    <w:rsid w:val="00FA49AB"/>
    <w:rsid w:val="00FC16C3"/>
    <w:rsid w:val="00FC7E1C"/>
    <w:rsid w:val="00FD52E3"/>
    <w:rsid w:val="00FE39C7"/>
    <w:rsid w:val="00FE3C8A"/>
    <w:rsid w:val="00FE4F7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uiPriority w:val="99"/>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uiPriority w:val="99"/>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1.xml"/><Relationship Id="rId30" Type="http://schemas.openxmlformats.org/officeDocument/2006/relationships/image" Target="media/image11.jpeg"/></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6\template\BMT_16.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hibred.com\jh\Ag_Internal\Stephen%20Smith\GPSec\Barry%20Projects\MARKER%20ANALYSIS%20PROJECTS\2017\ASTA%20US%20PVP%20Soy%20Project\Bulk%20Sampling%20Experiment\Summary%20and%20allele%20frequenc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Hets called in bulk</c:v>
          </c:tx>
          <c:spPr>
            <a:solidFill>
              <a:schemeClr val="accent1"/>
            </a:solidFill>
            <a:ln>
              <a:noFill/>
            </a:ln>
            <a:effectLst/>
          </c:spPr>
          <c:invertIfNegative val="0"/>
          <c:cat>
            <c:strRef>
              <c:f>Sheet2!$A$2:$A$6</c:f>
              <c:strCache>
                <c:ptCount val="5"/>
                <c:pt idx="0">
                  <c:v>0-10</c:v>
                </c:pt>
                <c:pt idx="1">
                  <c:v>11-20</c:v>
                </c:pt>
                <c:pt idx="2">
                  <c:v>21-30</c:v>
                </c:pt>
                <c:pt idx="3">
                  <c:v>31-40</c:v>
                </c:pt>
                <c:pt idx="4">
                  <c:v>41-50</c:v>
                </c:pt>
              </c:strCache>
            </c:strRef>
          </c:cat>
          <c:val>
            <c:numRef>
              <c:f>Sheet2!$B$2:$B$6</c:f>
              <c:numCache>
                <c:formatCode>General</c:formatCode>
                <c:ptCount val="5"/>
                <c:pt idx="0">
                  <c:v>4</c:v>
                </c:pt>
                <c:pt idx="1">
                  <c:v>21</c:v>
                </c:pt>
                <c:pt idx="2">
                  <c:v>152</c:v>
                </c:pt>
                <c:pt idx="3">
                  <c:v>167</c:v>
                </c:pt>
                <c:pt idx="4">
                  <c:v>327</c:v>
                </c:pt>
              </c:numCache>
            </c:numRef>
          </c:val>
          <c:extLst xmlns:c16r2="http://schemas.microsoft.com/office/drawing/2015/06/chart">
            <c:ext xmlns:c16="http://schemas.microsoft.com/office/drawing/2014/chart" uri="{C3380CC4-5D6E-409C-BE32-E72D297353CC}">
              <c16:uniqueId val="{00000000-2A4C-4575-B612-E59E7A4AFA8B}"/>
            </c:ext>
          </c:extLst>
        </c:ser>
        <c:ser>
          <c:idx val="1"/>
          <c:order val="1"/>
          <c:tx>
            <c:v>Hets missed in bulk</c:v>
          </c:tx>
          <c:spPr>
            <a:solidFill>
              <a:schemeClr val="accent2"/>
            </a:solidFill>
            <a:ln>
              <a:noFill/>
            </a:ln>
            <a:effectLst/>
          </c:spPr>
          <c:invertIfNegative val="0"/>
          <c:cat>
            <c:strRef>
              <c:f>Sheet2!$A$2:$A$6</c:f>
              <c:strCache>
                <c:ptCount val="5"/>
                <c:pt idx="0">
                  <c:v>0-10</c:v>
                </c:pt>
                <c:pt idx="1">
                  <c:v>11-20</c:v>
                </c:pt>
                <c:pt idx="2">
                  <c:v>21-30</c:v>
                </c:pt>
                <c:pt idx="3">
                  <c:v>31-40</c:v>
                </c:pt>
                <c:pt idx="4">
                  <c:v>41-50</c:v>
                </c:pt>
              </c:strCache>
            </c:strRef>
          </c:cat>
          <c:val>
            <c:numRef>
              <c:f>Sheet2!$D$2:$D$6</c:f>
              <c:numCache>
                <c:formatCode>General</c:formatCode>
                <c:ptCount val="5"/>
                <c:pt idx="0">
                  <c:v>6</c:v>
                </c:pt>
                <c:pt idx="1">
                  <c:v>16</c:v>
                </c:pt>
                <c:pt idx="2">
                  <c:v>14</c:v>
                </c:pt>
                <c:pt idx="3">
                  <c:v>5</c:v>
                </c:pt>
                <c:pt idx="4">
                  <c:v>7</c:v>
                </c:pt>
              </c:numCache>
            </c:numRef>
          </c:val>
          <c:extLst xmlns:c16r2="http://schemas.microsoft.com/office/drawing/2015/06/chart">
            <c:ext xmlns:c16="http://schemas.microsoft.com/office/drawing/2014/chart" uri="{C3380CC4-5D6E-409C-BE32-E72D297353CC}">
              <c16:uniqueId val="{00000001-2A4C-4575-B612-E59E7A4AFA8B}"/>
            </c:ext>
          </c:extLst>
        </c:ser>
        <c:dLbls>
          <c:showLegendKey val="0"/>
          <c:showVal val="0"/>
          <c:showCatName val="0"/>
          <c:showSerName val="0"/>
          <c:showPercent val="0"/>
          <c:showBubbleSize val="0"/>
        </c:dLbls>
        <c:gapWidth val="150"/>
        <c:axId val="114403584"/>
        <c:axId val="121036800"/>
      </c:barChart>
      <c:catAx>
        <c:axId val="114403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Allele Freqency</a:t>
                </a:r>
                <a:r>
                  <a:rPr lang="en-US" baseline="0"/>
                  <a:t> Range (%)</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21036800"/>
        <c:crosses val="autoZero"/>
        <c:auto val="1"/>
        <c:lblAlgn val="ctr"/>
        <c:lblOffset val="100"/>
        <c:noMultiLvlLbl val="0"/>
      </c:catAx>
      <c:valAx>
        <c:axId val="121036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144035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0CBA-0E72-49CD-A8DB-532EF254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BMT_16</Template>
  <TotalTime>5</TotalTime>
  <Pages>7</Pages>
  <Words>2318</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BMT/16</vt:lpstr>
    </vt:vector>
  </TitlesOfParts>
  <Company>UPOV</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BMT/16</dc:title>
  <dc:creator>MOTOMURA Tomochika</dc:creator>
  <cp:lastModifiedBy>MAY Jessica</cp:lastModifiedBy>
  <cp:revision>8</cp:revision>
  <cp:lastPrinted>2017-10-23T13:33:00Z</cp:lastPrinted>
  <dcterms:created xsi:type="dcterms:W3CDTF">2017-10-26T06:33:00Z</dcterms:created>
  <dcterms:modified xsi:type="dcterms:W3CDTF">2017-10-31T10:36:00Z</dcterms:modified>
</cp:coreProperties>
</file>