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DA4499" w:rsidP="00E02914">
            <w:pPr>
              <w:pStyle w:val="Sessiontcplacedate"/>
              <w:rPr>
                <w:sz w:val="22"/>
              </w:rPr>
            </w:pPr>
            <w:r>
              <w:t>Sixteenth</w:t>
            </w:r>
            <w:r w:rsidR="00EB4E9C" w:rsidRPr="00DA4973">
              <w:t xml:space="preserve"> Session</w:t>
            </w:r>
            <w:r w:rsidR="00EB4E9C" w:rsidRPr="00DA4973">
              <w:br/>
            </w:r>
            <w:r>
              <w:t>La Rochelle, France</w:t>
            </w:r>
            <w:r w:rsidR="00EB4E9C" w:rsidRPr="00DA4973">
              <w:t xml:space="preserve">, </w:t>
            </w:r>
            <w:r w:rsidR="00E02914">
              <w:t>November</w:t>
            </w:r>
            <w:r>
              <w:t xml:space="preserve"> </w:t>
            </w:r>
            <w:r w:rsidR="00E02914">
              <w:t>7</w:t>
            </w:r>
            <w:r w:rsidR="00EB4E9C" w:rsidRPr="00DA4973">
              <w:t xml:space="preserve"> to </w:t>
            </w:r>
            <w:r w:rsidR="00E02914">
              <w:t>10</w:t>
            </w:r>
            <w:r w:rsidR="00EB4E9C" w:rsidRPr="00DA4973">
              <w:t>, 2017</w:t>
            </w:r>
          </w:p>
        </w:tc>
        <w:tc>
          <w:tcPr>
            <w:tcW w:w="3127" w:type="dxa"/>
          </w:tcPr>
          <w:p w:rsidR="00EB4E9C" w:rsidRDefault="00621302" w:rsidP="003C7FBE">
            <w:pPr>
              <w:pStyle w:val="Doccode"/>
            </w:pPr>
            <w:r>
              <w:t>BMT</w:t>
            </w:r>
            <w:r w:rsidR="00EB4E9C" w:rsidRPr="00AC2883">
              <w:t>/</w:t>
            </w:r>
            <w:r>
              <w:t>16</w:t>
            </w:r>
            <w:r w:rsidR="00EB4E9C" w:rsidRPr="00AC2883">
              <w:t>/</w:t>
            </w:r>
            <w:r w:rsidR="00E9443D">
              <w:t>19</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BE4278">
            <w:pPr>
              <w:pStyle w:val="Docoriginal"/>
            </w:pPr>
            <w:r w:rsidRPr="00AC2883">
              <w:t>Date:</w:t>
            </w:r>
            <w:r w:rsidRPr="000E636A">
              <w:rPr>
                <w:b w:val="0"/>
                <w:spacing w:val="0"/>
              </w:rPr>
              <w:t xml:space="preserve">  </w:t>
            </w:r>
            <w:r w:rsidR="00D11C0E" w:rsidRPr="00BE4278">
              <w:rPr>
                <w:b w:val="0"/>
                <w:spacing w:val="0"/>
              </w:rPr>
              <w:t>October</w:t>
            </w:r>
            <w:r w:rsidR="00FD52E3" w:rsidRPr="00BE4278">
              <w:rPr>
                <w:b w:val="0"/>
                <w:spacing w:val="0"/>
              </w:rPr>
              <w:t xml:space="preserve"> </w:t>
            </w:r>
            <w:r w:rsidR="00BE4278" w:rsidRPr="00BE4278">
              <w:rPr>
                <w:b w:val="0"/>
                <w:spacing w:val="0"/>
              </w:rPr>
              <w:t>3</w:t>
            </w:r>
            <w:r w:rsidR="00BE4278">
              <w:rPr>
                <w:b w:val="0"/>
                <w:spacing w:val="0"/>
              </w:rPr>
              <w:t>0</w:t>
            </w:r>
            <w:r w:rsidRPr="00632C8D">
              <w:rPr>
                <w:b w:val="0"/>
                <w:spacing w:val="0"/>
              </w:rPr>
              <w:t>, 2017</w:t>
            </w:r>
          </w:p>
        </w:tc>
      </w:tr>
    </w:tbl>
    <w:p w:rsidR="000D7780" w:rsidRPr="006A644A" w:rsidRDefault="00E9443D" w:rsidP="006A644A">
      <w:pPr>
        <w:pStyle w:val="Titleofdoc0"/>
      </w:pPr>
      <w:bookmarkStart w:id="0" w:name="TitleOfDoc"/>
      <w:bookmarkEnd w:id="0"/>
      <w:r w:rsidRPr="00E9443D">
        <w:t>Genetic selection of similar varieties for the first growing cycle: example French bean</w:t>
      </w:r>
    </w:p>
    <w:p w:rsidR="006A644A" w:rsidRPr="006A644A" w:rsidRDefault="00AE0EF1" w:rsidP="006A644A">
      <w:pPr>
        <w:pStyle w:val="preparedby1"/>
        <w:jc w:val="left"/>
      </w:pPr>
      <w:bookmarkStart w:id="1" w:name="Prepared"/>
      <w:bookmarkEnd w:id="1"/>
      <w:r w:rsidRPr="000C4E25">
        <w:t xml:space="preserve">Document </w:t>
      </w:r>
      <w:r w:rsidR="0061555F" w:rsidRPr="000C4E25">
        <w:t xml:space="preserve">prepared by </w:t>
      </w:r>
      <w:r w:rsidR="00E9443D">
        <w:t xml:space="preserve">an </w:t>
      </w:r>
      <w:r w:rsidR="00116664">
        <w:t xml:space="preserve">expert from </w:t>
      </w:r>
      <w:r w:rsidR="00E9443D">
        <w:rPr>
          <w:rFonts w:hint="eastAsia"/>
          <w:lang w:eastAsia="ja-JP"/>
        </w:rPr>
        <w:t>the Netherlands</w:t>
      </w:r>
    </w:p>
    <w:p w:rsidR="00050E16" w:rsidRPr="006A644A" w:rsidRDefault="00050E16" w:rsidP="006A644A">
      <w:pPr>
        <w:pStyle w:val="Disclaimer"/>
      </w:pPr>
      <w:r w:rsidRPr="006A644A">
        <w:t>Disclaimer:  this document does not represent UPOV policies or guidance</w:t>
      </w:r>
    </w:p>
    <w:p w:rsidR="00E9443D" w:rsidRPr="00E9443D" w:rsidRDefault="00E9443D" w:rsidP="00E9443D">
      <w:r w:rsidRPr="007C25BD">
        <w:fldChar w:fldCharType="begin"/>
      </w:r>
      <w:r w:rsidRPr="007C25BD">
        <w:instrText xml:space="preserve"> AUTONUM  </w:instrText>
      </w:r>
      <w:r w:rsidRPr="007C25BD">
        <w:fldChar w:fldCharType="end"/>
      </w:r>
      <w:r w:rsidRPr="007C25BD">
        <w:tab/>
      </w:r>
      <w:r w:rsidRPr="00E9443D">
        <w:t>Normally, a DUS test in French bean (</w:t>
      </w:r>
      <w:proofErr w:type="spellStart"/>
      <w:r w:rsidRPr="00E9443D">
        <w:rPr>
          <w:i/>
        </w:rPr>
        <w:t>Phaseolus</w:t>
      </w:r>
      <w:proofErr w:type="spellEnd"/>
      <w:r w:rsidRPr="00E9443D">
        <w:rPr>
          <w:i/>
        </w:rPr>
        <w:t xml:space="preserve"> vulgaris</w:t>
      </w:r>
      <w:r w:rsidRPr="00E9443D">
        <w:t xml:space="preserve"> L.) takes 2 growing cycles. This is described in TG/12/9 Rev. 2. Th</w:t>
      </w:r>
      <w:r w:rsidR="00B14322">
        <w:t>ese</w:t>
      </w:r>
      <w:r w:rsidRPr="00E9443D">
        <w:t xml:space="preserve"> </w:t>
      </w:r>
      <w:r w:rsidR="00092B1D">
        <w:t>Test</w:t>
      </w:r>
      <w:r w:rsidRPr="00E9443D">
        <w:t xml:space="preserve"> Guideline</w:t>
      </w:r>
      <w:r w:rsidR="00B14322">
        <w:t>s</w:t>
      </w:r>
      <w:r w:rsidRPr="00E9443D">
        <w:t xml:space="preserve"> consist</w:t>
      </w:r>
      <w:bookmarkStart w:id="2" w:name="_GoBack"/>
      <w:bookmarkEnd w:id="2"/>
      <w:r w:rsidRPr="00E9443D">
        <w:t xml:space="preserve"> of </w:t>
      </w:r>
      <w:r w:rsidR="008F3EED">
        <w:t xml:space="preserve">49 </w:t>
      </w:r>
      <w:r w:rsidRPr="00E9443D">
        <w:t xml:space="preserve">characteristics for dwarf bean and </w:t>
      </w:r>
      <w:r w:rsidR="008F3EED">
        <w:t xml:space="preserve">49 </w:t>
      </w:r>
      <w:r w:rsidRPr="00E9443D">
        <w:t xml:space="preserve">characteristics for climbing bean, of which </w:t>
      </w:r>
      <w:r w:rsidR="008F3EED">
        <w:t xml:space="preserve">5 </w:t>
      </w:r>
      <w:r w:rsidR="00092B1D">
        <w:t>c</w:t>
      </w:r>
      <w:r w:rsidRPr="00E9443D">
        <w:t>haracteristics are resistances.</w:t>
      </w:r>
    </w:p>
    <w:p w:rsidR="00E9443D" w:rsidRPr="00E9443D" w:rsidRDefault="00E9443D" w:rsidP="00E9443D"/>
    <w:p w:rsidR="00E9443D" w:rsidRPr="00E9443D" w:rsidRDefault="00E9443D" w:rsidP="00E9443D">
      <w:r w:rsidRPr="007C25BD">
        <w:fldChar w:fldCharType="begin"/>
      </w:r>
      <w:r w:rsidRPr="007C25BD">
        <w:instrText xml:space="preserve"> AUTONUM  </w:instrText>
      </w:r>
      <w:r w:rsidRPr="007C25BD">
        <w:fldChar w:fldCharType="end"/>
      </w:r>
      <w:r w:rsidRPr="007C25BD">
        <w:tab/>
      </w:r>
      <w:r w:rsidRPr="00E9443D">
        <w:t xml:space="preserve">Nine characteristics are considered to be useful grouping characteristics. 350 to 400 varieties are known to be in one of the groups: dwarf plant, white flower, round, green pod without string, white seed, resistant to BCMNV. Physically it is not </w:t>
      </w:r>
      <w:r w:rsidR="00092B1D">
        <w:t>practically feasible</w:t>
      </w:r>
      <w:r w:rsidRPr="00E9443D">
        <w:t xml:space="preserve"> to put all these varieties in the field trial, and to make side by side comparisons is impossible. </w:t>
      </w:r>
    </w:p>
    <w:p w:rsidR="00E9443D" w:rsidRPr="00E9443D" w:rsidRDefault="00E9443D" w:rsidP="00E9443D"/>
    <w:p w:rsidR="00E9443D" w:rsidRPr="00E9443D" w:rsidRDefault="00E9443D" w:rsidP="00E9443D">
      <w:r w:rsidRPr="007C25BD">
        <w:fldChar w:fldCharType="begin"/>
      </w:r>
      <w:r w:rsidRPr="007C25BD">
        <w:instrText xml:space="preserve"> AUTONUM  </w:instrText>
      </w:r>
      <w:r w:rsidRPr="007C25BD">
        <w:fldChar w:fldCharType="end"/>
      </w:r>
      <w:r w:rsidRPr="007C25BD">
        <w:tab/>
      </w:r>
      <w:r w:rsidRPr="00E9443D">
        <w:t xml:space="preserve">Based on the information of the breeder in the TQ of a new candidate the examination office selects from the large group of possible similar varieties a smaller set. At a national level extra characteristics may be added to the TQ to gain more information. However, the information of the breeder is not always complete and not always reflecting the morphology of the variety in the environment of the examination office, especially in case of quantitative characteristics. Therefore, all information in the TQ must be treated carefully. A DUS expert in French bean needs 2 to 3 hours to select from the database with morphological descriptions a smaller set of similar varieties from the 350+. </w:t>
      </w:r>
    </w:p>
    <w:p w:rsidR="00E9443D" w:rsidRPr="00E9443D" w:rsidRDefault="00E9443D" w:rsidP="00E9443D"/>
    <w:p w:rsidR="00E9443D" w:rsidRPr="00E9443D" w:rsidRDefault="00E9443D" w:rsidP="00E9443D">
      <w:r w:rsidRPr="007C25BD">
        <w:fldChar w:fldCharType="begin"/>
      </w:r>
      <w:r w:rsidRPr="007C25BD">
        <w:instrText xml:space="preserve"> AUTONUM  </w:instrText>
      </w:r>
      <w:r w:rsidRPr="007C25BD">
        <w:fldChar w:fldCharType="end"/>
      </w:r>
      <w:r w:rsidRPr="007C25BD">
        <w:tab/>
      </w:r>
      <w:r w:rsidRPr="00E9443D">
        <w:t xml:space="preserve">The second growing cycle is used to confirm the differences between the closest similar variety and the candidate.  Quite often it happens that in the first growing cycle the right similar varieties had </w:t>
      </w:r>
      <w:r w:rsidR="00092B1D">
        <w:t xml:space="preserve">not </w:t>
      </w:r>
      <w:r w:rsidRPr="00E9443D">
        <w:t>been selected, due to misinformation in the TQ. This may lead to 3 years of testing, instead of 2.</w:t>
      </w:r>
    </w:p>
    <w:p w:rsidR="00E9443D" w:rsidRPr="00E9443D" w:rsidRDefault="00E9443D" w:rsidP="00E9443D"/>
    <w:p w:rsidR="00E9443D" w:rsidRPr="00E9443D" w:rsidRDefault="00E9443D" w:rsidP="00E9443D">
      <w:r w:rsidRPr="007C25BD">
        <w:fldChar w:fldCharType="begin"/>
      </w:r>
      <w:r w:rsidRPr="007C25BD">
        <w:instrText xml:space="preserve"> AUTONUM  </w:instrText>
      </w:r>
      <w:r w:rsidRPr="007C25BD">
        <w:fldChar w:fldCharType="end"/>
      </w:r>
      <w:r w:rsidRPr="007C25BD">
        <w:tab/>
      </w:r>
      <w:r w:rsidRPr="00E9443D">
        <w:t>The first selection of similar varieties can be performed more efficient</w:t>
      </w:r>
      <w:r w:rsidR="00092B1D">
        <w:t>ly</w:t>
      </w:r>
      <w:r w:rsidRPr="00E9443D">
        <w:t xml:space="preserve"> by using genotypic information of the candidate. Only genetically close varieties will be put in the field trial. After the first growing cycle a second selection takes place by comparing the complete description made by the examination office in year 1 with all descriptions of known varieties. This second selection takes much less time than the traditional first selection, as one can discard influences caused by deviations from the TQ. In the second growing cycle the candidate is put in the field with the closest similar variety from the first year and with all similar varieties from the second selection ‘on paper’. It is known that the candidate is genetically clearly distinct from all these similar varieties and this supports a positive decision on distinctness after the second growing cycle.</w:t>
      </w:r>
    </w:p>
    <w:p w:rsidR="00E9443D" w:rsidRPr="00E9443D" w:rsidRDefault="00E9443D" w:rsidP="00E9443D"/>
    <w:p w:rsidR="00E9443D" w:rsidRPr="00E9443D" w:rsidRDefault="00E9443D" w:rsidP="00E9443D">
      <w:r w:rsidRPr="007C25BD">
        <w:fldChar w:fldCharType="begin"/>
      </w:r>
      <w:r w:rsidRPr="007C25BD">
        <w:instrText xml:space="preserve"> AUTONUM  </w:instrText>
      </w:r>
      <w:r w:rsidRPr="007C25BD">
        <w:fldChar w:fldCharType="end"/>
      </w:r>
      <w:r w:rsidRPr="007C25BD">
        <w:tab/>
      </w:r>
      <w:proofErr w:type="spellStart"/>
      <w:r w:rsidRPr="00E9443D">
        <w:t>Naktuinbouw</w:t>
      </w:r>
      <w:proofErr w:type="spellEnd"/>
      <w:r w:rsidRPr="00E9443D">
        <w:t xml:space="preserve"> has a large DNA database of French bean varieties. It consists of AFLP profiles, by 4 primers giving 78 polymorphic bands. Genetic similarities between all varieties are calculated (</w:t>
      </w:r>
      <w:proofErr w:type="spellStart"/>
      <w:r w:rsidRPr="00E9443D">
        <w:t>Jaccard</w:t>
      </w:r>
      <w:proofErr w:type="spellEnd"/>
      <w:r w:rsidRPr="00E9443D">
        <w:t>). In the near future a shift will be made to a SNP database. Any validated DNA technique could be used.</w:t>
      </w:r>
    </w:p>
    <w:p w:rsidR="00E9443D" w:rsidRPr="00E9443D" w:rsidRDefault="00E9443D" w:rsidP="00E9443D"/>
    <w:p w:rsidR="00E9443D" w:rsidRPr="00E9443D" w:rsidRDefault="00E9443D" w:rsidP="00E9443D">
      <w:r w:rsidRPr="007C25BD">
        <w:fldChar w:fldCharType="begin"/>
      </w:r>
      <w:r w:rsidRPr="007C25BD">
        <w:instrText xml:space="preserve"> AUTONUM  </w:instrText>
      </w:r>
      <w:r w:rsidRPr="007C25BD">
        <w:fldChar w:fldCharType="end"/>
      </w:r>
      <w:r w:rsidRPr="007C25BD">
        <w:tab/>
      </w:r>
      <w:r w:rsidRPr="00E9443D">
        <w:t>Application of the ‘genetic selection’ in 2015 and 2016 resulted in a reduction of 60% of the varieties to be put in the field. One of 14 candidates was declared distinct after 1 year of trials. For none of the 14 candidates a 3rd growing cycle was needed. The process of selection of similar varieties from the morphological database takes less time (about 2 hours less per candidate) and the quality of the side-by-side comparison in the field is better when a lower number of varieties have to be compared.</w:t>
      </w:r>
    </w:p>
    <w:p w:rsidR="00E9443D" w:rsidRPr="00E9443D" w:rsidRDefault="00E9443D" w:rsidP="00E9443D"/>
    <w:p w:rsidR="00E9443D" w:rsidRPr="004D080E" w:rsidRDefault="00E9443D" w:rsidP="00E9443D">
      <w:r w:rsidRPr="007C25BD">
        <w:fldChar w:fldCharType="begin"/>
      </w:r>
      <w:r w:rsidRPr="007C25BD">
        <w:instrText xml:space="preserve"> AUTONUM  </w:instrText>
      </w:r>
      <w:r w:rsidRPr="007C25BD">
        <w:fldChar w:fldCharType="end"/>
      </w:r>
      <w:r w:rsidRPr="007C25BD">
        <w:tab/>
      </w:r>
      <w:r w:rsidRPr="00E9443D">
        <w:t>The proposal is to use this method of genetic first selection for any crop with normally two years of testing when a DNA database and a morphological database are available.</w:t>
      </w:r>
    </w:p>
    <w:p w:rsidR="004D080E" w:rsidRDefault="004D080E" w:rsidP="00835FB9"/>
    <w:p w:rsidR="00D11C0E" w:rsidRPr="00E9443D" w:rsidRDefault="00E9443D" w:rsidP="00835FB9">
      <w:pPr>
        <w:rPr>
          <w:highlight w:val="yellow"/>
        </w:rPr>
      </w:pPr>
      <w:r w:rsidRPr="007C25BD">
        <w:lastRenderedPageBreak/>
        <w:fldChar w:fldCharType="begin"/>
      </w:r>
      <w:r w:rsidRPr="007C25BD">
        <w:instrText xml:space="preserve"> AUTONUM  </w:instrText>
      </w:r>
      <w:r w:rsidRPr="007C25BD">
        <w:fldChar w:fldCharType="end"/>
      </w:r>
      <w:r w:rsidRPr="007C25BD">
        <w:tab/>
      </w:r>
      <w:r w:rsidR="00D11C0E" w:rsidRPr="00907A43">
        <w:t xml:space="preserve">The </w:t>
      </w:r>
      <w:r w:rsidR="00116664" w:rsidRPr="00907A43">
        <w:t xml:space="preserve">Annex to </w:t>
      </w:r>
      <w:r w:rsidR="00D11C0E" w:rsidRPr="00907A43">
        <w:t xml:space="preserve">this document </w:t>
      </w:r>
      <w:r w:rsidR="00116664" w:rsidRPr="00907A43">
        <w:t xml:space="preserve">contains a copy of a </w:t>
      </w:r>
      <w:proofErr w:type="spellStart"/>
      <w:r w:rsidR="00907A43" w:rsidRPr="00907A43">
        <w:t>schematice</w:t>
      </w:r>
      <w:proofErr w:type="spellEnd"/>
      <w:r w:rsidR="00907A43" w:rsidRPr="00907A43">
        <w:t xml:space="preserve"> overview of this proposal</w:t>
      </w:r>
      <w:r w:rsidR="00D11C0E" w:rsidRPr="00907A43">
        <w:t>.</w:t>
      </w:r>
    </w:p>
    <w:p w:rsidR="00835FB9" w:rsidRDefault="00835FB9" w:rsidP="00835FB9">
      <w:pPr>
        <w:rPr>
          <w:highlight w:val="yellow"/>
        </w:rPr>
      </w:pPr>
    </w:p>
    <w:p w:rsidR="00907A43" w:rsidRPr="00E9443D" w:rsidRDefault="00907A43" w:rsidP="00835FB9">
      <w:pPr>
        <w:rPr>
          <w:highlight w:val="yellow"/>
        </w:rPr>
      </w:pPr>
    </w:p>
    <w:p w:rsidR="007E68EB" w:rsidRPr="007C63D2" w:rsidRDefault="00907A43" w:rsidP="00835FB9">
      <w:pPr>
        <w:rPr>
          <w:rFonts w:ascii="Times New Roman" w:hAnsi="Times New Roman"/>
          <w:sz w:val="28"/>
          <w:szCs w:val="28"/>
        </w:rPr>
      </w:pPr>
      <w:r w:rsidRPr="00191026">
        <w:rPr>
          <w:rFonts w:cs="Arial"/>
          <w:color w:val="000000"/>
        </w:rPr>
        <w:t>Amanda van Dijk-</w:t>
      </w:r>
      <w:proofErr w:type="spellStart"/>
      <w:r w:rsidRPr="00191026">
        <w:rPr>
          <w:rFonts w:cs="Arial"/>
          <w:color w:val="000000"/>
        </w:rPr>
        <w:t>Veldhuizen</w:t>
      </w:r>
      <w:proofErr w:type="spellEnd"/>
      <w:r w:rsidRPr="00191026">
        <w:rPr>
          <w:rFonts w:cs="Arial"/>
          <w:color w:val="000000"/>
        </w:rPr>
        <w:t xml:space="preserve">, Specialist Variety testing, </w:t>
      </w:r>
      <w:proofErr w:type="spellStart"/>
      <w:r w:rsidRPr="00191026">
        <w:rPr>
          <w:rFonts w:cs="Arial"/>
          <w:color w:val="000000"/>
        </w:rPr>
        <w:t>Naktuinbouw</w:t>
      </w:r>
      <w:proofErr w:type="spellEnd"/>
    </w:p>
    <w:p w:rsidR="00D11C0E" w:rsidRDefault="00D11C0E" w:rsidP="00835FB9"/>
    <w:p w:rsidR="00B840F7" w:rsidRDefault="00B840F7" w:rsidP="00835FB9"/>
    <w:p w:rsidR="00116664" w:rsidRDefault="00116664" w:rsidP="00D11C0E"/>
    <w:p w:rsidR="0091607B" w:rsidRDefault="00E6209D" w:rsidP="00097DB9">
      <w:pPr>
        <w:jc w:val="right"/>
      </w:pPr>
      <w:r w:rsidRPr="000F7C86">
        <w:rPr>
          <w:rFonts w:hint="eastAsia"/>
        </w:rPr>
        <w:t xml:space="preserve"> </w:t>
      </w:r>
      <w:r w:rsidR="0091607B" w:rsidRPr="000F7C86">
        <w:rPr>
          <w:rFonts w:hint="eastAsia"/>
        </w:rPr>
        <w:t>[</w:t>
      </w:r>
      <w:r w:rsidR="0091607B">
        <w:t>A</w:t>
      </w:r>
      <w:r w:rsidR="0091607B" w:rsidRPr="000F7C86">
        <w:t>nnex follow</w:t>
      </w:r>
      <w:r w:rsidR="004D080E">
        <w:t>s</w:t>
      </w:r>
      <w:r w:rsidR="0091607B" w:rsidRPr="000F7C86">
        <w:t>]</w:t>
      </w:r>
    </w:p>
    <w:p w:rsidR="00097DB9" w:rsidRPr="007C25BD" w:rsidRDefault="00097DB9" w:rsidP="00097DB9">
      <w:pPr>
        <w:jc w:val="right"/>
        <w:sectPr w:rsidR="00097DB9" w:rsidRPr="007C25BD" w:rsidSect="00E71894">
          <w:headerReference w:type="default" r:id="rId9"/>
          <w:pgSz w:w="11907" w:h="16840" w:code="9"/>
          <w:pgMar w:top="510" w:right="1134" w:bottom="1134" w:left="1134" w:header="510" w:footer="680" w:gutter="0"/>
          <w:cols w:space="720"/>
          <w:titlePg/>
        </w:sectPr>
      </w:pPr>
    </w:p>
    <w:p w:rsidR="00097DB9" w:rsidRDefault="00097DB9" w:rsidP="00097DB9">
      <w:pPr>
        <w:spacing w:line="360" w:lineRule="auto"/>
        <w:jc w:val="center"/>
      </w:pPr>
    </w:p>
    <w:p w:rsidR="00DC339D" w:rsidRDefault="00DC339D" w:rsidP="00097DB9">
      <w:pPr>
        <w:spacing w:line="360" w:lineRule="auto"/>
        <w:jc w:val="center"/>
      </w:pPr>
      <w:r w:rsidRPr="00DC339D">
        <w:rPr>
          <w:noProof/>
          <w:lang w:val="es-ES_tradnl" w:eastAsia="es-ES_tradnl"/>
        </w:rPr>
        <w:drawing>
          <wp:inline distT="0" distB="0" distL="0" distR="0" wp14:anchorId="57959D79" wp14:editId="6B775320">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342640"/>
                    </a:xfrm>
                    <a:prstGeom prst="rect">
                      <a:avLst/>
                    </a:prstGeom>
                  </pic:spPr>
                </pic:pic>
              </a:graphicData>
            </a:graphic>
          </wp:inline>
        </w:drawing>
      </w:r>
    </w:p>
    <w:p w:rsidR="00DC339D" w:rsidRDefault="00DC339D" w:rsidP="00097DB9">
      <w:pPr>
        <w:spacing w:line="360" w:lineRule="auto"/>
        <w:jc w:val="center"/>
      </w:pPr>
    </w:p>
    <w:p w:rsidR="00DC339D" w:rsidRDefault="00DC339D" w:rsidP="00097DB9">
      <w:pPr>
        <w:spacing w:line="360" w:lineRule="auto"/>
        <w:jc w:val="center"/>
      </w:pPr>
    </w:p>
    <w:p w:rsidR="00DC339D" w:rsidRDefault="00DC339D" w:rsidP="00097DB9">
      <w:pPr>
        <w:spacing w:line="360" w:lineRule="auto"/>
        <w:jc w:val="center"/>
      </w:pPr>
    </w:p>
    <w:p w:rsidR="00DC339D" w:rsidRDefault="00DC339D" w:rsidP="00097DB9">
      <w:pPr>
        <w:spacing w:line="360" w:lineRule="auto"/>
        <w:jc w:val="center"/>
      </w:pPr>
      <w:r w:rsidRPr="00DC339D">
        <w:rPr>
          <w:noProof/>
          <w:lang w:val="es-ES_tradnl" w:eastAsia="es-ES_tradnl"/>
        </w:rPr>
        <w:drawing>
          <wp:inline distT="0" distB="0" distL="0" distR="0" wp14:anchorId="2CA37C5A" wp14:editId="1C3A17A8">
            <wp:extent cx="5943600" cy="334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342640"/>
                    </a:xfrm>
                    <a:prstGeom prst="rect">
                      <a:avLst/>
                    </a:prstGeom>
                  </pic:spPr>
                </pic:pic>
              </a:graphicData>
            </a:graphic>
          </wp:inline>
        </w:drawing>
      </w:r>
    </w:p>
    <w:p w:rsidR="00097DB9" w:rsidRDefault="00097DB9" w:rsidP="00097DB9">
      <w:pPr>
        <w:spacing w:line="360" w:lineRule="auto"/>
        <w:jc w:val="left"/>
      </w:pPr>
    </w:p>
    <w:p w:rsidR="00DC339D" w:rsidRDefault="00DC339D" w:rsidP="00097DB9">
      <w:pPr>
        <w:spacing w:line="360" w:lineRule="auto"/>
        <w:jc w:val="left"/>
      </w:pPr>
    </w:p>
    <w:p w:rsidR="0091607B" w:rsidRDefault="0091607B" w:rsidP="0091607B">
      <w:pPr>
        <w:ind w:right="369"/>
        <w:jc w:val="left"/>
      </w:pPr>
    </w:p>
    <w:p w:rsidR="007E68EB" w:rsidRPr="007C25BD" w:rsidRDefault="004D080E" w:rsidP="007E68EB">
      <w:pPr>
        <w:jc w:val="right"/>
        <w:rPr>
          <w:bCs/>
          <w:snapToGrid w:val="0"/>
        </w:rPr>
      </w:pPr>
      <w:r w:rsidRPr="007C25BD">
        <w:rPr>
          <w:snapToGrid w:val="0"/>
        </w:rPr>
        <w:t xml:space="preserve"> </w:t>
      </w:r>
      <w:r w:rsidR="007E68EB" w:rsidRPr="007C25BD">
        <w:rPr>
          <w:snapToGrid w:val="0"/>
        </w:rPr>
        <w:t>[</w:t>
      </w:r>
      <w:r w:rsidR="007E68EB">
        <w:rPr>
          <w:snapToGrid w:val="0"/>
        </w:rPr>
        <w:t>End of Annex and of document</w:t>
      </w:r>
      <w:r w:rsidR="007E68EB" w:rsidRPr="007C25BD">
        <w:rPr>
          <w:snapToGrid w:val="0"/>
        </w:rPr>
        <w:t>]</w:t>
      </w:r>
    </w:p>
    <w:p w:rsidR="00050E16" w:rsidRPr="00C651CE" w:rsidRDefault="00050E16" w:rsidP="00050E16"/>
    <w:sectPr w:rsidR="00050E16" w:rsidRPr="00C651CE" w:rsidSect="00097DB9">
      <w:headerReference w:type="default" r:id="rId12"/>
      <w:head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E1C" w:rsidRDefault="00FC7E1C" w:rsidP="006655D3">
      <w:r>
        <w:separator/>
      </w:r>
    </w:p>
    <w:p w:rsidR="00FC7E1C" w:rsidRDefault="00FC7E1C" w:rsidP="006655D3"/>
    <w:p w:rsidR="00FC7E1C" w:rsidRDefault="00FC7E1C" w:rsidP="006655D3"/>
  </w:endnote>
  <w:endnote w:type="continuationSeparator" w:id="0">
    <w:p w:rsidR="00FC7E1C" w:rsidRDefault="00FC7E1C" w:rsidP="006655D3">
      <w:r>
        <w:separator/>
      </w:r>
    </w:p>
    <w:p w:rsidR="00FC7E1C" w:rsidRPr="00294751" w:rsidRDefault="00FC7E1C">
      <w:pPr>
        <w:pStyle w:val="Footer"/>
        <w:spacing w:after="60"/>
        <w:rPr>
          <w:sz w:val="18"/>
          <w:lang w:val="fr-FR"/>
        </w:rPr>
      </w:pPr>
      <w:r w:rsidRPr="00294751">
        <w:rPr>
          <w:sz w:val="18"/>
          <w:lang w:val="fr-FR"/>
        </w:rPr>
        <w:t>[Suite de la note de la page précédente]</w:t>
      </w:r>
    </w:p>
    <w:p w:rsidR="00FC7E1C" w:rsidRPr="00294751" w:rsidRDefault="00FC7E1C" w:rsidP="006655D3">
      <w:pPr>
        <w:rPr>
          <w:lang w:val="fr-FR"/>
        </w:rPr>
      </w:pPr>
    </w:p>
    <w:p w:rsidR="00FC7E1C" w:rsidRPr="00294751" w:rsidRDefault="00FC7E1C" w:rsidP="006655D3">
      <w:pPr>
        <w:rPr>
          <w:lang w:val="fr-FR"/>
        </w:rPr>
      </w:pPr>
    </w:p>
  </w:endnote>
  <w:endnote w:type="continuationNotice" w:id="1">
    <w:p w:rsidR="00FC7E1C" w:rsidRPr="00294751" w:rsidRDefault="00FC7E1C" w:rsidP="006655D3">
      <w:pPr>
        <w:rPr>
          <w:lang w:val="fr-FR"/>
        </w:rPr>
      </w:pPr>
      <w:r w:rsidRPr="00294751">
        <w:rPr>
          <w:lang w:val="fr-FR"/>
        </w:rPr>
        <w:t>[Suite de la note page suivante]</w:t>
      </w:r>
    </w:p>
    <w:p w:rsidR="00FC7E1C" w:rsidRPr="00294751" w:rsidRDefault="00FC7E1C" w:rsidP="006655D3">
      <w:pPr>
        <w:rPr>
          <w:lang w:val="fr-FR"/>
        </w:rPr>
      </w:pPr>
    </w:p>
    <w:p w:rsidR="00FC7E1C" w:rsidRPr="00294751" w:rsidRDefault="00FC7E1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E1C" w:rsidRDefault="00FC7E1C" w:rsidP="006655D3">
      <w:r>
        <w:separator/>
      </w:r>
    </w:p>
  </w:footnote>
  <w:footnote w:type="continuationSeparator" w:id="0">
    <w:p w:rsidR="00FC7E1C" w:rsidRDefault="00FC7E1C" w:rsidP="006655D3">
      <w:r>
        <w:separator/>
      </w:r>
    </w:p>
  </w:footnote>
  <w:footnote w:type="continuationNotice" w:id="1">
    <w:p w:rsidR="00FC7E1C" w:rsidRPr="00AB530F" w:rsidRDefault="00FC7E1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07B" w:rsidRPr="00C5280D" w:rsidRDefault="0091607B" w:rsidP="00D73243">
    <w:pPr>
      <w:pStyle w:val="Header"/>
      <w:rPr>
        <w:rStyle w:val="PageNumber"/>
        <w:lang w:val="en-US"/>
      </w:rPr>
    </w:pPr>
    <w:r>
      <w:rPr>
        <w:rStyle w:val="PageNumber"/>
        <w:lang w:val="en-US"/>
      </w:rPr>
      <w:t>BMT/16/</w:t>
    </w:r>
    <w:r w:rsidR="00E9443D">
      <w:rPr>
        <w:rStyle w:val="PageNumber"/>
        <w:lang w:val="en-US"/>
      </w:rPr>
      <w:t>19</w:t>
    </w:r>
  </w:p>
  <w:p w:rsidR="0091607B" w:rsidRPr="00C5280D" w:rsidRDefault="0091607B" w:rsidP="00EB048E">
    <w:pPr>
      <w:pStyle w:val="Header"/>
      <w:rPr>
        <w:lang w:val="en-US"/>
      </w:rPr>
    </w:pPr>
    <w:proofErr w:type="gramStart"/>
    <w:r w:rsidRPr="00C5280D">
      <w:rPr>
        <w:lang w:val="en-US"/>
      </w:rPr>
      <w:t>page</w:t>
    </w:r>
    <w:proofErr w:type="gramEnd"/>
    <w:r w:rsidRPr="00C5280D">
      <w:rPr>
        <w:lang w:val="en-US"/>
      </w:rPr>
      <w:t xml:space="preserve"> </w:t>
    </w:r>
    <w:bookmarkStart w:id="3" w:name="_Toc410822398"/>
    <w:bookmarkStart w:id="4" w:name="_Toc410822802"/>
    <w:r w:rsidR="00097DB9">
      <w:rPr>
        <w:rStyle w:val="PageNumber"/>
        <w:lang w:val="en-US"/>
      </w:rPr>
      <w:t>2</w:t>
    </w:r>
  </w:p>
  <w:p w:rsidR="0091607B" w:rsidRPr="00C5280D" w:rsidRDefault="0091607B" w:rsidP="006655D3">
    <w:bookmarkStart w:id="5" w:name="_Toc441145847"/>
    <w:bookmarkStart w:id="6" w:name="_Toc374716168"/>
    <w:bookmarkEnd w:id="3"/>
    <w:bookmarkEnd w:id="4"/>
    <w:bookmarkEnd w:id="5"/>
    <w:bookmarkEnd w:id="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DB9" w:rsidRPr="00C5280D" w:rsidRDefault="00097DB9" w:rsidP="00D73243">
    <w:pPr>
      <w:pStyle w:val="Header"/>
      <w:rPr>
        <w:rStyle w:val="PageNumber"/>
        <w:lang w:val="en-US"/>
      </w:rPr>
    </w:pPr>
    <w:r>
      <w:rPr>
        <w:rStyle w:val="PageNumber"/>
        <w:lang w:val="en-US"/>
      </w:rPr>
      <w:t>BMT/16/6</w:t>
    </w:r>
  </w:p>
  <w:p w:rsidR="00097DB9" w:rsidRPr="00C5280D" w:rsidRDefault="00097DB9" w:rsidP="00EB048E">
    <w:pPr>
      <w:pStyle w:val="Header"/>
      <w:rPr>
        <w:lang w:val="en-US"/>
      </w:rPr>
    </w:pPr>
    <w:r>
      <w:rPr>
        <w:lang w:val="en-US"/>
      </w:rPr>
      <w:t xml:space="preserve">Annex, </w:t>
    </w:r>
    <w:r w:rsidRPr="00C5280D">
      <w:rPr>
        <w:lang w:val="en-US"/>
      </w:rPr>
      <w:t xml:space="preserve">page </w:t>
    </w:r>
    <w:r w:rsidRPr="00097DB9">
      <w:rPr>
        <w:lang w:val="en-US"/>
      </w:rPr>
      <w:fldChar w:fldCharType="begin"/>
    </w:r>
    <w:r w:rsidRPr="00097DB9">
      <w:rPr>
        <w:lang w:val="en-US"/>
      </w:rPr>
      <w:instrText xml:space="preserve"> PAGE   \* MERGEFORMAT </w:instrText>
    </w:r>
    <w:r w:rsidRPr="00097DB9">
      <w:rPr>
        <w:lang w:val="en-US"/>
      </w:rPr>
      <w:fldChar w:fldCharType="separate"/>
    </w:r>
    <w:r w:rsidR="00DB7722">
      <w:rPr>
        <w:noProof/>
        <w:lang w:val="en-US"/>
      </w:rPr>
      <w:t>1</w:t>
    </w:r>
    <w:r w:rsidRPr="00097DB9">
      <w:rPr>
        <w:noProof/>
        <w:lang w:val="en-US"/>
      </w:rPr>
      <w:fldChar w:fldCharType="end"/>
    </w:r>
  </w:p>
  <w:p w:rsidR="00097DB9" w:rsidRPr="00C5280D" w:rsidRDefault="00097DB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8EB" w:rsidRDefault="007E68EB">
    <w:pPr>
      <w:pStyle w:val="Header"/>
      <w:rPr>
        <w:lang w:eastAsia="ja-JP"/>
      </w:rPr>
    </w:pPr>
    <w:r>
      <w:t>BMT/16/</w:t>
    </w:r>
    <w:r w:rsidR="00E9443D">
      <w:t>9</w:t>
    </w:r>
  </w:p>
  <w:p w:rsidR="007E68EB" w:rsidRDefault="007E68EB" w:rsidP="00703BA4">
    <w:pPr>
      <w:pStyle w:val="Header"/>
    </w:pPr>
  </w:p>
  <w:p w:rsidR="007E68EB" w:rsidRPr="00C5280D" w:rsidRDefault="007E68EB" w:rsidP="00703BA4">
    <w:pPr>
      <w:pStyle w:val="Header"/>
    </w:pPr>
    <w:r>
      <w:t>ANNEX</w:t>
    </w:r>
  </w:p>
  <w:p w:rsidR="007E68EB" w:rsidRDefault="007E68EB" w:rsidP="00703BA4">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6C"/>
    <w:rsid w:val="00010CF3"/>
    <w:rsid w:val="00011E27"/>
    <w:rsid w:val="000148BC"/>
    <w:rsid w:val="00024AB8"/>
    <w:rsid w:val="00025F4E"/>
    <w:rsid w:val="00030854"/>
    <w:rsid w:val="00036028"/>
    <w:rsid w:val="00044642"/>
    <w:rsid w:val="000446B9"/>
    <w:rsid w:val="00047E21"/>
    <w:rsid w:val="00050E16"/>
    <w:rsid w:val="00085505"/>
    <w:rsid w:val="00086673"/>
    <w:rsid w:val="00092B1D"/>
    <w:rsid w:val="00097DB9"/>
    <w:rsid w:val="000B6A64"/>
    <w:rsid w:val="000C4E25"/>
    <w:rsid w:val="000C7021"/>
    <w:rsid w:val="000D6BBC"/>
    <w:rsid w:val="000D7780"/>
    <w:rsid w:val="000E636A"/>
    <w:rsid w:val="000F2F11"/>
    <w:rsid w:val="00105929"/>
    <w:rsid w:val="00110C36"/>
    <w:rsid w:val="001131D5"/>
    <w:rsid w:val="00116664"/>
    <w:rsid w:val="00141DB8"/>
    <w:rsid w:val="0015326B"/>
    <w:rsid w:val="00172084"/>
    <w:rsid w:val="0017474A"/>
    <w:rsid w:val="001758C6"/>
    <w:rsid w:val="00182B99"/>
    <w:rsid w:val="001D6303"/>
    <w:rsid w:val="00212A19"/>
    <w:rsid w:val="0021332C"/>
    <w:rsid w:val="00213982"/>
    <w:rsid w:val="0024416D"/>
    <w:rsid w:val="002506FF"/>
    <w:rsid w:val="00271911"/>
    <w:rsid w:val="002800A0"/>
    <w:rsid w:val="002801B3"/>
    <w:rsid w:val="00281060"/>
    <w:rsid w:val="00292B63"/>
    <w:rsid w:val="002940E8"/>
    <w:rsid w:val="00294751"/>
    <w:rsid w:val="002A6E50"/>
    <w:rsid w:val="002B4298"/>
    <w:rsid w:val="002C256A"/>
    <w:rsid w:val="00305A7F"/>
    <w:rsid w:val="003152FE"/>
    <w:rsid w:val="003245F0"/>
    <w:rsid w:val="00324DA7"/>
    <w:rsid w:val="00327436"/>
    <w:rsid w:val="00335389"/>
    <w:rsid w:val="00344BD6"/>
    <w:rsid w:val="0035528D"/>
    <w:rsid w:val="00361821"/>
    <w:rsid w:val="00361E9E"/>
    <w:rsid w:val="00365129"/>
    <w:rsid w:val="003A1D7E"/>
    <w:rsid w:val="003B4156"/>
    <w:rsid w:val="003C7FBE"/>
    <w:rsid w:val="003D227C"/>
    <w:rsid w:val="003D2B4D"/>
    <w:rsid w:val="00401F6C"/>
    <w:rsid w:val="00405958"/>
    <w:rsid w:val="00444A88"/>
    <w:rsid w:val="0047126E"/>
    <w:rsid w:val="00474DA4"/>
    <w:rsid w:val="00476B4D"/>
    <w:rsid w:val="004805FA"/>
    <w:rsid w:val="004935D2"/>
    <w:rsid w:val="00496DE7"/>
    <w:rsid w:val="0049744F"/>
    <w:rsid w:val="004B1215"/>
    <w:rsid w:val="004D047D"/>
    <w:rsid w:val="004D080E"/>
    <w:rsid w:val="004D0B88"/>
    <w:rsid w:val="004F1E9E"/>
    <w:rsid w:val="004F305A"/>
    <w:rsid w:val="004F77DD"/>
    <w:rsid w:val="00512164"/>
    <w:rsid w:val="00520297"/>
    <w:rsid w:val="005338F9"/>
    <w:rsid w:val="0054281C"/>
    <w:rsid w:val="00544581"/>
    <w:rsid w:val="0055268D"/>
    <w:rsid w:val="00576BE4"/>
    <w:rsid w:val="00586C2B"/>
    <w:rsid w:val="005A3CA2"/>
    <w:rsid w:val="005A400A"/>
    <w:rsid w:val="005F7B92"/>
    <w:rsid w:val="00612379"/>
    <w:rsid w:val="006153B6"/>
    <w:rsid w:val="0061555F"/>
    <w:rsid w:val="00621302"/>
    <w:rsid w:val="00632C8D"/>
    <w:rsid w:val="00636CA6"/>
    <w:rsid w:val="00641200"/>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E68EB"/>
    <w:rsid w:val="007F498F"/>
    <w:rsid w:val="0080679D"/>
    <w:rsid w:val="008108B0"/>
    <w:rsid w:val="00811B20"/>
    <w:rsid w:val="008211B5"/>
    <w:rsid w:val="0082296E"/>
    <w:rsid w:val="00824099"/>
    <w:rsid w:val="00835FB9"/>
    <w:rsid w:val="00846D7C"/>
    <w:rsid w:val="00855058"/>
    <w:rsid w:val="00860A1D"/>
    <w:rsid w:val="00867AC1"/>
    <w:rsid w:val="00890DF8"/>
    <w:rsid w:val="008A743F"/>
    <w:rsid w:val="008B41FC"/>
    <w:rsid w:val="008C0970"/>
    <w:rsid w:val="008D0BC5"/>
    <w:rsid w:val="008D2CF7"/>
    <w:rsid w:val="008F3EED"/>
    <w:rsid w:val="00900C26"/>
    <w:rsid w:val="0090197F"/>
    <w:rsid w:val="00906DDC"/>
    <w:rsid w:val="00907A43"/>
    <w:rsid w:val="0091607B"/>
    <w:rsid w:val="00925E3D"/>
    <w:rsid w:val="00934E09"/>
    <w:rsid w:val="00936253"/>
    <w:rsid w:val="00940D46"/>
    <w:rsid w:val="00952DD4"/>
    <w:rsid w:val="00965AE7"/>
    <w:rsid w:val="00970FED"/>
    <w:rsid w:val="00992D82"/>
    <w:rsid w:val="00997029"/>
    <w:rsid w:val="009A7339"/>
    <w:rsid w:val="009B440E"/>
    <w:rsid w:val="009B592D"/>
    <w:rsid w:val="009D690D"/>
    <w:rsid w:val="009E65B6"/>
    <w:rsid w:val="009F7082"/>
    <w:rsid w:val="00A24C10"/>
    <w:rsid w:val="00A42AC3"/>
    <w:rsid w:val="00A430CF"/>
    <w:rsid w:val="00A54309"/>
    <w:rsid w:val="00AB2B93"/>
    <w:rsid w:val="00AB530F"/>
    <w:rsid w:val="00AB7E5B"/>
    <w:rsid w:val="00AC2883"/>
    <w:rsid w:val="00AE0EF1"/>
    <w:rsid w:val="00AE2937"/>
    <w:rsid w:val="00AF16C7"/>
    <w:rsid w:val="00B07301"/>
    <w:rsid w:val="00B11F3E"/>
    <w:rsid w:val="00B14322"/>
    <w:rsid w:val="00B224DE"/>
    <w:rsid w:val="00B324D4"/>
    <w:rsid w:val="00B368A2"/>
    <w:rsid w:val="00B44E4C"/>
    <w:rsid w:val="00B46575"/>
    <w:rsid w:val="00B61777"/>
    <w:rsid w:val="00B840F7"/>
    <w:rsid w:val="00B84BBD"/>
    <w:rsid w:val="00BA43FB"/>
    <w:rsid w:val="00BC127D"/>
    <w:rsid w:val="00BC1FE6"/>
    <w:rsid w:val="00BE4278"/>
    <w:rsid w:val="00C061B6"/>
    <w:rsid w:val="00C2446C"/>
    <w:rsid w:val="00C36AE5"/>
    <w:rsid w:val="00C41F17"/>
    <w:rsid w:val="00C527FA"/>
    <w:rsid w:val="00C5280D"/>
    <w:rsid w:val="00C53EB3"/>
    <w:rsid w:val="00C5791C"/>
    <w:rsid w:val="00C6330E"/>
    <w:rsid w:val="00C64C6B"/>
    <w:rsid w:val="00C658B3"/>
    <w:rsid w:val="00C66290"/>
    <w:rsid w:val="00C72B7A"/>
    <w:rsid w:val="00C973F2"/>
    <w:rsid w:val="00CA304C"/>
    <w:rsid w:val="00CA774A"/>
    <w:rsid w:val="00CB213A"/>
    <w:rsid w:val="00CC11B0"/>
    <w:rsid w:val="00CC2841"/>
    <w:rsid w:val="00CC5B9F"/>
    <w:rsid w:val="00CF1330"/>
    <w:rsid w:val="00CF7E36"/>
    <w:rsid w:val="00D079B4"/>
    <w:rsid w:val="00D11C0E"/>
    <w:rsid w:val="00D3708D"/>
    <w:rsid w:val="00D40426"/>
    <w:rsid w:val="00D57C96"/>
    <w:rsid w:val="00D57D18"/>
    <w:rsid w:val="00D66D8C"/>
    <w:rsid w:val="00D8607D"/>
    <w:rsid w:val="00D91203"/>
    <w:rsid w:val="00D95174"/>
    <w:rsid w:val="00DA1712"/>
    <w:rsid w:val="00DA4499"/>
    <w:rsid w:val="00DA4973"/>
    <w:rsid w:val="00DA6F36"/>
    <w:rsid w:val="00DB596E"/>
    <w:rsid w:val="00DB7722"/>
    <w:rsid w:val="00DB7773"/>
    <w:rsid w:val="00DC00EA"/>
    <w:rsid w:val="00DC339D"/>
    <w:rsid w:val="00DC3802"/>
    <w:rsid w:val="00DD2D20"/>
    <w:rsid w:val="00E02914"/>
    <w:rsid w:val="00E07D87"/>
    <w:rsid w:val="00E32F7E"/>
    <w:rsid w:val="00E5267B"/>
    <w:rsid w:val="00E6209D"/>
    <w:rsid w:val="00E72D49"/>
    <w:rsid w:val="00E7593C"/>
    <w:rsid w:val="00E7678A"/>
    <w:rsid w:val="00E935F1"/>
    <w:rsid w:val="00E9443D"/>
    <w:rsid w:val="00E94A81"/>
    <w:rsid w:val="00EA1FFB"/>
    <w:rsid w:val="00EB048E"/>
    <w:rsid w:val="00EB4E9C"/>
    <w:rsid w:val="00EC481C"/>
    <w:rsid w:val="00EE1AFA"/>
    <w:rsid w:val="00EE34DF"/>
    <w:rsid w:val="00EF2F89"/>
    <w:rsid w:val="00F03E98"/>
    <w:rsid w:val="00F1237A"/>
    <w:rsid w:val="00F22CBD"/>
    <w:rsid w:val="00F272F1"/>
    <w:rsid w:val="00F34105"/>
    <w:rsid w:val="00F45372"/>
    <w:rsid w:val="00F560F7"/>
    <w:rsid w:val="00F6334D"/>
    <w:rsid w:val="00FA49AB"/>
    <w:rsid w:val="00FC7E1C"/>
    <w:rsid w:val="00FD52E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BodyTextIndent">
    <w:name w:val="Body Text Indent"/>
    <w:basedOn w:val="Normal"/>
    <w:link w:val="BodyTextIndentChar"/>
    <w:rsid w:val="00401F6C"/>
    <w:pPr>
      <w:spacing w:after="120"/>
      <w:ind w:left="360"/>
    </w:pPr>
    <w:rPr>
      <w:rFonts w:eastAsiaTheme="minorEastAsia"/>
    </w:rPr>
  </w:style>
  <w:style w:type="character" w:customStyle="1" w:styleId="BodyTextIndentChar">
    <w:name w:val="Body Text Indent Char"/>
    <w:basedOn w:val="DefaultParagraphFont"/>
    <w:link w:val="BodyTextIndent"/>
    <w:rsid w:val="00401F6C"/>
    <w:rPr>
      <w:rFonts w:ascii="Arial" w:eastAsiaTheme="minorEastAsia" w:hAnsi="Arial"/>
    </w:rPr>
  </w:style>
  <w:style w:type="character" w:customStyle="1" w:styleId="FootnoteTextChar">
    <w:name w:val="Footnote Text Char"/>
    <w:basedOn w:val="DefaultParagraphFont"/>
    <w:link w:val="FootnoteText"/>
    <w:uiPriority w:val="99"/>
    <w:rsid w:val="00AF16C7"/>
    <w:rPr>
      <w:rFonts w:ascii="Arial" w:hAnsi="Arial"/>
      <w:sz w:val="16"/>
    </w:rPr>
  </w:style>
  <w:style w:type="paragraph" w:customStyle="1" w:styleId="Sessiontwp">
    <w:name w:val="Session_twp"/>
    <w:basedOn w:val="Normal"/>
    <w:next w:val="Normal"/>
    <w:qFormat/>
    <w:rsid w:val="00D11C0E"/>
    <w:rPr>
      <w:b/>
    </w:rPr>
  </w:style>
  <w:style w:type="paragraph" w:customStyle="1" w:styleId="Sessiontwpplacedate">
    <w:name w:val="Session_twp_place_date"/>
    <w:basedOn w:val="Normal"/>
    <w:next w:val="Normal"/>
    <w:qFormat/>
    <w:rsid w:val="00D11C0E"/>
  </w:style>
  <w:style w:type="character" w:customStyle="1" w:styleId="Heading1Char">
    <w:name w:val="Heading 1 Char"/>
    <w:basedOn w:val="DefaultParagraphFont"/>
    <w:link w:val="Heading1"/>
    <w:rsid w:val="00D11C0E"/>
    <w:rPr>
      <w:rFonts w:ascii="Arial" w:hAnsi="Arial"/>
      <w:caps/>
    </w:rPr>
  </w:style>
  <w:style w:type="paragraph" w:styleId="ListParagraph">
    <w:name w:val="List Paragraph"/>
    <w:basedOn w:val="Normal"/>
    <w:uiPriority w:val="34"/>
    <w:qFormat/>
    <w:rsid w:val="00D11C0E"/>
    <w:pPr>
      <w:ind w:left="720"/>
      <w:contextualSpacing/>
    </w:pPr>
    <w:rPr>
      <w:rFonts w:eastAsiaTheme="minorEastAsia"/>
    </w:rPr>
  </w:style>
  <w:style w:type="character" w:customStyle="1" w:styleId="HeaderChar">
    <w:name w:val="Header Char"/>
    <w:basedOn w:val="DefaultParagraphFont"/>
    <w:link w:val="Header"/>
    <w:rsid w:val="00D11C0E"/>
    <w:rPr>
      <w:rFonts w:ascii="Arial" w:hAnsi="Arial"/>
      <w:lang w:val="fr-FR"/>
    </w:rPr>
  </w:style>
  <w:style w:type="paragraph" w:customStyle="1" w:styleId="Style1">
    <w:name w:val="Style1"/>
    <w:basedOn w:val="Normal"/>
    <w:rsid w:val="00D11C0E"/>
    <w:pPr>
      <w:tabs>
        <w:tab w:val="decimal" w:pos="907"/>
        <w:tab w:val="left" w:pos="1077"/>
      </w:tabs>
    </w:pPr>
    <w:rPr>
      <w:rFonts w:ascii="Times New Roman" w:eastAsiaTheme="minorEastAsia" w:hAnsi="Times New Roman"/>
      <w:sz w:val="24"/>
      <w:szCs w:val="24"/>
      <w:lang w:eastAsia="ja-JP"/>
    </w:rPr>
  </w:style>
  <w:style w:type="table" w:styleId="TableGrid">
    <w:name w:val="Table Grid"/>
    <w:basedOn w:val="TableNormal"/>
    <w:uiPriority w:val="59"/>
    <w:rsid w:val="004D080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BodyTextIndent">
    <w:name w:val="Body Text Indent"/>
    <w:basedOn w:val="Normal"/>
    <w:link w:val="BodyTextIndentChar"/>
    <w:rsid w:val="00401F6C"/>
    <w:pPr>
      <w:spacing w:after="120"/>
      <w:ind w:left="360"/>
    </w:pPr>
    <w:rPr>
      <w:rFonts w:eastAsiaTheme="minorEastAsia"/>
    </w:rPr>
  </w:style>
  <w:style w:type="character" w:customStyle="1" w:styleId="BodyTextIndentChar">
    <w:name w:val="Body Text Indent Char"/>
    <w:basedOn w:val="DefaultParagraphFont"/>
    <w:link w:val="BodyTextIndent"/>
    <w:rsid w:val="00401F6C"/>
    <w:rPr>
      <w:rFonts w:ascii="Arial" w:eastAsiaTheme="minorEastAsia" w:hAnsi="Arial"/>
    </w:rPr>
  </w:style>
  <w:style w:type="character" w:customStyle="1" w:styleId="FootnoteTextChar">
    <w:name w:val="Footnote Text Char"/>
    <w:basedOn w:val="DefaultParagraphFont"/>
    <w:link w:val="FootnoteText"/>
    <w:uiPriority w:val="99"/>
    <w:rsid w:val="00AF16C7"/>
    <w:rPr>
      <w:rFonts w:ascii="Arial" w:hAnsi="Arial"/>
      <w:sz w:val="16"/>
    </w:rPr>
  </w:style>
  <w:style w:type="paragraph" w:customStyle="1" w:styleId="Sessiontwp">
    <w:name w:val="Session_twp"/>
    <w:basedOn w:val="Normal"/>
    <w:next w:val="Normal"/>
    <w:qFormat/>
    <w:rsid w:val="00D11C0E"/>
    <w:rPr>
      <w:b/>
    </w:rPr>
  </w:style>
  <w:style w:type="paragraph" w:customStyle="1" w:styleId="Sessiontwpplacedate">
    <w:name w:val="Session_twp_place_date"/>
    <w:basedOn w:val="Normal"/>
    <w:next w:val="Normal"/>
    <w:qFormat/>
    <w:rsid w:val="00D11C0E"/>
  </w:style>
  <w:style w:type="character" w:customStyle="1" w:styleId="Heading1Char">
    <w:name w:val="Heading 1 Char"/>
    <w:basedOn w:val="DefaultParagraphFont"/>
    <w:link w:val="Heading1"/>
    <w:rsid w:val="00D11C0E"/>
    <w:rPr>
      <w:rFonts w:ascii="Arial" w:hAnsi="Arial"/>
      <w:caps/>
    </w:rPr>
  </w:style>
  <w:style w:type="paragraph" w:styleId="ListParagraph">
    <w:name w:val="List Paragraph"/>
    <w:basedOn w:val="Normal"/>
    <w:uiPriority w:val="34"/>
    <w:qFormat/>
    <w:rsid w:val="00D11C0E"/>
    <w:pPr>
      <w:ind w:left="720"/>
      <w:contextualSpacing/>
    </w:pPr>
    <w:rPr>
      <w:rFonts w:eastAsiaTheme="minorEastAsia"/>
    </w:rPr>
  </w:style>
  <w:style w:type="character" w:customStyle="1" w:styleId="HeaderChar">
    <w:name w:val="Header Char"/>
    <w:basedOn w:val="DefaultParagraphFont"/>
    <w:link w:val="Header"/>
    <w:rsid w:val="00D11C0E"/>
    <w:rPr>
      <w:rFonts w:ascii="Arial" w:hAnsi="Arial"/>
      <w:lang w:val="fr-FR"/>
    </w:rPr>
  </w:style>
  <w:style w:type="paragraph" w:customStyle="1" w:styleId="Style1">
    <w:name w:val="Style1"/>
    <w:basedOn w:val="Normal"/>
    <w:rsid w:val="00D11C0E"/>
    <w:pPr>
      <w:tabs>
        <w:tab w:val="decimal" w:pos="907"/>
        <w:tab w:val="left" w:pos="1077"/>
      </w:tabs>
    </w:pPr>
    <w:rPr>
      <w:rFonts w:ascii="Times New Roman" w:eastAsiaTheme="minorEastAsia" w:hAnsi="Times New Roman"/>
      <w:sz w:val="24"/>
      <w:szCs w:val="24"/>
      <w:lang w:eastAsia="ja-JP"/>
    </w:rPr>
  </w:style>
  <w:style w:type="table" w:styleId="TableGrid">
    <w:name w:val="Table Grid"/>
    <w:basedOn w:val="TableNormal"/>
    <w:uiPriority w:val="59"/>
    <w:rsid w:val="004D080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6\template\BMT_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BMT_16</Template>
  <TotalTime>4</TotalTime>
  <Pages>3</Pages>
  <Words>691</Words>
  <Characters>3662</Characters>
  <Application>Microsoft Office Word</Application>
  <DocSecurity>0</DocSecurity>
  <Lines>85</Lines>
  <Paragraphs>27</Paragraphs>
  <ScaleCrop>false</ScaleCrop>
  <HeadingPairs>
    <vt:vector size="2" baseType="variant">
      <vt:variant>
        <vt:lpstr>Title</vt:lpstr>
      </vt:variant>
      <vt:variant>
        <vt:i4>1</vt:i4>
      </vt:variant>
    </vt:vector>
  </HeadingPairs>
  <TitlesOfParts>
    <vt:vector size="1" baseType="lpstr">
      <vt:lpstr>BMT/16</vt:lpstr>
    </vt:vector>
  </TitlesOfParts>
  <Company>UPOV</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BMT/16</dc:title>
  <dc:creator>MOTOMURA Tomochika</dc:creator>
  <cp:lastModifiedBy>MAY Jessica</cp:lastModifiedBy>
  <cp:revision>7</cp:revision>
  <cp:lastPrinted>2017-10-23T12:46:00Z</cp:lastPrinted>
  <dcterms:created xsi:type="dcterms:W3CDTF">2017-10-26T05:53:00Z</dcterms:created>
  <dcterms:modified xsi:type="dcterms:W3CDTF">2017-10-31T14:19:00Z</dcterms:modified>
</cp:coreProperties>
</file>