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455D2" w:rsidTr="00D455D2">
        <w:tc>
          <w:tcPr>
            <w:tcW w:w="6522" w:type="dxa"/>
            <w:shd w:val="clear" w:color="auto" w:fill="auto"/>
          </w:tcPr>
          <w:p w:rsidR="00DC3802" w:rsidRPr="00D455D2" w:rsidRDefault="00DC3802" w:rsidP="00AC2883">
            <w:r w:rsidRPr="00D455D2">
              <w:rPr>
                <w:noProof/>
                <w:lang w:val="es-ES_tradnl" w:eastAsia="es-ES_tradnl"/>
              </w:rPr>
              <w:drawing>
                <wp:inline distT="0" distB="0" distL="0" distR="0" wp14:anchorId="05ABCE9C" wp14:editId="2B21ECF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rsidR="00DC3802" w:rsidRPr="00D455D2" w:rsidRDefault="00DC3802" w:rsidP="00AC2883">
            <w:pPr>
              <w:pStyle w:val="Lettrine"/>
            </w:pPr>
            <w:r w:rsidRPr="00D455D2">
              <w:t>E</w:t>
            </w:r>
          </w:p>
        </w:tc>
      </w:tr>
      <w:tr w:rsidR="00DC3802" w:rsidRPr="00D455D2" w:rsidTr="00D455D2">
        <w:tc>
          <w:tcPr>
            <w:tcW w:w="6522" w:type="dxa"/>
            <w:shd w:val="clear" w:color="auto" w:fill="auto"/>
          </w:tcPr>
          <w:p w:rsidR="00DC3802" w:rsidRPr="00D455D2" w:rsidRDefault="00DC3802" w:rsidP="00AC2883">
            <w:pPr>
              <w:pStyle w:val="upove"/>
            </w:pPr>
            <w:r w:rsidRPr="00D455D2">
              <w:t>International Union for the Protection of New Varieties of Plants</w:t>
            </w:r>
          </w:p>
        </w:tc>
        <w:tc>
          <w:tcPr>
            <w:tcW w:w="3117" w:type="dxa"/>
            <w:shd w:val="clear" w:color="auto" w:fill="auto"/>
          </w:tcPr>
          <w:p w:rsidR="00DC3802" w:rsidRPr="00D455D2"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D2303B">
              <w:t>1</w:t>
            </w:r>
            <w:r w:rsidR="003E5ABD">
              <w:t>6</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D5FBF">
            <w:pPr>
              <w:pStyle w:val="Docoriginal"/>
            </w:pPr>
            <w:r w:rsidRPr="00AC2883">
              <w:t>Date:</w:t>
            </w:r>
            <w:r w:rsidRPr="000E636A">
              <w:rPr>
                <w:b w:val="0"/>
                <w:spacing w:val="0"/>
              </w:rPr>
              <w:t xml:space="preserve">  </w:t>
            </w:r>
            <w:bookmarkStart w:id="0" w:name="_GoBack"/>
            <w:bookmarkEnd w:id="0"/>
            <w:r w:rsidR="00D11C0E" w:rsidRPr="004D5FBF">
              <w:rPr>
                <w:b w:val="0"/>
                <w:spacing w:val="0"/>
              </w:rPr>
              <w:t>October</w:t>
            </w:r>
            <w:r w:rsidR="00FD52E3" w:rsidRPr="004D5FBF">
              <w:rPr>
                <w:b w:val="0"/>
                <w:spacing w:val="0"/>
              </w:rPr>
              <w:t xml:space="preserve"> </w:t>
            </w:r>
            <w:r w:rsidR="004D5FBF" w:rsidRPr="004D5FBF">
              <w:rPr>
                <w:b w:val="0"/>
                <w:spacing w:val="0"/>
              </w:rPr>
              <w:t>13</w:t>
            </w:r>
            <w:r w:rsidRPr="004D5FBF">
              <w:rPr>
                <w:b w:val="0"/>
                <w:spacing w:val="0"/>
              </w:rPr>
              <w:t>, 2017</w:t>
            </w:r>
          </w:p>
        </w:tc>
      </w:tr>
    </w:tbl>
    <w:p w:rsidR="000D7780" w:rsidRPr="006A644A" w:rsidRDefault="001379D7" w:rsidP="006A644A">
      <w:pPr>
        <w:pStyle w:val="Titleofdoc0"/>
      </w:pPr>
      <w:bookmarkStart w:id="1" w:name="TitleOfDoc"/>
      <w:bookmarkEnd w:id="1"/>
      <w:r>
        <w:t xml:space="preserve">assessment of reproducibility of 6k snp genotyping in soybean across laboratories </w:t>
      </w:r>
    </w:p>
    <w:p w:rsidR="006A644A" w:rsidRPr="006A644A" w:rsidRDefault="00AE0EF1" w:rsidP="006A644A">
      <w:pPr>
        <w:pStyle w:val="preparedby1"/>
        <w:jc w:val="left"/>
      </w:pPr>
      <w:bookmarkStart w:id="2" w:name="Prepared"/>
      <w:bookmarkEnd w:id="2"/>
      <w:r w:rsidRPr="00FC674C">
        <w:t xml:space="preserve">Document </w:t>
      </w:r>
      <w:r w:rsidR="0061555F" w:rsidRPr="00FC674C">
        <w:t xml:space="preserve">prepared by </w:t>
      </w:r>
      <w:r w:rsidR="00AF0B3E" w:rsidRPr="00FC674C">
        <w:t>expert</w:t>
      </w:r>
      <w:r w:rsidR="00F537D4" w:rsidRPr="00FC674C">
        <w:t>s</w:t>
      </w:r>
      <w:r w:rsidR="00AF0B3E" w:rsidRPr="00FC674C">
        <w:t xml:space="preserve"> from </w:t>
      </w:r>
      <w:r w:rsidR="0098788B" w:rsidRPr="00FC674C">
        <w:t>Seed Association of the Americas (SAA)</w:t>
      </w:r>
    </w:p>
    <w:p w:rsidR="00050E16" w:rsidRPr="006A644A" w:rsidRDefault="00050E16" w:rsidP="006A644A">
      <w:pPr>
        <w:pStyle w:val="Disclaimer"/>
      </w:pPr>
      <w:r w:rsidRPr="006A644A">
        <w:t>Disclaimer:  this document does not represent UPOV policies or guidance</w:t>
      </w:r>
    </w:p>
    <w:p w:rsidR="00FC674C" w:rsidRDefault="00FC674C" w:rsidP="00FC674C">
      <w:pPr>
        <w:pStyle w:val="Heading1"/>
        <w:rPr>
          <w:lang w:eastAsia="ja-JP"/>
        </w:rPr>
      </w:pPr>
      <w:r w:rsidRPr="00FC674C">
        <w:t>Introduction</w:t>
      </w:r>
    </w:p>
    <w:p w:rsidR="00FC674C" w:rsidRDefault="00FC674C" w:rsidP="00FC674C">
      <w:pPr>
        <w:rPr>
          <w:color w:val="000000"/>
          <w:lang w:eastAsia="ja-JP"/>
        </w:rPr>
      </w:pPr>
    </w:p>
    <w:p w:rsidR="00FC674C" w:rsidRPr="001379D7" w:rsidRDefault="00FC674C" w:rsidP="00D956C5">
      <w:pPr>
        <w:rPr>
          <w:color w:val="000000"/>
          <w:lang w:eastAsia="ja-JP"/>
        </w:rPr>
      </w:pPr>
      <w:r w:rsidRPr="001379D7">
        <w:fldChar w:fldCharType="begin"/>
      </w:r>
      <w:r w:rsidRPr="001379D7">
        <w:instrText xml:space="preserve"> AUTONUM  </w:instrText>
      </w:r>
      <w:r w:rsidRPr="001379D7">
        <w:fldChar w:fldCharType="end"/>
      </w:r>
      <w:r w:rsidRPr="001379D7">
        <w:tab/>
      </w:r>
      <w:r w:rsidR="001379D7" w:rsidRPr="001379D7">
        <w:rPr>
          <w:rFonts w:cs="Arial"/>
        </w:rPr>
        <w:t xml:space="preserve">The United States </w:t>
      </w:r>
      <w:r w:rsidR="00F84FE4">
        <w:rPr>
          <w:rFonts w:cs="Arial"/>
        </w:rPr>
        <w:t xml:space="preserve">of America </w:t>
      </w:r>
      <w:r w:rsidR="001379D7" w:rsidRPr="001379D7">
        <w:rPr>
          <w:rFonts w:cs="Arial"/>
        </w:rPr>
        <w:t>Plant Variety Protection Board and the American Seed Trade Association (ASTA) joint Molecular Marker Working Group (MMWG)</w:t>
      </w:r>
      <w:r w:rsidR="00DF61C8" w:rsidRPr="00EA36B4">
        <w:rPr>
          <w:rStyle w:val="EndnoteReference"/>
          <w:color w:val="000000"/>
        </w:rPr>
        <w:endnoteReference w:id="2"/>
      </w:r>
      <w:r w:rsidR="00DF61C8" w:rsidRPr="001379D7">
        <w:rPr>
          <w:rFonts w:cs="Arial"/>
        </w:rPr>
        <w:t xml:space="preserve"> </w:t>
      </w:r>
      <w:r w:rsidR="001379D7" w:rsidRPr="001379D7">
        <w:rPr>
          <w:rFonts w:cs="Arial"/>
        </w:rPr>
        <w:t xml:space="preserve">are aiming at exploring the use of molecular markers in the PVP application process to help determine distinctness between varieties. </w:t>
      </w:r>
      <w:proofErr w:type="gramStart"/>
      <w:r w:rsidR="001379D7" w:rsidRPr="001379D7">
        <w:rPr>
          <w:rFonts w:cs="Arial"/>
        </w:rPr>
        <w:t>This group have</w:t>
      </w:r>
      <w:proofErr w:type="gramEnd"/>
      <w:r w:rsidR="001379D7" w:rsidRPr="001379D7">
        <w:rPr>
          <w:rFonts w:cs="Arial"/>
        </w:rPr>
        <w:t xml:space="preserve"> done preliminary analysis on exploring using molecular marker genetic similarity threshold to determin</w:t>
      </w:r>
      <w:r w:rsidR="00F84FE4">
        <w:rPr>
          <w:rFonts w:cs="Arial"/>
        </w:rPr>
        <w:t>e</w:t>
      </w:r>
      <w:r w:rsidR="001379D7" w:rsidRPr="001379D7">
        <w:rPr>
          <w:rFonts w:cs="Arial"/>
        </w:rPr>
        <w:t xml:space="preserve"> distinctness of soybean varieties</w:t>
      </w:r>
      <w:r w:rsidRPr="001379D7">
        <w:t>.</w:t>
      </w:r>
    </w:p>
    <w:p w:rsidR="00FC674C" w:rsidRDefault="00FC674C" w:rsidP="00D956C5">
      <w:pPr>
        <w:rPr>
          <w:color w:val="000000"/>
          <w:lang w:eastAsia="ja-JP"/>
        </w:rPr>
      </w:pPr>
    </w:p>
    <w:p w:rsidR="00FC674C" w:rsidRDefault="00FC674C" w:rsidP="00D956C5">
      <w:pPr>
        <w:rPr>
          <w:lang w:eastAsia="ja-JP"/>
        </w:rPr>
      </w:pPr>
      <w:r w:rsidRPr="00FC674C">
        <w:rPr>
          <w:b/>
        </w:rPr>
        <w:fldChar w:fldCharType="begin"/>
      </w:r>
      <w:r w:rsidRPr="00FC674C">
        <w:instrText xml:space="preserve"> AUTONUM  </w:instrText>
      </w:r>
      <w:r w:rsidRPr="00FC674C">
        <w:rPr>
          <w:b/>
        </w:rPr>
        <w:fldChar w:fldCharType="end"/>
      </w:r>
      <w:r>
        <w:tab/>
      </w:r>
      <w:r w:rsidR="001379D7" w:rsidRPr="001379D7">
        <w:t xml:space="preserve">The genotyping error or heterozygosity rate of SNP markers may affect </w:t>
      </w:r>
      <w:r w:rsidR="00F84FE4">
        <w:t xml:space="preserve">the </w:t>
      </w:r>
      <w:r w:rsidR="001379D7" w:rsidRPr="001379D7">
        <w:t>threshold to detect distinctness of soybean varieties. This experiment is to test the repeatability of genotyping across internal and external labs, which will help us to underhand the genotyping rates for further development of sampling guidelines for use of thresholds to establish distinctness in soybean PVPs</w:t>
      </w:r>
      <w:r w:rsidRPr="001379D7">
        <w:rPr>
          <w:lang w:eastAsia="ja-JP"/>
        </w:rPr>
        <w:t>.</w:t>
      </w:r>
    </w:p>
    <w:p w:rsidR="00FC674C" w:rsidRDefault="00FC674C" w:rsidP="00D956C5">
      <w:pPr>
        <w:rPr>
          <w:snapToGrid w:val="0"/>
          <w:lang w:eastAsia="ja-JP"/>
        </w:rPr>
      </w:pPr>
    </w:p>
    <w:p w:rsidR="00A85AEB" w:rsidRDefault="00A85AEB" w:rsidP="00D956C5">
      <w:pPr>
        <w:rPr>
          <w:rFonts w:cs="Arial"/>
          <w:snapToGrid w:val="0"/>
          <w:lang w:eastAsia="ja-JP"/>
        </w:rPr>
      </w:pPr>
    </w:p>
    <w:p w:rsidR="00FC674C" w:rsidRDefault="00D455D2" w:rsidP="00D956C5">
      <w:pPr>
        <w:pStyle w:val="Heading1"/>
        <w:keepLines/>
        <w:rPr>
          <w:lang w:eastAsia="ja-JP"/>
        </w:rPr>
      </w:pPr>
      <w:r>
        <w:rPr>
          <w:lang w:eastAsia="ja-JP"/>
        </w:rPr>
        <w:t>MATERIALS</w:t>
      </w:r>
      <w:r w:rsidR="001379D7">
        <w:rPr>
          <w:lang w:eastAsia="ja-JP"/>
        </w:rPr>
        <w:t xml:space="preserve"> and methods</w:t>
      </w:r>
    </w:p>
    <w:p w:rsidR="00FC674C" w:rsidRDefault="00FC674C" w:rsidP="00D956C5">
      <w:pPr>
        <w:keepNext/>
        <w:keepLines/>
        <w:rPr>
          <w:color w:val="000000"/>
          <w:lang w:eastAsia="ja-JP"/>
        </w:rPr>
      </w:pPr>
    </w:p>
    <w:p w:rsidR="00FC674C" w:rsidRDefault="00FC674C" w:rsidP="00D956C5">
      <w:pPr>
        <w:rPr>
          <w:lang w:eastAsia="ja-JP"/>
        </w:rPr>
      </w:pPr>
      <w:r>
        <w:rPr>
          <w:rFonts w:cs="Arial"/>
          <w:iCs/>
        </w:rPr>
        <w:fldChar w:fldCharType="begin"/>
      </w:r>
      <w:r>
        <w:rPr>
          <w:rFonts w:cs="Arial"/>
          <w:iCs/>
        </w:rPr>
        <w:instrText xml:space="preserve"> AUTONUM  </w:instrText>
      </w:r>
      <w:r>
        <w:rPr>
          <w:rFonts w:cs="Arial"/>
          <w:iCs/>
        </w:rPr>
        <w:fldChar w:fldCharType="end"/>
      </w:r>
      <w:r>
        <w:rPr>
          <w:rFonts w:cs="Arial"/>
          <w:iCs/>
        </w:rPr>
        <w:tab/>
      </w:r>
      <w:r w:rsidR="001379D7">
        <w:t xml:space="preserve">Soybean material— The MMWG selected a panel of 33 varieties with an expired PVP certificate from diverse applicants (universities, public research centers and seed companies), across all maturities, with a PVP certificate issued between 1985 and 1994 (see tables 1 and 2). In addition, the following 5 well known public accessions were included in the panel: </w:t>
      </w:r>
      <w:proofErr w:type="spellStart"/>
      <w:r w:rsidR="001379D7" w:rsidRPr="005E7F0C">
        <w:t>Corsoy</w:t>
      </w:r>
      <w:proofErr w:type="spellEnd"/>
      <w:r w:rsidR="001379D7" w:rsidRPr="005E7F0C">
        <w:t>,</w:t>
      </w:r>
      <w:r w:rsidR="001379D7">
        <w:t xml:space="preserve"> Essex, Evans, Lee, </w:t>
      </w:r>
      <w:proofErr w:type="gramStart"/>
      <w:r w:rsidR="001379D7">
        <w:t>Williams</w:t>
      </w:r>
      <w:proofErr w:type="gramEnd"/>
      <w:r w:rsidR="001379D7">
        <w:t xml:space="preserve"> 79</w:t>
      </w:r>
      <w:r>
        <w:rPr>
          <w:rFonts w:hint="eastAsia"/>
          <w:lang w:eastAsia="ja-JP"/>
        </w:rPr>
        <w:t xml:space="preserve">. </w:t>
      </w:r>
      <w:r w:rsidR="00B24819">
        <w:t>The seeds were ordered from GRIN</w:t>
      </w:r>
      <w:r w:rsidR="007645B1" w:rsidRPr="00EA36B4">
        <w:rPr>
          <w:rStyle w:val="EndnoteReference"/>
          <w:color w:val="000000"/>
        </w:rPr>
        <w:endnoteReference w:id="3"/>
      </w:r>
      <w:r w:rsidR="00B24819">
        <w:t>, and 20 seeds of each variety were planted in the greenhouse at Monsanto.  Lea</w:t>
      </w:r>
      <w:r w:rsidR="00F84FE4">
        <w:t>f</w:t>
      </w:r>
      <w:r w:rsidR="00B24819">
        <w:t xml:space="preserve"> samples were collected when plants were 4 weeks old. Leaf tissue from 10 plants for each variety w</w:t>
      </w:r>
      <w:r w:rsidR="00F84FE4">
        <w:t>as</w:t>
      </w:r>
      <w:r w:rsidR="00B24819">
        <w:t xml:space="preserve"> bulk gr</w:t>
      </w:r>
      <w:r w:rsidR="00F84FE4">
        <w:t>ound</w:t>
      </w:r>
      <w:r w:rsidR="00B24819">
        <w:t xml:space="preserve"> into a powder and store</w:t>
      </w:r>
      <w:r w:rsidR="00F84FE4">
        <w:t>d</w:t>
      </w:r>
      <w:r w:rsidR="00B24819">
        <w:t xml:space="preserve"> in a tube.</w:t>
      </w:r>
    </w:p>
    <w:p w:rsidR="00B24819" w:rsidRDefault="00B24819">
      <w:pPr>
        <w:jc w:val="left"/>
        <w:rPr>
          <w:rFonts w:cs="Arial"/>
          <w:iCs/>
          <w:lang w:eastAsia="ja-JP"/>
        </w:rPr>
      </w:pPr>
      <w:r>
        <w:rPr>
          <w:rFonts w:cs="Arial"/>
          <w:iCs/>
          <w:lang w:eastAsia="ja-JP"/>
        </w:rPr>
        <w:br w:type="page"/>
      </w:r>
    </w:p>
    <w:p w:rsidR="00D455D2" w:rsidRDefault="00D455D2" w:rsidP="00D455D2">
      <w:pPr>
        <w:keepNext/>
        <w:keepLines/>
        <w:rPr>
          <w:rFonts w:cs="Arial"/>
          <w:iCs/>
          <w:lang w:eastAsia="ja-JP"/>
        </w:rPr>
      </w:pPr>
    </w:p>
    <w:tbl>
      <w:tblPr>
        <w:tblW w:w="7959" w:type="dxa"/>
        <w:jc w:val="center"/>
        <w:tblLook w:val="04A0" w:firstRow="1" w:lastRow="0" w:firstColumn="1" w:lastColumn="0" w:noHBand="0" w:noVBand="1"/>
      </w:tblPr>
      <w:tblGrid>
        <w:gridCol w:w="7195"/>
        <w:gridCol w:w="764"/>
      </w:tblGrid>
      <w:tr w:rsidR="001379D7" w:rsidRPr="000C01CF" w:rsidTr="00A21D92">
        <w:trPr>
          <w:trHeight w:val="315"/>
          <w:jc w:val="center"/>
        </w:trPr>
        <w:tc>
          <w:tcPr>
            <w:tcW w:w="7195"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rsidR="001379D7" w:rsidRPr="000C01CF" w:rsidRDefault="001379D7" w:rsidP="00A21D92">
            <w:pPr>
              <w:rPr>
                <w:rFonts w:ascii="Calibri" w:hAnsi="Calibri"/>
                <w:b/>
                <w:bCs/>
                <w:color w:val="000000"/>
                <w:lang w:eastAsia="zh-CN"/>
              </w:rPr>
            </w:pPr>
            <w:r w:rsidRPr="000C01CF">
              <w:rPr>
                <w:rFonts w:ascii="Calibri" w:hAnsi="Calibri"/>
                <w:b/>
                <w:bCs/>
                <w:color w:val="000000"/>
                <w:lang w:eastAsia="zh-CN"/>
              </w:rPr>
              <w:t>Applicants</w:t>
            </w:r>
          </w:p>
        </w:tc>
        <w:tc>
          <w:tcPr>
            <w:tcW w:w="764" w:type="dxa"/>
            <w:tcBorders>
              <w:top w:val="single" w:sz="4" w:space="0" w:color="5B9BD5"/>
              <w:left w:val="nil"/>
              <w:bottom w:val="single" w:sz="4" w:space="0" w:color="5B9BD5"/>
              <w:right w:val="single" w:sz="4" w:space="0" w:color="5B9BD5"/>
            </w:tcBorders>
            <w:shd w:val="clear" w:color="000000" w:fill="DDEBF7"/>
            <w:noWrap/>
            <w:vAlign w:val="center"/>
            <w:hideMark/>
          </w:tcPr>
          <w:p w:rsidR="001379D7" w:rsidRPr="000C01CF" w:rsidRDefault="001379D7" w:rsidP="00A21D92">
            <w:pPr>
              <w:jc w:val="center"/>
              <w:rPr>
                <w:rFonts w:ascii="Calibri" w:hAnsi="Calibri"/>
                <w:b/>
                <w:bCs/>
                <w:color w:val="000000"/>
                <w:lang w:eastAsia="zh-CN"/>
              </w:rPr>
            </w:pPr>
            <w:r w:rsidRPr="000C01CF">
              <w:rPr>
                <w:rFonts w:ascii="Calibri" w:hAnsi="Calibri"/>
                <w:b/>
                <w:bCs/>
                <w:color w:val="000000"/>
                <w:lang w:eastAsia="zh-CN"/>
              </w:rPr>
              <w:t>Count</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proofErr w:type="spellStart"/>
            <w:r w:rsidRPr="000C01CF">
              <w:rPr>
                <w:rFonts w:ascii="Calibri" w:hAnsi="Calibri"/>
                <w:color w:val="000000"/>
                <w:lang w:eastAsia="zh-CN"/>
              </w:rPr>
              <w:t>Dairyland</w:t>
            </w:r>
            <w:proofErr w:type="spellEnd"/>
            <w:r w:rsidRPr="000C01CF">
              <w:rPr>
                <w:rFonts w:ascii="Calibri" w:hAnsi="Calibri"/>
                <w:color w:val="000000"/>
                <w:lang w:eastAsia="zh-CN"/>
              </w:rPr>
              <w:t xml:space="preserve"> Seed Company, Inc.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5</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F84FE4" w:rsidRDefault="001379D7" w:rsidP="00A21D92">
            <w:pPr>
              <w:rPr>
                <w:rFonts w:ascii="Calibri" w:hAnsi="Calibri"/>
                <w:color w:val="000000"/>
                <w:lang w:eastAsia="zh-CN"/>
              </w:rPr>
            </w:pPr>
            <w:r w:rsidRPr="00F84FE4">
              <w:rPr>
                <w:rFonts w:ascii="Calibri" w:hAnsi="Calibri"/>
                <w:color w:val="000000"/>
                <w:lang w:eastAsia="zh-CN"/>
              </w:rPr>
              <w:t>Pioneer Hi-Bred International, Inc.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5</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F84FE4" w:rsidRDefault="001379D7" w:rsidP="00A21D92">
            <w:pPr>
              <w:rPr>
                <w:rFonts w:ascii="Calibri" w:hAnsi="Calibri"/>
                <w:color w:val="000000"/>
                <w:lang w:eastAsia="zh-CN"/>
              </w:rPr>
            </w:pPr>
            <w:r w:rsidRPr="00F84FE4">
              <w:rPr>
                <w:rFonts w:ascii="Calibri" w:hAnsi="Calibri"/>
                <w:color w:val="000000"/>
                <w:lang w:eastAsia="zh-CN"/>
              </w:rPr>
              <w:t>Monsanto Technology, LLC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5</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F84FE4" w:rsidRDefault="001379D7" w:rsidP="00A21D92">
            <w:pPr>
              <w:rPr>
                <w:rFonts w:ascii="Calibri" w:hAnsi="Calibri"/>
                <w:color w:val="000000"/>
                <w:lang w:eastAsia="zh-CN"/>
              </w:rPr>
            </w:pPr>
            <w:r w:rsidRPr="00F84FE4">
              <w:rPr>
                <w:rFonts w:ascii="Calibri" w:hAnsi="Calibri"/>
                <w:color w:val="000000"/>
                <w:lang w:eastAsia="zh-CN"/>
              </w:rPr>
              <w:t>Minnesota Agricultural Experiment Station</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3</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F84FE4" w:rsidRDefault="001379D7" w:rsidP="00A21D92">
            <w:pPr>
              <w:rPr>
                <w:rFonts w:ascii="Calibri" w:hAnsi="Calibri"/>
                <w:color w:val="000000"/>
                <w:lang w:eastAsia="zh-CN"/>
              </w:rPr>
            </w:pPr>
            <w:r w:rsidRPr="00F84FE4">
              <w:rPr>
                <w:rFonts w:ascii="Calibri" w:hAnsi="Calibri"/>
                <w:color w:val="000000"/>
                <w:lang w:eastAsia="zh-CN"/>
              </w:rPr>
              <w:t>Novartis Seeds, Inc.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3</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Purdue University, Indiana Agricultural Experiment Station</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2</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Iowa Agriculture and Home Economics Experiment Station</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2</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FFR Cooperative</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University of Georgia Research Foundation, Inc.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proofErr w:type="spellStart"/>
            <w:r w:rsidRPr="000C01CF">
              <w:rPr>
                <w:rFonts w:ascii="Calibri" w:hAnsi="Calibri"/>
                <w:color w:val="000000"/>
                <w:lang w:eastAsia="zh-CN"/>
              </w:rPr>
              <w:t>Ziller</w:t>
            </w:r>
            <w:proofErr w:type="spellEnd"/>
            <w:r w:rsidRPr="000C01CF">
              <w:rPr>
                <w:rFonts w:ascii="Calibri" w:hAnsi="Calibri"/>
                <w:color w:val="000000"/>
                <w:lang w:eastAsia="zh-CN"/>
              </w:rPr>
              <w:t xml:space="preserve"> Seed Company, Inc.</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00"/>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Virginia Polytechnic Institute and State University</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00"/>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Curators of the University of Missouri</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00"/>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Kansas Agricultural Experiment Station</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215"/>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Ohio Agricultural Research and Development Center, Ohio State University</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00"/>
          <w:jc w:val="center"/>
        </w:trPr>
        <w:tc>
          <w:tcPr>
            <w:tcW w:w="7195" w:type="dxa"/>
            <w:tcBorders>
              <w:top w:val="nil"/>
              <w:left w:val="single" w:sz="4" w:space="0" w:color="5B9BD5"/>
              <w:bottom w:val="single" w:sz="4" w:space="0" w:color="5B9BD5"/>
              <w:right w:val="single" w:sz="4" w:space="0" w:color="5B9BD5"/>
            </w:tcBorders>
            <w:shd w:val="clear" w:color="auto" w:fill="auto"/>
            <w:vAlign w:val="center"/>
            <w:hideMark/>
          </w:tcPr>
          <w:p w:rsidR="001379D7" w:rsidRPr="000C01CF" w:rsidRDefault="001379D7" w:rsidP="00A21D92">
            <w:pPr>
              <w:rPr>
                <w:rFonts w:ascii="Calibri" w:hAnsi="Calibri"/>
                <w:color w:val="000000"/>
                <w:lang w:eastAsia="zh-CN"/>
              </w:rPr>
            </w:pPr>
            <w:r w:rsidRPr="000C01CF">
              <w:rPr>
                <w:rFonts w:ascii="Calibri" w:hAnsi="Calibri"/>
                <w:color w:val="000000"/>
                <w:lang w:eastAsia="zh-CN"/>
              </w:rPr>
              <w:t>North Carolina Agricultural Research Service and USDA-ARS</w:t>
            </w:r>
          </w:p>
        </w:tc>
        <w:tc>
          <w:tcPr>
            <w:tcW w:w="764" w:type="dxa"/>
            <w:tcBorders>
              <w:top w:val="nil"/>
              <w:left w:val="nil"/>
              <w:bottom w:val="single" w:sz="4" w:space="0" w:color="5B9BD5"/>
              <w:right w:val="single" w:sz="4" w:space="0" w:color="5B9BD5"/>
            </w:tcBorders>
            <w:shd w:val="clear" w:color="auto" w:fill="auto"/>
            <w:noWrap/>
            <w:vAlign w:val="center"/>
            <w:hideMark/>
          </w:tcPr>
          <w:p w:rsidR="001379D7" w:rsidRPr="000C01CF" w:rsidRDefault="001379D7" w:rsidP="00A21D92">
            <w:pPr>
              <w:jc w:val="center"/>
              <w:rPr>
                <w:rFonts w:ascii="Calibri" w:hAnsi="Calibri"/>
                <w:color w:val="000000"/>
                <w:lang w:eastAsia="zh-CN"/>
              </w:rPr>
            </w:pPr>
            <w:r w:rsidRPr="000C01CF">
              <w:rPr>
                <w:rFonts w:ascii="Calibri" w:hAnsi="Calibri"/>
                <w:color w:val="000000"/>
                <w:lang w:eastAsia="zh-CN"/>
              </w:rPr>
              <w:t>1</w:t>
            </w:r>
          </w:p>
        </w:tc>
      </w:tr>
      <w:tr w:rsidR="001379D7" w:rsidRPr="000C01CF" w:rsidTr="00A21D92">
        <w:trPr>
          <w:trHeight w:val="300"/>
          <w:jc w:val="center"/>
        </w:trPr>
        <w:tc>
          <w:tcPr>
            <w:tcW w:w="7195" w:type="dxa"/>
            <w:tcBorders>
              <w:top w:val="nil"/>
              <w:left w:val="single" w:sz="4" w:space="0" w:color="5B9BD5"/>
              <w:bottom w:val="single" w:sz="4" w:space="0" w:color="5B9BD5"/>
              <w:right w:val="single" w:sz="4" w:space="0" w:color="5B9BD5"/>
            </w:tcBorders>
            <w:shd w:val="clear" w:color="000000" w:fill="DDEBF7"/>
            <w:noWrap/>
            <w:vAlign w:val="center"/>
            <w:hideMark/>
          </w:tcPr>
          <w:p w:rsidR="001379D7" w:rsidRPr="000C01CF" w:rsidRDefault="001379D7" w:rsidP="00A21D92">
            <w:pPr>
              <w:rPr>
                <w:rFonts w:ascii="Calibri" w:hAnsi="Calibri"/>
                <w:b/>
                <w:bCs/>
                <w:color w:val="000000"/>
                <w:lang w:eastAsia="zh-CN"/>
              </w:rPr>
            </w:pPr>
            <w:r w:rsidRPr="000C01CF">
              <w:rPr>
                <w:rFonts w:ascii="Calibri" w:hAnsi="Calibri"/>
                <w:b/>
                <w:bCs/>
                <w:color w:val="000000"/>
                <w:lang w:eastAsia="zh-CN"/>
              </w:rPr>
              <w:t>Grand Total</w:t>
            </w:r>
          </w:p>
        </w:tc>
        <w:tc>
          <w:tcPr>
            <w:tcW w:w="764" w:type="dxa"/>
            <w:tcBorders>
              <w:top w:val="nil"/>
              <w:left w:val="nil"/>
              <w:bottom w:val="single" w:sz="4" w:space="0" w:color="5B9BD5"/>
              <w:right w:val="single" w:sz="4" w:space="0" w:color="5B9BD5"/>
            </w:tcBorders>
            <w:shd w:val="clear" w:color="000000" w:fill="DDEBF7"/>
            <w:noWrap/>
            <w:vAlign w:val="center"/>
            <w:hideMark/>
          </w:tcPr>
          <w:p w:rsidR="001379D7" w:rsidRPr="000C01CF" w:rsidRDefault="001379D7" w:rsidP="00A21D92">
            <w:pPr>
              <w:keepNext/>
              <w:jc w:val="center"/>
              <w:rPr>
                <w:rFonts w:ascii="Calibri" w:hAnsi="Calibri"/>
                <w:b/>
                <w:bCs/>
                <w:color w:val="000000"/>
                <w:lang w:eastAsia="zh-CN"/>
              </w:rPr>
            </w:pPr>
            <w:r w:rsidRPr="000C01CF">
              <w:rPr>
                <w:rFonts w:ascii="Calibri" w:hAnsi="Calibri"/>
                <w:b/>
                <w:bCs/>
                <w:color w:val="000000"/>
                <w:lang w:eastAsia="zh-CN"/>
              </w:rPr>
              <w:t>33</w:t>
            </w:r>
          </w:p>
        </w:tc>
      </w:tr>
    </w:tbl>
    <w:p w:rsidR="001379D7" w:rsidRDefault="001379D7" w:rsidP="00D455D2">
      <w:pPr>
        <w:keepNext/>
        <w:keepLines/>
        <w:rPr>
          <w:rFonts w:cs="Arial"/>
          <w:iCs/>
          <w:lang w:eastAsia="ja-JP"/>
        </w:rPr>
      </w:pPr>
    </w:p>
    <w:p w:rsidR="00B24819" w:rsidRDefault="00B24819" w:rsidP="00B24819">
      <w:pPr>
        <w:pStyle w:val="Caption"/>
      </w:pPr>
      <w:r>
        <w:t xml:space="preserve">Table </w:t>
      </w:r>
      <w:fldSimple w:instr=" SEQ Table \* ARABIC ">
        <w:r w:rsidR="00AD0008">
          <w:rPr>
            <w:noProof/>
          </w:rPr>
          <w:t>1</w:t>
        </w:r>
      </w:fldSimple>
      <w:r>
        <w:t>: PVP applicants of the selected off-PVP varieties</w:t>
      </w:r>
    </w:p>
    <w:p w:rsidR="00B24819" w:rsidRPr="008E6D6C" w:rsidRDefault="00B24819" w:rsidP="00B24819"/>
    <w:tbl>
      <w:tblPr>
        <w:tblW w:w="5282" w:type="dxa"/>
        <w:tblInd w:w="1327" w:type="dxa"/>
        <w:tblLook w:val="04A0" w:firstRow="1" w:lastRow="0" w:firstColumn="1" w:lastColumn="0" w:noHBand="0" w:noVBand="1"/>
      </w:tblPr>
      <w:tblGrid>
        <w:gridCol w:w="1368"/>
        <w:gridCol w:w="772"/>
        <w:gridCol w:w="960"/>
        <w:gridCol w:w="1418"/>
        <w:gridCol w:w="764"/>
      </w:tblGrid>
      <w:tr w:rsidR="00B24819" w:rsidRPr="000C01CF" w:rsidTr="00A21D92">
        <w:trPr>
          <w:trHeight w:val="300"/>
        </w:trPr>
        <w:tc>
          <w:tcPr>
            <w:tcW w:w="1368"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Maturity</w:t>
            </w:r>
          </w:p>
        </w:tc>
        <w:tc>
          <w:tcPr>
            <w:tcW w:w="772" w:type="dxa"/>
            <w:tcBorders>
              <w:top w:val="single" w:sz="4" w:space="0" w:color="5B9BD5"/>
              <w:left w:val="nil"/>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Count</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b/>
                <w:bCs/>
                <w:color w:val="000000"/>
                <w:lang w:eastAsia="zh-CN"/>
              </w:rPr>
            </w:pPr>
          </w:p>
        </w:tc>
        <w:tc>
          <w:tcPr>
            <w:tcW w:w="1418"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Issue date</w:t>
            </w:r>
          </w:p>
        </w:tc>
        <w:tc>
          <w:tcPr>
            <w:tcW w:w="764" w:type="dxa"/>
            <w:tcBorders>
              <w:top w:val="single" w:sz="4" w:space="0" w:color="5B9BD5"/>
              <w:left w:val="nil"/>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Count</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0</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2</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1985</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I</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5</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1986</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II</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7</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1987</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III</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7</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1988</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IV</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1989</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2</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V</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5</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1990</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5</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VI</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2</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1991</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5</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VII</w:t>
            </w:r>
          </w:p>
        </w:tc>
        <w:tc>
          <w:tcPr>
            <w:tcW w:w="772"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2</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1992</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2</w:t>
            </w:r>
          </w:p>
        </w:tc>
      </w:tr>
      <w:tr w:rsidR="00B24819" w:rsidRPr="000C01CF" w:rsidTr="00A21D92">
        <w:trPr>
          <w:trHeight w:val="300"/>
        </w:trPr>
        <w:tc>
          <w:tcPr>
            <w:tcW w:w="1368" w:type="dxa"/>
            <w:tcBorders>
              <w:top w:val="nil"/>
              <w:left w:val="single" w:sz="4" w:space="0" w:color="5B9BD5"/>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Grand Total</w:t>
            </w:r>
          </w:p>
        </w:tc>
        <w:tc>
          <w:tcPr>
            <w:tcW w:w="772" w:type="dxa"/>
            <w:tcBorders>
              <w:top w:val="nil"/>
              <w:left w:val="nil"/>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33</w:t>
            </w:r>
          </w:p>
        </w:tc>
        <w:tc>
          <w:tcPr>
            <w:tcW w:w="960"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b/>
                <w:bCs/>
                <w:color w:val="000000"/>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1993</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3</w:t>
            </w:r>
          </w:p>
        </w:tc>
      </w:tr>
      <w:tr w:rsidR="00B24819" w:rsidRPr="000C01CF" w:rsidTr="00A21D92">
        <w:trPr>
          <w:trHeight w:val="300"/>
        </w:trPr>
        <w:tc>
          <w:tcPr>
            <w:tcW w:w="1368"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772" w:type="dxa"/>
            <w:tcBorders>
              <w:top w:val="nil"/>
              <w:left w:val="nil"/>
              <w:bottom w:val="nil"/>
              <w:right w:val="nil"/>
            </w:tcBorders>
            <w:shd w:val="clear" w:color="auto" w:fill="auto"/>
            <w:noWrap/>
            <w:vAlign w:val="bottom"/>
            <w:hideMark/>
          </w:tcPr>
          <w:p w:rsidR="00B24819" w:rsidRPr="000C01CF" w:rsidRDefault="00B24819" w:rsidP="00A21D92">
            <w:pPr>
              <w:rPr>
                <w:rFonts w:ascii="Times New Roman" w:hAnsi="Times New Roman"/>
                <w:lang w:eastAsia="zh-CN"/>
              </w:rPr>
            </w:pPr>
          </w:p>
        </w:tc>
        <w:tc>
          <w:tcPr>
            <w:tcW w:w="960" w:type="dxa"/>
            <w:tcBorders>
              <w:top w:val="nil"/>
              <w:left w:val="nil"/>
              <w:bottom w:val="nil"/>
              <w:right w:val="nil"/>
            </w:tcBorders>
            <w:shd w:val="clear" w:color="auto" w:fill="auto"/>
            <w:noWrap/>
            <w:vAlign w:val="bottom"/>
            <w:hideMark/>
          </w:tcPr>
          <w:p w:rsidR="00B24819" w:rsidRPr="000C01CF" w:rsidRDefault="00B24819" w:rsidP="00A21D92">
            <w:pPr>
              <w:rPr>
                <w:rFonts w:ascii="Times New Roman" w:hAnsi="Times New Roman"/>
                <w:lang w:eastAsia="zh-CN"/>
              </w:rPr>
            </w:pPr>
          </w:p>
        </w:tc>
        <w:tc>
          <w:tcPr>
            <w:tcW w:w="1418" w:type="dxa"/>
            <w:tcBorders>
              <w:top w:val="nil"/>
              <w:left w:val="single" w:sz="4" w:space="0" w:color="5B9BD5"/>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1994</w:t>
            </w:r>
          </w:p>
        </w:tc>
        <w:tc>
          <w:tcPr>
            <w:tcW w:w="764" w:type="dxa"/>
            <w:tcBorders>
              <w:top w:val="nil"/>
              <w:left w:val="nil"/>
              <w:bottom w:val="single" w:sz="4" w:space="0" w:color="5B9BD5"/>
              <w:right w:val="single" w:sz="4" w:space="0" w:color="5B9BD5"/>
            </w:tcBorders>
            <w:shd w:val="clear" w:color="auto" w:fill="auto"/>
            <w:noWrap/>
            <w:vAlign w:val="center"/>
            <w:hideMark/>
          </w:tcPr>
          <w:p w:rsidR="00B24819" w:rsidRPr="000C01CF" w:rsidRDefault="00B24819" w:rsidP="00A21D92">
            <w:pPr>
              <w:jc w:val="center"/>
              <w:rPr>
                <w:rFonts w:ascii="Calibri" w:hAnsi="Calibri"/>
                <w:color w:val="000000"/>
                <w:lang w:eastAsia="zh-CN"/>
              </w:rPr>
            </w:pPr>
            <w:r w:rsidRPr="000C01CF">
              <w:rPr>
                <w:rFonts w:ascii="Calibri" w:hAnsi="Calibri"/>
                <w:color w:val="000000"/>
                <w:lang w:eastAsia="zh-CN"/>
              </w:rPr>
              <w:t>4</w:t>
            </w:r>
          </w:p>
        </w:tc>
      </w:tr>
      <w:tr w:rsidR="00B24819" w:rsidRPr="000C01CF" w:rsidTr="00A21D92">
        <w:trPr>
          <w:trHeight w:val="300"/>
        </w:trPr>
        <w:tc>
          <w:tcPr>
            <w:tcW w:w="1368" w:type="dxa"/>
            <w:tcBorders>
              <w:top w:val="nil"/>
              <w:left w:val="nil"/>
              <w:bottom w:val="nil"/>
              <w:right w:val="nil"/>
            </w:tcBorders>
            <w:shd w:val="clear" w:color="auto" w:fill="auto"/>
            <w:noWrap/>
            <w:vAlign w:val="bottom"/>
            <w:hideMark/>
          </w:tcPr>
          <w:p w:rsidR="00B24819" w:rsidRPr="000C01CF" w:rsidRDefault="00B24819" w:rsidP="00A21D92">
            <w:pPr>
              <w:jc w:val="center"/>
              <w:rPr>
                <w:rFonts w:ascii="Calibri" w:hAnsi="Calibri"/>
                <w:color w:val="000000"/>
                <w:lang w:eastAsia="zh-CN"/>
              </w:rPr>
            </w:pPr>
          </w:p>
        </w:tc>
        <w:tc>
          <w:tcPr>
            <w:tcW w:w="772" w:type="dxa"/>
            <w:tcBorders>
              <w:top w:val="nil"/>
              <w:left w:val="nil"/>
              <w:bottom w:val="nil"/>
              <w:right w:val="nil"/>
            </w:tcBorders>
            <w:shd w:val="clear" w:color="auto" w:fill="auto"/>
            <w:noWrap/>
            <w:vAlign w:val="bottom"/>
            <w:hideMark/>
          </w:tcPr>
          <w:p w:rsidR="00B24819" w:rsidRPr="000C01CF" w:rsidRDefault="00B24819" w:rsidP="00A21D92">
            <w:pPr>
              <w:rPr>
                <w:rFonts w:ascii="Times New Roman" w:hAnsi="Times New Roman"/>
                <w:lang w:eastAsia="zh-CN"/>
              </w:rPr>
            </w:pPr>
          </w:p>
        </w:tc>
        <w:tc>
          <w:tcPr>
            <w:tcW w:w="960" w:type="dxa"/>
            <w:tcBorders>
              <w:top w:val="nil"/>
              <w:left w:val="nil"/>
              <w:bottom w:val="nil"/>
              <w:right w:val="nil"/>
            </w:tcBorders>
            <w:shd w:val="clear" w:color="auto" w:fill="auto"/>
            <w:noWrap/>
            <w:vAlign w:val="bottom"/>
            <w:hideMark/>
          </w:tcPr>
          <w:p w:rsidR="00B24819" w:rsidRPr="000C01CF" w:rsidRDefault="00B24819" w:rsidP="00A21D92">
            <w:pPr>
              <w:rPr>
                <w:rFonts w:ascii="Times New Roman" w:hAnsi="Times New Roman"/>
                <w:lang w:eastAsia="zh-CN"/>
              </w:rPr>
            </w:pPr>
          </w:p>
        </w:tc>
        <w:tc>
          <w:tcPr>
            <w:tcW w:w="1418" w:type="dxa"/>
            <w:tcBorders>
              <w:top w:val="nil"/>
              <w:left w:val="single" w:sz="4" w:space="0" w:color="5B9BD5"/>
              <w:bottom w:val="single" w:sz="4" w:space="0" w:color="5B9BD5"/>
              <w:right w:val="single" w:sz="4" w:space="0" w:color="5B9BD5"/>
            </w:tcBorders>
            <w:shd w:val="clear" w:color="000000" w:fill="DDEBF7"/>
            <w:noWrap/>
            <w:vAlign w:val="center"/>
            <w:hideMark/>
          </w:tcPr>
          <w:p w:rsidR="00B24819" w:rsidRPr="000C01CF" w:rsidRDefault="00B24819" w:rsidP="00A21D92">
            <w:pPr>
              <w:jc w:val="center"/>
              <w:rPr>
                <w:rFonts w:ascii="Calibri" w:hAnsi="Calibri"/>
                <w:b/>
                <w:bCs/>
                <w:color w:val="000000"/>
                <w:lang w:eastAsia="zh-CN"/>
              </w:rPr>
            </w:pPr>
            <w:r w:rsidRPr="000C01CF">
              <w:rPr>
                <w:rFonts w:ascii="Calibri" w:hAnsi="Calibri"/>
                <w:b/>
                <w:bCs/>
                <w:color w:val="000000"/>
                <w:lang w:eastAsia="zh-CN"/>
              </w:rPr>
              <w:t>Grand Total</w:t>
            </w:r>
          </w:p>
        </w:tc>
        <w:tc>
          <w:tcPr>
            <w:tcW w:w="764" w:type="dxa"/>
            <w:tcBorders>
              <w:top w:val="nil"/>
              <w:left w:val="nil"/>
              <w:bottom w:val="single" w:sz="4" w:space="0" w:color="5B9BD5"/>
              <w:right w:val="single" w:sz="4" w:space="0" w:color="5B9BD5"/>
            </w:tcBorders>
            <w:shd w:val="clear" w:color="000000" w:fill="DDEBF7"/>
            <w:noWrap/>
            <w:vAlign w:val="center"/>
            <w:hideMark/>
          </w:tcPr>
          <w:p w:rsidR="00B24819" w:rsidRPr="000C01CF" w:rsidRDefault="00B24819" w:rsidP="00A21D92">
            <w:pPr>
              <w:keepNext/>
              <w:jc w:val="center"/>
              <w:rPr>
                <w:rFonts w:ascii="Calibri" w:hAnsi="Calibri"/>
                <w:b/>
                <w:bCs/>
                <w:color w:val="000000"/>
                <w:lang w:eastAsia="zh-CN"/>
              </w:rPr>
            </w:pPr>
            <w:r w:rsidRPr="000C01CF">
              <w:rPr>
                <w:rFonts w:ascii="Calibri" w:hAnsi="Calibri"/>
                <w:b/>
                <w:bCs/>
                <w:color w:val="000000"/>
                <w:lang w:eastAsia="zh-CN"/>
              </w:rPr>
              <w:t>33</w:t>
            </w:r>
          </w:p>
        </w:tc>
      </w:tr>
    </w:tbl>
    <w:p w:rsidR="00B24819" w:rsidRDefault="00B24819" w:rsidP="00B24819">
      <w:pPr>
        <w:pStyle w:val="Caption"/>
      </w:pPr>
      <w:r>
        <w:t xml:space="preserve">Table </w:t>
      </w:r>
      <w:fldSimple w:instr=" SEQ Table \* ARABIC ">
        <w:r w:rsidR="00AD0008">
          <w:rPr>
            <w:noProof/>
          </w:rPr>
          <w:t>2</w:t>
        </w:r>
      </w:fldSimple>
      <w:r>
        <w:t>: maturity and certificate issue date of the selected off-</w:t>
      </w:r>
      <w:proofErr w:type="gramStart"/>
      <w:r>
        <w:t>PVP  varieties</w:t>
      </w:r>
      <w:proofErr w:type="gramEnd"/>
    </w:p>
    <w:p w:rsidR="001379D7" w:rsidRDefault="001379D7" w:rsidP="00D455D2">
      <w:pPr>
        <w:keepNext/>
        <w:keepLines/>
        <w:rPr>
          <w:rFonts w:cs="Arial"/>
          <w:iCs/>
          <w:lang w:eastAsia="ja-JP"/>
        </w:rPr>
      </w:pPr>
    </w:p>
    <w:p w:rsidR="00D455D2" w:rsidRDefault="00D455D2" w:rsidP="00D455D2">
      <w:pPr>
        <w:keepNext/>
        <w:keepLines/>
        <w:rPr>
          <w:lang w:eastAsia="ja-JP"/>
        </w:rPr>
      </w:pPr>
      <w:r>
        <w:rPr>
          <w:rFonts w:cs="Arial"/>
          <w:iCs/>
        </w:rPr>
        <w:fldChar w:fldCharType="begin"/>
      </w:r>
      <w:r>
        <w:rPr>
          <w:rFonts w:cs="Arial"/>
          <w:iCs/>
        </w:rPr>
        <w:instrText xml:space="preserve"> AUTONUM  </w:instrText>
      </w:r>
      <w:r>
        <w:rPr>
          <w:rFonts w:cs="Arial"/>
          <w:iCs/>
        </w:rPr>
        <w:fldChar w:fldCharType="end"/>
      </w:r>
      <w:r>
        <w:rPr>
          <w:rFonts w:cs="Arial"/>
          <w:iCs/>
        </w:rPr>
        <w:tab/>
      </w:r>
      <w:r w:rsidR="00B24819">
        <w:t xml:space="preserve">96 wells plate design—each of the 38 varieties selected minus 4 slots reserved for controls will be run as a bulk tissue sample of 10 plants, in duplicate. 16 synthetic bulks were also created by mixing tissue powder from different varieties </w:t>
      </w:r>
      <w:r w:rsidR="00B24819" w:rsidRPr="00001778">
        <w:t xml:space="preserve">to achieve a high percentage of </w:t>
      </w:r>
      <w:r w:rsidR="00B24819">
        <w:t xml:space="preserve">heterozygote calls, see figure 1. The goal is to assess the error rate of heterozygote calls, which are expected to be different from error rate in </w:t>
      </w:r>
      <w:r w:rsidR="00B24819" w:rsidRPr="005E7F0C">
        <w:t xml:space="preserve">homozygous </w:t>
      </w:r>
      <w:r w:rsidR="00B24819">
        <w:t>calls. All the samples are run in duplicates to assess the repeatability of genotype calls within a lab, and across all labs</w:t>
      </w:r>
      <w:r>
        <w:rPr>
          <w:rFonts w:hint="eastAsia"/>
          <w:lang w:eastAsia="ja-JP"/>
        </w:rPr>
        <w:t xml:space="preserve">. </w:t>
      </w:r>
    </w:p>
    <w:p w:rsidR="00D455D2" w:rsidRDefault="00D455D2" w:rsidP="00AF0B3E"/>
    <w:p w:rsidR="00B24819" w:rsidRDefault="00B24819" w:rsidP="00B24819">
      <w:pPr>
        <w:pStyle w:val="ListParagraph"/>
        <w:keepNext/>
      </w:pPr>
      <w:r>
        <w:rPr>
          <w:noProof/>
          <w:lang w:val="es-ES_tradnl" w:eastAsia="es-ES_tradnl"/>
        </w:rPr>
        <w:lastRenderedPageBreak/>
        <w:drawing>
          <wp:inline distT="0" distB="0" distL="0" distR="0" wp14:anchorId="5627EF76" wp14:editId="551A7555">
            <wp:extent cx="3105150" cy="15811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5150" cy="1581150"/>
                    </a:xfrm>
                    <a:prstGeom prst="rect">
                      <a:avLst/>
                    </a:prstGeom>
                    <a:ln>
                      <a:solidFill>
                        <a:schemeClr val="accent1"/>
                      </a:solidFill>
                    </a:ln>
                  </pic:spPr>
                </pic:pic>
              </a:graphicData>
            </a:graphic>
          </wp:inline>
        </w:drawing>
      </w:r>
    </w:p>
    <w:p w:rsidR="00B24819" w:rsidRDefault="00B24819" w:rsidP="00B24819">
      <w:pPr>
        <w:pStyle w:val="Caption"/>
      </w:pPr>
      <w:r>
        <w:t xml:space="preserve">Figure </w:t>
      </w:r>
      <w:fldSimple w:instr=" SEQ Figure \* ARABIC ">
        <w:r w:rsidR="00AD0008">
          <w:rPr>
            <w:noProof/>
          </w:rPr>
          <w:t>1</w:t>
        </w:r>
      </w:fldSimple>
      <w:r>
        <w:t xml:space="preserve">: synthetic bulks </w:t>
      </w:r>
    </w:p>
    <w:p w:rsidR="00782FA7" w:rsidRPr="00D26280" w:rsidRDefault="00782FA7" w:rsidP="00B24819">
      <w:pPr>
        <w:rPr>
          <w:rFonts w:cs="Arial"/>
        </w:rPr>
      </w:pPr>
    </w:p>
    <w:p w:rsidR="00D455D2" w:rsidRPr="00D26280" w:rsidRDefault="00D455D2" w:rsidP="00D26280">
      <w:pPr>
        <w:rPr>
          <w:lang w:eastAsia="ja-JP"/>
        </w:rPr>
      </w:pPr>
      <w:r w:rsidRPr="00D26280">
        <w:fldChar w:fldCharType="begin"/>
      </w:r>
      <w:r w:rsidRPr="00D26280">
        <w:instrText xml:space="preserve"> AUTONUM  </w:instrText>
      </w:r>
      <w:r w:rsidRPr="00D26280">
        <w:fldChar w:fldCharType="end"/>
      </w:r>
      <w:r w:rsidRPr="00D26280">
        <w:tab/>
      </w:r>
      <w:r w:rsidR="00B24819" w:rsidRPr="00D26280">
        <w:t>DNA extraction— DNA w</w:t>
      </w:r>
      <w:r w:rsidR="00F84FE4" w:rsidRPr="00D26280">
        <w:t>as</w:t>
      </w:r>
      <w:r w:rsidR="00B24819" w:rsidRPr="00D26280">
        <w:t xml:space="preserve"> extracted from lea</w:t>
      </w:r>
      <w:r w:rsidR="00F84FE4" w:rsidRPr="00D26280">
        <w:t>f</w:t>
      </w:r>
      <w:r w:rsidR="00B24819" w:rsidRPr="00D26280">
        <w:t xml:space="preserve"> samples in the lab of Monsanto using protocol of 96-well filter plate method, lysis from lyophilized ground plant tissue, precipitated with potassium acetate, captured on filter plate, wash twice with </w:t>
      </w:r>
      <w:proofErr w:type="spellStart"/>
      <w:r w:rsidR="00B24819" w:rsidRPr="00D26280">
        <w:t>etoh</w:t>
      </w:r>
      <w:proofErr w:type="spellEnd"/>
      <w:r w:rsidR="00B24819" w:rsidRPr="00D26280">
        <w:t xml:space="preserve">, eluted in water, then </w:t>
      </w:r>
      <w:proofErr w:type="spellStart"/>
      <w:r w:rsidR="00B24819" w:rsidRPr="00D26280">
        <w:t>nanodropped</w:t>
      </w:r>
      <w:proofErr w:type="spellEnd"/>
      <w:r w:rsidR="00B24819" w:rsidRPr="00D26280">
        <w:t xml:space="preserve"> to quantify and normalized by adding water to dilute to 30ng/</w:t>
      </w:r>
      <w:proofErr w:type="spellStart"/>
      <w:r w:rsidR="00B24819" w:rsidRPr="00D26280">
        <w:t>uL</w:t>
      </w:r>
      <w:proofErr w:type="spellEnd"/>
      <w:r w:rsidRPr="00D26280">
        <w:t>.</w:t>
      </w:r>
    </w:p>
    <w:p w:rsidR="00782FA7" w:rsidRPr="00D26280" w:rsidRDefault="00782FA7" w:rsidP="00782FA7">
      <w:pPr>
        <w:rPr>
          <w:rFonts w:cs="Arial"/>
          <w:i/>
        </w:rPr>
      </w:pPr>
    </w:p>
    <w:p w:rsidR="00D455D2" w:rsidRPr="00D26280" w:rsidRDefault="00D455D2" w:rsidP="00D455D2">
      <w:pPr>
        <w:rPr>
          <w:rFonts w:cs="Arial"/>
          <w:lang w:eastAsia="ja-JP"/>
        </w:rPr>
      </w:pPr>
      <w:r w:rsidRPr="00D26280">
        <w:rPr>
          <w:rFonts w:cs="Arial"/>
        </w:rPr>
        <w:fldChar w:fldCharType="begin"/>
      </w:r>
      <w:r w:rsidRPr="00D26280">
        <w:rPr>
          <w:rFonts w:cs="Arial"/>
        </w:rPr>
        <w:instrText xml:space="preserve"> AUTONUM  </w:instrText>
      </w:r>
      <w:r w:rsidRPr="00D26280">
        <w:rPr>
          <w:rFonts w:cs="Arial"/>
        </w:rPr>
        <w:fldChar w:fldCharType="end"/>
      </w:r>
      <w:r w:rsidRPr="00D26280">
        <w:rPr>
          <w:rFonts w:cs="Arial"/>
        </w:rPr>
        <w:tab/>
      </w:r>
      <w:r w:rsidR="00B24819" w:rsidRPr="00D26280">
        <w:rPr>
          <w:rFonts w:cs="Arial"/>
        </w:rPr>
        <w:t>Genotyping—DNA plates were assembled following the design described above and were shipped to the five labs for them to conduct the genotyping (see table 3) on the BARCSoy6K marker platform</w:t>
      </w:r>
      <w:r w:rsidRPr="00D26280">
        <w:rPr>
          <w:rFonts w:cs="Arial"/>
        </w:rPr>
        <w:t>.</w:t>
      </w:r>
    </w:p>
    <w:p w:rsidR="00B24819" w:rsidRDefault="00B24819" w:rsidP="00B24819">
      <w:pPr>
        <w:pStyle w:val="ListParagraph"/>
      </w:pPr>
    </w:p>
    <w:tbl>
      <w:tblPr>
        <w:tblW w:w="6273"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35"/>
        <w:gridCol w:w="1810"/>
        <w:gridCol w:w="2328"/>
      </w:tblGrid>
      <w:tr w:rsidR="00B24819" w:rsidRPr="00C41015" w:rsidTr="00A21D92">
        <w:trPr>
          <w:trHeight w:val="54"/>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rsidR="00B24819" w:rsidRPr="00C41015" w:rsidRDefault="00B24819" w:rsidP="00A21D92">
            <w:pPr>
              <w:rPr>
                <w:rFonts w:ascii="Calibri" w:hAnsi="Calibri" w:cs="Calibri"/>
                <w:b/>
                <w:bCs/>
                <w:color w:val="000000"/>
              </w:rPr>
            </w:pPr>
            <w:r w:rsidRPr="00C41015">
              <w:rPr>
                <w:rFonts w:ascii="Calibri" w:hAnsi="Calibri" w:cs="Calibri"/>
                <w:b/>
                <w:bCs/>
                <w:color w:val="000000"/>
              </w:rPr>
              <w:t xml:space="preserve">Company </w:t>
            </w:r>
          </w:p>
        </w:tc>
        <w:tc>
          <w:tcPr>
            <w:tcW w:w="1810"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tcPr>
          <w:p w:rsidR="00B24819" w:rsidRPr="00C41015" w:rsidRDefault="00B24819" w:rsidP="00A21D92">
            <w:pPr>
              <w:rPr>
                <w:rFonts w:ascii="Calibri" w:hAnsi="Calibri" w:cs="Calibri"/>
                <w:b/>
                <w:bCs/>
                <w:color w:val="000000"/>
              </w:rPr>
            </w:pPr>
            <w:r w:rsidRPr="00F35761">
              <w:rPr>
                <w:rFonts w:ascii="Calibri" w:hAnsi="Calibri" w:cs="Calibri"/>
                <w:b/>
                <w:bCs/>
                <w:color w:val="000000"/>
              </w:rPr>
              <w:t xml:space="preserve">Identity </w:t>
            </w:r>
          </w:p>
        </w:tc>
        <w:tc>
          <w:tcPr>
            <w:tcW w:w="2328" w:type="dxa"/>
            <w:tcBorders>
              <w:top w:val="single" w:sz="8" w:space="0" w:color="A3A3A3"/>
              <w:left w:val="single" w:sz="8" w:space="0" w:color="A3A3A3"/>
              <w:bottom w:val="single" w:sz="8" w:space="0" w:color="A3A3A3"/>
              <w:right w:val="single" w:sz="8" w:space="0" w:color="A3A3A3"/>
            </w:tcBorders>
            <w:shd w:val="clear" w:color="auto" w:fill="70AD47"/>
          </w:tcPr>
          <w:p w:rsidR="00B24819" w:rsidRPr="00C41015" w:rsidRDefault="00B24819" w:rsidP="00A21D92">
            <w:pPr>
              <w:rPr>
                <w:rFonts w:ascii="Calibri" w:hAnsi="Calibri" w:cs="Calibri"/>
                <w:color w:val="000000"/>
              </w:rPr>
            </w:pPr>
            <w:r w:rsidRPr="00C41015">
              <w:rPr>
                <w:rFonts w:ascii="Calibri" w:hAnsi="Calibri" w:cs="Calibri"/>
                <w:b/>
                <w:bCs/>
                <w:color w:val="000000"/>
              </w:rPr>
              <w:t>Contact Name</w:t>
            </w:r>
          </w:p>
        </w:tc>
      </w:tr>
      <w:tr w:rsidR="00B24819" w:rsidRPr="00C41015" w:rsidTr="00A21D92">
        <w:trPr>
          <w:trHeight w:val="114"/>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rsidR="00B24819" w:rsidRPr="00C41015" w:rsidRDefault="00B24819" w:rsidP="00A21D92">
            <w:pPr>
              <w:rPr>
                <w:rFonts w:ascii="Calibri" w:hAnsi="Calibri" w:cs="Calibri"/>
                <w:color w:val="000000"/>
              </w:rPr>
            </w:pPr>
            <w:proofErr w:type="spellStart"/>
            <w:r w:rsidRPr="00C41015">
              <w:rPr>
                <w:rFonts w:ascii="Calibri" w:hAnsi="Calibri" w:cs="Calibri"/>
                <w:b/>
                <w:bCs/>
                <w:color w:val="000000"/>
              </w:rPr>
              <w:t>Neogen</w:t>
            </w:r>
            <w:proofErr w:type="spellEnd"/>
            <w:r w:rsidRPr="00C41015">
              <w:rPr>
                <w:rFonts w:ascii="Calibri" w:hAnsi="Calibri" w:cs="Calibri"/>
                <w:b/>
                <w:bCs/>
                <w:color w:val="000000"/>
              </w:rPr>
              <w:t xml:space="preserve"> </w:t>
            </w:r>
            <w:proofErr w:type="spellStart"/>
            <w:r w:rsidRPr="00C41015">
              <w:rPr>
                <w:rFonts w:ascii="Calibri" w:hAnsi="Calibri" w:cs="Calibri"/>
                <w:b/>
                <w:bCs/>
                <w:color w:val="000000"/>
              </w:rPr>
              <w:t>GeneSeek</w:t>
            </w:r>
            <w:proofErr w:type="spellEnd"/>
            <w:r w:rsidRPr="00C41015">
              <w:rPr>
                <w:rFonts w:ascii="Calibri" w:hAnsi="Calibri" w:cs="Calibri"/>
                <w:b/>
                <w:bCs/>
                <w:color w:val="000000"/>
              </w:rPr>
              <w:t xml:space="preserve"> </w:t>
            </w:r>
          </w:p>
        </w:tc>
        <w:tc>
          <w:tcPr>
            <w:tcW w:w="1810" w:type="dxa"/>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tcPr>
          <w:p w:rsidR="00B24819" w:rsidRPr="00C41015" w:rsidRDefault="00B24819" w:rsidP="00A21D92">
            <w:pPr>
              <w:rPr>
                <w:rFonts w:ascii="Calibri" w:hAnsi="Calibri" w:cs="Calibri"/>
                <w:color w:val="000000"/>
              </w:rPr>
            </w:pPr>
            <w:r>
              <w:rPr>
                <w:rFonts w:ascii="Calibri" w:hAnsi="Calibri" w:cs="Calibri"/>
                <w:color w:val="000000"/>
              </w:rPr>
              <w:t>3</w:t>
            </w:r>
            <w:r w:rsidRPr="00AF5E47">
              <w:rPr>
                <w:rFonts w:ascii="Calibri" w:hAnsi="Calibri" w:cs="Calibri"/>
                <w:color w:val="000000"/>
                <w:vertAlign w:val="superscript"/>
              </w:rPr>
              <w:t>rd</w:t>
            </w:r>
            <w:r>
              <w:rPr>
                <w:rFonts w:ascii="Calibri" w:hAnsi="Calibri" w:cs="Calibri"/>
                <w:color w:val="000000"/>
              </w:rPr>
              <w:t xml:space="preserve"> party lab</w:t>
            </w:r>
          </w:p>
        </w:tc>
        <w:tc>
          <w:tcPr>
            <w:tcW w:w="2328" w:type="dxa"/>
            <w:tcBorders>
              <w:top w:val="single" w:sz="8" w:space="0" w:color="A3A3A3"/>
              <w:left w:val="single" w:sz="8" w:space="0" w:color="A3A3A3"/>
              <w:bottom w:val="single" w:sz="8" w:space="0" w:color="A3A3A3"/>
              <w:right w:val="single" w:sz="8" w:space="0" w:color="A3A3A3"/>
            </w:tcBorders>
            <w:shd w:val="clear" w:color="auto" w:fill="C5E0B3"/>
          </w:tcPr>
          <w:p w:rsidR="00B24819" w:rsidRPr="00C41015" w:rsidRDefault="00B24819" w:rsidP="00A21D92">
            <w:pPr>
              <w:rPr>
                <w:rFonts w:ascii="Calibri" w:hAnsi="Calibri" w:cs="Calibri"/>
                <w:color w:val="000000"/>
              </w:rPr>
            </w:pPr>
            <w:r w:rsidRPr="00C41015">
              <w:rPr>
                <w:rFonts w:ascii="Calibri" w:hAnsi="Calibri" w:cs="Calibri"/>
                <w:color w:val="000000"/>
              </w:rPr>
              <w:t>Jeremy Walker</w:t>
            </w:r>
          </w:p>
        </w:tc>
      </w:tr>
      <w:tr w:rsidR="00B24819" w:rsidRPr="00C41015" w:rsidTr="00A21D92">
        <w:trPr>
          <w:trHeight w:val="113"/>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rsidR="00B24819" w:rsidRPr="00C41015" w:rsidRDefault="00B24819" w:rsidP="00A21D92">
            <w:pPr>
              <w:rPr>
                <w:rFonts w:ascii="Calibri" w:hAnsi="Calibri" w:cs="Calibri"/>
                <w:color w:val="000000"/>
              </w:rPr>
            </w:pPr>
            <w:r w:rsidRPr="00C41015">
              <w:rPr>
                <w:rFonts w:ascii="Calibri" w:hAnsi="Calibri" w:cs="Calibri"/>
                <w:b/>
                <w:bCs/>
                <w:color w:val="000000"/>
              </w:rPr>
              <w:t xml:space="preserve">Eurofins </w:t>
            </w:r>
          </w:p>
        </w:tc>
        <w:tc>
          <w:tcPr>
            <w:tcW w:w="1810"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tcPr>
          <w:p w:rsidR="00B24819" w:rsidRPr="00C41015" w:rsidRDefault="00B24819" w:rsidP="00A21D92">
            <w:pPr>
              <w:rPr>
                <w:rFonts w:ascii="Calibri" w:hAnsi="Calibri" w:cs="Calibri"/>
                <w:color w:val="000000"/>
              </w:rPr>
            </w:pPr>
            <w:r>
              <w:rPr>
                <w:rFonts w:ascii="Calibri" w:hAnsi="Calibri" w:cs="Calibri"/>
                <w:color w:val="000000"/>
              </w:rPr>
              <w:t>3</w:t>
            </w:r>
            <w:r w:rsidRPr="00AF5E47">
              <w:rPr>
                <w:rFonts w:ascii="Calibri" w:hAnsi="Calibri" w:cs="Calibri"/>
                <w:color w:val="000000"/>
                <w:vertAlign w:val="superscript"/>
              </w:rPr>
              <w:t>rd</w:t>
            </w:r>
            <w:r>
              <w:rPr>
                <w:rFonts w:ascii="Calibri" w:hAnsi="Calibri" w:cs="Calibri"/>
                <w:color w:val="000000"/>
              </w:rPr>
              <w:t xml:space="preserve"> party lab</w:t>
            </w:r>
          </w:p>
        </w:tc>
        <w:tc>
          <w:tcPr>
            <w:tcW w:w="2328" w:type="dxa"/>
            <w:tcBorders>
              <w:top w:val="single" w:sz="8" w:space="0" w:color="A3A3A3"/>
              <w:left w:val="single" w:sz="8" w:space="0" w:color="A3A3A3"/>
              <w:bottom w:val="single" w:sz="8" w:space="0" w:color="A3A3A3"/>
              <w:right w:val="single" w:sz="8" w:space="0" w:color="A3A3A3"/>
            </w:tcBorders>
            <w:shd w:val="clear" w:color="auto" w:fill="E2EFD9"/>
          </w:tcPr>
          <w:p w:rsidR="00B24819" w:rsidRPr="00C41015" w:rsidRDefault="00B24819" w:rsidP="00A21D92">
            <w:pPr>
              <w:rPr>
                <w:rFonts w:ascii="Calibri" w:hAnsi="Calibri" w:cs="Calibri"/>
                <w:color w:val="000000"/>
              </w:rPr>
            </w:pPr>
            <w:proofErr w:type="spellStart"/>
            <w:r w:rsidRPr="00C41015">
              <w:rPr>
                <w:rFonts w:ascii="Calibri" w:hAnsi="Calibri" w:cs="Calibri"/>
                <w:color w:val="000000"/>
              </w:rPr>
              <w:t>Chondra</w:t>
            </w:r>
            <w:proofErr w:type="spellEnd"/>
            <w:r w:rsidRPr="00C41015">
              <w:rPr>
                <w:rFonts w:ascii="Calibri" w:hAnsi="Calibri" w:cs="Calibri"/>
                <w:color w:val="000000"/>
              </w:rPr>
              <w:t xml:space="preserve"> Carlson</w:t>
            </w:r>
          </w:p>
        </w:tc>
      </w:tr>
      <w:tr w:rsidR="00B24819" w:rsidRPr="00C41015" w:rsidTr="00A21D92">
        <w:trPr>
          <w:trHeight w:val="59"/>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rsidR="00B24819" w:rsidRPr="00C41015" w:rsidRDefault="00B24819" w:rsidP="00A21D92">
            <w:pPr>
              <w:rPr>
                <w:rFonts w:ascii="Calibri" w:hAnsi="Calibri" w:cs="Calibri"/>
                <w:color w:val="000000"/>
              </w:rPr>
            </w:pPr>
            <w:r w:rsidRPr="00C41015">
              <w:rPr>
                <w:rFonts w:ascii="Calibri" w:hAnsi="Calibri" w:cs="Calibri"/>
                <w:b/>
                <w:bCs/>
                <w:color w:val="000000"/>
              </w:rPr>
              <w:t xml:space="preserve">Dow </w:t>
            </w:r>
            <w:proofErr w:type="spellStart"/>
            <w:r w:rsidRPr="00C41015">
              <w:rPr>
                <w:rFonts w:ascii="Calibri" w:hAnsi="Calibri" w:cs="Calibri"/>
                <w:b/>
                <w:bCs/>
                <w:color w:val="000000"/>
              </w:rPr>
              <w:t>AgroSciences</w:t>
            </w:r>
            <w:proofErr w:type="spellEnd"/>
            <w:r w:rsidRPr="00C41015">
              <w:rPr>
                <w:rFonts w:ascii="Calibri" w:hAnsi="Calibri" w:cs="Calibri"/>
                <w:b/>
                <w:bCs/>
                <w:color w:val="000000"/>
              </w:rPr>
              <w:t xml:space="preserve"> </w:t>
            </w:r>
          </w:p>
        </w:tc>
        <w:tc>
          <w:tcPr>
            <w:tcW w:w="1810" w:type="dxa"/>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tcPr>
          <w:p w:rsidR="00B24819" w:rsidRPr="00C41015" w:rsidRDefault="00B24819" w:rsidP="00A21D92">
            <w:pPr>
              <w:rPr>
                <w:rFonts w:ascii="Calibri" w:hAnsi="Calibri" w:cs="Calibri"/>
                <w:color w:val="000000"/>
              </w:rPr>
            </w:pPr>
            <w:r>
              <w:rPr>
                <w:rFonts w:ascii="Calibri" w:hAnsi="Calibri" w:cs="Calibri"/>
                <w:color w:val="000000"/>
              </w:rPr>
              <w:t>Internal lab</w:t>
            </w:r>
          </w:p>
        </w:tc>
        <w:tc>
          <w:tcPr>
            <w:tcW w:w="2328" w:type="dxa"/>
            <w:tcBorders>
              <w:top w:val="single" w:sz="8" w:space="0" w:color="A3A3A3"/>
              <w:left w:val="single" w:sz="8" w:space="0" w:color="A3A3A3"/>
              <w:bottom w:val="single" w:sz="8" w:space="0" w:color="A3A3A3"/>
              <w:right w:val="single" w:sz="8" w:space="0" w:color="A3A3A3"/>
            </w:tcBorders>
            <w:shd w:val="clear" w:color="auto" w:fill="C5E0B3"/>
          </w:tcPr>
          <w:p w:rsidR="00B24819" w:rsidRPr="00C41015" w:rsidRDefault="00B24819" w:rsidP="00A21D92">
            <w:pPr>
              <w:rPr>
                <w:rFonts w:ascii="Calibri" w:hAnsi="Calibri" w:cs="Calibri"/>
                <w:color w:val="000000"/>
              </w:rPr>
            </w:pPr>
            <w:r w:rsidRPr="00C41015">
              <w:rPr>
                <w:rFonts w:ascii="Calibri" w:hAnsi="Calibri" w:cs="Calibri"/>
                <w:color w:val="000000"/>
              </w:rPr>
              <w:t xml:space="preserve">Jon </w:t>
            </w:r>
            <w:proofErr w:type="spellStart"/>
            <w:r w:rsidRPr="00C41015">
              <w:rPr>
                <w:rFonts w:ascii="Calibri" w:hAnsi="Calibri" w:cs="Calibri"/>
                <w:color w:val="000000"/>
              </w:rPr>
              <w:t>Myrvold</w:t>
            </w:r>
            <w:proofErr w:type="spellEnd"/>
          </w:p>
        </w:tc>
      </w:tr>
      <w:tr w:rsidR="00B24819" w:rsidRPr="00C41015" w:rsidTr="00A21D92">
        <w:trPr>
          <w:trHeight w:val="79"/>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rsidR="00B24819" w:rsidRPr="00C41015" w:rsidRDefault="00B24819" w:rsidP="00A21D92">
            <w:pPr>
              <w:rPr>
                <w:rFonts w:ascii="Calibri" w:hAnsi="Calibri" w:cs="Calibri"/>
                <w:color w:val="000000"/>
              </w:rPr>
            </w:pPr>
            <w:r w:rsidRPr="00C41015">
              <w:rPr>
                <w:rFonts w:ascii="Calibri" w:hAnsi="Calibri" w:cs="Calibri"/>
                <w:b/>
                <w:bCs/>
                <w:color w:val="000000"/>
              </w:rPr>
              <w:t xml:space="preserve">Pioneer </w:t>
            </w:r>
          </w:p>
        </w:tc>
        <w:tc>
          <w:tcPr>
            <w:tcW w:w="1810"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tcPr>
          <w:p w:rsidR="00B24819" w:rsidRPr="00C41015" w:rsidRDefault="00B24819" w:rsidP="00A21D92">
            <w:pPr>
              <w:rPr>
                <w:rFonts w:ascii="Calibri" w:hAnsi="Calibri" w:cs="Calibri"/>
              </w:rPr>
            </w:pPr>
            <w:r>
              <w:rPr>
                <w:rFonts w:ascii="Calibri" w:hAnsi="Calibri" w:cs="Calibri"/>
                <w:color w:val="000000"/>
              </w:rPr>
              <w:t>Internal lab</w:t>
            </w:r>
          </w:p>
        </w:tc>
        <w:tc>
          <w:tcPr>
            <w:tcW w:w="2328" w:type="dxa"/>
            <w:tcBorders>
              <w:top w:val="single" w:sz="8" w:space="0" w:color="A3A3A3"/>
              <w:left w:val="single" w:sz="8" w:space="0" w:color="A3A3A3"/>
              <w:bottom w:val="single" w:sz="8" w:space="0" w:color="A3A3A3"/>
              <w:right w:val="single" w:sz="8" w:space="0" w:color="A3A3A3"/>
            </w:tcBorders>
            <w:shd w:val="clear" w:color="auto" w:fill="E2EFD9"/>
          </w:tcPr>
          <w:p w:rsidR="00B24819" w:rsidRPr="00C41015" w:rsidRDefault="00B24819" w:rsidP="00A21D92">
            <w:pPr>
              <w:rPr>
                <w:rFonts w:ascii="Calibri" w:hAnsi="Calibri" w:cs="Calibri"/>
              </w:rPr>
            </w:pPr>
            <w:r w:rsidRPr="00C41015">
              <w:rPr>
                <w:rFonts w:ascii="Calibri" w:hAnsi="Calibri" w:cs="Calibri"/>
              </w:rPr>
              <w:t>Jamie Rust</w:t>
            </w:r>
          </w:p>
        </w:tc>
      </w:tr>
      <w:tr w:rsidR="00B24819" w:rsidRPr="00C41015" w:rsidTr="00A21D92">
        <w:trPr>
          <w:trHeight w:val="25"/>
          <w:jc w:val="center"/>
        </w:trPr>
        <w:tc>
          <w:tcPr>
            <w:tcW w:w="2135"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tcPr>
          <w:p w:rsidR="00B24819" w:rsidRPr="00C41015" w:rsidRDefault="00B24819" w:rsidP="00A21D92">
            <w:pPr>
              <w:rPr>
                <w:rFonts w:ascii="Calibri" w:hAnsi="Calibri" w:cs="Calibri"/>
                <w:b/>
                <w:bCs/>
                <w:color w:val="000000"/>
              </w:rPr>
            </w:pPr>
            <w:r>
              <w:rPr>
                <w:rFonts w:ascii="Calibri" w:hAnsi="Calibri" w:cs="Calibri"/>
                <w:b/>
                <w:bCs/>
                <w:color w:val="000000"/>
              </w:rPr>
              <w:t xml:space="preserve">Monsanto </w:t>
            </w:r>
          </w:p>
        </w:tc>
        <w:tc>
          <w:tcPr>
            <w:tcW w:w="1810"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tcPr>
          <w:p w:rsidR="00B24819" w:rsidRPr="00F35761" w:rsidRDefault="00B24819" w:rsidP="00A21D92">
            <w:pPr>
              <w:rPr>
                <w:rFonts w:ascii="Calibri" w:hAnsi="Calibri" w:cs="Calibri"/>
                <w:color w:val="000000"/>
              </w:rPr>
            </w:pPr>
            <w:r>
              <w:rPr>
                <w:rFonts w:ascii="Calibri" w:hAnsi="Calibri" w:cs="Calibri"/>
                <w:color w:val="000000"/>
              </w:rPr>
              <w:t>Internal lab</w:t>
            </w:r>
          </w:p>
        </w:tc>
        <w:tc>
          <w:tcPr>
            <w:tcW w:w="2328" w:type="dxa"/>
            <w:tcBorders>
              <w:top w:val="single" w:sz="8" w:space="0" w:color="A3A3A3"/>
              <w:left w:val="single" w:sz="8" w:space="0" w:color="A3A3A3"/>
              <w:bottom w:val="single" w:sz="8" w:space="0" w:color="A3A3A3"/>
              <w:right w:val="single" w:sz="8" w:space="0" w:color="A3A3A3"/>
            </w:tcBorders>
            <w:shd w:val="clear" w:color="auto" w:fill="E2EFD9"/>
          </w:tcPr>
          <w:p w:rsidR="00B24819" w:rsidRPr="00F35761" w:rsidRDefault="00B24819" w:rsidP="00A21D92">
            <w:pPr>
              <w:keepNext/>
              <w:rPr>
                <w:rFonts w:ascii="Calibri" w:hAnsi="Calibri" w:cs="Calibri"/>
                <w:color w:val="000000"/>
              </w:rPr>
            </w:pPr>
            <w:r w:rsidRPr="00F35761">
              <w:rPr>
                <w:rFonts w:ascii="Calibri" w:hAnsi="Calibri" w:cs="Calibri"/>
                <w:color w:val="000000"/>
              </w:rPr>
              <w:t xml:space="preserve">Katrina </w:t>
            </w:r>
            <w:proofErr w:type="spellStart"/>
            <w:r>
              <w:rPr>
                <w:rFonts w:ascii="Calibri" w:hAnsi="Calibri" w:cs="Calibri"/>
                <w:color w:val="000000"/>
              </w:rPr>
              <w:t>Dickmann</w:t>
            </w:r>
            <w:proofErr w:type="spellEnd"/>
          </w:p>
        </w:tc>
      </w:tr>
    </w:tbl>
    <w:p w:rsidR="00B24819" w:rsidRPr="0029198F" w:rsidRDefault="00B24819" w:rsidP="00B24819">
      <w:pPr>
        <w:pStyle w:val="Caption"/>
      </w:pPr>
      <w:r>
        <w:t xml:space="preserve">Table </w:t>
      </w:r>
      <w:fldSimple w:instr=" SEQ Table \* ARABIC ">
        <w:r w:rsidR="00AD0008">
          <w:rPr>
            <w:noProof/>
          </w:rPr>
          <w:t>3</w:t>
        </w:r>
      </w:fldSimple>
      <w:r>
        <w:t>:</w:t>
      </w:r>
      <w:r w:rsidRPr="00B439ED">
        <w:t xml:space="preserve"> list of labs for soybean genotyping experiments</w:t>
      </w:r>
    </w:p>
    <w:p w:rsidR="00892B48" w:rsidRPr="00FD6FA1" w:rsidRDefault="00892B48" w:rsidP="007B3585">
      <w:pPr>
        <w:rPr>
          <w:rFonts w:cs="Arial"/>
        </w:rPr>
      </w:pPr>
    </w:p>
    <w:p w:rsidR="00A85AEB" w:rsidRDefault="00A85AEB" w:rsidP="00B24819">
      <w:pPr>
        <w:rPr>
          <w:rFonts w:cs="Arial"/>
          <w:snapToGrid w:val="0"/>
          <w:lang w:eastAsia="ja-JP"/>
        </w:rPr>
      </w:pPr>
    </w:p>
    <w:p w:rsidR="00B24819" w:rsidRDefault="00B24819" w:rsidP="00B24819">
      <w:pPr>
        <w:pStyle w:val="Heading1"/>
        <w:keepLines/>
        <w:rPr>
          <w:lang w:eastAsia="ja-JP"/>
        </w:rPr>
      </w:pPr>
      <w:r>
        <w:rPr>
          <w:lang w:eastAsia="ja-JP"/>
        </w:rPr>
        <w:t>results and discussion</w:t>
      </w:r>
    </w:p>
    <w:p w:rsidR="00B24819" w:rsidRPr="00B24819" w:rsidRDefault="00B24819" w:rsidP="00B24819">
      <w:pPr>
        <w:rPr>
          <w:lang w:eastAsia="ja-JP"/>
        </w:rPr>
      </w:pPr>
    </w:p>
    <w:p w:rsidR="00B24819" w:rsidRDefault="00B24819" w:rsidP="00B24819">
      <w:pPr>
        <w:spacing w:after="200" w:line="276" w:lineRule="auto"/>
        <w:jc w:val="left"/>
      </w:pPr>
      <w:r w:rsidRPr="00B24819">
        <w:rPr>
          <w:rFonts w:cs="Arial"/>
          <w:iCs/>
        </w:rPr>
        <w:fldChar w:fldCharType="begin"/>
      </w:r>
      <w:r w:rsidRPr="00B24819">
        <w:rPr>
          <w:rFonts w:cs="Arial"/>
          <w:iCs/>
        </w:rPr>
        <w:instrText xml:space="preserve"> AUTONUM  </w:instrText>
      </w:r>
      <w:r w:rsidRPr="00B24819">
        <w:rPr>
          <w:rFonts w:cs="Arial"/>
          <w:iCs/>
        </w:rPr>
        <w:fldChar w:fldCharType="end"/>
      </w:r>
      <w:r w:rsidRPr="00B24819">
        <w:rPr>
          <w:rFonts w:cs="Arial"/>
          <w:iCs/>
        </w:rPr>
        <w:tab/>
      </w:r>
      <w:r>
        <w:t xml:space="preserve">The MMWG will have preliminary results to share at the BMT </w:t>
      </w:r>
      <w:r w:rsidR="00F84FE4">
        <w:t>session</w:t>
      </w:r>
      <w:r>
        <w:t xml:space="preserve"> on the following topics </w:t>
      </w:r>
    </w:p>
    <w:p w:rsidR="00B24819" w:rsidRDefault="00B24819" w:rsidP="00B24819">
      <w:pPr>
        <w:pStyle w:val="ListParagraph"/>
        <w:numPr>
          <w:ilvl w:val="1"/>
          <w:numId w:val="4"/>
        </w:numPr>
        <w:spacing w:after="200" w:line="276" w:lineRule="auto"/>
        <w:jc w:val="left"/>
      </w:pPr>
      <w:r>
        <w:t>Compute similarities of like samples within and between labs to establish error rate of homozygous and heterozygous samples.</w:t>
      </w:r>
    </w:p>
    <w:p w:rsidR="00B24819" w:rsidRDefault="00B24819" w:rsidP="00B24819">
      <w:pPr>
        <w:pStyle w:val="ListParagraph"/>
        <w:numPr>
          <w:ilvl w:val="1"/>
          <w:numId w:val="4"/>
        </w:numPr>
        <w:spacing w:after="200" w:line="276" w:lineRule="auto"/>
        <w:jc w:val="left"/>
      </w:pPr>
      <w:r>
        <w:t>Calculate percent data return and heterozygosity rate.</w:t>
      </w:r>
    </w:p>
    <w:p w:rsidR="00B24819" w:rsidRDefault="00B24819" w:rsidP="00B24819">
      <w:pPr>
        <w:pStyle w:val="ListParagraph"/>
        <w:numPr>
          <w:ilvl w:val="1"/>
          <w:numId w:val="4"/>
        </w:numPr>
        <w:spacing w:after="200" w:line="276" w:lineRule="auto"/>
        <w:jc w:val="left"/>
      </w:pPr>
      <w:r>
        <w:t>Evaluate how genotyping error rates affect threshold of EDV.</w:t>
      </w:r>
    </w:p>
    <w:p w:rsidR="00B24819" w:rsidRDefault="00B24819" w:rsidP="00805172">
      <w:pPr>
        <w:rPr>
          <w:lang w:eastAsia="ja-JP"/>
        </w:rPr>
      </w:pPr>
    </w:p>
    <w:p w:rsidR="007B3585" w:rsidRDefault="007B3585" w:rsidP="00805172"/>
    <w:p w:rsidR="002A2670" w:rsidRDefault="002A2670" w:rsidP="00805172"/>
    <w:p w:rsidR="002A2670" w:rsidRDefault="002A2670" w:rsidP="002A2670">
      <w:pPr>
        <w:rPr>
          <w:b/>
          <w:bCs/>
          <w:vertAlign w:val="superscript"/>
        </w:rPr>
      </w:pPr>
      <w:r w:rsidRPr="002A2670">
        <w:t>Frederic Achard</w:t>
      </w:r>
      <w:r w:rsidRPr="002A2670">
        <w:rPr>
          <w:b/>
          <w:bCs/>
          <w:vertAlign w:val="superscript"/>
        </w:rPr>
        <w:t>1</w:t>
      </w:r>
      <w:r w:rsidRPr="002A2670">
        <w:t>, Barry Nelson</w:t>
      </w:r>
      <w:r w:rsidRPr="002A2670">
        <w:rPr>
          <w:b/>
          <w:bCs/>
          <w:vertAlign w:val="superscript"/>
        </w:rPr>
        <w:t>2</w:t>
      </w:r>
      <w:r w:rsidRPr="002A2670">
        <w:t>, Jin Xiong</w:t>
      </w:r>
      <w:r w:rsidRPr="002A2670">
        <w:rPr>
          <w:b/>
          <w:bCs/>
          <w:vertAlign w:val="superscript"/>
        </w:rPr>
        <w:t>3</w:t>
      </w:r>
      <w:r w:rsidRPr="002A2670">
        <w:t>, Jean-Louis Laffont</w:t>
      </w:r>
      <w:r w:rsidRPr="002A2670">
        <w:rPr>
          <w:b/>
          <w:bCs/>
          <w:vertAlign w:val="superscript"/>
        </w:rPr>
        <w:t>2</w:t>
      </w:r>
      <w:r w:rsidRPr="002A2670">
        <w:t xml:space="preserve">, </w:t>
      </w:r>
      <w:proofErr w:type="spellStart"/>
      <w:r w:rsidRPr="002A2670">
        <w:t>Marymar</w:t>
      </w:r>
      <w:proofErr w:type="spellEnd"/>
      <w:r w:rsidRPr="002A2670">
        <w:t xml:space="preserve"> Butruille</w:t>
      </w:r>
      <w:r w:rsidRPr="002A2670">
        <w:rPr>
          <w:b/>
          <w:bCs/>
          <w:vertAlign w:val="superscript"/>
        </w:rPr>
        <w:t>1</w:t>
      </w:r>
      <w:r w:rsidRPr="002A2670">
        <w:t>, Gillian MacQuarrie</w:t>
      </w:r>
      <w:r w:rsidRPr="002A2670">
        <w:rPr>
          <w:b/>
          <w:bCs/>
          <w:vertAlign w:val="superscript"/>
        </w:rPr>
        <w:t>1</w:t>
      </w:r>
      <w:r w:rsidRPr="002A2670">
        <w:t>, Katrina Dickman</w:t>
      </w:r>
      <w:r w:rsidRPr="002A2670">
        <w:rPr>
          <w:b/>
          <w:bCs/>
          <w:vertAlign w:val="superscript"/>
        </w:rPr>
        <w:t>1</w:t>
      </w:r>
      <w:r w:rsidRPr="002A2670">
        <w:t>, Stephen Smith</w:t>
      </w:r>
      <w:r w:rsidRPr="002A2670">
        <w:rPr>
          <w:b/>
          <w:bCs/>
          <w:vertAlign w:val="superscript"/>
        </w:rPr>
        <w:t>4</w:t>
      </w:r>
      <w:r w:rsidRPr="002A2670">
        <w:t>, Paul Nelson</w:t>
      </w:r>
      <w:r w:rsidRPr="002A2670">
        <w:rPr>
          <w:b/>
          <w:bCs/>
          <w:vertAlign w:val="superscript"/>
        </w:rPr>
        <w:t>1</w:t>
      </w:r>
    </w:p>
    <w:p w:rsidR="002A2670" w:rsidRPr="002A2670" w:rsidRDefault="002A2670" w:rsidP="002A2670"/>
    <w:p w:rsidR="002A2670" w:rsidRPr="002A2670" w:rsidRDefault="002A2670" w:rsidP="002A2670">
      <w:pPr>
        <w:numPr>
          <w:ilvl w:val="0"/>
          <w:numId w:val="5"/>
        </w:numPr>
      </w:pPr>
      <w:r w:rsidRPr="002A2670">
        <w:t>Monsanto Company, 800 North Lindbergh Boulevard, St. Louis, MO 63167, USA</w:t>
      </w:r>
    </w:p>
    <w:p w:rsidR="002A2670" w:rsidRPr="002A2670" w:rsidRDefault="002A2670" w:rsidP="002A2670">
      <w:pPr>
        <w:numPr>
          <w:ilvl w:val="0"/>
          <w:numId w:val="5"/>
        </w:numPr>
      </w:pPr>
      <w:r w:rsidRPr="002A2670">
        <w:t>Pioneer Hi-Bred International Inc., 7300 NW 62nd Ave., Johnston, IA 50131</w:t>
      </w:r>
    </w:p>
    <w:p w:rsidR="002A2670" w:rsidRPr="002A2670" w:rsidRDefault="002A2670" w:rsidP="002A2670">
      <w:pPr>
        <w:numPr>
          <w:ilvl w:val="0"/>
          <w:numId w:val="5"/>
        </w:numPr>
      </w:pPr>
      <w:r w:rsidRPr="002A2670">
        <w:t xml:space="preserve">Dow </w:t>
      </w:r>
      <w:proofErr w:type="spellStart"/>
      <w:r w:rsidRPr="002A2670">
        <w:t>AgroSciences</w:t>
      </w:r>
      <w:proofErr w:type="spellEnd"/>
      <w:r w:rsidRPr="002A2670">
        <w:t>, 9330 Zionsville Road, Indianapolis, IN 46268</w:t>
      </w:r>
    </w:p>
    <w:p w:rsidR="002A2670" w:rsidRPr="002A2670" w:rsidRDefault="002A2670" w:rsidP="002A2670">
      <w:pPr>
        <w:numPr>
          <w:ilvl w:val="0"/>
          <w:numId w:val="5"/>
        </w:numPr>
      </w:pPr>
      <w:r w:rsidRPr="002A2670">
        <w:t>Seed Science Center, Iowa State University, Ames, IA. USA</w:t>
      </w:r>
    </w:p>
    <w:p w:rsidR="002A2670" w:rsidRDefault="002A2670" w:rsidP="00805172"/>
    <w:p w:rsidR="002A2670" w:rsidRDefault="002A2670" w:rsidP="00805172"/>
    <w:p w:rsidR="00D11C0E" w:rsidRDefault="00D11C0E" w:rsidP="00805172">
      <w:pPr>
        <w:rPr>
          <w:color w:val="000000"/>
        </w:rPr>
      </w:pPr>
    </w:p>
    <w:p w:rsidR="00AF0B3E" w:rsidRDefault="00AF0B3E" w:rsidP="00805172">
      <w:pPr>
        <w:jc w:val="right"/>
        <w:rPr>
          <w:snapToGrid w:val="0"/>
        </w:rPr>
      </w:pPr>
      <w:r w:rsidRPr="007C25BD">
        <w:rPr>
          <w:snapToGrid w:val="0"/>
        </w:rPr>
        <w:t>[</w:t>
      </w:r>
      <w:r>
        <w:rPr>
          <w:snapToGrid w:val="0"/>
        </w:rPr>
        <w:t>End of document</w:t>
      </w:r>
      <w:r w:rsidRPr="007C25BD">
        <w:rPr>
          <w:snapToGrid w:val="0"/>
        </w:rPr>
        <w:t>]</w:t>
      </w:r>
    </w:p>
    <w:p w:rsidR="007645B1" w:rsidRDefault="007645B1">
      <w:pPr>
        <w:jc w:val="left"/>
        <w:rPr>
          <w:rFonts w:cs="Arial"/>
          <w:sz w:val="24"/>
          <w:szCs w:val="24"/>
        </w:rPr>
        <w:sectPr w:rsidR="007645B1" w:rsidSect="00DF61C8">
          <w:headerReference w:type="default" r:id="rId11"/>
          <w:footerReference w:type="default" r:id="rId12"/>
          <w:endnotePr>
            <w:numFmt w:val="decimal"/>
          </w:endnotePr>
          <w:type w:val="continuous"/>
          <w:pgSz w:w="11907" w:h="16840" w:code="9"/>
          <w:pgMar w:top="510" w:right="1134" w:bottom="1134" w:left="1134" w:header="510" w:footer="680" w:gutter="0"/>
          <w:cols w:space="720"/>
          <w:titlePg/>
        </w:sectPr>
      </w:pPr>
    </w:p>
    <w:p w:rsidR="00DF61C8" w:rsidRDefault="00DF61C8">
      <w:pPr>
        <w:jc w:val="left"/>
        <w:rPr>
          <w:rFonts w:cs="Arial"/>
          <w:sz w:val="24"/>
          <w:szCs w:val="24"/>
        </w:rPr>
      </w:pPr>
    </w:p>
    <w:p w:rsidR="00DF61C8" w:rsidRPr="00AF0B3E" w:rsidRDefault="00DF61C8" w:rsidP="00DF61C8">
      <w:pPr>
        <w:jc w:val="right"/>
        <w:rPr>
          <w:rFonts w:cs="Arial"/>
          <w:sz w:val="24"/>
          <w:szCs w:val="24"/>
        </w:rPr>
      </w:pPr>
    </w:p>
    <w:sectPr w:rsidR="00DF61C8" w:rsidRPr="00AF0B3E" w:rsidSect="007645B1">
      <w:headerReference w:type="default" r:id="rId13"/>
      <w:headerReference w:type="first" r:id="rId14"/>
      <w:endnotePr>
        <w:numFmt w:val="decimal"/>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 w:id="2">
    <w:p w:rsidR="00DF61C8" w:rsidRPr="00DF61C8" w:rsidRDefault="00DF61C8" w:rsidP="00D956C5">
      <w:pPr>
        <w:spacing w:before="60"/>
        <w:ind w:left="284" w:hanging="284"/>
        <w:rPr>
          <w:sz w:val="18"/>
          <w:szCs w:val="18"/>
          <w:lang w:eastAsia="ja-JP"/>
        </w:rPr>
      </w:pPr>
      <w:r w:rsidRPr="00C04C22">
        <w:rPr>
          <w:rStyle w:val="EndnoteReference"/>
          <w:sz w:val="18"/>
        </w:rPr>
        <w:endnoteRef/>
      </w:r>
      <w:r w:rsidRPr="00C04C22">
        <w:rPr>
          <w:sz w:val="18"/>
        </w:rPr>
        <w:t xml:space="preserve"> </w:t>
      </w:r>
      <w:r w:rsidRPr="00C04C22">
        <w:rPr>
          <w:sz w:val="18"/>
        </w:rPr>
        <w:tab/>
      </w:r>
      <w:r w:rsidRPr="00DF61C8">
        <w:rPr>
          <w:sz w:val="18"/>
          <w:szCs w:val="18"/>
          <w:lang w:eastAsia="ja-JP"/>
        </w:rPr>
        <w:t xml:space="preserve">The U.S. PVP law (Act) provides for </w:t>
      </w:r>
      <w:r w:rsidRPr="00DF61C8">
        <w:rPr>
          <w:sz w:val="18"/>
          <w:szCs w:val="18"/>
        </w:rPr>
        <w:t xml:space="preserve">a Plant Variety Protection Board ("Board") </w:t>
      </w:r>
      <w:r w:rsidRPr="00DF61C8">
        <w:rPr>
          <w:sz w:val="18"/>
          <w:szCs w:val="18"/>
          <w:lang w:eastAsia="ja-JP"/>
        </w:rPr>
        <w:t>to be appointed by the United States Secretary of Agriculture.  The Board is composed of 14 individuals who are experts in various areas of development and represent the seed industry sector, academia and government.  The duties of the Board are to:  (1) advise the Secretary concerning the adoption of rules and regulations to facilitate the proper administration of the Act; (2) provide advisory counsel to the Secretary on appeals concerning decisions on applications by the US PVP Office and on requests for emergency public-interest compulsory licenses; and (3) advise the Secretary on any other matters under the Regulations and Rules of Practice and on all questions under Section 44 of the law.  The Joint PVP Board – ASTA Molecular Marker Working Group is a subcommittee which advises the Board and effectively advises the Secretary of Agriculture.</w:t>
      </w:r>
    </w:p>
  </w:endnote>
  <w:endnote w:id="3">
    <w:p w:rsidR="007645B1" w:rsidRDefault="007645B1" w:rsidP="007645B1">
      <w:pPr>
        <w:spacing w:before="60"/>
        <w:ind w:left="284" w:hanging="284"/>
        <w:rPr>
          <w:sz w:val="18"/>
          <w:szCs w:val="18"/>
          <w:lang w:eastAsia="ja-JP"/>
        </w:rPr>
      </w:pPr>
      <w:r w:rsidRPr="00C04C22">
        <w:rPr>
          <w:rStyle w:val="EndnoteReference"/>
          <w:sz w:val="18"/>
        </w:rPr>
        <w:endnoteRef/>
      </w:r>
      <w:r w:rsidRPr="00C04C22">
        <w:rPr>
          <w:sz w:val="18"/>
        </w:rPr>
        <w:t xml:space="preserve"> </w:t>
      </w:r>
      <w:r w:rsidRPr="00C04C22">
        <w:rPr>
          <w:sz w:val="18"/>
        </w:rPr>
        <w:tab/>
      </w:r>
      <w:r w:rsidRPr="00374342">
        <w:t>https://www.ars-grin.gov/</w:t>
      </w:r>
    </w:p>
    <w:p w:rsidR="007645B1" w:rsidRDefault="007645B1" w:rsidP="007645B1">
      <w:pPr>
        <w:spacing w:before="60"/>
        <w:ind w:left="284" w:hanging="284"/>
        <w:rPr>
          <w:sz w:val="18"/>
          <w:szCs w:val="18"/>
          <w:lang w:eastAsia="ja-JP"/>
        </w:rPr>
      </w:pPr>
    </w:p>
    <w:p w:rsidR="007645B1" w:rsidRDefault="007645B1" w:rsidP="007645B1">
      <w:pPr>
        <w:spacing w:before="60"/>
        <w:ind w:left="284" w:hanging="284"/>
        <w:rPr>
          <w:sz w:val="18"/>
          <w:szCs w:val="18"/>
          <w:lang w:eastAsia="ja-JP"/>
        </w:rPr>
      </w:pPr>
    </w:p>
    <w:p w:rsidR="007645B1" w:rsidRDefault="007645B1" w:rsidP="007645B1">
      <w:pPr>
        <w:spacing w:before="60"/>
        <w:ind w:left="284" w:hanging="284"/>
        <w:rPr>
          <w:sz w:val="18"/>
          <w:szCs w:val="18"/>
          <w:lang w:eastAsia="ja-JP"/>
        </w:rPr>
      </w:pPr>
    </w:p>
    <w:p w:rsidR="007645B1" w:rsidRPr="008A736E" w:rsidRDefault="007645B1" w:rsidP="007645B1">
      <w:pPr>
        <w:spacing w:before="60"/>
        <w:ind w:left="284" w:hanging="284"/>
        <w:jc w:val="right"/>
        <w:rPr>
          <w:sz w:val="18"/>
          <w:szCs w:val="18"/>
        </w:rPr>
      </w:pPr>
      <w:r>
        <w:rPr>
          <w:sz w:val="18"/>
          <w:szCs w:val="18"/>
        </w:rPr>
        <w:t>[End of Endnotes]</w:t>
      </w:r>
    </w:p>
    <w:p w:rsidR="007645B1" w:rsidRPr="00DF61C8" w:rsidRDefault="007645B1" w:rsidP="007645B1">
      <w:pPr>
        <w:spacing w:before="60"/>
        <w:ind w:left="284" w:hanging="284"/>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8" w:rsidRDefault="00DF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8" w:rsidRPr="00C5280D" w:rsidRDefault="00DF61C8" w:rsidP="00EB048E">
    <w:pPr>
      <w:pStyle w:val="Header"/>
      <w:rPr>
        <w:rStyle w:val="PageNumber"/>
        <w:lang w:val="en-US"/>
      </w:rPr>
    </w:pPr>
    <w:r>
      <w:rPr>
        <w:rStyle w:val="PageNumber"/>
        <w:lang w:val="en-US"/>
      </w:rPr>
      <w:t>BMT/16/16</w:t>
    </w:r>
  </w:p>
  <w:p w:rsidR="00DF61C8" w:rsidRPr="00C5280D" w:rsidRDefault="00DF61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5FBF">
      <w:rPr>
        <w:rStyle w:val="PageNumber"/>
        <w:noProof/>
        <w:lang w:val="en-US"/>
      </w:rPr>
      <w:t>3</w:t>
    </w:r>
    <w:r w:rsidRPr="00C5280D">
      <w:rPr>
        <w:rStyle w:val="PageNumber"/>
        <w:lang w:val="en-US"/>
      </w:rPr>
      <w:fldChar w:fldCharType="end"/>
    </w:r>
  </w:p>
  <w:p w:rsidR="00DF61C8" w:rsidRPr="00C5280D" w:rsidRDefault="00DF61C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1" w:rsidRPr="00C5280D" w:rsidRDefault="007645B1" w:rsidP="00EB048E">
    <w:pPr>
      <w:pStyle w:val="Header"/>
      <w:rPr>
        <w:rStyle w:val="PageNumber"/>
        <w:lang w:val="en-US"/>
      </w:rPr>
    </w:pPr>
    <w:r>
      <w:rPr>
        <w:rStyle w:val="PageNumber"/>
        <w:lang w:val="en-US"/>
      </w:rPr>
      <w:t>BMT/16/16</w:t>
    </w:r>
  </w:p>
  <w:p w:rsidR="007645B1" w:rsidRPr="00C5280D" w:rsidRDefault="007645B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0008">
      <w:rPr>
        <w:rStyle w:val="PageNumber"/>
        <w:noProof/>
        <w:lang w:val="en-US"/>
      </w:rPr>
      <w:t>4</w:t>
    </w:r>
    <w:r w:rsidRPr="00C5280D">
      <w:rPr>
        <w:rStyle w:val="PageNumber"/>
        <w:lang w:val="en-US"/>
      </w:rPr>
      <w:fldChar w:fldCharType="end"/>
    </w:r>
  </w:p>
  <w:p w:rsidR="007645B1" w:rsidRPr="00C5280D" w:rsidRDefault="007645B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1" w:rsidRPr="00C5280D" w:rsidRDefault="007645B1" w:rsidP="007645B1">
    <w:pPr>
      <w:pStyle w:val="Header"/>
      <w:rPr>
        <w:rStyle w:val="PageNumber"/>
        <w:lang w:val="en-US"/>
      </w:rPr>
    </w:pPr>
    <w:r>
      <w:rPr>
        <w:rStyle w:val="PageNumber"/>
        <w:lang w:val="en-US"/>
      </w:rPr>
      <w:t>BMT/16/16</w:t>
    </w:r>
  </w:p>
  <w:p w:rsidR="007645B1" w:rsidRPr="00527219" w:rsidRDefault="007645B1" w:rsidP="007645B1">
    <w:pPr>
      <w:jc w:val="center"/>
      <w:rPr>
        <w:lang w:eastAsia="ja-JP"/>
      </w:rPr>
    </w:pPr>
  </w:p>
  <w:p w:rsidR="007645B1" w:rsidRDefault="007645B1" w:rsidP="007645B1">
    <w:pPr>
      <w:jc w:val="center"/>
    </w:pPr>
    <w:r>
      <w:t>ENDNOTES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A147653"/>
    <w:multiLevelType w:val="hybridMultilevel"/>
    <w:tmpl w:val="708E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5EEB330A"/>
    <w:multiLevelType w:val="hybridMultilevel"/>
    <w:tmpl w:val="CF30E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724A3"/>
    <w:rsid w:val="00085505"/>
    <w:rsid w:val="000C4E25"/>
    <w:rsid w:val="000C7021"/>
    <w:rsid w:val="000D6BBC"/>
    <w:rsid w:val="000D7780"/>
    <w:rsid w:val="000E636A"/>
    <w:rsid w:val="000F2F11"/>
    <w:rsid w:val="00105929"/>
    <w:rsid w:val="00110C36"/>
    <w:rsid w:val="001131D5"/>
    <w:rsid w:val="001379D7"/>
    <w:rsid w:val="00141DB8"/>
    <w:rsid w:val="001502BD"/>
    <w:rsid w:val="0015326B"/>
    <w:rsid w:val="00172084"/>
    <w:rsid w:val="0017474A"/>
    <w:rsid w:val="001758C6"/>
    <w:rsid w:val="00182B99"/>
    <w:rsid w:val="001D6303"/>
    <w:rsid w:val="00212A19"/>
    <w:rsid w:val="0021332C"/>
    <w:rsid w:val="00213982"/>
    <w:rsid w:val="0024416D"/>
    <w:rsid w:val="002506FF"/>
    <w:rsid w:val="00271911"/>
    <w:rsid w:val="002800A0"/>
    <w:rsid w:val="002801B3"/>
    <w:rsid w:val="00281060"/>
    <w:rsid w:val="00292B63"/>
    <w:rsid w:val="002940E8"/>
    <w:rsid w:val="00294751"/>
    <w:rsid w:val="002A2670"/>
    <w:rsid w:val="002A6E50"/>
    <w:rsid w:val="002B4298"/>
    <w:rsid w:val="002C256A"/>
    <w:rsid w:val="00305A7F"/>
    <w:rsid w:val="003152FE"/>
    <w:rsid w:val="00327436"/>
    <w:rsid w:val="003338F8"/>
    <w:rsid w:val="00334165"/>
    <w:rsid w:val="00335389"/>
    <w:rsid w:val="0034446C"/>
    <w:rsid w:val="00344BD6"/>
    <w:rsid w:val="0035528D"/>
    <w:rsid w:val="00361821"/>
    <w:rsid w:val="00361E9E"/>
    <w:rsid w:val="00365129"/>
    <w:rsid w:val="003A1D7E"/>
    <w:rsid w:val="003B4156"/>
    <w:rsid w:val="003C7FBE"/>
    <w:rsid w:val="003D227C"/>
    <w:rsid w:val="003D2B4D"/>
    <w:rsid w:val="003E375C"/>
    <w:rsid w:val="003E5ABD"/>
    <w:rsid w:val="00401F6C"/>
    <w:rsid w:val="00444A88"/>
    <w:rsid w:val="0047126E"/>
    <w:rsid w:val="00474DA4"/>
    <w:rsid w:val="00476B4D"/>
    <w:rsid w:val="004805FA"/>
    <w:rsid w:val="00480888"/>
    <w:rsid w:val="00482486"/>
    <w:rsid w:val="004935D2"/>
    <w:rsid w:val="0049744F"/>
    <w:rsid w:val="004B1215"/>
    <w:rsid w:val="004D047D"/>
    <w:rsid w:val="004D5FBF"/>
    <w:rsid w:val="004F1E9E"/>
    <w:rsid w:val="004F305A"/>
    <w:rsid w:val="00512164"/>
    <w:rsid w:val="00520297"/>
    <w:rsid w:val="005338F9"/>
    <w:rsid w:val="0054281C"/>
    <w:rsid w:val="00544581"/>
    <w:rsid w:val="0055268D"/>
    <w:rsid w:val="00567D74"/>
    <w:rsid w:val="00576BE4"/>
    <w:rsid w:val="005A400A"/>
    <w:rsid w:val="005B38B7"/>
    <w:rsid w:val="005F2D42"/>
    <w:rsid w:val="005F394B"/>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36F36"/>
    <w:rsid w:val="00751613"/>
    <w:rsid w:val="007556F6"/>
    <w:rsid w:val="00760880"/>
    <w:rsid w:val="00760EEF"/>
    <w:rsid w:val="007645B1"/>
    <w:rsid w:val="00777EE5"/>
    <w:rsid w:val="00782FA7"/>
    <w:rsid w:val="00784836"/>
    <w:rsid w:val="0079023E"/>
    <w:rsid w:val="007A2854"/>
    <w:rsid w:val="007B3585"/>
    <w:rsid w:val="007C1D92"/>
    <w:rsid w:val="007C4CB9"/>
    <w:rsid w:val="007D0B9D"/>
    <w:rsid w:val="007D19B0"/>
    <w:rsid w:val="007F498F"/>
    <w:rsid w:val="00805172"/>
    <w:rsid w:val="0080679D"/>
    <w:rsid w:val="008108B0"/>
    <w:rsid w:val="00811B20"/>
    <w:rsid w:val="008211B5"/>
    <w:rsid w:val="008212D3"/>
    <w:rsid w:val="0082296E"/>
    <w:rsid w:val="00824099"/>
    <w:rsid w:val="00846D7C"/>
    <w:rsid w:val="00855058"/>
    <w:rsid w:val="00860A1D"/>
    <w:rsid w:val="00867AC1"/>
    <w:rsid w:val="00890DF8"/>
    <w:rsid w:val="00892B48"/>
    <w:rsid w:val="008A696A"/>
    <w:rsid w:val="008A743F"/>
    <w:rsid w:val="008C0970"/>
    <w:rsid w:val="008D0BC5"/>
    <w:rsid w:val="008D2CF7"/>
    <w:rsid w:val="00900C26"/>
    <w:rsid w:val="0090197F"/>
    <w:rsid w:val="00906DDC"/>
    <w:rsid w:val="0091607B"/>
    <w:rsid w:val="00925E3D"/>
    <w:rsid w:val="00931885"/>
    <w:rsid w:val="00934E09"/>
    <w:rsid w:val="00936253"/>
    <w:rsid w:val="00940D46"/>
    <w:rsid w:val="00952DD4"/>
    <w:rsid w:val="00965AE7"/>
    <w:rsid w:val="00970FED"/>
    <w:rsid w:val="0098788B"/>
    <w:rsid w:val="00992D82"/>
    <w:rsid w:val="009947F1"/>
    <w:rsid w:val="00997029"/>
    <w:rsid w:val="009A7339"/>
    <w:rsid w:val="009B440E"/>
    <w:rsid w:val="009D690D"/>
    <w:rsid w:val="009E65B6"/>
    <w:rsid w:val="009F7082"/>
    <w:rsid w:val="00A1778A"/>
    <w:rsid w:val="00A24C10"/>
    <w:rsid w:val="00A42AC3"/>
    <w:rsid w:val="00A430CF"/>
    <w:rsid w:val="00A54309"/>
    <w:rsid w:val="00A67303"/>
    <w:rsid w:val="00A85AEB"/>
    <w:rsid w:val="00AB2B93"/>
    <w:rsid w:val="00AB530F"/>
    <w:rsid w:val="00AB7E5B"/>
    <w:rsid w:val="00AC2883"/>
    <w:rsid w:val="00AC31DA"/>
    <w:rsid w:val="00AD0008"/>
    <w:rsid w:val="00AE0EF1"/>
    <w:rsid w:val="00AE2937"/>
    <w:rsid w:val="00AF0B3E"/>
    <w:rsid w:val="00AF16C7"/>
    <w:rsid w:val="00B07301"/>
    <w:rsid w:val="00B11F3E"/>
    <w:rsid w:val="00B15A91"/>
    <w:rsid w:val="00B2072F"/>
    <w:rsid w:val="00B224DE"/>
    <w:rsid w:val="00B24819"/>
    <w:rsid w:val="00B324D4"/>
    <w:rsid w:val="00B46575"/>
    <w:rsid w:val="00B54321"/>
    <w:rsid w:val="00B61777"/>
    <w:rsid w:val="00B84BBD"/>
    <w:rsid w:val="00BA43FB"/>
    <w:rsid w:val="00BC127D"/>
    <w:rsid w:val="00BC1FE6"/>
    <w:rsid w:val="00C061B6"/>
    <w:rsid w:val="00C2446C"/>
    <w:rsid w:val="00C252E1"/>
    <w:rsid w:val="00C36AE5"/>
    <w:rsid w:val="00C41F17"/>
    <w:rsid w:val="00C527FA"/>
    <w:rsid w:val="00C5280D"/>
    <w:rsid w:val="00C53EB3"/>
    <w:rsid w:val="00C5791C"/>
    <w:rsid w:val="00C64C6B"/>
    <w:rsid w:val="00C658B3"/>
    <w:rsid w:val="00C66290"/>
    <w:rsid w:val="00C72B7A"/>
    <w:rsid w:val="00C973F2"/>
    <w:rsid w:val="00CA304C"/>
    <w:rsid w:val="00CA774A"/>
    <w:rsid w:val="00CB213A"/>
    <w:rsid w:val="00CC11B0"/>
    <w:rsid w:val="00CC2841"/>
    <w:rsid w:val="00CF1330"/>
    <w:rsid w:val="00CF7E36"/>
    <w:rsid w:val="00D079B4"/>
    <w:rsid w:val="00D11C0E"/>
    <w:rsid w:val="00D2303B"/>
    <w:rsid w:val="00D26280"/>
    <w:rsid w:val="00D3708D"/>
    <w:rsid w:val="00D40426"/>
    <w:rsid w:val="00D455D2"/>
    <w:rsid w:val="00D57C96"/>
    <w:rsid w:val="00D57D18"/>
    <w:rsid w:val="00D66D8C"/>
    <w:rsid w:val="00D8607D"/>
    <w:rsid w:val="00D91203"/>
    <w:rsid w:val="00D95174"/>
    <w:rsid w:val="00D956C5"/>
    <w:rsid w:val="00DA1712"/>
    <w:rsid w:val="00DA4499"/>
    <w:rsid w:val="00DA4973"/>
    <w:rsid w:val="00DA6F36"/>
    <w:rsid w:val="00DB596E"/>
    <w:rsid w:val="00DB7773"/>
    <w:rsid w:val="00DC00EA"/>
    <w:rsid w:val="00DC3802"/>
    <w:rsid w:val="00DD2D20"/>
    <w:rsid w:val="00DF61C8"/>
    <w:rsid w:val="00E02914"/>
    <w:rsid w:val="00E07D87"/>
    <w:rsid w:val="00E32F7E"/>
    <w:rsid w:val="00E5267B"/>
    <w:rsid w:val="00E6209D"/>
    <w:rsid w:val="00E72D49"/>
    <w:rsid w:val="00E7593C"/>
    <w:rsid w:val="00E7678A"/>
    <w:rsid w:val="00E935F1"/>
    <w:rsid w:val="00E94A81"/>
    <w:rsid w:val="00E97437"/>
    <w:rsid w:val="00EA1FFB"/>
    <w:rsid w:val="00EB048E"/>
    <w:rsid w:val="00EB4CED"/>
    <w:rsid w:val="00EB4E9C"/>
    <w:rsid w:val="00EC481C"/>
    <w:rsid w:val="00ED2936"/>
    <w:rsid w:val="00EE1AFA"/>
    <w:rsid w:val="00EE34DF"/>
    <w:rsid w:val="00EF2F89"/>
    <w:rsid w:val="00F03E98"/>
    <w:rsid w:val="00F1237A"/>
    <w:rsid w:val="00F22CBD"/>
    <w:rsid w:val="00F272F1"/>
    <w:rsid w:val="00F34105"/>
    <w:rsid w:val="00F45372"/>
    <w:rsid w:val="00F537D4"/>
    <w:rsid w:val="00F560F7"/>
    <w:rsid w:val="00F6334D"/>
    <w:rsid w:val="00F71072"/>
    <w:rsid w:val="00F84FE4"/>
    <w:rsid w:val="00FA49AB"/>
    <w:rsid w:val="00FC674C"/>
    <w:rsid w:val="00FC7E1C"/>
    <w:rsid w:val="00FD52E3"/>
    <w:rsid w:val="00FD6FA1"/>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 w:type="paragraph" w:styleId="Caption">
    <w:name w:val="caption"/>
    <w:basedOn w:val="Normal"/>
    <w:next w:val="Normal"/>
    <w:uiPriority w:val="35"/>
    <w:unhideWhenUsed/>
    <w:qFormat/>
    <w:rsid w:val="00B24819"/>
    <w:pPr>
      <w:spacing w:after="200"/>
      <w:jc w:val="left"/>
    </w:pPr>
    <w:rPr>
      <w:rFonts w:asciiTheme="minorHAnsi" w:eastAsia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 w:type="paragraph" w:styleId="Caption">
    <w:name w:val="caption"/>
    <w:basedOn w:val="Normal"/>
    <w:next w:val="Normal"/>
    <w:uiPriority w:val="35"/>
    <w:unhideWhenUsed/>
    <w:qFormat/>
    <w:rsid w:val="00B24819"/>
    <w:pPr>
      <w:spacing w:after="200"/>
      <w:jc w:val="left"/>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37A4-2841-481A-AE08-6BF6C112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BMT_16</Template>
  <TotalTime>24</TotalTime>
  <Pages>4</Pages>
  <Words>824</Words>
  <Characters>4682</Characters>
  <Application>Microsoft Office Word</Application>
  <DocSecurity>0</DocSecurity>
  <Lines>130</Lines>
  <Paragraphs>61</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14</cp:revision>
  <cp:lastPrinted>2017-10-11T11:53:00Z</cp:lastPrinted>
  <dcterms:created xsi:type="dcterms:W3CDTF">2017-10-09T14:22:00Z</dcterms:created>
  <dcterms:modified xsi:type="dcterms:W3CDTF">2017-10-16T14:50:00Z</dcterms:modified>
</cp:coreProperties>
</file>