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8B409A" w:rsidP="006655D3">
            <w:pPr>
              <w:pStyle w:val="LogoUPOV"/>
            </w:pPr>
            <w:r>
              <w:rPr>
                <w:noProof/>
                <w:lang w:eastAsia="ja-JP"/>
              </w:rPr>
              <w:drawing>
                <wp:inline distT="0" distB="0" distL="0" distR="0" wp14:anchorId="3CC4C909" wp14:editId="646140A6">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C5280D" w:rsidRDefault="0024416D" w:rsidP="006655D3">
            <w:pPr>
              <w:pStyle w:val="Lettrine"/>
            </w:pPr>
            <w:r w:rsidRPr="00C5280D">
              <w:t>E</w:t>
            </w:r>
          </w:p>
          <w:p w:rsidR="000D7780" w:rsidRPr="00C5280D" w:rsidRDefault="004C4135" w:rsidP="006655D3">
            <w:pPr>
              <w:pStyle w:val="Docoriginal"/>
              <w:rPr>
                <w:lang w:eastAsia="ja-JP"/>
              </w:rPr>
            </w:pPr>
            <w:r>
              <w:t>BMT</w:t>
            </w:r>
            <w:r w:rsidR="00667404">
              <w:t>/</w:t>
            </w:r>
            <w:r>
              <w:t>1</w:t>
            </w:r>
            <w:r w:rsidR="00706B08">
              <w:rPr>
                <w:rFonts w:hint="eastAsia"/>
                <w:lang w:eastAsia="ja-JP"/>
              </w:rPr>
              <w:t>5</w:t>
            </w:r>
            <w:r w:rsidR="00667404">
              <w:t>/</w:t>
            </w:r>
            <w:bookmarkStart w:id="0" w:name="Code"/>
            <w:bookmarkEnd w:id="0"/>
            <w:r w:rsidR="002067FD">
              <w:rPr>
                <w:rFonts w:hint="eastAsia"/>
                <w:lang w:eastAsia="ja-JP"/>
              </w:rPr>
              <w:t>12</w:t>
            </w:r>
          </w:p>
          <w:p w:rsidR="000D7780" w:rsidRPr="00B46575" w:rsidRDefault="0061555F" w:rsidP="006655D3">
            <w:pPr>
              <w:pStyle w:val="Docoriginal"/>
              <w:rPr>
                <w:b w:val="0"/>
                <w:spacing w:val="0"/>
              </w:rPr>
            </w:pPr>
            <w:r w:rsidRPr="00B46575">
              <w:rPr>
                <w:rStyle w:val="StyleDoclangBold"/>
                <w:b/>
                <w:bCs/>
                <w:spacing w:val="0"/>
              </w:rPr>
              <w:t>ORIGINAL</w:t>
            </w:r>
            <w:r w:rsidR="000D7780" w:rsidRPr="00B46575">
              <w:rPr>
                <w:rStyle w:val="StyleDoclangBold"/>
                <w:b/>
                <w:bCs/>
                <w:spacing w:val="0"/>
              </w:rPr>
              <w:t>:</w:t>
            </w:r>
            <w:r w:rsidRPr="00B46575">
              <w:rPr>
                <w:rStyle w:val="StyleDocoriginalNotBold1"/>
                <w:spacing w:val="0"/>
              </w:rPr>
              <w:t xml:space="preserve"> </w:t>
            </w:r>
            <w:bookmarkStart w:id="1" w:name="Original"/>
            <w:bookmarkEnd w:id="1"/>
            <w:r w:rsidR="00876C58">
              <w:rPr>
                <w:rStyle w:val="StyleDocoriginalNotBold1"/>
                <w:spacing w:val="0"/>
              </w:rPr>
              <w:t xml:space="preserve"> </w:t>
            </w:r>
            <w:r w:rsidR="0024416D" w:rsidRPr="00B46575">
              <w:rPr>
                <w:b w:val="0"/>
                <w:spacing w:val="0"/>
              </w:rPr>
              <w:t>English</w:t>
            </w:r>
          </w:p>
          <w:p w:rsidR="000D7780" w:rsidRPr="00C5280D" w:rsidRDefault="000D7780" w:rsidP="00A02FB5">
            <w:pPr>
              <w:pStyle w:val="Docoriginal"/>
              <w:rPr>
                <w:lang w:eastAsia="ja-JP"/>
              </w:rPr>
            </w:pPr>
            <w:r w:rsidRPr="00B46575">
              <w:rPr>
                <w:spacing w:val="0"/>
              </w:rPr>
              <w:t>DATE:</w:t>
            </w:r>
            <w:r w:rsidRPr="00B46575">
              <w:rPr>
                <w:rStyle w:val="StyleDocoriginalNotBold1"/>
                <w:spacing w:val="0"/>
              </w:rPr>
              <w:t xml:space="preserve"> </w:t>
            </w:r>
            <w:bookmarkStart w:id="2" w:name="Date"/>
            <w:bookmarkEnd w:id="2"/>
            <w:r w:rsidR="00876C58">
              <w:rPr>
                <w:rStyle w:val="StyleDocoriginalNotBold1"/>
                <w:spacing w:val="0"/>
              </w:rPr>
              <w:t xml:space="preserve"> </w:t>
            </w:r>
            <w:r w:rsidR="002067FD">
              <w:rPr>
                <w:rStyle w:val="StyleDocoriginalNotBold1"/>
                <w:rFonts w:hint="eastAsia"/>
                <w:spacing w:val="0"/>
                <w:lang w:eastAsia="ja-JP"/>
              </w:rPr>
              <w:t>April 1</w:t>
            </w:r>
            <w:r w:rsidR="00A02FB5">
              <w:rPr>
                <w:rStyle w:val="StyleDocoriginalNotBold1"/>
                <w:rFonts w:hint="eastAsia"/>
                <w:spacing w:val="0"/>
                <w:lang w:eastAsia="ja-JP"/>
              </w:rPr>
              <w:t>9</w:t>
            </w:r>
            <w:bookmarkStart w:id="3" w:name="_GoBack"/>
            <w:bookmarkEnd w:id="3"/>
            <w:r w:rsidR="00FD4EE1">
              <w:rPr>
                <w:rStyle w:val="StyleDocoriginalNotBold1"/>
                <w:rFonts w:hint="eastAsia"/>
                <w:spacing w:val="0"/>
                <w:lang w:eastAsia="ja-JP"/>
              </w:rPr>
              <w:t>, 201</w:t>
            </w:r>
            <w:r w:rsidR="00706B08">
              <w:rPr>
                <w:rStyle w:val="StyleDocoriginalNotBold1"/>
                <w:rFonts w:hint="eastAsia"/>
                <w:spacing w:val="0"/>
                <w:lang w:eastAsia="ja-JP"/>
              </w:rPr>
              <w:t>6</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18780B" w:rsidRPr="00C5280D" w:rsidRDefault="004C4135" w:rsidP="004C4135">
      <w:pPr>
        <w:pStyle w:val="Sessiontc"/>
      </w:pPr>
      <w:r>
        <w:t>WORKING GROUP ON BIOCHEMICAL AND MOLECULAR TECHNIQUES</w:t>
      </w:r>
      <w:r>
        <w:br/>
        <w:t>AND DNA-PROFILING IN PARTICULAR</w:t>
      </w:r>
    </w:p>
    <w:p w:rsidR="00706B08" w:rsidRDefault="00706B08" w:rsidP="00706B08">
      <w:pPr>
        <w:pStyle w:val="Sessiontcplacedate"/>
      </w:pPr>
      <w:r>
        <w:rPr>
          <w:rFonts w:hint="eastAsia"/>
          <w:lang w:eastAsia="ja-JP"/>
        </w:rPr>
        <w:t>Fifteenth</w:t>
      </w:r>
      <w:r w:rsidRPr="00C5280D">
        <w:t xml:space="preserve"> Session</w:t>
      </w:r>
    </w:p>
    <w:p w:rsidR="0018780B" w:rsidRPr="00C5280D" w:rsidRDefault="00706B08" w:rsidP="00706B08">
      <w:pPr>
        <w:pStyle w:val="Sessiontcplacedate"/>
      </w:pPr>
      <w:r>
        <w:rPr>
          <w:rFonts w:hint="eastAsia"/>
          <w:lang w:eastAsia="ja-JP"/>
        </w:rPr>
        <w:t>Moscow</w:t>
      </w:r>
      <w:r w:rsidRPr="009B2506">
        <w:t xml:space="preserve">, </w:t>
      </w:r>
      <w:r>
        <w:rPr>
          <w:rFonts w:hint="eastAsia"/>
          <w:lang w:eastAsia="ja-JP"/>
        </w:rPr>
        <w:t>Russian Federation</w:t>
      </w:r>
      <w:r>
        <w:t xml:space="preserve">, </w:t>
      </w:r>
      <w:r>
        <w:rPr>
          <w:rFonts w:hint="eastAsia"/>
          <w:lang w:eastAsia="ja-JP"/>
        </w:rPr>
        <w:t>May 24</w:t>
      </w:r>
      <w:r>
        <w:t xml:space="preserve"> to </w:t>
      </w:r>
      <w:r>
        <w:rPr>
          <w:rFonts w:hint="eastAsia"/>
          <w:lang w:eastAsia="ja-JP"/>
        </w:rPr>
        <w:t>27</w:t>
      </w:r>
      <w:r w:rsidRPr="009B2506">
        <w:t>, 201</w:t>
      </w:r>
      <w:r>
        <w:rPr>
          <w:rFonts w:hint="eastAsia"/>
          <w:lang w:eastAsia="ja-JP"/>
        </w:rPr>
        <w:t>6</w:t>
      </w:r>
    </w:p>
    <w:p w:rsidR="002067FD" w:rsidRDefault="002067FD" w:rsidP="002067FD">
      <w:pPr>
        <w:pStyle w:val="Titleofdoc0"/>
        <w:rPr>
          <w:lang w:eastAsia="ja-JP"/>
        </w:rPr>
      </w:pPr>
      <w:bookmarkStart w:id="4" w:name="TitleOfDoc"/>
      <w:bookmarkStart w:id="5" w:name="Prepared"/>
      <w:bookmarkEnd w:id="4"/>
      <w:bookmarkEnd w:id="5"/>
      <w:r w:rsidRPr="002067FD">
        <w:rPr>
          <w:rFonts w:eastAsia="Times New Roman"/>
        </w:rPr>
        <w:t xml:space="preserve">Molecular Marker Use in the PVP Application Process </w:t>
      </w:r>
    </w:p>
    <w:p w:rsidR="000909D3" w:rsidRPr="00330F82" w:rsidRDefault="002067FD" w:rsidP="002067FD">
      <w:pPr>
        <w:pStyle w:val="Titleofdoc0"/>
        <w:spacing w:before="0"/>
        <w:rPr>
          <w:rFonts w:eastAsia="Times New Roman"/>
        </w:rPr>
      </w:pPr>
      <w:r w:rsidRPr="002067FD">
        <w:rPr>
          <w:rFonts w:eastAsia="Times New Roman"/>
        </w:rPr>
        <w:t xml:space="preserve"> A Joint Project Between the US PVP Office and the American Seed Trade Association</w:t>
      </w:r>
      <w:r w:rsidR="00706B08" w:rsidRPr="00706B08">
        <w:rPr>
          <w:rFonts w:eastAsia="Times New Roman"/>
        </w:rPr>
        <w:t xml:space="preserve"> </w:t>
      </w:r>
    </w:p>
    <w:p w:rsidR="000D7780" w:rsidRDefault="00AE0EF1" w:rsidP="000909D3">
      <w:pPr>
        <w:pStyle w:val="preparedby1"/>
        <w:spacing w:after="240"/>
        <w:rPr>
          <w:lang w:eastAsia="ja-JP"/>
        </w:rPr>
      </w:pPr>
      <w:r w:rsidRPr="0034055F">
        <w:t>Document</w:t>
      </w:r>
      <w:r w:rsidRPr="00C5280D">
        <w:t xml:space="preserve"> </w:t>
      </w:r>
      <w:r w:rsidR="0061555F" w:rsidRPr="00C5280D">
        <w:t xml:space="preserve">prepared by </w:t>
      </w:r>
      <w:r w:rsidR="003C62C9">
        <w:rPr>
          <w:rFonts w:hint="eastAsia"/>
          <w:lang w:eastAsia="ja-JP"/>
        </w:rPr>
        <w:t xml:space="preserve">experts from </w:t>
      </w:r>
      <w:r w:rsidR="002067FD">
        <w:rPr>
          <w:rFonts w:hint="eastAsia"/>
          <w:lang w:eastAsia="ja-JP"/>
        </w:rPr>
        <w:t>Seed Association of America</w:t>
      </w:r>
    </w:p>
    <w:p w:rsidR="003C62C9" w:rsidRDefault="003C62C9" w:rsidP="003C62C9">
      <w:pPr>
        <w:pStyle w:val="preparedby1"/>
        <w:rPr>
          <w:color w:val="A6A6A6" w:themeColor="background1" w:themeShade="A6"/>
        </w:rPr>
      </w:pPr>
      <w:r>
        <w:rPr>
          <w:color w:val="A6A6A6" w:themeColor="background1" w:themeShade="A6"/>
        </w:rPr>
        <w:t>Disclaimer:  this document does not represent UPOV policies or guidance</w:t>
      </w:r>
    </w:p>
    <w:p w:rsidR="002067FD" w:rsidRDefault="00376240" w:rsidP="002067FD">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067FD">
        <w:t>The United States Plant Variety Protection Office</w:t>
      </w:r>
      <w:r w:rsidR="002C6B34">
        <w:t xml:space="preserve"> (US PVP Office)</w:t>
      </w:r>
      <w:r w:rsidR="002067FD">
        <w:t xml:space="preserve"> and the American Seed Trade Association (ASTA) have commenced a joint study to explore the technical aspects and define a preliminary approach to utilizing molecular markers in the PVP application process to help determine distinctness between varieties.  Our specific approach is to evaluate the utility of marker data to help resolve the issue of distinctness in the case of a morphological tie between an existing variety and a candidate variety.  The approach is based on previous work done in maize to define Essentially Derived Variety thresholds using molecular markers (ISF. 2014).  Therefore the primary goal of this paper is to provide an overview of the approach under consideration such that it may be applied to any crop species.</w:t>
      </w:r>
    </w:p>
    <w:p w:rsidR="002067FD" w:rsidRDefault="002067FD" w:rsidP="002067FD">
      <w:pPr>
        <w:rPr>
          <w:b/>
          <w:lang w:eastAsia="ja-JP"/>
        </w:rPr>
      </w:pPr>
    </w:p>
    <w:p w:rsidR="002067FD" w:rsidRDefault="002067FD" w:rsidP="002067FD">
      <w:pPr>
        <w:rPr>
          <w:b/>
          <w:lang w:eastAsia="ja-JP"/>
        </w:rPr>
      </w:pPr>
    </w:p>
    <w:p w:rsidR="002067FD" w:rsidRDefault="002067FD" w:rsidP="002067FD">
      <w:pPr>
        <w:pStyle w:val="Heading1"/>
      </w:pPr>
      <w:r w:rsidRPr="00E3795C">
        <w:t>Stakeholders</w:t>
      </w:r>
    </w:p>
    <w:p w:rsidR="002067FD" w:rsidRPr="002067FD" w:rsidRDefault="002067FD" w:rsidP="002067FD">
      <w:pPr>
        <w:rPr>
          <w:lang w:eastAsia="ja-JP"/>
        </w:rPr>
      </w:pPr>
    </w:p>
    <w:p w:rsidR="002067FD" w:rsidRDefault="00376240" w:rsidP="002067FD">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067FD">
        <w:t>A subcommittee of technical and legal experts representing both public and private entities was jointly formed in August 2014 by the United States PVP Board and ASTA.  The joint working group consists of 27 individuals collectively representing 18 public and private institutions.  The collaborative nature of the project is critical to success and provides complete transparency between the US PVP Office and all public and private stakeholders involved.  No entity is excluded from the project, so additional stakeholders are free to engage in the project at any time either directly or as an observer.  Currently, the Community Plant Variety Office</w:t>
      </w:r>
      <w:r w:rsidR="002C6B34">
        <w:t xml:space="preserve"> of the European Union</w:t>
      </w:r>
      <w:r w:rsidR="002067FD">
        <w:t xml:space="preserve"> (CPVO) and </w:t>
      </w:r>
      <w:r w:rsidR="002C6B34">
        <w:t xml:space="preserve">the </w:t>
      </w:r>
      <w:r w:rsidR="002067FD">
        <w:t>Seed Association of the Americas (SAA) are observers of the project.</w:t>
      </w:r>
    </w:p>
    <w:p w:rsidR="002067FD" w:rsidRDefault="002067FD" w:rsidP="002067FD">
      <w:pPr>
        <w:rPr>
          <w:b/>
          <w:lang w:eastAsia="ja-JP"/>
        </w:rPr>
      </w:pPr>
    </w:p>
    <w:p w:rsidR="002067FD" w:rsidRDefault="002067FD" w:rsidP="002067FD">
      <w:pPr>
        <w:rPr>
          <w:b/>
          <w:lang w:eastAsia="ja-JP"/>
        </w:rPr>
      </w:pPr>
    </w:p>
    <w:p w:rsidR="002067FD" w:rsidRDefault="002067FD" w:rsidP="002067FD">
      <w:pPr>
        <w:pStyle w:val="Heading1"/>
      </w:pPr>
      <w:r w:rsidRPr="00BF7CF9">
        <w:t>Grounded In Morphology</w:t>
      </w:r>
    </w:p>
    <w:p w:rsidR="002067FD" w:rsidRPr="002067FD" w:rsidRDefault="002067FD" w:rsidP="002067FD">
      <w:pPr>
        <w:rPr>
          <w:lang w:eastAsia="ja-JP"/>
        </w:rPr>
      </w:pPr>
    </w:p>
    <w:p w:rsidR="002067FD" w:rsidRDefault="00376240" w:rsidP="002067FD">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067FD">
        <w:t>To be clear, the joint project is not a replacement for morphology in the PVP applications process.  Morphology continues to serve as the primary method for DUS serving small and large applicants alike.  In fact, the choice of inbred lines and varieties for analysis effectively grounds the project in morphology because all genotypes have either been declared as distinct by PVP authorities using morphology or they constitute the reference sets against which candidate varieties have been evaluated for their distinctness based on morphology.  To that end, the project is based upon and performs a similar function as the UPOV approved use of markers to manage reference collections (UPOV, 201</w:t>
      </w:r>
      <w:r w:rsidR="00A6518D">
        <w:t>3</w:t>
      </w:r>
      <w:r w:rsidR="002067FD">
        <w:t>).</w:t>
      </w:r>
    </w:p>
    <w:p w:rsidR="002067FD" w:rsidRDefault="002067FD" w:rsidP="002067FD">
      <w:pPr>
        <w:rPr>
          <w:b/>
          <w:lang w:eastAsia="ja-JP"/>
        </w:rPr>
      </w:pPr>
    </w:p>
    <w:p w:rsidR="002067FD" w:rsidRDefault="002067FD" w:rsidP="002067FD">
      <w:pPr>
        <w:rPr>
          <w:b/>
          <w:lang w:eastAsia="ja-JP"/>
        </w:rPr>
      </w:pPr>
    </w:p>
    <w:p w:rsidR="002067FD" w:rsidRDefault="002067FD" w:rsidP="002067FD">
      <w:pPr>
        <w:pStyle w:val="Heading1"/>
      </w:pPr>
      <w:r>
        <w:lastRenderedPageBreak/>
        <w:t>Defining a Working Public Data Set</w:t>
      </w:r>
    </w:p>
    <w:p w:rsidR="002067FD" w:rsidRPr="002067FD" w:rsidRDefault="002067FD" w:rsidP="002067FD">
      <w:pPr>
        <w:rPr>
          <w:lang w:eastAsia="ja-JP"/>
        </w:rPr>
      </w:pPr>
    </w:p>
    <w:p w:rsidR="002067FD" w:rsidRDefault="00376240" w:rsidP="002067FD">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067FD">
        <w:t xml:space="preserve">We used experience gained from developing the maize EDV SNPs and thresholds (ISF, 2014) as a model for this project.  A key prerequisite was therefore to define a data set of </w:t>
      </w:r>
      <w:proofErr w:type="spellStart"/>
      <w:r w:rsidR="002067FD">
        <w:t>inbreds</w:t>
      </w:r>
      <w:proofErr w:type="spellEnd"/>
      <w:r w:rsidR="002067FD">
        <w:t xml:space="preserve"> or varieties and SNPs that can be publicly accessed and available to all in the working group to analyze and explore.  Here are some of the key features for a working dataset:</w:t>
      </w:r>
    </w:p>
    <w:p w:rsidR="002067FD" w:rsidRDefault="002067FD" w:rsidP="002067FD">
      <w:pPr>
        <w:rPr>
          <w:b/>
          <w:i/>
          <w:lang w:eastAsia="ja-JP"/>
        </w:rPr>
      </w:pPr>
    </w:p>
    <w:p w:rsidR="002067FD" w:rsidRDefault="002067FD" w:rsidP="002067FD">
      <w:pPr>
        <w:pStyle w:val="Heading2"/>
        <w:rPr>
          <w:lang w:eastAsia="ja-JP"/>
        </w:rPr>
      </w:pPr>
      <w:r>
        <w:t xml:space="preserve">Inbred Lines and </w:t>
      </w:r>
      <w:r w:rsidRPr="00C62AA5">
        <w:t>Varieties</w:t>
      </w:r>
    </w:p>
    <w:p w:rsidR="002067FD" w:rsidRDefault="002067FD" w:rsidP="002067FD">
      <w:pPr>
        <w:rPr>
          <w:b/>
          <w:i/>
          <w:lang w:eastAsia="ja-JP"/>
        </w:rPr>
      </w:pPr>
    </w:p>
    <w:p w:rsidR="002067FD" w:rsidRDefault="00376240" w:rsidP="002067FD">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067FD">
        <w:t>The approach is to use only publicly available lines to ensure accessibility to all.  The other key component is to ensure that the genetic diversity of the crop species is well represented for the appropriate area of adaptation.  Key founders and historically important varieties play an important role since they constitute the genetic foundation of most current inbred lines and varieties.  It is also important to select inbred lines and varieties used in the study that have themselves either been declared as distinct by comparisons of PVP authorities on their morphological characteristics or they themselves constitute members of reference sets that are used by PVP authorities in the determination of distinctness. This added criterion is meaningful because all marker results can be interpreted with the knowledge that all varieties have been deemed distinct through traditional morphology DUS testing.  In other words, marker thresholds represent a marker based metric which is calibrated directly from morphologically based thresholds in use by the PVP authorities.  Marker based thresholds are essentially determined by and grounded in morphology.</w:t>
      </w:r>
    </w:p>
    <w:p w:rsidR="002067FD" w:rsidRDefault="002067FD" w:rsidP="002067FD">
      <w:pPr>
        <w:rPr>
          <w:b/>
          <w:i/>
          <w:lang w:eastAsia="ja-JP"/>
        </w:rPr>
      </w:pPr>
    </w:p>
    <w:p w:rsidR="002067FD" w:rsidRDefault="002067FD" w:rsidP="002067FD">
      <w:pPr>
        <w:pStyle w:val="Heading2"/>
        <w:rPr>
          <w:lang w:eastAsia="ja-JP"/>
        </w:rPr>
      </w:pPr>
      <w:r w:rsidRPr="00C91628">
        <w:t>Molecular Markers</w:t>
      </w:r>
    </w:p>
    <w:p w:rsidR="002067FD" w:rsidRDefault="002067FD" w:rsidP="002067FD">
      <w:pPr>
        <w:rPr>
          <w:lang w:eastAsia="ja-JP"/>
        </w:rPr>
      </w:pPr>
    </w:p>
    <w:p w:rsidR="002067FD" w:rsidRDefault="00376240" w:rsidP="002067FD">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067FD">
        <w:t>As with varieties, the markers used in the study must be publicly known and accessible to all for use.  Generally, markers should be high quality, informative, and evenly distributed throughout the genome and collectively be able to achieve high discrimination ability among inbred lines or varieties.  Many crop species have high density marker sets available in number from 1000 – 100,000 markers.  It is important to ensure use of a sufficient number of markers to have a low standard error i.e. a sufficiently high level of precision in measuring genetic distance between pairs of inbred lines or varieties.</w:t>
      </w:r>
    </w:p>
    <w:p w:rsidR="00376240" w:rsidRDefault="00376240" w:rsidP="002067FD">
      <w:pPr>
        <w:rPr>
          <w:lang w:eastAsia="ja-JP"/>
        </w:rPr>
      </w:pPr>
    </w:p>
    <w:p w:rsidR="002067FD" w:rsidRDefault="00376240" w:rsidP="002067FD">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067FD">
        <w:t xml:space="preserve">It is also important to define the specific public marker set to be used in the process.  This avoids the potential issues of using different marker sets for different comparisons in a given species, which also causes problems when applying a specific threshold for distinctness.  Defining the specific markers ensures all analysis is uniform across stakeholders, i.e. the same marker set enables harmonization. </w:t>
      </w:r>
    </w:p>
    <w:p w:rsidR="002067FD" w:rsidRDefault="002067FD" w:rsidP="002067FD">
      <w:pPr>
        <w:rPr>
          <w:b/>
          <w:i/>
          <w:lang w:eastAsia="ja-JP"/>
        </w:rPr>
      </w:pPr>
    </w:p>
    <w:p w:rsidR="002067FD" w:rsidRDefault="002067FD" w:rsidP="002067FD">
      <w:pPr>
        <w:pStyle w:val="Heading2"/>
        <w:rPr>
          <w:lang w:eastAsia="ja-JP"/>
        </w:rPr>
      </w:pPr>
      <w:r w:rsidRPr="004E5903">
        <w:t>Analysis</w:t>
      </w:r>
    </w:p>
    <w:p w:rsidR="002067FD" w:rsidRDefault="002067FD" w:rsidP="002067FD">
      <w:pPr>
        <w:rPr>
          <w:lang w:eastAsia="ja-JP"/>
        </w:rPr>
      </w:pPr>
    </w:p>
    <w:p w:rsidR="002067FD" w:rsidRDefault="00376240" w:rsidP="002067FD">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067FD">
        <w:t>Detailed molecular marker data of inbred lines and varieties can be considered as divulging proprietary information according to the IP environment.  In these circumstances, it is important to be able to utilize genetic distance data calculated using marker data without divulging the marker data per se.  To address this issue, the working group is focused on simple pair-wise similarities (or genetic distances) for variety comparisons.  This provides a clear interpretation that is scientifically derived, while avoiding issues associated with divulging marker profiles of proprietary varieties.</w:t>
      </w:r>
    </w:p>
    <w:p w:rsidR="002067FD" w:rsidRDefault="002067FD" w:rsidP="002067FD">
      <w:pPr>
        <w:rPr>
          <w:b/>
          <w:lang w:eastAsia="ja-JP"/>
        </w:rPr>
      </w:pPr>
    </w:p>
    <w:p w:rsidR="002067FD" w:rsidRDefault="002067FD" w:rsidP="002067FD">
      <w:pPr>
        <w:rPr>
          <w:b/>
          <w:lang w:eastAsia="ja-JP"/>
        </w:rPr>
      </w:pPr>
    </w:p>
    <w:p w:rsidR="002067FD" w:rsidRDefault="002067FD" w:rsidP="002067FD">
      <w:pPr>
        <w:pStyle w:val="Heading1"/>
      </w:pPr>
      <w:r w:rsidRPr="007D370D">
        <w:t>Defining Preliminary Threshold</w:t>
      </w:r>
    </w:p>
    <w:p w:rsidR="002067FD" w:rsidRPr="007D370D" w:rsidRDefault="002067FD" w:rsidP="002067FD">
      <w:pPr>
        <w:rPr>
          <w:b/>
          <w:lang w:eastAsia="ja-JP"/>
        </w:rPr>
      </w:pPr>
    </w:p>
    <w:p w:rsidR="002067FD" w:rsidRDefault="00376240" w:rsidP="002067FD">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067FD">
        <w:t xml:space="preserve">With a working data set defined, pairwise similarities among all public varieties can be calculated.  A simple step to begin arriving at a similarity threshold is to analyze the frequencies of all pairwise similarity levels.  There will likely be a point where the frequency of pairs drops off at the higher similarity levels.  At this point it becomes valuable also to look at pedigree information in relation to these higher levels of similar pairs to evaluate the relationships.  For example, if only 1% of all pairs in the study are &gt;90% similar by markers, and there is a strong pedigree relationship, then we would anticipate a threshold above 90%.  The next factor to evaluate would be morphology.  Since all varieties in the test have been proven distinct, evaluation of morphological traits can be helpful since there may be strong trait differences even though broad genome evaluation produces similarities above 90%.  </w:t>
      </w:r>
    </w:p>
    <w:p w:rsidR="002067FD" w:rsidRDefault="002067FD" w:rsidP="002067FD">
      <w:pPr>
        <w:rPr>
          <w:b/>
          <w:lang w:eastAsia="ja-JP"/>
        </w:rPr>
      </w:pPr>
    </w:p>
    <w:p w:rsidR="002067FD" w:rsidRDefault="002067FD" w:rsidP="002067FD">
      <w:pPr>
        <w:rPr>
          <w:b/>
          <w:lang w:eastAsia="ja-JP"/>
        </w:rPr>
      </w:pPr>
    </w:p>
    <w:p w:rsidR="00376240" w:rsidRDefault="00376240">
      <w:pPr>
        <w:jc w:val="left"/>
        <w:rPr>
          <w:caps/>
          <w:lang w:eastAsia="ja-JP"/>
        </w:rPr>
      </w:pPr>
      <w:r>
        <w:br w:type="page"/>
      </w:r>
    </w:p>
    <w:p w:rsidR="002067FD" w:rsidRPr="00644C3F" w:rsidRDefault="002067FD" w:rsidP="002067FD">
      <w:pPr>
        <w:pStyle w:val="Heading1"/>
      </w:pPr>
      <w:r w:rsidRPr="00644C3F">
        <w:lastRenderedPageBreak/>
        <w:t xml:space="preserve">Validation </w:t>
      </w:r>
    </w:p>
    <w:p w:rsidR="002067FD" w:rsidRDefault="002067FD" w:rsidP="002067FD">
      <w:pPr>
        <w:rPr>
          <w:lang w:eastAsia="ja-JP"/>
        </w:rPr>
      </w:pPr>
    </w:p>
    <w:p w:rsidR="002067FD" w:rsidRDefault="00376240" w:rsidP="002067FD">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067FD">
        <w:t>Once a preliminary similarity threshold is agreed upon based on the public data set, the next step would be to validate the threshold on more recently developed inbred lines or varieties.   To avoid intellectual property conflicts, we have agreed that each stakeholder within their respective organization will apply the preliminary threshold using their own proprietary varieties to validate.  If the threshold is acceptable to all, then the threshold could be considered for implementation.  If some stakeholders disagree with the threshold, then the process can revert back to the public data set to arrive at other threshold options.  In addition, more varieties may be added to the public data set to address specific stakeholder concerns.</w:t>
      </w:r>
    </w:p>
    <w:p w:rsidR="002067FD" w:rsidRDefault="002067FD" w:rsidP="002067FD">
      <w:pPr>
        <w:rPr>
          <w:b/>
          <w:lang w:eastAsia="ja-JP"/>
        </w:rPr>
      </w:pPr>
    </w:p>
    <w:p w:rsidR="002067FD" w:rsidRDefault="002067FD" w:rsidP="002067FD">
      <w:pPr>
        <w:rPr>
          <w:b/>
          <w:lang w:eastAsia="ja-JP"/>
        </w:rPr>
      </w:pPr>
    </w:p>
    <w:p w:rsidR="002067FD" w:rsidRDefault="002067FD" w:rsidP="002067FD">
      <w:pPr>
        <w:pStyle w:val="Heading1"/>
      </w:pPr>
      <w:r w:rsidRPr="00440CF3">
        <w:t>Summary</w:t>
      </w:r>
    </w:p>
    <w:p w:rsidR="002067FD" w:rsidRDefault="002067FD" w:rsidP="002067FD">
      <w:pPr>
        <w:rPr>
          <w:b/>
          <w:lang w:eastAsia="ja-JP"/>
        </w:rPr>
      </w:pPr>
    </w:p>
    <w:p w:rsidR="002067FD" w:rsidRDefault="00376240" w:rsidP="002067FD">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002067FD">
        <w:t>This overview provides a model approach to expanding use of markers in DUS testing that is consistent with molecular maker uses approved by UPOV.  The project requires effective collaboration and transparency through the analytical process and avoids potential issues around intellectual property rights.  The use of public data sets to arrive at similarity thresholds is important because the inbred lines or varieties under study have already either been declared as distinct on the basis of comparative morphology, or they are used by PVP authorities as reference varieties for those morphological comparisons.  The exercise is therefore one of calibrating SNP data using inbred lines and varieties that have already been judged as distinct on the basis of morphology.  The use of a simple genetic similarity calculation provides a means to avoid the potential for IP sensitive issues represented by the raw marker data and requires no special databases or software for examination.</w:t>
      </w:r>
    </w:p>
    <w:p w:rsidR="002067FD" w:rsidRDefault="002067FD" w:rsidP="002067FD">
      <w:pPr>
        <w:rPr>
          <w:rFonts w:ascii="Calibri" w:hAnsi="Calibri"/>
          <w:b/>
          <w:lang w:eastAsia="ja-JP"/>
        </w:rPr>
      </w:pPr>
    </w:p>
    <w:p w:rsidR="002067FD" w:rsidRPr="00DC7F44" w:rsidRDefault="002067FD" w:rsidP="002067FD">
      <w:pPr>
        <w:pStyle w:val="Heading1"/>
      </w:pPr>
      <w:r w:rsidRPr="00DC7F44">
        <w:t>References</w:t>
      </w:r>
    </w:p>
    <w:p w:rsidR="002067FD" w:rsidRDefault="002067FD" w:rsidP="002067FD">
      <w:pPr>
        <w:autoSpaceDE w:val="0"/>
        <w:autoSpaceDN w:val="0"/>
        <w:adjustRightInd w:val="0"/>
        <w:rPr>
          <w:rFonts w:ascii="Calibri" w:hAnsi="Calibri" w:cs="TimesNewRoman"/>
          <w:color w:val="000000"/>
          <w:lang w:eastAsia="ja-JP"/>
        </w:rPr>
      </w:pPr>
    </w:p>
    <w:p w:rsidR="002067FD" w:rsidRPr="0060588D" w:rsidRDefault="002067FD" w:rsidP="002067FD">
      <w:pPr>
        <w:autoSpaceDE w:val="0"/>
        <w:autoSpaceDN w:val="0"/>
        <w:adjustRightInd w:val="0"/>
        <w:rPr>
          <w:rFonts w:cs="Arial"/>
        </w:rPr>
      </w:pPr>
      <w:proofErr w:type="gramStart"/>
      <w:r w:rsidRPr="0060588D">
        <w:rPr>
          <w:rFonts w:cs="Arial"/>
          <w:color w:val="000000"/>
        </w:rPr>
        <w:t>ISF.</w:t>
      </w:r>
      <w:proofErr w:type="gramEnd"/>
      <w:r w:rsidRPr="0060588D">
        <w:rPr>
          <w:rFonts w:cs="Arial"/>
          <w:color w:val="000000"/>
        </w:rPr>
        <w:t xml:space="preserve"> 2014. ISF guidelines for handling disputes on essential derivation of maize lines. </w:t>
      </w:r>
      <w:proofErr w:type="gramStart"/>
      <w:r w:rsidRPr="0060588D">
        <w:rPr>
          <w:rFonts w:cs="Arial"/>
          <w:color w:val="000000"/>
        </w:rPr>
        <w:t>Adopted by the ISF field crop section in Beijing in May 2014.</w:t>
      </w:r>
      <w:proofErr w:type="gramEnd"/>
      <w:r w:rsidRPr="0060588D">
        <w:rPr>
          <w:rFonts w:cs="Arial"/>
          <w:color w:val="000000"/>
        </w:rPr>
        <w:t xml:space="preserve"> </w:t>
      </w:r>
      <w:proofErr w:type="gramStart"/>
      <w:r w:rsidRPr="0060588D">
        <w:rPr>
          <w:rFonts w:cs="Arial"/>
          <w:color w:val="000000"/>
        </w:rPr>
        <w:t xml:space="preserve">ISF, </w:t>
      </w:r>
      <w:proofErr w:type="spellStart"/>
      <w:r w:rsidRPr="0060588D">
        <w:rPr>
          <w:rFonts w:cs="Arial"/>
          <w:color w:val="000000"/>
        </w:rPr>
        <w:t>Nyon</w:t>
      </w:r>
      <w:proofErr w:type="spellEnd"/>
      <w:r w:rsidRPr="0060588D">
        <w:rPr>
          <w:rFonts w:cs="Arial"/>
          <w:color w:val="000000"/>
        </w:rPr>
        <w:t>, Switzerland.</w:t>
      </w:r>
      <w:proofErr w:type="gramEnd"/>
      <w:r w:rsidRPr="0060588D">
        <w:rPr>
          <w:rFonts w:cs="Arial"/>
          <w:color w:val="000000"/>
        </w:rPr>
        <w:t xml:space="preserve"> </w:t>
      </w:r>
      <w:proofErr w:type="gramStart"/>
      <w:r w:rsidRPr="0060588D">
        <w:rPr>
          <w:rFonts w:cs="Arial"/>
          <w:color w:val="000000"/>
        </w:rPr>
        <w:t xml:space="preserve">3pp. </w:t>
      </w:r>
      <w:r w:rsidRPr="0060588D">
        <w:rPr>
          <w:rFonts w:cs="Arial"/>
          <w:color w:val="0E2034"/>
        </w:rPr>
        <w:t>http://www.worldseed.org/isf/edv.html</w:t>
      </w:r>
      <w:r w:rsidRPr="0060588D">
        <w:rPr>
          <w:rFonts w:cs="Arial"/>
          <w:color w:val="000000"/>
        </w:rPr>
        <w:t>.</w:t>
      </w:r>
      <w:proofErr w:type="gramEnd"/>
    </w:p>
    <w:p w:rsidR="002067FD" w:rsidRPr="0060588D" w:rsidRDefault="002067FD" w:rsidP="002067FD">
      <w:pPr>
        <w:autoSpaceDE w:val="0"/>
        <w:autoSpaceDN w:val="0"/>
        <w:adjustRightInd w:val="0"/>
        <w:rPr>
          <w:rFonts w:cs="Arial"/>
        </w:rPr>
      </w:pPr>
    </w:p>
    <w:p w:rsidR="00A6518D" w:rsidRPr="0060588D" w:rsidRDefault="00A6518D" w:rsidP="00A6518D">
      <w:pPr>
        <w:autoSpaceDE w:val="0"/>
        <w:autoSpaceDN w:val="0"/>
        <w:adjustRightInd w:val="0"/>
        <w:rPr>
          <w:rFonts w:cs="Arial"/>
        </w:rPr>
      </w:pPr>
      <w:proofErr w:type="gramStart"/>
      <w:r>
        <w:rPr>
          <w:rFonts w:cs="Arial"/>
        </w:rPr>
        <w:t>UPOV.</w:t>
      </w:r>
      <w:proofErr w:type="gramEnd"/>
      <w:r>
        <w:rPr>
          <w:rFonts w:cs="Arial"/>
        </w:rPr>
        <w:t xml:space="preserve"> 2013</w:t>
      </w:r>
      <w:r w:rsidRPr="0060588D">
        <w:rPr>
          <w:rFonts w:cs="Arial"/>
        </w:rPr>
        <w:t>.</w:t>
      </w:r>
      <w:r>
        <w:rPr>
          <w:rFonts w:cs="Arial"/>
        </w:rPr>
        <w:t xml:space="preserve"> </w:t>
      </w:r>
      <w:r w:rsidRPr="00A6518D">
        <w:rPr>
          <w:rFonts w:cs="Arial"/>
        </w:rPr>
        <w:t>Guidance on the Use of Biochemical and Molecular Markers in the Examination of Distinctness, Uniformity and Stability (DUS)</w:t>
      </w:r>
      <w:r>
        <w:rPr>
          <w:rFonts w:cs="Arial"/>
        </w:rPr>
        <w:t xml:space="preserve">. </w:t>
      </w:r>
      <w:proofErr w:type="gramStart"/>
      <w:r>
        <w:rPr>
          <w:rFonts w:cs="Arial"/>
        </w:rPr>
        <w:t>TGP/15/1 with 2</w:t>
      </w:r>
      <w:r w:rsidRPr="0060588D">
        <w:rPr>
          <w:rFonts w:cs="Arial"/>
        </w:rPr>
        <w:t xml:space="preserve"> annexes.</w:t>
      </w:r>
      <w:proofErr w:type="gramEnd"/>
      <w:r>
        <w:rPr>
          <w:rFonts w:cs="Arial"/>
        </w:rPr>
        <w:t xml:space="preserve"> </w:t>
      </w:r>
      <w:proofErr w:type="gramStart"/>
      <w:r>
        <w:rPr>
          <w:rFonts w:cs="Arial"/>
        </w:rPr>
        <w:t>UPOV, Geneva, Switzerland.</w:t>
      </w:r>
      <w:proofErr w:type="gramEnd"/>
      <w:r>
        <w:rPr>
          <w:rFonts w:cs="Arial"/>
        </w:rPr>
        <w:t xml:space="preserve"> </w:t>
      </w:r>
      <w:proofErr w:type="gramStart"/>
      <w:r>
        <w:rPr>
          <w:rFonts w:cs="Arial"/>
        </w:rPr>
        <w:t>p.10</w:t>
      </w:r>
      <w:r w:rsidRPr="0060588D">
        <w:rPr>
          <w:rFonts w:cs="Arial"/>
        </w:rPr>
        <w:t>.</w:t>
      </w:r>
      <w:proofErr w:type="gramEnd"/>
    </w:p>
    <w:p w:rsidR="00776F76" w:rsidRDefault="00776F76" w:rsidP="002F6782">
      <w:pPr>
        <w:rPr>
          <w:rFonts w:cs="Arial"/>
          <w:lang w:eastAsia="ja-JP"/>
        </w:rPr>
      </w:pPr>
    </w:p>
    <w:p w:rsidR="00A6518D" w:rsidRDefault="00A6518D" w:rsidP="002F6782">
      <w:pPr>
        <w:rPr>
          <w:rFonts w:cs="Arial"/>
          <w:lang w:eastAsia="ja-JP"/>
        </w:rPr>
      </w:pPr>
    </w:p>
    <w:p w:rsidR="002F6782" w:rsidRPr="00776F76" w:rsidRDefault="002F6782" w:rsidP="002F6782">
      <w:pPr>
        <w:rPr>
          <w:rFonts w:cs="Arial"/>
          <w:lang w:eastAsia="ja-JP"/>
        </w:rPr>
      </w:pPr>
    </w:p>
    <w:p w:rsidR="00776F76" w:rsidRDefault="00776F76" w:rsidP="002F6782">
      <w:pPr>
        <w:rPr>
          <w:rFonts w:cs="Arial"/>
          <w:lang w:eastAsia="ja-JP"/>
        </w:rPr>
      </w:pPr>
    </w:p>
    <w:p w:rsidR="002067FD" w:rsidRPr="00EB1539" w:rsidRDefault="002067FD" w:rsidP="002067FD">
      <w:pPr>
        <w:rPr>
          <w:b/>
        </w:rPr>
      </w:pPr>
      <w:r>
        <w:t>Barry Nelson</w:t>
      </w:r>
      <w:r w:rsidRPr="00EB1539">
        <w:rPr>
          <w:vertAlign w:val="superscript"/>
        </w:rPr>
        <w:t>1</w:t>
      </w:r>
      <w:r>
        <w:t xml:space="preserve"> and Frederic Achard</w:t>
      </w:r>
      <w:r w:rsidRPr="00EB1539">
        <w:rPr>
          <w:vertAlign w:val="superscript"/>
        </w:rPr>
        <w:t>2</w:t>
      </w:r>
    </w:p>
    <w:p w:rsidR="002067FD" w:rsidRDefault="002067FD" w:rsidP="002067FD">
      <w:pPr>
        <w:rPr>
          <w:vertAlign w:val="superscript"/>
          <w:lang w:eastAsia="ja-JP"/>
        </w:rPr>
      </w:pPr>
    </w:p>
    <w:p w:rsidR="002067FD" w:rsidRDefault="002067FD" w:rsidP="002067FD">
      <w:r w:rsidRPr="00EB1539">
        <w:rPr>
          <w:vertAlign w:val="superscript"/>
        </w:rPr>
        <w:t>1</w:t>
      </w:r>
      <w:r>
        <w:t>DuPont Pioneer, 7300 NW 62</w:t>
      </w:r>
      <w:r w:rsidRPr="005E326C">
        <w:rPr>
          <w:vertAlign w:val="superscript"/>
        </w:rPr>
        <w:t>nd</w:t>
      </w:r>
      <w:r>
        <w:t xml:space="preserve"> Ave., Johnston, IA 50131, USA</w:t>
      </w:r>
    </w:p>
    <w:p w:rsidR="002067FD" w:rsidRDefault="002067FD" w:rsidP="002067FD">
      <w:r w:rsidRPr="00EB1539">
        <w:rPr>
          <w:vertAlign w:val="superscript"/>
        </w:rPr>
        <w:t>2</w:t>
      </w:r>
      <w:r>
        <w:t>Monsanto Company, 800 North Lindbergh Boulevard, St. Louis, MO 63167, USA</w:t>
      </w:r>
    </w:p>
    <w:p w:rsidR="002067FD" w:rsidRDefault="002067FD" w:rsidP="002F6782">
      <w:pPr>
        <w:rPr>
          <w:rFonts w:cs="Arial"/>
          <w:lang w:eastAsia="ja-JP"/>
        </w:rPr>
      </w:pPr>
    </w:p>
    <w:p w:rsidR="002067FD" w:rsidRDefault="002067FD" w:rsidP="002F6782">
      <w:pPr>
        <w:rPr>
          <w:rFonts w:cs="Arial"/>
          <w:lang w:eastAsia="ja-JP"/>
        </w:rPr>
      </w:pPr>
    </w:p>
    <w:p w:rsidR="002F6782" w:rsidRDefault="0060588D" w:rsidP="0060588D">
      <w:pPr>
        <w:jc w:val="right"/>
        <w:rPr>
          <w:rFonts w:cs="Arial"/>
          <w:lang w:eastAsia="ja-JP"/>
        </w:rPr>
      </w:pPr>
      <w:r>
        <w:rPr>
          <w:rFonts w:cs="Arial" w:hint="eastAsia"/>
          <w:lang w:eastAsia="ja-JP"/>
        </w:rPr>
        <w:t>[End of document]</w:t>
      </w:r>
    </w:p>
    <w:sectPr w:rsidR="002F6782" w:rsidSect="0060588D">
      <w:headerReference w:type="default" r:id="rId10"/>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7FD" w:rsidRDefault="002067FD" w:rsidP="006655D3">
      <w:r>
        <w:separator/>
      </w:r>
    </w:p>
    <w:p w:rsidR="002067FD" w:rsidRDefault="002067FD" w:rsidP="006655D3"/>
    <w:p w:rsidR="002067FD" w:rsidRDefault="002067FD" w:rsidP="006655D3"/>
  </w:endnote>
  <w:endnote w:type="continuationSeparator" w:id="0">
    <w:p w:rsidR="002067FD" w:rsidRDefault="002067FD" w:rsidP="006655D3">
      <w:r>
        <w:separator/>
      </w:r>
    </w:p>
    <w:p w:rsidR="002067FD" w:rsidRPr="008B409A" w:rsidRDefault="002067FD">
      <w:pPr>
        <w:pStyle w:val="Footer"/>
        <w:spacing w:after="60"/>
        <w:rPr>
          <w:sz w:val="18"/>
          <w:lang w:val="fr-CH"/>
        </w:rPr>
      </w:pPr>
      <w:r w:rsidRPr="008B409A">
        <w:rPr>
          <w:sz w:val="18"/>
          <w:lang w:val="fr-CH"/>
        </w:rPr>
        <w:t>[Suite de la note de la page précédente]</w:t>
      </w:r>
    </w:p>
    <w:p w:rsidR="002067FD" w:rsidRPr="008B409A" w:rsidRDefault="002067FD" w:rsidP="006655D3">
      <w:pPr>
        <w:rPr>
          <w:lang w:val="fr-CH"/>
        </w:rPr>
      </w:pPr>
    </w:p>
    <w:p w:rsidR="002067FD" w:rsidRPr="008B409A" w:rsidRDefault="002067FD" w:rsidP="006655D3">
      <w:pPr>
        <w:rPr>
          <w:lang w:val="fr-CH"/>
        </w:rPr>
      </w:pPr>
    </w:p>
  </w:endnote>
  <w:endnote w:type="continuationNotice" w:id="1">
    <w:p w:rsidR="002067FD" w:rsidRPr="008B409A" w:rsidRDefault="002067FD" w:rsidP="006655D3">
      <w:pPr>
        <w:rPr>
          <w:lang w:val="fr-CH"/>
        </w:rPr>
      </w:pPr>
      <w:r w:rsidRPr="008B409A">
        <w:rPr>
          <w:lang w:val="fr-CH"/>
        </w:rPr>
        <w:t>[Suite de la note page suivante]</w:t>
      </w:r>
    </w:p>
    <w:p w:rsidR="002067FD" w:rsidRPr="008B409A" w:rsidRDefault="002067FD" w:rsidP="006655D3">
      <w:pPr>
        <w:rPr>
          <w:lang w:val="fr-CH"/>
        </w:rPr>
      </w:pPr>
    </w:p>
    <w:p w:rsidR="002067FD" w:rsidRPr="008B409A" w:rsidRDefault="002067F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New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7FD" w:rsidRDefault="002067FD" w:rsidP="006655D3">
      <w:r>
        <w:separator/>
      </w:r>
    </w:p>
  </w:footnote>
  <w:footnote w:type="continuationSeparator" w:id="0">
    <w:p w:rsidR="002067FD" w:rsidRDefault="002067FD" w:rsidP="006655D3">
      <w:r>
        <w:separator/>
      </w:r>
    </w:p>
  </w:footnote>
  <w:footnote w:type="continuationNotice" w:id="1">
    <w:p w:rsidR="002067FD" w:rsidRPr="00AB530F" w:rsidRDefault="002067F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7FD" w:rsidRPr="00832298" w:rsidRDefault="002067FD" w:rsidP="00832298">
    <w:pPr>
      <w:pStyle w:val="Header"/>
      <w:rPr>
        <w:lang w:eastAsia="ja-JP"/>
      </w:rPr>
    </w:pPr>
    <w:r>
      <w:t>BMT/1</w:t>
    </w:r>
    <w:r>
      <w:rPr>
        <w:rFonts w:hint="eastAsia"/>
        <w:lang w:eastAsia="ja-JP"/>
      </w:rPr>
      <w:t>5</w:t>
    </w:r>
    <w:r w:rsidRPr="00832298">
      <w:t>/</w:t>
    </w:r>
    <w:r w:rsidR="0060588D">
      <w:rPr>
        <w:rFonts w:hint="eastAsia"/>
        <w:lang w:eastAsia="ja-JP"/>
      </w:rPr>
      <w:t>12</w:t>
    </w:r>
  </w:p>
  <w:p w:rsidR="002067FD" w:rsidRPr="00C5280D" w:rsidRDefault="002067FD"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5368F2">
      <w:rPr>
        <w:noProof/>
      </w:rPr>
      <w:t>3</w:t>
    </w:r>
    <w:r w:rsidRPr="00832298">
      <w:fldChar w:fldCharType="end"/>
    </w:r>
  </w:p>
  <w:p w:rsidR="002067FD" w:rsidRPr="00C5280D" w:rsidRDefault="002067FD" w:rsidP="00832298">
    <w:pPr>
      <w:pStyle w:val="Header"/>
    </w:pPr>
  </w:p>
  <w:p w:rsidR="002067FD" w:rsidRDefault="002067F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62C27FF"/>
    <w:multiLevelType w:val="hybridMultilevel"/>
    <w:tmpl w:val="5686DCA4"/>
    <w:lvl w:ilvl="0" w:tplc="90BAC24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92248A"/>
    <w:multiLevelType w:val="hybridMultilevel"/>
    <w:tmpl w:val="61F45FF0"/>
    <w:lvl w:ilvl="0" w:tplc="D99E40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420D8"/>
    <w:multiLevelType w:val="hybridMultilevel"/>
    <w:tmpl w:val="EE14009E"/>
    <w:lvl w:ilvl="0" w:tplc="E488C07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D50F85"/>
    <w:multiLevelType w:val="hybridMultilevel"/>
    <w:tmpl w:val="6788380C"/>
    <w:lvl w:ilvl="0" w:tplc="A37C5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25D88"/>
    <w:multiLevelType w:val="hybridMultilevel"/>
    <w:tmpl w:val="6788380C"/>
    <w:lvl w:ilvl="0" w:tplc="A37C5C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475B93"/>
    <w:multiLevelType w:val="hybridMultilevel"/>
    <w:tmpl w:val="A9800C10"/>
    <w:lvl w:ilvl="0" w:tplc="B862FC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5"/>
  </w:num>
  <w:num w:numId="14">
    <w:abstractNumId w:val="13"/>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2C9"/>
    <w:rsid w:val="00010CF3"/>
    <w:rsid w:val="00011E27"/>
    <w:rsid w:val="000148BC"/>
    <w:rsid w:val="00024AB8"/>
    <w:rsid w:val="00030854"/>
    <w:rsid w:val="00036028"/>
    <w:rsid w:val="00044642"/>
    <w:rsid w:val="000446B9"/>
    <w:rsid w:val="00047E21"/>
    <w:rsid w:val="00047F67"/>
    <w:rsid w:val="00085505"/>
    <w:rsid w:val="000909D3"/>
    <w:rsid w:val="00091A90"/>
    <w:rsid w:val="000A73BF"/>
    <w:rsid w:val="000C4C93"/>
    <w:rsid w:val="000C7021"/>
    <w:rsid w:val="000D6BBC"/>
    <w:rsid w:val="000D7780"/>
    <w:rsid w:val="00105929"/>
    <w:rsid w:val="001131D5"/>
    <w:rsid w:val="001322D2"/>
    <w:rsid w:val="00141DB8"/>
    <w:rsid w:val="0017474A"/>
    <w:rsid w:val="001758C6"/>
    <w:rsid w:val="00182B99"/>
    <w:rsid w:val="0018780B"/>
    <w:rsid w:val="00195F91"/>
    <w:rsid w:val="002067FD"/>
    <w:rsid w:val="0021332C"/>
    <w:rsid w:val="00213982"/>
    <w:rsid w:val="0024416D"/>
    <w:rsid w:val="00244CD5"/>
    <w:rsid w:val="002800A0"/>
    <w:rsid w:val="002801B3"/>
    <w:rsid w:val="00281060"/>
    <w:rsid w:val="002940E8"/>
    <w:rsid w:val="002A6E50"/>
    <w:rsid w:val="002C256A"/>
    <w:rsid w:val="002C6B34"/>
    <w:rsid w:val="002F6782"/>
    <w:rsid w:val="00305A7F"/>
    <w:rsid w:val="00305C81"/>
    <w:rsid w:val="003152FE"/>
    <w:rsid w:val="0032500D"/>
    <w:rsid w:val="00327436"/>
    <w:rsid w:val="00330F82"/>
    <w:rsid w:val="0034055F"/>
    <w:rsid w:val="00344BD6"/>
    <w:rsid w:val="0035528D"/>
    <w:rsid w:val="00361821"/>
    <w:rsid w:val="00376240"/>
    <w:rsid w:val="003B3894"/>
    <w:rsid w:val="003C62C9"/>
    <w:rsid w:val="003D227C"/>
    <w:rsid w:val="003D2B4D"/>
    <w:rsid w:val="003E798B"/>
    <w:rsid w:val="00444A88"/>
    <w:rsid w:val="00474DA4"/>
    <w:rsid w:val="00476B4D"/>
    <w:rsid w:val="004805FA"/>
    <w:rsid w:val="00493C74"/>
    <w:rsid w:val="004A57EB"/>
    <w:rsid w:val="004C4135"/>
    <w:rsid w:val="004D047D"/>
    <w:rsid w:val="004F305A"/>
    <w:rsid w:val="00512164"/>
    <w:rsid w:val="00520297"/>
    <w:rsid w:val="00522B83"/>
    <w:rsid w:val="005338F9"/>
    <w:rsid w:val="005368F2"/>
    <w:rsid w:val="0054281C"/>
    <w:rsid w:val="0055268D"/>
    <w:rsid w:val="00576BE4"/>
    <w:rsid w:val="0057736E"/>
    <w:rsid w:val="005A400A"/>
    <w:rsid w:val="006038D1"/>
    <w:rsid w:val="0060588D"/>
    <w:rsid w:val="00612379"/>
    <w:rsid w:val="0061555F"/>
    <w:rsid w:val="0062421C"/>
    <w:rsid w:val="00641200"/>
    <w:rsid w:val="006655D3"/>
    <w:rsid w:val="00667404"/>
    <w:rsid w:val="00673406"/>
    <w:rsid w:val="00685222"/>
    <w:rsid w:val="00685E8B"/>
    <w:rsid w:val="00687EB4"/>
    <w:rsid w:val="006B17D2"/>
    <w:rsid w:val="006C224E"/>
    <w:rsid w:val="006D780A"/>
    <w:rsid w:val="006E1436"/>
    <w:rsid w:val="006E1CF5"/>
    <w:rsid w:val="00706B08"/>
    <w:rsid w:val="00732DEC"/>
    <w:rsid w:val="00735BD5"/>
    <w:rsid w:val="007556F6"/>
    <w:rsid w:val="00760EEF"/>
    <w:rsid w:val="00776F76"/>
    <w:rsid w:val="00777EE5"/>
    <w:rsid w:val="00784836"/>
    <w:rsid w:val="0079023E"/>
    <w:rsid w:val="007A2854"/>
    <w:rsid w:val="007B2F0F"/>
    <w:rsid w:val="007B7A8F"/>
    <w:rsid w:val="007D0B9D"/>
    <w:rsid w:val="007D19B0"/>
    <w:rsid w:val="007F498F"/>
    <w:rsid w:val="0080679D"/>
    <w:rsid w:val="008108B0"/>
    <w:rsid w:val="00811B20"/>
    <w:rsid w:val="0082296E"/>
    <w:rsid w:val="00824099"/>
    <w:rsid w:val="00832298"/>
    <w:rsid w:val="00850DC5"/>
    <w:rsid w:val="00867AC1"/>
    <w:rsid w:val="00876C58"/>
    <w:rsid w:val="008A743F"/>
    <w:rsid w:val="008B409A"/>
    <w:rsid w:val="008C0970"/>
    <w:rsid w:val="008D2CF7"/>
    <w:rsid w:val="008F3E4B"/>
    <w:rsid w:val="00900C26"/>
    <w:rsid w:val="0090197F"/>
    <w:rsid w:val="00903656"/>
    <w:rsid w:val="00906DDC"/>
    <w:rsid w:val="00932BD9"/>
    <w:rsid w:val="00934E09"/>
    <w:rsid w:val="00936253"/>
    <w:rsid w:val="00941721"/>
    <w:rsid w:val="00952DD4"/>
    <w:rsid w:val="009537B8"/>
    <w:rsid w:val="00970FED"/>
    <w:rsid w:val="00997029"/>
    <w:rsid w:val="009D690D"/>
    <w:rsid w:val="009E65B6"/>
    <w:rsid w:val="00A02FB5"/>
    <w:rsid w:val="00A20080"/>
    <w:rsid w:val="00A24C10"/>
    <w:rsid w:val="00A42AC3"/>
    <w:rsid w:val="00A430CF"/>
    <w:rsid w:val="00A54309"/>
    <w:rsid w:val="00A6518D"/>
    <w:rsid w:val="00AB2B93"/>
    <w:rsid w:val="00AB530F"/>
    <w:rsid w:val="00AB7E5B"/>
    <w:rsid w:val="00AE0EF1"/>
    <w:rsid w:val="00AE2937"/>
    <w:rsid w:val="00AE5B25"/>
    <w:rsid w:val="00B07301"/>
    <w:rsid w:val="00B12358"/>
    <w:rsid w:val="00B224DE"/>
    <w:rsid w:val="00B46575"/>
    <w:rsid w:val="00B71046"/>
    <w:rsid w:val="00B71144"/>
    <w:rsid w:val="00B84BBD"/>
    <w:rsid w:val="00BA43FB"/>
    <w:rsid w:val="00BB0967"/>
    <w:rsid w:val="00BC127D"/>
    <w:rsid w:val="00BC1FE6"/>
    <w:rsid w:val="00C061B6"/>
    <w:rsid w:val="00C2446C"/>
    <w:rsid w:val="00C36AE5"/>
    <w:rsid w:val="00C41F17"/>
    <w:rsid w:val="00C5280D"/>
    <w:rsid w:val="00C5791C"/>
    <w:rsid w:val="00C66290"/>
    <w:rsid w:val="00C72B7A"/>
    <w:rsid w:val="00C973F2"/>
    <w:rsid w:val="00CA304C"/>
    <w:rsid w:val="00CA3B33"/>
    <w:rsid w:val="00CA774A"/>
    <w:rsid w:val="00CC11B0"/>
    <w:rsid w:val="00CE0447"/>
    <w:rsid w:val="00CE05C2"/>
    <w:rsid w:val="00CF3A11"/>
    <w:rsid w:val="00CF7E36"/>
    <w:rsid w:val="00D3708D"/>
    <w:rsid w:val="00D37A4C"/>
    <w:rsid w:val="00D40426"/>
    <w:rsid w:val="00D53216"/>
    <w:rsid w:val="00D57C96"/>
    <w:rsid w:val="00D82D2E"/>
    <w:rsid w:val="00D91203"/>
    <w:rsid w:val="00D95174"/>
    <w:rsid w:val="00DA6F36"/>
    <w:rsid w:val="00DB596E"/>
    <w:rsid w:val="00DB7773"/>
    <w:rsid w:val="00DC00EA"/>
    <w:rsid w:val="00DE6761"/>
    <w:rsid w:val="00DF474C"/>
    <w:rsid w:val="00E32F7E"/>
    <w:rsid w:val="00E72D49"/>
    <w:rsid w:val="00E7593C"/>
    <w:rsid w:val="00E7678A"/>
    <w:rsid w:val="00E863E5"/>
    <w:rsid w:val="00E935F1"/>
    <w:rsid w:val="00E94A81"/>
    <w:rsid w:val="00EA1FFB"/>
    <w:rsid w:val="00EB048E"/>
    <w:rsid w:val="00EC2566"/>
    <w:rsid w:val="00EE34DF"/>
    <w:rsid w:val="00EF2F89"/>
    <w:rsid w:val="00F1237A"/>
    <w:rsid w:val="00F22CBD"/>
    <w:rsid w:val="00F45372"/>
    <w:rsid w:val="00F560F7"/>
    <w:rsid w:val="00F6334D"/>
    <w:rsid w:val="00FA49AB"/>
    <w:rsid w:val="00FD4EE1"/>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37A4C"/>
    <w:pPr>
      <w:keepNext/>
      <w:jc w:val="both"/>
      <w:outlineLvl w:val="0"/>
    </w:pPr>
    <w:rPr>
      <w:rFonts w:ascii="Arial" w:hAnsi="Arial"/>
      <w:caps/>
      <w:lang w:eastAsia="ja-JP"/>
    </w:rPr>
  </w:style>
  <w:style w:type="paragraph" w:styleId="Heading2">
    <w:name w:val="heading 2"/>
    <w:next w:val="Normal"/>
    <w:autoRedefine/>
    <w:qFormat/>
    <w:rsid w:val="00D37A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uiPriority w:val="99"/>
    <w:rsid w:val="008B409A"/>
    <w:rPr>
      <w:rFonts w:ascii="Tahoma" w:hAnsi="Tahoma" w:cs="Tahoma"/>
      <w:sz w:val="16"/>
      <w:szCs w:val="16"/>
    </w:rPr>
  </w:style>
  <w:style w:type="character" w:customStyle="1" w:styleId="BalloonTextChar">
    <w:name w:val="Balloon Text Char"/>
    <w:basedOn w:val="DefaultParagraphFont"/>
    <w:link w:val="BalloonText"/>
    <w:uiPriority w:val="99"/>
    <w:rsid w:val="008B409A"/>
    <w:rPr>
      <w:rFonts w:ascii="Tahoma" w:hAnsi="Tahoma" w:cs="Tahoma"/>
      <w:sz w:val="16"/>
      <w:szCs w:val="16"/>
    </w:rPr>
  </w:style>
  <w:style w:type="paragraph" w:styleId="ListParagraph">
    <w:name w:val="List Paragraph"/>
    <w:basedOn w:val="Normal"/>
    <w:uiPriority w:val="34"/>
    <w:qFormat/>
    <w:rsid w:val="00CA3B33"/>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CA3B33"/>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CA3B33"/>
    <w:rPr>
      <w:rFonts w:ascii="Arial" w:hAnsi="Arial"/>
      <w:sz w:val="16"/>
    </w:rPr>
  </w:style>
  <w:style w:type="paragraph" w:customStyle="1" w:styleId="referenceitem">
    <w:name w:val="referenceitem"/>
    <w:basedOn w:val="Normal"/>
    <w:rsid w:val="00CA3B33"/>
    <w:pPr>
      <w:spacing w:line="360" w:lineRule="auto"/>
      <w:jc w:val="left"/>
    </w:pPr>
    <w:rPr>
      <w:rFonts w:ascii="Times New Roman" w:eastAsia="Times New Roman" w:hAnsi="Times New Roman" w:cs="Traditional Arabic"/>
      <w:sz w:val="18"/>
      <w:szCs w:val="21"/>
    </w:rPr>
  </w:style>
  <w:style w:type="paragraph" w:customStyle="1" w:styleId="Default">
    <w:name w:val="Default"/>
    <w:rsid w:val="006038D1"/>
    <w:pPr>
      <w:autoSpaceDE w:val="0"/>
      <w:autoSpaceDN w:val="0"/>
      <w:adjustRightInd w:val="0"/>
    </w:pPr>
    <w:rPr>
      <w:rFonts w:ascii="Arial" w:eastAsia="Times New Roman" w:hAnsi="Arial" w:cs="Arial"/>
      <w:color w:val="000000"/>
      <w:sz w:val="24"/>
      <w:szCs w:val="24"/>
      <w:lang w:bidi="fa-IR"/>
    </w:rPr>
  </w:style>
  <w:style w:type="character" w:customStyle="1" w:styleId="apple-converted-space">
    <w:name w:val="apple-converted-space"/>
    <w:basedOn w:val="DefaultParagraphFont"/>
    <w:rsid w:val="006038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37A4C"/>
    <w:pPr>
      <w:keepNext/>
      <w:jc w:val="both"/>
      <w:outlineLvl w:val="0"/>
    </w:pPr>
    <w:rPr>
      <w:rFonts w:ascii="Arial" w:hAnsi="Arial"/>
      <w:caps/>
      <w:lang w:eastAsia="ja-JP"/>
    </w:rPr>
  </w:style>
  <w:style w:type="paragraph" w:styleId="Heading2">
    <w:name w:val="heading 2"/>
    <w:next w:val="Normal"/>
    <w:autoRedefine/>
    <w:qFormat/>
    <w:rsid w:val="00D37A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876C58"/>
    <w:pPr>
      <w:spacing w:before="60"/>
      <w:ind w:left="284" w:hanging="284"/>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BalloonText">
    <w:name w:val="Balloon Text"/>
    <w:basedOn w:val="Normal"/>
    <w:link w:val="BalloonTextChar"/>
    <w:uiPriority w:val="99"/>
    <w:rsid w:val="008B409A"/>
    <w:rPr>
      <w:rFonts w:ascii="Tahoma" w:hAnsi="Tahoma" w:cs="Tahoma"/>
      <w:sz w:val="16"/>
      <w:szCs w:val="16"/>
    </w:rPr>
  </w:style>
  <w:style w:type="character" w:customStyle="1" w:styleId="BalloonTextChar">
    <w:name w:val="Balloon Text Char"/>
    <w:basedOn w:val="DefaultParagraphFont"/>
    <w:link w:val="BalloonText"/>
    <w:uiPriority w:val="99"/>
    <w:rsid w:val="008B409A"/>
    <w:rPr>
      <w:rFonts w:ascii="Tahoma" w:hAnsi="Tahoma" w:cs="Tahoma"/>
      <w:sz w:val="16"/>
      <w:szCs w:val="16"/>
    </w:rPr>
  </w:style>
  <w:style w:type="paragraph" w:styleId="ListParagraph">
    <w:name w:val="List Paragraph"/>
    <w:basedOn w:val="Normal"/>
    <w:uiPriority w:val="34"/>
    <w:qFormat/>
    <w:rsid w:val="00CA3B33"/>
    <w:pPr>
      <w:spacing w:after="200" w:line="276" w:lineRule="auto"/>
      <w:ind w:left="720"/>
      <w:contextualSpacing/>
      <w:jc w:val="left"/>
    </w:pPr>
    <w:rPr>
      <w:rFonts w:asciiTheme="minorHAnsi" w:eastAsiaTheme="minorHAnsi" w:hAnsiTheme="minorHAnsi" w:cstheme="minorBidi"/>
      <w:sz w:val="22"/>
      <w:szCs w:val="22"/>
    </w:rPr>
  </w:style>
  <w:style w:type="table" w:styleId="TableGrid">
    <w:name w:val="Table Grid"/>
    <w:basedOn w:val="TableNormal"/>
    <w:uiPriority w:val="59"/>
    <w:rsid w:val="00CA3B33"/>
    <w:pPr>
      <w:bidi/>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CA3B33"/>
    <w:rPr>
      <w:rFonts w:ascii="Arial" w:hAnsi="Arial"/>
      <w:sz w:val="16"/>
    </w:rPr>
  </w:style>
  <w:style w:type="paragraph" w:customStyle="1" w:styleId="referenceitem">
    <w:name w:val="referenceitem"/>
    <w:basedOn w:val="Normal"/>
    <w:rsid w:val="00CA3B33"/>
    <w:pPr>
      <w:spacing w:line="360" w:lineRule="auto"/>
      <w:jc w:val="left"/>
    </w:pPr>
    <w:rPr>
      <w:rFonts w:ascii="Times New Roman" w:eastAsia="Times New Roman" w:hAnsi="Times New Roman" w:cs="Traditional Arabic"/>
      <w:sz w:val="18"/>
      <w:szCs w:val="21"/>
    </w:rPr>
  </w:style>
  <w:style w:type="paragraph" w:customStyle="1" w:styleId="Default">
    <w:name w:val="Default"/>
    <w:rsid w:val="006038D1"/>
    <w:pPr>
      <w:autoSpaceDE w:val="0"/>
      <w:autoSpaceDN w:val="0"/>
      <w:adjustRightInd w:val="0"/>
    </w:pPr>
    <w:rPr>
      <w:rFonts w:ascii="Arial" w:eastAsia="Times New Roman" w:hAnsi="Arial" w:cs="Arial"/>
      <w:color w:val="000000"/>
      <w:sz w:val="24"/>
      <w:szCs w:val="24"/>
      <w:lang w:bidi="fa-IR"/>
    </w:rPr>
  </w:style>
  <w:style w:type="character" w:customStyle="1" w:styleId="apple-converted-space">
    <w:name w:val="apple-converted-space"/>
    <w:basedOn w:val="DefaultParagraphFont"/>
    <w:rsid w:val="006038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BMT\bmt_14\template\bmt_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7C276-FFDF-4E93-8B01-FEFC8A09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bmt_14.dotm</Template>
  <TotalTime>103</TotalTime>
  <Pages>3</Pages>
  <Words>1454</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TWA/42</vt:lpstr>
    </vt:vector>
  </TitlesOfParts>
  <Company>UPOV</Company>
  <LinksUpToDate>false</LinksUpToDate>
  <CharactersWithSpaces>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TWA/42</dc:title>
  <dc:creator>KOIDE Jun</dc:creator>
  <cp:lastModifiedBy>KOIDE Jun</cp:lastModifiedBy>
  <cp:revision>8</cp:revision>
  <cp:lastPrinted>2016-04-19T05:59:00Z</cp:lastPrinted>
  <dcterms:created xsi:type="dcterms:W3CDTF">2016-04-13T17:46:00Z</dcterms:created>
  <dcterms:modified xsi:type="dcterms:W3CDTF">2016-04-19T06:00:00Z</dcterms:modified>
</cp:coreProperties>
</file>