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lang w:eastAsia="zh-CN"/>
              </w:rPr>
              <w:drawing>
                <wp:inline distT="0" distB="0" distL="0" distR="0" wp14:anchorId="2BFA9B33" wp14:editId="4820BDDB">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4C4135" w:rsidP="006655D3">
            <w:pPr>
              <w:pStyle w:val="Docoriginal"/>
              <w:rPr>
                <w:lang w:eastAsia="ja-JP"/>
              </w:rPr>
            </w:pPr>
            <w:r>
              <w:t>BMT</w:t>
            </w:r>
            <w:r w:rsidR="00667404">
              <w:t>/</w:t>
            </w:r>
            <w:r>
              <w:t>14</w:t>
            </w:r>
            <w:r w:rsidR="00667404">
              <w:t>/</w:t>
            </w:r>
            <w:bookmarkStart w:id="0" w:name="Code"/>
            <w:bookmarkEnd w:id="0"/>
            <w:r w:rsidR="009229A5">
              <w:rPr>
                <w:rFonts w:hint="eastAsia"/>
                <w:lang w:eastAsia="ja-JP"/>
              </w:rPr>
              <w:t>7</w:t>
            </w:r>
            <w:r w:rsidR="00FB530B">
              <w:rPr>
                <w:rFonts w:hint="eastAsia"/>
                <w:lang w:eastAsia="ja-JP"/>
              </w:rPr>
              <w:t xml:space="preserve"> Rev.</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3874EF">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5164C">
              <w:rPr>
                <w:rStyle w:val="StyleDocoriginalNotBold1"/>
                <w:rFonts w:hint="eastAsia"/>
                <w:spacing w:val="0"/>
                <w:lang w:eastAsia="ja-JP"/>
              </w:rPr>
              <w:t xml:space="preserve"> </w:t>
            </w:r>
            <w:r w:rsidR="00FB530B">
              <w:rPr>
                <w:rStyle w:val="StyleDocoriginalNotBold1"/>
                <w:rFonts w:hint="eastAsia"/>
                <w:spacing w:val="0"/>
                <w:lang w:eastAsia="ja-JP"/>
              </w:rPr>
              <w:t>November</w:t>
            </w:r>
            <w:r w:rsidR="00FB530B">
              <w:rPr>
                <w:rStyle w:val="StyleDocoriginalNotBold1"/>
                <w:spacing w:val="0"/>
                <w:lang w:eastAsia="ja-JP"/>
              </w:rPr>
              <w:t xml:space="preserve"> </w:t>
            </w:r>
            <w:r w:rsidR="002048B6">
              <w:rPr>
                <w:rStyle w:val="StyleDocoriginalNotBold1"/>
                <w:spacing w:val="0"/>
                <w:lang w:eastAsia="ja-JP"/>
              </w:rPr>
              <w:t>6</w:t>
            </w:r>
            <w:bookmarkStart w:id="3" w:name="_GoBack"/>
            <w:bookmarkEnd w:id="3"/>
            <w:r w:rsidR="00E5164C">
              <w:rPr>
                <w:rStyle w:val="StyleDocoriginalNotBold1"/>
                <w:rFonts w:hint="eastAsia"/>
                <w:spacing w:val="0"/>
                <w:lang w:eastAsia="ja-JP"/>
              </w:rPr>
              <w:t>,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18780B" w:rsidRDefault="004C4135" w:rsidP="0018780B">
      <w:pPr>
        <w:pStyle w:val="Sessiontcplacedate"/>
        <w:rPr>
          <w:rFonts w:cs="Arial"/>
          <w:lang w:eastAsia="ja-JP"/>
        </w:rPr>
      </w:pPr>
      <w:r w:rsidRPr="004C4135">
        <w:t>Fourteenth Session</w:t>
      </w:r>
      <w:r w:rsidR="00361821" w:rsidRPr="00C5280D">
        <w:br/>
      </w:r>
      <w:r w:rsidRPr="004C4135">
        <w:rPr>
          <w:rFonts w:cs="Arial"/>
        </w:rPr>
        <w:t>Seoul, Republic of Korea, November 10 to 13, 2014</w:t>
      </w:r>
    </w:p>
    <w:p w:rsidR="00B07952" w:rsidRPr="00C5280D" w:rsidRDefault="00B07952" w:rsidP="0018780B">
      <w:pPr>
        <w:pStyle w:val="Sessiontcplacedate"/>
        <w:rPr>
          <w:lang w:eastAsia="ja-JP"/>
        </w:rPr>
      </w:pPr>
    </w:p>
    <w:p w:rsidR="00B07952" w:rsidRPr="00B07952" w:rsidRDefault="00C63A19" w:rsidP="007D392D">
      <w:pPr>
        <w:pStyle w:val="Heading1"/>
      </w:pPr>
      <w:bookmarkStart w:id="4" w:name="TitleOfDoc"/>
      <w:bookmarkStart w:id="5" w:name="Prepared"/>
      <w:bookmarkEnd w:id="4"/>
      <w:bookmarkEnd w:id="5"/>
      <w:r w:rsidRPr="00C63A19">
        <w:t>Identification of SNP Markers to Aid Assessment of Essential Derivation in Maize</w:t>
      </w:r>
    </w:p>
    <w:p w:rsidR="00A47CBD" w:rsidRPr="00997029" w:rsidRDefault="00A47CBD" w:rsidP="00A47CBD">
      <w:pPr>
        <w:pStyle w:val="preparedby1"/>
      </w:pPr>
      <w:r w:rsidRPr="00014543">
        <w:t>Document</w:t>
      </w:r>
      <w:r w:rsidRPr="00997029">
        <w:t xml:space="preserve"> prepared by </w:t>
      </w:r>
      <w:r w:rsidR="001312CA">
        <w:rPr>
          <w:rFonts w:hint="eastAsia"/>
          <w:lang w:eastAsia="ja-JP"/>
        </w:rPr>
        <w:t>expert</w:t>
      </w:r>
      <w:r w:rsidR="00C63A19">
        <w:rPr>
          <w:rFonts w:hint="eastAsia"/>
          <w:lang w:eastAsia="ja-JP"/>
        </w:rPr>
        <w:t>s</w:t>
      </w:r>
      <w:r w:rsidR="001312CA">
        <w:rPr>
          <w:rFonts w:hint="eastAsia"/>
          <w:lang w:eastAsia="ja-JP"/>
        </w:rPr>
        <w:t xml:space="preserve"> from </w:t>
      </w:r>
      <w:r w:rsidR="00C63A19">
        <w:rPr>
          <w:rFonts w:hint="eastAsia"/>
          <w:lang w:eastAsia="ja-JP"/>
        </w:rPr>
        <w:t>International Seed Federation</w:t>
      </w:r>
      <w:r>
        <w:br/>
      </w:r>
      <w:r>
        <w:br/>
      </w:r>
      <w:r w:rsidRPr="00B62F85">
        <w:rPr>
          <w:color w:val="A6A6A6" w:themeColor="background1" w:themeShade="A6"/>
        </w:rPr>
        <w:t>Disclaimer:  this document does not repr</w:t>
      </w:r>
      <w:r>
        <w:rPr>
          <w:color w:val="A6A6A6" w:themeColor="background1" w:themeShade="A6"/>
        </w:rPr>
        <w:t>esent UPOV policies or guidance</w:t>
      </w:r>
    </w:p>
    <w:p w:rsidR="007D392D" w:rsidRDefault="007D392D" w:rsidP="007D392D">
      <w:pPr>
        <w:pStyle w:val="Heading1"/>
        <w:rPr>
          <w:snapToGrid w:val="0"/>
          <w:lang w:eastAsia="ja-JP"/>
        </w:rPr>
      </w:pPr>
      <w:r w:rsidRPr="001F4563">
        <w:rPr>
          <w:snapToGrid w:val="0"/>
          <w:lang w:eastAsia="ja-JP"/>
        </w:rPr>
        <w:t>Introduction</w:t>
      </w:r>
    </w:p>
    <w:p w:rsidR="007D392D" w:rsidRPr="001F4563" w:rsidRDefault="007D392D" w:rsidP="007D392D">
      <w:pPr>
        <w:rPr>
          <w:lang w:eastAsia="ja-JP"/>
        </w:rPr>
      </w:pPr>
    </w:p>
    <w:p w:rsidR="007D392D" w:rsidRDefault="007D392D" w:rsidP="007D392D">
      <w:pPr>
        <w:pStyle w:val="TOC1"/>
        <w:tabs>
          <w:tab w:val="clear" w:pos="9639"/>
        </w:tabs>
        <w:ind w:left="0" w:firstLine="0"/>
        <w:jc w:val="both"/>
        <w:rPr>
          <w:caps w:val="0"/>
          <w:snapToGrid w:val="0"/>
          <w:lang w:eastAsia="ja-JP"/>
        </w:rPr>
      </w:pPr>
      <w:r w:rsidRPr="001D42F7">
        <w:rPr>
          <w:snapToGrid w:val="0"/>
        </w:rPr>
        <w:fldChar w:fldCharType="begin"/>
      </w:r>
      <w:r w:rsidRPr="001D42F7">
        <w:rPr>
          <w:snapToGrid w:val="0"/>
        </w:rPr>
        <w:instrText xml:space="preserve"> AUTONUM  </w:instrText>
      </w:r>
      <w:r w:rsidRPr="001D42F7">
        <w:rPr>
          <w:snapToGrid w:val="0"/>
        </w:rPr>
        <w:fldChar w:fldCharType="end"/>
      </w:r>
      <w:r>
        <w:rPr>
          <w:rFonts w:hint="eastAsia"/>
          <w:snapToGrid w:val="0"/>
          <w:lang w:eastAsia="ja-JP"/>
        </w:rPr>
        <w:tab/>
      </w:r>
      <w:r>
        <w:rPr>
          <w:rFonts w:hint="eastAsia"/>
          <w:caps w:val="0"/>
          <w:snapToGrid w:val="0"/>
          <w:lang w:eastAsia="ja-JP"/>
        </w:rPr>
        <w:t xml:space="preserve">The </w:t>
      </w:r>
      <w:r w:rsidRPr="001F4563">
        <w:rPr>
          <w:caps w:val="0"/>
          <w:snapToGrid w:val="0"/>
          <w:lang w:eastAsia="ja-JP"/>
        </w:rPr>
        <w:t xml:space="preserve">International Seed Federation (ISF) has taken several steps under </w:t>
      </w:r>
      <w:r w:rsidR="00964D39">
        <w:rPr>
          <w:rFonts w:hint="eastAsia"/>
          <w:caps w:val="0"/>
          <w:snapToGrid w:val="0"/>
          <w:lang w:eastAsia="ja-JP"/>
        </w:rPr>
        <w:t>an</w:t>
      </w:r>
      <w:r w:rsidRPr="001F4563">
        <w:rPr>
          <w:caps w:val="0"/>
          <w:snapToGrid w:val="0"/>
          <w:lang w:eastAsia="ja-JP"/>
        </w:rPr>
        <w:t xml:space="preserve"> </w:t>
      </w:r>
      <w:r w:rsidR="00BE20E1">
        <w:rPr>
          <w:caps w:val="0"/>
          <w:snapToGrid w:val="0"/>
          <w:lang w:eastAsia="ja-JP"/>
        </w:rPr>
        <w:t>“</w:t>
      </w:r>
      <w:r w:rsidRPr="001F4563">
        <w:rPr>
          <w:caps w:val="0"/>
          <w:snapToGrid w:val="0"/>
          <w:lang w:eastAsia="ja-JP"/>
        </w:rPr>
        <w:t>Alternative Dispute Resolution Process</w:t>
      </w:r>
      <w:r w:rsidR="00BE20E1">
        <w:rPr>
          <w:caps w:val="0"/>
          <w:snapToGrid w:val="0"/>
          <w:lang w:eastAsia="ja-JP"/>
        </w:rPr>
        <w:t>”</w:t>
      </w:r>
      <w:r w:rsidRPr="001F4563">
        <w:rPr>
          <w:caps w:val="0"/>
          <w:snapToGrid w:val="0"/>
          <w:lang w:eastAsia="ja-JP"/>
        </w:rPr>
        <w:t xml:space="preserve"> to address the issue of determining Essentially Derived Varieties (EDV) in maize (Zea mays L.). The ISF has adopted the position that ‘DNA markers can be used for determining genetic similarity between the initial variety and a potential EDV’</w:t>
      </w:r>
      <w:r w:rsidRPr="00964D39">
        <w:rPr>
          <w:caps w:val="0"/>
          <w:snapToGrid w:val="0"/>
          <w:vertAlign w:val="superscript"/>
          <w:lang w:eastAsia="ja-JP"/>
        </w:rPr>
        <w:t>1</w:t>
      </w:r>
      <w:r w:rsidRPr="001F4563">
        <w:rPr>
          <w:caps w:val="0"/>
          <w:snapToGrid w:val="0"/>
          <w:lang w:eastAsia="ja-JP"/>
        </w:rPr>
        <w:t xml:space="preserve"> and ‘may be used to define genetic similarity trigger points (reversal of burden of proof) for starting a dispute resolution process in cases of alleged essential derivation’</w:t>
      </w:r>
      <w:r w:rsidRPr="00964D39">
        <w:rPr>
          <w:caps w:val="0"/>
          <w:snapToGrid w:val="0"/>
          <w:vertAlign w:val="superscript"/>
          <w:lang w:eastAsia="ja-JP"/>
        </w:rPr>
        <w:t>1</w:t>
      </w:r>
      <w:r w:rsidRPr="001F4563">
        <w:rPr>
          <w:caps w:val="0"/>
          <w:snapToGrid w:val="0"/>
          <w:lang w:eastAsia="ja-JP"/>
        </w:rPr>
        <w:t>.  It should be noted that other scientific methods can also contribute to determining EDV including: breeding and pedigree records, mid parent heterosis, and morphology</w:t>
      </w:r>
      <w:r w:rsidRPr="001D42F7">
        <w:rPr>
          <w:caps w:val="0"/>
          <w:snapToGrid w:val="0"/>
          <w:vertAlign w:val="superscript"/>
          <w:lang w:eastAsia="ja-JP"/>
        </w:rPr>
        <w:t>1</w:t>
      </w:r>
      <w:r w:rsidRPr="001F4563">
        <w:rPr>
          <w:caps w:val="0"/>
          <w:snapToGrid w:val="0"/>
          <w:lang w:eastAsia="ja-JP"/>
        </w:rPr>
        <w:t>.</w:t>
      </w:r>
    </w:p>
    <w:p w:rsidR="007D392D" w:rsidRDefault="007D392D" w:rsidP="007D392D">
      <w:pPr>
        <w:pStyle w:val="TOC1"/>
        <w:rPr>
          <w:caps w:val="0"/>
          <w:snapToGrid w:val="0"/>
          <w:lang w:eastAsia="ja-JP"/>
        </w:rPr>
      </w:pPr>
    </w:p>
    <w:p w:rsidR="007D392D" w:rsidRDefault="007D392D" w:rsidP="007D392D">
      <w:pPr>
        <w:rPr>
          <w:lang w:eastAsia="ja-JP"/>
        </w:rPr>
      </w:pPr>
      <w:r w:rsidRPr="001D42F7">
        <w:rPr>
          <w:snapToGrid w:val="0"/>
        </w:rPr>
        <w:fldChar w:fldCharType="begin"/>
      </w:r>
      <w:r w:rsidRPr="001D42F7">
        <w:rPr>
          <w:snapToGrid w:val="0"/>
        </w:rPr>
        <w:instrText xml:space="preserve"> AUTONUM  </w:instrText>
      </w:r>
      <w:r w:rsidRPr="001D42F7">
        <w:rPr>
          <w:snapToGrid w:val="0"/>
        </w:rPr>
        <w:fldChar w:fldCharType="end"/>
      </w:r>
      <w:r>
        <w:rPr>
          <w:rFonts w:hint="eastAsia"/>
          <w:snapToGrid w:val="0"/>
          <w:lang w:eastAsia="ja-JP"/>
        </w:rPr>
        <w:tab/>
      </w:r>
      <w:r>
        <w:rPr>
          <w:lang w:eastAsia="ja-JP"/>
        </w:rPr>
        <w:t>ISF has adopted EDV guidelines for dispute resolution using genetic markers for several species including perennial ryegrass, maize, oilseed rape, cotton, and lettuce (http://www.worldseed.org/isf/edv.html).  In maize, the current guidelines are specific to SSR (simple sequence repeats) markers established by work done by SEPROMA (Association of French Maize Breeders) and the ASTA Corn Variety Sub-Committee (CVIS). The resulting EDV thresholds using SSRs are:</w:t>
      </w:r>
    </w:p>
    <w:p w:rsidR="007D392D" w:rsidRDefault="007D392D" w:rsidP="00B40395">
      <w:pPr>
        <w:spacing w:before="120"/>
        <w:ind w:firstLine="567"/>
        <w:rPr>
          <w:lang w:eastAsia="ja-JP"/>
        </w:rPr>
      </w:pPr>
      <w:r>
        <w:rPr>
          <w:lang w:eastAsia="ja-JP"/>
        </w:rPr>
        <w:t>&lt;82% similarity =’GREEN ZONE’ -no essential derivation</w:t>
      </w:r>
    </w:p>
    <w:p w:rsidR="007D392D" w:rsidRDefault="007D392D" w:rsidP="00B40395">
      <w:pPr>
        <w:ind w:firstLine="567"/>
        <w:rPr>
          <w:lang w:eastAsia="ja-JP"/>
        </w:rPr>
      </w:pPr>
      <w:r>
        <w:rPr>
          <w:lang w:eastAsia="ja-JP"/>
        </w:rPr>
        <w:t>82-90% similarity =’ORANGE ZONE’ -potential EDV; Reversal of burden of proof to putative variety</w:t>
      </w:r>
    </w:p>
    <w:p w:rsidR="007D392D" w:rsidRDefault="007D392D" w:rsidP="00B40395">
      <w:pPr>
        <w:ind w:firstLine="567"/>
        <w:rPr>
          <w:lang w:eastAsia="ja-JP"/>
        </w:rPr>
      </w:pPr>
      <w:r>
        <w:rPr>
          <w:lang w:eastAsia="ja-JP"/>
        </w:rPr>
        <w:t>&gt;90% similarity –‘RED ZONE’ –Definitively an EDV or Strong indication of EDV</w:t>
      </w:r>
    </w:p>
    <w:p w:rsidR="007D392D" w:rsidRDefault="007D392D" w:rsidP="007D392D">
      <w:pPr>
        <w:rPr>
          <w:lang w:eastAsia="ja-JP"/>
        </w:rPr>
      </w:pPr>
    </w:p>
    <w:p w:rsidR="007D392D" w:rsidRDefault="007D392D" w:rsidP="007D392D">
      <w:pPr>
        <w:rPr>
          <w:lang w:eastAsia="ja-JP"/>
        </w:rPr>
      </w:pPr>
      <w:r w:rsidRPr="001D42F7">
        <w:rPr>
          <w:snapToGrid w:val="0"/>
        </w:rPr>
        <w:fldChar w:fldCharType="begin"/>
      </w:r>
      <w:r w:rsidRPr="001D42F7">
        <w:rPr>
          <w:snapToGrid w:val="0"/>
        </w:rPr>
        <w:instrText xml:space="preserve"> AUTONUM  </w:instrText>
      </w:r>
      <w:r w:rsidRPr="001D42F7">
        <w:rPr>
          <w:snapToGrid w:val="0"/>
        </w:rPr>
        <w:fldChar w:fldCharType="end"/>
      </w:r>
      <w:r>
        <w:rPr>
          <w:rFonts w:hint="eastAsia"/>
          <w:snapToGrid w:val="0"/>
          <w:lang w:eastAsia="ja-JP"/>
        </w:rPr>
        <w:tab/>
      </w:r>
      <w:r>
        <w:rPr>
          <w:lang w:eastAsia="ja-JP"/>
        </w:rPr>
        <w:t>Molecular markers are a rapidly changing technology and since the adoption of SSR based guidelines, much of the maize breeding community has moved to using SNP (single nucleotide polymorphisms) markers.  The goal of this project is to recalibrate existing SSR EDV thresholds to SNP based thresholds.</w:t>
      </w:r>
    </w:p>
    <w:p w:rsidR="00964D39" w:rsidRDefault="00964D39" w:rsidP="00964D39">
      <w:pPr>
        <w:pStyle w:val="Heading1"/>
        <w:rPr>
          <w:lang w:eastAsia="ja-JP"/>
        </w:rPr>
      </w:pPr>
    </w:p>
    <w:p w:rsidR="007D392D" w:rsidRDefault="007D392D" w:rsidP="00964D39">
      <w:pPr>
        <w:pStyle w:val="Heading1"/>
        <w:rPr>
          <w:lang w:eastAsia="ja-JP"/>
        </w:rPr>
      </w:pPr>
      <w:r>
        <w:rPr>
          <w:lang w:eastAsia="ja-JP"/>
        </w:rPr>
        <w:t>Materials/Methods</w:t>
      </w:r>
    </w:p>
    <w:p w:rsidR="007D392D" w:rsidRDefault="007D392D" w:rsidP="007D392D">
      <w:pPr>
        <w:rPr>
          <w:lang w:eastAsia="ja-JP"/>
        </w:rPr>
      </w:pPr>
    </w:p>
    <w:p w:rsidR="007D392D" w:rsidRDefault="007D392D" w:rsidP="007D392D">
      <w:pPr>
        <w:rPr>
          <w:lang w:eastAsia="ja-JP"/>
        </w:rPr>
      </w:pPr>
      <w:r w:rsidRPr="001D42F7">
        <w:rPr>
          <w:snapToGrid w:val="0"/>
        </w:rPr>
        <w:fldChar w:fldCharType="begin"/>
      </w:r>
      <w:r w:rsidRPr="001D42F7">
        <w:rPr>
          <w:snapToGrid w:val="0"/>
        </w:rPr>
        <w:instrText xml:space="preserve"> AUTONUM  </w:instrText>
      </w:r>
      <w:r w:rsidRPr="001D42F7">
        <w:rPr>
          <w:snapToGrid w:val="0"/>
        </w:rPr>
        <w:fldChar w:fldCharType="end"/>
      </w:r>
      <w:r>
        <w:rPr>
          <w:rFonts w:hint="eastAsia"/>
          <w:snapToGrid w:val="0"/>
          <w:lang w:eastAsia="ja-JP"/>
        </w:rPr>
        <w:tab/>
      </w:r>
      <w:r>
        <w:rPr>
          <w:lang w:eastAsia="ja-JP"/>
        </w:rPr>
        <w:t xml:space="preserve">The ASTA and UFS (Union of French Plant Breeders), (formerly SEPROMA) utilized the same genotypes that were used for SSR EDV threshold determination for the SNP recalibration, but also added several proprietary closely related pairs of lines that cover the potential EDV zone of similarity.  A 56K public SNP chip from </w:t>
      </w:r>
      <w:proofErr w:type="spellStart"/>
      <w:r>
        <w:rPr>
          <w:lang w:eastAsia="ja-JP"/>
        </w:rPr>
        <w:t>Illumina</w:t>
      </w:r>
      <w:proofErr w:type="spellEnd"/>
      <w:r>
        <w:rPr>
          <w:lang w:eastAsia="ja-JP"/>
        </w:rPr>
        <w:t xml:space="preserve"> was used to assay all the lines in the experiment.  26,784 SNPs were eventually chosen dropping those that did not perform well or were biased toward showing differences between the key founders B73 and Mo17</w:t>
      </w:r>
      <w:r>
        <w:rPr>
          <w:rFonts w:hint="eastAsia"/>
          <w:lang w:eastAsia="ja-JP"/>
        </w:rPr>
        <w:t>.</w:t>
      </w:r>
    </w:p>
    <w:p w:rsidR="007D392D" w:rsidRDefault="007D392D" w:rsidP="007D392D">
      <w:pPr>
        <w:rPr>
          <w:lang w:eastAsia="ja-JP"/>
        </w:rPr>
      </w:pPr>
    </w:p>
    <w:p w:rsidR="00964D39" w:rsidRDefault="00964D39" w:rsidP="007D392D">
      <w:pPr>
        <w:rPr>
          <w:lang w:eastAsia="ja-JP"/>
        </w:rPr>
      </w:pPr>
    </w:p>
    <w:p w:rsidR="00964D39" w:rsidRDefault="00964D39" w:rsidP="007D392D">
      <w:pPr>
        <w:rPr>
          <w:lang w:eastAsia="ja-JP"/>
        </w:rPr>
      </w:pPr>
    </w:p>
    <w:p w:rsidR="007D392D" w:rsidRDefault="007D392D" w:rsidP="007D392D">
      <w:pPr>
        <w:rPr>
          <w:lang w:eastAsia="ja-JP"/>
        </w:rPr>
      </w:pPr>
    </w:p>
    <w:p w:rsidR="007D392D" w:rsidRDefault="007D392D" w:rsidP="007D392D">
      <w:pPr>
        <w:pStyle w:val="Heading1"/>
        <w:rPr>
          <w:lang w:eastAsia="ja-JP"/>
        </w:rPr>
      </w:pPr>
      <w:r>
        <w:rPr>
          <w:lang w:eastAsia="ja-JP"/>
        </w:rPr>
        <w:lastRenderedPageBreak/>
        <w:t>Goals and Approach</w:t>
      </w:r>
    </w:p>
    <w:p w:rsidR="007D392D" w:rsidRDefault="007D392D" w:rsidP="007D392D">
      <w:pPr>
        <w:rPr>
          <w:lang w:eastAsia="ja-JP"/>
        </w:rPr>
      </w:pPr>
    </w:p>
    <w:p w:rsidR="007D392D" w:rsidRDefault="007D392D" w:rsidP="007D392D">
      <w:pPr>
        <w:rPr>
          <w:lang w:eastAsia="ja-JP"/>
        </w:rPr>
      </w:pPr>
      <w:r>
        <w:rPr>
          <w:lang w:eastAsia="ja-JP"/>
        </w:rPr>
        <w:t>•</w:t>
      </w:r>
      <w:r>
        <w:rPr>
          <w:lang w:eastAsia="ja-JP"/>
        </w:rPr>
        <w:tab/>
        <w:t>Determine number of markers needed</w:t>
      </w:r>
    </w:p>
    <w:p w:rsidR="007D392D" w:rsidRDefault="007D392D" w:rsidP="007D392D">
      <w:pPr>
        <w:rPr>
          <w:lang w:eastAsia="ja-JP"/>
        </w:rPr>
      </w:pPr>
      <w:r>
        <w:rPr>
          <w:lang w:eastAsia="ja-JP"/>
        </w:rPr>
        <w:t>•</w:t>
      </w:r>
      <w:r>
        <w:rPr>
          <w:lang w:eastAsia="ja-JP"/>
        </w:rPr>
        <w:tab/>
        <w:t>Give good genome and physical map coverage</w:t>
      </w:r>
    </w:p>
    <w:p w:rsidR="007D392D" w:rsidRDefault="007D392D" w:rsidP="007D392D">
      <w:pPr>
        <w:rPr>
          <w:lang w:eastAsia="ja-JP"/>
        </w:rPr>
      </w:pPr>
      <w:r>
        <w:rPr>
          <w:lang w:eastAsia="ja-JP"/>
        </w:rPr>
        <w:t>•</w:t>
      </w:r>
      <w:r>
        <w:rPr>
          <w:lang w:eastAsia="ja-JP"/>
        </w:rPr>
        <w:tab/>
        <w:t>Compare genetics similarities using the SNP and SSR data</w:t>
      </w:r>
    </w:p>
    <w:p w:rsidR="007D392D" w:rsidRDefault="007D392D" w:rsidP="007D392D">
      <w:pPr>
        <w:rPr>
          <w:lang w:eastAsia="ja-JP"/>
        </w:rPr>
      </w:pPr>
      <w:r>
        <w:rPr>
          <w:lang w:eastAsia="ja-JP"/>
        </w:rPr>
        <w:t>•</w:t>
      </w:r>
      <w:r>
        <w:rPr>
          <w:lang w:eastAsia="ja-JP"/>
        </w:rPr>
        <w:tab/>
        <w:t>Convert SSR threshold zones to SNP equivalents via correlation</w:t>
      </w:r>
    </w:p>
    <w:p w:rsidR="007D392D" w:rsidRDefault="007D392D" w:rsidP="007D392D">
      <w:pPr>
        <w:rPr>
          <w:lang w:eastAsia="ja-JP"/>
        </w:rPr>
      </w:pPr>
    </w:p>
    <w:p w:rsidR="007D392D" w:rsidRDefault="007D392D" w:rsidP="007D392D">
      <w:pPr>
        <w:pStyle w:val="Heading1"/>
        <w:rPr>
          <w:lang w:eastAsia="ja-JP"/>
        </w:rPr>
      </w:pPr>
      <w:r>
        <w:rPr>
          <w:lang w:eastAsia="ja-JP"/>
        </w:rPr>
        <w:t>Number of markers needed</w:t>
      </w:r>
    </w:p>
    <w:p w:rsidR="007D392D" w:rsidRDefault="007D392D" w:rsidP="007D392D">
      <w:pPr>
        <w:rPr>
          <w:lang w:eastAsia="ja-JP"/>
        </w:rPr>
      </w:pPr>
    </w:p>
    <w:p w:rsidR="007D392D" w:rsidRDefault="007D392D" w:rsidP="007D392D">
      <w:pPr>
        <w:rPr>
          <w:lang w:eastAsia="ja-JP"/>
        </w:rPr>
      </w:pPr>
      <w:r w:rsidRPr="001D42F7">
        <w:rPr>
          <w:snapToGrid w:val="0"/>
        </w:rPr>
        <w:fldChar w:fldCharType="begin"/>
      </w:r>
      <w:r w:rsidRPr="001D42F7">
        <w:rPr>
          <w:snapToGrid w:val="0"/>
        </w:rPr>
        <w:instrText xml:space="preserve"> AUTONUM  </w:instrText>
      </w:r>
      <w:r w:rsidRPr="001D42F7">
        <w:rPr>
          <w:snapToGrid w:val="0"/>
        </w:rPr>
        <w:fldChar w:fldCharType="end"/>
      </w:r>
      <w:r>
        <w:rPr>
          <w:rFonts w:hint="eastAsia"/>
          <w:snapToGrid w:val="0"/>
          <w:lang w:eastAsia="ja-JP"/>
        </w:rPr>
        <w:tab/>
      </w:r>
      <w:r>
        <w:rPr>
          <w:lang w:eastAsia="ja-JP"/>
        </w:rPr>
        <w:t>Correlations among SNP subsets and the 26,874 were very high (0.95), (Table 1).  Standard deviations where also very low compared to the SSR 163 set with values less than half that of SSRs.</w:t>
      </w:r>
    </w:p>
    <w:p w:rsidR="007D392D" w:rsidRDefault="007D392D" w:rsidP="007D392D">
      <w:pPr>
        <w:rPr>
          <w:lang w:eastAsia="ja-JP"/>
        </w:rPr>
      </w:pPr>
    </w:p>
    <w:p w:rsidR="007D392D" w:rsidRDefault="007D392D" w:rsidP="007D392D">
      <w:pPr>
        <w:pStyle w:val="Heading1"/>
        <w:rPr>
          <w:lang w:eastAsia="ja-JP"/>
        </w:rPr>
      </w:pPr>
      <w:r>
        <w:rPr>
          <w:lang w:eastAsia="ja-JP"/>
        </w:rPr>
        <w:t>Map coverage</w:t>
      </w:r>
    </w:p>
    <w:p w:rsidR="007D392D" w:rsidRDefault="007D392D" w:rsidP="007D392D">
      <w:pPr>
        <w:rPr>
          <w:lang w:eastAsia="ja-JP"/>
        </w:rPr>
      </w:pPr>
    </w:p>
    <w:p w:rsidR="007D392D" w:rsidRDefault="007D392D" w:rsidP="007D392D">
      <w:pPr>
        <w:rPr>
          <w:lang w:eastAsia="ja-JP"/>
        </w:rPr>
      </w:pPr>
      <w:r w:rsidRPr="001D42F7">
        <w:rPr>
          <w:snapToGrid w:val="0"/>
        </w:rPr>
        <w:fldChar w:fldCharType="begin"/>
      </w:r>
      <w:r w:rsidRPr="001D42F7">
        <w:rPr>
          <w:snapToGrid w:val="0"/>
        </w:rPr>
        <w:instrText xml:space="preserve"> AUTONUM  </w:instrText>
      </w:r>
      <w:r w:rsidRPr="001D42F7">
        <w:rPr>
          <w:snapToGrid w:val="0"/>
        </w:rPr>
        <w:fldChar w:fldCharType="end"/>
      </w:r>
      <w:r>
        <w:rPr>
          <w:rFonts w:hint="eastAsia"/>
          <w:snapToGrid w:val="0"/>
          <w:lang w:eastAsia="ja-JP"/>
        </w:rPr>
        <w:tab/>
      </w:r>
      <w:r>
        <w:rPr>
          <w:lang w:eastAsia="ja-JP"/>
        </w:rPr>
        <w:t xml:space="preserve">An algorithm was used to select SNPs for optimum genomic and physical map coverage (Figure 1).  1536 SNPs were chosen using each map coverage approach yielding a final total of 3072 markers, which fits with current </w:t>
      </w:r>
      <w:proofErr w:type="spellStart"/>
      <w:r>
        <w:rPr>
          <w:lang w:eastAsia="ja-JP"/>
        </w:rPr>
        <w:t>Illumina</w:t>
      </w:r>
      <w:proofErr w:type="spellEnd"/>
      <w:r>
        <w:rPr>
          <w:lang w:eastAsia="ja-JP"/>
        </w:rPr>
        <w:t xml:space="preserve"> technology.  The 3072 SNP set resulted in very low standard deviation (0.004) and very high (0.99) correlation values with the starting set of 26,874 SNPs.</w:t>
      </w:r>
    </w:p>
    <w:p w:rsidR="007D392D" w:rsidRDefault="007D392D" w:rsidP="007D392D">
      <w:pPr>
        <w:rPr>
          <w:lang w:eastAsia="ja-JP"/>
        </w:rPr>
      </w:pPr>
    </w:p>
    <w:p w:rsidR="007D392D" w:rsidRDefault="007D392D" w:rsidP="007D392D">
      <w:pPr>
        <w:pStyle w:val="Heading1"/>
        <w:rPr>
          <w:lang w:eastAsia="ja-JP"/>
        </w:rPr>
      </w:pPr>
      <w:r>
        <w:rPr>
          <w:lang w:eastAsia="ja-JP"/>
        </w:rPr>
        <w:t>Comparing genetic similarities between SNPs and SSRs</w:t>
      </w:r>
    </w:p>
    <w:p w:rsidR="007D392D" w:rsidRDefault="007D392D" w:rsidP="007D392D">
      <w:pPr>
        <w:rPr>
          <w:lang w:eastAsia="ja-JP"/>
        </w:rPr>
      </w:pPr>
    </w:p>
    <w:p w:rsidR="007D392D" w:rsidRDefault="007D392D" w:rsidP="007D392D">
      <w:pPr>
        <w:rPr>
          <w:lang w:eastAsia="ja-JP"/>
        </w:rPr>
      </w:pPr>
      <w:r w:rsidRPr="001D42F7">
        <w:rPr>
          <w:snapToGrid w:val="0"/>
        </w:rPr>
        <w:fldChar w:fldCharType="begin"/>
      </w:r>
      <w:r w:rsidRPr="001D42F7">
        <w:rPr>
          <w:snapToGrid w:val="0"/>
        </w:rPr>
        <w:instrText xml:space="preserve"> AUTONUM  </w:instrText>
      </w:r>
      <w:r w:rsidRPr="001D42F7">
        <w:rPr>
          <w:snapToGrid w:val="0"/>
        </w:rPr>
        <w:fldChar w:fldCharType="end"/>
      </w:r>
      <w:r>
        <w:rPr>
          <w:rFonts w:hint="eastAsia"/>
          <w:snapToGrid w:val="0"/>
          <w:lang w:eastAsia="ja-JP"/>
        </w:rPr>
        <w:tab/>
      </w:r>
      <w:r>
        <w:rPr>
          <w:lang w:eastAsia="ja-JP"/>
        </w:rPr>
        <w:t xml:space="preserve">Genetic similarity was computed using Roger’s Distance for both the 3072 SNP set and 163 SSR sets, then converted to similarity via (1-Roger’s Distance).   Pairwise distances were highly correlated (Figure 2). </w:t>
      </w:r>
    </w:p>
    <w:p w:rsidR="007D392D" w:rsidRDefault="007D392D" w:rsidP="007D392D">
      <w:pPr>
        <w:rPr>
          <w:lang w:eastAsia="ja-JP"/>
        </w:rPr>
      </w:pPr>
    </w:p>
    <w:p w:rsidR="007D392D" w:rsidRDefault="007D392D" w:rsidP="007D392D">
      <w:pPr>
        <w:pStyle w:val="Heading1"/>
        <w:rPr>
          <w:lang w:eastAsia="ja-JP"/>
        </w:rPr>
      </w:pPr>
      <w:r>
        <w:rPr>
          <w:lang w:eastAsia="ja-JP"/>
        </w:rPr>
        <w:t>Converting SSR thresholds to SNP equivalents</w:t>
      </w:r>
    </w:p>
    <w:p w:rsidR="007D392D" w:rsidRDefault="007D392D" w:rsidP="007D392D">
      <w:pPr>
        <w:rPr>
          <w:lang w:eastAsia="ja-JP"/>
        </w:rPr>
      </w:pPr>
    </w:p>
    <w:p w:rsidR="007D392D" w:rsidRDefault="007D392D" w:rsidP="007D392D">
      <w:pPr>
        <w:rPr>
          <w:lang w:eastAsia="ja-JP"/>
        </w:rPr>
      </w:pPr>
      <w:r w:rsidRPr="001D42F7">
        <w:rPr>
          <w:snapToGrid w:val="0"/>
        </w:rPr>
        <w:fldChar w:fldCharType="begin"/>
      </w:r>
      <w:r w:rsidRPr="001D42F7">
        <w:rPr>
          <w:snapToGrid w:val="0"/>
        </w:rPr>
        <w:instrText xml:space="preserve"> AUTONUM  </w:instrText>
      </w:r>
      <w:r w:rsidRPr="001D42F7">
        <w:rPr>
          <w:snapToGrid w:val="0"/>
        </w:rPr>
        <w:fldChar w:fldCharType="end"/>
      </w:r>
      <w:r>
        <w:rPr>
          <w:rFonts w:hint="eastAsia"/>
          <w:snapToGrid w:val="0"/>
          <w:lang w:eastAsia="ja-JP"/>
        </w:rPr>
        <w:tab/>
      </w:r>
      <w:r>
        <w:rPr>
          <w:lang w:eastAsia="ja-JP"/>
        </w:rPr>
        <w:t>The regression equation was then used to recalibrate the SSR thresholds to SNP thresholds.  The new thresholds are:</w:t>
      </w:r>
    </w:p>
    <w:p w:rsidR="007D392D" w:rsidRDefault="007D392D" w:rsidP="00B40395">
      <w:pPr>
        <w:spacing w:before="120"/>
        <w:ind w:firstLine="567"/>
        <w:rPr>
          <w:lang w:eastAsia="ja-JP"/>
        </w:rPr>
      </w:pPr>
      <w:r>
        <w:rPr>
          <w:lang w:eastAsia="ja-JP"/>
        </w:rPr>
        <w:t>&lt;91% similar =’GREEN ZONE’ -no essential derivation</w:t>
      </w:r>
    </w:p>
    <w:p w:rsidR="007D392D" w:rsidRDefault="007D392D" w:rsidP="00B40395">
      <w:pPr>
        <w:ind w:firstLine="567"/>
        <w:rPr>
          <w:lang w:eastAsia="ja-JP"/>
        </w:rPr>
      </w:pPr>
      <w:r>
        <w:rPr>
          <w:lang w:eastAsia="ja-JP"/>
        </w:rPr>
        <w:t>≥91-&lt;95% similar =’ORANGE ZONE’ -potential EDV; reversal of burden of proof to putative variety</w:t>
      </w:r>
    </w:p>
    <w:p w:rsidR="007D392D" w:rsidRDefault="007D392D" w:rsidP="00B40395">
      <w:pPr>
        <w:ind w:firstLine="567"/>
        <w:rPr>
          <w:lang w:eastAsia="ja-JP"/>
        </w:rPr>
      </w:pPr>
      <w:r>
        <w:rPr>
          <w:lang w:eastAsia="ja-JP"/>
        </w:rPr>
        <w:t>≥95% similar =’RED ZONE’ -strong indication of EDV</w:t>
      </w:r>
    </w:p>
    <w:p w:rsidR="007D392D" w:rsidRDefault="007D392D" w:rsidP="007D392D">
      <w:pPr>
        <w:rPr>
          <w:lang w:eastAsia="ja-JP"/>
        </w:rPr>
      </w:pPr>
    </w:p>
    <w:p w:rsidR="007D392D" w:rsidRDefault="007D392D" w:rsidP="007D392D">
      <w:pPr>
        <w:pStyle w:val="Heading1"/>
        <w:rPr>
          <w:lang w:eastAsia="ja-JP"/>
        </w:rPr>
      </w:pPr>
      <w:r>
        <w:rPr>
          <w:lang w:eastAsia="ja-JP"/>
        </w:rPr>
        <w:t>Conclusion</w:t>
      </w:r>
    </w:p>
    <w:p w:rsidR="007D392D" w:rsidRDefault="007D392D" w:rsidP="007D392D">
      <w:pPr>
        <w:rPr>
          <w:lang w:eastAsia="ja-JP"/>
        </w:rPr>
      </w:pPr>
    </w:p>
    <w:p w:rsidR="007D392D" w:rsidRDefault="007D392D" w:rsidP="007D392D">
      <w:pPr>
        <w:rPr>
          <w:lang w:eastAsia="ja-JP"/>
        </w:rPr>
      </w:pPr>
      <w:r w:rsidRPr="001D42F7">
        <w:rPr>
          <w:snapToGrid w:val="0"/>
        </w:rPr>
        <w:fldChar w:fldCharType="begin"/>
      </w:r>
      <w:r w:rsidRPr="001D42F7">
        <w:rPr>
          <w:snapToGrid w:val="0"/>
        </w:rPr>
        <w:instrText xml:space="preserve"> AUTONUM  </w:instrText>
      </w:r>
      <w:r w:rsidRPr="001D42F7">
        <w:rPr>
          <w:snapToGrid w:val="0"/>
        </w:rPr>
        <w:fldChar w:fldCharType="end"/>
      </w:r>
      <w:r>
        <w:rPr>
          <w:rFonts w:hint="eastAsia"/>
          <w:snapToGrid w:val="0"/>
          <w:lang w:eastAsia="ja-JP"/>
        </w:rPr>
        <w:tab/>
      </w:r>
      <w:r>
        <w:rPr>
          <w:lang w:eastAsia="ja-JP"/>
        </w:rPr>
        <w:t>The joint ASTA and UFS project successfully demonstrated the utility of SNPs in EDV determination.  Subsets of SNP correlated very well with each other and a robust set of 3072 SNP markers were selected and established as the core set for use in genetic distance calculations.  The set has been published on the ISF website (http://www.worldseed.org/isf/edv.html) and EDV determination via SNPs adopted at the ISF congress in Beijing, 2014.</w:t>
      </w: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roofErr w:type="gramStart"/>
      <w:r>
        <w:rPr>
          <w:lang w:eastAsia="ja-JP"/>
        </w:rPr>
        <w:t>Table 1.</w:t>
      </w:r>
      <w:proofErr w:type="gramEnd"/>
      <w:r>
        <w:rPr>
          <w:lang w:eastAsia="ja-JP"/>
        </w:rPr>
        <w:t xml:space="preserve"> The standard deviations between various SNP subsets to the starting SNP set of 26,874 markers.  For reference the standard deviation of the 163 SSR set is also shown.  </w:t>
      </w:r>
    </w:p>
    <w:p w:rsidR="007D392D" w:rsidRDefault="007D392D" w:rsidP="007D392D"/>
    <w:tbl>
      <w:tblPr>
        <w:tblStyle w:val="TableGrid"/>
        <w:tblW w:w="8010" w:type="dxa"/>
        <w:tblLook w:val="04A0" w:firstRow="1" w:lastRow="0" w:firstColumn="1" w:lastColumn="0" w:noHBand="0" w:noVBand="1"/>
      </w:tblPr>
      <w:tblGrid>
        <w:gridCol w:w="2572"/>
        <w:gridCol w:w="1298"/>
        <w:gridCol w:w="4140"/>
      </w:tblGrid>
      <w:tr w:rsidR="007D392D" w:rsidRPr="008F79CF" w:rsidTr="00C4696B">
        <w:trPr>
          <w:trHeight w:val="380"/>
        </w:trPr>
        <w:tc>
          <w:tcPr>
            <w:tcW w:w="2572" w:type="dxa"/>
            <w:hideMark/>
          </w:tcPr>
          <w:p w:rsidR="007D392D" w:rsidRPr="00AB60C1" w:rsidRDefault="007D392D" w:rsidP="00C4696B">
            <w:pPr>
              <w:jc w:val="center"/>
              <w:rPr>
                <w:rFonts w:eastAsia="Times New Roman" w:cs="Arial"/>
                <w:b/>
                <w:bCs/>
                <w:color w:val="000000"/>
                <w:sz w:val="20"/>
                <w:szCs w:val="20"/>
              </w:rPr>
            </w:pPr>
            <w:r w:rsidRPr="00AB60C1">
              <w:rPr>
                <w:rFonts w:eastAsia="Times New Roman" w:cs="Arial"/>
                <w:b/>
                <w:bCs/>
                <w:color w:val="000000"/>
                <w:sz w:val="20"/>
                <w:szCs w:val="20"/>
                <w:lang w:val="fr-FR"/>
              </w:rPr>
              <w:t>Marker Set</w:t>
            </w:r>
          </w:p>
        </w:tc>
        <w:tc>
          <w:tcPr>
            <w:tcW w:w="1298" w:type="dxa"/>
            <w:hideMark/>
          </w:tcPr>
          <w:p w:rsidR="007D392D" w:rsidRPr="00AB60C1" w:rsidRDefault="007D392D" w:rsidP="00C4696B">
            <w:pPr>
              <w:jc w:val="center"/>
              <w:rPr>
                <w:rFonts w:eastAsia="Times New Roman" w:cs="Arial"/>
                <w:b/>
                <w:bCs/>
                <w:color w:val="000000"/>
                <w:sz w:val="20"/>
                <w:szCs w:val="20"/>
              </w:rPr>
            </w:pPr>
            <w:r w:rsidRPr="00AB60C1">
              <w:rPr>
                <w:rFonts w:eastAsia="Times New Roman" w:cs="Arial"/>
                <w:b/>
                <w:bCs/>
                <w:color w:val="000000"/>
                <w:sz w:val="20"/>
                <w:szCs w:val="20"/>
                <w:lang w:val="fr-FR"/>
              </w:rPr>
              <w:t xml:space="preserve">SD </w:t>
            </w:r>
          </w:p>
        </w:tc>
        <w:tc>
          <w:tcPr>
            <w:tcW w:w="4140" w:type="dxa"/>
            <w:hideMark/>
          </w:tcPr>
          <w:p w:rsidR="007D392D" w:rsidRPr="00AB60C1" w:rsidRDefault="007D392D" w:rsidP="00C4696B">
            <w:pPr>
              <w:jc w:val="center"/>
              <w:rPr>
                <w:rFonts w:eastAsia="Times New Roman" w:cs="Arial"/>
                <w:b/>
                <w:bCs/>
                <w:color w:val="000000"/>
                <w:sz w:val="20"/>
                <w:szCs w:val="20"/>
              </w:rPr>
            </w:pPr>
            <w:proofErr w:type="spellStart"/>
            <w:r w:rsidRPr="00AB60C1">
              <w:rPr>
                <w:rFonts w:eastAsia="Times New Roman" w:cs="Arial"/>
                <w:b/>
                <w:bCs/>
                <w:color w:val="000000"/>
                <w:sz w:val="20"/>
                <w:szCs w:val="20"/>
                <w:lang w:val="fr-FR"/>
              </w:rPr>
              <w:t>Mean</w:t>
            </w:r>
            <w:proofErr w:type="spellEnd"/>
            <w:r w:rsidRPr="00AB60C1">
              <w:rPr>
                <w:rFonts w:eastAsia="Times New Roman" w:cs="Arial"/>
                <w:b/>
                <w:bCs/>
                <w:color w:val="000000"/>
                <w:sz w:val="20"/>
                <w:szCs w:val="20"/>
                <w:lang w:val="fr-FR"/>
              </w:rPr>
              <w:t xml:space="preserve"> </w:t>
            </w:r>
            <w:proofErr w:type="spellStart"/>
            <w:r w:rsidRPr="00AB60C1">
              <w:rPr>
                <w:rFonts w:eastAsia="Times New Roman" w:cs="Arial"/>
                <w:b/>
                <w:bCs/>
                <w:color w:val="000000"/>
                <w:sz w:val="20"/>
                <w:szCs w:val="20"/>
                <w:lang w:val="fr-FR"/>
              </w:rPr>
              <w:t>correlation</w:t>
            </w:r>
            <w:proofErr w:type="spellEnd"/>
            <w:r w:rsidRPr="00AB60C1">
              <w:rPr>
                <w:rFonts w:eastAsia="Times New Roman" w:cs="Arial"/>
                <w:b/>
                <w:bCs/>
                <w:color w:val="000000"/>
                <w:sz w:val="20"/>
                <w:szCs w:val="20"/>
                <w:lang w:val="fr-FR"/>
              </w:rPr>
              <w:t xml:space="preserve"> </w:t>
            </w:r>
            <w:proofErr w:type="spellStart"/>
            <w:r w:rsidRPr="00AB60C1">
              <w:rPr>
                <w:rFonts w:eastAsia="Times New Roman" w:cs="Arial"/>
                <w:b/>
                <w:bCs/>
                <w:color w:val="000000"/>
                <w:sz w:val="20"/>
                <w:szCs w:val="20"/>
                <w:lang w:val="fr-FR"/>
              </w:rPr>
              <w:t>with</w:t>
            </w:r>
            <w:proofErr w:type="spellEnd"/>
            <w:r w:rsidRPr="00AB60C1">
              <w:rPr>
                <w:rFonts w:eastAsia="Times New Roman" w:cs="Arial"/>
                <w:b/>
                <w:bCs/>
                <w:color w:val="000000"/>
                <w:sz w:val="20"/>
                <w:szCs w:val="20"/>
                <w:lang w:val="fr-FR"/>
              </w:rPr>
              <w:t xml:space="preserve"> 26,874 </w:t>
            </w:r>
            <w:proofErr w:type="spellStart"/>
            <w:r w:rsidRPr="00AB60C1">
              <w:rPr>
                <w:rFonts w:eastAsia="Times New Roman" w:cs="Arial"/>
                <w:b/>
                <w:bCs/>
                <w:color w:val="000000"/>
                <w:sz w:val="20"/>
                <w:szCs w:val="20"/>
                <w:lang w:val="fr-FR"/>
              </w:rPr>
              <w:t>SNPs</w:t>
            </w:r>
            <w:proofErr w:type="spellEnd"/>
            <w:r w:rsidRPr="00AB60C1">
              <w:rPr>
                <w:rFonts w:eastAsia="Times New Roman" w:cs="Arial"/>
                <w:b/>
                <w:bCs/>
                <w:color w:val="000000"/>
                <w:sz w:val="20"/>
                <w:szCs w:val="20"/>
                <w:lang w:val="fr-FR"/>
              </w:rPr>
              <w:t xml:space="preserve"> </w:t>
            </w:r>
          </w:p>
        </w:tc>
      </w:tr>
      <w:tr w:rsidR="007D392D" w:rsidRPr="008F79CF" w:rsidTr="00C4696B">
        <w:trPr>
          <w:trHeight w:val="315"/>
        </w:trPr>
        <w:tc>
          <w:tcPr>
            <w:tcW w:w="2572"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rPr>
              <w:t>3072  SNPs</w:t>
            </w:r>
          </w:p>
        </w:tc>
        <w:tc>
          <w:tcPr>
            <w:tcW w:w="1298"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lang w:val="fr-FR"/>
              </w:rPr>
              <w:t>0.004</w:t>
            </w:r>
          </w:p>
        </w:tc>
        <w:tc>
          <w:tcPr>
            <w:tcW w:w="4140"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lang w:val="fr-FR"/>
              </w:rPr>
              <w:t>0.99</w:t>
            </w:r>
          </w:p>
        </w:tc>
      </w:tr>
      <w:tr w:rsidR="007D392D" w:rsidRPr="008F79CF" w:rsidTr="00C4696B">
        <w:trPr>
          <w:trHeight w:val="315"/>
        </w:trPr>
        <w:tc>
          <w:tcPr>
            <w:tcW w:w="2572"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rPr>
              <w:t>1536  SNPs</w:t>
            </w:r>
          </w:p>
        </w:tc>
        <w:tc>
          <w:tcPr>
            <w:tcW w:w="1298"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lang w:val="fr-FR"/>
              </w:rPr>
              <w:t>0.006</w:t>
            </w:r>
          </w:p>
        </w:tc>
        <w:tc>
          <w:tcPr>
            <w:tcW w:w="4140"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lang w:val="fr-FR"/>
              </w:rPr>
              <w:t>0.98</w:t>
            </w:r>
          </w:p>
        </w:tc>
      </w:tr>
      <w:tr w:rsidR="007D392D" w:rsidRPr="008F79CF" w:rsidTr="00C4696B">
        <w:trPr>
          <w:trHeight w:val="315"/>
        </w:trPr>
        <w:tc>
          <w:tcPr>
            <w:tcW w:w="2572"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rPr>
              <w:t>768  SNPs</w:t>
            </w:r>
          </w:p>
        </w:tc>
        <w:tc>
          <w:tcPr>
            <w:tcW w:w="1298"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lang w:val="fr-FR"/>
              </w:rPr>
              <w:t>0.008</w:t>
            </w:r>
          </w:p>
        </w:tc>
        <w:tc>
          <w:tcPr>
            <w:tcW w:w="4140"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lang w:val="fr-FR"/>
              </w:rPr>
              <w:t>0.98</w:t>
            </w:r>
          </w:p>
        </w:tc>
      </w:tr>
      <w:tr w:rsidR="007D392D" w:rsidRPr="008F79CF" w:rsidTr="00C4696B">
        <w:trPr>
          <w:trHeight w:val="315"/>
        </w:trPr>
        <w:tc>
          <w:tcPr>
            <w:tcW w:w="2572"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lang w:val="fr-FR"/>
              </w:rPr>
              <w:t xml:space="preserve">384 </w:t>
            </w:r>
            <w:proofErr w:type="spellStart"/>
            <w:r w:rsidRPr="00AB60C1">
              <w:rPr>
                <w:rFonts w:eastAsia="Times New Roman" w:cs="Arial"/>
                <w:color w:val="000000"/>
                <w:sz w:val="20"/>
                <w:szCs w:val="20"/>
                <w:lang w:val="fr-FR"/>
              </w:rPr>
              <w:t>SNPs</w:t>
            </w:r>
            <w:proofErr w:type="spellEnd"/>
          </w:p>
        </w:tc>
        <w:tc>
          <w:tcPr>
            <w:tcW w:w="1298"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lang w:val="fr-FR"/>
              </w:rPr>
              <w:t>0.012</w:t>
            </w:r>
          </w:p>
        </w:tc>
        <w:tc>
          <w:tcPr>
            <w:tcW w:w="4140"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lang w:val="fr-FR"/>
              </w:rPr>
              <w:t>0.95</w:t>
            </w:r>
          </w:p>
        </w:tc>
      </w:tr>
      <w:tr w:rsidR="007D392D" w:rsidRPr="008F79CF" w:rsidTr="00C4696B">
        <w:trPr>
          <w:trHeight w:val="315"/>
        </w:trPr>
        <w:tc>
          <w:tcPr>
            <w:tcW w:w="2572" w:type="dxa"/>
            <w:hideMark/>
          </w:tcPr>
          <w:p w:rsidR="007D392D" w:rsidRPr="00AB60C1" w:rsidRDefault="007D392D" w:rsidP="00C4696B">
            <w:pPr>
              <w:jc w:val="center"/>
              <w:rPr>
                <w:rFonts w:eastAsia="Times New Roman" w:cs="Arial"/>
                <w:b/>
                <w:bCs/>
                <w:color w:val="000000"/>
                <w:sz w:val="20"/>
                <w:szCs w:val="20"/>
              </w:rPr>
            </w:pPr>
            <w:r w:rsidRPr="00AB60C1">
              <w:rPr>
                <w:rFonts w:eastAsia="Times New Roman" w:cs="Arial"/>
                <w:b/>
                <w:bCs/>
                <w:color w:val="000000"/>
                <w:sz w:val="20"/>
                <w:szCs w:val="20"/>
                <w:lang w:val="fr-FR"/>
              </w:rPr>
              <w:t xml:space="preserve">163 UFS </w:t>
            </w:r>
            <w:proofErr w:type="spellStart"/>
            <w:r w:rsidRPr="00AB60C1">
              <w:rPr>
                <w:rFonts w:eastAsia="Times New Roman" w:cs="Arial"/>
                <w:b/>
                <w:bCs/>
                <w:color w:val="000000"/>
                <w:sz w:val="20"/>
                <w:szCs w:val="20"/>
                <w:lang w:val="fr-FR"/>
              </w:rPr>
              <w:t>SSRs</w:t>
            </w:r>
            <w:proofErr w:type="spellEnd"/>
          </w:p>
        </w:tc>
        <w:tc>
          <w:tcPr>
            <w:tcW w:w="1298" w:type="dxa"/>
            <w:hideMark/>
          </w:tcPr>
          <w:p w:rsidR="007D392D" w:rsidRPr="00AB60C1" w:rsidRDefault="007D392D" w:rsidP="00C4696B">
            <w:pPr>
              <w:jc w:val="center"/>
              <w:rPr>
                <w:rFonts w:eastAsia="Times New Roman" w:cs="Arial"/>
                <w:b/>
                <w:bCs/>
                <w:color w:val="000000"/>
                <w:sz w:val="20"/>
                <w:szCs w:val="20"/>
              </w:rPr>
            </w:pPr>
            <w:r w:rsidRPr="00AB60C1">
              <w:rPr>
                <w:rFonts w:eastAsia="Times New Roman" w:cs="Arial"/>
                <w:b/>
                <w:bCs/>
                <w:color w:val="000000"/>
                <w:sz w:val="20"/>
                <w:szCs w:val="20"/>
                <w:lang w:val="fr-FR"/>
              </w:rPr>
              <w:t>0.031</w:t>
            </w:r>
          </w:p>
        </w:tc>
        <w:tc>
          <w:tcPr>
            <w:tcW w:w="4140" w:type="dxa"/>
            <w:hideMark/>
          </w:tcPr>
          <w:p w:rsidR="007D392D" w:rsidRPr="00AB60C1" w:rsidRDefault="007D392D" w:rsidP="00C4696B">
            <w:pPr>
              <w:jc w:val="center"/>
              <w:rPr>
                <w:rFonts w:eastAsia="Times New Roman" w:cs="Arial"/>
                <w:color w:val="000000"/>
                <w:sz w:val="20"/>
                <w:szCs w:val="20"/>
              </w:rPr>
            </w:pPr>
            <w:r w:rsidRPr="00AB60C1">
              <w:rPr>
                <w:rFonts w:eastAsia="Times New Roman" w:cs="Arial"/>
                <w:color w:val="000000"/>
                <w:sz w:val="20"/>
                <w:szCs w:val="20"/>
              </w:rPr>
              <w:t> </w:t>
            </w:r>
          </w:p>
        </w:tc>
      </w:tr>
    </w:tbl>
    <w:p w:rsidR="007D392D" w:rsidRDefault="007D392D" w:rsidP="007D392D"/>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roofErr w:type="gramStart"/>
      <w:r>
        <w:lastRenderedPageBreak/>
        <w:t>Figure 1.</w:t>
      </w:r>
      <w:proofErr w:type="gramEnd"/>
      <w:r>
        <w:t xml:space="preserve"> Map coverage of 1536 SNPs selected for physical map coverage and the second 1536 SNPs selected for genetic map coverage comprising the 3072 SNPs selected. </w:t>
      </w:r>
    </w:p>
    <w:p w:rsidR="007D392D" w:rsidRDefault="007D392D" w:rsidP="007D392D">
      <w:pPr>
        <w:rPr>
          <w:lang w:eastAsia="ja-JP"/>
        </w:rPr>
      </w:pPr>
      <w:r w:rsidRPr="004A2F44">
        <w:rPr>
          <w:noProof/>
          <w:lang w:eastAsia="zh-CN"/>
        </w:rPr>
        <w:drawing>
          <wp:anchor distT="0" distB="0" distL="114300" distR="114300" simplePos="0" relativeHeight="251659264" behindDoc="0" locked="0" layoutInCell="1" allowOverlap="1" wp14:anchorId="395DD78F" wp14:editId="60235586">
            <wp:simplePos x="0" y="0"/>
            <wp:positionH relativeFrom="column">
              <wp:posOffset>612775</wp:posOffset>
            </wp:positionH>
            <wp:positionV relativeFrom="paragraph">
              <wp:posOffset>31533</wp:posOffset>
            </wp:positionV>
            <wp:extent cx="4219575" cy="3549867"/>
            <wp:effectExtent l="0" t="0" r="0" b="0"/>
            <wp:wrapNone/>
            <wp:docPr id="225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1"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575" cy="3549867"/>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r w:rsidRPr="004A2F44">
        <w:rPr>
          <w:noProof/>
          <w:lang w:eastAsia="zh-CN"/>
        </w:rPr>
        <mc:AlternateContent>
          <mc:Choice Requires="wps">
            <w:drawing>
              <wp:anchor distT="0" distB="0" distL="114300" distR="114300" simplePos="0" relativeHeight="251660288" behindDoc="0" locked="0" layoutInCell="1" allowOverlap="1" wp14:anchorId="4694E7F2" wp14:editId="599308D4">
                <wp:simplePos x="0" y="0"/>
                <wp:positionH relativeFrom="column">
                  <wp:posOffset>-530225</wp:posOffset>
                </wp:positionH>
                <wp:positionV relativeFrom="paragraph">
                  <wp:posOffset>98425</wp:posOffset>
                </wp:positionV>
                <wp:extent cx="1752600" cy="266700"/>
                <wp:effectExtent l="0" t="0" r="0" b="0"/>
                <wp:wrapNone/>
                <wp:docPr id="22534"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52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92D" w:rsidRPr="004A2F44" w:rsidRDefault="007D392D" w:rsidP="007D392D">
                            <w:pPr>
                              <w:pStyle w:val="NormalWeb"/>
                              <w:spacing w:before="0" w:beforeAutospacing="0" w:after="0" w:afterAutospacing="0"/>
                              <w:textAlignment w:val="baseline"/>
                            </w:pPr>
                            <w:r w:rsidRPr="004A2F44">
                              <w:rPr>
                                <w:rFonts w:ascii="Arial" w:eastAsia="+mn-ea" w:hAnsi="Arial" w:cs="Arial"/>
                                <w:color w:val="000000"/>
                                <w:kern w:val="24"/>
                              </w:rPr>
                              <w:t>Physical Map</w:t>
                            </w:r>
                          </w:p>
                        </w:txbxContent>
                      </wps:txbx>
                      <wps:bodyPr>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41.75pt;margin-top:7.75pt;width:138pt;height:21pt;rotation:-9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" filled="f" stroked="f">
                <v:textbox>
                  <w:txbxContent>
                    <w:p w:rsidR="007D392D" w:rsidRPr="004A2F44" w:rsidRDefault="007D392D" w:rsidP="007D392D">
                      <w:pPr>
                        <w:pStyle w:val="NormalWeb"/>
                        <w:spacing w:before="0" w:beforeAutospacing="0" w:after="0" w:afterAutospacing="0"/>
                        <w:textAlignment w:val="baseline"/>
                      </w:pPr>
                      <w:r w:rsidRPr="004A2F44">
                        <w:rPr>
                          <w:rFonts w:ascii="Arial" w:eastAsia="+mn-ea" w:hAnsi="Arial" w:cs="Arial"/>
                          <w:color w:val="000000"/>
                          <w:kern w:val="24"/>
                        </w:rPr>
                        <w:t>Physical Map</w:t>
                      </w:r>
                    </w:p>
                  </w:txbxContent>
                </v:textbox>
              </v:shape>
            </w:pict>
          </mc:Fallback>
        </mc:AlternateContent>
      </w: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r w:rsidRPr="004A2F44">
        <w:rPr>
          <w:noProof/>
          <w:lang w:eastAsia="zh-CN"/>
        </w:rPr>
        <w:drawing>
          <wp:anchor distT="0" distB="0" distL="114300" distR="114300" simplePos="0" relativeHeight="251661312" behindDoc="0" locked="0" layoutInCell="1" allowOverlap="1" wp14:anchorId="78C685A7" wp14:editId="7302534C">
            <wp:simplePos x="0" y="0"/>
            <wp:positionH relativeFrom="column">
              <wp:posOffset>565785</wp:posOffset>
            </wp:positionH>
            <wp:positionV relativeFrom="paragraph">
              <wp:posOffset>121285</wp:posOffset>
            </wp:positionV>
            <wp:extent cx="4353739" cy="30289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4"/>
                    <pic:cNvPicPr>
                      <a:picLocks noChangeAspect="1" noChangeArrowheads="1"/>
                    </pic:cNvPicPr>
                  </pic:nvPicPr>
                  <pic:blipFill>
                    <a:blip r:embed="rId11">
                      <a:extLst>
                        <a:ext uri="{28A0092B-C50C-407E-A947-70E740481C1C}">
                          <a14:useLocalDpi xmlns:a14="http://schemas.microsoft.com/office/drawing/2010/main" val="0"/>
                        </a:ext>
                      </a:extLst>
                    </a:blip>
                    <a:srcRect t="8063"/>
                    <a:stretch>
                      <a:fillRect/>
                    </a:stretch>
                  </pic:blipFill>
                  <pic:spPr bwMode="auto">
                    <a:xfrm>
                      <a:off x="0" y="0"/>
                      <a:ext cx="4353739" cy="30289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r w:rsidRPr="004A2F44">
        <w:rPr>
          <w:noProof/>
          <w:lang w:eastAsia="zh-CN"/>
        </w:rPr>
        <mc:AlternateContent>
          <mc:Choice Requires="wps">
            <w:drawing>
              <wp:anchor distT="0" distB="0" distL="114300" distR="114300" simplePos="0" relativeHeight="251662336" behindDoc="0" locked="0" layoutInCell="1" allowOverlap="1" wp14:anchorId="3B427FB9" wp14:editId="012AB274">
                <wp:simplePos x="0" y="0"/>
                <wp:positionH relativeFrom="column">
                  <wp:posOffset>-479425</wp:posOffset>
                </wp:positionH>
                <wp:positionV relativeFrom="paragraph">
                  <wp:posOffset>83185</wp:posOffset>
                </wp:positionV>
                <wp:extent cx="1752600" cy="368300"/>
                <wp:effectExtent l="0" t="0" r="0" b="0"/>
                <wp:wrapNone/>
                <wp:docPr id="22533"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526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92D" w:rsidRPr="004A2F44" w:rsidRDefault="007D392D" w:rsidP="007D392D">
                            <w:pPr>
                              <w:pStyle w:val="NormalWeb"/>
                              <w:spacing w:before="0" w:beforeAutospacing="0" w:after="0" w:afterAutospacing="0"/>
                              <w:textAlignment w:val="baseline"/>
                            </w:pPr>
                            <w:r w:rsidRPr="004A2F44">
                              <w:rPr>
                                <w:rFonts w:ascii="Arial" w:eastAsia="+mn-ea" w:hAnsi="Arial" w:cs="Arial"/>
                                <w:color w:val="000000"/>
                                <w:kern w:val="24"/>
                              </w:rPr>
                              <w:t>Genetic Map</w:t>
                            </w:r>
                          </w:p>
                        </w:txbxContent>
                      </wps:txbx>
                      <wps:bodyPr>
                        <a:spAutoFit/>
                      </wps:bodyPr>
                    </wps:wsp>
                  </a:graphicData>
                </a:graphic>
              </wp:anchor>
            </w:drawing>
          </mc:Choice>
          <mc:Fallback>
            <w:pict>
              <v:shape id="TextBox 5" o:spid="_x0000_s1027" type="#_x0000_t202" style="position:absolute;left:0;text-align:left;margin-left:-37.75pt;margin-top:6.55pt;width:138pt;height:29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" filled="f" stroked="f">
                <v:textbox style="mso-fit-shape-to-text:t">
                  <w:txbxContent>
                    <w:p w:rsidR="007D392D" w:rsidRPr="004A2F44" w:rsidRDefault="007D392D" w:rsidP="007D392D">
                      <w:pPr>
                        <w:pStyle w:val="NormalWeb"/>
                        <w:spacing w:before="0" w:beforeAutospacing="0" w:after="0" w:afterAutospacing="0"/>
                        <w:textAlignment w:val="baseline"/>
                      </w:pPr>
                      <w:r w:rsidRPr="004A2F44">
                        <w:rPr>
                          <w:rFonts w:ascii="Arial" w:eastAsia="+mn-ea" w:hAnsi="Arial" w:cs="Arial"/>
                          <w:color w:val="000000"/>
                          <w:kern w:val="24"/>
                        </w:rPr>
                        <w:t>Genetic Map</w:t>
                      </w:r>
                    </w:p>
                  </w:txbxContent>
                </v:textbox>
              </v:shape>
            </w:pict>
          </mc:Fallback>
        </mc:AlternateContent>
      </w: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Pr="001D42F7" w:rsidRDefault="007D392D" w:rsidP="007D392D">
      <w:pPr>
        <w:rPr>
          <w:lang w:eastAsia="ja-JP"/>
        </w:rPr>
      </w:pPr>
    </w:p>
    <w:p w:rsidR="007D392D" w:rsidRDefault="007D392D" w:rsidP="007D392D">
      <w:pPr>
        <w:rPr>
          <w:lang w:eastAsia="ja-JP"/>
        </w:rPr>
      </w:pPr>
    </w:p>
    <w:p w:rsidR="007D392D" w:rsidRDefault="007D392D" w:rsidP="007D392D">
      <w:pPr>
        <w:rPr>
          <w:lang w:eastAsia="ja-JP"/>
        </w:rPr>
      </w:pPr>
    </w:p>
    <w:p w:rsidR="007D392D" w:rsidRDefault="007D392D" w:rsidP="001312CA">
      <w:pPr>
        <w:pStyle w:val="ListParagraph"/>
        <w:ind w:left="0"/>
        <w:rPr>
          <w:rFonts w:eastAsiaTheme="minorEastAsia"/>
          <w:lang w:eastAsia="ja-JP"/>
        </w:rPr>
      </w:pPr>
    </w:p>
    <w:p w:rsidR="007D392D" w:rsidRDefault="007D392D" w:rsidP="001312CA">
      <w:pPr>
        <w:pStyle w:val="ListParagraph"/>
        <w:ind w:left="0"/>
        <w:rPr>
          <w:rFonts w:eastAsiaTheme="minorEastAsia"/>
          <w:lang w:eastAsia="ja-JP"/>
        </w:rPr>
      </w:pPr>
    </w:p>
    <w:p w:rsidR="001312CA" w:rsidRDefault="007D392D" w:rsidP="001312CA">
      <w:pPr>
        <w:pStyle w:val="ListParagraph"/>
        <w:ind w:left="0"/>
        <w:rPr>
          <w:lang w:eastAsia="en-GB"/>
        </w:rPr>
      </w:pPr>
      <w:r w:rsidRPr="001D42F7">
        <w:rPr>
          <w:snapToGrid w:val="0"/>
        </w:rPr>
        <w:fldChar w:fldCharType="begin"/>
      </w:r>
      <w:r w:rsidRPr="001D42F7">
        <w:rPr>
          <w:snapToGrid w:val="0"/>
        </w:rPr>
        <w:instrText xml:space="preserve"> AUTONUM  </w:instrText>
      </w:r>
      <w:r w:rsidRPr="001D42F7">
        <w:rPr>
          <w:snapToGrid w:val="0"/>
        </w:rPr>
        <w:fldChar w:fldCharType="end"/>
      </w:r>
      <w:r>
        <w:rPr>
          <w:rFonts w:hint="eastAsia"/>
          <w:snapToGrid w:val="0"/>
          <w:lang w:eastAsia="ja-JP"/>
        </w:rPr>
        <w:tab/>
      </w:r>
      <w:r>
        <w:rPr>
          <w:rFonts w:eastAsiaTheme="minorEastAsia" w:hint="eastAsia"/>
          <w:lang w:eastAsia="ja-JP"/>
        </w:rPr>
        <w:t>T</w:t>
      </w:r>
      <w:r w:rsidR="001312CA" w:rsidRPr="00F279E6">
        <w:rPr>
          <w:lang w:eastAsia="en-GB"/>
        </w:rPr>
        <w:t xml:space="preserve">he Annex to this document contains a copy of a </w:t>
      </w:r>
      <w:r w:rsidR="001312CA" w:rsidRPr="00F279E6">
        <w:t>presentation</w:t>
      </w:r>
      <w:r w:rsidR="00725C9A">
        <w:rPr>
          <w:lang w:eastAsia="en-GB"/>
        </w:rPr>
        <w:t xml:space="preserve"> “</w:t>
      </w:r>
      <w:r w:rsidR="00E7662B" w:rsidRPr="00E7662B">
        <w:rPr>
          <w:rFonts w:eastAsiaTheme="minorEastAsia"/>
          <w:lang w:eastAsia="ja-JP"/>
        </w:rPr>
        <w:t>Identification of SNP Markers to Aid Assessment of Essential Derivation in Maize</w:t>
      </w:r>
      <w:r w:rsidR="00725C9A">
        <w:rPr>
          <w:lang w:eastAsia="en-GB"/>
        </w:rPr>
        <w:t>”</w:t>
      </w:r>
      <w:r w:rsidR="00C34E31">
        <w:rPr>
          <w:rFonts w:eastAsiaTheme="minorEastAsia" w:hint="eastAsia"/>
          <w:lang w:eastAsia="ja-JP"/>
        </w:rPr>
        <w:t xml:space="preserve"> </w:t>
      </w:r>
      <w:r w:rsidR="00A17178">
        <w:rPr>
          <w:lang w:eastAsia="en-GB"/>
        </w:rPr>
        <w:t>to</w:t>
      </w:r>
      <w:r w:rsidR="00725C9A">
        <w:rPr>
          <w:lang w:eastAsia="en-GB"/>
        </w:rPr>
        <w:t xml:space="preserve"> be made at i</w:t>
      </w:r>
      <w:r w:rsidR="00725C9A" w:rsidRPr="00F279E6">
        <w:rPr>
          <w:lang w:eastAsia="en-GB"/>
        </w:rPr>
        <w:t xml:space="preserve">ts </w:t>
      </w:r>
      <w:r w:rsidR="00725C9A">
        <w:rPr>
          <w:rFonts w:eastAsiaTheme="minorEastAsia" w:hint="eastAsia"/>
          <w:lang w:eastAsia="ja-JP"/>
        </w:rPr>
        <w:t>fourteenth</w:t>
      </w:r>
      <w:r w:rsidR="00725C9A" w:rsidRPr="00F279E6">
        <w:rPr>
          <w:lang w:eastAsia="en-GB"/>
        </w:rPr>
        <w:t xml:space="preserve"> session</w:t>
      </w:r>
      <w:r w:rsidR="00725C9A">
        <w:rPr>
          <w:lang w:eastAsia="en-GB"/>
        </w:rPr>
        <w:t xml:space="preserve"> of the </w:t>
      </w:r>
      <w:r w:rsidR="001312CA">
        <w:rPr>
          <w:rFonts w:eastAsiaTheme="minorEastAsia" w:hint="eastAsia"/>
          <w:lang w:eastAsia="ja-JP"/>
        </w:rPr>
        <w:t>Working Group on Biochemical and Molecular Techniques and DNS-Profiling in particular</w:t>
      </w:r>
      <w:r w:rsidR="00725C9A">
        <w:rPr>
          <w:rFonts w:eastAsiaTheme="minorEastAsia"/>
          <w:lang w:eastAsia="ja-JP"/>
        </w:rPr>
        <w:t xml:space="preserve"> (BMT)</w:t>
      </w:r>
      <w:r w:rsidR="001312CA" w:rsidRPr="00F279E6">
        <w:rPr>
          <w:lang w:eastAsia="en-GB"/>
        </w:rPr>
        <w:t>.</w:t>
      </w:r>
    </w:p>
    <w:p w:rsidR="00725C9A" w:rsidRDefault="00725C9A" w:rsidP="001312CA">
      <w:pPr>
        <w:pStyle w:val="ListParagraph"/>
        <w:ind w:left="0"/>
        <w:rPr>
          <w:rFonts w:eastAsiaTheme="minorEastAsia"/>
          <w:lang w:eastAsia="ja-JP"/>
        </w:rPr>
      </w:pPr>
    </w:p>
    <w:p w:rsidR="00725C9A" w:rsidRPr="00E7662B" w:rsidRDefault="00E7662B" w:rsidP="00E7662B">
      <w:pPr>
        <w:pStyle w:val="ListParagraph"/>
        <w:ind w:left="0"/>
        <w:jc w:val="left"/>
        <w:rPr>
          <w:rFonts w:eastAsiaTheme="minorEastAsia"/>
          <w:lang w:eastAsia="ja-JP"/>
        </w:rPr>
      </w:pPr>
      <w:r w:rsidRPr="00E7662B">
        <w:rPr>
          <w:rFonts w:eastAsiaTheme="minorEastAsia"/>
          <w:lang w:eastAsia="ja-JP"/>
        </w:rPr>
        <w:t xml:space="preserve">Yves </w:t>
      </w:r>
      <w:proofErr w:type="spellStart"/>
      <w:r w:rsidRPr="00E7662B">
        <w:rPr>
          <w:rFonts w:eastAsiaTheme="minorEastAsia"/>
          <w:lang w:eastAsia="ja-JP"/>
        </w:rPr>
        <w:t>Rousselle</w:t>
      </w:r>
      <w:proofErr w:type="spellEnd"/>
      <w:r w:rsidRPr="00E7662B">
        <w:rPr>
          <w:rFonts w:eastAsiaTheme="minorEastAsia"/>
          <w:lang w:eastAsia="ja-JP"/>
        </w:rPr>
        <w:t>, Liz Jones, Stephen Smith &amp; Barry Nelson et al</w:t>
      </w:r>
      <w:proofErr w:type="gramStart"/>
      <w:r w:rsidRPr="00E7662B">
        <w:rPr>
          <w:rFonts w:eastAsiaTheme="minorEastAsia"/>
          <w:lang w:eastAsia="ja-JP"/>
        </w:rPr>
        <w:t>.</w:t>
      </w:r>
      <w:proofErr w:type="gramEnd"/>
      <w:r w:rsidRPr="00E7662B">
        <w:rPr>
          <w:rFonts w:eastAsiaTheme="minorEastAsia"/>
          <w:lang w:eastAsia="ja-JP"/>
        </w:rPr>
        <w:br/>
      </w:r>
      <w:r>
        <w:rPr>
          <w:rFonts w:eastAsiaTheme="minorEastAsia" w:hint="eastAsia"/>
          <w:lang w:eastAsia="ja-JP"/>
        </w:rPr>
        <w:t>International Seed Federation</w:t>
      </w:r>
    </w:p>
    <w:p w:rsidR="001312CA" w:rsidRDefault="001312CA" w:rsidP="001312CA">
      <w:r w:rsidRPr="00F73F7A">
        <w:t xml:space="preserve">  </w:t>
      </w:r>
    </w:p>
    <w:p w:rsidR="001312CA" w:rsidRDefault="001312CA" w:rsidP="001312CA">
      <w:pPr>
        <w:jc w:val="right"/>
      </w:pPr>
      <w:r>
        <w:t>[Annex follows]</w:t>
      </w:r>
    </w:p>
    <w:p w:rsidR="001312CA" w:rsidRDefault="001312CA" w:rsidP="001312CA"/>
    <w:p w:rsidR="001312CA" w:rsidRDefault="001312CA" w:rsidP="00AB530F">
      <w:pPr>
        <w:rPr>
          <w:snapToGrid w:val="0"/>
        </w:rPr>
        <w:sectPr w:rsidR="001312CA" w:rsidSect="00906DDC">
          <w:headerReference w:type="default" r:id="rId12"/>
          <w:footerReference w:type="first" r:id="rId13"/>
          <w:pgSz w:w="11907" w:h="16840" w:code="9"/>
          <w:pgMar w:top="510" w:right="1134" w:bottom="1134" w:left="1134" w:header="510" w:footer="680" w:gutter="0"/>
          <w:cols w:space="720"/>
          <w:titlePg/>
        </w:sectPr>
      </w:pPr>
    </w:p>
    <w:p w:rsidR="00014543" w:rsidRDefault="00014543"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r w:rsidRPr="004C5DB7">
        <w:rPr>
          <w:noProof/>
          <w:snapToGrid w:val="0"/>
          <w:lang w:eastAsia="zh-CN"/>
        </w:rPr>
        <w:drawing>
          <wp:inline distT="0" distB="0" distL="0" distR="0" wp14:anchorId="6D7FDC6D" wp14:editId="5D382CBE">
            <wp:extent cx="5029902"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29902" cy="3429479"/>
                    </a:xfrm>
                    <a:prstGeom prst="rect">
                      <a:avLst/>
                    </a:prstGeom>
                  </pic:spPr>
                </pic:pic>
              </a:graphicData>
            </a:graphic>
          </wp:inline>
        </w:drawing>
      </w: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r w:rsidRPr="004C5DB7">
        <w:rPr>
          <w:noProof/>
          <w:snapToGrid w:val="0"/>
          <w:lang w:eastAsia="zh-CN"/>
        </w:rPr>
        <w:drawing>
          <wp:inline distT="0" distB="0" distL="0" distR="0" wp14:anchorId="29536703" wp14:editId="7FA3A50B">
            <wp:extent cx="5029902"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029902" cy="3429479"/>
                    </a:xfrm>
                    <a:prstGeom prst="rect">
                      <a:avLst/>
                    </a:prstGeom>
                  </pic:spPr>
                </pic:pic>
              </a:graphicData>
            </a:graphic>
          </wp:inline>
        </w:drawing>
      </w: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r w:rsidRPr="004C5DB7">
        <w:rPr>
          <w:noProof/>
          <w:snapToGrid w:val="0"/>
          <w:lang w:eastAsia="zh-CN"/>
        </w:rPr>
        <w:drawing>
          <wp:inline distT="0" distB="0" distL="0" distR="0" wp14:anchorId="15AA6C3C" wp14:editId="4606EFD2">
            <wp:extent cx="5029902" cy="34294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29902" cy="3429479"/>
                    </a:xfrm>
                    <a:prstGeom prst="rect">
                      <a:avLst/>
                    </a:prstGeom>
                  </pic:spPr>
                </pic:pic>
              </a:graphicData>
            </a:graphic>
          </wp:inline>
        </w:drawing>
      </w: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r w:rsidRPr="004C5DB7">
        <w:rPr>
          <w:noProof/>
          <w:snapToGrid w:val="0"/>
          <w:lang w:eastAsia="zh-CN"/>
        </w:rPr>
        <w:drawing>
          <wp:inline distT="0" distB="0" distL="0" distR="0" wp14:anchorId="51CC9956" wp14:editId="31234E56">
            <wp:extent cx="5029902" cy="342947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029902" cy="3429479"/>
                    </a:xfrm>
                    <a:prstGeom prst="rect">
                      <a:avLst/>
                    </a:prstGeom>
                  </pic:spPr>
                </pic:pic>
              </a:graphicData>
            </a:graphic>
          </wp:inline>
        </w:drawing>
      </w: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r w:rsidRPr="004C5DB7">
        <w:rPr>
          <w:noProof/>
          <w:snapToGrid w:val="0"/>
          <w:lang w:eastAsia="zh-CN"/>
        </w:rPr>
        <w:drawing>
          <wp:inline distT="0" distB="0" distL="0" distR="0" wp14:anchorId="74AB39BD" wp14:editId="67D30827">
            <wp:extent cx="5029902" cy="342947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029902" cy="3429479"/>
                    </a:xfrm>
                    <a:prstGeom prst="rect">
                      <a:avLst/>
                    </a:prstGeom>
                  </pic:spPr>
                </pic:pic>
              </a:graphicData>
            </a:graphic>
          </wp:inline>
        </w:drawing>
      </w: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r w:rsidRPr="004C5DB7">
        <w:rPr>
          <w:noProof/>
          <w:snapToGrid w:val="0"/>
          <w:lang w:eastAsia="zh-CN"/>
        </w:rPr>
        <w:drawing>
          <wp:inline distT="0" distB="0" distL="0" distR="0" wp14:anchorId="55F14106" wp14:editId="235876CC">
            <wp:extent cx="5029902" cy="34294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29902" cy="3429479"/>
                    </a:xfrm>
                    <a:prstGeom prst="rect">
                      <a:avLst/>
                    </a:prstGeom>
                  </pic:spPr>
                </pic:pic>
              </a:graphicData>
            </a:graphic>
          </wp:inline>
        </w:drawing>
      </w: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r w:rsidRPr="004C5DB7">
        <w:rPr>
          <w:noProof/>
          <w:snapToGrid w:val="0"/>
          <w:lang w:eastAsia="zh-CN"/>
        </w:rPr>
        <w:drawing>
          <wp:inline distT="0" distB="0" distL="0" distR="0" wp14:anchorId="5E47360B" wp14:editId="6CF1331D">
            <wp:extent cx="5029902" cy="34294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29902" cy="3429479"/>
                    </a:xfrm>
                    <a:prstGeom prst="rect">
                      <a:avLst/>
                    </a:prstGeom>
                  </pic:spPr>
                </pic:pic>
              </a:graphicData>
            </a:graphic>
          </wp:inline>
        </w:drawing>
      </w: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r w:rsidRPr="004C5DB7">
        <w:rPr>
          <w:noProof/>
          <w:snapToGrid w:val="0"/>
          <w:lang w:eastAsia="zh-CN"/>
        </w:rPr>
        <w:drawing>
          <wp:inline distT="0" distB="0" distL="0" distR="0" wp14:anchorId="739905FE" wp14:editId="5087D556">
            <wp:extent cx="5029902" cy="342947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29902" cy="3429479"/>
                    </a:xfrm>
                    <a:prstGeom prst="rect">
                      <a:avLst/>
                    </a:prstGeom>
                  </pic:spPr>
                </pic:pic>
              </a:graphicData>
            </a:graphic>
          </wp:inline>
        </w:drawing>
      </w: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r w:rsidRPr="004C5DB7">
        <w:rPr>
          <w:noProof/>
          <w:snapToGrid w:val="0"/>
          <w:lang w:eastAsia="zh-CN"/>
        </w:rPr>
        <w:drawing>
          <wp:inline distT="0" distB="0" distL="0" distR="0" wp14:anchorId="4A07643B" wp14:editId="189D0CC5">
            <wp:extent cx="5029902" cy="342947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029902" cy="3429479"/>
                    </a:xfrm>
                    <a:prstGeom prst="rect">
                      <a:avLst/>
                    </a:prstGeom>
                  </pic:spPr>
                </pic:pic>
              </a:graphicData>
            </a:graphic>
          </wp:inline>
        </w:drawing>
      </w: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r w:rsidRPr="004C5DB7">
        <w:rPr>
          <w:noProof/>
          <w:snapToGrid w:val="0"/>
          <w:lang w:eastAsia="zh-CN"/>
        </w:rPr>
        <w:drawing>
          <wp:inline distT="0" distB="0" distL="0" distR="0" wp14:anchorId="434B1FFF" wp14:editId="3417453E">
            <wp:extent cx="5029902" cy="342947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029902" cy="3429479"/>
                    </a:xfrm>
                    <a:prstGeom prst="rect">
                      <a:avLst/>
                    </a:prstGeom>
                  </pic:spPr>
                </pic:pic>
              </a:graphicData>
            </a:graphic>
          </wp:inline>
        </w:drawing>
      </w: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p>
    <w:p w:rsidR="004C5DB7" w:rsidRDefault="004C5DB7" w:rsidP="00014543">
      <w:pPr>
        <w:jc w:val="center"/>
        <w:rPr>
          <w:snapToGrid w:val="0"/>
          <w:lang w:eastAsia="ja-JP"/>
        </w:rPr>
      </w:pPr>
      <w:r w:rsidRPr="004C5DB7">
        <w:rPr>
          <w:noProof/>
          <w:snapToGrid w:val="0"/>
          <w:lang w:eastAsia="zh-CN"/>
        </w:rPr>
        <w:drawing>
          <wp:inline distT="0" distB="0" distL="0" distR="0" wp14:anchorId="5E02E98B" wp14:editId="30C664F2">
            <wp:extent cx="5029902" cy="34294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029902" cy="3429479"/>
                    </a:xfrm>
                    <a:prstGeom prst="rect">
                      <a:avLst/>
                    </a:prstGeom>
                  </pic:spPr>
                </pic:pic>
              </a:graphicData>
            </a:graphic>
          </wp:inline>
        </w:drawing>
      </w:r>
    </w:p>
    <w:p w:rsidR="00014543" w:rsidRDefault="00014543" w:rsidP="00014543">
      <w:pPr>
        <w:jc w:val="center"/>
        <w:rPr>
          <w:snapToGrid w:val="0"/>
          <w:lang w:eastAsia="ja-JP"/>
        </w:rPr>
      </w:pPr>
    </w:p>
    <w:p w:rsidR="004B5967" w:rsidRDefault="004B5967" w:rsidP="00014543">
      <w:pPr>
        <w:jc w:val="center"/>
        <w:rPr>
          <w:snapToGrid w:val="0"/>
          <w:lang w:eastAsia="ja-JP"/>
        </w:rPr>
      </w:pPr>
    </w:p>
    <w:p w:rsidR="00C34E31" w:rsidRDefault="00C34E31" w:rsidP="00014543">
      <w:pPr>
        <w:jc w:val="center"/>
        <w:rPr>
          <w:snapToGrid w:val="0"/>
          <w:lang w:eastAsia="ja-JP"/>
        </w:rPr>
      </w:pPr>
    </w:p>
    <w:p w:rsidR="00C34E31" w:rsidRDefault="00C34E31" w:rsidP="00014543">
      <w:pPr>
        <w:jc w:val="center"/>
        <w:rPr>
          <w:snapToGrid w:val="0"/>
          <w:lang w:eastAsia="ja-JP"/>
        </w:rPr>
      </w:pPr>
    </w:p>
    <w:p w:rsidR="00C34E31" w:rsidRDefault="00C34E31" w:rsidP="00014543">
      <w:pPr>
        <w:jc w:val="center"/>
        <w:rPr>
          <w:snapToGrid w:val="0"/>
          <w:lang w:eastAsia="ja-JP"/>
        </w:rPr>
      </w:pPr>
    </w:p>
    <w:p w:rsidR="00DF474C" w:rsidRDefault="00C0299C" w:rsidP="00DF474C">
      <w:pPr>
        <w:pStyle w:val="endofdoc"/>
        <w:rPr>
          <w:snapToGrid w:val="0"/>
        </w:rPr>
      </w:pPr>
      <w:r>
        <w:rPr>
          <w:rFonts w:hint="eastAsia"/>
          <w:snapToGrid w:val="0"/>
          <w:lang w:eastAsia="ja-JP"/>
        </w:rPr>
        <w:t>[</w:t>
      </w:r>
      <w:r w:rsidR="00DF474C">
        <w:rPr>
          <w:snapToGrid w:val="0"/>
        </w:rPr>
        <w:t xml:space="preserve">End of </w:t>
      </w:r>
      <w:r w:rsidR="007D392D">
        <w:rPr>
          <w:rFonts w:hint="eastAsia"/>
          <w:snapToGrid w:val="0"/>
          <w:lang w:eastAsia="ja-JP"/>
        </w:rPr>
        <w:t xml:space="preserve">Annex and of </w:t>
      </w:r>
      <w:r w:rsidR="00DF474C">
        <w:rPr>
          <w:snapToGrid w:val="0"/>
        </w:rPr>
        <w:t>document]</w:t>
      </w:r>
    </w:p>
    <w:sectPr w:rsidR="00DF474C" w:rsidSect="00263CD9">
      <w:headerReference w:type="default" r:id="rId25"/>
      <w:headerReference w:type="first" r:id="rId2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4C" w:rsidRDefault="00E5164C" w:rsidP="006655D3">
      <w:r>
        <w:separator/>
      </w:r>
    </w:p>
    <w:p w:rsidR="00E5164C" w:rsidRDefault="00E5164C" w:rsidP="006655D3"/>
    <w:p w:rsidR="00E5164C" w:rsidRDefault="00E5164C" w:rsidP="006655D3"/>
  </w:endnote>
  <w:endnote w:type="continuationSeparator" w:id="0">
    <w:p w:rsidR="00E5164C" w:rsidRDefault="00E5164C" w:rsidP="006655D3">
      <w:r>
        <w:separator/>
      </w:r>
    </w:p>
    <w:p w:rsidR="00E5164C" w:rsidRPr="008B409A" w:rsidRDefault="00E5164C">
      <w:pPr>
        <w:pStyle w:val="Footer"/>
        <w:spacing w:after="60"/>
        <w:rPr>
          <w:sz w:val="18"/>
          <w:lang w:val="fr-CH"/>
        </w:rPr>
      </w:pPr>
      <w:r w:rsidRPr="008B409A">
        <w:rPr>
          <w:sz w:val="18"/>
          <w:lang w:val="fr-CH"/>
        </w:rPr>
        <w:t>[Suite de la note de la page précédente]</w:t>
      </w:r>
    </w:p>
    <w:p w:rsidR="00E5164C" w:rsidRPr="008B409A" w:rsidRDefault="00E5164C" w:rsidP="006655D3">
      <w:pPr>
        <w:rPr>
          <w:lang w:val="fr-CH"/>
        </w:rPr>
      </w:pPr>
    </w:p>
    <w:p w:rsidR="00E5164C" w:rsidRPr="008B409A" w:rsidRDefault="00E5164C" w:rsidP="006655D3">
      <w:pPr>
        <w:rPr>
          <w:lang w:val="fr-CH"/>
        </w:rPr>
      </w:pPr>
    </w:p>
  </w:endnote>
  <w:endnote w:type="continuationNotice" w:id="1">
    <w:p w:rsidR="00E5164C" w:rsidRPr="008B409A" w:rsidRDefault="00E5164C" w:rsidP="006655D3">
      <w:pPr>
        <w:rPr>
          <w:lang w:val="fr-CH"/>
        </w:rPr>
      </w:pPr>
      <w:r w:rsidRPr="008B409A">
        <w:rPr>
          <w:lang w:val="fr-CH"/>
        </w:rPr>
        <w:t>[Suite de la note page suivante]</w:t>
      </w:r>
    </w:p>
    <w:p w:rsidR="00E5164C" w:rsidRPr="008B409A" w:rsidRDefault="00E5164C" w:rsidP="006655D3">
      <w:pPr>
        <w:rPr>
          <w:lang w:val="fr-CH"/>
        </w:rPr>
      </w:pPr>
    </w:p>
    <w:p w:rsidR="00E5164C" w:rsidRPr="008B409A" w:rsidRDefault="00E5164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39" w:rsidRPr="00964D39" w:rsidRDefault="00964D39" w:rsidP="00964D39">
    <w:pPr>
      <w:pStyle w:val="TOC1"/>
      <w:rPr>
        <w:caps w:val="0"/>
        <w:snapToGrid w:val="0"/>
        <w:sz w:val="16"/>
        <w:szCs w:val="16"/>
        <w:lang w:eastAsia="ja-JP"/>
      </w:rPr>
    </w:pPr>
    <w:r w:rsidRPr="00964D39">
      <w:rPr>
        <w:caps w:val="0"/>
        <w:snapToGrid w:val="0"/>
        <w:sz w:val="16"/>
        <w:szCs w:val="16"/>
        <w:vertAlign w:val="superscript"/>
        <w:lang w:eastAsia="ja-JP"/>
      </w:rPr>
      <w:t>1</w:t>
    </w:r>
    <w:r w:rsidRPr="00964D39">
      <w:rPr>
        <w:caps w:val="0"/>
        <w:snapToGrid w:val="0"/>
        <w:sz w:val="16"/>
        <w:szCs w:val="16"/>
        <w:lang w:eastAsia="ja-JP"/>
      </w:rPr>
      <w:t>http://www.worldseed.org/isf/on_intellectual_property.html</w:t>
    </w:r>
  </w:p>
  <w:p w:rsidR="00903656" w:rsidRPr="00964D39" w:rsidRDefault="00903656" w:rsidP="00964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4C" w:rsidRDefault="00E5164C" w:rsidP="006655D3">
      <w:r>
        <w:separator/>
      </w:r>
    </w:p>
  </w:footnote>
  <w:footnote w:type="continuationSeparator" w:id="0">
    <w:p w:rsidR="00E5164C" w:rsidRDefault="00E5164C" w:rsidP="006655D3">
      <w:r>
        <w:separator/>
      </w:r>
    </w:p>
  </w:footnote>
  <w:footnote w:type="continuationNotice" w:id="1">
    <w:p w:rsidR="00E5164C" w:rsidRPr="00AB530F" w:rsidRDefault="00E5164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7B7A8F" w:rsidP="00832298">
    <w:pPr>
      <w:pStyle w:val="Header"/>
      <w:rPr>
        <w:lang w:eastAsia="ja-JP"/>
      </w:rPr>
    </w:pPr>
    <w:r>
      <w:t>BMT</w:t>
    </w:r>
    <w:r w:rsidR="00AE5B25">
      <w:t>/</w:t>
    </w:r>
    <w:r>
      <w:t>14</w:t>
    </w:r>
    <w:r w:rsidR="00903656" w:rsidRPr="00832298">
      <w:t>/</w:t>
    </w:r>
    <w:r w:rsidR="00014543">
      <w:rPr>
        <w:rFonts w:hint="eastAsia"/>
        <w:lang w:eastAsia="ja-JP"/>
      </w:rPr>
      <w:t>7</w:t>
    </w:r>
    <w:r w:rsidR="007D392D">
      <w:rPr>
        <w:rFonts w:hint="eastAsia"/>
        <w:lang w:eastAsia="ja-JP"/>
      </w:rPr>
      <w:t xml:space="preserve"> Rev.</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048B6">
      <w:rPr>
        <w:noProof/>
      </w:rPr>
      <w:t>3</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543" w:rsidRPr="00832298" w:rsidRDefault="00014543" w:rsidP="00832298">
    <w:pPr>
      <w:pStyle w:val="Header"/>
      <w:rPr>
        <w:lang w:eastAsia="ja-JP"/>
      </w:rPr>
    </w:pPr>
    <w:r>
      <w:t>BMT/14</w:t>
    </w:r>
    <w:r w:rsidRPr="00832298">
      <w:t>/</w:t>
    </w:r>
    <w:r w:rsidR="009229A5">
      <w:rPr>
        <w:rFonts w:hint="eastAsia"/>
        <w:lang w:eastAsia="ja-JP"/>
      </w:rPr>
      <w:t>7</w:t>
    </w:r>
    <w:r w:rsidR="004C5DB7">
      <w:rPr>
        <w:rFonts w:hint="eastAsia"/>
        <w:lang w:eastAsia="ja-JP"/>
      </w:rPr>
      <w:t xml:space="preserve"> Rev.</w:t>
    </w:r>
  </w:p>
  <w:p w:rsidR="00014543" w:rsidRPr="00C5280D" w:rsidRDefault="00014543" w:rsidP="00EB048E">
    <w:pPr>
      <w:pStyle w:val="Header"/>
    </w:pPr>
    <w:r>
      <w:rPr>
        <w:rFonts w:hint="eastAsia"/>
        <w:lang w:eastAsia="ja-JP"/>
      </w:rPr>
      <w:t xml:space="preserve">Annex, </w:t>
    </w:r>
    <w:r w:rsidRPr="00C5280D">
      <w:t xml:space="preserve">page </w:t>
    </w:r>
    <w:r w:rsidRPr="00832298">
      <w:fldChar w:fldCharType="begin"/>
    </w:r>
    <w:r w:rsidRPr="00832298">
      <w:instrText xml:space="preserve"> PAGE </w:instrText>
    </w:r>
    <w:r w:rsidRPr="00832298">
      <w:fldChar w:fldCharType="separate"/>
    </w:r>
    <w:r w:rsidR="002048B6">
      <w:rPr>
        <w:noProof/>
      </w:rPr>
      <w:t>6</w:t>
    </w:r>
    <w:r w:rsidRPr="00832298">
      <w:fldChar w:fldCharType="end"/>
    </w:r>
  </w:p>
  <w:p w:rsidR="00014543" w:rsidRPr="00C5280D" w:rsidRDefault="00014543"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CA" w:rsidRDefault="009229A5">
    <w:pPr>
      <w:pStyle w:val="Header"/>
      <w:rPr>
        <w:lang w:eastAsia="ja-JP"/>
      </w:rPr>
    </w:pPr>
    <w:r>
      <w:rPr>
        <w:rFonts w:hint="eastAsia"/>
        <w:lang w:eastAsia="ja-JP"/>
      </w:rPr>
      <w:t>BMT/14/7</w:t>
    </w:r>
    <w:r w:rsidR="004C5DB7">
      <w:rPr>
        <w:rFonts w:hint="eastAsia"/>
        <w:lang w:eastAsia="ja-JP"/>
      </w:rPr>
      <w:t xml:space="preserve"> Rev.</w:t>
    </w:r>
  </w:p>
  <w:p w:rsidR="001312CA" w:rsidRDefault="001312CA">
    <w:pPr>
      <w:pStyle w:val="Header"/>
      <w:rPr>
        <w:lang w:eastAsia="ja-JP"/>
      </w:rPr>
    </w:pPr>
  </w:p>
  <w:p w:rsidR="001312CA" w:rsidRDefault="001312CA">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4C"/>
    <w:rsid w:val="00010CF3"/>
    <w:rsid w:val="00011E27"/>
    <w:rsid w:val="00014543"/>
    <w:rsid w:val="000148BC"/>
    <w:rsid w:val="00024AB8"/>
    <w:rsid w:val="00030854"/>
    <w:rsid w:val="00036028"/>
    <w:rsid w:val="00044642"/>
    <w:rsid w:val="000446B9"/>
    <w:rsid w:val="00047E21"/>
    <w:rsid w:val="00085505"/>
    <w:rsid w:val="00091A90"/>
    <w:rsid w:val="000C4C93"/>
    <w:rsid w:val="000C7021"/>
    <w:rsid w:val="000D6BBC"/>
    <w:rsid w:val="000D7780"/>
    <w:rsid w:val="000F0DB7"/>
    <w:rsid w:val="00105929"/>
    <w:rsid w:val="001131D5"/>
    <w:rsid w:val="001312CA"/>
    <w:rsid w:val="001322D2"/>
    <w:rsid w:val="00141DB8"/>
    <w:rsid w:val="0017474A"/>
    <w:rsid w:val="001758C6"/>
    <w:rsid w:val="00182B99"/>
    <w:rsid w:val="0018780B"/>
    <w:rsid w:val="00195F91"/>
    <w:rsid w:val="002048B6"/>
    <w:rsid w:val="0021332C"/>
    <w:rsid w:val="00213982"/>
    <w:rsid w:val="002176F3"/>
    <w:rsid w:val="0024416D"/>
    <w:rsid w:val="00263CD9"/>
    <w:rsid w:val="002800A0"/>
    <w:rsid w:val="002801B3"/>
    <w:rsid w:val="00281060"/>
    <w:rsid w:val="002940E8"/>
    <w:rsid w:val="002A6E50"/>
    <w:rsid w:val="002C256A"/>
    <w:rsid w:val="00305A7F"/>
    <w:rsid w:val="003152FE"/>
    <w:rsid w:val="00327436"/>
    <w:rsid w:val="00344BD6"/>
    <w:rsid w:val="0035528D"/>
    <w:rsid w:val="00361821"/>
    <w:rsid w:val="003874EF"/>
    <w:rsid w:val="003956FF"/>
    <w:rsid w:val="003B3894"/>
    <w:rsid w:val="003D227C"/>
    <w:rsid w:val="003D2B4D"/>
    <w:rsid w:val="003D6560"/>
    <w:rsid w:val="00444A88"/>
    <w:rsid w:val="00474DA4"/>
    <w:rsid w:val="00476B4D"/>
    <w:rsid w:val="004805FA"/>
    <w:rsid w:val="004A57EB"/>
    <w:rsid w:val="004B5967"/>
    <w:rsid w:val="004C4135"/>
    <w:rsid w:val="004C5DB7"/>
    <w:rsid w:val="004D047D"/>
    <w:rsid w:val="004F305A"/>
    <w:rsid w:val="00512164"/>
    <w:rsid w:val="00520297"/>
    <w:rsid w:val="005338F9"/>
    <w:rsid w:val="0054281C"/>
    <w:rsid w:val="0055268D"/>
    <w:rsid w:val="00576BE4"/>
    <w:rsid w:val="0057736E"/>
    <w:rsid w:val="00592580"/>
    <w:rsid w:val="005A400A"/>
    <w:rsid w:val="00612379"/>
    <w:rsid w:val="0061555F"/>
    <w:rsid w:val="00641200"/>
    <w:rsid w:val="006655D3"/>
    <w:rsid w:val="00667404"/>
    <w:rsid w:val="00673406"/>
    <w:rsid w:val="00685222"/>
    <w:rsid w:val="00687EB4"/>
    <w:rsid w:val="006B17D2"/>
    <w:rsid w:val="006C224E"/>
    <w:rsid w:val="006D780A"/>
    <w:rsid w:val="006E1436"/>
    <w:rsid w:val="00725C9A"/>
    <w:rsid w:val="00732DEC"/>
    <w:rsid w:val="00735BD5"/>
    <w:rsid w:val="007556F6"/>
    <w:rsid w:val="00760EEF"/>
    <w:rsid w:val="00777EE5"/>
    <w:rsid w:val="00784836"/>
    <w:rsid w:val="0079023E"/>
    <w:rsid w:val="007944BD"/>
    <w:rsid w:val="007A2854"/>
    <w:rsid w:val="007B7A8F"/>
    <w:rsid w:val="007C4A62"/>
    <w:rsid w:val="007D0B9D"/>
    <w:rsid w:val="007D19B0"/>
    <w:rsid w:val="007D392D"/>
    <w:rsid w:val="007E3D99"/>
    <w:rsid w:val="007F498F"/>
    <w:rsid w:val="0080679D"/>
    <w:rsid w:val="008108B0"/>
    <w:rsid w:val="00811B20"/>
    <w:rsid w:val="0082296E"/>
    <w:rsid w:val="00824099"/>
    <w:rsid w:val="00832298"/>
    <w:rsid w:val="00845291"/>
    <w:rsid w:val="00867AC1"/>
    <w:rsid w:val="00872A29"/>
    <w:rsid w:val="00876C58"/>
    <w:rsid w:val="008A743F"/>
    <w:rsid w:val="008B409A"/>
    <w:rsid w:val="008C0970"/>
    <w:rsid w:val="008D2CF7"/>
    <w:rsid w:val="008F3E4B"/>
    <w:rsid w:val="00900C26"/>
    <w:rsid w:val="0090197F"/>
    <w:rsid w:val="00903656"/>
    <w:rsid w:val="00906DDC"/>
    <w:rsid w:val="009229A5"/>
    <w:rsid w:val="00932BD9"/>
    <w:rsid w:val="00934E09"/>
    <w:rsid w:val="00936253"/>
    <w:rsid w:val="00952DD4"/>
    <w:rsid w:val="00964D39"/>
    <w:rsid w:val="00970FED"/>
    <w:rsid w:val="00997029"/>
    <w:rsid w:val="009D690D"/>
    <w:rsid w:val="009E65B6"/>
    <w:rsid w:val="00A17178"/>
    <w:rsid w:val="00A24C10"/>
    <w:rsid w:val="00A42AC3"/>
    <w:rsid w:val="00A430CF"/>
    <w:rsid w:val="00A47CBD"/>
    <w:rsid w:val="00A54309"/>
    <w:rsid w:val="00AB2B93"/>
    <w:rsid w:val="00AB530F"/>
    <w:rsid w:val="00AB7E5B"/>
    <w:rsid w:val="00AE0EF1"/>
    <w:rsid w:val="00AE2937"/>
    <w:rsid w:val="00AE5B25"/>
    <w:rsid w:val="00B07301"/>
    <w:rsid w:val="00B07952"/>
    <w:rsid w:val="00B224DE"/>
    <w:rsid w:val="00B40395"/>
    <w:rsid w:val="00B46575"/>
    <w:rsid w:val="00B66010"/>
    <w:rsid w:val="00B71144"/>
    <w:rsid w:val="00B84BBD"/>
    <w:rsid w:val="00BA43FB"/>
    <w:rsid w:val="00BB0967"/>
    <w:rsid w:val="00BC127D"/>
    <w:rsid w:val="00BC1FE6"/>
    <w:rsid w:val="00BE20E1"/>
    <w:rsid w:val="00C0299C"/>
    <w:rsid w:val="00C061B6"/>
    <w:rsid w:val="00C2446C"/>
    <w:rsid w:val="00C34E31"/>
    <w:rsid w:val="00C36AE5"/>
    <w:rsid w:val="00C41F17"/>
    <w:rsid w:val="00C5280D"/>
    <w:rsid w:val="00C5791C"/>
    <w:rsid w:val="00C63A19"/>
    <w:rsid w:val="00C66290"/>
    <w:rsid w:val="00C72B7A"/>
    <w:rsid w:val="00C973F2"/>
    <w:rsid w:val="00CA304C"/>
    <w:rsid w:val="00CA774A"/>
    <w:rsid w:val="00CC11B0"/>
    <w:rsid w:val="00CF3A11"/>
    <w:rsid w:val="00CF7E36"/>
    <w:rsid w:val="00D3708D"/>
    <w:rsid w:val="00D40426"/>
    <w:rsid w:val="00D41898"/>
    <w:rsid w:val="00D53216"/>
    <w:rsid w:val="00D57C96"/>
    <w:rsid w:val="00D82D2E"/>
    <w:rsid w:val="00D91203"/>
    <w:rsid w:val="00D95174"/>
    <w:rsid w:val="00DA6F36"/>
    <w:rsid w:val="00DB596E"/>
    <w:rsid w:val="00DB7773"/>
    <w:rsid w:val="00DC00EA"/>
    <w:rsid w:val="00DF474C"/>
    <w:rsid w:val="00E32F7E"/>
    <w:rsid w:val="00E5164C"/>
    <w:rsid w:val="00E72D49"/>
    <w:rsid w:val="00E7593C"/>
    <w:rsid w:val="00E7662B"/>
    <w:rsid w:val="00E7678A"/>
    <w:rsid w:val="00E863E5"/>
    <w:rsid w:val="00E935F1"/>
    <w:rsid w:val="00E94A81"/>
    <w:rsid w:val="00EA1FFB"/>
    <w:rsid w:val="00EB048E"/>
    <w:rsid w:val="00EC2566"/>
    <w:rsid w:val="00EE34DF"/>
    <w:rsid w:val="00EF2F89"/>
    <w:rsid w:val="00F1237A"/>
    <w:rsid w:val="00F22CBD"/>
    <w:rsid w:val="00F45372"/>
    <w:rsid w:val="00F560F7"/>
    <w:rsid w:val="00F6334D"/>
    <w:rsid w:val="00FA49AB"/>
    <w:rsid w:val="00FB530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7D392D"/>
    <w:pPr>
      <w:keepNext/>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NormalWeb">
    <w:name w:val="Normal (Web)"/>
    <w:basedOn w:val="Normal"/>
    <w:uiPriority w:val="99"/>
    <w:unhideWhenUsed/>
    <w:rsid w:val="001312CA"/>
    <w:pPr>
      <w:spacing w:before="100" w:beforeAutospacing="1" w:after="100" w:afterAutospacing="1"/>
      <w:jc w:val="left"/>
    </w:pPr>
    <w:rPr>
      <w:rFonts w:ascii="Times New Roman" w:eastAsia="Times New Roman" w:hAnsi="Times New Roman"/>
      <w:sz w:val="24"/>
      <w:szCs w:val="24"/>
      <w:lang w:eastAsia="ja-JP"/>
    </w:rPr>
  </w:style>
  <w:style w:type="paragraph" w:styleId="ListParagraph">
    <w:name w:val="List Paragraph"/>
    <w:basedOn w:val="Normal"/>
    <w:uiPriority w:val="34"/>
    <w:qFormat/>
    <w:rsid w:val="001312CA"/>
    <w:pPr>
      <w:ind w:left="720"/>
      <w:contextualSpacing/>
    </w:pPr>
    <w:rPr>
      <w:rFonts w:eastAsia="Times New Roman"/>
    </w:rPr>
  </w:style>
  <w:style w:type="table" w:styleId="TableGrid">
    <w:name w:val="Table Grid"/>
    <w:basedOn w:val="TableNormal"/>
    <w:uiPriority w:val="59"/>
    <w:rsid w:val="007D39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7D392D"/>
    <w:pPr>
      <w:keepNext/>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NormalWeb">
    <w:name w:val="Normal (Web)"/>
    <w:basedOn w:val="Normal"/>
    <w:uiPriority w:val="99"/>
    <w:unhideWhenUsed/>
    <w:rsid w:val="001312CA"/>
    <w:pPr>
      <w:spacing w:before="100" w:beforeAutospacing="1" w:after="100" w:afterAutospacing="1"/>
      <w:jc w:val="left"/>
    </w:pPr>
    <w:rPr>
      <w:rFonts w:ascii="Times New Roman" w:eastAsia="Times New Roman" w:hAnsi="Times New Roman"/>
      <w:sz w:val="24"/>
      <w:szCs w:val="24"/>
      <w:lang w:eastAsia="ja-JP"/>
    </w:rPr>
  </w:style>
  <w:style w:type="paragraph" w:styleId="ListParagraph">
    <w:name w:val="List Paragraph"/>
    <w:basedOn w:val="Normal"/>
    <w:uiPriority w:val="34"/>
    <w:qFormat/>
    <w:rsid w:val="001312CA"/>
    <w:pPr>
      <w:ind w:left="720"/>
      <w:contextualSpacing/>
    </w:pPr>
    <w:rPr>
      <w:rFonts w:eastAsia="Times New Roman"/>
    </w:rPr>
  </w:style>
  <w:style w:type="table" w:styleId="TableGrid">
    <w:name w:val="Table Grid"/>
    <w:basedOn w:val="TableNormal"/>
    <w:uiPriority w:val="59"/>
    <w:rsid w:val="007D392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42846">
      <w:bodyDiv w:val="1"/>
      <w:marLeft w:val="0"/>
      <w:marRight w:val="0"/>
      <w:marTop w:val="0"/>
      <w:marBottom w:val="0"/>
      <w:divBdr>
        <w:top w:val="none" w:sz="0" w:space="0" w:color="auto"/>
        <w:left w:val="none" w:sz="0" w:space="0" w:color="auto"/>
        <w:bottom w:val="none" w:sz="0" w:space="0" w:color="auto"/>
        <w:right w:val="none" w:sz="0" w:space="0" w:color="auto"/>
      </w:divBdr>
    </w:div>
    <w:div w:id="1126972364">
      <w:bodyDiv w:val="1"/>
      <w:marLeft w:val="0"/>
      <w:marRight w:val="0"/>
      <w:marTop w:val="0"/>
      <w:marBottom w:val="0"/>
      <w:divBdr>
        <w:top w:val="none" w:sz="0" w:space="0" w:color="auto"/>
        <w:left w:val="none" w:sz="0" w:space="0" w:color="auto"/>
        <w:bottom w:val="none" w:sz="0" w:space="0" w:color="auto"/>
        <w:right w:val="none" w:sz="0" w:space="0" w:color="auto"/>
      </w:divBdr>
    </w:div>
    <w:div w:id="1682047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4\template\bmt_14_re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6B63-A9C2-4B0C-B22A-D77821BD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bmt_14_rev</Template>
  <TotalTime>27</TotalTime>
  <Pages>9</Pages>
  <Words>863</Words>
  <Characters>5086</Characters>
  <Application>Microsoft Office Word</Application>
  <DocSecurity>0</DocSecurity>
  <Lines>2543</Lines>
  <Paragraphs>114</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PASIEKA Allie</cp:lastModifiedBy>
  <cp:revision>11</cp:revision>
  <cp:lastPrinted>2014-11-04T18:28:00Z</cp:lastPrinted>
  <dcterms:created xsi:type="dcterms:W3CDTF">2014-11-04T07:42:00Z</dcterms:created>
  <dcterms:modified xsi:type="dcterms:W3CDTF">2014-11-06T08:58:00Z</dcterms:modified>
</cp:coreProperties>
</file>