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pPr>
            <w:r>
              <w:t>BMT</w:t>
            </w:r>
            <w:r w:rsidR="00667404">
              <w:t>/</w:t>
            </w:r>
            <w:r>
              <w:t>14</w:t>
            </w:r>
            <w:r w:rsidR="00667404">
              <w:t>/</w:t>
            </w:r>
            <w:bookmarkStart w:id="0" w:name="Code"/>
            <w:bookmarkEnd w:id="0"/>
            <w:r w:rsidR="00490821">
              <w:rPr>
                <w:rFonts w:hint="eastAsia"/>
                <w:lang w:eastAsia="ja-JP"/>
              </w:rPr>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E6DE0">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E6DE0">
              <w:rPr>
                <w:rStyle w:val="StyleDocoriginalNotBold1"/>
                <w:spacing w:val="0"/>
                <w:lang w:eastAsia="ja-JP"/>
              </w:rPr>
              <w:t>October 5,</w:t>
            </w:r>
            <w:bookmarkStart w:id="3" w:name="_GoBack"/>
            <w:bookmarkEnd w:id="3"/>
            <w:r w:rsidR="00B22DFF">
              <w:rPr>
                <w:rStyle w:val="StyleDocoriginalNotBold1"/>
                <w:spacing w:val="0"/>
                <w:lang w:eastAsia="ja-JP"/>
              </w:rPr>
              <w:t xml:space="preserve">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D7780" w:rsidRPr="00C5280D" w:rsidRDefault="00B22DFF" w:rsidP="006655D3">
      <w:pPr>
        <w:pStyle w:val="Titleofdoc0"/>
      </w:pPr>
      <w:bookmarkStart w:id="4" w:name="TitleOfDoc"/>
      <w:bookmarkEnd w:id="4"/>
      <w:r w:rsidRPr="00B22DFF">
        <w:t>The use of Reference Varieties in Varietal Distinct</w:t>
      </w:r>
      <w:r w:rsidR="00231AAC">
        <w:t>ness</w:t>
      </w:r>
      <w:r w:rsidRPr="00B22DFF">
        <w:t>: an Approach under Investigation in the U</w:t>
      </w:r>
      <w:r w:rsidR="00377A54">
        <w:rPr>
          <w:rFonts w:hint="eastAsia"/>
          <w:lang w:eastAsia="ja-JP"/>
        </w:rPr>
        <w:t xml:space="preserve">nited </w:t>
      </w:r>
      <w:r w:rsidRPr="00B22DFF">
        <w:t>S</w:t>
      </w:r>
      <w:r w:rsidR="00377A54">
        <w:rPr>
          <w:rFonts w:hint="eastAsia"/>
          <w:lang w:eastAsia="ja-JP"/>
        </w:rPr>
        <w:t>tates</w:t>
      </w:r>
      <w:r w:rsidRPr="00B22DFF">
        <w:t xml:space="preserve"> </w:t>
      </w:r>
      <w:r w:rsidR="00231AAC">
        <w:t xml:space="preserve">of america </w:t>
      </w:r>
      <w:r w:rsidRPr="00B22DFF">
        <w:t>for Potential Application in Plant Variety Protection</w:t>
      </w:r>
    </w:p>
    <w:p w:rsidR="00A47CBD" w:rsidRPr="00997029" w:rsidRDefault="00A47CBD" w:rsidP="00A47CBD">
      <w:pPr>
        <w:pStyle w:val="preparedby1"/>
      </w:pPr>
      <w:bookmarkStart w:id="5" w:name="Prepared"/>
      <w:bookmarkEnd w:id="5"/>
      <w:r w:rsidRPr="00096CFB">
        <w:t>Document prepared</w:t>
      </w:r>
      <w:r w:rsidRPr="00997029">
        <w:t xml:space="preserve"> by </w:t>
      </w:r>
      <w:r w:rsidR="00B22DFF">
        <w:rPr>
          <w:rFonts w:hint="eastAsia"/>
          <w:lang w:eastAsia="ja-JP"/>
        </w:rPr>
        <w:t>experts from Monsanto</w:t>
      </w:r>
      <w:r w:rsidR="00B22DFF" w:rsidRPr="00B22DFF">
        <w:t xml:space="preserve"> </w:t>
      </w:r>
      <w:r w:rsidR="00B22DFF" w:rsidRPr="00B22DFF">
        <w:rPr>
          <w:lang w:eastAsia="ja-JP"/>
        </w:rPr>
        <w:t>Company</w:t>
      </w:r>
      <w:r w:rsidR="00096CFB">
        <w:t xml:space="preserve"> </w:t>
      </w:r>
      <w:r>
        <w:br/>
      </w:r>
      <w:r>
        <w:br/>
      </w:r>
      <w:r w:rsidRPr="00B62F85">
        <w:rPr>
          <w:color w:val="A6A6A6" w:themeColor="background1" w:themeShade="A6"/>
        </w:rPr>
        <w:t>Disclaimer:  this document does not repr</w:t>
      </w:r>
      <w:r>
        <w:rPr>
          <w:color w:val="A6A6A6" w:themeColor="background1" w:themeShade="A6"/>
        </w:rPr>
        <w:t>esent UPOV policies or guidance</w:t>
      </w:r>
    </w:p>
    <w:p w:rsidR="00B22DFF" w:rsidRPr="00B22DFF" w:rsidRDefault="00B22DFF" w:rsidP="00096CFB">
      <w:pPr>
        <w:pStyle w:val="Heading1"/>
        <w:rPr>
          <w:lang w:eastAsia="ja-JP"/>
        </w:rPr>
      </w:pPr>
      <w:r w:rsidRPr="00B22DFF">
        <w:t>Introduction</w:t>
      </w:r>
      <w:r w:rsidR="00490821">
        <w:rPr>
          <w:rFonts w:hint="eastAsia"/>
          <w:lang w:eastAsia="ja-JP"/>
        </w:rPr>
        <w:t>0</w:t>
      </w:r>
    </w:p>
    <w:p w:rsidR="00B22DFF" w:rsidRDefault="00B22DFF" w:rsidP="00B22DFF">
      <w:pPr>
        <w:rPr>
          <w:rFonts w:cs="Arial"/>
          <w:lang w:eastAsia="ja-JP"/>
        </w:rPr>
      </w:pPr>
    </w:p>
    <w:p w:rsidR="00B22DFF" w:rsidRPr="00B22DFF" w:rsidRDefault="00096CFB" w:rsidP="00B22DFF">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F74608" w:rsidRPr="00F74608">
        <w:rPr>
          <w:rFonts w:cs="Arial"/>
        </w:rPr>
        <w:t xml:space="preserve">A subcommittee of the United States </w:t>
      </w:r>
      <w:r w:rsidR="00377A54">
        <w:rPr>
          <w:rFonts w:cs="Arial" w:hint="eastAsia"/>
          <w:lang w:eastAsia="ja-JP"/>
        </w:rPr>
        <w:t xml:space="preserve">(U.S.) </w:t>
      </w:r>
      <w:r w:rsidR="00F74608" w:rsidRPr="00F74608">
        <w:rPr>
          <w:rFonts w:cs="Arial"/>
        </w:rPr>
        <w:t xml:space="preserve">Plant Variety Protection Office (PVPO) Board, assisted by the American Seed Trade Association (ASTA), has commissioned a study to explore the use of molecular markers in Plant Variety Protection (PVP) for determination of varietal distinctness.  This Molecular Marker subcommittee of technical and legal experts, representing both public and private institutions, was </w:t>
      </w:r>
      <w:r w:rsidR="00377A54">
        <w:rPr>
          <w:rFonts w:cs="Arial"/>
        </w:rPr>
        <w:t xml:space="preserve">formed to advise the </w:t>
      </w:r>
      <w:r w:rsidR="00231AAC">
        <w:rPr>
          <w:rFonts w:cs="Arial"/>
        </w:rPr>
        <w:t xml:space="preserve">U.S. </w:t>
      </w:r>
      <w:r w:rsidR="00F74608" w:rsidRPr="00F74608">
        <w:rPr>
          <w:rFonts w:cs="Arial"/>
        </w:rPr>
        <w:t xml:space="preserve">PVPO Board.  </w:t>
      </w:r>
      <w:r w:rsidR="00B22DFF" w:rsidRPr="00B22DFF">
        <w:rPr>
          <w:rFonts w:cs="Arial"/>
        </w:rPr>
        <w:t>The objective is to develop robust molecular marker-based descriptors to augment the current morphological descriptors used by the U.S. PVPO.  The primary model being explored by the subcommittee utilizes genetic similarity coefficients with a set of reference varieties to determine varietal distinctness.  This “reference variety” model is currently being investigated in maize (</w:t>
      </w:r>
      <w:proofErr w:type="spellStart"/>
      <w:r w:rsidR="00B22DFF" w:rsidRPr="00B22DFF">
        <w:rPr>
          <w:rFonts w:cs="Arial"/>
          <w:i/>
        </w:rPr>
        <w:t>Zea</w:t>
      </w:r>
      <w:proofErr w:type="spellEnd"/>
      <w:r w:rsidR="00B22DFF" w:rsidRPr="00B22DFF">
        <w:rPr>
          <w:rFonts w:cs="Arial"/>
          <w:i/>
        </w:rPr>
        <w:t xml:space="preserve"> mays</w:t>
      </w:r>
      <w:r w:rsidR="00B22DFF" w:rsidRPr="00B22DFF">
        <w:rPr>
          <w:rFonts w:cs="Arial"/>
        </w:rPr>
        <w:t xml:space="preserve"> L), soybean (</w:t>
      </w:r>
      <w:r w:rsidR="00B22DFF" w:rsidRPr="00B22DFF">
        <w:rPr>
          <w:rFonts w:cs="Arial"/>
          <w:i/>
        </w:rPr>
        <w:t>Glycine max</w:t>
      </w:r>
      <w:r w:rsidR="00B22DFF" w:rsidRPr="00B22DFF">
        <w:rPr>
          <w:rFonts w:cs="Arial"/>
        </w:rPr>
        <w:t>), and lettuce (</w:t>
      </w:r>
      <w:proofErr w:type="spellStart"/>
      <w:r w:rsidR="00B22DFF" w:rsidRPr="00B22DFF">
        <w:rPr>
          <w:rFonts w:cs="Arial"/>
          <w:i/>
        </w:rPr>
        <w:t>Lactuca</w:t>
      </w:r>
      <w:proofErr w:type="spellEnd"/>
      <w:r w:rsidR="00B22DFF" w:rsidRPr="00B22DFF">
        <w:rPr>
          <w:rFonts w:cs="Arial"/>
          <w:i/>
        </w:rPr>
        <w:t xml:space="preserve"> sativa</w:t>
      </w:r>
      <w:r w:rsidR="00B22DFF" w:rsidRPr="00B22DFF">
        <w:rPr>
          <w:rFonts w:cs="Arial"/>
        </w:rPr>
        <w:t xml:space="preserve">).  </w:t>
      </w:r>
    </w:p>
    <w:p w:rsidR="00B22DFF" w:rsidRDefault="00B22DFF" w:rsidP="00B22DFF">
      <w:pPr>
        <w:rPr>
          <w:rFonts w:cs="Arial"/>
          <w:u w:val="single"/>
          <w:lang w:eastAsia="ja-JP"/>
        </w:rPr>
      </w:pPr>
    </w:p>
    <w:p w:rsidR="00B22DFF" w:rsidRPr="00B22DFF" w:rsidRDefault="00B22DFF" w:rsidP="00096CFB">
      <w:pPr>
        <w:pStyle w:val="Heading1"/>
      </w:pPr>
      <w:r w:rsidRPr="00B22DFF">
        <w:t>The Reference Variety Model</w:t>
      </w:r>
    </w:p>
    <w:p w:rsidR="00B22DFF" w:rsidRDefault="00B22DFF" w:rsidP="00B22DFF">
      <w:pPr>
        <w:rPr>
          <w:rFonts w:cs="Arial"/>
          <w:i/>
          <w:lang w:eastAsia="ja-JP"/>
        </w:rPr>
      </w:pPr>
    </w:p>
    <w:p w:rsidR="00B22DFF" w:rsidRPr="00B22DFF" w:rsidRDefault="00B22DFF" w:rsidP="00096CFB">
      <w:pPr>
        <w:pStyle w:val="Heading2"/>
      </w:pPr>
      <w:r w:rsidRPr="00B22DFF">
        <w:t>Model Overview for Maize</w:t>
      </w:r>
    </w:p>
    <w:p w:rsidR="00B22DFF" w:rsidRDefault="00B22DFF" w:rsidP="00B22DFF">
      <w:pPr>
        <w:rPr>
          <w:rFonts w:cs="Arial"/>
          <w:lang w:eastAsia="ja-JP"/>
        </w:rPr>
      </w:pPr>
    </w:p>
    <w:p w:rsidR="00B22DFF" w:rsidRPr="00B22DFF" w:rsidRDefault="00096CFB" w:rsidP="00B22DFF">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B22DFF" w:rsidRPr="00B22DFF">
        <w:rPr>
          <w:rFonts w:cs="Arial"/>
        </w:rPr>
        <w:t xml:space="preserve">The reference variety model utilizes genetic similarity coefficients between PVP candidate subject varieties and a set of pre-determined reference varieties.  Reference varieties are selected to provide broad representation of the </w:t>
      </w:r>
      <w:proofErr w:type="spellStart"/>
      <w:r w:rsidR="00B22DFF" w:rsidRPr="00B22DFF">
        <w:rPr>
          <w:rFonts w:cs="Arial"/>
        </w:rPr>
        <w:t>germplasm</w:t>
      </w:r>
      <w:proofErr w:type="spellEnd"/>
      <w:r w:rsidR="00B22DFF" w:rsidRPr="00B22DFF">
        <w:rPr>
          <w:rFonts w:cs="Arial"/>
        </w:rPr>
        <w:t xml:space="preserve"> in the PVP system.  Genotyping is performed with a standard set of SNP markers (ISF, 2014).  Genetic similarity coefficients are calculated via pre-determined computational methods.  </w:t>
      </w:r>
    </w:p>
    <w:p w:rsidR="00B22DFF" w:rsidRDefault="00B22DFF" w:rsidP="00B22DFF">
      <w:pPr>
        <w:rPr>
          <w:rFonts w:cs="Arial"/>
          <w:lang w:eastAsia="ja-JP"/>
        </w:rPr>
      </w:pPr>
    </w:p>
    <w:p w:rsidR="00B22DFF" w:rsidRPr="00B22DFF" w:rsidRDefault="00096CFB" w:rsidP="00B22DFF">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B22DFF" w:rsidRPr="00B22DFF">
        <w:rPr>
          <w:rFonts w:cs="Arial"/>
        </w:rPr>
        <w:t xml:space="preserve">The genetic similarity coefficients between subject and reference varieties would constitute marker-based descriptors for determining distinctness, much in the same way that, for maize, glume color or leaf attitude are current morphological descriptors.  Each reference variety is essentially treated as a new ‘trait’ for which the similarity coefficient with the subject variety is calculated (Table 1).  It is anticipated that several dozen reference varieties will ultimately be identified within each crop. </w:t>
      </w:r>
    </w:p>
    <w:p w:rsidR="00B22DFF" w:rsidRDefault="00B22DFF" w:rsidP="00B22DFF">
      <w:pPr>
        <w:rPr>
          <w:rFonts w:cs="Arial"/>
          <w:i/>
          <w:lang w:eastAsia="ja-JP"/>
        </w:rPr>
      </w:pPr>
    </w:p>
    <w:p w:rsidR="00B22DFF" w:rsidRPr="00B22DFF" w:rsidRDefault="00B22DFF" w:rsidP="00096CFB">
      <w:pPr>
        <w:pStyle w:val="Heading2"/>
      </w:pPr>
      <w:r w:rsidRPr="00B22DFF">
        <w:t>City Analogy</w:t>
      </w:r>
    </w:p>
    <w:p w:rsidR="00B22DFF" w:rsidRDefault="00B22DFF" w:rsidP="00B22DFF">
      <w:pPr>
        <w:rPr>
          <w:rFonts w:cs="Arial"/>
          <w:lang w:eastAsia="ja-JP"/>
        </w:rPr>
      </w:pPr>
    </w:p>
    <w:p w:rsidR="00FB36B3" w:rsidRDefault="00096CFB" w:rsidP="00B22DFF">
      <w:pPr>
        <w:rPr>
          <w:rFonts w:cs="Arial"/>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B22DFF" w:rsidRPr="00B22DFF">
        <w:rPr>
          <w:rFonts w:cs="Arial"/>
        </w:rPr>
        <w:t xml:space="preserve">Reference variety identification is an important component in model performance.  Consider contiguous U.S. cities in an analogous ‘reference city’ model.  If Boston, New York, Philadelphia, Rochester, and Pittsburgh are selected as reference cities, subject cities in the Northeast U.S. are distinguishable by their distances from these reference cities (Table 2).  However, if two Western U.S. subject cities are </w:t>
      </w:r>
      <w:r w:rsidR="00B22DFF" w:rsidRPr="00B22DFF">
        <w:rPr>
          <w:rFonts w:cs="Arial"/>
        </w:rPr>
        <w:lastRenderedPageBreak/>
        <w:t xml:space="preserve">considered, the model fails to provide adequate distinction between the pair simply because their distances from the reference cities are, in relative magnitude, quite similar.  Clearly, additional reference cities in the Western U.S. are needed.  In this analogy, an ideal sampling of reference cities would cover the contiguous U.S., with greater representation in areas of higher population density.   So it is with reference varieties - they </w:t>
      </w:r>
    </w:p>
    <w:p w:rsidR="00B22DFF" w:rsidRPr="00B22DFF" w:rsidRDefault="00B22DFF" w:rsidP="00B22DFF">
      <w:pPr>
        <w:rPr>
          <w:rFonts w:cs="Arial"/>
        </w:rPr>
      </w:pPr>
      <w:proofErr w:type="gramStart"/>
      <w:r w:rsidRPr="00B22DFF">
        <w:rPr>
          <w:rFonts w:cs="Arial"/>
        </w:rPr>
        <w:t>must</w:t>
      </w:r>
      <w:proofErr w:type="gramEnd"/>
      <w:r w:rsidRPr="00B22DFF">
        <w:rPr>
          <w:rFonts w:cs="Arial"/>
        </w:rPr>
        <w:t xml:space="preserve"> represent PVP </w:t>
      </w:r>
      <w:proofErr w:type="spellStart"/>
      <w:r w:rsidRPr="00B22DFF">
        <w:rPr>
          <w:rFonts w:cs="Arial"/>
        </w:rPr>
        <w:t>germplasm</w:t>
      </w:r>
      <w:proofErr w:type="spellEnd"/>
      <w:r w:rsidRPr="00B22DFF">
        <w:rPr>
          <w:rFonts w:cs="Arial"/>
        </w:rPr>
        <w:t xml:space="preserve"> breadth and must also be dense enough to provide granularity, particularly among more heavily used </w:t>
      </w:r>
      <w:proofErr w:type="spellStart"/>
      <w:r w:rsidRPr="00B22DFF">
        <w:rPr>
          <w:rFonts w:cs="Arial"/>
        </w:rPr>
        <w:t>heterotic</w:t>
      </w:r>
      <w:proofErr w:type="spellEnd"/>
      <w:r w:rsidRPr="00B22DFF">
        <w:rPr>
          <w:rFonts w:cs="Arial"/>
        </w:rPr>
        <w:t xml:space="preserve"> pools.</w:t>
      </w:r>
    </w:p>
    <w:p w:rsidR="00B22DFF" w:rsidRDefault="00B22DFF" w:rsidP="00B22DFF">
      <w:pPr>
        <w:rPr>
          <w:rFonts w:cs="Arial"/>
          <w:i/>
          <w:lang w:eastAsia="ja-JP"/>
        </w:rPr>
      </w:pPr>
    </w:p>
    <w:p w:rsidR="00B22DFF" w:rsidRPr="00B22DFF" w:rsidRDefault="00B22DFF" w:rsidP="00096CFB">
      <w:pPr>
        <w:pStyle w:val="Heading2"/>
      </w:pPr>
      <w:r w:rsidRPr="00B22DFF">
        <w:t>Limitations</w:t>
      </w:r>
    </w:p>
    <w:p w:rsidR="00B22DFF" w:rsidRDefault="00B22DFF" w:rsidP="00B22DFF">
      <w:pPr>
        <w:rPr>
          <w:rFonts w:cs="Arial"/>
          <w:lang w:eastAsia="ja-JP"/>
        </w:rPr>
      </w:pPr>
    </w:p>
    <w:p w:rsidR="00B22DFF" w:rsidRPr="00B22DFF" w:rsidRDefault="00096CFB" w:rsidP="00B22DFF">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B22DFF" w:rsidRPr="00B22DFF">
        <w:rPr>
          <w:rFonts w:cs="Arial"/>
        </w:rPr>
        <w:t xml:space="preserve">Because the reference variety model is summarizing thousands of base-pair comparisons into several dozen similarity coefficients, there is a loss of information problem – no different from any data reduction method.  Therefore the model will, at times, fail to reflect true genetic distinction.  However, two fail-safes exist in these cases: 1) morphological characters remain the fundamental means of determining distinctness in U.S. PVP and 2) on a case-by-case basis fingerprints can be used to make similarity comparisons between varieties.  The latter is further supported by recent advances in the use of molecular markers for essentially derived variety (EDV) determination (ISF, 2014).  </w:t>
      </w:r>
    </w:p>
    <w:p w:rsidR="00B22DFF" w:rsidRDefault="00B22DFF" w:rsidP="00B22DFF">
      <w:pPr>
        <w:rPr>
          <w:rFonts w:cs="Arial"/>
          <w:i/>
          <w:lang w:eastAsia="ja-JP"/>
        </w:rPr>
      </w:pPr>
    </w:p>
    <w:p w:rsidR="00B22DFF" w:rsidRDefault="00B22DFF" w:rsidP="00096CFB">
      <w:pPr>
        <w:pStyle w:val="Heading2"/>
        <w:rPr>
          <w:lang w:eastAsia="ja-JP"/>
        </w:rPr>
      </w:pPr>
      <w:r w:rsidRPr="00B22DFF">
        <w:t>Model Features:</w:t>
      </w:r>
    </w:p>
    <w:p w:rsidR="00B22DFF" w:rsidRPr="00B22DFF" w:rsidRDefault="00B22DFF" w:rsidP="00B22DFF">
      <w:pPr>
        <w:rPr>
          <w:rFonts w:cs="Arial"/>
          <w:i/>
          <w:lang w:eastAsia="ja-JP"/>
        </w:rPr>
      </w:pPr>
    </w:p>
    <w:p w:rsidR="00B22DFF" w:rsidRPr="00B22DFF" w:rsidRDefault="00B22DFF" w:rsidP="00B22DFF">
      <w:pPr>
        <w:pStyle w:val="ListParagraph"/>
        <w:numPr>
          <w:ilvl w:val="0"/>
          <w:numId w:val="11"/>
        </w:numPr>
        <w:rPr>
          <w:rFonts w:ascii="Arial" w:hAnsi="Arial" w:cs="Arial"/>
          <w:sz w:val="20"/>
          <w:szCs w:val="20"/>
        </w:rPr>
      </w:pPr>
      <w:r w:rsidRPr="00B22DFF">
        <w:rPr>
          <w:rFonts w:ascii="Arial" w:hAnsi="Arial" w:cs="Arial"/>
          <w:sz w:val="20"/>
          <w:szCs w:val="20"/>
        </w:rPr>
        <w:t>Simplicity in theory and computation.</w:t>
      </w:r>
    </w:p>
    <w:p w:rsidR="00B22DFF" w:rsidRPr="00B22DFF" w:rsidRDefault="00B22DFF" w:rsidP="00B22DFF">
      <w:pPr>
        <w:pStyle w:val="ListParagraph"/>
        <w:numPr>
          <w:ilvl w:val="0"/>
          <w:numId w:val="11"/>
        </w:numPr>
        <w:rPr>
          <w:rFonts w:ascii="Arial" w:hAnsi="Arial" w:cs="Arial"/>
          <w:sz w:val="20"/>
          <w:szCs w:val="20"/>
        </w:rPr>
      </w:pPr>
      <w:r w:rsidRPr="00B22DFF">
        <w:rPr>
          <w:rFonts w:ascii="Arial" w:hAnsi="Arial" w:cs="Arial"/>
          <w:sz w:val="20"/>
          <w:szCs w:val="20"/>
        </w:rPr>
        <w:t xml:space="preserve">Breeders maintain control of fingerprints. </w:t>
      </w:r>
    </w:p>
    <w:p w:rsidR="00B22DFF" w:rsidRPr="00B22DFF" w:rsidRDefault="00B22DFF" w:rsidP="00B22DFF">
      <w:pPr>
        <w:pStyle w:val="ListParagraph"/>
        <w:numPr>
          <w:ilvl w:val="0"/>
          <w:numId w:val="11"/>
        </w:numPr>
        <w:rPr>
          <w:rFonts w:ascii="Arial" w:hAnsi="Arial" w:cs="Arial"/>
          <w:sz w:val="20"/>
          <w:szCs w:val="20"/>
        </w:rPr>
      </w:pPr>
      <w:r w:rsidRPr="00B22DFF">
        <w:rPr>
          <w:rFonts w:ascii="Arial" w:hAnsi="Arial" w:cs="Arial"/>
          <w:sz w:val="20"/>
          <w:szCs w:val="20"/>
        </w:rPr>
        <w:t>The U.S. PVPO does not need to store, maintain, or safeguard fingerprints.</w:t>
      </w:r>
    </w:p>
    <w:p w:rsidR="00B22DFF" w:rsidRPr="00B22DFF" w:rsidRDefault="00B22DFF" w:rsidP="00B22DFF">
      <w:pPr>
        <w:pStyle w:val="ListParagraph"/>
        <w:numPr>
          <w:ilvl w:val="0"/>
          <w:numId w:val="11"/>
        </w:numPr>
        <w:rPr>
          <w:rFonts w:ascii="Arial" w:hAnsi="Arial" w:cs="Arial"/>
          <w:sz w:val="20"/>
          <w:szCs w:val="20"/>
        </w:rPr>
      </w:pPr>
      <w:r w:rsidRPr="00B22DFF">
        <w:rPr>
          <w:rFonts w:ascii="Arial" w:hAnsi="Arial" w:cs="Arial"/>
          <w:sz w:val="20"/>
          <w:szCs w:val="20"/>
        </w:rPr>
        <w:t>The model fits nicely into the existing PVP framework.</w:t>
      </w:r>
    </w:p>
    <w:p w:rsidR="00B22DFF" w:rsidRPr="00B22DFF" w:rsidRDefault="00B22DFF" w:rsidP="00B22DFF">
      <w:pPr>
        <w:pStyle w:val="ListParagraph"/>
        <w:numPr>
          <w:ilvl w:val="0"/>
          <w:numId w:val="11"/>
        </w:numPr>
        <w:rPr>
          <w:rFonts w:ascii="Arial" w:hAnsi="Arial" w:cs="Arial"/>
          <w:sz w:val="20"/>
          <w:szCs w:val="20"/>
        </w:rPr>
      </w:pPr>
      <w:r w:rsidRPr="00B22DFF">
        <w:rPr>
          <w:rFonts w:ascii="Arial" w:hAnsi="Arial" w:cs="Arial"/>
          <w:sz w:val="20"/>
          <w:szCs w:val="20"/>
        </w:rPr>
        <w:t>Genetic similarity coefficients do not replace existing morphological descriptors.</w:t>
      </w:r>
    </w:p>
    <w:p w:rsidR="00B22DFF" w:rsidRDefault="00B22DFF" w:rsidP="00096CFB">
      <w:pPr>
        <w:pStyle w:val="Heading2"/>
        <w:rPr>
          <w:lang w:eastAsia="ja-JP"/>
        </w:rPr>
      </w:pPr>
      <w:r w:rsidRPr="00B22DFF">
        <w:t>Ongoing efforts:</w:t>
      </w:r>
    </w:p>
    <w:p w:rsidR="00B22DFF" w:rsidRPr="00B22DFF" w:rsidRDefault="00B22DFF" w:rsidP="00B22DFF">
      <w:pPr>
        <w:rPr>
          <w:rFonts w:cs="Arial"/>
          <w:i/>
          <w:lang w:eastAsia="ja-JP"/>
        </w:rPr>
      </w:pPr>
    </w:p>
    <w:p w:rsidR="00B22DFF" w:rsidRPr="00B22DFF" w:rsidRDefault="00B22DFF" w:rsidP="00B22DFF">
      <w:pPr>
        <w:pStyle w:val="ListParagraph"/>
        <w:numPr>
          <w:ilvl w:val="0"/>
          <w:numId w:val="12"/>
        </w:numPr>
        <w:rPr>
          <w:rFonts w:ascii="Arial" w:hAnsi="Arial" w:cs="Arial"/>
          <w:sz w:val="20"/>
          <w:szCs w:val="20"/>
        </w:rPr>
      </w:pPr>
      <w:r w:rsidRPr="00B22DFF">
        <w:rPr>
          <w:rFonts w:ascii="Arial" w:hAnsi="Arial" w:cs="Arial"/>
          <w:sz w:val="20"/>
          <w:szCs w:val="20"/>
        </w:rPr>
        <w:t>Reference variety identification.</w:t>
      </w:r>
    </w:p>
    <w:p w:rsidR="00B22DFF" w:rsidRPr="00B22DFF" w:rsidRDefault="00B22DFF" w:rsidP="00B22DFF">
      <w:pPr>
        <w:pStyle w:val="ListParagraph"/>
        <w:numPr>
          <w:ilvl w:val="0"/>
          <w:numId w:val="12"/>
        </w:numPr>
        <w:rPr>
          <w:rFonts w:ascii="Arial" w:hAnsi="Arial" w:cs="Arial"/>
          <w:sz w:val="20"/>
          <w:szCs w:val="20"/>
        </w:rPr>
      </w:pPr>
      <w:r w:rsidRPr="00B22DFF">
        <w:rPr>
          <w:rFonts w:ascii="Arial" w:hAnsi="Arial" w:cs="Arial"/>
          <w:sz w:val="20"/>
          <w:szCs w:val="20"/>
        </w:rPr>
        <w:t>Definition of thresholds for distinctness.</w:t>
      </w:r>
    </w:p>
    <w:p w:rsidR="00B22DFF" w:rsidRPr="00B22DFF" w:rsidRDefault="00B22DFF" w:rsidP="00096CFB">
      <w:pPr>
        <w:pStyle w:val="Heading2"/>
      </w:pPr>
      <w:r w:rsidRPr="00B22DFF">
        <w:t>Example Application</w:t>
      </w:r>
    </w:p>
    <w:p w:rsidR="00B22DFF" w:rsidRDefault="00B22DFF" w:rsidP="00B22DFF">
      <w:pPr>
        <w:rPr>
          <w:rFonts w:cs="Arial"/>
          <w:lang w:eastAsia="ja-JP"/>
        </w:rPr>
      </w:pPr>
    </w:p>
    <w:p w:rsidR="00B22DFF" w:rsidRPr="00B22DFF" w:rsidRDefault="00096CFB" w:rsidP="00B22DFF">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sidR="00B22DFF" w:rsidRPr="00B22DFF">
        <w:rPr>
          <w:rFonts w:cs="Arial"/>
        </w:rPr>
        <w:t xml:space="preserve">Genetic similarity coefficients between six expired PVP maize subject varieties and seven reference varieties are given in Table 3.    </w:t>
      </w:r>
    </w:p>
    <w:p w:rsidR="00B22DFF" w:rsidRDefault="00B22DFF" w:rsidP="00B22DFF">
      <w:pPr>
        <w:rPr>
          <w:rFonts w:cs="Arial"/>
          <w:u w:val="single"/>
          <w:lang w:eastAsia="ja-JP"/>
        </w:rPr>
      </w:pPr>
    </w:p>
    <w:p w:rsidR="00B22DFF" w:rsidRDefault="00B22DFF" w:rsidP="00B22DFF">
      <w:pPr>
        <w:rPr>
          <w:rFonts w:cs="Arial"/>
          <w:u w:val="single"/>
          <w:lang w:eastAsia="ja-JP"/>
        </w:rPr>
      </w:pPr>
    </w:p>
    <w:p w:rsidR="00B22DFF" w:rsidRPr="00B22DFF" w:rsidRDefault="00B22DFF" w:rsidP="00B22DFF">
      <w:pPr>
        <w:rPr>
          <w:rFonts w:cs="Arial"/>
          <w:lang w:eastAsia="ja-JP"/>
        </w:rPr>
      </w:pPr>
      <w:r>
        <w:rPr>
          <w:rFonts w:cs="Arial"/>
          <w:lang w:eastAsia="ja-JP"/>
        </w:rPr>
        <w:t xml:space="preserve">Paul T. Nelson, Fred </w:t>
      </w:r>
      <w:proofErr w:type="spellStart"/>
      <w:r>
        <w:rPr>
          <w:rFonts w:cs="Arial"/>
          <w:lang w:eastAsia="ja-JP"/>
        </w:rPr>
        <w:t>Achard</w:t>
      </w:r>
      <w:proofErr w:type="spellEnd"/>
      <w:r>
        <w:rPr>
          <w:rFonts w:cs="Arial"/>
          <w:lang w:eastAsia="ja-JP"/>
        </w:rPr>
        <w:t xml:space="preserve">, </w:t>
      </w:r>
      <w:proofErr w:type="spellStart"/>
      <w:r>
        <w:rPr>
          <w:rFonts w:cs="Arial"/>
          <w:lang w:eastAsia="ja-JP"/>
        </w:rPr>
        <w:t>Marymar</w:t>
      </w:r>
      <w:proofErr w:type="spellEnd"/>
      <w:r>
        <w:rPr>
          <w:rFonts w:cs="Arial"/>
          <w:lang w:eastAsia="ja-JP"/>
        </w:rPr>
        <w:t xml:space="preserve"> </w:t>
      </w:r>
      <w:proofErr w:type="spellStart"/>
      <w:r>
        <w:rPr>
          <w:rFonts w:cs="Arial"/>
          <w:lang w:eastAsia="ja-JP"/>
        </w:rPr>
        <w:t>Butruille</w:t>
      </w:r>
      <w:proofErr w:type="spellEnd"/>
      <w:r>
        <w:rPr>
          <w:rFonts w:cs="Arial"/>
          <w:lang w:eastAsia="ja-JP"/>
        </w:rPr>
        <w:t xml:space="preserve">, </w:t>
      </w:r>
      <w:proofErr w:type="spellStart"/>
      <w:r w:rsidRPr="00B22DFF">
        <w:rPr>
          <w:rFonts w:cs="Arial"/>
          <w:lang w:eastAsia="ja-JP"/>
        </w:rPr>
        <w:t>Stevan</w:t>
      </w:r>
      <w:proofErr w:type="spellEnd"/>
      <w:r w:rsidRPr="00B22DFF">
        <w:rPr>
          <w:rFonts w:cs="Arial"/>
          <w:lang w:eastAsia="ja-JP"/>
        </w:rPr>
        <w:t xml:space="preserve"> </w:t>
      </w:r>
      <w:proofErr w:type="spellStart"/>
      <w:r w:rsidRPr="00B22DFF">
        <w:rPr>
          <w:rFonts w:cs="Arial"/>
          <w:lang w:eastAsia="ja-JP"/>
        </w:rPr>
        <w:t>Madjarac</w:t>
      </w:r>
      <w:proofErr w:type="spellEnd"/>
      <w:r w:rsidRPr="00B22DFF">
        <w:rPr>
          <w:rFonts w:cs="Arial"/>
          <w:lang w:eastAsia="ja-JP"/>
        </w:rPr>
        <w:t xml:space="preserve"> </w:t>
      </w:r>
    </w:p>
    <w:p w:rsidR="00B22DFF" w:rsidRPr="00B22DFF" w:rsidRDefault="00B22DFF" w:rsidP="00B22DFF">
      <w:pPr>
        <w:rPr>
          <w:rFonts w:cs="Arial"/>
          <w:lang w:eastAsia="ja-JP"/>
        </w:rPr>
      </w:pPr>
      <w:r w:rsidRPr="00B22DFF">
        <w:rPr>
          <w:rFonts w:cs="Arial"/>
          <w:lang w:eastAsia="ja-JP"/>
        </w:rPr>
        <w:t>Monsanto Company, St Louis, MO USA</w:t>
      </w:r>
    </w:p>
    <w:p w:rsidR="00B22DFF" w:rsidRDefault="00B22DFF" w:rsidP="00B22DFF">
      <w:pPr>
        <w:rPr>
          <w:rFonts w:cs="Arial"/>
          <w:u w:val="single"/>
          <w:lang w:eastAsia="ja-JP"/>
        </w:rPr>
      </w:pPr>
    </w:p>
    <w:p w:rsidR="00B22DFF" w:rsidRDefault="00B22DFF" w:rsidP="00B22DFF">
      <w:pPr>
        <w:rPr>
          <w:rFonts w:cs="Arial"/>
          <w:u w:val="single"/>
          <w:lang w:eastAsia="ja-JP"/>
        </w:rPr>
      </w:pPr>
    </w:p>
    <w:p w:rsidR="00B22DFF" w:rsidRPr="00B22DFF" w:rsidRDefault="00B22DFF" w:rsidP="00096CFB">
      <w:pPr>
        <w:pStyle w:val="Heading1"/>
      </w:pPr>
      <w:r w:rsidRPr="00B22DFF">
        <w:t>References</w:t>
      </w:r>
    </w:p>
    <w:p w:rsidR="00B22DFF" w:rsidRDefault="00B22DFF" w:rsidP="00B22DFF">
      <w:pPr>
        <w:rPr>
          <w:rFonts w:cs="Arial"/>
          <w:lang w:eastAsia="ja-JP"/>
        </w:rPr>
      </w:pPr>
    </w:p>
    <w:p w:rsidR="00B22DFF" w:rsidRDefault="00B22DFF" w:rsidP="00B22DFF">
      <w:pPr>
        <w:rPr>
          <w:rFonts w:ascii="Times New Roman" w:hAnsi="Times New Roman"/>
        </w:rPr>
      </w:pPr>
      <w:proofErr w:type="gramStart"/>
      <w:r w:rsidRPr="00B22DFF">
        <w:rPr>
          <w:rFonts w:cs="Arial"/>
        </w:rPr>
        <w:t>ISF Guidelines for Handling Disputes on Essential Derivation of Maize Lines.</w:t>
      </w:r>
      <w:proofErr w:type="gramEnd"/>
      <w:r w:rsidRPr="00B22DFF">
        <w:rPr>
          <w:rFonts w:cs="Arial"/>
        </w:rPr>
        <w:t xml:space="preserve"> </w:t>
      </w:r>
      <w:proofErr w:type="gramStart"/>
      <w:r w:rsidRPr="00B22DFF">
        <w:rPr>
          <w:rFonts w:cs="Arial"/>
        </w:rPr>
        <w:t>ISF 2014</w:t>
      </w:r>
      <w:r>
        <w:rPr>
          <w:rFonts w:ascii="Times New Roman" w:hAnsi="Times New Roman"/>
        </w:rPr>
        <w:t>.</w:t>
      </w:r>
      <w:proofErr w:type="gramEnd"/>
    </w:p>
    <w:p w:rsidR="00B22DFF" w:rsidRDefault="00B22DFF" w:rsidP="00B22DFF">
      <w:pPr>
        <w:rPr>
          <w:rFonts w:ascii="Times New Roman" w:hAnsi="Times New Roman"/>
        </w:rPr>
      </w:pPr>
    </w:p>
    <w:p w:rsidR="00B22DFF" w:rsidRDefault="00B22DFF" w:rsidP="00B22DFF">
      <w:pPr>
        <w:rPr>
          <w:rFonts w:ascii="Times New Roman" w:hAnsi="Times New Roman"/>
          <w:u w:val="single"/>
        </w:rPr>
      </w:pPr>
      <w:r>
        <w:rPr>
          <w:rFonts w:ascii="Times New Roman" w:hAnsi="Times New Roman"/>
          <w:u w:val="single"/>
        </w:rPr>
        <w:br w:type="page"/>
      </w:r>
    </w:p>
    <w:p w:rsidR="00B22DFF" w:rsidRPr="00B22DFF" w:rsidRDefault="00B22DFF" w:rsidP="00B22DFF">
      <w:pPr>
        <w:rPr>
          <w:rFonts w:cs="Arial"/>
          <w:u w:val="single"/>
        </w:rPr>
      </w:pPr>
      <w:r w:rsidRPr="00B22DFF">
        <w:rPr>
          <w:rFonts w:cs="Arial"/>
          <w:u w:val="single"/>
        </w:rPr>
        <w:lastRenderedPageBreak/>
        <w:t>Supporting Tables</w:t>
      </w:r>
    </w:p>
    <w:tbl>
      <w:tblPr>
        <w:tblW w:w="8366" w:type="dxa"/>
        <w:tblInd w:w="97" w:type="dxa"/>
        <w:tblLook w:val="04A0" w:firstRow="1" w:lastRow="0" w:firstColumn="1" w:lastColumn="0" w:noHBand="0" w:noVBand="1"/>
      </w:tblPr>
      <w:tblGrid>
        <w:gridCol w:w="884"/>
        <w:gridCol w:w="1134"/>
        <w:gridCol w:w="1134"/>
        <w:gridCol w:w="436"/>
        <w:gridCol w:w="1062"/>
        <w:gridCol w:w="1096"/>
        <w:gridCol w:w="1096"/>
        <w:gridCol w:w="436"/>
        <w:gridCol w:w="1096"/>
      </w:tblGrid>
      <w:tr w:rsidR="00B22DFF" w:rsidRPr="00B22DFF" w:rsidTr="00A5033A">
        <w:trPr>
          <w:trHeight w:val="600"/>
        </w:trPr>
        <w:tc>
          <w:tcPr>
            <w:tcW w:w="876"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Subject Variety</w:t>
            </w:r>
          </w:p>
        </w:tc>
        <w:tc>
          <w:tcPr>
            <w:tcW w:w="1134"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Morph </w:t>
            </w:r>
            <w:r w:rsidRPr="00B22DFF">
              <w:rPr>
                <w:rFonts w:eastAsia="Times New Roman" w:cs="Arial"/>
                <w:i/>
                <w:iCs/>
                <w:color w:val="000000"/>
              </w:rPr>
              <w:t>1</w:t>
            </w:r>
          </w:p>
        </w:tc>
        <w:tc>
          <w:tcPr>
            <w:tcW w:w="1134"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Morph </w:t>
            </w:r>
            <w:r w:rsidRPr="00B22DFF">
              <w:rPr>
                <w:rFonts w:eastAsia="Times New Roman" w:cs="Arial"/>
                <w:i/>
                <w:iCs/>
                <w:color w:val="000000"/>
              </w:rPr>
              <w:t>2</w:t>
            </w:r>
          </w:p>
        </w:tc>
        <w:tc>
          <w:tcPr>
            <w:tcW w:w="436"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w:t>
            </w:r>
          </w:p>
        </w:tc>
        <w:tc>
          <w:tcPr>
            <w:tcW w:w="1062"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Morph </w:t>
            </w:r>
            <w:proofErr w:type="spellStart"/>
            <w:r w:rsidRPr="00B22DFF">
              <w:rPr>
                <w:rFonts w:eastAsia="Times New Roman" w:cs="Arial"/>
                <w:i/>
                <w:iCs/>
                <w:color w:val="000000"/>
              </w:rPr>
              <w:t>i</w:t>
            </w:r>
            <w:proofErr w:type="spellEnd"/>
          </w:p>
        </w:tc>
        <w:tc>
          <w:tcPr>
            <w:tcW w:w="1096" w:type="dxa"/>
            <w:tcBorders>
              <w:top w:val="single" w:sz="4" w:space="0" w:color="auto"/>
              <w:left w:val="nil"/>
              <w:bottom w:val="single" w:sz="4" w:space="0" w:color="auto"/>
              <w:right w:val="nil"/>
            </w:tcBorders>
            <w:shd w:val="clear" w:color="auto" w:fill="auto"/>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Similarity Ref </w:t>
            </w:r>
            <w:proofErr w:type="spellStart"/>
            <w:r w:rsidRPr="00B22DFF">
              <w:rPr>
                <w:rFonts w:eastAsia="Times New Roman" w:cs="Arial"/>
                <w:color w:val="000000"/>
              </w:rPr>
              <w:t>Var</w:t>
            </w:r>
            <w:proofErr w:type="spellEnd"/>
            <w:r w:rsidRPr="00B22DFF">
              <w:rPr>
                <w:rFonts w:eastAsia="Times New Roman" w:cs="Arial"/>
                <w:color w:val="000000"/>
              </w:rPr>
              <w:t xml:space="preserve"> </w:t>
            </w:r>
            <w:r w:rsidRPr="00B22DFF">
              <w:rPr>
                <w:rFonts w:eastAsia="Times New Roman" w:cs="Arial"/>
                <w:i/>
                <w:iCs/>
                <w:color w:val="000000"/>
              </w:rPr>
              <w:t>1</w:t>
            </w:r>
          </w:p>
        </w:tc>
        <w:tc>
          <w:tcPr>
            <w:tcW w:w="1096" w:type="dxa"/>
            <w:tcBorders>
              <w:top w:val="single" w:sz="4" w:space="0" w:color="auto"/>
              <w:left w:val="nil"/>
              <w:bottom w:val="single" w:sz="4" w:space="0" w:color="auto"/>
              <w:right w:val="nil"/>
            </w:tcBorders>
            <w:shd w:val="clear" w:color="auto" w:fill="auto"/>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Similarity Ref </w:t>
            </w:r>
            <w:proofErr w:type="spellStart"/>
            <w:r w:rsidRPr="00B22DFF">
              <w:rPr>
                <w:rFonts w:eastAsia="Times New Roman" w:cs="Arial"/>
                <w:color w:val="000000"/>
              </w:rPr>
              <w:t>Var</w:t>
            </w:r>
            <w:proofErr w:type="spellEnd"/>
            <w:r w:rsidRPr="00B22DFF">
              <w:rPr>
                <w:rFonts w:eastAsia="Times New Roman" w:cs="Arial"/>
                <w:color w:val="000000"/>
              </w:rPr>
              <w:t xml:space="preserve"> </w:t>
            </w:r>
            <w:r w:rsidRPr="00B22DFF">
              <w:rPr>
                <w:rFonts w:eastAsia="Times New Roman" w:cs="Arial"/>
                <w:i/>
                <w:iCs/>
                <w:color w:val="000000"/>
              </w:rPr>
              <w:t>2</w:t>
            </w:r>
          </w:p>
        </w:tc>
        <w:tc>
          <w:tcPr>
            <w:tcW w:w="436" w:type="dxa"/>
            <w:tcBorders>
              <w:top w:val="single" w:sz="4" w:space="0" w:color="auto"/>
              <w:left w:val="nil"/>
              <w:bottom w:val="single" w:sz="4" w:space="0" w:color="auto"/>
              <w:right w:val="nil"/>
            </w:tcBorders>
            <w:shd w:val="clear" w:color="auto" w:fill="auto"/>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w:t>
            </w:r>
          </w:p>
        </w:tc>
        <w:tc>
          <w:tcPr>
            <w:tcW w:w="1096" w:type="dxa"/>
            <w:tcBorders>
              <w:top w:val="single" w:sz="4" w:space="0" w:color="auto"/>
              <w:left w:val="nil"/>
              <w:bottom w:val="single" w:sz="4" w:space="0" w:color="auto"/>
              <w:right w:val="nil"/>
            </w:tcBorders>
            <w:shd w:val="clear" w:color="auto" w:fill="auto"/>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 xml:space="preserve">Similarity Ref </w:t>
            </w:r>
            <w:proofErr w:type="spellStart"/>
            <w:r w:rsidRPr="00B22DFF">
              <w:rPr>
                <w:rFonts w:eastAsia="Times New Roman" w:cs="Arial"/>
                <w:color w:val="000000"/>
              </w:rPr>
              <w:t>Var</w:t>
            </w:r>
            <w:proofErr w:type="spellEnd"/>
            <w:r w:rsidRPr="00B22DFF">
              <w:rPr>
                <w:rFonts w:eastAsia="Times New Roman" w:cs="Arial"/>
                <w:color w:val="000000"/>
              </w:rPr>
              <w:t xml:space="preserve"> </w:t>
            </w:r>
            <w:r w:rsidRPr="00B22DFF">
              <w:rPr>
                <w:rFonts w:eastAsia="Times New Roman" w:cs="Arial"/>
                <w:i/>
                <w:iCs/>
                <w:color w:val="000000"/>
              </w:rPr>
              <w:t>j</w:t>
            </w:r>
          </w:p>
        </w:tc>
      </w:tr>
      <w:tr w:rsidR="00B22DFF" w:rsidRPr="00B22DFF" w:rsidTr="00A5033A">
        <w:trPr>
          <w:trHeight w:val="300"/>
        </w:trPr>
        <w:tc>
          <w:tcPr>
            <w:tcW w:w="87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i/>
                <w:iCs/>
                <w:color w:val="000000"/>
              </w:rPr>
            </w:pPr>
            <w:r w:rsidRPr="00B22DFF">
              <w:rPr>
                <w:rFonts w:eastAsia="Times New Roman" w:cs="Arial"/>
                <w:i/>
                <w:iCs/>
                <w:color w:val="000000"/>
              </w:rPr>
              <w:t>x</w:t>
            </w:r>
          </w:p>
        </w:tc>
        <w:tc>
          <w:tcPr>
            <w:tcW w:w="113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5</w:t>
            </w:r>
          </w:p>
        </w:tc>
        <w:tc>
          <w:tcPr>
            <w:tcW w:w="113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6</w:t>
            </w:r>
          </w:p>
        </w:tc>
        <w:tc>
          <w:tcPr>
            <w:tcW w:w="43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62"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w:t>
            </w:r>
          </w:p>
        </w:tc>
        <w:tc>
          <w:tcPr>
            <w:tcW w:w="109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0.75</w:t>
            </w:r>
          </w:p>
        </w:tc>
        <w:tc>
          <w:tcPr>
            <w:tcW w:w="109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0.80</w:t>
            </w:r>
          </w:p>
        </w:tc>
        <w:tc>
          <w:tcPr>
            <w:tcW w:w="43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9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0.84</w:t>
            </w:r>
          </w:p>
        </w:tc>
      </w:tr>
      <w:tr w:rsidR="00B22DFF" w:rsidRPr="00B22DFF" w:rsidTr="00A5033A">
        <w:trPr>
          <w:trHeight w:val="300"/>
        </w:trPr>
        <w:tc>
          <w:tcPr>
            <w:tcW w:w="87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i/>
                <w:iCs/>
                <w:color w:val="000000"/>
              </w:rPr>
            </w:pPr>
            <w:r w:rsidRPr="00B22DFF">
              <w:rPr>
                <w:rFonts w:eastAsia="Times New Roman" w:cs="Arial"/>
                <w:i/>
                <w:iCs/>
                <w:color w:val="000000"/>
              </w:rPr>
              <w:t>y</w:t>
            </w:r>
          </w:p>
        </w:tc>
        <w:tc>
          <w:tcPr>
            <w:tcW w:w="1134"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1</w:t>
            </w:r>
          </w:p>
        </w:tc>
        <w:tc>
          <w:tcPr>
            <w:tcW w:w="1134"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w:t>
            </w:r>
          </w:p>
        </w:tc>
        <w:tc>
          <w:tcPr>
            <w:tcW w:w="43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62"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8</w:t>
            </w:r>
          </w:p>
        </w:tc>
        <w:tc>
          <w:tcPr>
            <w:tcW w:w="109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0.83</w:t>
            </w:r>
          </w:p>
        </w:tc>
        <w:tc>
          <w:tcPr>
            <w:tcW w:w="109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0.78</w:t>
            </w:r>
          </w:p>
        </w:tc>
        <w:tc>
          <w:tcPr>
            <w:tcW w:w="43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96"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0.89</w:t>
            </w:r>
          </w:p>
        </w:tc>
      </w:tr>
      <w:tr w:rsidR="00B22DFF" w:rsidRPr="00B22DFF" w:rsidTr="00A5033A">
        <w:trPr>
          <w:trHeight w:val="300"/>
        </w:trPr>
        <w:tc>
          <w:tcPr>
            <w:tcW w:w="87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i/>
                <w:iCs/>
                <w:color w:val="000000"/>
              </w:rPr>
            </w:pPr>
            <w:r w:rsidRPr="00B22DFF">
              <w:rPr>
                <w:rFonts w:eastAsia="Times New Roman" w:cs="Arial"/>
                <w:i/>
                <w:iCs/>
                <w:color w:val="000000"/>
              </w:rPr>
              <w:t>z</w:t>
            </w:r>
          </w:p>
        </w:tc>
        <w:tc>
          <w:tcPr>
            <w:tcW w:w="1134"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7</w:t>
            </w:r>
          </w:p>
        </w:tc>
        <w:tc>
          <w:tcPr>
            <w:tcW w:w="1134"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w:t>
            </w:r>
          </w:p>
        </w:tc>
        <w:tc>
          <w:tcPr>
            <w:tcW w:w="43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62"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w:t>
            </w:r>
          </w:p>
        </w:tc>
        <w:tc>
          <w:tcPr>
            <w:tcW w:w="109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0.93</w:t>
            </w:r>
          </w:p>
        </w:tc>
        <w:tc>
          <w:tcPr>
            <w:tcW w:w="109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0.84</w:t>
            </w:r>
          </w:p>
        </w:tc>
        <w:tc>
          <w:tcPr>
            <w:tcW w:w="43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p>
        </w:tc>
        <w:tc>
          <w:tcPr>
            <w:tcW w:w="1096" w:type="dxa"/>
            <w:tcBorders>
              <w:top w:val="nil"/>
              <w:left w:val="nil"/>
              <w:bottom w:val="single" w:sz="4" w:space="0" w:color="auto"/>
              <w:right w:val="nil"/>
            </w:tcBorders>
            <w:shd w:val="clear" w:color="auto" w:fill="auto"/>
            <w:noWrap/>
            <w:vAlign w:val="bottom"/>
            <w:hideMark/>
          </w:tcPr>
          <w:p w:rsidR="00B22DFF" w:rsidRPr="00B22DFF" w:rsidRDefault="00B22DFF" w:rsidP="00A5033A">
            <w:pPr>
              <w:keepNext/>
              <w:jc w:val="center"/>
              <w:rPr>
                <w:rFonts w:eastAsia="Times New Roman" w:cs="Arial"/>
                <w:color w:val="000000"/>
              </w:rPr>
            </w:pPr>
            <w:r w:rsidRPr="00B22DFF">
              <w:rPr>
                <w:rFonts w:eastAsia="Times New Roman" w:cs="Arial"/>
                <w:color w:val="000000"/>
              </w:rPr>
              <w:t>0.75</w:t>
            </w:r>
          </w:p>
        </w:tc>
      </w:tr>
    </w:tbl>
    <w:p w:rsidR="00B22DFF" w:rsidRPr="00B22DFF" w:rsidRDefault="00B22DFF" w:rsidP="00B22DFF">
      <w:pPr>
        <w:pStyle w:val="Caption"/>
        <w:spacing w:before="120" w:after="0"/>
        <w:rPr>
          <w:rFonts w:ascii="Arial" w:hAnsi="Arial" w:cs="Arial"/>
          <w:color w:val="auto"/>
          <w:sz w:val="20"/>
          <w:szCs w:val="20"/>
        </w:rPr>
      </w:pPr>
      <w:proofErr w:type="gramStart"/>
      <w:r w:rsidRPr="00B22DFF">
        <w:rPr>
          <w:rFonts w:ascii="Arial" w:hAnsi="Arial" w:cs="Arial"/>
          <w:b w:val="0"/>
          <w:color w:val="auto"/>
          <w:sz w:val="20"/>
          <w:szCs w:val="20"/>
        </w:rPr>
        <w:t xml:space="preserve">Table </w:t>
      </w:r>
      <w:proofErr w:type="gramEnd"/>
      <w:r w:rsidRPr="00B22DFF">
        <w:rPr>
          <w:rFonts w:ascii="Arial" w:hAnsi="Arial" w:cs="Arial"/>
          <w:b w:val="0"/>
          <w:color w:val="auto"/>
          <w:sz w:val="20"/>
          <w:szCs w:val="20"/>
        </w:rPr>
        <w:fldChar w:fldCharType="begin"/>
      </w:r>
      <w:r w:rsidRPr="00B22DFF">
        <w:rPr>
          <w:rFonts w:ascii="Arial" w:hAnsi="Arial" w:cs="Arial"/>
          <w:b w:val="0"/>
          <w:color w:val="auto"/>
          <w:sz w:val="20"/>
          <w:szCs w:val="20"/>
        </w:rPr>
        <w:instrText xml:space="preserve"> SEQ Table \* ARABIC </w:instrText>
      </w:r>
      <w:r w:rsidRPr="00B22DFF">
        <w:rPr>
          <w:rFonts w:ascii="Arial" w:hAnsi="Arial" w:cs="Arial"/>
          <w:b w:val="0"/>
          <w:color w:val="auto"/>
          <w:sz w:val="20"/>
          <w:szCs w:val="20"/>
        </w:rPr>
        <w:fldChar w:fldCharType="separate"/>
      </w:r>
      <w:r w:rsidR="00924BEE">
        <w:rPr>
          <w:rFonts w:ascii="Arial" w:hAnsi="Arial" w:cs="Arial"/>
          <w:b w:val="0"/>
          <w:noProof/>
          <w:color w:val="auto"/>
          <w:sz w:val="20"/>
          <w:szCs w:val="20"/>
        </w:rPr>
        <w:t>1</w:t>
      </w:r>
      <w:r w:rsidRPr="00B22DFF">
        <w:rPr>
          <w:rFonts w:ascii="Arial" w:hAnsi="Arial" w:cs="Arial"/>
          <w:b w:val="0"/>
          <w:color w:val="auto"/>
          <w:sz w:val="20"/>
          <w:szCs w:val="20"/>
        </w:rPr>
        <w:fldChar w:fldCharType="end"/>
      </w:r>
      <w:proofErr w:type="gramStart"/>
      <w:r w:rsidRPr="00B22DFF">
        <w:rPr>
          <w:rFonts w:ascii="Arial" w:hAnsi="Arial" w:cs="Arial"/>
          <w:b w:val="0"/>
          <w:color w:val="auto"/>
          <w:sz w:val="20"/>
          <w:szCs w:val="20"/>
        </w:rPr>
        <w:t xml:space="preserve"> Hypothetical reference variety similarity coefficients in addition to current morphological descriptors</w:t>
      </w:r>
      <w:r w:rsidRPr="00B22DFF">
        <w:rPr>
          <w:rFonts w:ascii="Arial" w:hAnsi="Arial" w:cs="Arial"/>
          <w:color w:val="auto"/>
          <w:sz w:val="20"/>
          <w:szCs w:val="20"/>
        </w:rPr>
        <w:t>.</w:t>
      </w:r>
      <w:proofErr w:type="gramEnd"/>
      <w:r w:rsidRPr="00B22DFF">
        <w:rPr>
          <w:rFonts w:ascii="Arial" w:hAnsi="Arial" w:cs="Arial"/>
          <w:color w:val="auto"/>
          <w:sz w:val="20"/>
          <w:szCs w:val="20"/>
        </w:rPr>
        <w:t xml:space="preserve"> </w:t>
      </w:r>
    </w:p>
    <w:p w:rsidR="00B22DFF" w:rsidRDefault="00B22DFF" w:rsidP="00B22DFF">
      <w:pPr>
        <w:rPr>
          <w:rFonts w:ascii="Times New Roman" w:hAnsi="Times New Roman"/>
          <w:b/>
          <w:bCs/>
          <w:sz w:val="18"/>
          <w:szCs w:val="18"/>
        </w:rPr>
      </w:pPr>
    </w:p>
    <w:p w:rsidR="00B22DFF" w:rsidRPr="00B22DFF" w:rsidRDefault="00B22DFF" w:rsidP="00B22DFF">
      <w:pPr>
        <w:rPr>
          <w:rFonts w:cs="Arial"/>
          <w:b/>
          <w:bCs/>
        </w:rPr>
      </w:pPr>
    </w:p>
    <w:tbl>
      <w:tblPr>
        <w:tblW w:w="9315" w:type="dxa"/>
        <w:tblInd w:w="97" w:type="dxa"/>
        <w:tblLook w:val="04A0" w:firstRow="1" w:lastRow="0" w:firstColumn="1" w:lastColumn="0" w:noHBand="0" w:noVBand="1"/>
      </w:tblPr>
      <w:tblGrid>
        <w:gridCol w:w="1631"/>
        <w:gridCol w:w="844"/>
        <w:gridCol w:w="1157"/>
        <w:gridCol w:w="1316"/>
        <w:gridCol w:w="1128"/>
        <w:gridCol w:w="1141"/>
        <w:gridCol w:w="1295"/>
        <w:gridCol w:w="839"/>
      </w:tblGrid>
      <w:tr w:rsidR="00B22DFF" w:rsidRPr="00B22DFF" w:rsidTr="00A5033A">
        <w:trPr>
          <w:trHeight w:val="300"/>
        </w:trPr>
        <w:tc>
          <w:tcPr>
            <w:tcW w:w="1631" w:type="dxa"/>
            <w:tcBorders>
              <w:top w:val="single" w:sz="4" w:space="0" w:color="auto"/>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p>
        </w:tc>
        <w:tc>
          <w:tcPr>
            <w:tcW w:w="7684" w:type="dxa"/>
            <w:gridSpan w:val="7"/>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Reference Cities</w:t>
            </w:r>
          </w:p>
        </w:tc>
      </w:tr>
      <w:tr w:rsidR="00B22DFF" w:rsidRPr="00B22DFF" w:rsidTr="00A5033A">
        <w:trPr>
          <w:trHeight w:val="300"/>
        </w:trPr>
        <w:tc>
          <w:tcPr>
            <w:tcW w:w="1631" w:type="dxa"/>
            <w:tcBorders>
              <w:top w:val="nil"/>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Subject City</w:t>
            </w:r>
          </w:p>
        </w:tc>
        <w:tc>
          <w:tcPr>
            <w:tcW w:w="844"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Boston</w:t>
            </w:r>
          </w:p>
        </w:tc>
        <w:tc>
          <w:tcPr>
            <w:tcW w:w="1157"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New York</w:t>
            </w:r>
          </w:p>
        </w:tc>
        <w:tc>
          <w:tcPr>
            <w:tcW w:w="1316"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Philadelphia</w:t>
            </w:r>
          </w:p>
        </w:tc>
        <w:tc>
          <w:tcPr>
            <w:tcW w:w="1116"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Rochester</w:t>
            </w:r>
          </w:p>
        </w:tc>
        <w:tc>
          <w:tcPr>
            <w:tcW w:w="1141"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Pittsburgh</w:t>
            </w:r>
          </w:p>
        </w:tc>
        <w:tc>
          <w:tcPr>
            <w:tcW w:w="1289"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Sacramento</w:t>
            </w:r>
          </w:p>
        </w:tc>
        <w:tc>
          <w:tcPr>
            <w:tcW w:w="821"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Fresno</w:t>
            </w:r>
          </w:p>
        </w:tc>
      </w:tr>
      <w:tr w:rsidR="00B22DFF" w:rsidRPr="00B22DFF" w:rsidTr="00A5033A">
        <w:trPr>
          <w:trHeight w:val="300"/>
        </w:trPr>
        <w:tc>
          <w:tcPr>
            <w:tcW w:w="1631"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Syracuse</w:t>
            </w:r>
          </w:p>
        </w:tc>
        <w:tc>
          <w:tcPr>
            <w:tcW w:w="84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423</w:t>
            </w:r>
          </w:p>
        </w:tc>
        <w:tc>
          <w:tcPr>
            <w:tcW w:w="1157"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314</w:t>
            </w:r>
          </w:p>
        </w:tc>
        <w:tc>
          <w:tcPr>
            <w:tcW w:w="13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354</w:t>
            </w:r>
          </w:p>
        </w:tc>
        <w:tc>
          <w:tcPr>
            <w:tcW w:w="11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120</w:t>
            </w:r>
          </w:p>
        </w:tc>
        <w:tc>
          <w:tcPr>
            <w:tcW w:w="114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432</w:t>
            </w:r>
          </w:p>
        </w:tc>
        <w:tc>
          <w:tcPr>
            <w:tcW w:w="1289" w:type="dxa"/>
            <w:tcBorders>
              <w:top w:val="nil"/>
              <w:left w:val="dashed" w:sz="4" w:space="0" w:color="auto"/>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3806</w:t>
            </w:r>
          </w:p>
        </w:tc>
        <w:tc>
          <w:tcPr>
            <w:tcW w:w="82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3747</w:t>
            </w:r>
          </w:p>
        </w:tc>
      </w:tr>
      <w:tr w:rsidR="00B22DFF" w:rsidRPr="00B22DFF" w:rsidTr="00A5033A">
        <w:trPr>
          <w:trHeight w:val="300"/>
        </w:trPr>
        <w:tc>
          <w:tcPr>
            <w:tcW w:w="1631"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Harrisburg</w:t>
            </w:r>
          </w:p>
        </w:tc>
        <w:tc>
          <w:tcPr>
            <w:tcW w:w="84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539</w:t>
            </w:r>
          </w:p>
        </w:tc>
        <w:tc>
          <w:tcPr>
            <w:tcW w:w="1157"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248</w:t>
            </w:r>
          </w:p>
        </w:tc>
        <w:tc>
          <w:tcPr>
            <w:tcW w:w="13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151</w:t>
            </w:r>
          </w:p>
        </w:tc>
        <w:tc>
          <w:tcPr>
            <w:tcW w:w="11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327</w:t>
            </w:r>
          </w:p>
        </w:tc>
        <w:tc>
          <w:tcPr>
            <w:tcW w:w="114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264</w:t>
            </w:r>
          </w:p>
        </w:tc>
        <w:tc>
          <w:tcPr>
            <w:tcW w:w="1289" w:type="dxa"/>
            <w:tcBorders>
              <w:top w:val="nil"/>
              <w:left w:val="dashed" w:sz="4" w:space="0" w:color="auto"/>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3799</w:t>
            </w:r>
          </w:p>
        </w:tc>
        <w:tc>
          <w:tcPr>
            <w:tcW w:w="82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3719</w:t>
            </w:r>
          </w:p>
        </w:tc>
      </w:tr>
      <w:tr w:rsidR="00B22DFF" w:rsidRPr="00B22DFF" w:rsidTr="00A5033A">
        <w:trPr>
          <w:trHeight w:val="300"/>
        </w:trPr>
        <w:tc>
          <w:tcPr>
            <w:tcW w:w="1631" w:type="dxa"/>
            <w:tcBorders>
              <w:top w:val="nil"/>
              <w:left w:val="nil"/>
              <w:bottom w:val="dashed"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Albany</w:t>
            </w:r>
          </w:p>
        </w:tc>
        <w:tc>
          <w:tcPr>
            <w:tcW w:w="844"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223</w:t>
            </w:r>
          </w:p>
        </w:tc>
        <w:tc>
          <w:tcPr>
            <w:tcW w:w="1157"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217</w:t>
            </w:r>
          </w:p>
        </w:tc>
        <w:tc>
          <w:tcPr>
            <w:tcW w:w="1316"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323</w:t>
            </w:r>
          </w:p>
        </w:tc>
        <w:tc>
          <w:tcPr>
            <w:tcW w:w="1116"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319</w:t>
            </w:r>
          </w:p>
        </w:tc>
        <w:tc>
          <w:tcPr>
            <w:tcW w:w="1141"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575</w:t>
            </w:r>
          </w:p>
        </w:tc>
        <w:tc>
          <w:tcPr>
            <w:tcW w:w="1289" w:type="dxa"/>
            <w:tcBorders>
              <w:top w:val="nil"/>
              <w:left w:val="dashed" w:sz="4" w:space="0" w:color="auto"/>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4005</w:t>
            </w:r>
          </w:p>
        </w:tc>
        <w:tc>
          <w:tcPr>
            <w:tcW w:w="821" w:type="dxa"/>
            <w:tcBorders>
              <w:top w:val="nil"/>
              <w:left w:val="nil"/>
              <w:bottom w:val="dashed"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3946</w:t>
            </w:r>
          </w:p>
        </w:tc>
      </w:tr>
      <w:tr w:rsidR="00B22DFF" w:rsidRPr="00B22DFF" w:rsidTr="00A5033A">
        <w:trPr>
          <w:trHeight w:val="300"/>
        </w:trPr>
        <w:tc>
          <w:tcPr>
            <w:tcW w:w="1631"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San Francisco</w:t>
            </w:r>
          </w:p>
        </w:tc>
        <w:tc>
          <w:tcPr>
            <w:tcW w:w="84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4338</w:t>
            </w:r>
          </w:p>
        </w:tc>
        <w:tc>
          <w:tcPr>
            <w:tcW w:w="1157"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4133</w:t>
            </w:r>
          </w:p>
        </w:tc>
        <w:tc>
          <w:tcPr>
            <w:tcW w:w="13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4055</w:t>
            </w:r>
          </w:p>
        </w:tc>
        <w:tc>
          <w:tcPr>
            <w:tcW w:w="1116"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3795</w:t>
            </w:r>
          </w:p>
        </w:tc>
        <w:tc>
          <w:tcPr>
            <w:tcW w:w="114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3641</w:t>
            </w:r>
          </w:p>
        </w:tc>
        <w:tc>
          <w:tcPr>
            <w:tcW w:w="1289" w:type="dxa"/>
            <w:tcBorders>
              <w:top w:val="nil"/>
              <w:left w:val="dashed" w:sz="4" w:space="0" w:color="auto"/>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120</w:t>
            </w:r>
          </w:p>
        </w:tc>
        <w:tc>
          <w:tcPr>
            <w:tcW w:w="82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261</w:t>
            </w:r>
          </w:p>
        </w:tc>
      </w:tr>
      <w:tr w:rsidR="00B22DFF" w:rsidRPr="00B22DFF" w:rsidTr="00A5033A">
        <w:trPr>
          <w:trHeight w:val="300"/>
        </w:trPr>
        <w:tc>
          <w:tcPr>
            <w:tcW w:w="1631" w:type="dxa"/>
            <w:tcBorders>
              <w:top w:val="nil"/>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Los Angeles</w:t>
            </w:r>
          </w:p>
        </w:tc>
        <w:tc>
          <w:tcPr>
            <w:tcW w:w="844"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4174</w:t>
            </w:r>
          </w:p>
        </w:tc>
        <w:tc>
          <w:tcPr>
            <w:tcW w:w="1157"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3940</w:t>
            </w:r>
          </w:p>
        </w:tc>
        <w:tc>
          <w:tcPr>
            <w:tcW w:w="131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3847</w:t>
            </w:r>
          </w:p>
        </w:tc>
        <w:tc>
          <w:tcPr>
            <w:tcW w:w="1116"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3638</w:t>
            </w:r>
          </w:p>
        </w:tc>
        <w:tc>
          <w:tcPr>
            <w:tcW w:w="1141"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3435</w:t>
            </w:r>
          </w:p>
        </w:tc>
        <w:tc>
          <w:tcPr>
            <w:tcW w:w="1289" w:type="dxa"/>
            <w:tcBorders>
              <w:top w:val="nil"/>
              <w:left w:val="dashed" w:sz="4" w:space="0" w:color="auto"/>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582</w:t>
            </w:r>
          </w:p>
        </w:tc>
        <w:tc>
          <w:tcPr>
            <w:tcW w:w="821"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330</w:t>
            </w:r>
          </w:p>
        </w:tc>
      </w:tr>
    </w:tbl>
    <w:p w:rsidR="00B22DFF" w:rsidRPr="00B22DFF" w:rsidRDefault="00B22DFF" w:rsidP="00B22DFF">
      <w:pPr>
        <w:pStyle w:val="Caption"/>
        <w:spacing w:before="120" w:after="0"/>
        <w:rPr>
          <w:rFonts w:ascii="Arial" w:hAnsi="Arial" w:cs="Arial"/>
          <w:b w:val="0"/>
          <w:color w:val="auto"/>
          <w:sz w:val="20"/>
          <w:szCs w:val="20"/>
        </w:rPr>
      </w:pPr>
      <w:proofErr w:type="gramStart"/>
      <w:r w:rsidRPr="00B22DFF">
        <w:rPr>
          <w:rFonts w:ascii="Arial" w:hAnsi="Arial" w:cs="Arial"/>
          <w:b w:val="0"/>
          <w:color w:val="auto"/>
          <w:sz w:val="20"/>
          <w:szCs w:val="20"/>
        </w:rPr>
        <w:t xml:space="preserve">Table </w:t>
      </w:r>
      <w:proofErr w:type="gramEnd"/>
      <w:r w:rsidRPr="00B22DFF">
        <w:rPr>
          <w:rFonts w:ascii="Arial" w:hAnsi="Arial" w:cs="Arial"/>
          <w:b w:val="0"/>
          <w:color w:val="auto"/>
          <w:sz w:val="20"/>
          <w:szCs w:val="20"/>
        </w:rPr>
        <w:fldChar w:fldCharType="begin"/>
      </w:r>
      <w:r w:rsidRPr="00B22DFF">
        <w:rPr>
          <w:rFonts w:ascii="Arial" w:hAnsi="Arial" w:cs="Arial"/>
          <w:b w:val="0"/>
          <w:color w:val="auto"/>
          <w:sz w:val="20"/>
          <w:szCs w:val="20"/>
        </w:rPr>
        <w:instrText xml:space="preserve"> SEQ Table \* ARABIC </w:instrText>
      </w:r>
      <w:r w:rsidRPr="00B22DFF">
        <w:rPr>
          <w:rFonts w:ascii="Arial" w:hAnsi="Arial" w:cs="Arial"/>
          <w:b w:val="0"/>
          <w:color w:val="auto"/>
          <w:sz w:val="20"/>
          <w:szCs w:val="20"/>
        </w:rPr>
        <w:fldChar w:fldCharType="separate"/>
      </w:r>
      <w:r w:rsidR="00924BEE">
        <w:rPr>
          <w:rFonts w:ascii="Arial" w:hAnsi="Arial" w:cs="Arial"/>
          <w:b w:val="0"/>
          <w:noProof/>
          <w:color w:val="auto"/>
          <w:sz w:val="20"/>
          <w:szCs w:val="20"/>
        </w:rPr>
        <w:t>2</w:t>
      </w:r>
      <w:r w:rsidRPr="00B22DFF">
        <w:rPr>
          <w:rFonts w:ascii="Arial" w:hAnsi="Arial" w:cs="Arial"/>
          <w:b w:val="0"/>
          <w:color w:val="auto"/>
          <w:sz w:val="20"/>
          <w:szCs w:val="20"/>
        </w:rPr>
        <w:fldChar w:fldCharType="end"/>
      </w:r>
      <w:proofErr w:type="gramStart"/>
      <w:r w:rsidRPr="00B22DFF">
        <w:rPr>
          <w:rFonts w:ascii="Arial" w:hAnsi="Arial" w:cs="Arial"/>
          <w:b w:val="0"/>
          <w:color w:val="auto"/>
          <w:sz w:val="20"/>
          <w:szCs w:val="20"/>
        </w:rPr>
        <w:t xml:space="preserve"> ‘Reference city’ analogy.</w:t>
      </w:r>
      <w:proofErr w:type="gramEnd"/>
      <w:r w:rsidRPr="00B22DFF">
        <w:rPr>
          <w:rFonts w:ascii="Arial" w:hAnsi="Arial" w:cs="Arial"/>
          <w:b w:val="0"/>
          <w:color w:val="auto"/>
          <w:sz w:val="20"/>
          <w:szCs w:val="20"/>
        </w:rPr>
        <w:t xml:space="preserve">  </w:t>
      </w:r>
      <w:proofErr w:type="gramStart"/>
      <w:r w:rsidRPr="00B22DFF">
        <w:rPr>
          <w:rFonts w:ascii="Arial" w:hAnsi="Arial" w:cs="Arial"/>
          <w:b w:val="0"/>
          <w:color w:val="auto"/>
          <w:sz w:val="20"/>
          <w:szCs w:val="20"/>
        </w:rPr>
        <w:t>Distances (km) from subject to reference cities.</w:t>
      </w:r>
      <w:proofErr w:type="gramEnd"/>
      <w:r w:rsidRPr="00B22DFF">
        <w:rPr>
          <w:rFonts w:ascii="Arial" w:hAnsi="Arial" w:cs="Arial"/>
          <w:b w:val="0"/>
          <w:color w:val="auto"/>
          <w:sz w:val="20"/>
          <w:szCs w:val="20"/>
        </w:rPr>
        <w:t xml:space="preserve">  Without reference cities Sacramento and Fresno, subject cities San Francisco and Los Angeles are poorly distinguished by the model. </w:t>
      </w:r>
    </w:p>
    <w:p w:rsidR="00B22DFF" w:rsidRPr="00B22DFF" w:rsidRDefault="00B22DFF" w:rsidP="00B22DFF">
      <w:pPr>
        <w:pStyle w:val="Caption"/>
        <w:spacing w:after="0"/>
        <w:rPr>
          <w:rFonts w:ascii="Arial" w:hAnsi="Arial" w:cs="Arial"/>
          <w:b w:val="0"/>
          <w:color w:val="auto"/>
          <w:sz w:val="20"/>
          <w:szCs w:val="20"/>
        </w:rPr>
      </w:pPr>
    </w:p>
    <w:p w:rsidR="00B22DFF" w:rsidRPr="00B22DFF" w:rsidRDefault="00B22DFF" w:rsidP="00B22DFF">
      <w:pPr>
        <w:rPr>
          <w:rFonts w:cs="Arial"/>
        </w:rPr>
      </w:pPr>
    </w:p>
    <w:tbl>
      <w:tblPr>
        <w:tblW w:w="8713" w:type="dxa"/>
        <w:tblLook w:val="04A0" w:firstRow="1" w:lastRow="0" w:firstColumn="1" w:lastColumn="0" w:noHBand="0" w:noVBand="1"/>
      </w:tblPr>
      <w:tblGrid>
        <w:gridCol w:w="1633"/>
        <w:gridCol w:w="914"/>
        <w:gridCol w:w="913"/>
        <w:gridCol w:w="913"/>
        <w:gridCol w:w="913"/>
        <w:gridCol w:w="1411"/>
        <w:gridCol w:w="958"/>
        <w:gridCol w:w="1058"/>
      </w:tblGrid>
      <w:tr w:rsidR="00B22DFF" w:rsidRPr="00B22DFF" w:rsidTr="00A5033A">
        <w:trPr>
          <w:trHeight w:val="315"/>
        </w:trPr>
        <w:tc>
          <w:tcPr>
            <w:tcW w:w="1633" w:type="dxa"/>
            <w:tcBorders>
              <w:top w:val="single" w:sz="4" w:space="0" w:color="auto"/>
              <w:left w:val="nil"/>
              <w:right w:val="nil"/>
            </w:tcBorders>
            <w:shd w:val="clear" w:color="auto" w:fill="auto"/>
            <w:noWrap/>
            <w:vAlign w:val="bottom"/>
            <w:hideMark/>
          </w:tcPr>
          <w:p w:rsidR="00B22DFF" w:rsidRPr="00B22DFF" w:rsidRDefault="00B22DFF" w:rsidP="00A5033A">
            <w:pPr>
              <w:rPr>
                <w:rFonts w:eastAsia="Times New Roman" w:cs="Arial"/>
                <w:color w:val="000000"/>
              </w:rPr>
            </w:pPr>
          </w:p>
        </w:tc>
        <w:tc>
          <w:tcPr>
            <w:tcW w:w="7080" w:type="dxa"/>
            <w:gridSpan w:val="7"/>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Reference Varieties</w:t>
            </w:r>
          </w:p>
        </w:tc>
      </w:tr>
      <w:tr w:rsidR="00B22DFF" w:rsidRPr="00B22DFF" w:rsidTr="00A5033A">
        <w:trPr>
          <w:trHeight w:val="315"/>
        </w:trPr>
        <w:tc>
          <w:tcPr>
            <w:tcW w:w="1633" w:type="dxa"/>
            <w:tcBorders>
              <w:top w:val="nil"/>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Subject Variety</w:t>
            </w:r>
          </w:p>
        </w:tc>
        <w:tc>
          <w:tcPr>
            <w:tcW w:w="914"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B37</w:t>
            </w:r>
          </w:p>
        </w:tc>
        <w:tc>
          <w:tcPr>
            <w:tcW w:w="913"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B73</w:t>
            </w:r>
          </w:p>
        </w:tc>
        <w:tc>
          <w:tcPr>
            <w:tcW w:w="913"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C103</w:t>
            </w:r>
          </w:p>
        </w:tc>
        <w:tc>
          <w:tcPr>
            <w:tcW w:w="913"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LH38</w:t>
            </w:r>
          </w:p>
        </w:tc>
        <w:tc>
          <w:tcPr>
            <w:tcW w:w="1411"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LP1NRHt</w:t>
            </w:r>
          </w:p>
        </w:tc>
        <w:tc>
          <w:tcPr>
            <w:tcW w:w="958"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Mo17</w:t>
            </w:r>
          </w:p>
        </w:tc>
        <w:tc>
          <w:tcPr>
            <w:tcW w:w="1058" w:type="dxa"/>
            <w:tcBorders>
              <w:top w:val="single" w:sz="4" w:space="0" w:color="auto"/>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PH207</w:t>
            </w:r>
          </w:p>
        </w:tc>
      </w:tr>
      <w:tr w:rsidR="00B22DFF" w:rsidRPr="00B22DFF" w:rsidTr="00A5033A">
        <w:trPr>
          <w:trHeight w:val="315"/>
        </w:trPr>
        <w:tc>
          <w:tcPr>
            <w:tcW w:w="1633" w:type="dxa"/>
            <w:tcBorders>
              <w:top w:val="single" w:sz="4" w:space="0" w:color="auto"/>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DK4676A</w:t>
            </w:r>
          </w:p>
        </w:tc>
        <w:tc>
          <w:tcPr>
            <w:tcW w:w="914"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0.470</w:t>
            </w:r>
          </w:p>
        </w:tc>
        <w:tc>
          <w:tcPr>
            <w:tcW w:w="913"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0.459</w:t>
            </w:r>
          </w:p>
        </w:tc>
        <w:tc>
          <w:tcPr>
            <w:tcW w:w="913"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0.373</w:t>
            </w:r>
          </w:p>
        </w:tc>
        <w:tc>
          <w:tcPr>
            <w:tcW w:w="913"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0.405</w:t>
            </w:r>
          </w:p>
        </w:tc>
        <w:tc>
          <w:tcPr>
            <w:tcW w:w="1411"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0.497</w:t>
            </w:r>
          </w:p>
        </w:tc>
        <w:tc>
          <w:tcPr>
            <w:tcW w:w="958"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0.376</w:t>
            </w:r>
          </w:p>
        </w:tc>
        <w:tc>
          <w:tcPr>
            <w:tcW w:w="1058" w:type="dxa"/>
            <w:tcBorders>
              <w:top w:val="single" w:sz="4" w:space="0" w:color="auto"/>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0.413</w:t>
            </w:r>
          </w:p>
        </w:tc>
      </w:tr>
      <w:tr w:rsidR="00B22DFF" w:rsidRPr="00B22DFF" w:rsidTr="00A5033A">
        <w:trPr>
          <w:trHeight w:val="315"/>
        </w:trPr>
        <w:tc>
          <w:tcPr>
            <w:tcW w:w="1633"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LH132</w:t>
            </w:r>
          </w:p>
        </w:tc>
        <w:tc>
          <w:tcPr>
            <w:tcW w:w="91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0.543</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0.839</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0.372</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0.419</w:t>
            </w:r>
          </w:p>
        </w:tc>
        <w:tc>
          <w:tcPr>
            <w:tcW w:w="141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0.505</w:t>
            </w:r>
          </w:p>
        </w:tc>
        <w:tc>
          <w:tcPr>
            <w:tcW w:w="9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0.355</w:t>
            </w:r>
          </w:p>
        </w:tc>
        <w:tc>
          <w:tcPr>
            <w:tcW w:w="10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0.466</w:t>
            </w:r>
          </w:p>
        </w:tc>
      </w:tr>
      <w:tr w:rsidR="00B22DFF" w:rsidRPr="00B22DFF" w:rsidTr="00A5033A">
        <w:trPr>
          <w:trHeight w:val="315"/>
        </w:trPr>
        <w:tc>
          <w:tcPr>
            <w:tcW w:w="1633"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ML606</w:t>
            </w:r>
          </w:p>
        </w:tc>
        <w:tc>
          <w:tcPr>
            <w:tcW w:w="91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0.484</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0.427</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0.439</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0.733</w:t>
            </w:r>
          </w:p>
        </w:tc>
        <w:tc>
          <w:tcPr>
            <w:tcW w:w="141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0.429</w:t>
            </w:r>
          </w:p>
        </w:tc>
        <w:tc>
          <w:tcPr>
            <w:tcW w:w="9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0.464</w:t>
            </w:r>
          </w:p>
        </w:tc>
        <w:tc>
          <w:tcPr>
            <w:tcW w:w="10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0.484</w:t>
            </w:r>
          </w:p>
        </w:tc>
      </w:tr>
      <w:tr w:rsidR="00B22DFF" w:rsidRPr="00B22DFF" w:rsidTr="00A5033A">
        <w:trPr>
          <w:trHeight w:val="315"/>
        </w:trPr>
        <w:tc>
          <w:tcPr>
            <w:tcW w:w="1633" w:type="dxa"/>
            <w:tcBorders>
              <w:top w:val="nil"/>
              <w:left w:val="nil"/>
              <w:bottom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NK740</w:t>
            </w:r>
          </w:p>
        </w:tc>
        <w:tc>
          <w:tcPr>
            <w:tcW w:w="914"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0.442</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0.342</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0.655</w:t>
            </w:r>
          </w:p>
        </w:tc>
        <w:tc>
          <w:tcPr>
            <w:tcW w:w="913"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0.466</w:t>
            </w:r>
          </w:p>
        </w:tc>
        <w:tc>
          <w:tcPr>
            <w:tcW w:w="1411"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0.400</w:t>
            </w:r>
          </w:p>
        </w:tc>
        <w:tc>
          <w:tcPr>
            <w:tcW w:w="9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0.891</w:t>
            </w:r>
          </w:p>
        </w:tc>
        <w:tc>
          <w:tcPr>
            <w:tcW w:w="1058" w:type="dxa"/>
            <w:tcBorders>
              <w:top w:val="nil"/>
              <w:left w:val="nil"/>
              <w:bottom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0.433</w:t>
            </w:r>
          </w:p>
        </w:tc>
      </w:tr>
      <w:tr w:rsidR="00B22DFF" w:rsidRPr="00B22DFF" w:rsidTr="00A5033A">
        <w:trPr>
          <w:trHeight w:val="315"/>
        </w:trPr>
        <w:tc>
          <w:tcPr>
            <w:tcW w:w="1633" w:type="dxa"/>
            <w:tcBorders>
              <w:top w:val="nil"/>
              <w:left w:val="nil"/>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NK764</w:t>
            </w:r>
          </w:p>
        </w:tc>
        <w:tc>
          <w:tcPr>
            <w:tcW w:w="914"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0.475</w:t>
            </w:r>
          </w:p>
        </w:tc>
        <w:tc>
          <w:tcPr>
            <w:tcW w:w="913"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0.704</w:t>
            </w:r>
          </w:p>
        </w:tc>
        <w:tc>
          <w:tcPr>
            <w:tcW w:w="913"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0.395</w:t>
            </w:r>
          </w:p>
        </w:tc>
        <w:tc>
          <w:tcPr>
            <w:tcW w:w="913"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0.397</w:t>
            </w:r>
          </w:p>
        </w:tc>
        <w:tc>
          <w:tcPr>
            <w:tcW w:w="1411"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0.594</w:t>
            </w:r>
          </w:p>
        </w:tc>
        <w:tc>
          <w:tcPr>
            <w:tcW w:w="958"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0.368</w:t>
            </w:r>
          </w:p>
        </w:tc>
        <w:tc>
          <w:tcPr>
            <w:tcW w:w="1058" w:type="dxa"/>
            <w:tcBorders>
              <w:top w:val="nil"/>
              <w:left w:val="nil"/>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0.467</w:t>
            </w:r>
          </w:p>
        </w:tc>
      </w:tr>
      <w:tr w:rsidR="00B22DFF" w:rsidRPr="00B22DFF" w:rsidTr="00A5033A">
        <w:trPr>
          <w:trHeight w:val="300"/>
        </w:trPr>
        <w:tc>
          <w:tcPr>
            <w:tcW w:w="1633" w:type="dxa"/>
            <w:tcBorders>
              <w:top w:val="nil"/>
              <w:left w:val="nil"/>
              <w:bottom w:val="single" w:sz="4" w:space="0" w:color="auto"/>
              <w:right w:val="nil"/>
            </w:tcBorders>
            <w:shd w:val="clear" w:color="auto" w:fill="auto"/>
            <w:noWrap/>
            <w:vAlign w:val="bottom"/>
            <w:hideMark/>
          </w:tcPr>
          <w:p w:rsidR="00B22DFF" w:rsidRPr="00B22DFF" w:rsidRDefault="00B22DFF" w:rsidP="00A5033A">
            <w:pPr>
              <w:rPr>
                <w:rFonts w:eastAsia="Times New Roman" w:cs="Arial"/>
                <w:color w:val="000000"/>
              </w:rPr>
            </w:pPr>
            <w:r w:rsidRPr="00B22DFF">
              <w:rPr>
                <w:rFonts w:eastAsia="Times New Roman" w:cs="Arial"/>
                <w:color w:val="000000"/>
              </w:rPr>
              <w:t>NQ508</w:t>
            </w:r>
          </w:p>
        </w:tc>
        <w:tc>
          <w:tcPr>
            <w:tcW w:w="914"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0.550</w:t>
            </w:r>
          </w:p>
        </w:tc>
        <w:tc>
          <w:tcPr>
            <w:tcW w:w="913"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0.445</w:t>
            </w:r>
          </w:p>
        </w:tc>
        <w:tc>
          <w:tcPr>
            <w:tcW w:w="913"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0.428</w:t>
            </w:r>
          </w:p>
        </w:tc>
        <w:tc>
          <w:tcPr>
            <w:tcW w:w="913"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0.462</w:t>
            </w:r>
          </w:p>
        </w:tc>
        <w:tc>
          <w:tcPr>
            <w:tcW w:w="1411"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0.480</w:t>
            </w:r>
          </w:p>
        </w:tc>
        <w:tc>
          <w:tcPr>
            <w:tcW w:w="958"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0.446</w:t>
            </w:r>
          </w:p>
        </w:tc>
        <w:tc>
          <w:tcPr>
            <w:tcW w:w="1058" w:type="dxa"/>
            <w:tcBorders>
              <w:top w:val="nil"/>
              <w:left w:val="nil"/>
              <w:bottom w:val="single" w:sz="4" w:space="0" w:color="auto"/>
              <w:right w:val="nil"/>
            </w:tcBorders>
            <w:shd w:val="clear" w:color="auto" w:fill="auto"/>
            <w:noWrap/>
            <w:vAlign w:val="bottom"/>
            <w:hideMark/>
          </w:tcPr>
          <w:p w:rsidR="00B22DFF" w:rsidRPr="00B22DFF" w:rsidRDefault="00B22DFF" w:rsidP="00A5033A">
            <w:pPr>
              <w:jc w:val="center"/>
              <w:rPr>
                <w:rFonts w:eastAsia="Times New Roman" w:cs="Arial"/>
                <w:color w:val="000000"/>
              </w:rPr>
            </w:pPr>
            <w:r w:rsidRPr="00B22DFF">
              <w:rPr>
                <w:rFonts w:eastAsia="Times New Roman" w:cs="Arial"/>
                <w:color w:val="000000"/>
              </w:rPr>
              <w:t>0.644</w:t>
            </w:r>
          </w:p>
        </w:tc>
      </w:tr>
    </w:tbl>
    <w:p w:rsidR="00B22DFF" w:rsidRPr="00B22DFF" w:rsidRDefault="00B22DFF" w:rsidP="00B22DFF">
      <w:pPr>
        <w:pStyle w:val="Caption"/>
        <w:spacing w:before="120"/>
        <w:rPr>
          <w:rFonts w:ascii="Arial" w:hAnsi="Arial" w:cs="Arial"/>
          <w:b w:val="0"/>
          <w:color w:val="auto"/>
          <w:sz w:val="20"/>
          <w:szCs w:val="20"/>
        </w:rPr>
      </w:pPr>
      <w:proofErr w:type="gramStart"/>
      <w:r w:rsidRPr="00B22DFF">
        <w:rPr>
          <w:rFonts w:ascii="Arial" w:hAnsi="Arial" w:cs="Arial"/>
          <w:b w:val="0"/>
          <w:color w:val="auto"/>
          <w:sz w:val="20"/>
          <w:szCs w:val="20"/>
        </w:rPr>
        <w:t xml:space="preserve">Table </w:t>
      </w:r>
      <w:proofErr w:type="gramEnd"/>
      <w:r w:rsidRPr="00B22DFF">
        <w:rPr>
          <w:rFonts w:ascii="Arial" w:hAnsi="Arial" w:cs="Arial"/>
          <w:b w:val="0"/>
          <w:color w:val="auto"/>
          <w:sz w:val="20"/>
          <w:szCs w:val="20"/>
        </w:rPr>
        <w:fldChar w:fldCharType="begin"/>
      </w:r>
      <w:r w:rsidRPr="00B22DFF">
        <w:rPr>
          <w:rFonts w:ascii="Arial" w:hAnsi="Arial" w:cs="Arial"/>
          <w:b w:val="0"/>
          <w:color w:val="auto"/>
          <w:sz w:val="20"/>
          <w:szCs w:val="20"/>
        </w:rPr>
        <w:instrText xml:space="preserve"> SEQ Table \* ARABIC </w:instrText>
      </w:r>
      <w:r w:rsidRPr="00B22DFF">
        <w:rPr>
          <w:rFonts w:ascii="Arial" w:hAnsi="Arial" w:cs="Arial"/>
          <w:b w:val="0"/>
          <w:color w:val="auto"/>
          <w:sz w:val="20"/>
          <w:szCs w:val="20"/>
        </w:rPr>
        <w:fldChar w:fldCharType="separate"/>
      </w:r>
      <w:r w:rsidR="00924BEE">
        <w:rPr>
          <w:rFonts w:ascii="Arial" w:hAnsi="Arial" w:cs="Arial"/>
          <w:b w:val="0"/>
          <w:noProof/>
          <w:color w:val="auto"/>
          <w:sz w:val="20"/>
          <w:szCs w:val="20"/>
        </w:rPr>
        <w:t>3</w:t>
      </w:r>
      <w:r w:rsidRPr="00B22DFF">
        <w:rPr>
          <w:rFonts w:ascii="Arial" w:hAnsi="Arial" w:cs="Arial"/>
          <w:b w:val="0"/>
          <w:color w:val="auto"/>
          <w:sz w:val="20"/>
          <w:szCs w:val="20"/>
        </w:rPr>
        <w:fldChar w:fldCharType="end"/>
      </w:r>
      <w:proofErr w:type="gramStart"/>
      <w:r w:rsidRPr="00B22DFF">
        <w:rPr>
          <w:rFonts w:ascii="Arial" w:hAnsi="Arial" w:cs="Arial"/>
          <w:b w:val="0"/>
          <w:color w:val="auto"/>
          <w:sz w:val="20"/>
          <w:szCs w:val="20"/>
        </w:rPr>
        <w:t xml:space="preserve"> Reference variety model application to expired PVP maize varieties.</w:t>
      </w:r>
      <w:proofErr w:type="gramEnd"/>
      <w:r w:rsidRPr="00B22DFF">
        <w:rPr>
          <w:rFonts w:ascii="Arial" w:hAnsi="Arial" w:cs="Arial"/>
          <w:b w:val="0"/>
          <w:color w:val="auto"/>
          <w:sz w:val="20"/>
          <w:szCs w:val="20"/>
        </w:rPr>
        <w:t xml:space="preserve">  Similarity coefficients are given between six subject varieties and seven reference varieties of maize.  The two most similar varieties here are LH132 and NK764.  The two most dissimilar varieties are LH132 and NK740.</w:t>
      </w:r>
    </w:p>
    <w:p w:rsidR="00DF474C" w:rsidRDefault="00096CFB" w:rsidP="00DF474C">
      <w:pPr>
        <w:pStyle w:val="endofdoc"/>
        <w:rPr>
          <w:snapToGrid w:val="0"/>
        </w:rPr>
      </w:pPr>
      <w:r>
        <w:rPr>
          <w:snapToGrid w:val="0"/>
        </w:rPr>
        <w:t xml:space="preserve"> </w:t>
      </w:r>
      <w:r w:rsidR="00DF474C">
        <w:rPr>
          <w:snapToGrid w:val="0"/>
        </w:rPr>
        <w:t>[End of document]</w:t>
      </w:r>
    </w:p>
    <w:sectPr w:rsidR="00DF474C" w:rsidSect="00906DDC">
      <w:headerReference w:type="default" r:id="rId9"/>
      <w:foot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7D" w:rsidRDefault="00E3767D" w:rsidP="006655D3">
      <w:r>
        <w:separator/>
      </w:r>
    </w:p>
    <w:p w:rsidR="00E3767D" w:rsidRDefault="00E3767D" w:rsidP="006655D3"/>
    <w:p w:rsidR="00E3767D" w:rsidRDefault="00E3767D" w:rsidP="006655D3"/>
  </w:endnote>
  <w:endnote w:type="continuationSeparator" w:id="0">
    <w:p w:rsidR="00E3767D" w:rsidRDefault="00E3767D" w:rsidP="006655D3">
      <w:r>
        <w:separator/>
      </w:r>
    </w:p>
    <w:p w:rsidR="00E3767D" w:rsidRPr="008B409A" w:rsidRDefault="00E3767D">
      <w:pPr>
        <w:pStyle w:val="Footer"/>
        <w:spacing w:after="60"/>
        <w:rPr>
          <w:sz w:val="18"/>
          <w:lang w:val="fr-CH"/>
        </w:rPr>
      </w:pPr>
      <w:r w:rsidRPr="008B409A">
        <w:rPr>
          <w:sz w:val="18"/>
          <w:lang w:val="fr-CH"/>
        </w:rPr>
        <w:t>[Suite de la note de la page précédente]</w:t>
      </w:r>
    </w:p>
    <w:p w:rsidR="00E3767D" w:rsidRPr="008B409A" w:rsidRDefault="00E3767D" w:rsidP="006655D3">
      <w:pPr>
        <w:rPr>
          <w:lang w:val="fr-CH"/>
        </w:rPr>
      </w:pPr>
    </w:p>
    <w:p w:rsidR="00E3767D" w:rsidRPr="008B409A" w:rsidRDefault="00E3767D" w:rsidP="006655D3">
      <w:pPr>
        <w:rPr>
          <w:lang w:val="fr-CH"/>
        </w:rPr>
      </w:pPr>
    </w:p>
  </w:endnote>
  <w:endnote w:type="continuationNotice" w:id="1">
    <w:p w:rsidR="00E3767D" w:rsidRPr="008B409A" w:rsidRDefault="00E3767D" w:rsidP="006655D3">
      <w:pPr>
        <w:rPr>
          <w:lang w:val="fr-CH"/>
        </w:rPr>
      </w:pPr>
      <w:r w:rsidRPr="008B409A">
        <w:rPr>
          <w:lang w:val="fr-CH"/>
        </w:rPr>
        <w:t>[Suite de la note page suivante]</w:t>
      </w:r>
    </w:p>
    <w:p w:rsidR="00E3767D" w:rsidRPr="008B409A" w:rsidRDefault="00E3767D" w:rsidP="006655D3">
      <w:pPr>
        <w:rPr>
          <w:lang w:val="fr-CH"/>
        </w:rPr>
      </w:pPr>
    </w:p>
    <w:p w:rsidR="00E3767D" w:rsidRPr="008B409A" w:rsidRDefault="00E3767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24BEE">
    <w:pPr>
      <w:pStyle w:val="Footer"/>
    </w:pPr>
    <w:r>
      <w:fldChar w:fldCharType="begin"/>
    </w:r>
    <w:r>
      <w:instrText xml:space="preserve"> FILENAME \p\* Lower \* MERGEFORMAT </w:instrText>
    </w:r>
    <w:r>
      <w:fldChar w:fldCharType="separate"/>
    </w:r>
    <w:r>
      <w:rPr>
        <w:noProof/>
      </w:rPr>
      <w:t>n:\orgupov\shared\document\bmt\bmt_14\bmt_14_5_xxx.docx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7D" w:rsidRDefault="00E3767D" w:rsidP="006655D3">
      <w:r>
        <w:separator/>
      </w:r>
    </w:p>
  </w:footnote>
  <w:footnote w:type="continuationSeparator" w:id="0">
    <w:p w:rsidR="00E3767D" w:rsidRDefault="00E3767D" w:rsidP="006655D3">
      <w:r>
        <w:separator/>
      </w:r>
    </w:p>
  </w:footnote>
  <w:footnote w:type="continuationNotice" w:id="1">
    <w:p w:rsidR="00E3767D" w:rsidRPr="00AB530F" w:rsidRDefault="00E3767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7B7A8F" w:rsidP="00832298">
    <w:pPr>
      <w:pStyle w:val="Header"/>
    </w:pPr>
    <w:r>
      <w:t>BMT</w:t>
    </w:r>
    <w:r w:rsidR="00AE5B25">
      <w:t>/</w:t>
    </w:r>
    <w:r>
      <w:t>14</w:t>
    </w:r>
    <w:r w:rsidR="00903656" w:rsidRPr="00832298">
      <w:t>/</w:t>
    </w:r>
    <w:r w:rsidR="00490821">
      <w:rPr>
        <w:rFonts w:hint="eastAsia"/>
        <w:lang w:eastAsia="ja-JP"/>
      </w:rPr>
      <w:t>5</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24BEE">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D071CB7"/>
    <w:multiLevelType w:val="hybridMultilevel"/>
    <w:tmpl w:val="A1A4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2354A"/>
    <w:multiLevelType w:val="hybridMultilevel"/>
    <w:tmpl w:val="465A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7D"/>
    <w:rsid w:val="00010CF3"/>
    <w:rsid w:val="00011E27"/>
    <w:rsid w:val="000148BC"/>
    <w:rsid w:val="00024AB8"/>
    <w:rsid w:val="00030854"/>
    <w:rsid w:val="00036028"/>
    <w:rsid w:val="00044642"/>
    <w:rsid w:val="000446B9"/>
    <w:rsid w:val="00047E21"/>
    <w:rsid w:val="00085505"/>
    <w:rsid w:val="00091A90"/>
    <w:rsid w:val="00096CFB"/>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31AAC"/>
    <w:rsid w:val="0024416D"/>
    <w:rsid w:val="002800A0"/>
    <w:rsid w:val="002801B3"/>
    <w:rsid w:val="00281060"/>
    <w:rsid w:val="002940E8"/>
    <w:rsid w:val="002A6E50"/>
    <w:rsid w:val="002C256A"/>
    <w:rsid w:val="00305A7F"/>
    <w:rsid w:val="003152FE"/>
    <w:rsid w:val="00327436"/>
    <w:rsid w:val="00344BD6"/>
    <w:rsid w:val="0035528D"/>
    <w:rsid w:val="00361821"/>
    <w:rsid w:val="00377A54"/>
    <w:rsid w:val="003B3894"/>
    <w:rsid w:val="003D227C"/>
    <w:rsid w:val="003D2B4D"/>
    <w:rsid w:val="003E6DE0"/>
    <w:rsid w:val="00444A88"/>
    <w:rsid w:val="00474DA4"/>
    <w:rsid w:val="00476B4D"/>
    <w:rsid w:val="004805FA"/>
    <w:rsid w:val="00490821"/>
    <w:rsid w:val="004A57EB"/>
    <w:rsid w:val="004C4135"/>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24BEE"/>
    <w:rsid w:val="00932BD9"/>
    <w:rsid w:val="00934E09"/>
    <w:rsid w:val="00936253"/>
    <w:rsid w:val="00952DD4"/>
    <w:rsid w:val="00970FED"/>
    <w:rsid w:val="00997029"/>
    <w:rsid w:val="009D690D"/>
    <w:rsid w:val="009E65B6"/>
    <w:rsid w:val="00A24C10"/>
    <w:rsid w:val="00A42AC3"/>
    <w:rsid w:val="00A430CF"/>
    <w:rsid w:val="00A47CBD"/>
    <w:rsid w:val="00A54309"/>
    <w:rsid w:val="00AB2B93"/>
    <w:rsid w:val="00AB530F"/>
    <w:rsid w:val="00AB7E5B"/>
    <w:rsid w:val="00AE0EF1"/>
    <w:rsid w:val="00AE2937"/>
    <w:rsid w:val="00AE5B25"/>
    <w:rsid w:val="00B07301"/>
    <w:rsid w:val="00B224DE"/>
    <w:rsid w:val="00B22DFF"/>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3216"/>
    <w:rsid w:val="00D57C96"/>
    <w:rsid w:val="00D82D2E"/>
    <w:rsid w:val="00D853B0"/>
    <w:rsid w:val="00D91203"/>
    <w:rsid w:val="00D95174"/>
    <w:rsid w:val="00DA6F36"/>
    <w:rsid w:val="00DB596E"/>
    <w:rsid w:val="00DB7773"/>
    <w:rsid w:val="00DC00EA"/>
    <w:rsid w:val="00DF474C"/>
    <w:rsid w:val="00E32F7E"/>
    <w:rsid w:val="00E3767D"/>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74608"/>
    <w:rsid w:val="00FA49AB"/>
    <w:rsid w:val="00FB36B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B22DFF"/>
    <w:pPr>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22DFF"/>
    <w:pPr>
      <w:spacing w:after="200"/>
      <w:jc w:val="left"/>
    </w:pPr>
    <w:rPr>
      <w:rFonts w:asciiTheme="minorHAnsi" w:eastAsiaTheme="minorHAnsi" w:hAnsiTheme="minorHAnsi" w:cstheme="minorBidi"/>
      <w:b/>
      <w:bCs/>
      <w:color w:val="4F81BD" w:themeColor="accent1"/>
      <w:sz w:val="18"/>
      <w:szCs w:val="18"/>
    </w:rPr>
  </w:style>
  <w:style w:type="character" w:styleId="CommentReference">
    <w:name w:val="annotation reference"/>
    <w:basedOn w:val="DefaultParagraphFont"/>
    <w:rsid w:val="00F74608"/>
    <w:rPr>
      <w:sz w:val="16"/>
      <w:szCs w:val="16"/>
    </w:rPr>
  </w:style>
  <w:style w:type="paragraph" w:styleId="CommentText">
    <w:name w:val="annotation text"/>
    <w:basedOn w:val="Normal"/>
    <w:link w:val="CommentTextChar"/>
    <w:rsid w:val="00F74608"/>
  </w:style>
  <w:style w:type="character" w:customStyle="1" w:styleId="CommentTextChar">
    <w:name w:val="Comment Text Char"/>
    <w:basedOn w:val="DefaultParagraphFont"/>
    <w:link w:val="CommentText"/>
    <w:rsid w:val="00F74608"/>
    <w:rPr>
      <w:rFonts w:ascii="Arial" w:hAnsi="Arial"/>
    </w:rPr>
  </w:style>
  <w:style w:type="paragraph" w:styleId="CommentSubject">
    <w:name w:val="annotation subject"/>
    <w:basedOn w:val="CommentText"/>
    <w:next w:val="CommentText"/>
    <w:link w:val="CommentSubjectChar"/>
    <w:rsid w:val="00F74608"/>
    <w:rPr>
      <w:b/>
      <w:bCs/>
    </w:rPr>
  </w:style>
  <w:style w:type="character" w:customStyle="1" w:styleId="CommentSubjectChar">
    <w:name w:val="Comment Subject Char"/>
    <w:basedOn w:val="CommentTextChar"/>
    <w:link w:val="CommentSubject"/>
    <w:rsid w:val="00F7460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B22DFF"/>
    <w:pPr>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22DFF"/>
    <w:pPr>
      <w:spacing w:after="200"/>
      <w:jc w:val="left"/>
    </w:pPr>
    <w:rPr>
      <w:rFonts w:asciiTheme="minorHAnsi" w:eastAsiaTheme="minorHAnsi" w:hAnsiTheme="minorHAnsi" w:cstheme="minorBidi"/>
      <w:b/>
      <w:bCs/>
      <w:color w:val="4F81BD" w:themeColor="accent1"/>
      <w:sz w:val="18"/>
      <w:szCs w:val="18"/>
    </w:rPr>
  </w:style>
  <w:style w:type="character" w:styleId="CommentReference">
    <w:name w:val="annotation reference"/>
    <w:basedOn w:val="DefaultParagraphFont"/>
    <w:rsid w:val="00F74608"/>
    <w:rPr>
      <w:sz w:val="16"/>
      <w:szCs w:val="16"/>
    </w:rPr>
  </w:style>
  <w:style w:type="paragraph" w:styleId="CommentText">
    <w:name w:val="annotation text"/>
    <w:basedOn w:val="Normal"/>
    <w:link w:val="CommentTextChar"/>
    <w:rsid w:val="00F74608"/>
  </w:style>
  <w:style w:type="character" w:customStyle="1" w:styleId="CommentTextChar">
    <w:name w:val="Comment Text Char"/>
    <w:basedOn w:val="DefaultParagraphFont"/>
    <w:link w:val="CommentText"/>
    <w:rsid w:val="00F74608"/>
    <w:rPr>
      <w:rFonts w:ascii="Arial" w:hAnsi="Arial"/>
    </w:rPr>
  </w:style>
  <w:style w:type="paragraph" w:styleId="CommentSubject">
    <w:name w:val="annotation subject"/>
    <w:basedOn w:val="CommentText"/>
    <w:next w:val="CommentText"/>
    <w:link w:val="CommentSubjectChar"/>
    <w:rsid w:val="00F74608"/>
    <w:rPr>
      <w:b/>
      <w:bCs/>
    </w:rPr>
  </w:style>
  <w:style w:type="character" w:customStyle="1" w:styleId="CommentSubjectChar">
    <w:name w:val="Comment Subject Char"/>
    <w:basedOn w:val="CommentTextChar"/>
    <w:link w:val="CommentSubject"/>
    <w:rsid w:val="00F746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_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bmt_14_rev</Template>
  <TotalTime>1</TotalTime>
  <Pages>3</Pages>
  <Words>951</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LONG Victoria</cp:lastModifiedBy>
  <cp:revision>4</cp:revision>
  <cp:lastPrinted>2014-10-07T14:30:00Z</cp:lastPrinted>
  <dcterms:created xsi:type="dcterms:W3CDTF">2014-10-07T07:24:00Z</dcterms:created>
  <dcterms:modified xsi:type="dcterms:W3CDTF">2014-10-07T14:30:00Z</dcterms:modified>
</cp:coreProperties>
</file>