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016"/>
        <w:gridCol w:w="1559"/>
        <w:gridCol w:w="4016"/>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680C" w:rsidP="006655D3">
            <w:pPr>
              <w:pStyle w:val="Docoriginal"/>
              <w:rPr>
                <w:lang w:eastAsia="ja-JP"/>
              </w:rPr>
            </w:pPr>
            <w:r>
              <w:rPr>
                <w:rFonts w:hint="eastAsia"/>
                <w:lang w:eastAsia="ja-JP"/>
              </w:rPr>
              <w:t>BMT</w:t>
            </w:r>
            <w:r>
              <w:t>/</w:t>
            </w:r>
            <w:r>
              <w:rPr>
                <w:rFonts w:hint="eastAsia"/>
                <w:lang w:eastAsia="ja-JP"/>
              </w:rPr>
              <w:t>14</w:t>
            </w:r>
            <w:r w:rsidR="00667404" w:rsidRPr="007C25BD">
              <w:t>/</w:t>
            </w:r>
            <w:bookmarkStart w:id="0" w:name="Code"/>
            <w:bookmarkEnd w:id="0"/>
            <w:r w:rsidR="00BE0177">
              <w:rPr>
                <w:rFonts w:hint="eastAsia"/>
                <w:lang w:eastAsia="ja-JP"/>
              </w:rPr>
              <w:t>3</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131F3B">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131F3B">
              <w:rPr>
                <w:rStyle w:val="StyleDocoriginalNotBold1"/>
                <w:spacing w:val="0"/>
                <w:lang w:eastAsia="ja-JP"/>
              </w:rPr>
              <w:t>October 5</w:t>
            </w:r>
            <w:r w:rsidR="0024416D" w:rsidRPr="00166F0F">
              <w:rPr>
                <w:b w:val="0"/>
                <w:spacing w:val="0"/>
              </w:rPr>
              <w:t xml:space="preserve">, </w:t>
            </w:r>
            <w:r w:rsidR="001131D5" w:rsidRPr="00166F0F">
              <w:rPr>
                <w:b w:val="0"/>
                <w:spacing w:val="0"/>
              </w:rPr>
              <w:t>201</w:t>
            </w:r>
            <w:r w:rsidR="00050E16" w:rsidRPr="00166F0F">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5B680C" w:rsidRDefault="00071060" w:rsidP="005B680C">
      <w:pPr>
        <w:pStyle w:val="Sessiontcplacedate"/>
        <w:rPr>
          <w:lang w:eastAsia="ja-JP"/>
        </w:rPr>
      </w:pPr>
      <w:bookmarkStart w:id="3" w:name="TitleOfDoc"/>
      <w:bookmarkEnd w:id="3"/>
      <w:r>
        <w:t xml:space="preserve">WORKING </w:t>
      </w:r>
      <w:r w:rsidR="005B680C">
        <w:rPr>
          <w:rFonts w:hint="eastAsia"/>
          <w:lang w:eastAsia="ja-JP"/>
        </w:rPr>
        <w:t>GROUP ON BIOCHEMICAL AND MOLECULAR</w:t>
      </w:r>
    </w:p>
    <w:p w:rsidR="001537DF" w:rsidRDefault="005B680C" w:rsidP="005B680C">
      <w:pPr>
        <w:pStyle w:val="Sessiontcplacedate"/>
        <w:spacing w:before="0"/>
      </w:pPr>
      <w:r>
        <w:rPr>
          <w:rFonts w:hint="eastAsia"/>
          <w:lang w:eastAsia="ja-JP"/>
        </w:rPr>
        <w:t>TECHNIQUES AND DNA PROFILING IN PARTICULAR</w:t>
      </w:r>
    </w:p>
    <w:p w:rsidR="00E67C40" w:rsidRDefault="005B680C" w:rsidP="00E67C40">
      <w:pPr>
        <w:pStyle w:val="Sessiontcplacedate"/>
      </w:pPr>
      <w:r>
        <w:rPr>
          <w:rFonts w:hint="eastAsia"/>
          <w:lang w:eastAsia="ja-JP"/>
        </w:rPr>
        <w:t>Fourteenth</w:t>
      </w:r>
      <w:r w:rsidR="00E67C40" w:rsidRPr="00C5280D">
        <w:t xml:space="preserve"> Session</w:t>
      </w:r>
    </w:p>
    <w:p w:rsidR="00E67C40" w:rsidRPr="00C5280D" w:rsidRDefault="005B680C" w:rsidP="00E67C40">
      <w:pPr>
        <w:pStyle w:val="Sessiontcplacedate"/>
      </w:pPr>
      <w:r>
        <w:rPr>
          <w:rFonts w:hint="eastAsia"/>
          <w:lang w:eastAsia="ja-JP"/>
        </w:rPr>
        <w:t>Seoul</w:t>
      </w:r>
      <w:r w:rsidR="00E67C40" w:rsidRPr="009B2506">
        <w:t xml:space="preserve">, </w:t>
      </w:r>
      <w:r>
        <w:rPr>
          <w:rFonts w:hint="eastAsia"/>
          <w:lang w:eastAsia="ja-JP"/>
        </w:rPr>
        <w:t>Republic of Korea</w:t>
      </w:r>
      <w:r w:rsidR="00E67C40" w:rsidRPr="009B2506">
        <w:t xml:space="preserve">, from </w:t>
      </w:r>
      <w:r>
        <w:rPr>
          <w:rFonts w:hint="eastAsia"/>
          <w:lang w:eastAsia="ja-JP"/>
        </w:rPr>
        <w:t>November</w:t>
      </w:r>
      <w:r w:rsidR="00C314EA">
        <w:t xml:space="preserve"> </w:t>
      </w:r>
      <w:r w:rsidR="00524762">
        <w:rPr>
          <w:rFonts w:hint="eastAsia"/>
          <w:lang w:eastAsia="ja-JP"/>
        </w:rPr>
        <w:t>10</w:t>
      </w:r>
      <w:r w:rsidR="00524762">
        <w:t xml:space="preserve"> to </w:t>
      </w:r>
      <w:r w:rsidR="00524762">
        <w:rPr>
          <w:rFonts w:hint="eastAsia"/>
          <w:lang w:eastAsia="ja-JP"/>
        </w:rPr>
        <w:t>13</w:t>
      </w:r>
      <w:r w:rsidR="00E67C40" w:rsidRPr="009B2506">
        <w:t>, 2014</w:t>
      </w:r>
    </w:p>
    <w:p w:rsidR="00524762" w:rsidRPr="004E4887" w:rsidRDefault="00BE0177" w:rsidP="00524762">
      <w:pPr>
        <w:pStyle w:val="TitleofDoc"/>
        <w:spacing w:before="600"/>
      </w:pPr>
      <w:r>
        <w:t>INTERNATIONAL GUIDELINES ON MOLECULAR METHODOLOGIES</w:t>
      </w:r>
    </w:p>
    <w:p w:rsidR="00524762" w:rsidRDefault="00524762" w:rsidP="00524762">
      <w:pPr>
        <w:pStyle w:val="preparedby1"/>
        <w:spacing w:before="0" w:after="360"/>
        <w:rPr>
          <w:lang w:eastAsia="ja-JP"/>
        </w:rPr>
      </w:pPr>
      <w:bookmarkStart w:id="4" w:name="Prepared"/>
      <w:bookmarkEnd w:id="4"/>
    </w:p>
    <w:p w:rsidR="00050E16" w:rsidRPr="007C25BD" w:rsidRDefault="00AE0EF1" w:rsidP="00524762">
      <w:pPr>
        <w:pStyle w:val="preparedby1"/>
        <w:spacing w:before="0" w:after="480"/>
      </w:pPr>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D3284" w:rsidRDefault="002A6275" w:rsidP="00BE0177">
      <w:pPr>
        <w:rPr>
          <w:lang w:eastAsia="ja-JP"/>
        </w:rPr>
      </w:pPr>
      <w:r w:rsidRPr="004E4E6B">
        <w:fldChar w:fldCharType="begin"/>
      </w:r>
      <w:r w:rsidRPr="004E4E6B">
        <w:instrText xml:space="preserve"> AUTONUM  </w:instrText>
      </w:r>
      <w:r w:rsidRPr="004E4E6B">
        <w:fldChar w:fldCharType="end"/>
      </w:r>
      <w:r w:rsidRPr="004E4E6B">
        <w:tab/>
      </w:r>
      <w:r>
        <w:rPr>
          <w:rFonts w:hint="eastAsia"/>
          <w:lang w:eastAsia="ja-JP"/>
        </w:rPr>
        <w:t xml:space="preserve">This documents reports on </w:t>
      </w:r>
      <w:r w:rsidR="003D3284">
        <w:rPr>
          <w:rFonts w:hint="eastAsia"/>
          <w:lang w:eastAsia="ja-JP"/>
        </w:rPr>
        <w:t xml:space="preserve">developments </w:t>
      </w:r>
      <w:r w:rsidR="00197805">
        <w:rPr>
          <w:rFonts w:hint="eastAsia"/>
          <w:lang w:eastAsia="ja-JP"/>
        </w:rPr>
        <w:t>concerning</w:t>
      </w:r>
      <w:r w:rsidR="003D3284">
        <w:rPr>
          <w:rFonts w:hint="eastAsia"/>
          <w:lang w:eastAsia="ja-JP"/>
        </w:rPr>
        <w:t xml:space="preserve"> the </w:t>
      </w:r>
      <w:r w:rsidR="003D3284">
        <w:t>Guidelines for DNA-Profiling: Molecular Marker</w:t>
      </w:r>
      <w:r w:rsidR="003D3284">
        <w:rPr>
          <w:rFonts w:hint="eastAsia"/>
          <w:lang w:eastAsia="ja-JP"/>
        </w:rPr>
        <w:t xml:space="preserve"> </w:t>
      </w:r>
      <w:r w:rsidR="003D3284">
        <w:t>Selection and Database Construction (“BMT Guidelines”)</w:t>
      </w:r>
      <w:r w:rsidR="003D3284">
        <w:rPr>
          <w:rFonts w:hint="eastAsia"/>
          <w:lang w:eastAsia="ja-JP"/>
        </w:rPr>
        <w:t xml:space="preserve"> and cooperation with other organizations in relation to molecular methodologies.</w:t>
      </w:r>
    </w:p>
    <w:p w:rsidR="003D3284" w:rsidRDefault="003D3284" w:rsidP="00BE0177">
      <w:pPr>
        <w:rPr>
          <w:lang w:eastAsia="ja-JP"/>
        </w:rPr>
      </w:pPr>
    </w:p>
    <w:p w:rsidR="003D3284" w:rsidRDefault="003D3284" w:rsidP="003D3284">
      <w:pPr>
        <w:pStyle w:val="Heading1"/>
        <w:rPr>
          <w:lang w:eastAsia="ja-JP"/>
        </w:rPr>
      </w:pPr>
      <w:r>
        <w:rPr>
          <w:rFonts w:hint="eastAsia"/>
          <w:lang w:eastAsia="ja-JP"/>
        </w:rPr>
        <w:t>BMT guidelines</w:t>
      </w:r>
    </w:p>
    <w:p w:rsidR="003D3284" w:rsidRDefault="003D3284" w:rsidP="00BE0177">
      <w:pPr>
        <w:rPr>
          <w:color w:val="000000"/>
          <w:lang w:eastAsia="ja-JP"/>
        </w:rPr>
      </w:pPr>
    </w:p>
    <w:p w:rsidR="005400F9" w:rsidRDefault="005400F9" w:rsidP="005400F9">
      <w:pPr>
        <w:rPr>
          <w:color w:val="000000"/>
          <w:lang w:eastAsia="ja-JP"/>
        </w:rPr>
      </w:pPr>
      <w:r w:rsidRPr="004E4E6B">
        <w:fldChar w:fldCharType="begin"/>
      </w:r>
      <w:r w:rsidRPr="004E4E6B">
        <w:instrText xml:space="preserve"> AUTONUM  </w:instrText>
      </w:r>
      <w:r w:rsidRPr="004E4E6B">
        <w:fldChar w:fldCharType="end"/>
      </w:r>
      <w:r w:rsidRPr="004E4E6B">
        <w:tab/>
      </w:r>
      <w:r>
        <w:rPr>
          <w:rFonts w:hint="eastAsia"/>
          <w:lang w:eastAsia="ja-JP"/>
        </w:rPr>
        <w:t>At its forty-fourth session, held in Geneva, Switzerland, October 21, 2010, t</w:t>
      </w:r>
      <w:r>
        <w:t xml:space="preserve">he Council adopted document </w:t>
      </w:r>
      <w:r w:rsidR="00197805">
        <w:rPr>
          <w:rFonts w:hint="eastAsia"/>
          <w:lang w:eastAsia="ja-JP"/>
        </w:rPr>
        <w:t xml:space="preserve">UPOV/INF/17/1 </w:t>
      </w:r>
      <w:r>
        <w:t>“Guidelines for DNA-Profiling: Molecular Marker</w:t>
      </w:r>
      <w:r>
        <w:rPr>
          <w:rFonts w:hint="eastAsia"/>
          <w:lang w:eastAsia="ja-JP"/>
        </w:rPr>
        <w:t xml:space="preserve"> </w:t>
      </w:r>
      <w:r>
        <w:t>Selection and Database Construction” (“BMT Guidelines”)</w:t>
      </w:r>
      <w:r w:rsidR="00197805">
        <w:rPr>
          <w:rFonts w:hint="eastAsia"/>
          <w:lang w:eastAsia="ja-JP"/>
        </w:rPr>
        <w:t xml:space="preserve"> </w:t>
      </w:r>
      <w:r w:rsidR="005A554E">
        <w:rPr>
          <w:rFonts w:hint="eastAsia"/>
          <w:lang w:eastAsia="ja-JP"/>
        </w:rPr>
        <w:t xml:space="preserve">(see document C/44/17 </w:t>
      </w:r>
      <w:r w:rsidR="005A554E">
        <w:rPr>
          <w:lang w:eastAsia="ja-JP"/>
        </w:rPr>
        <w:t>“</w:t>
      </w:r>
      <w:r w:rsidR="005A554E">
        <w:rPr>
          <w:rFonts w:hint="eastAsia"/>
          <w:lang w:eastAsia="ja-JP"/>
        </w:rPr>
        <w:t>Report</w:t>
      </w:r>
      <w:r w:rsidR="005A554E">
        <w:rPr>
          <w:lang w:eastAsia="ja-JP"/>
        </w:rPr>
        <w:t>”</w:t>
      </w:r>
      <w:r w:rsidR="005A554E">
        <w:rPr>
          <w:rFonts w:hint="eastAsia"/>
          <w:lang w:eastAsia="ja-JP"/>
        </w:rPr>
        <w:t>, paragraph 34)</w:t>
      </w:r>
      <w:r>
        <w:t>.</w:t>
      </w:r>
    </w:p>
    <w:p w:rsidR="005400F9" w:rsidRDefault="005400F9" w:rsidP="00BE0177">
      <w:pPr>
        <w:rPr>
          <w:color w:val="000000"/>
          <w:lang w:eastAsia="ja-JP"/>
        </w:rPr>
      </w:pPr>
    </w:p>
    <w:p w:rsidR="00197805" w:rsidRDefault="00197805" w:rsidP="005A554E">
      <w:pPr>
        <w:rPr>
          <w:lang w:eastAsia="ja-JP"/>
        </w:rPr>
      </w:pPr>
      <w:r w:rsidRPr="004E4E6B">
        <w:fldChar w:fldCharType="begin"/>
      </w:r>
      <w:r w:rsidRPr="004E4E6B">
        <w:instrText xml:space="preserve"> AUTONUM  </w:instrText>
      </w:r>
      <w:r w:rsidRPr="004E4E6B">
        <w:fldChar w:fldCharType="end"/>
      </w:r>
      <w:r w:rsidRPr="004E4E6B">
        <w:tab/>
      </w:r>
      <w:r>
        <w:rPr>
          <w:lang w:eastAsia="ja-JP"/>
        </w:rPr>
        <w:t>It</w:t>
      </w:r>
      <w:r>
        <w:rPr>
          <w:rFonts w:hint="eastAsia"/>
          <w:lang w:eastAsia="ja-JP"/>
        </w:rPr>
        <w:t xml:space="preserve"> is recalled that the purpose of the BMT Guideline</w:t>
      </w:r>
      <w:r w:rsidR="00605226">
        <w:rPr>
          <w:rFonts w:hint="eastAsia"/>
          <w:lang w:eastAsia="ja-JP"/>
        </w:rPr>
        <w:t>s</w:t>
      </w:r>
      <w:r>
        <w:rPr>
          <w:rFonts w:hint="eastAsia"/>
          <w:lang w:eastAsia="ja-JP"/>
        </w:rPr>
        <w:t xml:space="preserve"> is </w:t>
      </w:r>
      <w:r w:rsidR="008953FB">
        <w:rPr>
          <w:lang w:eastAsia="ja-JP"/>
        </w:rPr>
        <w:t>to provide guidance for developing</w:t>
      </w:r>
      <w:r w:rsidR="008953FB">
        <w:rPr>
          <w:rFonts w:hint="eastAsia"/>
          <w:lang w:eastAsia="ja-JP"/>
        </w:rPr>
        <w:t xml:space="preserve"> </w:t>
      </w:r>
      <w:r w:rsidR="008953FB">
        <w:rPr>
          <w:lang w:eastAsia="ja-JP"/>
        </w:rPr>
        <w:t>harmonized methodologies with the aim of generating high quality molecular data for a range</w:t>
      </w:r>
      <w:r w:rsidR="008953FB">
        <w:rPr>
          <w:rFonts w:hint="eastAsia"/>
          <w:lang w:eastAsia="ja-JP"/>
        </w:rPr>
        <w:t xml:space="preserve"> </w:t>
      </w:r>
      <w:r w:rsidR="008953FB">
        <w:rPr>
          <w:lang w:eastAsia="ja-JP"/>
        </w:rPr>
        <w:t>of applications</w:t>
      </w:r>
      <w:r w:rsidR="00605226">
        <w:rPr>
          <w:rFonts w:hint="eastAsia"/>
          <w:lang w:eastAsia="ja-JP"/>
        </w:rPr>
        <w:t xml:space="preserve"> as follows</w:t>
      </w:r>
      <w:r w:rsidR="008953FB">
        <w:rPr>
          <w:lang w:eastAsia="ja-JP"/>
        </w:rPr>
        <w:t>.</w:t>
      </w:r>
    </w:p>
    <w:p w:rsidR="00197805" w:rsidRDefault="00197805" w:rsidP="005A554E">
      <w:pPr>
        <w:rPr>
          <w:lang w:eastAsia="ja-JP"/>
        </w:rPr>
      </w:pPr>
    </w:p>
    <w:p w:rsidR="00197805" w:rsidRPr="00605226" w:rsidRDefault="00605226" w:rsidP="008953FB">
      <w:pPr>
        <w:ind w:firstLine="567"/>
        <w:rPr>
          <w:lang w:eastAsia="ja-JP"/>
        </w:rPr>
      </w:pPr>
      <w:r w:rsidRPr="00605226">
        <w:rPr>
          <w:lang w:eastAsia="ja-JP"/>
        </w:rPr>
        <w:t>“</w:t>
      </w:r>
      <w:r w:rsidR="00197805" w:rsidRPr="00605226">
        <w:rPr>
          <w:lang w:eastAsia="ja-JP"/>
        </w:rPr>
        <w:t>A. INTRODUCTION</w:t>
      </w:r>
    </w:p>
    <w:p w:rsidR="00197805" w:rsidRPr="00605226" w:rsidRDefault="00197805" w:rsidP="002B39B1">
      <w:pPr>
        <w:tabs>
          <w:tab w:val="left" w:pos="8820"/>
        </w:tabs>
        <w:ind w:left="630" w:right="306" w:firstLine="504"/>
        <w:rPr>
          <w:lang w:eastAsia="ja-JP"/>
        </w:rPr>
      </w:pPr>
      <w:r w:rsidRPr="00605226">
        <w:rPr>
          <w:lang w:eastAsia="ja-JP"/>
        </w:rPr>
        <w:t>The purpose of this document (BMT Guidelines) is to provide guidance for developing</w:t>
      </w:r>
      <w:r w:rsidR="008953FB" w:rsidRPr="00605226">
        <w:rPr>
          <w:rFonts w:hint="eastAsia"/>
          <w:lang w:eastAsia="ja-JP"/>
        </w:rPr>
        <w:t xml:space="preserve"> </w:t>
      </w:r>
      <w:r w:rsidRPr="00605226">
        <w:rPr>
          <w:lang w:eastAsia="ja-JP"/>
        </w:rPr>
        <w:t>harmonized methodologies with the aim of generating high quality molecular data for a range</w:t>
      </w:r>
      <w:r w:rsidR="008953FB" w:rsidRPr="00605226">
        <w:rPr>
          <w:rFonts w:hint="eastAsia"/>
          <w:lang w:eastAsia="ja-JP"/>
        </w:rPr>
        <w:t xml:space="preserve"> </w:t>
      </w:r>
      <w:r w:rsidRPr="00605226">
        <w:rPr>
          <w:lang w:eastAsia="ja-JP"/>
        </w:rPr>
        <w:t>of applications. The BMT Guidelines are also intended to address the construction of</w:t>
      </w:r>
      <w:r w:rsidR="008953FB" w:rsidRPr="00605226">
        <w:rPr>
          <w:rFonts w:hint="eastAsia"/>
          <w:lang w:eastAsia="ja-JP"/>
        </w:rPr>
        <w:t xml:space="preserve"> </w:t>
      </w:r>
      <w:r w:rsidRPr="00605226">
        <w:rPr>
          <w:lang w:eastAsia="ja-JP"/>
        </w:rPr>
        <w:t>databases containing molecular profiles of plant varieties, possibly produced in different</w:t>
      </w:r>
      <w:r w:rsidR="008953FB" w:rsidRPr="00605226">
        <w:rPr>
          <w:rFonts w:hint="eastAsia"/>
          <w:lang w:eastAsia="ja-JP"/>
        </w:rPr>
        <w:t xml:space="preserve"> </w:t>
      </w:r>
      <w:r w:rsidRPr="00605226">
        <w:rPr>
          <w:lang w:eastAsia="ja-JP"/>
        </w:rPr>
        <w:t>laboratories using different technologies. In addition, the aim is to set high demands on the</w:t>
      </w:r>
      <w:r w:rsidR="008953FB" w:rsidRPr="00605226">
        <w:rPr>
          <w:rFonts w:hint="eastAsia"/>
          <w:lang w:eastAsia="ja-JP"/>
        </w:rPr>
        <w:t xml:space="preserve"> </w:t>
      </w:r>
      <w:r w:rsidRPr="00605226">
        <w:rPr>
          <w:lang w:eastAsia="ja-JP"/>
        </w:rPr>
        <w:t>quality of the markers and on the desire for generating reproducible data using these markers</w:t>
      </w:r>
      <w:r w:rsidR="008953FB" w:rsidRPr="00605226">
        <w:rPr>
          <w:rFonts w:hint="eastAsia"/>
          <w:lang w:eastAsia="ja-JP"/>
        </w:rPr>
        <w:t xml:space="preserve"> </w:t>
      </w:r>
      <w:r w:rsidRPr="00605226">
        <w:rPr>
          <w:lang w:eastAsia="ja-JP"/>
        </w:rPr>
        <w:t>in situations where equipment and/or reaction chemicals might change. Specific precautions</w:t>
      </w:r>
      <w:r w:rsidR="008953FB" w:rsidRPr="00605226">
        <w:rPr>
          <w:rFonts w:hint="eastAsia"/>
          <w:lang w:eastAsia="ja-JP"/>
        </w:rPr>
        <w:t xml:space="preserve"> </w:t>
      </w:r>
      <w:r w:rsidRPr="00605226">
        <w:rPr>
          <w:lang w:eastAsia="ja-JP"/>
        </w:rPr>
        <w:t>need to be taken to ensure quality entry into a database.</w:t>
      </w:r>
      <w:r w:rsidR="00605226" w:rsidRPr="00605226">
        <w:rPr>
          <w:lang w:eastAsia="ja-JP"/>
        </w:rPr>
        <w:t>”</w:t>
      </w:r>
    </w:p>
    <w:p w:rsidR="00197805" w:rsidRDefault="00197805" w:rsidP="005A554E">
      <w:pPr>
        <w:rPr>
          <w:lang w:eastAsia="ja-JP"/>
        </w:rPr>
      </w:pPr>
    </w:p>
    <w:p w:rsidR="003D3284" w:rsidRDefault="003D3284" w:rsidP="003D3284">
      <w:pPr>
        <w:pStyle w:val="Heading1"/>
        <w:rPr>
          <w:lang w:eastAsia="ja-JP"/>
        </w:rPr>
      </w:pPr>
      <w:r>
        <w:rPr>
          <w:lang w:eastAsia="ja-JP"/>
        </w:rPr>
        <w:t>C</w:t>
      </w:r>
      <w:r>
        <w:rPr>
          <w:rFonts w:hint="eastAsia"/>
          <w:lang w:eastAsia="ja-JP"/>
        </w:rPr>
        <w:t>ooperation with other organizations</w:t>
      </w:r>
    </w:p>
    <w:p w:rsidR="003D3284" w:rsidRPr="004E4E6B" w:rsidRDefault="003D3284" w:rsidP="00BE0177">
      <w:pPr>
        <w:rPr>
          <w:color w:val="000000"/>
          <w:lang w:eastAsia="ja-JP"/>
        </w:rPr>
      </w:pPr>
    </w:p>
    <w:p w:rsidR="00BE0177" w:rsidRPr="004E4E6B" w:rsidRDefault="00BE0177" w:rsidP="00BE0177">
      <w:pPr>
        <w:rPr>
          <w:rFonts w:cs="Arial"/>
        </w:rPr>
      </w:pPr>
      <w:r w:rsidRPr="004E4E6B">
        <w:rPr>
          <w:rFonts w:cs="Arial"/>
          <w:iCs/>
        </w:rPr>
        <w:fldChar w:fldCharType="begin"/>
      </w:r>
      <w:r w:rsidRPr="004E4E6B">
        <w:rPr>
          <w:rFonts w:cs="Arial"/>
          <w:iCs/>
        </w:rPr>
        <w:instrText xml:space="preserve"> AUTONUM  </w:instrText>
      </w:r>
      <w:r w:rsidRPr="004E4E6B">
        <w:rPr>
          <w:rFonts w:cs="Arial"/>
          <w:iCs/>
        </w:rPr>
        <w:fldChar w:fldCharType="end"/>
      </w:r>
      <w:r w:rsidRPr="004E4E6B">
        <w:rPr>
          <w:rFonts w:cs="Arial"/>
          <w:iCs/>
        </w:rPr>
        <w:tab/>
        <w:t xml:space="preserve">At its thirteenth session, held in Brasilia, Brazil, from November 22 to 24, 2011, the BMT noted the information provided in document BMT/13/3 “International Guidelines on Molecular Methodologies”. </w:t>
      </w:r>
      <w:r w:rsidRPr="004E4E6B">
        <w:rPr>
          <w:rFonts w:cs="Arial"/>
        </w:rPr>
        <w:t>The BMT took note of the report from the Office of the Union that contact had been made between UPOV and International Seed Testing Association (ISTA) to explore the possibility of a coordinated meeting of the BMT and the Working Group on DNA Methods of the Variety Committee of ISTA for the fourteenth session of the BMT to be held in 2013</w:t>
      </w:r>
      <w:r w:rsidR="00313148">
        <w:rPr>
          <w:rFonts w:cs="Arial"/>
        </w:rPr>
        <w:t xml:space="preserve"> (see document BMT/13/</w:t>
      </w:r>
      <w:r w:rsidR="00307E60">
        <w:rPr>
          <w:rFonts w:cs="Arial"/>
        </w:rPr>
        <w:t>36 “Report”, paragraph 55 and 56)</w:t>
      </w:r>
      <w:r w:rsidRPr="004E4E6B">
        <w:rPr>
          <w:rFonts w:cs="Arial"/>
        </w:rPr>
        <w:t>.</w:t>
      </w:r>
    </w:p>
    <w:p w:rsidR="00BE0177" w:rsidRDefault="00BE0177" w:rsidP="00BE0177">
      <w:pPr>
        <w:rPr>
          <w:lang w:eastAsia="ja-JP"/>
        </w:rPr>
      </w:pPr>
    </w:p>
    <w:p w:rsidR="000D33F5" w:rsidRPr="007C25BD" w:rsidRDefault="000D33F5" w:rsidP="000D33F5">
      <w:r w:rsidRPr="007C25BD">
        <w:fldChar w:fldCharType="begin"/>
      </w:r>
      <w:r w:rsidRPr="007C25BD">
        <w:instrText xml:space="preserve"> AUTONUM  </w:instrText>
      </w:r>
      <w:r w:rsidRPr="007C25BD">
        <w:fldChar w:fldCharType="end"/>
      </w:r>
      <w:r w:rsidRPr="007C25BD">
        <w:tab/>
        <w:t>The TC, at its forty-eighth session, held from March 26 to 28, 2012</w:t>
      </w:r>
      <w:r>
        <w:rPr>
          <w:rFonts w:hint="eastAsia"/>
          <w:lang w:eastAsia="ja-JP"/>
        </w:rPr>
        <w:t xml:space="preserve">, </w:t>
      </w:r>
      <w:r w:rsidRPr="007C25BD">
        <w:rPr>
          <w:rFonts w:ascii="ArialMT" w:hAnsi="ArialMT" w:cs="ArialMT"/>
          <w:lang w:bidi="km-KH"/>
        </w:rPr>
        <w:t xml:space="preserve">agreed that it would be appropriate for the Office of the Union to investigate the possibility of a coordinated meeting of the BMT and the Working Group on DNA Methods of the Variety Committee of ISTA, for the fourteenth session of the BMT </w:t>
      </w:r>
      <w:r w:rsidRPr="007C25BD">
        <w:t>(see document TC/48/23 “Report”, paragraph 221)</w:t>
      </w:r>
      <w:r w:rsidRPr="007C25BD">
        <w:rPr>
          <w:rFonts w:ascii="ArialMT" w:hAnsi="ArialMT" w:cs="ArialMT"/>
          <w:lang w:bidi="km-KH"/>
        </w:rPr>
        <w:t>.</w:t>
      </w:r>
    </w:p>
    <w:p w:rsidR="000D33F5" w:rsidRDefault="000D33F5" w:rsidP="00BE0177">
      <w:pPr>
        <w:rPr>
          <w:lang w:eastAsia="ja-JP"/>
        </w:rPr>
      </w:pPr>
    </w:p>
    <w:p w:rsidR="000D33F5" w:rsidRPr="007C25BD" w:rsidRDefault="000D33F5" w:rsidP="000D33F5">
      <w:r w:rsidRPr="007C25BD">
        <w:fldChar w:fldCharType="begin"/>
      </w:r>
      <w:r w:rsidRPr="007C25BD">
        <w:instrText xml:space="preserve"> AUTONUM  </w:instrText>
      </w:r>
      <w:r w:rsidRPr="007C25BD">
        <w:fldChar w:fldCharType="end"/>
      </w:r>
      <w:r w:rsidRPr="007C25BD">
        <w:tab/>
        <w:t xml:space="preserve">The TC, at its </w:t>
      </w:r>
      <w:r w:rsidRPr="007C25BD">
        <w:rPr>
          <w:color w:val="000000"/>
        </w:rPr>
        <w:t xml:space="preserve">forty-ninth session, held in Geneva, from March 18 to 20, 2013, </w:t>
      </w:r>
      <w:r w:rsidRPr="007C25BD">
        <w:t xml:space="preserve">received the following presentations from relevant international organizations (see document TC/49/41 “Report on the conclusions”, paragraphs 131 to 133), copies of which are posted on the UPOV website at </w:t>
      </w:r>
      <w:hyperlink r:id="rId10" w:history="1">
        <w:r w:rsidRPr="007C25BD">
          <w:rPr>
            <w:rStyle w:val="Hyperlink"/>
          </w:rPr>
          <w:t>http://upov.int/meetings/en/details.jsp?meeting_id=28343</w:t>
        </w:r>
      </w:hyperlink>
      <w:r w:rsidRPr="007C25BD">
        <w:t>:</w:t>
      </w:r>
    </w:p>
    <w:p w:rsidR="000D33F5" w:rsidRPr="007C25BD" w:rsidRDefault="000D33F5" w:rsidP="000D33F5"/>
    <w:tbl>
      <w:tblPr>
        <w:tblStyle w:val="TableGrid"/>
        <w:tblW w:w="9033" w:type="dxa"/>
        <w:tblInd w:w="675" w:type="dxa"/>
        <w:tblLook w:val="01E0" w:firstRow="1" w:lastRow="1" w:firstColumn="1" w:lastColumn="1" w:noHBand="0" w:noVBand="0"/>
      </w:tblPr>
      <w:tblGrid>
        <w:gridCol w:w="6379"/>
        <w:gridCol w:w="2654"/>
      </w:tblGrid>
      <w:tr w:rsidR="000D33F5" w:rsidRPr="007C25BD" w:rsidTr="007668DE">
        <w:tc>
          <w:tcPr>
            <w:tcW w:w="6379"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pPr>
            <w:r w:rsidRPr="007C25BD">
              <w:t xml:space="preserve">Situation with regard to the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jc w:val="left"/>
            </w:pPr>
            <w:r w:rsidRPr="007C25BD">
              <w:t xml:space="preserve">Presented by Mr. Paul Zankowski (United States of America) </w:t>
            </w:r>
          </w:p>
          <w:p w:rsidR="000D33F5" w:rsidRPr="007C25BD" w:rsidRDefault="000D33F5" w:rsidP="007668DE">
            <w:pPr>
              <w:spacing w:before="60" w:after="60"/>
              <w:jc w:val="left"/>
            </w:pPr>
            <w:r w:rsidRPr="007C25BD">
              <w:t xml:space="preserve">(Prepared by Mr. Michael </w:t>
            </w:r>
            <w:proofErr w:type="spellStart"/>
            <w:r w:rsidRPr="007C25BD">
              <w:t>Sussman</w:t>
            </w:r>
            <w:proofErr w:type="spellEnd"/>
            <w:r w:rsidRPr="007C25BD">
              <w:t xml:space="preserve"> (ISO))</w:t>
            </w:r>
          </w:p>
        </w:tc>
      </w:tr>
      <w:tr w:rsidR="000D33F5" w:rsidRPr="007C25BD" w:rsidTr="007668DE">
        <w:tc>
          <w:tcPr>
            <w:tcW w:w="6379"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pPr>
            <w:r w:rsidRPr="007C25BD">
              <w:t>Situation with regard to the use of molecular techniques in the International Seed Testing Association (ISTA)</w:t>
            </w:r>
          </w:p>
        </w:tc>
        <w:tc>
          <w:tcPr>
            <w:tcW w:w="2654"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pPr>
            <w:r w:rsidRPr="007C25BD">
              <w:t xml:space="preserve">Ms. Rita </w:t>
            </w:r>
            <w:proofErr w:type="spellStart"/>
            <w:r w:rsidRPr="007C25BD">
              <w:t>Zecchinelli</w:t>
            </w:r>
            <w:proofErr w:type="spellEnd"/>
            <w:r w:rsidRPr="007C25BD">
              <w:t xml:space="preserve"> (ISTA)</w:t>
            </w:r>
          </w:p>
        </w:tc>
      </w:tr>
      <w:tr w:rsidR="000D33F5" w:rsidRPr="007C25BD" w:rsidTr="007668DE">
        <w:tc>
          <w:tcPr>
            <w:tcW w:w="6379"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pPr>
            <w:r w:rsidRPr="007C25BD">
              <w:t xml:space="preserve">Situation with regard to the use of molecular techniques in the </w:t>
            </w:r>
            <w:r w:rsidRPr="007C25BD">
              <w:rPr>
                <w:snapToGrid w:val="0"/>
              </w:rPr>
              <w:t>Organization for Economic Co</w:t>
            </w:r>
            <w:r w:rsidRPr="007C25BD">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0D33F5" w:rsidRPr="007C25BD" w:rsidRDefault="000D33F5" w:rsidP="007668DE">
            <w:pPr>
              <w:spacing w:before="60" w:after="60"/>
            </w:pPr>
            <w:r w:rsidRPr="007C25BD">
              <w:t>Mr. Michael Ryan (OECD)</w:t>
            </w:r>
          </w:p>
        </w:tc>
      </w:tr>
    </w:tbl>
    <w:p w:rsidR="000D33F5" w:rsidRPr="007C25BD" w:rsidRDefault="000D33F5" w:rsidP="000D33F5">
      <w:pPr>
        <w:autoSpaceDE w:val="0"/>
        <w:autoSpaceDN w:val="0"/>
        <w:adjustRightInd w:val="0"/>
      </w:pPr>
    </w:p>
    <w:p w:rsidR="000D33F5" w:rsidRPr="007C25BD" w:rsidRDefault="000D33F5" w:rsidP="000D33F5">
      <w:pPr>
        <w:rPr>
          <w:lang w:eastAsia="ja-JP"/>
        </w:rPr>
      </w:pPr>
      <w:r w:rsidRPr="007C25BD">
        <w:fldChar w:fldCharType="begin"/>
      </w:r>
      <w:r w:rsidRPr="007C25BD">
        <w:instrText xml:space="preserve"> AUTONUM  </w:instrText>
      </w:r>
      <w:r w:rsidRPr="007C25BD">
        <w:fldChar w:fldCharType="end"/>
      </w:r>
      <w:r w:rsidRPr="007C25BD">
        <w:tab/>
        <w:t>The TC, at its forty-ninth session, recalled that the BMT is a group open to DUS experts, biochemical and molecular specialists and plant breeders, whose role is as reproduced in Annex II to document</w:t>
      </w:r>
      <w:r>
        <w:rPr>
          <w:rFonts w:hint="eastAsia"/>
          <w:lang w:eastAsia="ja-JP"/>
        </w:rPr>
        <w:t xml:space="preserve"> TC/50/13 </w:t>
      </w:r>
      <w:r>
        <w:rPr>
          <w:lang w:eastAsia="ja-JP"/>
        </w:rPr>
        <w:t>“</w:t>
      </w:r>
      <w:r>
        <w:rPr>
          <w:rFonts w:hint="eastAsia"/>
          <w:lang w:eastAsia="ja-JP"/>
        </w:rPr>
        <w:t>Molecular Techniques</w:t>
      </w:r>
      <w:r>
        <w:rPr>
          <w:lang w:eastAsia="ja-JP"/>
        </w:rPr>
        <w:t>”</w:t>
      </w:r>
      <w:r>
        <w:rPr>
          <w:rFonts w:hint="eastAsia"/>
          <w:lang w:eastAsia="ja-JP"/>
        </w:rPr>
        <w:t xml:space="preserve"> (see Annex to this document)</w:t>
      </w:r>
      <w:r w:rsidRPr="007C25BD">
        <w:t>. In that regard, it endorsed the initiative for a joint meeting with ISO, ISTA and OECD and including breeders, as a means of supporting the role of the BMT in relation to (</w:t>
      </w:r>
      <w:proofErr w:type="spellStart"/>
      <w:r w:rsidRPr="007C25BD">
        <w:t>i</w:t>
      </w:r>
      <w:proofErr w:type="spellEnd"/>
      <w:r w:rsidRPr="007C25BD">
        <w:t>), (ii), (iv), (vi) and particularly (viii) of the role of the BMT (see document TC/49/41 “Report on the Conclusions”, paragraphs 134 and 135).</w:t>
      </w:r>
      <w:r w:rsidR="00605226">
        <w:rPr>
          <w:rFonts w:hint="eastAsia"/>
          <w:lang w:eastAsia="ja-JP"/>
        </w:rPr>
        <w:t xml:space="preserve">  Item (</w:t>
      </w:r>
      <w:proofErr w:type="spellStart"/>
      <w:r w:rsidR="00605226">
        <w:rPr>
          <w:rFonts w:hint="eastAsia"/>
          <w:lang w:eastAsia="ja-JP"/>
        </w:rPr>
        <w:t>i</w:t>
      </w:r>
      <w:proofErr w:type="spellEnd"/>
      <w:r w:rsidR="00605226">
        <w:rPr>
          <w:rFonts w:hint="eastAsia"/>
          <w:lang w:eastAsia="ja-JP"/>
        </w:rPr>
        <w:t>)</w:t>
      </w:r>
      <w:r w:rsidR="00605226" w:rsidRPr="007C25BD">
        <w:t>, (i</w:t>
      </w:r>
      <w:r w:rsidR="00605226">
        <w:t>i), (</w:t>
      </w:r>
      <w:proofErr w:type="gramStart"/>
      <w:r w:rsidR="00605226">
        <w:t>iv</w:t>
      </w:r>
      <w:proofErr w:type="gramEnd"/>
      <w:r w:rsidR="00605226">
        <w:t>), (vi) and</w:t>
      </w:r>
      <w:r w:rsidR="00605226">
        <w:rPr>
          <w:rFonts w:hint="eastAsia"/>
          <w:lang w:eastAsia="ja-JP"/>
        </w:rPr>
        <w:t xml:space="preserve"> </w:t>
      </w:r>
      <w:r w:rsidR="00605226" w:rsidRPr="007C25BD">
        <w:t>(viii)</w:t>
      </w:r>
      <w:r w:rsidR="00605226">
        <w:rPr>
          <w:rFonts w:hint="eastAsia"/>
          <w:lang w:eastAsia="ja-JP"/>
        </w:rPr>
        <w:t xml:space="preserve"> are reproduced below for ease of reference.</w:t>
      </w:r>
    </w:p>
    <w:p w:rsidR="000D33F5" w:rsidRPr="00605226" w:rsidRDefault="000D33F5" w:rsidP="000D33F5">
      <w:pPr>
        <w:rPr>
          <w:lang w:eastAsia="ja-JP"/>
        </w:rPr>
      </w:pPr>
    </w:p>
    <w:p w:rsidR="008953FB" w:rsidRPr="00605226" w:rsidRDefault="008953FB" w:rsidP="008953FB">
      <w:pPr>
        <w:ind w:left="567"/>
      </w:pPr>
      <w:r w:rsidRPr="00605226">
        <w:t>(</w:t>
      </w:r>
      <w:proofErr w:type="spellStart"/>
      <w:proofErr w:type="gramStart"/>
      <w:r w:rsidRPr="00605226">
        <w:t>i</w:t>
      </w:r>
      <w:proofErr w:type="spellEnd"/>
      <w:proofErr w:type="gramEnd"/>
      <w:r w:rsidRPr="00605226">
        <w:t>) Review general developments in biochemical and molecular techniques;</w:t>
      </w:r>
    </w:p>
    <w:p w:rsidR="008953FB" w:rsidRPr="00605226" w:rsidRDefault="008953FB" w:rsidP="008953FB">
      <w:pPr>
        <w:ind w:left="567"/>
      </w:pPr>
    </w:p>
    <w:p w:rsidR="008953FB" w:rsidRPr="00605226" w:rsidRDefault="008953FB" w:rsidP="002B39B1">
      <w:pPr>
        <w:ind w:left="567" w:right="306"/>
      </w:pPr>
      <w:r w:rsidRPr="00605226">
        <w:t>(ii) Maintain an awareness of relevant applications of biochemical and molecular techniques in plant breeding;</w:t>
      </w:r>
    </w:p>
    <w:p w:rsidR="008953FB" w:rsidRPr="00605226" w:rsidRDefault="008953FB" w:rsidP="008953FB">
      <w:pPr>
        <w:ind w:left="567"/>
      </w:pPr>
    </w:p>
    <w:p w:rsidR="008953FB" w:rsidRPr="00605226" w:rsidRDefault="008953FB" w:rsidP="002B39B1">
      <w:pPr>
        <w:ind w:left="567" w:right="306"/>
      </w:pPr>
      <w:r w:rsidRPr="00605226">
        <w:t>(iv) 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8953FB" w:rsidRPr="00605226" w:rsidRDefault="008953FB" w:rsidP="008953FB">
      <w:pPr>
        <w:ind w:left="567"/>
      </w:pPr>
    </w:p>
    <w:p w:rsidR="008953FB" w:rsidRPr="00605226" w:rsidRDefault="008953FB" w:rsidP="002B39B1">
      <w:pPr>
        <w:tabs>
          <w:tab w:val="left" w:pos="8820"/>
        </w:tabs>
        <w:ind w:left="567" w:right="306"/>
      </w:pPr>
      <w:r w:rsidRPr="00605226">
        <w:t>(vi) Develop guidelines regarding the management and harmonization of databases of biochemical and molecular information, in conjunction with the TWC;</w:t>
      </w:r>
    </w:p>
    <w:p w:rsidR="008953FB" w:rsidRPr="00605226" w:rsidRDefault="008953FB" w:rsidP="008953FB">
      <w:pPr>
        <w:ind w:left="567"/>
      </w:pPr>
    </w:p>
    <w:p w:rsidR="008953FB" w:rsidRPr="00605226" w:rsidRDefault="008953FB" w:rsidP="002B39B1">
      <w:pPr>
        <w:ind w:left="567" w:right="306"/>
      </w:pPr>
      <w:r w:rsidRPr="00605226">
        <w:t>(viii) Provide a forum for discussion on the use of biochemical and molecular techniques in the consideration of essential derivation and variety identification.</w:t>
      </w:r>
    </w:p>
    <w:p w:rsidR="008953FB" w:rsidRPr="00605226" w:rsidRDefault="008953FB" w:rsidP="000D33F5">
      <w:pPr>
        <w:rPr>
          <w:lang w:eastAsia="ja-JP"/>
        </w:rPr>
      </w:pPr>
    </w:p>
    <w:p w:rsidR="000D33F5" w:rsidRPr="007C25BD" w:rsidRDefault="000D33F5" w:rsidP="000D33F5">
      <w:pPr>
        <w:autoSpaceDE w:val="0"/>
        <w:autoSpaceDN w:val="0"/>
        <w:adjustRightInd w:val="0"/>
        <w:rPr>
          <w:rFonts w:ascii="ArialMT" w:hAnsi="ArialMT" w:cs="ArialMT"/>
        </w:rPr>
      </w:pPr>
      <w:r w:rsidRPr="007C25BD">
        <w:fldChar w:fldCharType="begin"/>
      </w:r>
      <w:r w:rsidRPr="007C25BD">
        <w:instrText xml:space="preserve"> AUTONUM  </w:instrText>
      </w:r>
      <w:r w:rsidRPr="007C25BD">
        <w:fldChar w:fldCharType="end"/>
      </w:r>
      <w:r w:rsidRPr="007C25BD">
        <w:rPr>
          <w:rFonts w:cs="Arial"/>
          <w:color w:val="000000"/>
        </w:rPr>
        <w:tab/>
      </w:r>
      <w:r w:rsidRPr="007C25BD">
        <w:rPr>
          <w:rFonts w:ascii="ArialMT" w:hAnsi="ArialMT" w:cs="ArialMT"/>
        </w:rPr>
        <w:t>The TC, at its forty-ninth session, agreed to propose to hold a coordinated meeting of the fourteenth session of the BMT with</w:t>
      </w:r>
      <w:r w:rsidRPr="007C25BD">
        <w:rPr>
          <w:snapToGrid w:val="0"/>
        </w:rPr>
        <w:t xml:space="preserve"> </w:t>
      </w:r>
      <w:r w:rsidRPr="007C25BD">
        <w:rPr>
          <w:rFonts w:ascii="ArialMT" w:hAnsi="ArialMT" w:cs="ArialMT"/>
        </w:rPr>
        <w:t>meetings of other relevant international organizations in 2014, as set out in document TC/49/7 “Molecular techniques”.  It also agreed that, if it was not possible to organize a joint meeting with other organizations in 2014, a meeting of the BMT should be organized in the meantime (see document TC/49/41 “Report on the Conclusions”, paragraph 126).</w:t>
      </w:r>
    </w:p>
    <w:p w:rsidR="009C0B58" w:rsidRPr="00E51962" w:rsidRDefault="009C0B58" w:rsidP="009C0B58"/>
    <w:p w:rsidR="009C0B58" w:rsidRDefault="009C0B58" w:rsidP="009C0B58">
      <w:pPr>
        <w:rPr>
          <w:lang w:eastAsia="ja-JP"/>
        </w:rPr>
      </w:pPr>
      <w:r>
        <w:fldChar w:fldCharType="begin"/>
      </w:r>
      <w:r>
        <w:instrText xml:space="preserve"> AUTONUM  </w:instrText>
      </w:r>
      <w:r>
        <w:fldChar w:fldCharType="end"/>
      </w:r>
      <w:r>
        <w:tab/>
        <w:t>In that regard, it endorsed the initiative for a joint meeting with ISO, ISTA and OECD and including breeders, as a means of supporting the role of the BMT in relation to (</w:t>
      </w:r>
      <w:proofErr w:type="spellStart"/>
      <w:r>
        <w:t>i</w:t>
      </w:r>
      <w:proofErr w:type="spellEnd"/>
      <w:r>
        <w:t>), (ii), (iv), (vi) and particularly (viii) above</w:t>
      </w:r>
      <w:r w:rsidR="00AB7A97">
        <w:t xml:space="preserve"> </w:t>
      </w:r>
      <w:r w:rsidR="00AB7A97" w:rsidRPr="00543CBE">
        <w:t xml:space="preserve"> (</w:t>
      </w:r>
      <w:r w:rsidR="00AB7A97">
        <w:rPr>
          <w:snapToGrid w:val="0"/>
        </w:rPr>
        <w:t>see document TC/49/41</w:t>
      </w:r>
      <w:r w:rsidR="00AB7A97" w:rsidRPr="00543CBE">
        <w:rPr>
          <w:snapToGrid w:val="0"/>
        </w:rPr>
        <w:t xml:space="preserve"> “Report on the Conclusions”, paragraph </w:t>
      </w:r>
      <w:r w:rsidR="00AB7A97">
        <w:rPr>
          <w:snapToGrid w:val="0"/>
        </w:rPr>
        <w:t>134 and 135</w:t>
      </w:r>
      <w:r w:rsidR="00AB7A97" w:rsidRPr="00543CBE">
        <w:rPr>
          <w:snapToGrid w:val="0"/>
        </w:rPr>
        <w:t>)</w:t>
      </w:r>
      <w:r>
        <w:t>.</w:t>
      </w:r>
    </w:p>
    <w:p w:rsidR="006A4111" w:rsidRDefault="006A4111" w:rsidP="009C0B58">
      <w:pPr>
        <w:rPr>
          <w:lang w:eastAsia="ja-JP"/>
        </w:rPr>
      </w:pPr>
    </w:p>
    <w:p w:rsidR="000D33F5" w:rsidRPr="007C25BD" w:rsidRDefault="000D33F5" w:rsidP="000D33F5">
      <w:pPr>
        <w:autoSpaceDE w:val="0"/>
        <w:autoSpaceDN w:val="0"/>
        <w:adjustRightInd w:val="0"/>
        <w:rPr>
          <w:rFonts w:ascii="ArialMT" w:hAnsi="ArialMT" w:cs="ArialMT"/>
        </w:rPr>
      </w:pPr>
      <w:r w:rsidRPr="007C25BD">
        <w:fldChar w:fldCharType="begin"/>
      </w:r>
      <w:r w:rsidRPr="007C25BD">
        <w:instrText xml:space="preserve"> AUTONUM  </w:instrText>
      </w:r>
      <w:r w:rsidRPr="007C25BD">
        <w:fldChar w:fldCharType="end"/>
      </w:r>
      <w:r w:rsidRPr="007C25BD">
        <w:rPr>
          <w:rFonts w:cs="Arial"/>
          <w:color w:val="000000"/>
        </w:rPr>
        <w:tab/>
        <w:t xml:space="preserve">On May 3, 2013, the Office of the Union issued a letter to Mr. Michael </w:t>
      </w:r>
      <w:proofErr w:type="spellStart"/>
      <w:r w:rsidRPr="007C25BD">
        <w:rPr>
          <w:rFonts w:cs="Arial"/>
          <w:color w:val="000000"/>
        </w:rPr>
        <w:t>Sussman</w:t>
      </w:r>
      <w:proofErr w:type="spellEnd"/>
      <w:r w:rsidRPr="007C25BD">
        <w:rPr>
          <w:rFonts w:cs="Arial"/>
          <w:color w:val="000000"/>
        </w:rPr>
        <w:t xml:space="preserve">, Chairperson of TC/34/SC16, ISO, Mr. Heinz </w:t>
      </w:r>
      <w:proofErr w:type="spellStart"/>
      <w:r w:rsidRPr="007C25BD">
        <w:rPr>
          <w:rFonts w:cs="Arial"/>
          <w:color w:val="000000"/>
        </w:rPr>
        <w:t>Schmid</w:t>
      </w:r>
      <w:proofErr w:type="spellEnd"/>
      <w:r w:rsidRPr="007C25BD">
        <w:rPr>
          <w:rFonts w:cs="Arial"/>
          <w:color w:val="000000"/>
        </w:rPr>
        <w:t xml:space="preserve">, Secretary General </w:t>
      </w:r>
      <w:r w:rsidRPr="007C25BD">
        <w:rPr>
          <w:rFonts w:cs="Arial"/>
          <w:i/>
          <w:color w:val="000000"/>
        </w:rPr>
        <w:t>ad interim</w:t>
      </w:r>
      <w:r w:rsidRPr="007C25BD">
        <w:rPr>
          <w:rFonts w:cs="Arial"/>
          <w:color w:val="000000"/>
        </w:rPr>
        <w:t xml:space="preserve">, ISTA, and Mr. Michael Ryan, Head of Unit, Agricultural Codes and Schemes, OECD, respectively, </w:t>
      </w:r>
      <w:r w:rsidRPr="007C25BD">
        <w:t xml:space="preserve">requesting their consideration of the possibility to hold a coordinated meeting in conjunction with the fourteenth session of the BMT.  In reply to the letter, the Office of the Union received a positive response from ISTA and OECD.  </w:t>
      </w:r>
      <w:r w:rsidRPr="007C25BD">
        <w:lastRenderedPageBreak/>
        <w:t xml:space="preserve">Mr. Michael </w:t>
      </w:r>
      <w:proofErr w:type="spellStart"/>
      <w:r w:rsidRPr="007C25BD">
        <w:t>Sussman</w:t>
      </w:r>
      <w:proofErr w:type="spellEnd"/>
      <w:r w:rsidRPr="007C25BD">
        <w:t xml:space="preserve"> (ISO) reported that ISO had formal requirements to establish liaisons and a framework with other international organizations with respect to its work, and that </w:t>
      </w:r>
      <w:r w:rsidRPr="007C25BD">
        <w:rPr>
          <w:rFonts w:ascii="ArialMT" w:hAnsi="ArialMT" w:cs="ArialMT"/>
        </w:rPr>
        <w:t xml:space="preserve">it might not be possible to establish such liaisons and a framework between the ISO TC 34/SC 16 and UPOV before the planned date of the coordinated meeting. Mr. </w:t>
      </w:r>
      <w:proofErr w:type="spellStart"/>
      <w:r w:rsidRPr="007C25BD">
        <w:rPr>
          <w:rFonts w:ascii="ArialMT" w:hAnsi="ArialMT" w:cs="ArialMT"/>
        </w:rPr>
        <w:t>Sussman</w:t>
      </w:r>
      <w:proofErr w:type="spellEnd"/>
      <w:r w:rsidRPr="007C25BD">
        <w:rPr>
          <w:rFonts w:ascii="ArialMT" w:hAnsi="ArialMT" w:cs="ArialMT"/>
        </w:rPr>
        <w:t xml:space="preserve"> expressed his willingness to continue the current practice in which he or his colleagues would attend the BMT upon invitation to provide presentations on their work.</w:t>
      </w:r>
    </w:p>
    <w:p w:rsidR="000D33F5" w:rsidRDefault="000D33F5" w:rsidP="009C0B58">
      <w:pPr>
        <w:rPr>
          <w:lang w:eastAsia="ja-JP"/>
        </w:rPr>
      </w:pPr>
    </w:p>
    <w:p w:rsidR="00F230D0" w:rsidRPr="007C25BD" w:rsidRDefault="00F230D0" w:rsidP="00F230D0">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 xml:space="preserve">At its fiftieth session, held in </w:t>
      </w:r>
      <w:r>
        <w:t xml:space="preserve">in Geneva, Switzerland, from </w:t>
      </w:r>
      <w:r w:rsidRPr="00F230D0">
        <w:t xml:space="preserve">April 7 to 9, </w:t>
      </w:r>
      <w:r w:rsidR="006A4111">
        <w:rPr>
          <w:rFonts w:hint="eastAsia"/>
          <w:lang w:eastAsia="ja-JP"/>
        </w:rPr>
        <w:t xml:space="preserve">2014, </w:t>
      </w:r>
      <w:r>
        <w:t>t</w:t>
      </w:r>
      <w:r>
        <w:rPr>
          <w:rFonts w:eastAsia="MS Mincho"/>
          <w:snapToGrid w:val="0"/>
        </w:rPr>
        <w:t>he TC</w:t>
      </w:r>
      <w:r w:rsidRPr="007C25BD">
        <w:rPr>
          <w:rFonts w:eastAsia="MS Mincho"/>
          <w:snapToGrid w:val="0"/>
        </w:rPr>
        <w:t xml:space="preserve"> agree</w:t>
      </w:r>
      <w:r>
        <w:rPr>
          <w:rFonts w:eastAsia="MS Mincho"/>
          <w:snapToGrid w:val="0"/>
        </w:rPr>
        <w:t>d</w:t>
      </w:r>
      <w:r w:rsidRPr="007C25BD">
        <w:rPr>
          <w:rFonts w:eastAsia="MS Mincho"/>
          <w:snapToGrid w:val="0"/>
        </w:rPr>
        <w:t xml:space="preserve"> to the proposed 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the Joint Workshop with ISTA and OECD</w:t>
      </w:r>
      <w:r>
        <w:rPr>
          <w:rFonts w:eastAsia="MS Mincho"/>
          <w:snapToGrid w:val="0"/>
        </w:rPr>
        <w:t>,</w:t>
      </w:r>
      <w:r w:rsidRPr="007C25BD">
        <w:rPr>
          <w:rFonts w:eastAsia="MS Mincho"/>
          <w:snapToGrid w:val="0"/>
        </w:rPr>
        <w:t xml:space="preserve"> to be held on November 12, 2014, as set out in </w:t>
      </w:r>
      <w:r>
        <w:rPr>
          <w:rFonts w:eastAsia="MS Mincho"/>
          <w:snapToGrid w:val="0"/>
        </w:rPr>
        <w:t>document TC/50/13,</w:t>
      </w:r>
      <w:r w:rsidRPr="00410AF0">
        <w:rPr>
          <w:rFonts w:eastAsia="MS Mincho"/>
          <w:snapToGrid w:val="0"/>
        </w:rPr>
        <w:t xml:space="preserve"> </w:t>
      </w:r>
      <w:r w:rsidRPr="007C25BD">
        <w:rPr>
          <w:rFonts w:eastAsia="MS Mincho"/>
          <w:snapToGrid w:val="0"/>
        </w:rPr>
        <w:t>paragraph 21</w:t>
      </w:r>
      <w:r>
        <w:rPr>
          <w:rFonts w:eastAsia="MS Mincho"/>
          <w:snapToGrid w:val="0"/>
        </w:rPr>
        <w:t xml:space="preserve"> (see document TC/50/36 “</w:t>
      </w:r>
      <w:r w:rsidRPr="00543CBE">
        <w:rPr>
          <w:snapToGrid w:val="0"/>
        </w:rPr>
        <w:t>Report on the Conclusions”, paragraph </w:t>
      </w:r>
      <w:r>
        <w:rPr>
          <w:snapToGrid w:val="0"/>
        </w:rPr>
        <w:t>80)</w:t>
      </w:r>
      <w:r>
        <w:rPr>
          <w:rFonts w:eastAsia="MS Mincho"/>
          <w:snapToGrid w:val="0"/>
        </w:rPr>
        <w:t>.</w:t>
      </w:r>
    </w:p>
    <w:p w:rsidR="00F230D0" w:rsidRDefault="00F230D0" w:rsidP="00F230D0">
      <w:pPr>
        <w:rPr>
          <w:lang w:eastAsia="ja-JP"/>
        </w:rPr>
      </w:pPr>
    </w:p>
    <w:p w:rsidR="00F230D0" w:rsidRDefault="00F230D0" w:rsidP="00F230D0">
      <w:pPr>
        <w:rPr>
          <w:rFonts w:eastAsia="MS Mincho"/>
          <w:snapToGrid w:val="0"/>
          <w:lang w:eastAsia="ja-JP"/>
        </w:rPr>
      </w:pPr>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 (see document TC/50/36 “</w:t>
      </w:r>
      <w:r w:rsidRPr="00543CBE">
        <w:rPr>
          <w:snapToGrid w:val="0"/>
        </w:rPr>
        <w:t>Report on the Conclusions”, paragraph </w:t>
      </w:r>
      <w:r>
        <w:rPr>
          <w:snapToGrid w:val="0"/>
        </w:rPr>
        <w:t>81)</w:t>
      </w:r>
      <w:r>
        <w:rPr>
          <w:rFonts w:eastAsia="MS Mincho"/>
          <w:snapToGrid w:val="0"/>
        </w:rPr>
        <w:t>.</w:t>
      </w:r>
    </w:p>
    <w:p w:rsidR="00E033B1" w:rsidRDefault="00E033B1" w:rsidP="00F230D0">
      <w:pPr>
        <w:rPr>
          <w:rFonts w:eastAsia="MS Mincho"/>
          <w:snapToGrid w:val="0"/>
          <w:lang w:eastAsia="ja-JP"/>
        </w:rPr>
      </w:pPr>
    </w:p>
    <w:p w:rsidR="00E033B1" w:rsidRDefault="00E033B1" w:rsidP="00F230D0">
      <w:pPr>
        <w:rPr>
          <w:lang w:eastAsia="ja-JP"/>
        </w:rPr>
      </w:pPr>
      <w:r>
        <w:fldChar w:fldCharType="begin"/>
      </w:r>
      <w:r>
        <w:instrText xml:space="preserve"> AUTONUM  </w:instrText>
      </w:r>
      <w:r>
        <w:fldChar w:fldCharType="end"/>
      </w:r>
      <w:r>
        <w:tab/>
      </w:r>
      <w:r>
        <w:rPr>
          <w:rFonts w:hint="eastAsia"/>
          <w:lang w:eastAsia="ja-JP"/>
        </w:rPr>
        <w:t xml:space="preserve">The </w:t>
      </w:r>
      <w:r w:rsidR="00B35F35">
        <w:rPr>
          <w:rFonts w:hint="eastAsia"/>
          <w:lang w:eastAsia="ja-JP"/>
        </w:rPr>
        <w:t xml:space="preserve">draft </w:t>
      </w:r>
      <w:r>
        <w:rPr>
          <w:rFonts w:hint="eastAsia"/>
          <w:lang w:eastAsia="ja-JP"/>
        </w:rPr>
        <w:t>program for the Joint Workshop</w:t>
      </w:r>
      <w:r w:rsidR="00B35F35">
        <w:rPr>
          <w:rFonts w:hint="eastAsia"/>
          <w:lang w:eastAsia="ja-JP"/>
        </w:rPr>
        <w:t>, to be held on November 12, 2014,</w:t>
      </w:r>
      <w:r>
        <w:rPr>
          <w:rFonts w:hint="eastAsia"/>
          <w:lang w:eastAsia="ja-JP"/>
        </w:rPr>
        <w:t xml:space="preserve"> </w:t>
      </w:r>
      <w:r w:rsidR="00F546C0">
        <w:rPr>
          <w:rFonts w:hint="eastAsia"/>
          <w:lang w:eastAsia="ja-JP"/>
        </w:rPr>
        <w:t>i</w:t>
      </w:r>
      <w:r>
        <w:rPr>
          <w:rFonts w:hint="eastAsia"/>
          <w:lang w:eastAsia="ja-JP"/>
        </w:rPr>
        <w:t>s as follows:</w:t>
      </w:r>
    </w:p>
    <w:p w:rsidR="00E033B1" w:rsidRDefault="00E033B1" w:rsidP="00F230D0">
      <w:pPr>
        <w:rPr>
          <w:lang w:eastAsia="ja-JP"/>
        </w:rPr>
      </w:pPr>
    </w:p>
    <w:p w:rsidR="00E033B1" w:rsidRPr="00E13522" w:rsidRDefault="00E033B1" w:rsidP="00E033B1">
      <w:pPr>
        <w:autoSpaceDE w:val="0"/>
        <w:autoSpaceDN w:val="0"/>
        <w:adjustRightInd w:val="0"/>
        <w:ind w:firstLine="567"/>
        <w:rPr>
          <w:rFonts w:cs="Arial"/>
        </w:rPr>
      </w:pPr>
      <w:r>
        <w:rPr>
          <w:rFonts w:cs="Arial"/>
        </w:rPr>
        <w:t>1.</w:t>
      </w:r>
      <w:r>
        <w:rPr>
          <w:rFonts w:cs="Arial"/>
        </w:rPr>
        <w:tab/>
      </w:r>
      <w:r w:rsidRPr="00E13522">
        <w:rPr>
          <w:rFonts w:cs="Arial"/>
        </w:rPr>
        <w:t>Welcome and opening</w:t>
      </w:r>
    </w:p>
    <w:p w:rsidR="00E033B1" w:rsidRDefault="00E033B1" w:rsidP="00E033B1">
      <w:pPr>
        <w:autoSpaceDE w:val="0"/>
        <w:autoSpaceDN w:val="0"/>
        <w:adjustRightInd w:val="0"/>
        <w:rPr>
          <w:rFonts w:cs="Arial"/>
          <w:lang w:eastAsia="ja-JP"/>
        </w:rPr>
      </w:pPr>
    </w:p>
    <w:p w:rsidR="00E460A3" w:rsidRDefault="00F3386F" w:rsidP="00BD0314">
      <w:pPr>
        <w:autoSpaceDE w:val="0"/>
        <w:autoSpaceDN w:val="0"/>
        <w:adjustRightInd w:val="0"/>
        <w:ind w:left="1134" w:hanging="567"/>
        <w:rPr>
          <w:rFonts w:cs="Arial"/>
          <w:lang w:eastAsia="ja-JP"/>
        </w:rPr>
      </w:pPr>
      <w:r>
        <w:rPr>
          <w:rFonts w:cs="Arial" w:hint="eastAsia"/>
          <w:lang w:eastAsia="ja-JP"/>
        </w:rPr>
        <w:t>2</w:t>
      </w:r>
      <w:r>
        <w:rPr>
          <w:rFonts w:cs="Arial"/>
        </w:rPr>
        <w:t>.</w:t>
      </w:r>
      <w:r>
        <w:rPr>
          <w:rFonts w:cs="Arial"/>
        </w:rPr>
        <w:tab/>
      </w:r>
      <w:r w:rsidR="00E033B1" w:rsidRPr="00E13522">
        <w:rPr>
          <w:rFonts w:cs="Arial"/>
        </w:rPr>
        <w:t>Introduction to the OECD Seed Schemes and the situation with regard to molecular</w:t>
      </w:r>
    </w:p>
    <w:p w:rsidR="00E033B1" w:rsidRPr="00E13522" w:rsidRDefault="00E033B1" w:rsidP="00BD0314">
      <w:pPr>
        <w:autoSpaceDE w:val="0"/>
        <w:autoSpaceDN w:val="0"/>
        <w:adjustRightInd w:val="0"/>
        <w:ind w:left="1134" w:hanging="567"/>
        <w:rPr>
          <w:rFonts w:cs="Arial"/>
        </w:rPr>
      </w:pPr>
      <w:r w:rsidRPr="00E13522">
        <w:rPr>
          <w:rFonts w:cs="Arial"/>
        </w:rPr>
        <w:t>techniques</w:t>
      </w:r>
    </w:p>
    <w:p w:rsidR="00E033B1" w:rsidRPr="00E13522" w:rsidRDefault="00E033B1" w:rsidP="00E033B1">
      <w:pPr>
        <w:autoSpaceDE w:val="0"/>
        <w:autoSpaceDN w:val="0"/>
        <w:adjustRightInd w:val="0"/>
        <w:rPr>
          <w:rFonts w:cs="Arial"/>
        </w:rPr>
      </w:pPr>
    </w:p>
    <w:p w:rsidR="00E033B1" w:rsidRPr="00E13522" w:rsidRDefault="00E033B1" w:rsidP="00E033B1">
      <w:pPr>
        <w:autoSpaceDE w:val="0"/>
        <w:autoSpaceDN w:val="0"/>
        <w:adjustRightInd w:val="0"/>
        <w:ind w:firstLine="567"/>
        <w:rPr>
          <w:rFonts w:cs="Arial"/>
        </w:rPr>
      </w:pPr>
      <w:r>
        <w:rPr>
          <w:rFonts w:cs="Arial"/>
        </w:rPr>
        <w:t>3.</w:t>
      </w:r>
      <w:r>
        <w:rPr>
          <w:rFonts w:cs="Arial"/>
        </w:rPr>
        <w:tab/>
      </w:r>
      <w:r w:rsidRPr="00E13522">
        <w:rPr>
          <w:rFonts w:cs="Arial"/>
        </w:rPr>
        <w:t>Introduction to UPOV and the situation with regard to molecular techniques</w:t>
      </w:r>
    </w:p>
    <w:p w:rsidR="00E033B1" w:rsidRDefault="00E033B1" w:rsidP="00E033B1">
      <w:pPr>
        <w:autoSpaceDE w:val="0"/>
        <w:autoSpaceDN w:val="0"/>
        <w:adjustRightInd w:val="0"/>
        <w:rPr>
          <w:rFonts w:cs="Arial"/>
          <w:lang w:eastAsia="ja-JP"/>
        </w:rPr>
      </w:pPr>
    </w:p>
    <w:p w:rsidR="00E033B1" w:rsidRPr="00E13522" w:rsidRDefault="00E033B1" w:rsidP="00E033B1">
      <w:pPr>
        <w:autoSpaceDE w:val="0"/>
        <w:autoSpaceDN w:val="0"/>
        <w:adjustRightInd w:val="0"/>
        <w:ind w:firstLine="567"/>
        <w:rPr>
          <w:rFonts w:cs="Arial"/>
        </w:rPr>
      </w:pPr>
      <w:r>
        <w:rPr>
          <w:rFonts w:cs="Arial" w:hint="eastAsia"/>
          <w:lang w:eastAsia="ja-JP"/>
        </w:rPr>
        <w:t>4</w:t>
      </w:r>
      <w:r>
        <w:rPr>
          <w:rFonts w:cs="Arial"/>
        </w:rPr>
        <w:t>.</w:t>
      </w:r>
      <w:r>
        <w:rPr>
          <w:rFonts w:cs="Arial"/>
        </w:rPr>
        <w:tab/>
        <w:t>Introduction to IS</w:t>
      </w:r>
      <w:r>
        <w:rPr>
          <w:rFonts w:cs="Arial" w:hint="eastAsia"/>
          <w:lang w:eastAsia="ja-JP"/>
        </w:rPr>
        <w:t>TA</w:t>
      </w:r>
      <w:r w:rsidRPr="00E13522">
        <w:rPr>
          <w:rFonts w:cs="Arial"/>
        </w:rPr>
        <w:t xml:space="preserve"> and the situation with regard to molecular techniques</w:t>
      </w:r>
    </w:p>
    <w:p w:rsidR="00E033B1" w:rsidRPr="00E13522" w:rsidRDefault="00E033B1" w:rsidP="00E033B1">
      <w:pPr>
        <w:autoSpaceDE w:val="0"/>
        <w:autoSpaceDN w:val="0"/>
        <w:adjustRightInd w:val="0"/>
        <w:rPr>
          <w:rFonts w:cs="Arial"/>
          <w:lang w:eastAsia="ja-JP"/>
        </w:rPr>
      </w:pPr>
      <w:r>
        <w:rPr>
          <w:rFonts w:cs="Arial" w:hint="eastAsia"/>
          <w:lang w:eastAsia="ja-JP"/>
        </w:rPr>
        <w:tab/>
      </w:r>
    </w:p>
    <w:p w:rsidR="00E033B1" w:rsidRDefault="00E033B1" w:rsidP="00E033B1">
      <w:pPr>
        <w:autoSpaceDE w:val="0"/>
        <w:autoSpaceDN w:val="0"/>
        <w:adjustRightInd w:val="0"/>
        <w:ind w:firstLine="567"/>
        <w:rPr>
          <w:rFonts w:cs="Arial"/>
          <w:lang w:eastAsia="ja-JP"/>
        </w:rPr>
      </w:pPr>
      <w:r>
        <w:rPr>
          <w:rFonts w:cs="Arial" w:hint="eastAsia"/>
          <w:lang w:eastAsia="ja-JP"/>
        </w:rPr>
        <w:t>5.</w:t>
      </w:r>
      <w:r w:rsidRPr="00E75FF9">
        <w:rPr>
          <w:rFonts w:cs="Arial"/>
        </w:rPr>
        <w:t xml:space="preserve"> </w:t>
      </w:r>
      <w:r>
        <w:rPr>
          <w:rFonts w:cs="Arial" w:hint="eastAsia"/>
          <w:lang w:eastAsia="ja-JP"/>
        </w:rPr>
        <w:tab/>
      </w:r>
      <w:r>
        <w:rPr>
          <w:rFonts w:cs="Arial"/>
        </w:rPr>
        <w:t>Introduction to IS</w:t>
      </w:r>
      <w:r>
        <w:rPr>
          <w:rFonts w:cs="Arial" w:hint="eastAsia"/>
          <w:lang w:eastAsia="ja-JP"/>
        </w:rPr>
        <w:t>O</w:t>
      </w:r>
      <w:r w:rsidRPr="00E13522">
        <w:rPr>
          <w:rFonts w:cs="Arial"/>
        </w:rPr>
        <w:t xml:space="preserve"> and the situation with regard to molecular techniques</w:t>
      </w:r>
    </w:p>
    <w:p w:rsidR="00E033B1" w:rsidRPr="00E13522" w:rsidRDefault="00E033B1" w:rsidP="00E033B1">
      <w:pPr>
        <w:autoSpaceDE w:val="0"/>
        <w:autoSpaceDN w:val="0"/>
        <w:adjustRightInd w:val="0"/>
        <w:rPr>
          <w:rFonts w:cs="Arial"/>
          <w:lang w:eastAsia="ja-JP"/>
        </w:rPr>
      </w:pPr>
    </w:p>
    <w:p w:rsidR="00E033B1" w:rsidRPr="00E13522" w:rsidRDefault="00E033B1" w:rsidP="00E033B1">
      <w:pPr>
        <w:autoSpaceDE w:val="0"/>
        <w:autoSpaceDN w:val="0"/>
        <w:adjustRightInd w:val="0"/>
        <w:ind w:firstLine="567"/>
        <w:rPr>
          <w:rFonts w:cs="Arial"/>
          <w:lang w:eastAsia="ja-JP"/>
        </w:rPr>
      </w:pPr>
      <w:r>
        <w:rPr>
          <w:rFonts w:cs="Arial" w:hint="eastAsia"/>
          <w:lang w:eastAsia="ja-JP"/>
        </w:rPr>
        <w:t>6</w:t>
      </w:r>
      <w:r>
        <w:rPr>
          <w:rFonts w:cs="Arial"/>
        </w:rPr>
        <w:t>.</w:t>
      </w:r>
      <w:r>
        <w:rPr>
          <w:rFonts w:cs="Arial"/>
        </w:rPr>
        <w:tab/>
      </w:r>
      <w:r w:rsidRPr="00E13522">
        <w:rPr>
          <w:rFonts w:cs="Arial"/>
        </w:rPr>
        <w:t>Existing areas of cooperation between OECD, UPOV and ISTA</w:t>
      </w:r>
    </w:p>
    <w:p w:rsidR="00E033B1" w:rsidRPr="00E13522" w:rsidRDefault="00E033B1" w:rsidP="00E033B1">
      <w:pPr>
        <w:autoSpaceDE w:val="0"/>
        <w:autoSpaceDN w:val="0"/>
        <w:adjustRightInd w:val="0"/>
        <w:rPr>
          <w:rFonts w:cs="Arial"/>
        </w:rPr>
      </w:pPr>
    </w:p>
    <w:p w:rsidR="00E460A3" w:rsidRDefault="00E033B1" w:rsidP="00BD0314">
      <w:pPr>
        <w:autoSpaceDE w:val="0"/>
        <w:autoSpaceDN w:val="0"/>
        <w:adjustRightInd w:val="0"/>
        <w:ind w:left="1134" w:hanging="567"/>
        <w:rPr>
          <w:rFonts w:cs="Arial"/>
        </w:rPr>
      </w:pPr>
      <w:r>
        <w:rPr>
          <w:rFonts w:cs="Arial" w:hint="eastAsia"/>
          <w:lang w:eastAsia="ja-JP"/>
        </w:rPr>
        <w:t>7</w:t>
      </w:r>
      <w:r>
        <w:rPr>
          <w:rFonts w:cs="Arial"/>
        </w:rPr>
        <w:t>.</w:t>
      </w:r>
      <w:r>
        <w:rPr>
          <w:rFonts w:cs="Arial"/>
        </w:rPr>
        <w:tab/>
      </w:r>
      <w:r w:rsidRPr="00E13522">
        <w:rPr>
          <w:rFonts w:cs="Arial"/>
        </w:rPr>
        <w:t>Opportunities for cooperation between OECD, UPOV</w:t>
      </w:r>
      <w:r>
        <w:rPr>
          <w:rFonts w:cs="Arial" w:hint="eastAsia"/>
          <w:lang w:eastAsia="ja-JP"/>
        </w:rPr>
        <w:t>,</w:t>
      </w:r>
      <w:r w:rsidRPr="00E13522">
        <w:rPr>
          <w:rFonts w:cs="Arial"/>
        </w:rPr>
        <w:t xml:space="preserve"> </w:t>
      </w:r>
      <w:r>
        <w:rPr>
          <w:rFonts w:cs="Arial" w:hint="eastAsia"/>
          <w:lang w:eastAsia="ja-JP"/>
        </w:rPr>
        <w:t xml:space="preserve">ISO </w:t>
      </w:r>
      <w:r w:rsidR="00E460A3">
        <w:rPr>
          <w:rFonts w:cs="Arial"/>
        </w:rPr>
        <w:t>and ISTA with regard to</w:t>
      </w:r>
    </w:p>
    <w:p w:rsidR="00E033B1" w:rsidRPr="00E13522" w:rsidRDefault="00E033B1" w:rsidP="00BD0314">
      <w:pPr>
        <w:autoSpaceDE w:val="0"/>
        <w:autoSpaceDN w:val="0"/>
        <w:adjustRightInd w:val="0"/>
        <w:ind w:left="1134" w:hanging="567"/>
        <w:rPr>
          <w:rFonts w:cs="Arial"/>
        </w:rPr>
      </w:pPr>
      <w:r w:rsidRPr="00E13522">
        <w:rPr>
          <w:rFonts w:cs="Arial"/>
        </w:rPr>
        <w:t>molecular techniques (Discussion)</w:t>
      </w:r>
    </w:p>
    <w:p w:rsidR="00E033B1" w:rsidRPr="00E13522" w:rsidRDefault="00E033B1" w:rsidP="00E033B1">
      <w:pPr>
        <w:tabs>
          <w:tab w:val="left" w:pos="7938"/>
          <w:tab w:val="right" w:pos="8505"/>
        </w:tabs>
        <w:rPr>
          <w:rFonts w:cs="Arial"/>
        </w:rPr>
      </w:pPr>
    </w:p>
    <w:p w:rsidR="00E033B1" w:rsidRDefault="00E033B1" w:rsidP="00E033B1">
      <w:pPr>
        <w:ind w:firstLine="567"/>
        <w:rPr>
          <w:snapToGrid w:val="0"/>
        </w:rPr>
      </w:pPr>
      <w:r>
        <w:rPr>
          <w:rFonts w:hint="eastAsia"/>
          <w:lang w:eastAsia="ja-JP"/>
        </w:rPr>
        <w:t>8</w:t>
      </w:r>
      <w:r>
        <w:t>.</w:t>
      </w:r>
      <w:r>
        <w:tab/>
      </w:r>
      <w:r w:rsidRPr="00E13522">
        <w:t>Closing</w:t>
      </w:r>
    </w:p>
    <w:p w:rsidR="000D33F5" w:rsidRDefault="000D33F5" w:rsidP="00F230D0">
      <w:pPr>
        <w:rPr>
          <w:rFonts w:eastAsia="MS Mincho"/>
          <w:snapToGrid w:val="0"/>
          <w:lang w:eastAsia="ja-JP"/>
        </w:rPr>
      </w:pPr>
    </w:p>
    <w:p w:rsidR="000D33F5" w:rsidRDefault="000D33F5" w:rsidP="00F230D0">
      <w:pPr>
        <w:rPr>
          <w:rFonts w:eastAsia="MS Mincho"/>
          <w:snapToGrid w:val="0"/>
          <w:lang w:eastAsia="ja-JP"/>
        </w:rPr>
      </w:pPr>
      <w:bookmarkStart w:id="5" w:name="_GoBack"/>
      <w:bookmarkEnd w:id="5"/>
    </w:p>
    <w:p w:rsidR="000D33F5" w:rsidRDefault="000D33F5" w:rsidP="000D33F5">
      <w:pPr>
        <w:jc w:val="right"/>
        <w:rPr>
          <w:lang w:eastAsia="ja-JP"/>
        </w:rPr>
        <w:sectPr w:rsidR="000D33F5" w:rsidSect="008953FB">
          <w:headerReference w:type="default" r:id="rId11"/>
          <w:pgSz w:w="11907" w:h="16840" w:code="9"/>
          <w:pgMar w:top="510" w:right="1647" w:bottom="1134" w:left="1134" w:header="510" w:footer="680" w:gutter="0"/>
          <w:cols w:space="720"/>
          <w:titlePg/>
          <w:docGrid w:linePitch="272"/>
        </w:sectPr>
      </w:pPr>
      <w:r>
        <w:rPr>
          <w:rFonts w:hint="eastAsia"/>
          <w:lang w:eastAsia="ja-JP"/>
        </w:rPr>
        <w:t>[Annex follows]</w:t>
      </w:r>
    </w:p>
    <w:p w:rsidR="00A75C5B" w:rsidRPr="007C25BD" w:rsidRDefault="00A75C5B" w:rsidP="00A75C5B">
      <w:pPr>
        <w:spacing w:before="60" w:after="120"/>
        <w:jc w:val="center"/>
      </w:pPr>
      <w:r w:rsidRPr="007C25BD">
        <w:lastRenderedPageBreak/>
        <w:t xml:space="preserve">ROLE OF THE WORKING GROUP ON BIOCHEMICAL AND MOLECULAR TECHNIQUES, </w:t>
      </w:r>
      <w:r w:rsidRPr="007C25BD">
        <w:br/>
        <w:t>AND DNA-PROFILING IN PARTICULAR (BMT)</w:t>
      </w:r>
    </w:p>
    <w:p w:rsidR="00A75C5B" w:rsidRPr="007C25BD" w:rsidRDefault="00A75C5B" w:rsidP="00A75C5B">
      <w:pPr>
        <w:spacing w:before="60" w:after="120"/>
        <w:jc w:val="center"/>
        <w:rPr>
          <w:i/>
        </w:rPr>
      </w:pPr>
      <w:r w:rsidRPr="007C25BD">
        <w:rPr>
          <w:i/>
        </w:rPr>
        <w:t>(</w:t>
      </w:r>
      <w:proofErr w:type="gramStart"/>
      <w:r w:rsidRPr="007C25BD">
        <w:rPr>
          <w:i/>
        </w:rPr>
        <w:t>as</w:t>
      </w:r>
      <w:proofErr w:type="gramEnd"/>
      <w:r w:rsidRPr="007C25BD">
        <w:rPr>
          <w:i/>
        </w:rPr>
        <w:t xml:space="preserve"> agreed by the Technical Committee at its thirty-eighth session, held in Geneva, </w:t>
      </w:r>
      <w:r w:rsidRPr="007C25BD">
        <w:rPr>
          <w:i/>
        </w:rPr>
        <w:br/>
        <w:t>from April 15 to 17, 2002 (see document TC/38/16, paragraph 204))</w:t>
      </w:r>
    </w:p>
    <w:p w:rsidR="00A75C5B" w:rsidRPr="007C25BD" w:rsidRDefault="00A75C5B" w:rsidP="00A75C5B">
      <w:pPr>
        <w:spacing w:before="60" w:after="60"/>
      </w:pPr>
    </w:p>
    <w:p w:rsidR="00A75C5B" w:rsidRPr="007C25BD" w:rsidRDefault="00A75C5B" w:rsidP="00A75C5B">
      <w:pPr>
        <w:spacing w:before="60" w:after="60"/>
      </w:pPr>
      <w:r w:rsidRPr="007C25BD">
        <w:t>The BMT is a group open to DUS experts, biochemical and molecular specialists and plant breeders, whose role is to:</w:t>
      </w:r>
    </w:p>
    <w:p w:rsidR="00A75C5B" w:rsidRPr="007C25BD" w:rsidRDefault="00A75C5B" w:rsidP="00A75C5B">
      <w:pPr>
        <w:spacing w:before="60" w:after="60"/>
      </w:pPr>
    </w:p>
    <w:p w:rsidR="00A75C5B" w:rsidRPr="007C25BD" w:rsidRDefault="00A75C5B" w:rsidP="00A75C5B">
      <w:pPr>
        <w:pStyle w:val="ListParagraph"/>
        <w:numPr>
          <w:ilvl w:val="0"/>
          <w:numId w:val="2"/>
        </w:numPr>
        <w:tabs>
          <w:tab w:val="left" w:pos="1134"/>
        </w:tabs>
        <w:spacing w:before="60" w:after="60"/>
        <w:ind w:left="1134" w:hanging="708"/>
      </w:pPr>
      <w:r w:rsidRPr="007C25BD">
        <w:t>Review general developments in biochemical and molecular techniques;</w:t>
      </w:r>
    </w:p>
    <w:p w:rsidR="00A75C5B" w:rsidRPr="007C25BD" w:rsidRDefault="00A75C5B" w:rsidP="00A75C5B">
      <w:pPr>
        <w:pStyle w:val="ListParagraph"/>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A75C5B" w:rsidRPr="007C25BD" w:rsidRDefault="00A75C5B" w:rsidP="00A75C5B">
      <w:pPr>
        <w:pStyle w:val="ListParagraph"/>
        <w:tabs>
          <w:tab w:val="left" w:pos="1134"/>
        </w:tabs>
        <w:ind w:left="1134" w:hanging="708"/>
      </w:pPr>
    </w:p>
    <w:p w:rsidR="00A75C5B" w:rsidRPr="007C25BD" w:rsidRDefault="00A75C5B" w:rsidP="00A75C5B">
      <w:pPr>
        <w:pStyle w:val="ListParagraph"/>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A75C5B" w:rsidRPr="007C25BD" w:rsidRDefault="00A75C5B" w:rsidP="00A75C5B">
      <w:pPr>
        <w:pStyle w:val="ListParagraph"/>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A75C5B" w:rsidRPr="007C25BD" w:rsidRDefault="00A75C5B" w:rsidP="00A75C5B">
      <w:pPr>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A75C5B" w:rsidRPr="007C25BD" w:rsidRDefault="00A75C5B" w:rsidP="00A75C5B">
      <w:pPr>
        <w:pStyle w:val="ListParagraph"/>
        <w:tabs>
          <w:tab w:val="left" w:pos="1134"/>
        </w:tabs>
        <w:ind w:left="1134" w:hanging="708"/>
      </w:pPr>
    </w:p>
    <w:p w:rsidR="00A75C5B" w:rsidRPr="007C25BD" w:rsidRDefault="00A75C5B" w:rsidP="00A75C5B">
      <w:pPr>
        <w:pStyle w:val="ListParagraph"/>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A75C5B" w:rsidRPr="007C25BD" w:rsidRDefault="00A75C5B" w:rsidP="00A75C5B">
      <w:pPr>
        <w:pStyle w:val="ListParagraph"/>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Receive reports from Crop Subgroups and the BMT Review Group;</w:t>
      </w:r>
    </w:p>
    <w:p w:rsidR="00A75C5B" w:rsidRPr="007C25BD" w:rsidRDefault="00A75C5B" w:rsidP="00A75C5B">
      <w:pPr>
        <w:tabs>
          <w:tab w:val="left" w:pos="1134"/>
        </w:tabs>
        <w:spacing w:before="60" w:after="60"/>
        <w:ind w:left="1134" w:hanging="708"/>
      </w:pPr>
    </w:p>
    <w:p w:rsidR="00A75C5B" w:rsidRPr="007C25BD" w:rsidRDefault="00A75C5B" w:rsidP="00A75C5B">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A75C5B" w:rsidRPr="007C25BD" w:rsidRDefault="00A75C5B" w:rsidP="00A75C5B"/>
    <w:p w:rsidR="000D33F5" w:rsidRDefault="000D33F5" w:rsidP="00F230D0">
      <w:pPr>
        <w:rPr>
          <w:lang w:eastAsia="ja-JP"/>
        </w:rPr>
      </w:pPr>
    </w:p>
    <w:p w:rsidR="00050E16" w:rsidRPr="00B076BF" w:rsidRDefault="00F230D0" w:rsidP="00477345">
      <w:pPr>
        <w:pStyle w:val="endofdoc"/>
        <w:rPr>
          <w:rFonts w:cs="Arial"/>
        </w:rPr>
      </w:pPr>
      <w:r w:rsidRPr="00B076BF">
        <w:rPr>
          <w:rFonts w:cs="Arial"/>
        </w:rPr>
        <w:t xml:space="preserve"> </w:t>
      </w:r>
      <w:r w:rsidR="001D5E40" w:rsidRPr="00B076BF">
        <w:rPr>
          <w:rFonts w:cs="Arial"/>
        </w:rPr>
        <w:t>[</w:t>
      </w:r>
      <w:r w:rsidR="003F34A5">
        <w:rPr>
          <w:rFonts w:cs="Arial" w:hint="eastAsia"/>
          <w:lang w:eastAsia="ja-JP"/>
        </w:rPr>
        <w:t xml:space="preserve">End of </w:t>
      </w:r>
      <w:r w:rsidR="000D33F5">
        <w:rPr>
          <w:rFonts w:cs="Arial" w:hint="eastAsia"/>
          <w:lang w:eastAsia="ja-JP"/>
        </w:rPr>
        <w:t xml:space="preserve">Annex and of </w:t>
      </w:r>
      <w:r w:rsidR="003F34A5">
        <w:rPr>
          <w:rFonts w:cs="Arial" w:hint="eastAsia"/>
          <w:lang w:eastAsia="ja-JP"/>
        </w:rPr>
        <w:t>document</w:t>
      </w:r>
      <w:r w:rsidR="00477345" w:rsidRPr="00B076BF">
        <w:rPr>
          <w:rFonts w:cs="Arial"/>
        </w:rPr>
        <w:t>]</w:t>
      </w:r>
    </w:p>
    <w:p w:rsidR="00B24E19" w:rsidRDefault="00B24E19" w:rsidP="00093F0C">
      <w:pPr>
        <w:ind w:right="400"/>
        <w:rPr>
          <w:snapToGrid w:val="0"/>
          <w:lang w:eastAsia="ja-JP"/>
        </w:rPr>
      </w:pPr>
    </w:p>
    <w:p w:rsidR="003F34A5" w:rsidRDefault="003F34A5" w:rsidP="00093F0C">
      <w:pPr>
        <w:ind w:right="400"/>
        <w:rPr>
          <w:snapToGrid w:val="0"/>
          <w:lang w:eastAsia="ja-JP"/>
        </w:rPr>
      </w:pPr>
    </w:p>
    <w:p w:rsidR="003F34A5" w:rsidRDefault="003F34A5" w:rsidP="00093F0C">
      <w:pPr>
        <w:ind w:right="400"/>
        <w:rPr>
          <w:snapToGrid w:val="0"/>
          <w:lang w:eastAsia="ja-JP"/>
        </w:rPr>
      </w:pPr>
    </w:p>
    <w:sectPr w:rsidR="003F34A5" w:rsidSect="000D33F5">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6C" w:rsidRDefault="00EB336C">
    <w:pPr>
      <w:pStyle w:val="Header"/>
    </w:pPr>
    <w:r>
      <w:t>BMT/14/3</w:t>
    </w:r>
  </w:p>
  <w:p w:rsidR="00EB336C" w:rsidRDefault="00EB336C">
    <w:pPr>
      <w:pStyle w:val="Header"/>
    </w:pPr>
    <w:proofErr w:type="gramStart"/>
    <w:r>
      <w:t>page</w:t>
    </w:r>
    <w:proofErr w:type="gramEnd"/>
    <w:r>
      <w:t xml:space="preserve"> </w:t>
    </w:r>
    <w:sdt>
      <w:sdtPr>
        <w:id w:val="-1049215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460A3">
          <w:rPr>
            <w:noProof/>
          </w:rPr>
          <w:t>3</w:t>
        </w:r>
        <w:r>
          <w:rPr>
            <w:noProof/>
          </w:rPr>
          <w:fldChar w:fldCharType="end"/>
        </w:r>
      </w:sdtContent>
    </w:sdt>
  </w:p>
  <w:p w:rsidR="00EB336C" w:rsidRDefault="00EB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98471"/>
      <w:docPartObj>
        <w:docPartGallery w:val="Page Numbers (Top of Page)"/>
        <w:docPartUnique/>
      </w:docPartObj>
    </w:sdtPr>
    <w:sdtEndPr>
      <w:rPr>
        <w:noProof/>
      </w:rPr>
    </w:sdtEndPr>
    <w:sdtContent>
      <w:p w:rsidR="000D33F5" w:rsidRDefault="000D33F5">
        <w:pPr>
          <w:pStyle w:val="Header"/>
          <w:rPr>
            <w:lang w:eastAsia="ja-JP"/>
          </w:rPr>
        </w:pPr>
        <w:r>
          <w:rPr>
            <w:rFonts w:hint="eastAsia"/>
            <w:lang w:eastAsia="ja-JP"/>
          </w:rPr>
          <w:t>BMT/14/4</w:t>
        </w:r>
      </w:p>
      <w:p w:rsidR="000D33F5" w:rsidRDefault="000D33F5">
        <w:pPr>
          <w:pStyle w:val="Header"/>
          <w:rPr>
            <w:lang w:eastAsia="ja-JP"/>
          </w:rPr>
        </w:pPr>
      </w:p>
      <w:p w:rsidR="000D33F5" w:rsidRDefault="000D33F5">
        <w:pPr>
          <w:pStyle w:val="Header"/>
        </w:pPr>
        <w:r>
          <w:rPr>
            <w:rFonts w:hint="eastAsia"/>
            <w:lang w:eastAsia="ja-JP"/>
          </w:rPr>
          <w:t>ANNEX</w:t>
        </w:r>
      </w:p>
    </w:sdtContent>
  </w:sdt>
  <w:p w:rsidR="000D33F5" w:rsidRDefault="000D33F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34756"/>
    <w:multiLevelType w:val="hybridMultilevel"/>
    <w:tmpl w:val="C784B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33F5"/>
    <w:rsid w:val="000D6BBC"/>
    <w:rsid w:val="000D7780"/>
    <w:rsid w:val="000F1D05"/>
    <w:rsid w:val="000F2F11"/>
    <w:rsid w:val="000F7E6A"/>
    <w:rsid w:val="00105929"/>
    <w:rsid w:val="001131D5"/>
    <w:rsid w:val="001167A0"/>
    <w:rsid w:val="00131F3B"/>
    <w:rsid w:val="00137D62"/>
    <w:rsid w:val="00141DB8"/>
    <w:rsid w:val="001446EB"/>
    <w:rsid w:val="001537DF"/>
    <w:rsid w:val="00157DF4"/>
    <w:rsid w:val="00166F0F"/>
    <w:rsid w:val="0017474A"/>
    <w:rsid w:val="001758C6"/>
    <w:rsid w:val="00182701"/>
    <w:rsid w:val="00182B99"/>
    <w:rsid w:val="00182CF6"/>
    <w:rsid w:val="00195A44"/>
    <w:rsid w:val="00197805"/>
    <w:rsid w:val="001B036B"/>
    <w:rsid w:val="001B12AB"/>
    <w:rsid w:val="001D3B2E"/>
    <w:rsid w:val="001D5E40"/>
    <w:rsid w:val="001E32F0"/>
    <w:rsid w:val="001E6801"/>
    <w:rsid w:val="001F0CA4"/>
    <w:rsid w:val="001F1E4C"/>
    <w:rsid w:val="0021332C"/>
    <w:rsid w:val="00213982"/>
    <w:rsid w:val="00220FEE"/>
    <w:rsid w:val="00226318"/>
    <w:rsid w:val="00226590"/>
    <w:rsid w:val="00233C64"/>
    <w:rsid w:val="0024416D"/>
    <w:rsid w:val="002714FE"/>
    <w:rsid w:val="00271911"/>
    <w:rsid w:val="00275B4D"/>
    <w:rsid w:val="002800A0"/>
    <w:rsid w:val="002801B3"/>
    <w:rsid w:val="00281060"/>
    <w:rsid w:val="0028461D"/>
    <w:rsid w:val="0029409E"/>
    <w:rsid w:val="002940E8"/>
    <w:rsid w:val="002A4DC8"/>
    <w:rsid w:val="002A6275"/>
    <w:rsid w:val="002A6E50"/>
    <w:rsid w:val="002B39B1"/>
    <w:rsid w:val="002C256A"/>
    <w:rsid w:val="002D7F83"/>
    <w:rsid w:val="002F1823"/>
    <w:rsid w:val="002F749F"/>
    <w:rsid w:val="00305A7F"/>
    <w:rsid w:val="00307E60"/>
    <w:rsid w:val="00310440"/>
    <w:rsid w:val="00313148"/>
    <w:rsid w:val="003152FE"/>
    <w:rsid w:val="00327436"/>
    <w:rsid w:val="00334714"/>
    <w:rsid w:val="00341943"/>
    <w:rsid w:val="00344BD6"/>
    <w:rsid w:val="0035528D"/>
    <w:rsid w:val="00361821"/>
    <w:rsid w:val="00362C4E"/>
    <w:rsid w:val="003D227C"/>
    <w:rsid w:val="003D2B4D"/>
    <w:rsid w:val="003D3284"/>
    <w:rsid w:val="003D3BC8"/>
    <w:rsid w:val="003D58ED"/>
    <w:rsid w:val="003D6C70"/>
    <w:rsid w:val="003F34A5"/>
    <w:rsid w:val="0041245D"/>
    <w:rsid w:val="00416A53"/>
    <w:rsid w:val="00417C69"/>
    <w:rsid w:val="00444A88"/>
    <w:rsid w:val="004512FF"/>
    <w:rsid w:val="0045470D"/>
    <w:rsid w:val="00474386"/>
    <w:rsid w:val="00474DA4"/>
    <w:rsid w:val="00476B4D"/>
    <w:rsid w:val="00477345"/>
    <w:rsid w:val="004803BB"/>
    <w:rsid w:val="004805FA"/>
    <w:rsid w:val="004977E9"/>
    <w:rsid w:val="004C7C85"/>
    <w:rsid w:val="004D047D"/>
    <w:rsid w:val="004F305A"/>
    <w:rsid w:val="00502EAC"/>
    <w:rsid w:val="00505459"/>
    <w:rsid w:val="00512164"/>
    <w:rsid w:val="00520297"/>
    <w:rsid w:val="005232D5"/>
    <w:rsid w:val="005245AD"/>
    <w:rsid w:val="00524762"/>
    <w:rsid w:val="005338F9"/>
    <w:rsid w:val="00535D58"/>
    <w:rsid w:val="005400F9"/>
    <w:rsid w:val="0054281C"/>
    <w:rsid w:val="0054520C"/>
    <w:rsid w:val="0055268D"/>
    <w:rsid w:val="00576BE4"/>
    <w:rsid w:val="00582380"/>
    <w:rsid w:val="005A400A"/>
    <w:rsid w:val="005A554E"/>
    <w:rsid w:val="005B680C"/>
    <w:rsid w:val="005C5272"/>
    <w:rsid w:val="005C5B75"/>
    <w:rsid w:val="005E590E"/>
    <w:rsid w:val="005F39AC"/>
    <w:rsid w:val="00604DCD"/>
    <w:rsid w:val="00605226"/>
    <w:rsid w:val="00612379"/>
    <w:rsid w:val="00612C69"/>
    <w:rsid w:val="0061555F"/>
    <w:rsid w:val="00621527"/>
    <w:rsid w:val="00624E83"/>
    <w:rsid w:val="0063139E"/>
    <w:rsid w:val="0063243A"/>
    <w:rsid w:val="00633EA9"/>
    <w:rsid w:val="00641200"/>
    <w:rsid w:val="006445EE"/>
    <w:rsid w:val="00663A71"/>
    <w:rsid w:val="006655D3"/>
    <w:rsid w:val="00667404"/>
    <w:rsid w:val="00676DFD"/>
    <w:rsid w:val="00684AF0"/>
    <w:rsid w:val="006850EB"/>
    <w:rsid w:val="00687EB4"/>
    <w:rsid w:val="006914F1"/>
    <w:rsid w:val="00695E6A"/>
    <w:rsid w:val="006A4111"/>
    <w:rsid w:val="006A561F"/>
    <w:rsid w:val="006B17D2"/>
    <w:rsid w:val="006B3AEF"/>
    <w:rsid w:val="006C19F9"/>
    <w:rsid w:val="006C224E"/>
    <w:rsid w:val="006D780A"/>
    <w:rsid w:val="006E737F"/>
    <w:rsid w:val="006F22E1"/>
    <w:rsid w:val="006F551D"/>
    <w:rsid w:val="00732DEC"/>
    <w:rsid w:val="00735BD5"/>
    <w:rsid w:val="007473D2"/>
    <w:rsid w:val="007556F6"/>
    <w:rsid w:val="00760EEF"/>
    <w:rsid w:val="00765973"/>
    <w:rsid w:val="00776750"/>
    <w:rsid w:val="00777EE5"/>
    <w:rsid w:val="00784836"/>
    <w:rsid w:val="00787DEF"/>
    <w:rsid w:val="0079023E"/>
    <w:rsid w:val="0079128B"/>
    <w:rsid w:val="007A2854"/>
    <w:rsid w:val="007C25BD"/>
    <w:rsid w:val="007D0B9D"/>
    <w:rsid w:val="007D19B0"/>
    <w:rsid w:val="007F2F9C"/>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41AAB"/>
    <w:rsid w:val="00854C32"/>
    <w:rsid w:val="00863113"/>
    <w:rsid w:val="00864FB2"/>
    <w:rsid w:val="00867AC1"/>
    <w:rsid w:val="0087191B"/>
    <w:rsid w:val="00876B8F"/>
    <w:rsid w:val="008841D9"/>
    <w:rsid w:val="008929D6"/>
    <w:rsid w:val="008953FB"/>
    <w:rsid w:val="00895F99"/>
    <w:rsid w:val="008A743F"/>
    <w:rsid w:val="008A75D6"/>
    <w:rsid w:val="008C0970"/>
    <w:rsid w:val="008C2044"/>
    <w:rsid w:val="008D2CF7"/>
    <w:rsid w:val="008E5807"/>
    <w:rsid w:val="00900C26"/>
    <w:rsid w:val="0090197F"/>
    <w:rsid w:val="00903FAE"/>
    <w:rsid w:val="00906DDC"/>
    <w:rsid w:val="009222AB"/>
    <w:rsid w:val="00934E09"/>
    <w:rsid w:val="00936253"/>
    <w:rsid w:val="00944D1B"/>
    <w:rsid w:val="00952DD4"/>
    <w:rsid w:val="00954973"/>
    <w:rsid w:val="00970FED"/>
    <w:rsid w:val="009739C6"/>
    <w:rsid w:val="00992D82"/>
    <w:rsid w:val="00997029"/>
    <w:rsid w:val="009A4635"/>
    <w:rsid w:val="009C0B58"/>
    <w:rsid w:val="009C1286"/>
    <w:rsid w:val="009C51B2"/>
    <w:rsid w:val="009D690D"/>
    <w:rsid w:val="009E65B6"/>
    <w:rsid w:val="009F60CA"/>
    <w:rsid w:val="00A03296"/>
    <w:rsid w:val="00A03648"/>
    <w:rsid w:val="00A05D8B"/>
    <w:rsid w:val="00A063D7"/>
    <w:rsid w:val="00A24C10"/>
    <w:rsid w:val="00A42AC3"/>
    <w:rsid w:val="00A430CF"/>
    <w:rsid w:val="00A45FFC"/>
    <w:rsid w:val="00A53CDD"/>
    <w:rsid w:val="00A54309"/>
    <w:rsid w:val="00A6084F"/>
    <w:rsid w:val="00A637AE"/>
    <w:rsid w:val="00A75C5B"/>
    <w:rsid w:val="00A8342C"/>
    <w:rsid w:val="00A920F6"/>
    <w:rsid w:val="00AB2812"/>
    <w:rsid w:val="00AB2B93"/>
    <w:rsid w:val="00AB530F"/>
    <w:rsid w:val="00AB6523"/>
    <w:rsid w:val="00AB7A97"/>
    <w:rsid w:val="00AB7E5B"/>
    <w:rsid w:val="00AD54CD"/>
    <w:rsid w:val="00AE09DF"/>
    <w:rsid w:val="00AE0EF1"/>
    <w:rsid w:val="00AE2937"/>
    <w:rsid w:val="00AE48EB"/>
    <w:rsid w:val="00AF2367"/>
    <w:rsid w:val="00B07301"/>
    <w:rsid w:val="00B076BF"/>
    <w:rsid w:val="00B20E48"/>
    <w:rsid w:val="00B21DDB"/>
    <w:rsid w:val="00B224DE"/>
    <w:rsid w:val="00B24E19"/>
    <w:rsid w:val="00B35F35"/>
    <w:rsid w:val="00B46575"/>
    <w:rsid w:val="00B62A42"/>
    <w:rsid w:val="00B64447"/>
    <w:rsid w:val="00B84BBD"/>
    <w:rsid w:val="00BA07CF"/>
    <w:rsid w:val="00BA43FB"/>
    <w:rsid w:val="00BC127D"/>
    <w:rsid w:val="00BC1FE6"/>
    <w:rsid w:val="00BD0314"/>
    <w:rsid w:val="00BD72F8"/>
    <w:rsid w:val="00BE0177"/>
    <w:rsid w:val="00BE7A5A"/>
    <w:rsid w:val="00C061B6"/>
    <w:rsid w:val="00C10E05"/>
    <w:rsid w:val="00C22F5D"/>
    <w:rsid w:val="00C2446C"/>
    <w:rsid w:val="00C314EA"/>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7C96"/>
    <w:rsid w:val="00D731EA"/>
    <w:rsid w:val="00D87251"/>
    <w:rsid w:val="00D91203"/>
    <w:rsid w:val="00D94D3A"/>
    <w:rsid w:val="00D95174"/>
    <w:rsid w:val="00DA6F36"/>
    <w:rsid w:val="00DB06BD"/>
    <w:rsid w:val="00DB596E"/>
    <w:rsid w:val="00DB7773"/>
    <w:rsid w:val="00DC00EA"/>
    <w:rsid w:val="00DC04F7"/>
    <w:rsid w:val="00DC2279"/>
    <w:rsid w:val="00DC38A1"/>
    <w:rsid w:val="00DE0B36"/>
    <w:rsid w:val="00E0335A"/>
    <w:rsid w:val="00E033B1"/>
    <w:rsid w:val="00E32F7E"/>
    <w:rsid w:val="00E339A6"/>
    <w:rsid w:val="00E34B8A"/>
    <w:rsid w:val="00E460A3"/>
    <w:rsid w:val="00E555DD"/>
    <w:rsid w:val="00E60CE4"/>
    <w:rsid w:val="00E67C40"/>
    <w:rsid w:val="00E71894"/>
    <w:rsid w:val="00E72D49"/>
    <w:rsid w:val="00E7593C"/>
    <w:rsid w:val="00E7678A"/>
    <w:rsid w:val="00E82F50"/>
    <w:rsid w:val="00E935F1"/>
    <w:rsid w:val="00E93A83"/>
    <w:rsid w:val="00E94A81"/>
    <w:rsid w:val="00EA1FFB"/>
    <w:rsid w:val="00EB048E"/>
    <w:rsid w:val="00EB336C"/>
    <w:rsid w:val="00EB7BF9"/>
    <w:rsid w:val="00ED0912"/>
    <w:rsid w:val="00ED37DA"/>
    <w:rsid w:val="00EE3495"/>
    <w:rsid w:val="00EE34DF"/>
    <w:rsid w:val="00EF2B4F"/>
    <w:rsid w:val="00EF2F89"/>
    <w:rsid w:val="00F00F8C"/>
    <w:rsid w:val="00F042A5"/>
    <w:rsid w:val="00F06B5B"/>
    <w:rsid w:val="00F1237A"/>
    <w:rsid w:val="00F221FB"/>
    <w:rsid w:val="00F22CBD"/>
    <w:rsid w:val="00F230D0"/>
    <w:rsid w:val="00F25CDB"/>
    <w:rsid w:val="00F3386F"/>
    <w:rsid w:val="00F40673"/>
    <w:rsid w:val="00F45372"/>
    <w:rsid w:val="00F5330E"/>
    <w:rsid w:val="00F546C0"/>
    <w:rsid w:val="00F551DC"/>
    <w:rsid w:val="00F560F7"/>
    <w:rsid w:val="00F6334D"/>
    <w:rsid w:val="00F74FDE"/>
    <w:rsid w:val="00F9175E"/>
    <w:rsid w:val="00FA49AB"/>
    <w:rsid w:val="00FC0DD4"/>
    <w:rsid w:val="00FD46EC"/>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pov.int/meetings/en/details.jsp?meeting_id=2834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7B05-87B5-41D4-B791-7E91D8DA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324</TotalTime>
  <Pages>4</Pages>
  <Words>1511</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20</cp:revision>
  <cp:lastPrinted>2014-09-05T10:42:00Z</cp:lastPrinted>
  <dcterms:created xsi:type="dcterms:W3CDTF">2014-09-04T13:46:00Z</dcterms:created>
  <dcterms:modified xsi:type="dcterms:W3CDTF">2014-10-07T14:30:00Z</dcterms:modified>
</cp:coreProperties>
</file>