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901278" w:rsidP="00AC2883">
            <w:pPr>
              <w:pStyle w:val="Sessiontc"/>
              <w:spacing w:line="240" w:lineRule="auto"/>
            </w:pPr>
            <w:r w:rsidRPr="00901278">
              <w:t>Arbeitsgruppe für ein etwaiges Internationales</w:t>
            </w:r>
            <w:r>
              <w:t xml:space="preserve"> </w:t>
            </w:r>
            <w:r>
              <w:br/>
            </w:r>
            <w:r w:rsidRPr="00901278">
              <w:t>Kooperationssystem</w:t>
            </w:r>
          </w:p>
          <w:p w:rsidR="00EB4E9C" w:rsidRPr="00DC3802" w:rsidRDefault="00901278" w:rsidP="00A30573">
            <w:pPr>
              <w:pStyle w:val="Sessiontcplacedate"/>
              <w:rPr>
                <w:sz w:val="22"/>
              </w:rPr>
            </w:pPr>
            <w:r w:rsidRPr="00901278">
              <w:t>Vierte Sitzung</w:t>
            </w:r>
            <w:r w:rsidR="00EB4E9C" w:rsidRPr="00DA4973">
              <w:br/>
            </w:r>
            <w:r w:rsidRPr="00901278">
              <w:t>Genf, 31. Oktober 2018</w:t>
            </w:r>
          </w:p>
        </w:tc>
        <w:tc>
          <w:tcPr>
            <w:tcW w:w="3127" w:type="dxa"/>
          </w:tcPr>
          <w:p w:rsidR="00901278" w:rsidRPr="00E1535A" w:rsidRDefault="00901278" w:rsidP="00901278">
            <w:pPr>
              <w:pStyle w:val="Doccode"/>
              <w:rPr>
                <w:lang w:val="de-CH"/>
              </w:rPr>
            </w:pPr>
            <w:r w:rsidRPr="00E1535A">
              <w:rPr>
                <w:lang w:val="de-CH"/>
              </w:rPr>
              <w:t>UPOV/WG-ISC/4/3</w:t>
            </w:r>
          </w:p>
          <w:p w:rsidR="00901278" w:rsidRDefault="00901278" w:rsidP="003C7FBE">
            <w:pPr>
              <w:pStyle w:val="Docoriginal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C0BD4">
              <w:rPr>
                <w:b w:val="0"/>
                <w:spacing w:val="0"/>
              </w:rPr>
              <w:t>englisch</w:t>
            </w:r>
          </w:p>
          <w:p w:rsidR="00EB4E9C" w:rsidRPr="007C1D92" w:rsidRDefault="00EB4E9C" w:rsidP="002A5CE4">
            <w:pPr>
              <w:pStyle w:val="Docoriginal"/>
            </w:pPr>
            <w:r w:rsidRPr="00AC2883">
              <w:t>Dat</w:t>
            </w:r>
            <w:r w:rsidR="00BC0BD4">
              <w:t>um</w:t>
            </w:r>
            <w:r w:rsidRPr="00AC2883">
              <w:t>:</w:t>
            </w:r>
            <w:r w:rsidRPr="000E636A">
              <w:rPr>
                <w:b w:val="0"/>
                <w:spacing w:val="0"/>
              </w:rPr>
              <w:t xml:space="preserve"> </w:t>
            </w:r>
            <w:r w:rsidR="002A5CE4">
              <w:rPr>
                <w:b w:val="0"/>
                <w:spacing w:val="0"/>
              </w:rPr>
              <w:t>21</w:t>
            </w:r>
            <w:r w:rsidR="005821DC">
              <w:rPr>
                <w:b w:val="0"/>
                <w:spacing w:val="0"/>
              </w:rPr>
              <w:t xml:space="preserve">. </w:t>
            </w:r>
            <w:r w:rsidR="002A5CE4">
              <w:rPr>
                <w:b w:val="0"/>
                <w:spacing w:val="0"/>
              </w:rPr>
              <w:t xml:space="preserve">März </w:t>
            </w:r>
            <w:r w:rsidRPr="005821DC">
              <w:rPr>
                <w:b w:val="0"/>
                <w:spacing w:val="0"/>
              </w:rPr>
              <w:t>201</w:t>
            </w:r>
            <w:r w:rsidR="005821DC" w:rsidRPr="005821DC">
              <w:rPr>
                <w:b w:val="0"/>
                <w:spacing w:val="0"/>
              </w:rPr>
              <w:t>9</w:t>
            </w:r>
          </w:p>
        </w:tc>
      </w:tr>
    </w:tbl>
    <w:p w:rsidR="000D7780" w:rsidRPr="006A644A" w:rsidRDefault="005821DC" w:rsidP="006A644A">
      <w:pPr>
        <w:pStyle w:val="Titleofdoc0"/>
      </w:pPr>
      <w:bookmarkStart w:id="0" w:name="TitleOfDoc"/>
      <w:bookmarkEnd w:id="0"/>
      <w:r w:rsidRPr="005821DC">
        <w:t>Bericht</w:t>
      </w:r>
    </w:p>
    <w:p w:rsidR="006A644A" w:rsidRPr="006A644A" w:rsidRDefault="005821DC" w:rsidP="006A644A">
      <w:pPr>
        <w:pStyle w:val="preparedby1"/>
        <w:jc w:val="left"/>
      </w:pPr>
      <w:bookmarkStart w:id="1" w:name="Prepared"/>
      <w:bookmarkEnd w:id="1"/>
      <w:r w:rsidRPr="005821DC">
        <w:t>angenommen von der Arbeitsgruppe für ein etwaiges Internationales Kooperationssystem</w:t>
      </w:r>
    </w:p>
    <w:p w:rsidR="00050E16" w:rsidRPr="006A644A" w:rsidRDefault="00BC0BD4" w:rsidP="006A644A">
      <w:pPr>
        <w:pStyle w:val="Disclaimer"/>
      </w:pPr>
      <w:r w:rsidRPr="00BC0BD4">
        <w:t>Haftungsausschluss: dieses Dokument gibt nicht die Grundsätze oder eine Anleitung der UPOV wieder</w:t>
      </w:r>
    </w:p>
    <w:p w:rsidR="00E1535A" w:rsidRPr="00E1535A" w:rsidRDefault="00E1535A" w:rsidP="00E1535A">
      <w:pPr>
        <w:pStyle w:val="Heading1"/>
        <w:rPr>
          <w:lang w:val="de-CH"/>
        </w:rPr>
      </w:pPr>
      <w:r w:rsidRPr="00E1535A">
        <w:rPr>
          <w:lang w:val="de-CH"/>
        </w:rPr>
        <w:t>ERÖFFNUNG Der Sitzung</w:t>
      </w:r>
    </w:p>
    <w:p w:rsidR="00E1535A" w:rsidRPr="00E1535A" w:rsidRDefault="00E1535A" w:rsidP="00E1535A">
      <w:pPr>
        <w:rPr>
          <w:lang w:val="de-CH"/>
        </w:rPr>
      </w:pPr>
    </w:p>
    <w:p w:rsidR="00E1535A" w:rsidRPr="005D6ACA" w:rsidRDefault="00E1535A" w:rsidP="00E1535A">
      <w:pPr>
        <w:rPr>
          <w:lang w:val="de-CH"/>
        </w:rPr>
      </w:pPr>
      <w:r w:rsidRPr="007C7E53">
        <w:fldChar w:fldCharType="begin"/>
      </w:r>
      <w:r w:rsidRPr="00E1535A">
        <w:rPr>
          <w:lang w:val="de-CH"/>
        </w:rPr>
        <w:instrText xml:space="preserve"> AUTONUM  </w:instrText>
      </w:r>
      <w:r w:rsidRPr="007C7E53">
        <w:fldChar w:fldCharType="end"/>
      </w:r>
      <w:r w:rsidRPr="00E1535A">
        <w:rPr>
          <w:lang w:val="de-CH"/>
        </w:rPr>
        <w:tab/>
        <w:t>Die Arbeitsgruppe für ein etwaiges Internationales Kooperationssystem (WG-ISC) hielt am 31. Oktober 2018 ihre vierte Sitzung unter dem Vorsitz des stellvertretenden Generalsekretärs der UPOV ab.</w:t>
      </w:r>
      <w:r>
        <w:rPr>
          <w:lang w:val="de-CH"/>
        </w:rPr>
        <w:t xml:space="preserve"> </w:t>
      </w:r>
      <w:r w:rsidRPr="00E1535A">
        <w:rPr>
          <w:lang w:val="de-CH"/>
        </w:rPr>
        <w:t xml:space="preserve">Die Teilnehmerliste ist der Anlage I dieses Berichts zu entnehmen. </w:t>
      </w:r>
    </w:p>
    <w:p w:rsidR="00E1535A" w:rsidRPr="005D6ACA" w:rsidRDefault="00E1535A" w:rsidP="00E1535A">
      <w:pPr>
        <w:rPr>
          <w:lang w:val="de-CH"/>
        </w:rPr>
      </w:pPr>
    </w:p>
    <w:p w:rsidR="00E1535A" w:rsidRPr="00A204F3" w:rsidRDefault="00E1535A" w:rsidP="00E1535A">
      <w:pPr>
        <w:rPr>
          <w:lang w:val="de-CH"/>
        </w:rPr>
      </w:pPr>
      <w:r w:rsidRPr="007C7E53">
        <w:fldChar w:fldCharType="begin"/>
      </w:r>
      <w:r w:rsidRPr="00A204F3">
        <w:rPr>
          <w:lang w:val="de-CH"/>
        </w:rPr>
        <w:instrText xml:space="preserve"> AUTONUM  </w:instrText>
      </w:r>
      <w:r w:rsidRPr="007C7E53">
        <w:fldChar w:fldCharType="end"/>
      </w:r>
      <w:r w:rsidRPr="00A204F3">
        <w:rPr>
          <w:lang w:val="de-CH"/>
        </w:rPr>
        <w:tab/>
      </w:r>
      <w:r w:rsidR="00A204F3" w:rsidRPr="00A204F3">
        <w:rPr>
          <w:lang w:val="de-CH"/>
        </w:rPr>
        <w:t xml:space="preserve">Die Tagung wurde von dem Vorsitzenden eröffnet, der </w:t>
      </w:r>
      <w:r w:rsidR="00A204F3">
        <w:rPr>
          <w:lang w:val="de-CH"/>
        </w:rPr>
        <w:t>die Teilnehmer begrüsste</w:t>
      </w:r>
      <w:r w:rsidRPr="00A204F3">
        <w:rPr>
          <w:lang w:val="de-CH"/>
        </w:rPr>
        <w:t>.</w:t>
      </w:r>
    </w:p>
    <w:p w:rsidR="00E1535A" w:rsidRPr="00A204F3" w:rsidRDefault="00E1535A" w:rsidP="00E1535A">
      <w:pPr>
        <w:rPr>
          <w:lang w:val="de-CH"/>
        </w:rPr>
      </w:pPr>
    </w:p>
    <w:p w:rsidR="00E1535A" w:rsidRPr="00A204F3" w:rsidRDefault="00E1535A" w:rsidP="00E1535A">
      <w:pPr>
        <w:rPr>
          <w:lang w:val="de-CH"/>
        </w:rPr>
      </w:pPr>
    </w:p>
    <w:p w:rsidR="00E1535A" w:rsidRPr="008858E1" w:rsidRDefault="008858E1" w:rsidP="00E1535A">
      <w:pPr>
        <w:pStyle w:val="Heading1"/>
        <w:rPr>
          <w:lang w:val="de-CH"/>
        </w:rPr>
      </w:pPr>
      <w:r w:rsidRPr="008858E1">
        <w:rPr>
          <w:lang w:val="de-CH"/>
        </w:rPr>
        <w:t>Annahme der tagesordnung</w:t>
      </w:r>
    </w:p>
    <w:p w:rsidR="00E1535A" w:rsidRPr="008858E1" w:rsidRDefault="00E1535A" w:rsidP="00E1535A">
      <w:pPr>
        <w:pStyle w:val="ListParagraph"/>
        <w:autoSpaceDE w:val="0"/>
        <w:autoSpaceDN w:val="0"/>
        <w:adjustRightInd w:val="0"/>
        <w:ind w:left="0"/>
        <w:rPr>
          <w:szCs w:val="24"/>
          <w:lang w:val="de-CH"/>
        </w:rPr>
      </w:pPr>
    </w:p>
    <w:p w:rsidR="00E1535A" w:rsidRPr="008858E1" w:rsidRDefault="00E1535A" w:rsidP="00E1535A">
      <w:pPr>
        <w:autoSpaceDE w:val="0"/>
        <w:autoSpaceDN w:val="0"/>
        <w:adjustRightInd w:val="0"/>
        <w:rPr>
          <w:szCs w:val="24"/>
          <w:lang w:val="de-CH" w:eastAsia="ja-JP"/>
        </w:rPr>
      </w:pPr>
      <w:r w:rsidRPr="007C7E53">
        <w:fldChar w:fldCharType="begin"/>
      </w:r>
      <w:r w:rsidRPr="008858E1">
        <w:rPr>
          <w:lang w:val="de-CH"/>
        </w:rPr>
        <w:instrText xml:space="preserve"> AUTONUM  </w:instrText>
      </w:r>
      <w:r w:rsidRPr="007C7E53">
        <w:fldChar w:fldCharType="end"/>
      </w:r>
      <w:r w:rsidRPr="008858E1">
        <w:rPr>
          <w:lang w:val="de-CH"/>
        </w:rPr>
        <w:tab/>
      </w:r>
      <w:r w:rsidR="008858E1" w:rsidRPr="008858E1">
        <w:rPr>
          <w:lang w:val="de-CH"/>
        </w:rPr>
        <w:t>Die WG-ISC nahm di</w:t>
      </w:r>
      <w:r w:rsidR="008858E1">
        <w:rPr>
          <w:lang w:val="de-CH"/>
        </w:rPr>
        <w:t>e Tagesordnung, wie in Dokument</w:t>
      </w:r>
      <w:r w:rsidRPr="008858E1">
        <w:rPr>
          <w:szCs w:val="24"/>
          <w:lang w:val="de-CH" w:eastAsia="ja-JP"/>
        </w:rPr>
        <w:t xml:space="preserve"> UPOV/WG-ISC/4/1</w:t>
      </w:r>
      <w:r w:rsidR="008858E1">
        <w:rPr>
          <w:szCs w:val="24"/>
          <w:lang w:val="de-CH" w:eastAsia="ja-JP"/>
        </w:rPr>
        <w:t xml:space="preserve"> dargelegt, an</w:t>
      </w:r>
      <w:r w:rsidRPr="008858E1">
        <w:rPr>
          <w:szCs w:val="24"/>
          <w:lang w:val="de-CH" w:eastAsia="ja-JP"/>
        </w:rPr>
        <w:t>.</w:t>
      </w:r>
    </w:p>
    <w:p w:rsidR="00E1535A" w:rsidRPr="008858E1" w:rsidRDefault="00E1535A" w:rsidP="00E1535A">
      <w:pPr>
        <w:autoSpaceDE w:val="0"/>
        <w:autoSpaceDN w:val="0"/>
        <w:adjustRightInd w:val="0"/>
        <w:rPr>
          <w:szCs w:val="24"/>
          <w:lang w:val="de-CH" w:eastAsia="ja-JP"/>
        </w:rPr>
      </w:pPr>
    </w:p>
    <w:p w:rsidR="00E1535A" w:rsidRPr="008858E1" w:rsidRDefault="00E1535A" w:rsidP="00E1535A">
      <w:pPr>
        <w:autoSpaceDE w:val="0"/>
        <w:autoSpaceDN w:val="0"/>
        <w:adjustRightInd w:val="0"/>
        <w:rPr>
          <w:szCs w:val="24"/>
          <w:lang w:val="de-CH" w:eastAsia="ja-JP"/>
        </w:rPr>
      </w:pPr>
    </w:p>
    <w:p w:rsidR="00E1535A" w:rsidRPr="008858E1" w:rsidRDefault="008858E1" w:rsidP="00E1535A">
      <w:pPr>
        <w:pStyle w:val="Heading1"/>
        <w:rPr>
          <w:lang w:val="de-CH" w:eastAsia="ja-JP"/>
        </w:rPr>
      </w:pPr>
      <w:r w:rsidRPr="008858E1">
        <w:rPr>
          <w:lang w:val="de-CH" w:eastAsia="ja-JP"/>
        </w:rPr>
        <w:t>Etwaige, für die erfordernisse der Sortenämter massgebliche punkte, wie auf der ersten sitzung der Wg-isc ermittelt und auf der zweiten und d</w:t>
      </w:r>
      <w:r>
        <w:rPr>
          <w:lang w:val="de-CH" w:eastAsia="ja-JP"/>
        </w:rPr>
        <w:t>ritten von der wg-isc abgändert</w:t>
      </w:r>
    </w:p>
    <w:p w:rsidR="00E1535A" w:rsidRPr="008858E1" w:rsidRDefault="00E1535A" w:rsidP="00E1535A">
      <w:pPr>
        <w:autoSpaceDE w:val="0"/>
        <w:autoSpaceDN w:val="0"/>
        <w:adjustRightInd w:val="0"/>
        <w:rPr>
          <w:szCs w:val="24"/>
          <w:lang w:val="de-CH" w:eastAsia="ja-JP"/>
        </w:rPr>
      </w:pPr>
    </w:p>
    <w:p w:rsidR="00E1535A" w:rsidRPr="00E14BAA" w:rsidRDefault="00E1535A" w:rsidP="00E1535A">
      <w:pPr>
        <w:autoSpaceDE w:val="0"/>
        <w:autoSpaceDN w:val="0"/>
        <w:adjustRightInd w:val="0"/>
        <w:rPr>
          <w:lang w:val="de-CH"/>
        </w:rPr>
      </w:pPr>
      <w:r w:rsidRPr="007C7E53">
        <w:fldChar w:fldCharType="begin"/>
      </w:r>
      <w:r w:rsidRPr="00E14BAA">
        <w:rPr>
          <w:lang w:val="de-CH"/>
        </w:rPr>
        <w:instrText xml:space="preserve"> AUTONUM  </w:instrText>
      </w:r>
      <w:r w:rsidRPr="007C7E53">
        <w:fldChar w:fldCharType="end"/>
      </w:r>
      <w:r w:rsidRPr="00E14BAA">
        <w:rPr>
          <w:lang w:val="de-CH"/>
        </w:rPr>
        <w:tab/>
      </w:r>
      <w:r w:rsidR="00E14BAA" w:rsidRPr="00E14BAA">
        <w:rPr>
          <w:lang w:val="de-CH"/>
        </w:rPr>
        <w:t xml:space="preserve">Der Vorsitzende </w:t>
      </w:r>
      <w:r w:rsidR="00E14BAA">
        <w:rPr>
          <w:lang w:val="de-CH"/>
        </w:rPr>
        <w:t>gab</w:t>
      </w:r>
      <w:r w:rsidR="00E14BAA" w:rsidRPr="00E14BAA">
        <w:rPr>
          <w:lang w:val="de-CH"/>
        </w:rPr>
        <w:t xml:space="preserve"> einen </w:t>
      </w:r>
      <w:r w:rsidR="00294E8F">
        <w:rPr>
          <w:lang w:val="de-CH"/>
        </w:rPr>
        <w:t>Überblick über das Mandat und die Aufgabendefinition</w:t>
      </w:r>
      <w:r w:rsidR="00E14BAA" w:rsidRPr="00E14BAA">
        <w:rPr>
          <w:lang w:val="de-CH"/>
        </w:rPr>
        <w:t xml:space="preserve"> der WG-ISC sowie die Entwicklungen während der ersten drei WG-ISC Sitzungen, basierend auf der Präsentation, welche in der Anlage II diese</w:t>
      </w:r>
      <w:r w:rsidR="00E14BAA">
        <w:rPr>
          <w:lang w:val="de-CH"/>
        </w:rPr>
        <w:t>s Berichts beigelegt ist</w:t>
      </w:r>
      <w:r w:rsidRPr="00E14BAA">
        <w:rPr>
          <w:lang w:val="de-CH"/>
        </w:rPr>
        <w:t xml:space="preserve">.  </w:t>
      </w:r>
    </w:p>
    <w:p w:rsidR="00E1535A" w:rsidRPr="00E14BAA" w:rsidRDefault="00E1535A" w:rsidP="00E1535A">
      <w:pPr>
        <w:autoSpaceDE w:val="0"/>
        <w:autoSpaceDN w:val="0"/>
        <w:adjustRightInd w:val="0"/>
        <w:rPr>
          <w:lang w:val="de-CH"/>
        </w:rPr>
      </w:pPr>
    </w:p>
    <w:p w:rsidR="00E1535A" w:rsidRPr="003E4889" w:rsidRDefault="00E1535A" w:rsidP="00E1535A">
      <w:pPr>
        <w:autoSpaceDE w:val="0"/>
        <w:autoSpaceDN w:val="0"/>
        <w:adjustRightInd w:val="0"/>
      </w:pPr>
      <w:r w:rsidRPr="003E4889">
        <w:fldChar w:fldCharType="begin"/>
      </w:r>
      <w:r w:rsidRPr="003E4889">
        <w:instrText xml:space="preserve"> AUTONUM  </w:instrText>
      </w:r>
      <w:r w:rsidRPr="003E4889">
        <w:fldChar w:fldCharType="end"/>
      </w:r>
      <w:r w:rsidRPr="003E4889">
        <w:tab/>
      </w:r>
      <w:r w:rsidR="00A861CB" w:rsidRPr="003E4889">
        <w:t xml:space="preserve">Der Vorsitzende informierte, </w:t>
      </w:r>
      <w:r w:rsidR="007C5568">
        <w:t>daß</w:t>
      </w:r>
      <w:r w:rsidR="00A861CB" w:rsidRPr="003E4889">
        <w:t xml:space="preserve"> er mit dem </w:t>
      </w:r>
      <w:r w:rsidR="00491B4F" w:rsidRPr="003E4889">
        <w:t xml:space="preserve">Vorsitzenden des </w:t>
      </w:r>
      <w:r w:rsidR="003E4889" w:rsidRPr="003E4889">
        <w:t>Beratenden Ausschu</w:t>
      </w:r>
      <w:r w:rsidR="003E4889" w:rsidRPr="003E4889">
        <w:rPr>
          <w:snapToGrid w:val="0"/>
          <w:spacing w:val="-2"/>
        </w:rPr>
        <w:t>ss</w:t>
      </w:r>
      <w:r w:rsidR="00491B4F" w:rsidRPr="003E4889">
        <w:t>es</w:t>
      </w:r>
      <w:r w:rsidR="00A861CB" w:rsidRPr="003E4889">
        <w:t xml:space="preserve"> </w:t>
      </w:r>
      <w:r w:rsidR="00491B4F" w:rsidRPr="003E4889">
        <w:t>Gespräche über</w:t>
      </w:r>
      <w:r w:rsidR="00A861CB" w:rsidRPr="003E4889">
        <w:t xml:space="preserve"> die Entwicklung sowie die laufende Arbeit</w:t>
      </w:r>
      <w:r w:rsidR="00491B4F" w:rsidRPr="003E4889">
        <w:t xml:space="preserve"> </w:t>
      </w:r>
      <w:r w:rsidR="00A861CB" w:rsidRPr="003E4889">
        <w:t>der WG-ISC</w:t>
      </w:r>
      <w:r w:rsidR="00491B4F" w:rsidRPr="003E4889">
        <w:t xml:space="preserve"> </w:t>
      </w:r>
      <w:r w:rsidR="00A861CB" w:rsidRPr="003E4889">
        <w:t>geführt hat</w:t>
      </w:r>
      <w:r w:rsidR="00491B4F" w:rsidRPr="003E4889">
        <w:t xml:space="preserve">. Dabei wurde dem </w:t>
      </w:r>
      <w:r w:rsidR="001838C9" w:rsidRPr="003E4889">
        <w:t>Mandat</w:t>
      </w:r>
      <w:r w:rsidR="00491B4F" w:rsidRPr="003E4889">
        <w:t xml:space="preserve"> der WG-ISC</w:t>
      </w:r>
      <w:r w:rsidR="001838C9" w:rsidRPr="003E4889">
        <w:t xml:space="preserve"> – </w:t>
      </w:r>
      <w:r w:rsidR="00491B4F" w:rsidRPr="003E4889">
        <w:t>ein Dokument mit Vorschlägen, Analysen und</w:t>
      </w:r>
      <w:r w:rsidR="001838C9" w:rsidRPr="003E4889">
        <w:t xml:space="preserve"> Informationen, welche</w:t>
      </w:r>
      <w:r w:rsidR="003E4889" w:rsidRPr="003E4889">
        <w:t xml:space="preserve"> vom Beratenden </w:t>
      </w:r>
      <w:r w:rsidR="007C5568">
        <w:t>Ausschuß</w:t>
      </w:r>
      <w:r w:rsidR="00491B4F" w:rsidRPr="003E4889">
        <w:t xml:space="preserve"> </w:t>
      </w:r>
      <w:r w:rsidR="001838C9" w:rsidRPr="003E4889">
        <w:t>zu prüfen sind –</w:t>
      </w:r>
      <w:r w:rsidR="005D6ACA" w:rsidRPr="003E4889">
        <w:t xml:space="preserve"> auszuarbeiten</w:t>
      </w:r>
      <w:r w:rsidR="00491B4F" w:rsidRPr="003E4889">
        <w:t xml:space="preserve">, Rechnung getragen. </w:t>
      </w:r>
      <w:r w:rsidR="00A861CB" w:rsidRPr="003E4889">
        <w:t xml:space="preserve"> </w:t>
      </w:r>
      <w:r w:rsidR="001838C9" w:rsidRPr="003E4889">
        <w:t>Die</w:t>
      </w:r>
      <w:r w:rsidR="00491B4F" w:rsidRPr="003E4889">
        <w:t xml:space="preserve"> Gespräche hatten aufgezeigt</w:t>
      </w:r>
      <w:r w:rsidR="00B34D6C" w:rsidRPr="003E4889">
        <w:t>,</w:t>
      </w:r>
      <w:r w:rsidR="00491B4F" w:rsidRPr="003E4889">
        <w:t xml:space="preserve"> </w:t>
      </w:r>
      <w:r w:rsidR="007C5568">
        <w:t>daß</w:t>
      </w:r>
      <w:r w:rsidR="00491B4F" w:rsidRPr="003E4889">
        <w:t xml:space="preserve"> seit der Gründung der WG-ISC im Jahr 2016 die </w:t>
      </w:r>
      <w:r w:rsidR="00422BB2" w:rsidRPr="003E4889">
        <w:t>drei bereits abgehaltenen Meetings das Bedürfnis für ein Internationales Kooperationssystem</w:t>
      </w:r>
      <w:r w:rsidR="0050390F" w:rsidRPr="003E4889">
        <w:t xml:space="preserve"> – </w:t>
      </w:r>
      <w:r w:rsidR="003E4889" w:rsidRPr="003E4889">
        <w:t>gemäß</w:t>
      </w:r>
      <w:r w:rsidR="0050390F" w:rsidRPr="003E4889">
        <w:t xml:space="preserve"> Erfordernisse der Sortenämter –</w:t>
      </w:r>
      <w:r w:rsidR="00422BB2" w:rsidRPr="003E4889">
        <w:t xml:space="preserve"> unterstrichen und eine Möglichkeit für die Überarbeitung der bestehenden Zusammenarbeit des Verbands</w:t>
      </w:r>
      <w:r w:rsidR="00B34D6C" w:rsidRPr="003E4889">
        <w:t xml:space="preserve"> geboten haben.</w:t>
      </w:r>
      <w:r w:rsidRPr="003E4889">
        <w:t xml:space="preserve">  </w:t>
      </w:r>
      <w:r w:rsidR="00807859" w:rsidRPr="003E4889">
        <w:t>Es bestünde</w:t>
      </w:r>
      <w:r w:rsidR="00294E8F" w:rsidRPr="003E4889">
        <w:t xml:space="preserve"> nun</w:t>
      </w:r>
      <w:r w:rsidR="00807859" w:rsidRPr="003E4889">
        <w:t xml:space="preserve"> eine solide Grundlage für die WG-ISC, um ein Dokument mit Vorschlägen, Analysen und </w:t>
      </w:r>
      <w:r w:rsidR="001838C9" w:rsidRPr="003E4889">
        <w:t>Informationen,</w:t>
      </w:r>
      <w:r w:rsidR="003E4889" w:rsidRPr="003E4889">
        <w:t xml:space="preserve"> welche vom Beratenden </w:t>
      </w:r>
      <w:r w:rsidR="007C5568">
        <w:t>Ausschuß</w:t>
      </w:r>
      <w:r w:rsidR="001838C9" w:rsidRPr="003E4889">
        <w:t xml:space="preserve"> zu prüfen sind, </w:t>
      </w:r>
      <w:r w:rsidR="00807859" w:rsidRPr="003E4889">
        <w:t xml:space="preserve"> </w:t>
      </w:r>
      <w:r w:rsidR="005D6ACA" w:rsidRPr="003E4889">
        <w:t>auszuarbeiten</w:t>
      </w:r>
      <w:r w:rsidR="001838C9" w:rsidRPr="003E4889">
        <w:t xml:space="preserve">. </w:t>
      </w:r>
    </w:p>
    <w:p w:rsidR="001838C9" w:rsidRPr="005D6ACA" w:rsidRDefault="001838C9" w:rsidP="00E1535A">
      <w:pPr>
        <w:autoSpaceDE w:val="0"/>
        <w:autoSpaceDN w:val="0"/>
        <w:adjustRightInd w:val="0"/>
        <w:rPr>
          <w:lang w:val="de-CH"/>
        </w:rPr>
      </w:pPr>
    </w:p>
    <w:p w:rsidR="00E1535A" w:rsidRPr="003E4889" w:rsidRDefault="00E1535A" w:rsidP="00E1535A">
      <w:pPr>
        <w:autoSpaceDE w:val="0"/>
        <w:autoSpaceDN w:val="0"/>
        <w:adjustRightInd w:val="0"/>
      </w:pPr>
      <w:r w:rsidRPr="003E4889">
        <w:fldChar w:fldCharType="begin"/>
      </w:r>
      <w:r w:rsidRPr="003E4889">
        <w:instrText xml:space="preserve"> AUTONUM  </w:instrText>
      </w:r>
      <w:r w:rsidRPr="003E4889">
        <w:fldChar w:fldCharType="end"/>
      </w:r>
      <w:r w:rsidRPr="003E4889">
        <w:tab/>
      </w:r>
      <w:r w:rsidR="004508D9" w:rsidRPr="003E4889">
        <w:t xml:space="preserve">Unter Berücksichtigung der oben aufgeführten Zusammenfassung hat der Vorsitzende vorgeschlagen, </w:t>
      </w:r>
      <w:r w:rsidR="007C5568">
        <w:t>daß</w:t>
      </w:r>
      <w:r w:rsidR="004508D9" w:rsidRPr="003E4889">
        <w:t xml:space="preserve"> die Aufgabe der WG-ISC bei ihrer vierten Sitzung</w:t>
      </w:r>
      <w:r w:rsidR="00BA5587" w:rsidRPr="003E4889">
        <w:t xml:space="preserve"> darin bestehen soll, das Dokument</w:t>
      </w:r>
      <w:r w:rsidR="004508D9" w:rsidRPr="003E4889">
        <w:t xml:space="preserve"> </w:t>
      </w:r>
      <w:r w:rsidR="00BA5587" w:rsidRPr="003E4889">
        <w:rPr>
          <w:snapToGrid w:val="0"/>
          <w:spacing w:val="-2"/>
        </w:rPr>
        <w:t xml:space="preserve">UPOV/WG-ISC/4/2 in Anlage III “Etwaige, für die Erfordernisse der Sortenämter </w:t>
      </w:r>
      <w:r w:rsidR="003E4889" w:rsidRPr="003E4889">
        <w:rPr>
          <w:snapToGrid w:val="0"/>
          <w:spacing w:val="-2"/>
        </w:rPr>
        <w:t>maßgebliche</w:t>
      </w:r>
      <w:r w:rsidR="00BA5587" w:rsidRPr="003E4889">
        <w:rPr>
          <w:snapToGrid w:val="0"/>
          <w:spacing w:val="-2"/>
        </w:rPr>
        <w:t xml:space="preserve"> Punkte, wie auf der ersten Sitzung der WG-ISC ermittelt und auf der zweiten und dritten von der WG-ISC abgeändert”, </w:t>
      </w:r>
      <w:r w:rsidR="00265EB9" w:rsidRPr="003E4889">
        <w:rPr>
          <w:snapToGrid w:val="0"/>
          <w:spacing w:val="-2"/>
        </w:rPr>
        <w:t>al</w:t>
      </w:r>
      <w:r w:rsidR="00BA5587" w:rsidRPr="003E4889">
        <w:rPr>
          <w:snapToGrid w:val="0"/>
          <w:spacing w:val="-2"/>
        </w:rPr>
        <w:t>s</w:t>
      </w:r>
      <w:r w:rsidR="00265EB9" w:rsidRPr="003E4889">
        <w:rPr>
          <w:snapToGrid w:val="0"/>
          <w:spacing w:val="-2"/>
        </w:rPr>
        <w:t xml:space="preserve"> </w:t>
      </w:r>
      <w:r w:rsidR="003E4889" w:rsidRPr="003E4889">
        <w:rPr>
          <w:snapToGrid w:val="0"/>
          <w:spacing w:val="-2"/>
        </w:rPr>
        <w:t>eine Basis für die Ausarbeitung</w:t>
      </w:r>
      <w:r w:rsidR="00BA5587" w:rsidRPr="003E4889">
        <w:rPr>
          <w:snapToGrid w:val="0"/>
          <w:spacing w:val="-2"/>
        </w:rPr>
        <w:t xml:space="preserve"> eines Dokuments mit Vorschlägen, Analys</w:t>
      </w:r>
      <w:r w:rsidR="00BD450C" w:rsidRPr="003E4889">
        <w:rPr>
          <w:snapToGrid w:val="0"/>
          <w:spacing w:val="-2"/>
        </w:rPr>
        <w:t>en und Informationen, welche vom</w:t>
      </w:r>
      <w:r w:rsidR="00BA5587" w:rsidRPr="003E4889">
        <w:rPr>
          <w:snapToGrid w:val="0"/>
          <w:spacing w:val="-2"/>
        </w:rPr>
        <w:t xml:space="preserve"> Berate</w:t>
      </w:r>
      <w:r w:rsidR="003E4889" w:rsidRPr="003E4889">
        <w:rPr>
          <w:snapToGrid w:val="0"/>
          <w:spacing w:val="-2"/>
        </w:rPr>
        <w:t xml:space="preserve">nden </w:t>
      </w:r>
      <w:r w:rsidR="007C5568">
        <w:rPr>
          <w:snapToGrid w:val="0"/>
          <w:spacing w:val="-2"/>
        </w:rPr>
        <w:t>Ausschuß</w:t>
      </w:r>
      <w:r w:rsidR="00BD450C" w:rsidRPr="003E4889">
        <w:rPr>
          <w:snapToGrid w:val="0"/>
          <w:spacing w:val="-2"/>
        </w:rPr>
        <w:t xml:space="preserve"> zu prüfen</w:t>
      </w:r>
      <w:r w:rsidR="00265EB9" w:rsidRPr="003E4889">
        <w:rPr>
          <w:snapToGrid w:val="0"/>
          <w:spacing w:val="-2"/>
        </w:rPr>
        <w:t xml:space="preserve"> sind,</w:t>
      </w:r>
      <w:r w:rsidR="00BA5587" w:rsidRPr="003E4889">
        <w:rPr>
          <w:snapToGrid w:val="0"/>
          <w:spacing w:val="-2"/>
        </w:rPr>
        <w:t xml:space="preserve"> </w:t>
      </w:r>
      <w:r w:rsidR="00BD450C" w:rsidRPr="003E4889">
        <w:rPr>
          <w:snapToGrid w:val="0"/>
          <w:spacing w:val="-2"/>
        </w:rPr>
        <w:t>in Erwägung zu ziehen</w:t>
      </w:r>
      <w:r w:rsidR="00265EB9" w:rsidRPr="003E4889">
        <w:rPr>
          <w:snapToGrid w:val="0"/>
          <w:spacing w:val="-2"/>
        </w:rPr>
        <w:t xml:space="preserve">. </w:t>
      </w:r>
    </w:p>
    <w:p w:rsidR="00BD450C" w:rsidRPr="005D6ACA" w:rsidRDefault="00BD450C" w:rsidP="00E1535A">
      <w:pPr>
        <w:autoSpaceDE w:val="0"/>
        <w:autoSpaceDN w:val="0"/>
        <w:adjustRightInd w:val="0"/>
        <w:rPr>
          <w:snapToGrid w:val="0"/>
          <w:spacing w:val="-2"/>
          <w:lang w:val="de-CH"/>
        </w:rPr>
      </w:pPr>
    </w:p>
    <w:p w:rsidR="00E1535A" w:rsidRDefault="00E1535A" w:rsidP="00E1535A">
      <w:pPr>
        <w:autoSpaceDE w:val="0"/>
        <w:autoSpaceDN w:val="0"/>
        <w:adjustRightInd w:val="0"/>
      </w:pPr>
      <w:r w:rsidRPr="00522FBF">
        <w:fldChar w:fldCharType="begin"/>
      </w:r>
      <w:r w:rsidRPr="00522FBF">
        <w:instrText xml:space="preserve"> AUTONUM  </w:instrText>
      </w:r>
      <w:r w:rsidRPr="00522FBF">
        <w:fldChar w:fldCharType="end"/>
      </w:r>
      <w:r w:rsidRPr="00522FBF">
        <w:tab/>
      </w:r>
      <w:r w:rsidR="005E5EFC" w:rsidRPr="00522FBF">
        <w:t xml:space="preserve">Die norwegische Delegation hat darauf hingewiesen, </w:t>
      </w:r>
      <w:r w:rsidR="007C5568">
        <w:t>daß</w:t>
      </w:r>
      <w:r w:rsidR="005E5EFC" w:rsidRPr="00522FBF">
        <w:t xml:space="preserve"> nicht alle im Dokument </w:t>
      </w:r>
      <w:r w:rsidR="005E5EFC" w:rsidRPr="00522FBF">
        <w:rPr>
          <w:snapToGrid w:val="0"/>
          <w:spacing w:val="-2"/>
        </w:rPr>
        <w:t>UPOV/WG-ISC/4/2, (Anlage III) aufgeführten Bedürfnisse für alle UPOV-Mitglieder gelten würden.</w:t>
      </w:r>
      <w:r w:rsidRPr="00522FBF">
        <w:t xml:space="preserve">  </w:t>
      </w:r>
      <w:r w:rsidR="005E5EFC" w:rsidRPr="00522FBF">
        <w:t xml:space="preserve">Sie hat ebenfalls aufgeführt, </w:t>
      </w:r>
      <w:r w:rsidR="007C5568">
        <w:t>daß</w:t>
      </w:r>
      <w:r w:rsidR="005E5EFC" w:rsidRPr="00522FBF">
        <w:t xml:space="preserve"> die Aufgabendefinition der WG-ISC (Zweck 1 </w:t>
      </w:r>
      <w:r w:rsidR="00522FBF">
        <w:t>(b)) für alle Verbandsmitgliede</w:t>
      </w:r>
      <w:r w:rsidR="005E5EFC" w:rsidRPr="00522FBF">
        <w:t>, ungeachtet der Akte des UPOV-</w:t>
      </w:r>
      <w:r w:rsidR="00522FBF" w:rsidRPr="00522FBF">
        <w:t xml:space="preserve">Übereinkommens, durch die </w:t>
      </w:r>
      <w:r w:rsidR="005E5EFC" w:rsidRPr="00522FBF">
        <w:t xml:space="preserve">sie gebunden sind, </w:t>
      </w:r>
      <w:r w:rsidR="00522FBF" w:rsidRPr="00522FBF">
        <w:t xml:space="preserve">maßgeblich sind. </w:t>
      </w:r>
    </w:p>
    <w:p w:rsidR="00522FBF" w:rsidRPr="00690100" w:rsidRDefault="00522FBF" w:rsidP="00E1535A">
      <w:pPr>
        <w:autoSpaceDE w:val="0"/>
        <w:autoSpaceDN w:val="0"/>
        <w:adjustRightInd w:val="0"/>
        <w:rPr>
          <w:lang w:val="de-CH"/>
        </w:rPr>
      </w:pPr>
    </w:p>
    <w:p w:rsidR="00E1535A" w:rsidRPr="000B5C1B" w:rsidRDefault="00E1535A" w:rsidP="00E1535A">
      <w:pPr>
        <w:autoSpaceDE w:val="0"/>
        <w:autoSpaceDN w:val="0"/>
        <w:adjustRightInd w:val="0"/>
      </w:pPr>
      <w:r w:rsidRPr="000B5C1B">
        <w:lastRenderedPageBreak/>
        <w:fldChar w:fldCharType="begin"/>
      </w:r>
      <w:r w:rsidRPr="000B5C1B">
        <w:instrText xml:space="preserve"> AUTONUM  </w:instrText>
      </w:r>
      <w:r w:rsidRPr="000B5C1B">
        <w:fldChar w:fldCharType="end"/>
      </w:r>
      <w:r w:rsidRPr="000B5C1B">
        <w:tab/>
      </w:r>
      <w:r w:rsidR="00BC6421" w:rsidRPr="000B5C1B">
        <w:t xml:space="preserve">Der Vorsitzende bestätigte, </w:t>
      </w:r>
      <w:r w:rsidR="007C5568">
        <w:t>daß</w:t>
      </w:r>
      <w:r w:rsidR="00BC6421" w:rsidRPr="000B5C1B">
        <w:t xml:space="preserve"> jeder Vorschlag für die Verbandsmitglieder </w:t>
      </w:r>
      <w:r w:rsidR="000B5C1B" w:rsidRPr="000B5C1B">
        <w:t>maßgeblich</w:t>
      </w:r>
      <w:r w:rsidR="00BC6421" w:rsidRPr="000B5C1B">
        <w:t xml:space="preserve"> sein muss, ungeachtet der Akte des UPOV-Übereinkommens, durch die sie gebunden sind</w:t>
      </w:r>
      <w:r w:rsidRPr="000B5C1B">
        <w:t xml:space="preserve">.  </w:t>
      </w:r>
      <w:r w:rsidR="00865389" w:rsidRPr="000B5C1B">
        <w:t xml:space="preserve">Er rief allerdings auch die Diskussionen im Rahmen der ersten Sitzung der WG-ISC in Erinnerung, wo festgelegt wurde, </w:t>
      </w:r>
      <w:r w:rsidR="007C5568">
        <w:t>daß</w:t>
      </w:r>
      <w:r w:rsidR="00865389" w:rsidRPr="000B5C1B">
        <w:t xml:space="preserve"> auf Basis der Aufgabendefinition der WG-ISG das Bedürfnis eines Verbandsmitglieds nicht als Verpflichtung für andere Verbandsmitglieder  ausgelegt würde</w:t>
      </w:r>
      <w:r w:rsidRPr="000B5C1B">
        <w:t xml:space="preserve">. </w:t>
      </w:r>
      <w:r w:rsidR="000B5C1B">
        <w:t xml:space="preserve">Auf dieser Grundlage wurde vereinbart, </w:t>
      </w:r>
      <w:r w:rsidR="007C5568">
        <w:t>daß</w:t>
      </w:r>
      <w:r w:rsidR="000B5C1B">
        <w:t xml:space="preserve"> die Verbandsmitglieder ihre Bedürfnisse äußern können ohne sich darüber Sorgen machen zu müssen, </w:t>
      </w:r>
      <w:r w:rsidR="007C5568">
        <w:t>daß</w:t>
      </w:r>
      <w:r w:rsidR="000B5C1B">
        <w:t xml:space="preserve"> diese zur Entstehung von Verpflichtungen für andere Verbandsmitglieder führen würden</w:t>
      </w:r>
      <w:r w:rsidRPr="000B5C1B">
        <w:t xml:space="preserve">.       </w:t>
      </w:r>
    </w:p>
    <w:p w:rsidR="00E1535A" w:rsidRPr="00690100" w:rsidRDefault="00E1535A" w:rsidP="00E1535A">
      <w:pPr>
        <w:autoSpaceDE w:val="0"/>
        <w:autoSpaceDN w:val="0"/>
        <w:adjustRightInd w:val="0"/>
        <w:rPr>
          <w:lang w:val="de-CH"/>
        </w:rPr>
      </w:pPr>
    </w:p>
    <w:p w:rsidR="00E1535A" w:rsidRPr="00D9530D" w:rsidRDefault="00E1535A" w:rsidP="00E1535A">
      <w:pPr>
        <w:autoSpaceDE w:val="0"/>
        <w:autoSpaceDN w:val="0"/>
        <w:adjustRightInd w:val="0"/>
        <w:rPr>
          <w:lang w:val="de-CH"/>
        </w:rPr>
      </w:pPr>
      <w:r w:rsidRPr="007C7E53">
        <w:fldChar w:fldCharType="begin"/>
      </w:r>
      <w:r w:rsidRPr="00D9530D">
        <w:rPr>
          <w:lang w:val="de-CH"/>
        </w:rPr>
        <w:instrText xml:space="preserve"> AUTONUM  </w:instrText>
      </w:r>
      <w:r w:rsidRPr="007C7E53">
        <w:fldChar w:fldCharType="end"/>
      </w:r>
      <w:r w:rsidRPr="00D9530D">
        <w:rPr>
          <w:lang w:val="de-CH"/>
        </w:rPr>
        <w:tab/>
      </w:r>
      <w:r w:rsidR="00D9530D" w:rsidRPr="00D9530D">
        <w:rPr>
          <w:lang w:val="de-CH"/>
        </w:rPr>
        <w:t xml:space="preserve">Die norwegische Delegation legte ihre Absicht dar, welche darin bestand zu unterstreichen, </w:t>
      </w:r>
      <w:r w:rsidR="007C5568">
        <w:rPr>
          <w:lang w:val="de-CH"/>
        </w:rPr>
        <w:t>daß</w:t>
      </w:r>
      <w:r w:rsidR="00D9530D" w:rsidRPr="00D9530D">
        <w:rPr>
          <w:lang w:val="de-CH"/>
        </w:rPr>
        <w:t xml:space="preserve"> die Vorschläge die Anzahl der UPOV-Verbandsmitglieder berücksichtigen sollten, deren Bedürfnisse ja durch die Vorschläge adressiert würden.</w:t>
      </w:r>
      <w:r w:rsidR="00D9530D">
        <w:rPr>
          <w:lang w:val="de-CH"/>
        </w:rPr>
        <w:t xml:space="preserve"> Nur so könne sichergestellt werden, </w:t>
      </w:r>
      <w:r w:rsidR="007C5568">
        <w:rPr>
          <w:lang w:val="de-CH"/>
        </w:rPr>
        <w:t>daß</w:t>
      </w:r>
      <w:r w:rsidR="00D9530D">
        <w:rPr>
          <w:lang w:val="de-CH"/>
        </w:rPr>
        <w:t xml:space="preserve"> die Vorschläge effektiv seien</w:t>
      </w:r>
      <w:r w:rsidRPr="00D9530D">
        <w:rPr>
          <w:lang w:val="de-CH"/>
        </w:rPr>
        <w:t xml:space="preserve">.  </w:t>
      </w:r>
    </w:p>
    <w:p w:rsidR="00E1535A" w:rsidRPr="00D9530D" w:rsidRDefault="00E1535A" w:rsidP="00E1535A">
      <w:pPr>
        <w:autoSpaceDE w:val="0"/>
        <w:autoSpaceDN w:val="0"/>
        <w:adjustRightInd w:val="0"/>
        <w:rPr>
          <w:lang w:val="de-CH"/>
        </w:rPr>
      </w:pPr>
    </w:p>
    <w:p w:rsidR="00E1535A" w:rsidRPr="00310AA2" w:rsidRDefault="00E1535A" w:rsidP="00E1535A">
      <w:pPr>
        <w:autoSpaceDE w:val="0"/>
        <w:autoSpaceDN w:val="0"/>
        <w:adjustRightInd w:val="0"/>
        <w:rPr>
          <w:lang w:val="de-CH"/>
        </w:rPr>
      </w:pPr>
      <w:r w:rsidRPr="007C7E53">
        <w:fldChar w:fldCharType="begin"/>
      </w:r>
      <w:r w:rsidRPr="00310AA2">
        <w:rPr>
          <w:lang w:val="de-CH"/>
        </w:rPr>
        <w:instrText xml:space="preserve"> AUTONUM  </w:instrText>
      </w:r>
      <w:r w:rsidRPr="007C7E53">
        <w:fldChar w:fldCharType="end"/>
      </w:r>
      <w:r w:rsidRPr="00310AA2">
        <w:rPr>
          <w:lang w:val="de-CH"/>
        </w:rPr>
        <w:tab/>
      </w:r>
      <w:r w:rsidR="00310AA2" w:rsidRPr="00310AA2">
        <w:rPr>
          <w:lang w:val="de-CH"/>
        </w:rPr>
        <w:t xml:space="preserve">Der Vorsitzende dankte der Delegation für die Klarstellung und schlug vor, </w:t>
      </w:r>
      <w:r w:rsidR="007C5568">
        <w:rPr>
          <w:lang w:val="de-CH"/>
        </w:rPr>
        <w:t>daß</w:t>
      </w:r>
      <w:r w:rsidR="00310AA2" w:rsidRPr="00310AA2">
        <w:rPr>
          <w:lang w:val="de-CH"/>
        </w:rPr>
        <w:t xml:space="preserve"> die Effektivität der Vorschläge bei der</w:t>
      </w:r>
      <w:r w:rsidR="00310AA2">
        <w:rPr>
          <w:lang w:val="de-CH"/>
        </w:rPr>
        <w:t>en</w:t>
      </w:r>
      <w:r w:rsidR="00310AA2" w:rsidRPr="00310AA2">
        <w:rPr>
          <w:lang w:val="de-CH"/>
        </w:rPr>
        <w:t xml:space="preserve"> Analyse durch den</w:t>
      </w:r>
      <w:r w:rsidR="00310AA2">
        <w:rPr>
          <w:lang w:val="de-CH"/>
        </w:rPr>
        <w:t xml:space="preserve"> Bera</w:t>
      </w:r>
      <w:r w:rsidR="00215CFB">
        <w:rPr>
          <w:lang w:val="de-CH"/>
        </w:rPr>
        <w:t xml:space="preserve">tenden </w:t>
      </w:r>
      <w:r w:rsidR="007C5568">
        <w:rPr>
          <w:lang w:val="de-CH"/>
        </w:rPr>
        <w:t>Ausschuß</w:t>
      </w:r>
      <w:r w:rsidR="00215CFB">
        <w:rPr>
          <w:lang w:val="de-CH"/>
        </w:rPr>
        <w:t xml:space="preserve"> zu prüfen sei</w:t>
      </w:r>
      <w:r w:rsidRPr="00310AA2">
        <w:rPr>
          <w:lang w:val="de-CH"/>
        </w:rPr>
        <w:t xml:space="preserve">. </w:t>
      </w:r>
    </w:p>
    <w:p w:rsidR="00E1535A" w:rsidRPr="00310AA2" w:rsidRDefault="00E1535A" w:rsidP="00E1535A">
      <w:pPr>
        <w:autoSpaceDE w:val="0"/>
        <w:autoSpaceDN w:val="0"/>
        <w:adjustRightInd w:val="0"/>
        <w:rPr>
          <w:lang w:val="de-CH"/>
        </w:rPr>
      </w:pPr>
    </w:p>
    <w:p w:rsidR="00E1535A" w:rsidRPr="001509E2" w:rsidRDefault="00E1535A" w:rsidP="00E1535A">
      <w:pPr>
        <w:autoSpaceDE w:val="0"/>
        <w:autoSpaceDN w:val="0"/>
        <w:adjustRightInd w:val="0"/>
        <w:rPr>
          <w:snapToGrid w:val="0"/>
          <w:spacing w:val="-2"/>
          <w:lang w:val="de-CH"/>
        </w:rPr>
      </w:pPr>
      <w:r w:rsidRPr="007C7E53">
        <w:fldChar w:fldCharType="begin"/>
      </w:r>
      <w:r w:rsidRPr="001509E2">
        <w:rPr>
          <w:lang w:val="de-CH"/>
        </w:rPr>
        <w:instrText xml:space="preserve"> AUTONUM  </w:instrText>
      </w:r>
      <w:r w:rsidRPr="007C7E53">
        <w:fldChar w:fldCharType="end"/>
      </w:r>
      <w:r w:rsidRPr="001509E2">
        <w:rPr>
          <w:lang w:val="de-CH"/>
        </w:rPr>
        <w:tab/>
      </w:r>
      <w:r w:rsidR="00215CFB" w:rsidRPr="001509E2">
        <w:rPr>
          <w:lang w:val="de-CH"/>
        </w:rPr>
        <w:t xml:space="preserve">Auf Grundlage der oben aufgeführten Informationen hat die WG-ISC entschieden, das Dokument </w:t>
      </w:r>
      <w:r w:rsidR="00215CFB" w:rsidRPr="001509E2">
        <w:rPr>
          <w:snapToGrid w:val="0"/>
          <w:spacing w:val="-2"/>
          <w:lang w:val="de-CH"/>
        </w:rPr>
        <w:t>UPOV/WG-ISC/4/2, (Anlage III)</w:t>
      </w:r>
      <w:r w:rsidR="00215CFB" w:rsidRPr="001509E2">
        <w:rPr>
          <w:lang w:val="de-CH"/>
        </w:rPr>
        <w:t xml:space="preserve"> als Basis für die </w:t>
      </w:r>
      <w:r w:rsidR="001509E2" w:rsidRPr="001509E2">
        <w:rPr>
          <w:lang w:val="de-CH"/>
        </w:rPr>
        <w:t xml:space="preserve">Ausarbeitung eines Dokumentes mit Vorschlägen, welche durch den Beratenden </w:t>
      </w:r>
      <w:r w:rsidR="007C5568">
        <w:rPr>
          <w:lang w:val="de-CH"/>
        </w:rPr>
        <w:t>Ausschuß</w:t>
      </w:r>
      <w:r w:rsidR="001509E2" w:rsidRPr="001509E2">
        <w:rPr>
          <w:lang w:val="de-CH"/>
        </w:rPr>
        <w:t xml:space="preserve"> zu prüfen sind, zu v</w:t>
      </w:r>
      <w:r w:rsidR="001509E2">
        <w:rPr>
          <w:lang w:val="de-CH"/>
        </w:rPr>
        <w:t>erwenden</w:t>
      </w:r>
      <w:r w:rsidRPr="001509E2">
        <w:rPr>
          <w:snapToGrid w:val="0"/>
          <w:spacing w:val="-2"/>
          <w:lang w:val="de-CH"/>
        </w:rPr>
        <w:t>.</w:t>
      </w:r>
    </w:p>
    <w:p w:rsidR="00E1535A" w:rsidRPr="001509E2" w:rsidRDefault="00E1535A" w:rsidP="00E1535A">
      <w:pPr>
        <w:autoSpaceDE w:val="0"/>
        <w:autoSpaceDN w:val="0"/>
        <w:adjustRightInd w:val="0"/>
        <w:rPr>
          <w:snapToGrid w:val="0"/>
          <w:spacing w:val="-2"/>
          <w:lang w:val="de-CH"/>
        </w:rPr>
      </w:pPr>
    </w:p>
    <w:p w:rsidR="00E1535A" w:rsidRPr="00F90673" w:rsidRDefault="00E1535A" w:rsidP="00E1535A">
      <w:r w:rsidRPr="007C7E53">
        <w:fldChar w:fldCharType="begin"/>
      </w:r>
      <w:r w:rsidRPr="00690100">
        <w:rPr>
          <w:lang w:val="de-CH"/>
        </w:rPr>
        <w:instrText xml:space="preserve"> AUTONUM  </w:instrText>
      </w:r>
      <w:r w:rsidRPr="007C7E53">
        <w:fldChar w:fldCharType="end"/>
      </w:r>
      <w:r w:rsidR="00497B71">
        <w:rPr>
          <w:lang w:val="de-CH"/>
        </w:rPr>
        <w:tab/>
      </w:r>
      <w:r w:rsidR="00F90673">
        <w:t>Die WG-ISC hat folgende Punk</w:t>
      </w:r>
      <w:r w:rsidR="00497B71" w:rsidRPr="00F90673">
        <w:t>t</w:t>
      </w:r>
      <w:r w:rsidR="00F90673">
        <w:t>e</w:t>
      </w:r>
      <w:r w:rsidR="00690100" w:rsidRPr="00F90673">
        <w:t xml:space="preserve"> vereinbart</w:t>
      </w:r>
      <w:r w:rsidRPr="00F90673">
        <w:t>:</w:t>
      </w:r>
      <w:r w:rsidRPr="00F90673">
        <w:rPr>
          <w:rStyle w:val="FootnoteReference"/>
        </w:rPr>
        <w:footnoteReference w:id="2"/>
      </w:r>
      <w:r w:rsidRPr="00F90673">
        <w:t xml:space="preserve"> </w:t>
      </w:r>
    </w:p>
    <w:p w:rsidR="00E1535A" w:rsidRPr="00F90673" w:rsidRDefault="00E1535A" w:rsidP="00E1535A">
      <w:pPr>
        <w:jc w:val="left"/>
      </w:pPr>
    </w:p>
    <w:p w:rsidR="00E1535A" w:rsidRPr="00F90673" w:rsidRDefault="00690100" w:rsidP="00E1535A">
      <w:pPr>
        <w:ind w:left="567"/>
        <w:jc w:val="left"/>
      </w:pPr>
      <w:r w:rsidRPr="00F90673">
        <w:t>DUS-PRÜFUNG</w:t>
      </w:r>
    </w:p>
    <w:p w:rsidR="00E1535A" w:rsidRPr="00F90673" w:rsidRDefault="00E1535A" w:rsidP="00E1535A">
      <w:pPr>
        <w:ind w:left="567"/>
        <w:jc w:val="left"/>
      </w:pPr>
    </w:p>
    <w:p w:rsidR="00E1535A" w:rsidRPr="00F90673" w:rsidRDefault="005A1832" w:rsidP="00E1535A">
      <w:pPr>
        <w:ind w:left="567"/>
      </w:pPr>
      <w:r>
        <w:t>Die WG-ISC hielt die</w:t>
      </w:r>
      <w:r w:rsidR="00690100" w:rsidRPr="00F90673">
        <w:t xml:space="preserve"> B</w:t>
      </w:r>
      <w:r>
        <w:t xml:space="preserve">edürfnisse der Sortenämter, </w:t>
      </w:r>
      <w:r w:rsidR="00690100" w:rsidRPr="00F90673">
        <w:t>wie unter (i) bis (vi) aufgeführt</w:t>
      </w:r>
      <w:r>
        <w:t>, fest</w:t>
      </w:r>
      <w:r w:rsidR="00690100" w:rsidRPr="00F90673">
        <w:t xml:space="preserve">. </w:t>
      </w:r>
      <w:r>
        <w:t>Sie hat  folgende</w:t>
      </w:r>
      <w:r w:rsidR="00690100" w:rsidRPr="00F90673">
        <w:t xml:space="preserve"> </w:t>
      </w:r>
      <w:r w:rsidR="00F90673" w:rsidRPr="00F90673">
        <w:t>Maßnahmen</w:t>
      </w:r>
      <w:r w:rsidR="00690100" w:rsidRPr="00F90673">
        <w:t xml:space="preserve"> geprüft, welche die Erfordernisse der Sortenämter abdecken könnten: </w:t>
      </w:r>
    </w:p>
    <w:p w:rsidR="00E1535A" w:rsidRPr="00F90673" w:rsidRDefault="00E1535A" w:rsidP="00E1535A">
      <w:pPr>
        <w:ind w:left="567"/>
      </w:pPr>
    </w:p>
    <w:p w:rsidR="00E1535A" w:rsidRPr="00F90673" w:rsidRDefault="00F90673" w:rsidP="00E1535A">
      <w:pPr>
        <w:ind w:left="567"/>
        <w:rPr>
          <w:i/>
        </w:rPr>
      </w:pPr>
      <w:r w:rsidRPr="00F90673">
        <w:rPr>
          <w:i/>
        </w:rPr>
        <w:t>Punkt</w:t>
      </w:r>
      <w:r w:rsidR="00E1535A" w:rsidRPr="00F90673">
        <w:rPr>
          <w:i/>
        </w:rPr>
        <w:t xml:space="preserve"> 8</w:t>
      </w:r>
    </w:p>
    <w:p w:rsidR="00E1535A" w:rsidRPr="00F90673" w:rsidRDefault="00E1535A" w:rsidP="00E1535A">
      <w:pPr>
        <w:ind w:left="567"/>
        <w:rPr>
          <w:sz w:val="16"/>
        </w:rPr>
      </w:pPr>
    </w:p>
    <w:p w:rsidR="00E1535A" w:rsidRPr="00F90673" w:rsidRDefault="00F90673" w:rsidP="00E1535A">
      <w:pPr>
        <w:ind w:left="567"/>
      </w:pPr>
      <w:r w:rsidRPr="00F90673">
        <w:t xml:space="preserve">Die WG-ISC betonte, </w:t>
      </w:r>
      <w:r w:rsidR="007C5568">
        <w:t>daß</w:t>
      </w:r>
      <w:r w:rsidRPr="00F90673">
        <w:t xml:space="preserve"> sie diesen Punkt </w:t>
      </w:r>
      <w:r w:rsidR="005A1832">
        <w:t>an ihrer</w:t>
      </w:r>
      <w:r w:rsidRPr="00F90673">
        <w:t xml:space="preserve"> zweiten Sitzung nicht als </w:t>
      </w:r>
      <w:r w:rsidR="005A1832">
        <w:t xml:space="preserve">eine </w:t>
      </w:r>
      <w:r w:rsidRPr="00F90673">
        <w:t>hohe Priorität</w:t>
      </w:r>
      <w:r w:rsidR="003A6039">
        <w:t xml:space="preserve"> e</w:t>
      </w:r>
      <w:r w:rsidRPr="00F90673">
        <w:t xml:space="preserve">rachtet hatte und vereinbarte, diesen zum betreffenden Zeitpunkt nicht weiter zu prüfen. </w:t>
      </w:r>
    </w:p>
    <w:p w:rsidR="00E1535A" w:rsidRPr="00F90673" w:rsidRDefault="00E1535A" w:rsidP="00E1535A">
      <w:pPr>
        <w:ind w:left="567"/>
      </w:pPr>
    </w:p>
    <w:p w:rsidR="00E1535A" w:rsidRPr="00F90673" w:rsidRDefault="00F90673" w:rsidP="00E1535A">
      <w:pPr>
        <w:ind w:left="567"/>
        <w:rPr>
          <w:i/>
        </w:rPr>
      </w:pPr>
      <w:r w:rsidRPr="00F90673">
        <w:rPr>
          <w:i/>
        </w:rPr>
        <w:t>Punkt</w:t>
      </w:r>
      <w:r w:rsidR="00E1535A" w:rsidRPr="00F90673">
        <w:rPr>
          <w:i/>
        </w:rPr>
        <w:t xml:space="preserve"> 9</w:t>
      </w:r>
    </w:p>
    <w:p w:rsidR="00E1535A" w:rsidRPr="00F90673" w:rsidRDefault="00E1535A" w:rsidP="00E1535A">
      <w:pPr>
        <w:ind w:left="567"/>
        <w:rPr>
          <w:sz w:val="16"/>
        </w:rPr>
      </w:pPr>
    </w:p>
    <w:p w:rsidR="00E1535A" w:rsidRPr="00F90673" w:rsidRDefault="00F90673" w:rsidP="00E1535A">
      <w:pPr>
        <w:ind w:left="567"/>
      </w:pPr>
      <w:r w:rsidRPr="00F90673">
        <w:t xml:space="preserve">Die WG-ISC vereinbarte, </w:t>
      </w:r>
      <w:r w:rsidR="007C5568">
        <w:t>daß</w:t>
      </w:r>
      <w:r w:rsidRPr="00F90673">
        <w:t xml:space="preserve"> geprüft werden sollte, wie den UPOV-Vereinsmitgliedern geholfen werden kann, ihre DUS-Prüfungen und Informationen in Bezug auf ihre Qualitätssicherungssysteme für andere Verbandsmitglieder verfügbar zu </w:t>
      </w:r>
      <w:r>
        <w:t>m</w:t>
      </w:r>
      <w:r w:rsidRPr="00F90673">
        <w:t>achen</w:t>
      </w:r>
      <w:r w:rsidR="00E1535A" w:rsidRPr="00F90673">
        <w:t>.</w:t>
      </w:r>
    </w:p>
    <w:p w:rsidR="00E1535A" w:rsidRPr="00F90673" w:rsidRDefault="00E1535A" w:rsidP="00E1535A">
      <w:pPr>
        <w:ind w:left="567"/>
        <w:rPr>
          <w:sz w:val="16"/>
        </w:rPr>
      </w:pPr>
    </w:p>
    <w:p w:rsidR="00E1535A" w:rsidRPr="002723DB" w:rsidRDefault="00F90673" w:rsidP="00E1535A">
      <w:pPr>
        <w:ind w:left="567"/>
        <w:rPr>
          <w:lang w:val="de-CH"/>
        </w:rPr>
      </w:pPr>
      <w:r w:rsidRPr="002723DB">
        <w:rPr>
          <w:lang w:val="de-CH"/>
        </w:rPr>
        <w:t>Die WG-ISC vereinbarte zu überprüfen, wie die Kontaktdaten von DUS-Experten mit praktischem Wissen bezüglich DUS-Testverfahren</w:t>
      </w:r>
      <w:r w:rsidR="002723DB">
        <w:rPr>
          <w:lang w:val="de-CH"/>
        </w:rPr>
        <w:t xml:space="preserve"> für spezifische Sorten / Arten</w:t>
      </w:r>
      <w:r w:rsidRPr="002723DB">
        <w:rPr>
          <w:lang w:val="de-CH"/>
        </w:rPr>
        <w:t xml:space="preserve"> </w:t>
      </w:r>
      <w:r w:rsidR="002723DB" w:rsidRPr="002723DB">
        <w:rPr>
          <w:lang w:val="de-CH"/>
        </w:rPr>
        <w:t xml:space="preserve">in der GENIE-Datenbank hinzugefügt </w:t>
      </w:r>
      <w:r w:rsidR="002723DB">
        <w:rPr>
          <w:lang w:val="de-CH"/>
        </w:rPr>
        <w:t>we</w:t>
      </w:r>
      <w:r w:rsidR="002723DB" w:rsidRPr="002723DB">
        <w:rPr>
          <w:lang w:val="de-CH"/>
        </w:rPr>
        <w:t xml:space="preserve">rden </w:t>
      </w:r>
      <w:r w:rsidR="002723DB">
        <w:rPr>
          <w:lang w:val="de-CH"/>
        </w:rPr>
        <w:t>können</w:t>
      </w:r>
      <w:r w:rsidR="00E1535A" w:rsidRPr="002723DB">
        <w:rPr>
          <w:lang w:val="de-CH"/>
        </w:rPr>
        <w:t>.</w:t>
      </w:r>
    </w:p>
    <w:p w:rsidR="00E1535A" w:rsidRPr="002723DB" w:rsidRDefault="00E1535A" w:rsidP="00E1535A">
      <w:pPr>
        <w:ind w:left="567"/>
        <w:rPr>
          <w:sz w:val="16"/>
          <w:lang w:val="de-CH"/>
        </w:rPr>
      </w:pPr>
    </w:p>
    <w:p w:rsidR="00E1535A" w:rsidRPr="0045362A" w:rsidRDefault="0045362A" w:rsidP="0045362A">
      <w:pPr>
        <w:ind w:left="567"/>
      </w:pPr>
      <w:r>
        <w:t xml:space="preserve">Die WG-ISC vereinbarte, </w:t>
      </w:r>
      <w:r w:rsidR="007C5568">
        <w:t>daß</w:t>
      </w:r>
      <w:r>
        <w:t xml:space="preserve"> es in jenen Fällen nicht machbar sei die Zusammenarbeit zum Erhalt von Pflanzenmaterial zu vereinfachen, wo die DUS-Prüfung von einem anderen Verbandsmitglied durchgeführt wird</w:t>
      </w:r>
      <w:r w:rsidR="00E1535A" w:rsidRPr="0045362A">
        <w:rPr>
          <w:lang w:val="de-CH"/>
        </w:rPr>
        <w:t>.</w:t>
      </w:r>
    </w:p>
    <w:p w:rsidR="00E1535A" w:rsidRPr="0045362A" w:rsidRDefault="00E1535A" w:rsidP="00E1535A">
      <w:pPr>
        <w:ind w:left="567"/>
        <w:rPr>
          <w:lang w:val="de-CH"/>
        </w:rPr>
      </w:pPr>
    </w:p>
    <w:p w:rsidR="00E1535A" w:rsidRPr="00F90673" w:rsidRDefault="0045362A" w:rsidP="00E1535A">
      <w:pPr>
        <w:ind w:left="567"/>
        <w:rPr>
          <w:i/>
        </w:rPr>
      </w:pPr>
      <w:r>
        <w:rPr>
          <w:i/>
        </w:rPr>
        <w:t>Punkt</w:t>
      </w:r>
      <w:r w:rsidR="00E1535A" w:rsidRPr="00F90673">
        <w:rPr>
          <w:i/>
        </w:rPr>
        <w:t xml:space="preserve"> 10</w:t>
      </w:r>
    </w:p>
    <w:p w:rsidR="00E1535A" w:rsidRPr="00F90673" w:rsidRDefault="00E1535A" w:rsidP="00E1535A">
      <w:pPr>
        <w:ind w:left="567"/>
        <w:rPr>
          <w:sz w:val="16"/>
        </w:rPr>
      </w:pPr>
    </w:p>
    <w:p w:rsidR="00E1535A" w:rsidRPr="00E86ACB" w:rsidRDefault="00C45CDF" w:rsidP="00E86ACB">
      <w:pPr>
        <w:ind w:left="567"/>
      </w:pPr>
      <w:r>
        <w:t xml:space="preserve">Die WG-ISC vereinbarte, </w:t>
      </w:r>
      <w:r w:rsidR="007C5568">
        <w:t>daß</w:t>
      </w:r>
      <w:r>
        <w:t xml:space="preserve"> der Technische Ausschuss und die Technischen Arbeitsgruppen unterstützt werden sollten, Möglichkeiten für eine vereinfachte Zusammenarbeit bei ausgewählten Sorten/Arten </w:t>
      </w:r>
      <w:r w:rsidR="00E86ACB">
        <w:t>in jenen Fällen zu eruieren, wo bereits eine Kooperation zwischen einzelnen Verbandsmitgliedern entstanden sei</w:t>
      </w:r>
      <w:r w:rsidR="00E1535A" w:rsidRPr="00E86ACB">
        <w:rPr>
          <w:lang w:val="de-CH"/>
        </w:rPr>
        <w:t>.</w:t>
      </w:r>
    </w:p>
    <w:p w:rsidR="00E1535A" w:rsidRPr="00E86ACB" w:rsidRDefault="00E1535A" w:rsidP="00E1535A">
      <w:pPr>
        <w:ind w:left="567"/>
        <w:rPr>
          <w:lang w:val="de-CH"/>
        </w:rPr>
      </w:pPr>
    </w:p>
    <w:p w:rsidR="00E1535A" w:rsidRPr="00F07FE6" w:rsidRDefault="00E86ACB" w:rsidP="00E1535A">
      <w:pPr>
        <w:ind w:left="567"/>
        <w:rPr>
          <w:i/>
          <w:lang w:val="de-CH"/>
        </w:rPr>
      </w:pPr>
      <w:r w:rsidRPr="005A1832">
        <w:rPr>
          <w:i/>
        </w:rPr>
        <w:t>Punkt</w:t>
      </w:r>
      <w:r w:rsidR="00E1535A" w:rsidRPr="00F07FE6">
        <w:rPr>
          <w:i/>
          <w:lang w:val="de-CH"/>
        </w:rPr>
        <w:t xml:space="preserve"> 22</w:t>
      </w:r>
    </w:p>
    <w:p w:rsidR="00E1535A" w:rsidRPr="00F07FE6" w:rsidRDefault="00E1535A" w:rsidP="00E1535A">
      <w:pPr>
        <w:ind w:left="567"/>
        <w:rPr>
          <w:sz w:val="16"/>
          <w:lang w:val="de-CH"/>
        </w:rPr>
      </w:pPr>
    </w:p>
    <w:p w:rsidR="00F351A1" w:rsidRDefault="00F351A1" w:rsidP="00E1535A">
      <w:pPr>
        <w:ind w:left="567"/>
        <w:rPr>
          <w:lang w:val="de-CH"/>
        </w:rPr>
      </w:pPr>
      <w:r w:rsidRPr="00F351A1">
        <w:rPr>
          <w:lang w:val="de-CH"/>
        </w:rPr>
        <w:t xml:space="preserve">Die WG-ISC vereinbarte, </w:t>
      </w:r>
      <w:r w:rsidR="007C5568">
        <w:rPr>
          <w:lang w:val="de-CH"/>
        </w:rPr>
        <w:t>daß</w:t>
      </w:r>
      <w:r w:rsidRPr="00F351A1">
        <w:rPr>
          <w:lang w:val="de-CH"/>
        </w:rPr>
        <w:t xml:space="preserve"> die Entwicklung v</w:t>
      </w:r>
      <w:r w:rsidR="00F974FD">
        <w:rPr>
          <w:lang w:val="de-CH"/>
        </w:rPr>
        <w:t>on Datenbanken mit</w:t>
      </w:r>
      <w:r>
        <w:rPr>
          <w:lang w:val="de-CH"/>
        </w:rPr>
        <w:t xml:space="preserve"> Sortenbeschreibung</w:t>
      </w:r>
      <w:r w:rsidR="00F974FD">
        <w:rPr>
          <w:lang w:val="de-CH"/>
        </w:rPr>
        <w:t>en</w:t>
      </w:r>
      <w:r w:rsidRPr="00F351A1">
        <w:rPr>
          <w:lang w:val="de-CH"/>
        </w:rPr>
        <w:t xml:space="preserve"> auf bereits bestehenden Initiativen zwischen Verba</w:t>
      </w:r>
      <w:r>
        <w:rPr>
          <w:lang w:val="de-CH"/>
        </w:rPr>
        <w:t xml:space="preserve">ndsmitgliedern basieren sollte.  Die WG-ISC vereinbarte, </w:t>
      </w:r>
      <w:r w:rsidR="007C5568">
        <w:rPr>
          <w:lang w:val="de-CH"/>
        </w:rPr>
        <w:t>daß</w:t>
      </w:r>
      <w:r>
        <w:rPr>
          <w:lang w:val="de-CH"/>
        </w:rPr>
        <w:t xml:space="preserve"> die Rolle der UPOV zur Unterstützung der Vereinsmitglieder geprüft werden sollte, was die Entwicklung, Erhaltung und den Ausbau von geteilten Datenbanken betrifft (z.B. durch </w:t>
      </w:r>
      <w:r w:rsidR="000E40F3">
        <w:rPr>
          <w:lang w:val="de-CH"/>
        </w:rPr>
        <w:t xml:space="preserve">Beratung in Bezug auf Datenmodelle), anstatt die Einbindung der Daten in die PLUTO-Datenbank </w:t>
      </w:r>
      <w:r w:rsidR="004C60A7">
        <w:rPr>
          <w:lang w:val="de-CH"/>
        </w:rPr>
        <w:t>anzustreben</w:t>
      </w:r>
      <w:r w:rsidR="000E40F3">
        <w:rPr>
          <w:lang w:val="de-CH"/>
        </w:rPr>
        <w:t xml:space="preserve">. </w:t>
      </w:r>
    </w:p>
    <w:p w:rsidR="00E1535A" w:rsidRPr="000E40F3" w:rsidRDefault="00E1535A" w:rsidP="00DB4A27">
      <w:pPr>
        <w:spacing w:line="360" w:lineRule="auto"/>
        <w:rPr>
          <w:lang w:val="de-CH"/>
        </w:rPr>
      </w:pPr>
    </w:p>
    <w:p w:rsidR="00E1535A" w:rsidRPr="00371440" w:rsidRDefault="005A1832" w:rsidP="00E1535A">
      <w:pPr>
        <w:keepNext/>
        <w:ind w:left="567"/>
        <w:jc w:val="left"/>
      </w:pPr>
      <w:r w:rsidRPr="00371440">
        <w:lastRenderedPageBreak/>
        <w:t>NEUHEIT</w:t>
      </w:r>
    </w:p>
    <w:p w:rsidR="00E1535A" w:rsidRPr="00371440" w:rsidRDefault="00E1535A" w:rsidP="00E1535A">
      <w:pPr>
        <w:keepNext/>
        <w:ind w:left="567"/>
        <w:jc w:val="left"/>
        <w:rPr>
          <w:sz w:val="18"/>
        </w:rPr>
      </w:pPr>
    </w:p>
    <w:p w:rsidR="00E1535A" w:rsidRDefault="005A1832" w:rsidP="005A1832">
      <w:pPr>
        <w:ind w:left="567"/>
      </w:pPr>
      <w:r w:rsidRPr="00371440">
        <w:t>Die WG-ISC hielt die Bedürfnisse der Sortenämter wie in (i) und (iii) aufgeführt, fest. Sie hat  folgende Maßnahmen geprüft, welche die Erfordernisse der Sortenämter abdecken könnten</w:t>
      </w:r>
      <w:r w:rsidR="00E1535A" w:rsidRPr="00371440">
        <w:t xml:space="preserve">: </w:t>
      </w:r>
    </w:p>
    <w:p w:rsidR="00DB4A27" w:rsidRPr="00371440" w:rsidRDefault="00DB4A27" w:rsidP="005A1832">
      <w:pPr>
        <w:ind w:left="567"/>
      </w:pPr>
    </w:p>
    <w:p w:rsidR="00E1535A" w:rsidRPr="00371440" w:rsidRDefault="005A1832" w:rsidP="00E1535A">
      <w:pPr>
        <w:keepNext/>
        <w:ind w:left="567"/>
        <w:rPr>
          <w:i/>
        </w:rPr>
      </w:pPr>
      <w:r w:rsidRPr="00371440">
        <w:rPr>
          <w:i/>
        </w:rPr>
        <w:t>Punkt</w:t>
      </w:r>
      <w:r w:rsidR="00E1535A" w:rsidRPr="00371440">
        <w:rPr>
          <w:i/>
        </w:rPr>
        <w:t xml:space="preserve"> 11</w:t>
      </w:r>
    </w:p>
    <w:p w:rsidR="00E1535A" w:rsidRPr="00371440" w:rsidRDefault="00E1535A" w:rsidP="00E1535A">
      <w:pPr>
        <w:keepNext/>
        <w:ind w:left="567"/>
        <w:jc w:val="left"/>
        <w:rPr>
          <w:sz w:val="16"/>
        </w:rPr>
      </w:pPr>
    </w:p>
    <w:p w:rsidR="00E1535A" w:rsidRPr="00371440" w:rsidRDefault="005A1832" w:rsidP="00E1535A">
      <w:pPr>
        <w:ind w:left="567"/>
      </w:pPr>
      <w:r w:rsidRPr="00371440">
        <w:t xml:space="preserve">Die WG-ISC betonte, </w:t>
      </w:r>
      <w:r w:rsidR="007C5568">
        <w:t>daß</w:t>
      </w:r>
      <w:r w:rsidRPr="00371440">
        <w:t xml:space="preserve"> sie diesen Punkt an ihrer zweiten Sitzung nicht als eine hohe Priorität betrachtet hatte und vereinbarte, diesen zum betreffenden Zeitpunkt nicht weiter zu prüfen</w:t>
      </w:r>
      <w:r w:rsidR="00E1535A" w:rsidRPr="00371440">
        <w:t>.</w:t>
      </w:r>
    </w:p>
    <w:p w:rsidR="00E1535A" w:rsidRPr="00371440" w:rsidRDefault="00E1535A" w:rsidP="00E1535A">
      <w:pPr>
        <w:ind w:left="567"/>
        <w:jc w:val="left"/>
      </w:pPr>
    </w:p>
    <w:p w:rsidR="00E1535A" w:rsidRPr="00371440" w:rsidRDefault="008D0399" w:rsidP="00E1535A">
      <w:pPr>
        <w:ind w:left="567"/>
        <w:rPr>
          <w:i/>
        </w:rPr>
      </w:pPr>
      <w:r w:rsidRPr="00371440">
        <w:rPr>
          <w:i/>
        </w:rPr>
        <w:t>Punkt</w:t>
      </w:r>
      <w:r w:rsidR="00E1535A" w:rsidRPr="00371440">
        <w:rPr>
          <w:i/>
        </w:rPr>
        <w:t xml:space="preserve"> 12</w:t>
      </w:r>
    </w:p>
    <w:p w:rsidR="00E1535A" w:rsidRPr="00371440" w:rsidRDefault="00E1535A" w:rsidP="00E1535A">
      <w:pPr>
        <w:ind w:left="567"/>
        <w:jc w:val="left"/>
        <w:rPr>
          <w:sz w:val="16"/>
        </w:rPr>
      </w:pPr>
    </w:p>
    <w:p w:rsidR="00371440" w:rsidRPr="00371440" w:rsidRDefault="00371440" w:rsidP="00371440">
      <w:pPr>
        <w:ind w:left="567"/>
      </w:pPr>
      <w:r w:rsidRPr="00371440">
        <w:t xml:space="preserve">Die WG-ISC betonte, </w:t>
      </w:r>
      <w:r w:rsidR="007C5568">
        <w:t>daß</w:t>
      </w:r>
      <w:r w:rsidRPr="00371440">
        <w:t xml:space="preserve"> sie diesen Punkt an ihrer zweiten Sitzung nicht als eine hohe Priorität</w:t>
      </w:r>
      <w:r w:rsidR="003A6039">
        <w:t xml:space="preserve"> e</w:t>
      </w:r>
      <w:r w:rsidRPr="00371440">
        <w:t>rachtet hatte und vereinbarte, diesen zum betreffenden Zeitpunkt nicht weiter zu prüfen.</w:t>
      </w:r>
    </w:p>
    <w:p w:rsidR="00E1535A" w:rsidRPr="003A6039" w:rsidRDefault="00E1535A" w:rsidP="00E1535A">
      <w:pPr>
        <w:rPr>
          <w:lang w:val="de-CH"/>
        </w:rPr>
      </w:pPr>
    </w:p>
    <w:p w:rsidR="00E1535A" w:rsidRPr="00371440" w:rsidRDefault="008D0399" w:rsidP="00E1535A">
      <w:pPr>
        <w:ind w:left="567"/>
        <w:rPr>
          <w:i/>
        </w:rPr>
      </w:pPr>
      <w:r w:rsidRPr="00371440">
        <w:rPr>
          <w:i/>
        </w:rPr>
        <w:t>Punkte 16 u</w:t>
      </w:r>
      <w:r w:rsidR="00E1535A" w:rsidRPr="00371440">
        <w:rPr>
          <w:i/>
        </w:rPr>
        <w:t>nd 17</w:t>
      </w:r>
    </w:p>
    <w:p w:rsidR="00E1535A" w:rsidRPr="00371440" w:rsidRDefault="00E1535A" w:rsidP="00E1535A">
      <w:pPr>
        <w:ind w:left="567"/>
        <w:rPr>
          <w:sz w:val="16"/>
        </w:rPr>
      </w:pPr>
    </w:p>
    <w:p w:rsidR="00E1535A" w:rsidRPr="00371440" w:rsidRDefault="00371440" w:rsidP="00371440">
      <w:pPr>
        <w:ind w:left="567"/>
      </w:pPr>
      <w:r>
        <w:t xml:space="preserve">Die WG-ISC vereinbarte, </w:t>
      </w:r>
      <w:r w:rsidR="007C5568">
        <w:t>daß</w:t>
      </w:r>
      <w:r>
        <w:t xml:space="preserve"> eine Überarbeitung der Antragsformulare in UPOV PRISMA bezüglich Suchoptionen für Informationen von Antragstellern zum Thema Neuheit, geprüft werden sollte. </w:t>
      </w:r>
    </w:p>
    <w:p w:rsidR="00E1535A" w:rsidRPr="00371440" w:rsidRDefault="00E1535A" w:rsidP="00DB4A27">
      <w:pPr>
        <w:spacing w:line="360" w:lineRule="auto"/>
        <w:ind w:left="567"/>
        <w:rPr>
          <w:lang w:val="de-CH"/>
        </w:rPr>
      </w:pPr>
    </w:p>
    <w:p w:rsidR="00E1535A" w:rsidRPr="00371440" w:rsidRDefault="008D0399" w:rsidP="00E1535A">
      <w:pPr>
        <w:ind w:left="567"/>
      </w:pPr>
      <w:r w:rsidRPr="00371440">
        <w:t>RECHT AUF ZEITVORRANG</w:t>
      </w:r>
    </w:p>
    <w:p w:rsidR="00E1535A" w:rsidRPr="00371440" w:rsidRDefault="00E1535A" w:rsidP="00E1535A">
      <w:pPr>
        <w:ind w:left="567"/>
      </w:pPr>
    </w:p>
    <w:p w:rsidR="00E1535A" w:rsidRPr="00F45B23" w:rsidRDefault="00F45B23" w:rsidP="00F45B23">
      <w:pPr>
        <w:ind w:left="567"/>
      </w:pPr>
      <w:r>
        <w:t xml:space="preserve">Die WG-ISC hielt die Bedürfnisse der Sortenämter, wie in (i) aufgeführt, fest, führte aber auch an, </w:t>
      </w:r>
      <w:r w:rsidR="007C5568">
        <w:t>daß</w:t>
      </w:r>
      <w:r>
        <w:t xml:space="preserve"> es keine durchführbaren Maßnahmen gäbe, um diese Erfordernisse zu erfüllen</w:t>
      </w:r>
      <w:r w:rsidR="00E1535A" w:rsidRPr="00F45B23">
        <w:rPr>
          <w:lang w:val="de-CH"/>
        </w:rPr>
        <w:t>.</w:t>
      </w:r>
    </w:p>
    <w:p w:rsidR="00E1535A" w:rsidRPr="00F45B23" w:rsidRDefault="00E1535A" w:rsidP="00DB4A27">
      <w:pPr>
        <w:spacing w:line="360" w:lineRule="auto"/>
        <w:ind w:left="567"/>
        <w:rPr>
          <w:lang w:val="de-CH"/>
        </w:rPr>
      </w:pPr>
    </w:p>
    <w:p w:rsidR="00E1535A" w:rsidRPr="00371440" w:rsidRDefault="00F45B23" w:rsidP="00E1535A">
      <w:pPr>
        <w:ind w:left="567"/>
      </w:pPr>
      <w:r>
        <w:t>BEZEICHNUNG</w:t>
      </w:r>
    </w:p>
    <w:p w:rsidR="00E1535A" w:rsidRPr="00371440" w:rsidRDefault="00E1535A" w:rsidP="00E1535A">
      <w:pPr>
        <w:ind w:left="567"/>
      </w:pPr>
    </w:p>
    <w:p w:rsidR="00BD47FD" w:rsidRDefault="00BD47FD" w:rsidP="00E1535A">
      <w:pPr>
        <w:ind w:left="567"/>
      </w:pPr>
      <w:r>
        <w:t>Die WG-ISC hielt die Bedürfnisse der Sortenämter, wie in (i) bis (v) aufgeführt, fest.</w:t>
      </w:r>
    </w:p>
    <w:p w:rsidR="00E1535A" w:rsidRDefault="00E1535A" w:rsidP="00E1535A">
      <w:pPr>
        <w:ind w:left="567"/>
      </w:pPr>
    </w:p>
    <w:p w:rsidR="00983B0F" w:rsidRPr="00371440" w:rsidRDefault="00983B0F" w:rsidP="00E1535A">
      <w:pPr>
        <w:ind w:left="567"/>
        <w:rPr>
          <w:sz w:val="16"/>
        </w:rPr>
      </w:pPr>
      <w:r>
        <w:t xml:space="preserve">Die WG-ISC vereinbarte, </w:t>
      </w:r>
      <w:r w:rsidR="007C5568">
        <w:t>daß</w:t>
      </w:r>
      <w:r>
        <w:t xml:space="preserve"> die Einrichtung eines Netzwerks von Kontaktpersonen für Sortenbezeichnungen, in Erwägung gezogen werden sollte. </w:t>
      </w:r>
    </w:p>
    <w:p w:rsidR="00E1535A" w:rsidRDefault="00E1535A" w:rsidP="00E1535A">
      <w:pPr>
        <w:ind w:left="567"/>
      </w:pPr>
    </w:p>
    <w:p w:rsidR="00983B0F" w:rsidRPr="00371440" w:rsidRDefault="00983B0F" w:rsidP="00E1535A">
      <w:pPr>
        <w:ind w:left="567"/>
        <w:rPr>
          <w:sz w:val="16"/>
          <w:lang w:eastAsia="ja-JP"/>
        </w:rPr>
      </w:pPr>
      <w:r>
        <w:t>Die WG-ISC prüfte auch folgende zusätzliche Maßnahmen, welche die Bedürfnisse der Sortenämter abdecken könnten:</w:t>
      </w:r>
    </w:p>
    <w:p w:rsidR="00E1535A" w:rsidRPr="00F07FE6" w:rsidRDefault="00E1535A" w:rsidP="00E1535A">
      <w:pPr>
        <w:ind w:left="567"/>
        <w:rPr>
          <w:lang w:val="de-CH"/>
        </w:rPr>
      </w:pPr>
    </w:p>
    <w:p w:rsidR="00E1535A" w:rsidRPr="00F07FE6" w:rsidRDefault="0099578E" w:rsidP="00E1535A">
      <w:pPr>
        <w:ind w:left="567"/>
        <w:rPr>
          <w:i/>
          <w:lang w:val="de-CH"/>
        </w:rPr>
      </w:pPr>
      <w:r w:rsidRPr="00F07FE6">
        <w:rPr>
          <w:i/>
          <w:lang w:val="de-CH"/>
        </w:rPr>
        <w:t>Punkt</w:t>
      </w:r>
      <w:r w:rsidR="00E1535A" w:rsidRPr="00F07FE6">
        <w:rPr>
          <w:i/>
          <w:lang w:val="de-CH"/>
        </w:rPr>
        <w:t xml:space="preserve"> 11</w:t>
      </w:r>
    </w:p>
    <w:p w:rsidR="00E1535A" w:rsidRPr="00F07FE6" w:rsidRDefault="00E1535A" w:rsidP="00E1535A">
      <w:pPr>
        <w:ind w:left="567"/>
        <w:jc w:val="left"/>
        <w:rPr>
          <w:sz w:val="16"/>
          <w:lang w:val="de-CH"/>
        </w:rPr>
      </w:pPr>
    </w:p>
    <w:p w:rsidR="00E1535A" w:rsidRPr="003A6039" w:rsidRDefault="003A6039" w:rsidP="00E1535A">
      <w:pPr>
        <w:ind w:left="567"/>
        <w:rPr>
          <w:lang w:val="de-CH"/>
        </w:rPr>
      </w:pPr>
      <w:r w:rsidRPr="003A6039">
        <w:rPr>
          <w:lang w:val="de-CH"/>
        </w:rPr>
        <w:t xml:space="preserve">Die WG-ISC betonte, </w:t>
      </w:r>
      <w:r w:rsidR="007C5568">
        <w:rPr>
          <w:lang w:val="de-CH"/>
        </w:rPr>
        <w:t>daß</w:t>
      </w:r>
      <w:r w:rsidRPr="003A6039">
        <w:rPr>
          <w:lang w:val="de-CH"/>
        </w:rPr>
        <w:t xml:space="preserve"> sie diesen Punkt an ihrer zweiten Sitzung nicht als eine hohe Priorität erachtet hatte und vereinbarte, diesen zum betreffenden Zeitpunkt nicht weiter zu prüfen</w:t>
      </w:r>
      <w:r w:rsidR="00E1535A" w:rsidRPr="003A6039">
        <w:rPr>
          <w:lang w:val="de-CH"/>
        </w:rPr>
        <w:t>.</w:t>
      </w:r>
    </w:p>
    <w:p w:rsidR="00E1535A" w:rsidRPr="003A6039" w:rsidRDefault="00E1535A" w:rsidP="00E1535A">
      <w:pPr>
        <w:ind w:left="567"/>
        <w:jc w:val="left"/>
        <w:rPr>
          <w:lang w:val="de-CH"/>
        </w:rPr>
      </w:pPr>
    </w:p>
    <w:p w:rsidR="00E1535A" w:rsidRPr="00371440" w:rsidRDefault="0099578E" w:rsidP="00E1535A">
      <w:pPr>
        <w:ind w:left="567"/>
        <w:rPr>
          <w:i/>
        </w:rPr>
      </w:pPr>
      <w:r>
        <w:rPr>
          <w:i/>
        </w:rPr>
        <w:t>Punkt 12</w:t>
      </w:r>
    </w:p>
    <w:p w:rsidR="00E1535A" w:rsidRPr="00371440" w:rsidRDefault="00E1535A" w:rsidP="00E1535A">
      <w:pPr>
        <w:ind w:left="567"/>
        <w:jc w:val="left"/>
        <w:rPr>
          <w:sz w:val="16"/>
        </w:rPr>
      </w:pPr>
    </w:p>
    <w:p w:rsidR="00E1535A" w:rsidRPr="006D13BE" w:rsidRDefault="006D13BE" w:rsidP="006D13BE">
      <w:pPr>
        <w:ind w:left="567"/>
      </w:pPr>
      <w:r w:rsidRPr="003A6039">
        <w:rPr>
          <w:lang w:val="de-CH"/>
        </w:rPr>
        <w:t xml:space="preserve">Die WG-ISC betonte, </w:t>
      </w:r>
      <w:r w:rsidR="007C5568">
        <w:rPr>
          <w:lang w:val="de-CH"/>
        </w:rPr>
        <w:t>daß</w:t>
      </w:r>
      <w:r w:rsidRPr="003A6039">
        <w:rPr>
          <w:lang w:val="de-CH"/>
        </w:rPr>
        <w:t xml:space="preserve"> sie diesen Punkt an ihrer zweiten Sitzung nicht als eine hohe Priorität erachtet hatte und vereinbarte, diesen zum betreffenden Zeitpunkt nicht weiter zu prüfen</w:t>
      </w:r>
      <w:r w:rsidR="00E1535A" w:rsidRPr="006D13BE">
        <w:rPr>
          <w:lang w:val="de-CH"/>
        </w:rPr>
        <w:t>.</w:t>
      </w:r>
    </w:p>
    <w:p w:rsidR="00E1535A" w:rsidRPr="006D13BE" w:rsidRDefault="00E1535A" w:rsidP="00E1535A">
      <w:pPr>
        <w:ind w:left="567"/>
        <w:rPr>
          <w:lang w:val="de-CH"/>
        </w:rPr>
      </w:pPr>
    </w:p>
    <w:p w:rsidR="00E1535A" w:rsidRPr="00371440" w:rsidRDefault="0099578E" w:rsidP="00E1535A">
      <w:pPr>
        <w:ind w:left="567"/>
        <w:rPr>
          <w:i/>
        </w:rPr>
      </w:pPr>
      <w:r>
        <w:rPr>
          <w:i/>
        </w:rPr>
        <w:t>Punkt</w:t>
      </w:r>
      <w:r w:rsidR="00E1535A" w:rsidRPr="00371440">
        <w:rPr>
          <w:i/>
        </w:rPr>
        <w:t xml:space="preserve"> 13</w:t>
      </w:r>
    </w:p>
    <w:p w:rsidR="00E1535A" w:rsidRPr="00371440" w:rsidRDefault="00E1535A" w:rsidP="00E1535A">
      <w:pPr>
        <w:ind w:left="567"/>
        <w:jc w:val="left"/>
        <w:rPr>
          <w:sz w:val="16"/>
        </w:rPr>
      </w:pPr>
    </w:p>
    <w:p w:rsidR="00E1535A" w:rsidRPr="006D13BE" w:rsidRDefault="006D13BE" w:rsidP="006D13BE">
      <w:pPr>
        <w:ind w:left="567"/>
      </w:pPr>
      <w:r>
        <w:t xml:space="preserve">Die WG-ISC betonte, </w:t>
      </w:r>
      <w:r w:rsidR="007C5568">
        <w:t>daß</w:t>
      </w:r>
      <w:r>
        <w:t xml:space="preserve"> dieser Punkt zu den Punkten 11 und 12 gehörte und vereinbarte, diesen zum betreffenden Zeitpunkt nicht weiter zu prüfen</w:t>
      </w:r>
      <w:r w:rsidR="00E1535A" w:rsidRPr="006D13BE">
        <w:rPr>
          <w:lang w:val="de-CH"/>
        </w:rPr>
        <w:t>.</w:t>
      </w:r>
    </w:p>
    <w:p w:rsidR="00E1535A" w:rsidRPr="006D13BE" w:rsidRDefault="00E1535A" w:rsidP="00E1535A">
      <w:pPr>
        <w:ind w:left="567"/>
        <w:rPr>
          <w:lang w:val="de-CH"/>
        </w:rPr>
      </w:pPr>
    </w:p>
    <w:p w:rsidR="00E1535A" w:rsidRPr="00371440" w:rsidRDefault="0099578E" w:rsidP="00E1535A">
      <w:pPr>
        <w:ind w:left="567"/>
        <w:rPr>
          <w:i/>
          <w:sz w:val="18"/>
        </w:rPr>
      </w:pPr>
      <w:r>
        <w:rPr>
          <w:i/>
        </w:rPr>
        <w:t>Punkt</w:t>
      </w:r>
      <w:r w:rsidR="00E1535A" w:rsidRPr="00371440">
        <w:rPr>
          <w:i/>
        </w:rPr>
        <w:t xml:space="preserve"> 14</w:t>
      </w:r>
    </w:p>
    <w:p w:rsidR="00E1535A" w:rsidRPr="00371440" w:rsidRDefault="00E1535A" w:rsidP="00E1535A">
      <w:pPr>
        <w:ind w:left="567"/>
        <w:rPr>
          <w:sz w:val="16"/>
        </w:rPr>
      </w:pPr>
    </w:p>
    <w:p w:rsidR="00810720" w:rsidRPr="00DB4A27" w:rsidRDefault="00F9217E" w:rsidP="00DB4A27">
      <w:pPr>
        <w:spacing w:after="240"/>
        <w:ind w:left="567"/>
        <w:rPr>
          <w:spacing w:val="-2"/>
        </w:rPr>
      </w:pPr>
      <w:r w:rsidRPr="00DB4A27">
        <w:rPr>
          <w:spacing w:val="-2"/>
        </w:rPr>
        <w:t xml:space="preserve">Die WG-ISC betonte, </w:t>
      </w:r>
      <w:r w:rsidR="007C5568" w:rsidRPr="00DB4A27">
        <w:rPr>
          <w:spacing w:val="-2"/>
        </w:rPr>
        <w:t>daß</w:t>
      </w:r>
      <w:r w:rsidRPr="00DB4A27">
        <w:rPr>
          <w:spacing w:val="-2"/>
        </w:rPr>
        <w:t xml:space="preserve"> das der </w:t>
      </w:r>
      <w:r w:rsidR="003C7D08" w:rsidRPr="00DB4A27">
        <w:rPr>
          <w:spacing w:val="-2"/>
        </w:rPr>
        <w:t>Verwaltungs- und Rechtsausschuß</w:t>
      </w:r>
      <w:r w:rsidRPr="00DB4A27">
        <w:rPr>
          <w:spacing w:val="-2"/>
        </w:rPr>
        <w:t xml:space="preserve"> (CAJ) mithil</w:t>
      </w:r>
      <w:r w:rsidR="00810720" w:rsidRPr="00DB4A27">
        <w:rPr>
          <w:spacing w:val="-2"/>
        </w:rPr>
        <w:t>fe der Arbeitsgruppe für Sortenb</w:t>
      </w:r>
      <w:r w:rsidRPr="00DB4A27">
        <w:rPr>
          <w:spacing w:val="-2"/>
        </w:rPr>
        <w:t xml:space="preserve">ezeichnungen (WG-DEN), die Entwicklung eines </w:t>
      </w:r>
      <w:r w:rsidR="00810720" w:rsidRPr="00DB4A27">
        <w:rPr>
          <w:spacing w:val="-2"/>
        </w:rPr>
        <w:t>UPOV-Suchinstruments für Ähnlichkeiten zum Zweck der Sortenbezeichnung, in Erwägung zog, und vereinbarte, diesen Schritt als eine Maßnahme zur Erfüllung der Bedürfnisse der Sortenämter zu unterstützen</w:t>
      </w:r>
      <w:r w:rsidR="00E1535A" w:rsidRPr="00DB4A27">
        <w:rPr>
          <w:spacing w:val="-2"/>
        </w:rPr>
        <w:t xml:space="preserve">.  </w:t>
      </w:r>
      <w:r w:rsidR="00810720" w:rsidRPr="00DB4A27">
        <w:rPr>
          <w:spacing w:val="-2"/>
        </w:rPr>
        <w:t xml:space="preserve">Sie hob hervor, </w:t>
      </w:r>
      <w:r w:rsidR="007C5568" w:rsidRPr="00DB4A27">
        <w:rPr>
          <w:spacing w:val="-2"/>
        </w:rPr>
        <w:t>daß</w:t>
      </w:r>
      <w:r w:rsidR="00810720" w:rsidRPr="00DB4A27">
        <w:rPr>
          <w:spacing w:val="-2"/>
        </w:rPr>
        <w:t xml:space="preserve"> die WG-DEN vereinbart hatte zu empfehlen, von einer Ausweitung des Suchinstruments zur Aufnahme von Wörtern oder Elementen, die von den Verbandsmitgliedern als ungeeignet betrachtet werden, abzusehen.</w:t>
      </w:r>
    </w:p>
    <w:p w:rsidR="00E1535A" w:rsidRPr="00BC25F2" w:rsidRDefault="0099578E" w:rsidP="00E1535A">
      <w:pPr>
        <w:keepNext/>
        <w:ind w:left="567"/>
        <w:rPr>
          <w:i/>
          <w:lang w:val="de-CH"/>
        </w:rPr>
      </w:pPr>
      <w:r w:rsidRPr="00BC25F2">
        <w:rPr>
          <w:i/>
          <w:lang w:val="de-CH"/>
        </w:rPr>
        <w:t>Punkt</w:t>
      </w:r>
      <w:r w:rsidR="00E1535A" w:rsidRPr="00BC25F2">
        <w:rPr>
          <w:i/>
          <w:lang w:val="de-CH"/>
        </w:rPr>
        <w:t xml:space="preserve"> 15</w:t>
      </w:r>
    </w:p>
    <w:p w:rsidR="00E1535A" w:rsidRPr="00DB4A27" w:rsidRDefault="00E1535A" w:rsidP="00E1535A">
      <w:pPr>
        <w:keepNext/>
        <w:ind w:left="567"/>
        <w:rPr>
          <w:i/>
          <w:sz w:val="14"/>
          <w:lang w:val="de-CH"/>
        </w:rPr>
      </w:pPr>
    </w:p>
    <w:p w:rsidR="00E1535A" w:rsidRPr="00F07FE6" w:rsidRDefault="00F07FE6" w:rsidP="00F07FE6">
      <w:pPr>
        <w:ind w:left="567"/>
        <w:rPr>
          <w:spacing w:val="-2"/>
          <w:lang w:val="de-CH"/>
        </w:rPr>
      </w:pPr>
      <w:r w:rsidRPr="00F07FE6">
        <w:rPr>
          <w:spacing w:val="-2"/>
          <w:lang w:val="de-CH"/>
        </w:rPr>
        <w:t xml:space="preserve">Die WG-ISC stellte fest, </w:t>
      </w:r>
      <w:r w:rsidR="007C5568">
        <w:rPr>
          <w:spacing w:val="-2"/>
          <w:lang w:val="de-CH"/>
        </w:rPr>
        <w:t>daß</w:t>
      </w:r>
      <w:r>
        <w:rPr>
          <w:spacing w:val="-2"/>
          <w:lang w:val="de-CH"/>
        </w:rPr>
        <w:t xml:space="preserve"> die WG-DEN die Absicht habe zu prüfen, ob zusätzlich zu den Bezeichnungen, welche in der PLUTO-Datenbank enthalten sind, auch andere Bezeichnungen, die von </w:t>
      </w:r>
      <w:r>
        <w:rPr>
          <w:spacing w:val="-2"/>
          <w:lang w:val="de-CH"/>
        </w:rPr>
        <w:lastRenderedPageBreak/>
        <w:t>Verbandsmitgliedern geprüft werden, aufgenommen werden sollen. Die WG-ISC vereinbarte, die Arbeit des CAJ und der WG-DEN in diesem Zusammenhang zu unterstützen</w:t>
      </w:r>
      <w:r w:rsidR="00E1535A" w:rsidRPr="00F07FE6">
        <w:rPr>
          <w:spacing w:val="-2"/>
          <w:lang w:val="de-CH"/>
        </w:rPr>
        <w:t xml:space="preserve">.  </w:t>
      </w:r>
    </w:p>
    <w:p w:rsidR="00DB4A27" w:rsidRPr="00F07FE6" w:rsidRDefault="00DB4A27" w:rsidP="00DB4A27">
      <w:pPr>
        <w:spacing w:line="360" w:lineRule="auto"/>
        <w:ind w:left="567"/>
        <w:rPr>
          <w:lang w:val="de-CH"/>
        </w:rPr>
      </w:pPr>
    </w:p>
    <w:p w:rsidR="00E1535A" w:rsidRPr="00BC25F2" w:rsidRDefault="0099578E" w:rsidP="00E1535A">
      <w:pPr>
        <w:keepNext/>
        <w:ind w:left="567"/>
        <w:rPr>
          <w:lang w:val="de-CH"/>
        </w:rPr>
      </w:pPr>
      <w:r w:rsidRPr="00BC25F2">
        <w:rPr>
          <w:lang w:val="de-CH"/>
        </w:rPr>
        <w:t>ZUSAMMENARBEIT IN VERWALTUNGSANGELEGENHEITEN</w:t>
      </w:r>
    </w:p>
    <w:p w:rsidR="00E1535A" w:rsidRPr="00BC25F2" w:rsidRDefault="00E1535A" w:rsidP="00E1535A">
      <w:pPr>
        <w:keepNext/>
        <w:ind w:left="567"/>
        <w:rPr>
          <w:sz w:val="18"/>
          <w:lang w:val="de-CH"/>
        </w:rPr>
      </w:pPr>
    </w:p>
    <w:p w:rsidR="00E1535A" w:rsidRPr="00E71BF8" w:rsidRDefault="00C51FFC" w:rsidP="00E71BF8">
      <w:pPr>
        <w:ind w:left="567"/>
        <w:rPr>
          <w:lang w:val="de-CH"/>
        </w:rPr>
      </w:pPr>
      <w:r w:rsidRPr="00C51FFC">
        <w:rPr>
          <w:lang w:val="de-CH"/>
        </w:rPr>
        <w:t xml:space="preserve">Die WG-ISC hielt </w:t>
      </w:r>
      <w:r>
        <w:rPr>
          <w:lang w:val="de-CH"/>
        </w:rPr>
        <w:t>die Erfordernisse der Sortenämt</w:t>
      </w:r>
      <w:r w:rsidRPr="00C51FFC">
        <w:rPr>
          <w:lang w:val="de-CH"/>
        </w:rPr>
        <w:t>er, wie i</w:t>
      </w:r>
      <w:r>
        <w:rPr>
          <w:lang w:val="de-CH"/>
        </w:rPr>
        <w:t>n (i) und (ii) aufgeführt, fest</w:t>
      </w:r>
      <w:r w:rsidR="00E1535A" w:rsidRPr="00C51FFC">
        <w:rPr>
          <w:lang w:val="de-CH"/>
        </w:rPr>
        <w:t xml:space="preserve">.  </w:t>
      </w:r>
    </w:p>
    <w:p w:rsidR="00E71BF8" w:rsidRPr="00C51FFC" w:rsidRDefault="00E71BF8" w:rsidP="00E1535A">
      <w:pPr>
        <w:ind w:left="567"/>
        <w:rPr>
          <w:sz w:val="18"/>
          <w:lang w:val="de-CH"/>
        </w:rPr>
      </w:pPr>
    </w:p>
    <w:p w:rsidR="00E71BF8" w:rsidRDefault="00E71BF8" w:rsidP="00E1535A">
      <w:pPr>
        <w:ind w:left="567"/>
        <w:rPr>
          <w:lang w:val="de-CH"/>
        </w:rPr>
      </w:pPr>
      <w:r>
        <w:rPr>
          <w:lang w:val="de-CH"/>
        </w:rPr>
        <w:t xml:space="preserve">Die WG-ISC vereinbarte, </w:t>
      </w:r>
      <w:r w:rsidR="007C5568">
        <w:rPr>
          <w:lang w:val="de-CH"/>
        </w:rPr>
        <w:t>daß</w:t>
      </w:r>
      <w:r>
        <w:rPr>
          <w:lang w:val="de-CH"/>
        </w:rPr>
        <w:t xml:space="preserve"> geprüft werden sol</w:t>
      </w:r>
      <w:r w:rsidR="00EF7125">
        <w:rPr>
          <w:lang w:val="de-CH"/>
        </w:rPr>
        <w:t xml:space="preserve">lte, ob Informationen bezüglich </w:t>
      </w:r>
      <w:r w:rsidR="005705F1">
        <w:rPr>
          <w:lang w:val="de-CH"/>
        </w:rPr>
        <w:t>des Zahlungsvorgangs</w:t>
      </w:r>
      <w:r w:rsidR="00EF7125">
        <w:rPr>
          <w:lang w:val="de-CH"/>
        </w:rPr>
        <w:t xml:space="preserve"> für die Übernahme von DUS-Prüfungsberichten, welche von anderen Verbandsmitgliedern zur Verfügung gestellt werden</w:t>
      </w:r>
      <w:r w:rsidR="003C7D08">
        <w:rPr>
          <w:lang w:val="de-CH"/>
        </w:rPr>
        <w:t xml:space="preserve">, in UPOV </w:t>
      </w:r>
      <w:r w:rsidR="005705F1">
        <w:rPr>
          <w:lang w:val="de-CH"/>
        </w:rPr>
        <w:t>PRISMA eingebunden werden sollen.</w:t>
      </w:r>
    </w:p>
    <w:p w:rsidR="00E1535A" w:rsidRPr="00BC25F2" w:rsidRDefault="00E1535A" w:rsidP="00E1535A">
      <w:pPr>
        <w:ind w:left="567"/>
        <w:rPr>
          <w:lang w:val="de-CH"/>
        </w:rPr>
      </w:pPr>
    </w:p>
    <w:p w:rsidR="00E1535A" w:rsidRPr="00BC25F2" w:rsidRDefault="003B7B47" w:rsidP="00E1535A">
      <w:pPr>
        <w:ind w:left="567"/>
        <w:rPr>
          <w:i/>
          <w:lang w:val="de-CH"/>
        </w:rPr>
      </w:pPr>
      <w:r w:rsidRPr="00BC25F2">
        <w:rPr>
          <w:i/>
          <w:lang w:val="de-CH"/>
        </w:rPr>
        <w:t>Punkt</w:t>
      </w:r>
      <w:r w:rsidR="00E1535A" w:rsidRPr="00BC25F2">
        <w:rPr>
          <w:i/>
          <w:lang w:val="de-CH"/>
        </w:rPr>
        <w:t xml:space="preserve"> 24</w:t>
      </w:r>
    </w:p>
    <w:p w:rsidR="00E1535A" w:rsidRPr="00BC25F2" w:rsidRDefault="00E1535A" w:rsidP="00E1535A">
      <w:pPr>
        <w:ind w:left="567"/>
        <w:rPr>
          <w:sz w:val="16"/>
          <w:lang w:val="de-CH"/>
        </w:rPr>
      </w:pPr>
    </w:p>
    <w:p w:rsidR="00E1535A" w:rsidRPr="002F4661" w:rsidRDefault="002E00B3" w:rsidP="002F4661">
      <w:pPr>
        <w:ind w:left="567"/>
        <w:rPr>
          <w:lang w:val="de-CH"/>
        </w:rPr>
      </w:pPr>
      <w:r>
        <w:rPr>
          <w:lang w:val="de-CH"/>
        </w:rPr>
        <w:t>Die WG-ISC stellte fest</w:t>
      </w:r>
      <w:r w:rsidR="002F4661" w:rsidRPr="003A6039">
        <w:rPr>
          <w:lang w:val="de-CH"/>
        </w:rPr>
        <w:t xml:space="preserve">, </w:t>
      </w:r>
      <w:r w:rsidR="007C5568">
        <w:rPr>
          <w:lang w:val="de-CH"/>
        </w:rPr>
        <w:t>daß</w:t>
      </w:r>
      <w:r w:rsidR="002F4661" w:rsidRPr="003A6039">
        <w:rPr>
          <w:lang w:val="de-CH"/>
        </w:rPr>
        <w:t xml:space="preserve"> sie diesen Punkt an ihrer zweiten Sitzung nicht als eine hohe Priorität erachtet hatte und vereinbarte, diesen zum betreffenden Zeitpunkt nicht weiter zu prüfen</w:t>
      </w:r>
      <w:r w:rsidR="00E1535A" w:rsidRPr="002F4661">
        <w:rPr>
          <w:lang w:val="de-CH"/>
        </w:rPr>
        <w:t>.</w:t>
      </w:r>
    </w:p>
    <w:p w:rsidR="00E1535A" w:rsidRPr="002F4661" w:rsidRDefault="00E1535A" w:rsidP="00DB4A27">
      <w:pPr>
        <w:spacing w:line="360" w:lineRule="auto"/>
        <w:ind w:left="567"/>
        <w:rPr>
          <w:lang w:val="de-CH"/>
        </w:rPr>
      </w:pPr>
    </w:p>
    <w:p w:rsidR="00E1535A" w:rsidRPr="00BC25F2" w:rsidRDefault="0099578E" w:rsidP="00E1535A">
      <w:pPr>
        <w:ind w:left="567"/>
        <w:rPr>
          <w:lang w:val="de-CH"/>
        </w:rPr>
      </w:pPr>
      <w:r w:rsidRPr="00BC25F2">
        <w:rPr>
          <w:lang w:val="de-CH"/>
        </w:rPr>
        <w:t>ERLEICHTERUNG DER ANTRAGSTELLUNG</w:t>
      </w:r>
    </w:p>
    <w:p w:rsidR="00E1535A" w:rsidRPr="00BC25F2" w:rsidRDefault="00E1535A" w:rsidP="00E1535A">
      <w:pPr>
        <w:ind w:left="567"/>
        <w:rPr>
          <w:sz w:val="18"/>
          <w:lang w:val="de-CH"/>
        </w:rPr>
      </w:pPr>
    </w:p>
    <w:p w:rsidR="002F4661" w:rsidRPr="002F4661" w:rsidRDefault="002F4661" w:rsidP="00E1535A">
      <w:pPr>
        <w:ind w:left="567"/>
        <w:rPr>
          <w:lang w:val="de-CH"/>
        </w:rPr>
      </w:pPr>
      <w:r>
        <w:rPr>
          <w:lang w:val="de-CH"/>
        </w:rPr>
        <w:t>Die WG-ISC hielt die Er</w:t>
      </w:r>
      <w:r w:rsidRPr="002F4661">
        <w:rPr>
          <w:lang w:val="de-CH"/>
        </w:rPr>
        <w:t>fordernisse der Sortenämter, wie in (i) un</w:t>
      </w:r>
      <w:r>
        <w:rPr>
          <w:lang w:val="de-CH"/>
        </w:rPr>
        <w:t>d</w:t>
      </w:r>
      <w:r w:rsidRPr="002F4661">
        <w:rPr>
          <w:lang w:val="de-CH"/>
        </w:rPr>
        <w:t xml:space="preserve"> (ii) aufgeführt, fest.</w:t>
      </w:r>
    </w:p>
    <w:p w:rsidR="00E1535A" w:rsidRPr="002F4661" w:rsidRDefault="00E1535A" w:rsidP="00E1535A">
      <w:pPr>
        <w:ind w:left="567"/>
        <w:rPr>
          <w:sz w:val="18"/>
          <w:lang w:val="de-CH"/>
        </w:rPr>
      </w:pPr>
    </w:p>
    <w:p w:rsidR="003D5F59" w:rsidRPr="003D5F59" w:rsidRDefault="003D5F59" w:rsidP="00E1535A">
      <w:pPr>
        <w:ind w:left="567"/>
        <w:rPr>
          <w:lang w:val="de-CH"/>
        </w:rPr>
      </w:pPr>
      <w:r w:rsidRPr="003D5F59">
        <w:rPr>
          <w:lang w:val="de-CH"/>
        </w:rPr>
        <w:t xml:space="preserve">Die WG-ISC vereinbarte, </w:t>
      </w:r>
      <w:r w:rsidR="007C5568">
        <w:rPr>
          <w:lang w:val="de-CH"/>
        </w:rPr>
        <w:t>daß</w:t>
      </w:r>
      <w:r w:rsidRPr="003D5F59">
        <w:rPr>
          <w:lang w:val="de-CH"/>
        </w:rPr>
        <w:t xml:space="preserve"> die in (i) und (ii) festgestellten Erfordernisse </w:t>
      </w:r>
      <w:r>
        <w:rPr>
          <w:lang w:val="de-CH"/>
        </w:rPr>
        <w:t>durch UPOV-PRISMA adressiert würden.</w:t>
      </w:r>
    </w:p>
    <w:p w:rsidR="00E1535A" w:rsidRPr="003D5F59" w:rsidRDefault="00E1535A" w:rsidP="00E1535A">
      <w:pPr>
        <w:rPr>
          <w:sz w:val="18"/>
          <w:lang w:val="de-CH"/>
        </w:rPr>
      </w:pPr>
    </w:p>
    <w:p w:rsidR="00E1535A" w:rsidRPr="002E00B3" w:rsidRDefault="003B7B47" w:rsidP="00E1535A">
      <w:pPr>
        <w:ind w:left="567"/>
        <w:rPr>
          <w:i/>
          <w:lang w:val="de-CH"/>
        </w:rPr>
      </w:pPr>
      <w:r w:rsidRPr="002E00B3">
        <w:rPr>
          <w:i/>
          <w:lang w:val="de-CH"/>
        </w:rPr>
        <w:t>Punkt</w:t>
      </w:r>
      <w:r w:rsidR="00E1535A" w:rsidRPr="002E00B3">
        <w:rPr>
          <w:i/>
          <w:lang w:val="de-CH"/>
        </w:rPr>
        <w:t xml:space="preserve"> 2</w:t>
      </w:r>
    </w:p>
    <w:p w:rsidR="002E00B3" w:rsidRPr="00DB4A27" w:rsidRDefault="002E00B3" w:rsidP="00E1535A">
      <w:pPr>
        <w:ind w:left="567"/>
        <w:rPr>
          <w:sz w:val="16"/>
          <w:lang w:val="de-CH"/>
        </w:rPr>
      </w:pPr>
    </w:p>
    <w:p w:rsidR="00E1535A" w:rsidRPr="002E00B3" w:rsidRDefault="002E00B3" w:rsidP="00E1535A">
      <w:pPr>
        <w:ind w:left="567"/>
        <w:rPr>
          <w:lang w:val="de-CH"/>
        </w:rPr>
      </w:pPr>
      <w:r>
        <w:rPr>
          <w:lang w:val="de-CH"/>
        </w:rPr>
        <w:t>Die WG-ISC stellte fest</w:t>
      </w:r>
      <w:r w:rsidRPr="003A6039">
        <w:rPr>
          <w:lang w:val="de-CH"/>
        </w:rPr>
        <w:t xml:space="preserve">, </w:t>
      </w:r>
      <w:r w:rsidR="007C5568">
        <w:rPr>
          <w:lang w:val="de-CH"/>
        </w:rPr>
        <w:t>daß</w:t>
      </w:r>
      <w:r w:rsidRPr="003A6039">
        <w:rPr>
          <w:lang w:val="de-CH"/>
        </w:rPr>
        <w:t xml:space="preserve"> sie diesen Punkt an ihrer zweiten Sitzung nicht als eine hohe Priorität erachtet hatte und vereinbarte, diesen zum betreffenden Zeitpunkt nicht weiter zu prüfen</w:t>
      </w:r>
      <w:r w:rsidR="00E1535A" w:rsidRPr="002E00B3">
        <w:rPr>
          <w:lang w:val="de-CH"/>
        </w:rPr>
        <w:t>.</w:t>
      </w:r>
    </w:p>
    <w:p w:rsidR="00E1535A" w:rsidRPr="002E00B3" w:rsidRDefault="00E1535A" w:rsidP="00E1535A">
      <w:pPr>
        <w:rPr>
          <w:lang w:val="de-CH"/>
        </w:rPr>
      </w:pPr>
    </w:p>
    <w:p w:rsidR="00E1535A" w:rsidRPr="002E00B3" w:rsidRDefault="00E1535A" w:rsidP="00E1535A">
      <w:pPr>
        <w:jc w:val="left"/>
        <w:rPr>
          <w:lang w:val="de-CH"/>
        </w:rPr>
      </w:pPr>
    </w:p>
    <w:p w:rsidR="00E1535A" w:rsidRPr="00BC25F2" w:rsidRDefault="0099578E" w:rsidP="00E1535A">
      <w:pPr>
        <w:jc w:val="left"/>
        <w:rPr>
          <w:lang w:val="de-CH"/>
        </w:rPr>
      </w:pPr>
      <w:r w:rsidRPr="00BC25F2">
        <w:rPr>
          <w:lang w:val="de-CH"/>
        </w:rPr>
        <w:t>NÄCHSTE SCHRITTE</w:t>
      </w:r>
    </w:p>
    <w:p w:rsidR="00E1535A" w:rsidRPr="00BC25F2" w:rsidRDefault="00E1535A" w:rsidP="00E1535A">
      <w:pPr>
        <w:jc w:val="left"/>
        <w:rPr>
          <w:lang w:val="de-CH"/>
        </w:rPr>
      </w:pPr>
    </w:p>
    <w:p w:rsidR="00E1535A" w:rsidRPr="00F750D4" w:rsidRDefault="00E1535A" w:rsidP="00E1535A">
      <w:pPr>
        <w:rPr>
          <w:lang w:val="de-CH"/>
        </w:rPr>
      </w:pPr>
      <w:r w:rsidRPr="007C7E53">
        <w:fldChar w:fldCharType="begin"/>
      </w:r>
      <w:r w:rsidRPr="001F71E6">
        <w:rPr>
          <w:lang w:val="de-CH"/>
        </w:rPr>
        <w:instrText xml:space="preserve"> AUTONUM  </w:instrText>
      </w:r>
      <w:r w:rsidRPr="007C7E53">
        <w:fldChar w:fldCharType="end"/>
      </w:r>
      <w:r w:rsidRPr="001F71E6">
        <w:rPr>
          <w:lang w:val="de-CH"/>
        </w:rPr>
        <w:tab/>
      </w:r>
      <w:r w:rsidR="00D40708" w:rsidRPr="001F71E6">
        <w:rPr>
          <w:lang w:val="de-CH"/>
        </w:rPr>
        <w:t xml:space="preserve">Die WG-ISC </w:t>
      </w:r>
      <w:r w:rsidR="001F71E6" w:rsidRPr="001F71E6">
        <w:rPr>
          <w:lang w:val="de-CH"/>
        </w:rPr>
        <w:t xml:space="preserve">vereinbarte, das Verbandsbüro zu ersuchen, einen ersten Entwurf eines Dokuments mit Vorschlägen, Analysen und Informationen </w:t>
      </w:r>
      <w:r w:rsidR="00525A12">
        <w:rPr>
          <w:lang w:val="de-CH"/>
        </w:rPr>
        <w:t xml:space="preserve">auszuarbeiten, welches auf schriftlichem Weg geprüft werden soll. Das Dokument sollte </w:t>
      </w:r>
      <w:r w:rsidR="000C1F3E">
        <w:rPr>
          <w:lang w:val="de-CH"/>
        </w:rPr>
        <w:t>auf den</w:t>
      </w:r>
      <w:r w:rsidR="00525A12">
        <w:rPr>
          <w:lang w:val="de-CH"/>
        </w:rPr>
        <w:t xml:space="preserve"> oben aufgeführten Entscheidungen </w:t>
      </w:r>
      <w:r w:rsidR="000C1F3E">
        <w:rPr>
          <w:lang w:val="de-CH"/>
        </w:rPr>
        <w:t xml:space="preserve">basieren </w:t>
      </w:r>
      <w:r w:rsidR="00525A12">
        <w:rPr>
          <w:lang w:val="de-CH"/>
        </w:rPr>
        <w:t xml:space="preserve">und den Zweck 1 </w:t>
      </w:r>
      <w:r w:rsidR="000C1F3E">
        <w:rPr>
          <w:lang w:val="de-CH"/>
        </w:rPr>
        <w:t xml:space="preserve">der Mandats- und Aufgabendefinition berücksichtigen </w:t>
      </w:r>
      <w:r w:rsidR="00525A12">
        <w:rPr>
          <w:lang w:val="de-CH"/>
        </w:rPr>
        <w:t xml:space="preserve">sowie </w:t>
      </w:r>
      <w:r w:rsidR="000C1F3E">
        <w:rPr>
          <w:lang w:val="de-CH"/>
        </w:rPr>
        <w:t>eine Analyse auf Basis des Zwecks 2 des Mandats und der Aufgabendefinition beinhalten</w:t>
      </w:r>
      <w:r w:rsidR="00525A12">
        <w:rPr>
          <w:lang w:val="de-CH"/>
        </w:rPr>
        <w:t xml:space="preserve">. </w:t>
      </w:r>
      <w:r w:rsidR="000C1F3E">
        <w:rPr>
          <w:lang w:val="de-CH"/>
        </w:rPr>
        <w:t xml:space="preserve">Sie vereinbarte, </w:t>
      </w:r>
      <w:r w:rsidR="007C5568">
        <w:rPr>
          <w:lang w:val="de-CH"/>
        </w:rPr>
        <w:t>daß</w:t>
      </w:r>
      <w:r w:rsidR="000C1F3E">
        <w:rPr>
          <w:lang w:val="de-CH"/>
        </w:rPr>
        <w:t xml:space="preserve"> das Dokument entsprechende Hintergrundinformationen zu bestehenden UPOV-Initiativen sowie </w:t>
      </w:r>
      <w:r w:rsidR="00F750D4">
        <w:rPr>
          <w:lang w:val="de-CH"/>
        </w:rPr>
        <w:t>Informationen, welche als Grundlage für die Vorschläge gedient haben, beinhalten sollte</w:t>
      </w:r>
      <w:r w:rsidRPr="00F750D4">
        <w:rPr>
          <w:lang w:val="de-CH"/>
        </w:rPr>
        <w:t xml:space="preserve">.  </w:t>
      </w:r>
    </w:p>
    <w:p w:rsidR="00E1535A" w:rsidRPr="00F750D4" w:rsidRDefault="00E1535A" w:rsidP="00E1535A">
      <w:pPr>
        <w:rPr>
          <w:lang w:val="de-CH"/>
        </w:rPr>
      </w:pPr>
    </w:p>
    <w:p w:rsidR="00E1535A" w:rsidRPr="00DB4A27" w:rsidRDefault="00E1535A" w:rsidP="00E1535A">
      <w:pPr>
        <w:rPr>
          <w:spacing w:val="-2"/>
          <w:lang w:val="de-CH"/>
        </w:rPr>
      </w:pPr>
      <w:r w:rsidRPr="00DB4A27">
        <w:rPr>
          <w:spacing w:val="-2"/>
        </w:rPr>
        <w:fldChar w:fldCharType="begin"/>
      </w:r>
      <w:r w:rsidRPr="00DB4A27">
        <w:rPr>
          <w:spacing w:val="-2"/>
          <w:lang w:val="de-CH"/>
        </w:rPr>
        <w:instrText xml:space="preserve"> AUTONUM  </w:instrText>
      </w:r>
      <w:r w:rsidRPr="00DB4A27">
        <w:rPr>
          <w:spacing w:val="-2"/>
        </w:rPr>
        <w:fldChar w:fldCharType="end"/>
      </w:r>
      <w:r w:rsidRPr="00DB4A27">
        <w:rPr>
          <w:spacing w:val="-2"/>
          <w:lang w:val="de-CH"/>
        </w:rPr>
        <w:tab/>
      </w:r>
      <w:r w:rsidR="00A2636A" w:rsidRPr="00DB4A27">
        <w:rPr>
          <w:spacing w:val="-2"/>
          <w:lang w:val="de-CH"/>
        </w:rPr>
        <w:t xml:space="preserve">Die WG-ISC hat ebenfalls vereinbart, </w:t>
      </w:r>
      <w:r w:rsidR="007C5568" w:rsidRPr="00DB4A27">
        <w:rPr>
          <w:spacing w:val="-2"/>
          <w:lang w:val="de-CH"/>
        </w:rPr>
        <w:t>daß</w:t>
      </w:r>
      <w:r w:rsidR="00A2636A" w:rsidRPr="00DB4A27">
        <w:rPr>
          <w:spacing w:val="-2"/>
          <w:lang w:val="de-CH"/>
        </w:rPr>
        <w:t xml:space="preserve"> ein zweiter Entwurf ausgearbeitet werden soll, der im Rahmen der fünften Sitzung der WG-ISC zur Prüfung vorgelegt wird</w:t>
      </w:r>
      <w:r w:rsidRPr="00DB4A27">
        <w:rPr>
          <w:spacing w:val="-2"/>
          <w:lang w:val="de-CH"/>
        </w:rPr>
        <w:t xml:space="preserve">. </w:t>
      </w:r>
      <w:r w:rsidR="00373CED" w:rsidRPr="00DB4A27">
        <w:rPr>
          <w:spacing w:val="-2"/>
          <w:lang w:val="de-CH"/>
        </w:rPr>
        <w:t xml:space="preserve">Sofern die WG-ISC in ihrer fünften Sitzung zustimmt, würde das Dokument dem Beratenden </w:t>
      </w:r>
      <w:r w:rsidR="007C5568" w:rsidRPr="00DB4A27">
        <w:rPr>
          <w:spacing w:val="-2"/>
          <w:lang w:val="de-CH"/>
        </w:rPr>
        <w:t>Ausschuß</w:t>
      </w:r>
      <w:r w:rsidR="00373CED" w:rsidRPr="00DB4A27">
        <w:rPr>
          <w:spacing w:val="-2"/>
          <w:lang w:val="de-CH"/>
        </w:rPr>
        <w:t xml:space="preserve"> im Rahmen seiner sechsundneunzigsten Tagung vorgelegt</w:t>
      </w:r>
      <w:r w:rsidRPr="00DB4A27">
        <w:rPr>
          <w:spacing w:val="-2"/>
          <w:lang w:val="de-CH"/>
        </w:rPr>
        <w:t>.</w:t>
      </w:r>
    </w:p>
    <w:p w:rsidR="00E1535A" w:rsidRPr="00373CED" w:rsidRDefault="00E1535A" w:rsidP="00E1535A">
      <w:pPr>
        <w:rPr>
          <w:lang w:val="de-CH"/>
        </w:rPr>
      </w:pPr>
    </w:p>
    <w:p w:rsidR="00E1535A" w:rsidRPr="00373CED" w:rsidRDefault="00E1535A" w:rsidP="00E1535A">
      <w:pPr>
        <w:rPr>
          <w:lang w:val="de-CH"/>
        </w:rPr>
      </w:pPr>
    </w:p>
    <w:p w:rsidR="00E1535A" w:rsidRPr="003B7B47" w:rsidRDefault="003B7B47" w:rsidP="00E1535A">
      <w:pPr>
        <w:rPr>
          <w:lang w:val="de-CH"/>
        </w:rPr>
      </w:pPr>
      <w:r w:rsidRPr="003B7B47">
        <w:rPr>
          <w:lang w:val="de-CH"/>
        </w:rPr>
        <w:t>DATUM UND PROGRAMM DER NÄCHSTEN SITZUNG</w:t>
      </w:r>
    </w:p>
    <w:p w:rsidR="00E1535A" w:rsidRPr="003B7B47" w:rsidRDefault="00E1535A" w:rsidP="00E1535A">
      <w:pPr>
        <w:rPr>
          <w:lang w:val="de-CH"/>
        </w:rPr>
      </w:pPr>
    </w:p>
    <w:p w:rsidR="00E1535A" w:rsidRPr="00C970E3" w:rsidRDefault="00E1535A" w:rsidP="00E1535A">
      <w:pPr>
        <w:rPr>
          <w:lang w:val="de-CH"/>
        </w:rPr>
      </w:pPr>
      <w:r w:rsidRPr="007C7E53">
        <w:fldChar w:fldCharType="begin"/>
      </w:r>
      <w:r w:rsidRPr="00C970E3">
        <w:rPr>
          <w:lang w:val="de-CH"/>
        </w:rPr>
        <w:instrText xml:space="preserve"> AUTONUM  </w:instrText>
      </w:r>
      <w:r w:rsidRPr="007C7E53">
        <w:fldChar w:fldCharType="end"/>
      </w:r>
      <w:r w:rsidRPr="00C970E3">
        <w:rPr>
          <w:lang w:val="de-CH"/>
        </w:rPr>
        <w:tab/>
      </w:r>
      <w:r w:rsidR="00C970E3" w:rsidRPr="00C970E3">
        <w:rPr>
          <w:lang w:val="de-CH"/>
        </w:rPr>
        <w:t xml:space="preserve">Die WG-ISC vereinbarte vorzuschlagen, </w:t>
      </w:r>
      <w:r w:rsidR="007C5568">
        <w:rPr>
          <w:lang w:val="de-CH"/>
        </w:rPr>
        <w:t>daß</w:t>
      </w:r>
      <w:r w:rsidR="00C970E3" w:rsidRPr="00C970E3">
        <w:rPr>
          <w:lang w:val="de-CH"/>
        </w:rPr>
        <w:t xml:space="preserve"> die fünfte Sitzung der WG-ISC (WG-ISC/5) am Abend des 30. </w:t>
      </w:r>
      <w:r w:rsidR="00C970E3">
        <w:rPr>
          <w:lang w:val="de-CH"/>
        </w:rPr>
        <w:t>Oktobers 2019 in Genf stattfinden sollte</w:t>
      </w:r>
      <w:r w:rsidRPr="00C970E3">
        <w:rPr>
          <w:lang w:val="de-CH"/>
        </w:rPr>
        <w:t>.</w:t>
      </w:r>
    </w:p>
    <w:p w:rsidR="00E1535A" w:rsidRPr="00C970E3" w:rsidRDefault="00E1535A" w:rsidP="00E1535A">
      <w:pPr>
        <w:rPr>
          <w:lang w:val="de-CH"/>
        </w:rPr>
      </w:pPr>
    </w:p>
    <w:p w:rsidR="00E1535A" w:rsidRPr="00C970E3" w:rsidRDefault="00E1535A" w:rsidP="00E1535A">
      <w:pPr>
        <w:rPr>
          <w:lang w:val="de-CH"/>
        </w:rPr>
      </w:pPr>
      <w:r>
        <w:fldChar w:fldCharType="begin"/>
      </w:r>
      <w:r w:rsidRPr="00C970E3">
        <w:rPr>
          <w:lang w:val="de-CH"/>
        </w:rPr>
        <w:instrText xml:space="preserve"> AUTONUM  </w:instrText>
      </w:r>
      <w:r>
        <w:fldChar w:fldCharType="end"/>
      </w:r>
      <w:r w:rsidRPr="00C970E3">
        <w:rPr>
          <w:lang w:val="de-CH"/>
        </w:rPr>
        <w:tab/>
      </w:r>
      <w:r w:rsidR="00954855">
        <w:rPr>
          <w:lang w:val="de-CH"/>
        </w:rPr>
        <w:t>Die WG-ISC vereinbarte folgendes Programm für ihre fünfte Sitzung</w:t>
      </w:r>
      <w:r w:rsidRPr="00C970E3">
        <w:rPr>
          <w:lang w:val="de-CH"/>
        </w:rPr>
        <w:t>:</w:t>
      </w:r>
    </w:p>
    <w:p w:rsidR="00E1535A" w:rsidRPr="00C970E3" w:rsidRDefault="00E1535A" w:rsidP="00E1535A">
      <w:pPr>
        <w:rPr>
          <w:sz w:val="18"/>
          <w:lang w:val="de-CH"/>
        </w:rPr>
      </w:pPr>
    </w:p>
    <w:p w:rsidR="00E1535A" w:rsidRPr="00182BED" w:rsidRDefault="00E1535A" w:rsidP="00DB4A27">
      <w:pPr>
        <w:spacing w:after="120"/>
        <w:ind w:left="992" w:hanging="425"/>
        <w:rPr>
          <w:lang w:val="de-CH"/>
        </w:rPr>
      </w:pPr>
      <w:r w:rsidRPr="00182BED">
        <w:rPr>
          <w:lang w:val="de-CH"/>
        </w:rPr>
        <w:t>1.</w:t>
      </w:r>
      <w:r w:rsidRPr="00182BED">
        <w:rPr>
          <w:lang w:val="de-CH"/>
        </w:rPr>
        <w:tab/>
      </w:r>
      <w:r w:rsidR="00182BED" w:rsidRPr="00182BED">
        <w:rPr>
          <w:lang w:val="de-CH"/>
        </w:rPr>
        <w:t>Eröffnung der Sitzung</w:t>
      </w:r>
    </w:p>
    <w:p w:rsidR="00E1535A" w:rsidRPr="00182BED" w:rsidRDefault="00182BED" w:rsidP="00DB4A27">
      <w:pPr>
        <w:spacing w:after="120"/>
        <w:ind w:left="992" w:hanging="425"/>
        <w:rPr>
          <w:lang w:val="de-CH"/>
        </w:rPr>
      </w:pPr>
      <w:r w:rsidRPr="00182BED">
        <w:rPr>
          <w:lang w:val="de-CH"/>
        </w:rPr>
        <w:t>2.</w:t>
      </w:r>
      <w:r w:rsidRPr="00182BED">
        <w:rPr>
          <w:lang w:val="de-CH"/>
        </w:rPr>
        <w:tab/>
        <w:t>Annahme der Tagesordnung</w:t>
      </w:r>
    </w:p>
    <w:p w:rsidR="00E1535A" w:rsidRPr="00954855" w:rsidRDefault="00E1535A" w:rsidP="00DB4A27">
      <w:pPr>
        <w:spacing w:after="120"/>
        <w:ind w:left="992" w:hanging="425"/>
        <w:rPr>
          <w:lang w:val="de-CH"/>
        </w:rPr>
      </w:pPr>
      <w:r w:rsidRPr="00954855">
        <w:rPr>
          <w:lang w:val="de-CH"/>
        </w:rPr>
        <w:t>3.</w:t>
      </w:r>
      <w:r w:rsidRPr="00954855">
        <w:rPr>
          <w:lang w:val="de-CH"/>
        </w:rPr>
        <w:tab/>
      </w:r>
      <w:r w:rsidR="00954855" w:rsidRPr="00954855">
        <w:rPr>
          <w:lang w:val="de-CH"/>
        </w:rPr>
        <w:t>Vorschläge, welche durch den Beratenden Ausschuss zu prüfen sind (Dokument ist vom Verbandsbüro vorzubereiten)</w:t>
      </w:r>
    </w:p>
    <w:p w:rsidR="00E1535A" w:rsidRPr="003B7B47" w:rsidRDefault="003B7B47" w:rsidP="00DB4A27">
      <w:pPr>
        <w:spacing w:after="120"/>
        <w:ind w:left="992" w:hanging="425"/>
        <w:rPr>
          <w:lang w:val="de-CH"/>
        </w:rPr>
      </w:pPr>
      <w:r w:rsidRPr="003B7B47">
        <w:rPr>
          <w:lang w:val="de-CH"/>
        </w:rPr>
        <w:t>4.</w:t>
      </w:r>
      <w:r w:rsidRPr="003B7B47">
        <w:rPr>
          <w:lang w:val="de-CH"/>
        </w:rPr>
        <w:tab/>
        <w:t>Nächste Schritte</w:t>
      </w:r>
    </w:p>
    <w:p w:rsidR="00E1535A" w:rsidRPr="003B7B47" w:rsidRDefault="003B7B47" w:rsidP="00DB4A27">
      <w:pPr>
        <w:ind w:left="993" w:hanging="426"/>
        <w:rPr>
          <w:lang w:val="de-CH"/>
        </w:rPr>
      </w:pPr>
      <w:r w:rsidRPr="003B7B47">
        <w:rPr>
          <w:lang w:val="de-CH"/>
        </w:rPr>
        <w:t>5.</w:t>
      </w:r>
      <w:r w:rsidRPr="003B7B47">
        <w:rPr>
          <w:lang w:val="de-CH"/>
        </w:rPr>
        <w:tab/>
        <w:t>Datum und Programm der nächsten Sitzung</w:t>
      </w:r>
    </w:p>
    <w:p w:rsidR="00DB4A27" w:rsidRPr="003B7B47" w:rsidRDefault="00DB4A27" w:rsidP="00E1535A">
      <w:pPr>
        <w:jc w:val="left"/>
        <w:rPr>
          <w:lang w:val="de-CH"/>
        </w:rPr>
      </w:pPr>
    </w:p>
    <w:p w:rsidR="00E1535A" w:rsidRPr="00DB4A27" w:rsidRDefault="00DB4A27" w:rsidP="00DB4A27">
      <w:pPr>
        <w:tabs>
          <w:tab w:val="left" w:pos="5387"/>
        </w:tabs>
        <w:ind w:left="4820"/>
        <w:jc w:val="left"/>
        <w:rPr>
          <w:i/>
          <w:lang w:val="de-CH"/>
        </w:rPr>
      </w:pPr>
      <w:r w:rsidRPr="00DB4A27">
        <w:rPr>
          <w:rFonts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4211878</wp:posOffset>
                </wp:positionH>
                <wp:positionV relativeFrom="paragraph">
                  <wp:posOffset>459943</wp:posOffset>
                </wp:positionV>
                <wp:extent cx="1920875" cy="228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A27" w:rsidRPr="009929A5" w:rsidRDefault="00DB4A27" w:rsidP="00DB4A27">
                            <w:pPr>
                              <w:ind w:right="53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t>[Anlagen folgen]</w:t>
                            </w:r>
                          </w:p>
                          <w:p w:rsidR="00DB4A27" w:rsidRPr="009929A5" w:rsidRDefault="00DB4A27">
                            <w:pPr>
                              <w:ind w:right="53"/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1.65pt;margin-top:36.2pt;width:151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XWrwIAALA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ru9J1KwOmhAzc9wLbxNJWq7l4U3xTiYlMTvqdrKUVfU1JCdr656T67OuIo&#10;A7LrP4oSwpCDFhZoqGRrAKEZCNCBpaczMyaVwoSMAy9azDAq4CwIorlnqXNJMt3upNLvqWiRMVIs&#10;gXmLTo73SptsSDK5mGBc5KxpLPsNv9oAx3EHYsNVc2aysGT+jL14G22j0AmD+dYJvSxz1vkmdOa5&#10;v5hl77LNJvN/mbh+mNSsLCk3YSZh+eGfEXeS+CiJs7SUaFhp4ExKSu53m0aiIwFh5/azPYeTi5t7&#10;nYZtAtTyoiQ/CL27IHbyebRwwjycOfHCixzPj+/iuRfGYZZfl3TPOP33klCf4ngWzEYxXZJ+UZtn&#10;v9e1kaRlGkZHw9oUR2cnkhgJbnlpqdWENaP9rBUm/UsrgO6JaCtYo9FRrXrYDaeXAWBGzDtRPoGC&#10;pQCBgUxh7IFRC/kDox5GSIrV9wORFKPmA4dXYObNZMjJ2E0G4QVcTbHGaDQ3epxLh06yfQ3I4zvj&#10;Yg0vpWJWxJcsTu8LxoKt5TTCzNx5/m+9LoN29RsAAP//AwBQSwMEFAAGAAgAAAAhAGEvsTHfAAAA&#10;CgEAAA8AAABkcnMvZG93bnJldi54bWxMj8FOwzAQRO9I/IO1SNyoTVtMG+JUFYITEmoaDhyd2E2s&#10;xusQu234e5YTHFf7NPMm30y+Z2c7RhdQwf1MALPYBOOwVfBRvd6tgMWk0eg+oFXwbSNsiuurXGcm&#10;XLC0531qGYVgzLSCLqUh4zw2nfU6zsJgkX6HMHqd6BxbbkZ9oXDf87kQknvtkBo6PdjnzjbH/ckr&#10;2H5i+eK+3utdeShdVa0FvsmjUrc30/YJWLJT+oPhV5/UoSCnOpzQRNYrkHKxIFTB43wJjIC1fKAt&#10;NZFitQRe5Pz/hOIHAAD//wMAUEsBAi0AFAAGAAgAAAAhALaDOJL+AAAA4QEAABMAAAAAAAAAAAAA&#10;AAAAAAAAAFtDb250ZW50X1R5cGVzXS54bWxQSwECLQAUAAYACAAAACEAOP0h/9YAAACUAQAACwAA&#10;AAAAAAAAAAAAAAAvAQAAX3JlbHMvLnJlbHNQSwECLQAUAAYACAAAACEAIbIl1q8CAACwBQAADgAA&#10;AAAAAAAAAAAAAAAuAgAAZHJzL2Uyb0RvYy54bWxQSwECLQAUAAYACAAAACEAYS+xMd8AAAAKAQAA&#10;DwAAAAAAAAAAAAAAAAAJBQAAZHJzL2Rvd25yZXYueG1sUEsFBgAAAAAEAAQA8wAAABUGAAAAAA==&#10;" o:allowincell="f" filled="f" stroked="f">
                <v:textbox inset="0,0,0,0">
                  <w:txbxContent>
                    <w:p w:rsidR="00DB4A27" w:rsidRPr="009929A5" w:rsidRDefault="00DB4A27" w:rsidP="00DB4A27">
                      <w:pPr>
                        <w:ind w:right="53"/>
                        <w:jc w:val="right"/>
                        <w:rPr>
                          <w:rFonts w:cs="Arial"/>
                        </w:rPr>
                      </w:pPr>
                      <w:r>
                        <w:t>[Anlagen folgen]</w:t>
                      </w:r>
                    </w:p>
                    <w:p w:rsidR="00DB4A27" w:rsidRPr="009929A5" w:rsidRDefault="00DB4A27">
                      <w:pPr>
                        <w:ind w:right="53"/>
                        <w:jc w:val="right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535A" w:rsidRPr="00DB4A27">
        <w:rPr>
          <w:i/>
        </w:rPr>
        <w:fldChar w:fldCharType="begin"/>
      </w:r>
      <w:r w:rsidR="00E1535A" w:rsidRPr="00DB4A27">
        <w:rPr>
          <w:i/>
          <w:lang w:val="de-CH"/>
        </w:rPr>
        <w:instrText xml:space="preserve"> AUTONUM  </w:instrText>
      </w:r>
      <w:r w:rsidR="00E1535A" w:rsidRPr="00DB4A27">
        <w:rPr>
          <w:i/>
        </w:rPr>
        <w:fldChar w:fldCharType="end"/>
      </w:r>
      <w:r w:rsidR="00182BED" w:rsidRPr="00DB4A27">
        <w:rPr>
          <w:i/>
          <w:lang w:val="de-CH"/>
        </w:rPr>
        <w:tab/>
        <w:t>Dieser Bericht ist auf schriftlichem Wege angenommen worden</w:t>
      </w:r>
      <w:r w:rsidR="00E1535A" w:rsidRPr="00DB4A27">
        <w:rPr>
          <w:i/>
          <w:lang w:val="de-CH"/>
        </w:rPr>
        <w:t>.</w:t>
      </w:r>
    </w:p>
    <w:p w:rsidR="00E1535A" w:rsidRPr="00182BED" w:rsidRDefault="00E1535A" w:rsidP="00E1535A">
      <w:pPr>
        <w:ind w:left="2835"/>
        <w:jc w:val="left"/>
        <w:rPr>
          <w:lang w:val="de-CH"/>
        </w:rPr>
        <w:sectPr w:rsidR="00E1535A" w:rsidRPr="00182BED" w:rsidSect="00906DDC">
          <w:headerReference w:type="default" r:id="rId8"/>
          <w:footnotePr>
            <w:numFmt w:val="chicago"/>
          </w:footnotePr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E1535A" w:rsidRPr="00E1535A" w:rsidRDefault="00E1535A" w:rsidP="00E1535A">
      <w:pPr>
        <w:tabs>
          <w:tab w:val="center" w:pos="4819"/>
          <w:tab w:val="left" w:pos="6201"/>
        </w:tabs>
        <w:jc w:val="center"/>
        <w:rPr>
          <w:snapToGrid w:val="0"/>
          <w:lang w:val="en-GB"/>
        </w:rPr>
      </w:pPr>
      <w:r w:rsidRPr="00E1535A">
        <w:rPr>
          <w:snapToGrid w:val="0"/>
          <w:lang w:val="en-GB"/>
        </w:rPr>
        <w:lastRenderedPageBreak/>
        <w:t>UPOV/WG-ISC/4/3</w:t>
      </w:r>
    </w:p>
    <w:p w:rsidR="00E1535A" w:rsidRPr="00E1535A" w:rsidRDefault="00E1535A" w:rsidP="00E1535A">
      <w:pPr>
        <w:jc w:val="center"/>
        <w:rPr>
          <w:snapToGrid w:val="0"/>
          <w:lang w:val="en-GB"/>
        </w:rPr>
      </w:pPr>
    </w:p>
    <w:p w:rsidR="00E1535A" w:rsidRPr="00E1535A" w:rsidRDefault="00E1535A" w:rsidP="00E1535A">
      <w:pPr>
        <w:jc w:val="center"/>
        <w:rPr>
          <w:snapToGrid w:val="0"/>
          <w:lang w:val="en-GB"/>
        </w:rPr>
      </w:pPr>
      <w:r w:rsidRPr="00E1535A">
        <w:rPr>
          <w:snapToGrid w:val="0"/>
          <w:lang w:val="en-GB"/>
        </w:rPr>
        <w:t>ANNEXE I / ANNEX I / ANLAGE I / ANEXO I</w:t>
      </w:r>
    </w:p>
    <w:p w:rsidR="00E1535A" w:rsidRPr="00E1535A" w:rsidRDefault="00E1535A" w:rsidP="00E1535A">
      <w:pPr>
        <w:jc w:val="center"/>
        <w:rPr>
          <w:snapToGrid w:val="0"/>
          <w:lang w:val="en-GB"/>
        </w:rPr>
      </w:pPr>
    </w:p>
    <w:p w:rsidR="00E1535A" w:rsidRPr="00001698" w:rsidRDefault="00E1535A" w:rsidP="00E1535A">
      <w:pPr>
        <w:pStyle w:val="plheading"/>
      </w:pPr>
      <w:r w:rsidRPr="00001698">
        <w:t>I. MEMBRES / MEMBERS / VERBANDSMITGLIEDER / MIEMBROS</w:t>
      </w:r>
    </w:p>
    <w:p w:rsidR="00E1535A" w:rsidRPr="00001698" w:rsidRDefault="00E1535A" w:rsidP="00E1535A">
      <w:pPr>
        <w:pStyle w:val="plcountry"/>
      </w:pPr>
      <w:r w:rsidRPr="00001698">
        <w:t>ALLEMAGNE / GERMANY / DEUTSCHLAND / ALEMANIA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 xml:space="preserve">Sven Thorsten ICKENROTH (Mr.), Head, Legal Affairs, Organisation, Variety Administration, Bundessortenamt, Hanover </w:t>
      </w:r>
      <w:r w:rsidRPr="00E1535A">
        <w:rPr>
          <w:lang w:val="en-GB"/>
        </w:rPr>
        <w:br/>
        <w:t>(e-mail: thorsten.ickenroth@bundessortenamt.de)</w:t>
      </w:r>
    </w:p>
    <w:p w:rsidR="00E1535A" w:rsidRPr="00B11C38" w:rsidRDefault="00E1535A" w:rsidP="00E1535A">
      <w:pPr>
        <w:pStyle w:val="plcountry"/>
        <w:rPr>
          <w:lang w:val="es-ES_tradnl"/>
        </w:rPr>
      </w:pPr>
      <w:r w:rsidRPr="00B11C38">
        <w:rPr>
          <w:lang w:val="es-ES_tradnl"/>
        </w:rPr>
        <w:t>ARGENTINE / ARGENTINA / ARGENTINIEN / ARGENTINA</w:t>
      </w:r>
    </w:p>
    <w:p w:rsidR="00E1535A" w:rsidRDefault="00E1535A" w:rsidP="00E1535A">
      <w:pPr>
        <w:pStyle w:val="pldetails"/>
        <w:rPr>
          <w:lang w:val="es-ES_tradnl"/>
        </w:rPr>
      </w:pPr>
      <w:r w:rsidRPr="004D23DE">
        <w:rPr>
          <w:lang w:val="es-ES_tradnl"/>
        </w:rPr>
        <w:t>Raimundo LAVIGNOLLE</w:t>
      </w:r>
      <w:r>
        <w:rPr>
          <w:lang w:val="es-ES_tradnl"/>
        </w:rPr>
        <w:t xml:space="preserve"> (Sr.)</w:t>
      </w:r>
      <w:r w:rsidRPr="004D23DE">
        <w:rPr>
          <w:lang w:val="es-ES_tradnl"/>
        </w:rPr>
        <w:t xml:space="preserve">, Presidente del Directorio, Instituto Nacional de Semillas (INASE), </w:t>
      </w:r>
      <w:r>
        <w:rPr>
          <w:lang w:val="es-ES_tradnl"/>
        </w:rPr>
        <w:br/>
      </w:r>
      <w:r w:rsidRPr="00D73F86">
        <w:rPr>
          <w:lang w:val="es-ES_tradnl"/>
        </w:rPr>
        <w:t>Instituto Nacional de Semillas (INASE)</w:t>
      </w:r>
      <w:r>
        <w:rPr>
          <w:lang w:val="es-ES_tradnl"/>
        </w:rPr>
        <w:t xml:space="preserve">, </w:t>
      </w:r>
      <w:r w:rsidRPr="00D73F86">
        <w:rPr>
          <w:lang w:val="es-ES_tradnl"/>
        </w:rPr>
        <w:t>Ministerio de Producción y Trabajo - Secretaría de Agroindustria</w:t>
      </w:r>
      <w:r w:rsidRPr="004D23DE">
        <w:rPr>
          <w:lang w:val="es-ES_tradnl"/>
        </w:rPr>
        <w:t xml:space="preserve">  </w:t>
      </w:r>
      <w:r>
        <w:rPr>
          <w:lang w:val="es-ES_tradnl"/>
        </w:rPr>
        <w:br/>
      </w:r>
      <w:r w:rsidRPr="004D23DE">
        <w:rPr>
          <w:lang w:val="es-ES_tradnl"/>
        </w:rPr>
        <w:t xml:space="preserve">(e-mail: rlavignolle@inase.gov.ar) </w:t>
      </w:r>
    </w:p>
    <w:p w:rsidR="00E1535A" w:rsidRDefault="00E1535A" w:rsidP="00E1535A">
      <w:pPr>
        <w:pStyle w:val="pldetails"/>
        <w:rPr>
          <w:lang w:val="es-ES_tradnl"/>
        </w:rPr>
      </w:pPr>
      <w:r w:rsidRPr="00DA13B9">
        <w:rPr>
          <w:lang w:val="es-ES_tradnl"/>
        </w:rPr>
        <w:t>María Laura VILLAMAYOR</w:t>
      </w:r>
      <w:r>
        <w:rPr>
          <w:lang w:val="es-ES_tradnl"/>
        </w:rPr>
        <w:t xml:space="preserve"> (Sra.), </w:t>
      </w:r>
      <w:r w:rsidRPr="00DA13B9">
        <w:rPr>
          <w:lang w:val="es-ES_tradnl"/>
        </w:rPr>
        <w:t>Abogada</w:t>
      </w:r>
      <w:r>
        <w:rPr>
          <w:lang w:val="es-ES_tradnl"/>
        </w:rPr>
        <w:t xml:space="preserve">, </w:t>
      </w:r>
      <w:r w:rsidRPr="00DA13B9">
        <w:rPr>
          <w:lang w:val="es-ES_tradnl"/>
        </w:rPr>
        <w:t>Unidad Presidencia</w:t>
      </w:r>
      <w:r>
        <w:rPr>
          <w:lang w:val="es-ES_tradnl"/>
        </w:rPr>
        <w:t xml:space="preserve">, </w:t>
      </w:r>
      <w:r w:rsidRPr="00DA13B9">
        <w:rPr>
          <w:lang w:val="es-ES_tradnl"/>
        </w:rPr>
        <w:t>Instituto Nacional de Semillas (INASE)</w:t>
      </w:r>
      <w:r>
        <w:rPr>
          <w:lang w:val="es-ES_tradnl"/>
        </w:rPr>
        <w:t xml:space="preserve">, </w:t>
      </w:r>
      <w:r w:rsidRPr="00D73F86">
        <w:rPr>
          <w:lang w:val="es-ES_tradnl"/>
        </w:rPr>
        <w:t>Ministerio de Producción y Trabajo - Secretaría de Agroindustria</w:t>
      </w:r>
      <w:r w:rsidRPr="004D23DE">
        <w:rPr>
          <w:lang w:val="es-ES_tradnl"/>
        </w:rPr>
        <w:t xml:space="preserve">  </w:t>
      </w:r>
      <w:r>
        <w:rPr>
          <w:lang w:val="es-ES_tradnl"/>
        </w:rPr>
        <w:br/>
        <w:t>(e-</w:t>
      </w:r>
      <w:r w:rsidRPr="00DA13B9">
        <w:rPr>
          <w:lang w:val="es-ES_tradnl"/>
        </w:rPr>
        <w:t xml:space="preserve">mail: </w:t>
      </w:r>
      <w:r w:rsidRPr="00C131F3">
        <w:rPr>
          <w:lang w:val="es-ES_tradnl"/>
        </w:rPr>
        <w:t>mlvillamayor@inase.gov.ar</w:t>
      </w:r>
      <w:r>
        <w:rPr>
          <w:lang w:val="es-ES_tradnl"/>
        </w:rPr>
        <w:t>)</w:t>
      </w:r>
    </w:p>
    <w:p w:rsidR="00E1535A" w:rsidRPr="003F5638" w:rsidRDefault="00E1535A" w:rsidP="00E1535A">
      <w:pPr>
        <w:pStyle w:val="pldetails"/>
        <w:rPr>
          <w:lang w:val="es-ES"/>
        </w:rPr>
      </w:pPr>
      <w:r w:rsidRPr="00911380">
        <w:rPr>
          <w:lang w:val="es-ES"/>
        </w:rPr>
        <w:t xml:space="preserve">María Inés RODRIGUEZ (Sra.), Consejera, Misión Permanente de la República Argentina, Ginebra </w:t>
      </w:r>
      <w:r w:rsidRPr="00911380">
        <w:rPr>
          <w:lang w:val="es-ES"/>
        </w:rPr>
        <w:br/>
        <w:t>(e-mail: mariaines.rodriguez@missionarg.ch)</w:t>
      </w:r>
    </w:p>
    <w:p w:rsidR="00E1535A" w:rsidRPr="00E1535A" w:rsidRDefault="00E1535A" w:rsidP="00E1535A">
      <w:pPr>
        <w:pStyle w:val="plcountry"/>
        <w:rPr>
          <w:lang w:val="en-GB"/>
        </w:rPr>
      </w:pPr>
      <w:r w:rsidRPr="00E1535A">
        <w:rPr>
          <w:lang w:val="en-GB"/>
        </w:rPr>
        <w:t>AUSTRALIE / AUSTRALIA / AUSTRALIEN / AUSTRALIA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 xml:space="preserve">Nik HULSE (Mr.), Chief of Plant Breeders' Rights, Plant Breeder's Rights Office, IP Australia, Woden </w:t>
      </w:r>
      <w:r w:rsidRPr="00E1535A">
        <w:rPr>
          <w:lang w:val="en-GB"/>
        </w:rPr>
        <w:br/>
        <w:t xml:space="preserve">(e-mail: nik.hulse@ipaustralia.gov.au) </w:t>
      </w:r>
    </w:p>
    <w:p w:rsidR="00E1535A" w:rsidRPr="00601689" w:rsidRDefault="00E1535A" w:rsidP="00E1535A">
      <w:pPr>
        <w:pStyle w:val="plcountry"/>
        <w:rPr>
          <w:lang w:val="es-ES_tradnl"/>
        </w:rPr>
      </w:pPr>
      <w:r w:rsidRPr="00601689">
        <w:rPr>
          <w:lang w:val="es-ES_tradnl"/>
        </w:rPr>
        <w:t xml:space="preserve">BOLIVIE (ÉTAT PLURINATIONAL DE) / BOLIVIA (PLURINATIONAL STATE OF) / </w:t>
      </w:r>
      <w:r>
        <w:rPr>
          <w:lang w:val="es-ES_tradnl"/>
        </w:rPr>
        <w:br/>
      </w:r>
      <w:r w:rsidRPr="00601689">
        <w:rPr>
          <w:lang w:val="es-ES_tradnl"/>
        </w:rPr>
        <w:t>BOLIVIEN (PLURINATIONALER STAAT) / BOLIVIA (ESTADO PLURINACIONAL DE)</w:t>
      </w:r>
    </w:p>
    <w:p w:rsidR="00E1535A" w:rsidRDefault="00E1535A" w:rsidP="00E1535A">
      <w:pPr>
        <w:pStyle w:val="pldetails"/>
        <w:rPr>
          <w:lang w:val="es-ES_tradnl"/>
        </w:rPr>
      </w:pPr>
      <w:r w:rsidRPr="00316107">
        <w:rPr>
          <w:lang w:val="es-ES_tradnl"/>
        </w:rPr>
        <w:t>Fernando Bruno ESCOBAR PACHECO</w:t>
      </w:r>
      <w:r>
        <w:rPr>
          <w:lang w:val="es-ES_tradnl"/>
        </w:rPr>
        <w:t xml:space="preserve"> (</w:t>
      </w:r>
      <w:r w:rsidRPr="00316107">
        <w:rPr>
          <w:lang w:val="es-ES_tradnl"/>
        </w:rPr>
        <w:t>Sr.</w:t>
      </w:r>
      <w:r>
        <w:rPr>
          <w:lang w:val="es-ES_tradnl"/>
        </w:rPr>
        <w:t xml:space="preserve">), </w:t>
      </w:r>
      <w:r w:rsidRPr="00316107">
        <w:rPr>
          <w:lang w:val="es-ES_tradnl"/>
        </w:rPr>
        <w:t>Primer Secretario</w:t>
      </w:r>
      <w:r>
        <w:rPr>
          <w:lang w:val="es-ES_tradnl"/>
        </w:rPr>
        <w:t xml:space="preserve">, </w:t>
      </w:r>
      <w:r w:rsidRPr="00316107">
        <w:rPr>
          <w:lang w:val="es-ES_tradnl"/>
        </w:rPr>
        <w:t>Misión Permanente de Bolivia ante la Oficina de las Naciones Unidas en Ginebra</w:t>
      </w:r>
      <w:r>
        <w:rPr>
          <w:lang w:val="es-ES_tradnl"/>
        </w:rPr>
        <w:t>, Ginebra</w:t>
      </w:r>
      <w:r>
        <w:rPr>
          <w:lang w:val="es-ES_tradnl"/>
        </w:rPr>
        <w:br/>
        <w:t>(e-</w:t>
      </w:r>
      <w:r w:rsidRPr="00316107">
        <w:rPr>
          <w:lang w:val="es-ES_tradnl"/>
        </w:rPr>
        <w:t>mail: fernando.escobar@mission-bolivia.ch</w:t>
      </w:r>
      <w:r>
        <w:rPr>
          <w:lang w:val="es-ES_tradnl"/>
        </w:rPr>
        <w:t>)</w:t>
      </w:r>
    </w:p>
    <w:p w:rsidR="00E1535A" w:rsidRPr="00A225C4" w:rsidRDefault="00E1535A" w:rsidP="00E1535A">
      <w:pPr>
        <w:pStyle w:val="plcountry"/>
        <w:rPr>
          <w:lang w:val="pt-BR"/>
        </w:rPr>
      </w:pPr>
      <w:r w:rsidRPr="00A225C4">
        <w:rPr>
          <w:lang w:val="pt-BR"/>
        </w:rPr>
        <w:t>BRÉSIL / BRAZIL / BRASILIEN / BRASIL</w:t>
      </w:r>
    </w:p>
    <w:p w:rsidR="00E1535A" w:rsidRDefault="00E1535A" w:rsidP="00E1535A">
      <w:pPr>
        <w:pStyle w:val="pldetails"/>
        <w:rPr>
          <w:lang w:val="pt-BR"/>
        </w:rPr>
      </w:pPr>
      <w:r w:rsidRPr="00A225C4">
        <w:rPr>
          <w:lang w:val="pt-BR"/>
        </w:rPr>
        <w:t>Ricardo ZANATTA MACHADO</w:t>
      </w:r>
      <w:r>
        <w:rPr>
          <w:lang w:val="pt-BR"/>
        </w:rPr>
        <w:t xml:space="preserve"> (Sr.)</w:t>
      </w:r>
      <w:r w:rsidRPr="00A225C4">
        <w:rPr>
          <w:lang w:val="pt-BR"/>
        </w:rPr>
        <w:t xml:space="preserve">, Fiscal Federal Agropecuário, Coordinador do SNPC, Serviço Nacional de Proteção de Cultivares (SNPC), Ministério da Agricultura, Pecuária e Abastecimento, Brasilia , D.F. </w:t>
      </w:r>
      <w:r w:rsidRPr="00A225C4">
        <w:rPr>
          <w:lang w:val="pt-BR"/>
        </w:rPr>
        <w:br/>
      </w:r>
      <w:r w:rsidRPr="00462682">
        <w:rPr>
          <w:lang w:val="pt-BR"/>
        </w:rPr>
        <w:t xml:space="preserve">(e-mail: </w:t>
      </w:r>
      <w:r w:rsidRPr="000451C4">
        <w:rPr>
          <w:lang w:val="pt-BR"/>
        </w:rPr>
        <w:t>ricardo.machado@agricultura.gov.br</w:t>
      </w:r>
      <w:r w:rsidRPr="00462682">
        <w:rPr>
          <w:lang w:val="pt-BR"/>
        </w:rPr>
        <w:t xml:space="preserve">) </w:t>
      </w:r>
    </w:p>
    <w:p w:rsidR="00E1535A" w:rsidRDefault="00E1535A" w:rsidP="00E1535A">
      <w:pPr>
        <w:pStyle w:val="pldetails"/>
        <w:rPr>
          <w:lang w:val="pt-BR"/>
        </w:rPr>
      </w:pPr>
      <w:r w:rsidRPr="00E1535A">
        <w:rPr>
          <w:lang w:val="en-GB"/>
        </w:rPr>
        <w:t xml:space="preserve">Cauê OLIVEIRA FANHA (Mr.), Secretary, Permanent Mission to the World Trade Organization (WTO), Cointrin </w:t>
      </w:r>
      <w:r w:rsidRPr="00E1535A">
        <w:rPr>
          <w:lang w:val="en-GB"/>
        </w:rPr>
        <w:br/>
        <w:t>(e-mail: caue.fanha@itamaraty.gov.br)</w:t>
      </w:r>
    </w:p>
    <w:p w:rsidR="00E1535A" w:rsidRPr="00462682" w:rsidRDefault="00E1535A" w:rsidP="00E1535A">
      <w:pPr>
        <w:pStyle w:val="pldetails"/>
        <w:rPr>
          <w:lang w:val="pt-BR"/>
        </w:rPr>
      </w:pPr>
      <w:r w:rsidRPr="00E1535A">
        <w:rPr>
          <w:lang w:val="en-GB"/>
        </w:rPr>
        <w:t xml:space="preserve">Rafaela DISABATO GUERRANTE (Ms.), Coordinator, Articulation and Promotion of IP and Innovation, National Institute of Industrial Property (INPI), Rio de Janeiro </w:t>
      </w:r>
      <w:r w:rsidRPr="00E1535A">
        <w:rPr>
          <w:lang w:val="en-GB"/>
        </w:rPr>
        <w:br/>
        <w:t>(e-mail: rafaela@inpi.gov.br)</w:t>
      </w:r>
    </w:p>
    <w:p w:rsidR="00E1535A" w:rsidRPr="00AE14E8" w:rsidRDefault="00E1535A" w:rsidP="00E1535A">
      <w:pPr>
        <w:pStyle w:val="plcountry"/>
        <w:rPr>
          <w:lang w:val="pt-BR"/>
        </w:rPr>
      </w:pPr>
      <w:r w:rsidRPr="00AE14E8">
        <w:rPr>
          <w:lang w:val="pt-BR"/>
        </w:rPr>
        <w:t>CANADA / CANADA / KANADA / CANADÁ</w:t>
      </w:r>
    </w:p>
    <w:p w:rsidR="00E1535A" w:rsidRDefault="00E1535A" w:rsidP="00E1535A">
      <w:pPr>
        <w:pStyle w:val="pldetails"/>
        <w:rPr>
          <w:lang w:val="pt-BR"/>
        </w:rPr>
      </w:pPr>
      <w:r w:rsidRPr="00AE14E8">
        <w:rPr>
          <w:lang w:val="pt-BR"/>
        </w:rPr>
        <w:t>Anthony PARKER (Mr.</w:t>
      </w:r>
      <w:r>
        <w:rPr>
          <w:lang w:val="pt-BR"/>
        </w:rPr>
        <w:t>)</w:t>
      </w:r>
      <w:r w:rsidRPr="00AE14E8">
        <w:rPr>
          <w:lang w:val="pt-BR"/>
        </w:rPr>
        <w:t xml:space="preserve">, Commissioner, Plant Breeders' Rights Office, Canadian Food Inspection Agency (CFIA), Ottawa </w:t>
      </w:r>
      <w:r w:rsidRPr="00AE14E8">
        <w:rPr>
          <w:lang w:val="pt-BR"/>
        </w:rPr>
        <w:br/>
        <w:t xml:space="preserve">(e-mail: anthony.parker@inspection.gc.ca) </w:t>
      </w:r>
    </w:p>
    <w:p w:rsidR="00E1535A" w:rsidRPr="00AE14E8" w:rsidRDefault="00E1535A" w:rsidP="00E1535A">
      <w:pPr>
        <w:pStyle w:val="pldetails"/>
        <w:rPr>
          <w:lang w:val="pt-BR"/>
        </w:rPr>
      </w:pPr>
      <w:r w:rsidRPr="002B0F24">
        <w:rPr>
          <w:lang w:val="pt-BR"/>
        </w:rPr>
        <w:t xml:space="preserve">Lisa LEDUC (Ms.), Examiner, Plant Breeders' Rights Office, Canadian Food Inspection Agency (CFIA), Ottawa </w:t>
      </w:r>
      <w:r w:rsidRPr="002B0F24">
        <w:rPr>
          <w:lang w:val="pt-BR"/>
        </w:rPr>
        <w:br/>
        <w:t>(e-mail: lisa.leduc@inspection.gc.ca)</w:t>
      </w:r>
    </w:p>
    <w:p w:rsidR="00E1535A" w:rsidRPr="00AE14E8" w:rsidRDefault="00E1535A" w:rsidP="00E1535A">
      <w:pPr>
        <w:pStyle w:val="plcountry"/>
        <w:rPr>
          <w:lang w:val="pt-BR"/>
        </w:rPr>
      </w:pPr>
      <w:r w:rsidRPr="00AE14E8">
        <w:rPr>
          <w:lang w:val="pt-BR"/>
        </w:rPr>
        <w:t>CHILI / CHILE / CHILE / CHILE</w:t>
      </w:r>
    </w:p>
    <w:p w:rsidR="00E1535A" w:rsidRDefault="00E1535A" w:rsidP="00E1535A">
      <w:pPr>
        <w:pStyle w:val="pldetails"/>
        <w:rPr>
          <w:lang w:val="es-ES"/>
        </w:rPr>
      </w:pPr>
      <w:r w:rsidRPr="00AE14E8">
        <w:rPr>
          <w:lang w:val="pt-BR"/>
        </w:rPr>
        <w:t xml:space="preserve">Manuel Antonio TORO UGALDE (Sr.), Jefe Departamento, Registro de Variedades Protegidas, </w:t>
      </w:r>
      <w:r w:rsidRPr="00AE14E8">
        <w:rPr>
          <w:lang w:val="pt-BR"/>
        </w:rPr>
        <w:br/>
      </w:r>
      <w:r w:rsidRPr="003A7159">
        <w:rPr>
          <w:lang w:val="es-ES"/>
        </w:rPr>
        <w:t xml:space="preserve">División Semillas, Servicio Agrícola y Ganadero (SAG), Santiago de Chile </w:t>
      </w:r>
      <w:r>
        <w:rPr>
          <w:lang w:val="es-ES"/>
        </w:rPr>
        <w:br/>
      </w:r>
      <w:r w:rsidRPr="003A7159">
        <w:rPr>
          <w:lang w:val="es-ES"/>
        </w:rPr>
        <w:t>(e-mail: manuel.toro@sag.gob.cl)</w:t>
      </w:r>
      <w:r w:rsidRPr="00462682">
        <w:rPr>
          <w:lang w:val="es-ES"/>
        </w:rPr>
        <w:t xml:space="preserve"> </w:t>
      </w:r>
    </w:p>
    <w:p w:rsidR="00E1535A" w:rsidRPr="00B206F2" w:rsidRDefault="00E1535A" w:rsidP="00E1535A">
      <w:pPr>
        <w:pStyle w:val="pldetails"/>
        <w:rPr>
          <w:lang w:val="es-ES"/>
        </w:rPr>
      </w:pPr>
      <w:r w:rsidRPr="006907AC">
        <w:rPr>
          <w:lang w:val="es-ES"/>
        </w:rPr>
        <w:t>Martín CORREA F.</w:t>
      </w:r>
      <w:r>
        <w:rPr>
          <w:caps/>
          <w:lang w:val="es-ES"/>
        </w:rPr>
        <w:t xml:space="preserve"> (Sr.), </w:t>
      </w:r>
      <w:r w:rsidRPr="006907AC">
        <w:rPr>
          <w:lang w:val="es-ES"/>
        </w:rPr>
        <w:t>Consejero</w:t>
      </w:r>
      <w:r>
        <w:rPr>
          <w:caps/>
          <w:lang w:val="es-ES"/>
        </w:rPr>
        <w:t xml:space="preserve">, </w:t>
      </w:r>
      <w:r w:rsidRPr="006907AC">
        <w:rPr>
          <w:lang w:val="es-ES"/>
        </w:rPr>
        <w:t>Misión Permanente de Chile ante la Organización Mundial del Comercio</w:t>
      </w:r>
      <w:r>
        <w:rPr>
          <w:caps/>
          <w:lang w:val="es-ES"/>
        </w:rPr>
        <w:t xml:space="preserve">, </w:t>
      </w:r>
      <w:r>
        <w:rPr>
          <w:lang w:val="es-ES"/>
        </w:rPr>
        <w:t>Ginebra</w:t>
      </w:r>
      <w:r>
        <w:rPr>
          <w:caps/>
          <w:lang w:val="es-ES"/>
        </w:rPr>
        <w:br/>
      </w:r>
      <w:r w:rsidRPr="00B206F2">
        <w:rPr>
          <w:lang w:val="es-ES"/>
        </w:rPr>
        <w:t>(e-mail: Macorrea@direcon.gob.cl)</w:t>
      </w:r>
    </w:p>
    <w:p w:rsidR="00E1535A" w:rsidRPr="002416E8" w:rsidRDefault="00E1535A" w:rsidP="00E1535A">
      <w:pPr>
        <w:pStyle w:val="plcountry"/>
        <w:rPr>
          <w:lang w:val="es-ES_tradnl"/>
        </w:rPr>
      </w:pPr>
      <w:r w:rsidRPr="00123A0A">
        <w:rPr>
          <w:lang w:val="es-ES_tradnl"/>
        </w:rPr>
        <w:lastRenderedPageBreak/>
        <w:t>ÉQUATEUR / ECUADOR / ECUADOR / ECUADOR</w:t>
      </w:r>
    </w:p>
    <w:p w:rsidR="00E1535A" w:rsidRDefault="00E1535A" w:rsidP="00E1535A">
      <w:pPr>
        <w:pStyle w:val="pldetails"/>
        <w:rPr>
          <w:lang w:val="es-ES_tradnl"/>
        </w:rPr>
      </w:pPr>
      <w:r w:rsidRPr="005F5AF9">
        <w:rPr>
          <w:lang w:val="es-ES_tradnl"/>
        </w:rPr>
        <w:t>Heidi VÁSCONES</w:t>
      </w:r>
      <w:r>
        <w:rPr>
          <w:lang w:val="es-ES_tradnl"/>
        </w:rPr>
        <w:t xml:space="preserve"> (Sra.), </w:t>
      </w:r>
      <w:r w:rsidRPr="005F5AF9">
        <w:rPr>
          <w:lang w:val="es-ES_tradnl"/>
        </w:rPr>
        <w:t>Tercer Secretario</w:t>
      </w:r>
      <w:r>
        <w:rPr>
          <w:lang w:val="es-ES_tradnl"/>
        </w:rPr>
        <w:t xml:space="preserve">, </w:t>
      </w:r>
      <w:r w:rsidRPr="005F5AF9">
        <w:rPr>
          <w:lang w:val="es-ES_tradnl"/>
        </w:rPr>
        <w:t>Misión Permanente de la República del Ecuador ante la OMC</w:t>
      </w:r>
      <w:r>
        <w:rPr>
          <w:lang w:val="es-ES_tradnl"/>
        </w:rPr>
        <w:t>, Ginebra</w:t>
      </w:r>
      <w:r>
        <w:rPr>
          <w:lang w:val="es-ES_tradnl"/>
        </w:rPr>
        <w:br/>
        <w:t>(e-</w:t>
      </w:r>
      <w:r w:rsidRPr="005F5AF9">
        <w:rPr>
          <w:lang w:val="es-ES_tradnl"/>
        </w:rPr>
        <w:t>mail: t.hvascones@cancilleria.gob.ec</w:t>
      </w:r>
      <w:r>
        <w:rPr>
          <w:lang w:val="es-ES_tradnl"/>
        </w:rPr>
        <w:t>)</w:t>
      </w:r>
    </w:p>
    <w:p w:rsidR="00E1535A" w:rsidRPr="00E1535A" w:rsidRDefault="00E1535A" w:rsidP="00E1535A">
      <w:pPr>
        <w:pStyle w:val="plcountry"/>
        <w:rPr>
          <w:lang w:val="en-GB"/>
        </w:rPr>
      </w:pPr>
      <w:r w:rsidRPr="00E1535A">
        <w:rPr>
          <w:lang w:val="en-GB"/>
        </w:rPr>
        <w:t xml:space="preserve">ÉTATS-UNIS D'AMÉRIQUE / UNITED STATES OF AMERICA / VEREINIGTE STAATEN VON AMERIKA / </w:t>
      </w:r>
      <w:r w:rsidRPr="00E1535A">
        <w:rPr>
          <w:lang w:val="en-GB"/>
        </w:rPr>
        <w:br/>
        <w:t>ESTADOS UNIDOS DE AMÉRICA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 xml:space="preserve">Elaine WU (Ms.), Attorney - Advisor, Office of Policy and International Affairs, United States Patent and Trademark Office (USPTO), Department of Commerce, Alexandria </w:t>
      </w:r>
      <w:r w:rsidRPr="00E1535A">
        <w:rPr>
          <w:lang w:val="en-GB"/>
        </w:rPr>
        <w:br/>
        <w:t xml:space="preserve">(e-mail: elaine.wu@uspto.gov) 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 xml:space="preserve">Christian HANNON (Mr.), Patent Attorney, Office of Policy and International Affairs (OPIA), United States Patent and Trademark Office (USPTO), Department of Commerce, Alexandria </w:t>
      </w:r>
      <w:r w:rsidRPr="00E1535A">
        <w:rPr>
          <w:lang w:val="en-GB"/>
        </w:rPr>
        <w:br/>
        <w:t>(e-mail: christian.hannon@uspto.gov)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 xml:space="preserve">Ruihong GUO (Ms.), Deputy Administrator, AMS, Science &amp; Technology Program, United States Department of Agriculture (USDA), Washington D.C. </w:t>
      </w:r>
      <w:r w:rsidRPr="00E1535A">
        <w:rPr>
          <w:lang w:val="en-GB"/>
        </w:rPr>
        <w:br/>
        <w:t>(e-mail: ruihong.guo@ams.usda.gov)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 xml:space="preserve">Jeffery HAYNES (Mr.), Acting Commissioner, Plant Variety Protection Office, USDA, AMS, S&amp;T, </w:t>
      </w:r>
      <w:r w:rsidRPr="00E1535A">
        <w:rPr>
          <w:lang w:val="en-GB"/>
        </w:rPr>
        <w:br/>
        <w:t xml:space="preserve">Washington D.C. </w:t>
      </w:r>
      <w:r w:rsidRPr="00E1535A">
        <w:rPr>
          <w:lang w:val="en-GB"/>
        </w:rPr>
        <w:br/>
        <w:t>(e-mail: Jeffery.Haynes@ams.usda.gov)</w:t>
      </w:r>
    </w:p>
    <w:p w:rsidR="00E1535A" w:rsidRPr="00E1535A" w:rsidRDefault="00E1535A" w:rsidP="00E1535A">
      <w:pPr>
        <w:pStyle w:val="plcountry"/>
        <w:rPr>
          <w:lang w:val="en-GB"/>
        </w:rPr>
      </w:pPr>
      <w:r w:rsidRPr="00E1535A">
        <w:rPr>
          <w:lang w:val="en-GB"/>
        </w:rPr>
        <w:t>FINLANDE / FINLAND / FINNLAND / FINLANDIA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 xml:space="preserve">Tarja Päivikki HIETARANTA (Ms.), Senior Officer, Seed Certification, Finnish Food and Safety Authority (EVIRA), Loimaa </w:t>
      </w:r>
      <w:r w:rsidRPr="00E1535A">
        <w:rPr>
          <w:lang w:val="en-GB"/>
        </w:rPr>
        <w:br/>
        <w:t>(e-mail: tarja.hietaranta@evira.fi)</w:t>
      </w:r>
    </w:p>
    <w:p w:rsidR="00E1535A" w:rsidRPr="004013AB" w:rsidRDefault="00E1535A" w:rsidP="00E1535A">
      <w:pPr>
        <w:pStyle w:val="plcountry"/>
        <w:rPr>
          <w:lang w:val="fr-CH"/>
        </w:rPr>
      </w:pPr>
      <w:r w:rsidRPr="004013AB">
        <w:rPr>
          <w:lang w:val="fr-CH"/>
        </w:rPr>
        <w:t xml:space="preserve">FRANCE / </w:t>
      </w:r>
      <w:r>
        <w:rPr>
          <w:lang w:val="fr-CH"/>
        </w:rPr>
        <w:t xml:space="preserve">France / </w:t>
      </w:r>
      <w:r w:rsidRPr="004013AB">
        <w:rPr>
          <w:lang w:val="fr-CH"/>
        </w:rPr>
        <w:t>FRANKREICH / FRANCIA</w:t>
      </w:r>
    </w:p>
    <w:p w:rsidR="00E1535A" w:rsidRDefault="00E1535A" w:rsidP="00E1535A">
      <w:pPr>
        <w:pStyle w:val="pldetails"/>
        <w:rPr>
          <w:lang w:val="fr-CH"/>
        </w:rPr>
      </w:pPr>
      <w:r w:rsidRPr="009A2B7E">
        <w:rPr>
          <w:lang w:val="fr-CH"/>
        </w:rPr>
        <w:t>Yvane MERESSE</w:t>
      </w:r>
      <w:r>
        <w:rPr>
          <w:lang w:val="fr-CH"/>
        </w:rPr>
        <w:t xml:space="preserve"> (Mme)</w:t>
      </w:r>
      <w:r w:rsidRPr="009A2B7E">
        <w:rPr>
          <w:lang w:val="fr-CH"/>
        </w:rPr>
        <w:t xml:space="preserve">, Responsable INOV, Groupe d'Étude et de Contrôle des Variétés et des Semences (GEVES), Beaucouzé </w:t>
      </w:r>
      <w:r>
        <w:rPr>
          <w:lang w:val="fr-CH"/>
        </w:rPr>
        <w:br/>
      </w:r>
      <w:r w:rsidRPr="009A2B7E">
        <w:rPr>
          <w:lang w:val="fr-CH"/>
        </w:rPr>
        <w:t xml:space="preserve">(e-mail: </w:t>
      </w:r>
      <w:r w:rsidRPr="00E83D40">
        <w:rPr>
          <w:lang w:val="fr-CH"/>
        </w:rPr>
        <w:t>yvane.meresse@geves.fr</w:t>
      </w:r>
      <w:r w:rsidRPr="009A2B7E">
        <w:rPr>
          <w:lang w:val="fr-CH"/>
        </w:rPr>
        <w:t>)</w:t>
      </w:r>
    </w:p>
    <w:p w:rsidR="00E1535A" w:rsidRPr="00E1535A" w:rsidRDefault="00E1535A" w:rsidP="00E1535A">
      <w:pPr>
        <w:pStyle w:val="plcountry"/>
        <w:rPr>
          <w:lang w:val="en-GB"/>
        </w:rPr>
      </w:pPr>
      <w:r w:rsidRPr="00E1535A">
        <w:rPr>
          <w:lang w:val="en-GB"/>
        </w:rPr>
        <w:t>HONGRIE / HUNGARY / UNGARN / HUNGRÍA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>Dóra GYETVAINÉ VIRÁG (Ms.), Head, Patent Department, Hungarian Intellectual Property Office, Budapest</w:t>
      </w:r>
      <w:r w:rsidRPr="00E1535A">
        <w:rPr>
          <w:lang w:val="en-GB"/>
        </w:rPr>
        <w:br/>
        <w:t>(e-mail: dora.virag@hipo.gov.hu)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 xml:space="preserve">Katalin MIKLÓ (Ms.), Deputy Head, Patent Department, Hungarian Intellectual Property Office, Budapest </w:t>
      </w:r>
      <w:r w:rsidRPr="00E1535A">
        <w:rPr>
          <w:lang w:val="en-GB"/>
        </w:rPr>
        <w:br/>
        <w:t>(e-mail: katalin.miklo@hipo.gov.hu)</w:t>
      </w:r>
    </w:p>
    <w:p w:rsidR="00E1535A" w:rsidRPr="00E1535A" w:rsidRDefault="00E1535A" w:rsidP="00E1535A">
      <w:pPr>
        <w:pStyle w:val="plcountry"/>
        <w:rPr>
          <w:lang w:val="en-GB"/>
        </w:rPr>
      </w:pPr>
      <w:r w:rsidRPr="00E1535A">
        <w:rPr>
          <w:lang w:val="en-GB"/>
        </w:rPr>
        <w:t>JAPON / JAPAN / JAPAN / JAPÓN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 xml:space="preserve">Manabu SUZUKI (Mr.), Deputy Director for International Affairs, Intellectual Property Division, Food Industry Affairs Bureau, Ministry of Agriculture, Forestry and Fisheries (MAFF), Tokyo </w:t>
      </w:r>
      <w:r w:rsidRPr="00E1535A">
        <w:rPr>
          <w:lang w:val="en-GB"/>
        </w:rPr>
        <w:br/>
        <w:t>(e-mail: manabu_suzuki410@maff.go.jp)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 xml:space="preserve">Atsuhiro MENO (Mr.), Senior Policy Advisor, Intellectual Property Division, Food Industry Affairs Bureau, Ministry of Agriculture, Forestry and Fisheries (MAFF), Tokyo </w:t>
      </w:r>
      <w:r w:rsidRPr="00E1535A">
        <w:rPr>
          <w:lang w:val="en-GB"/>
        </w:rPr>
        <w:br/>
        <w:t>(e-mail: atsuhiro_meno150@maff.go.jp)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 xml:space="preserve">Manabu OSAKI (Mr.), Senior Examiner, Plant Variety Protection Office, Intellectual Property Division, Food Industry Affairs Bureau, Ministry of Agriculture, Forestry and Fisheries (MAFF), Tokyo </w:t>
      </w:r>
      <w:r w:rsidRPr="00E1535A">
        <w:rPr>
          <w:lang w:val="en-GB"/>
        </w:rPr>
        <w:br/>
        <w:t>(e-mail: manabu_osaki190@maff.go.jp)</w:t>
      </w:r>
    </w:p>
    <w:p w:rsidR="00E1535A" w:rsidRPr="00E1535A" w:rsidRDefault="00E1535A" w:rsidP="00E1535A">
      <w:pPr>
        <w:pStyle w:val="plcountry"/>
        <w:rPr>
          <w:lang w:val="en-GB"/>
        </w:rPr>
      </w:pPr>
      <w:r w:rsidRPr="00E1535A">
        <w:rPr>
          <w:lang w:val="en-GB"/>
        </w:rPr>
        <w:t>NORVÈGE / NORWAY / NORWEGEN / NORUEGA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 xml:space="preserve">Marianne SMITH (Ms.), Senior Advisor, Norwegian Ministry of Agriculture and Food, Oslo </w:t>
      </w:r>
      <w:r w:rsidRPr="00E1535A">
        <w:rPr>
          <w:lang w:val="en-GB"/>
        </w:rPr>
        <w:br/>
        <w:t>(e-mail: marianne.smith@lmd.dep.no)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 xml:space="preserve">Märtha Kristin ØIEN FELTON (Ms.), Legal Advisor, Norwegian Food and Safety Authority, As </w:t>
      </w:r>
      <w:r w:rsidRPr="00E1535A">
        <w:rPr>
          <w:lang w:val="en-GB"/>
        </w:rPr>
        <w:br/>
        <w:t>(e-mail: martha.kristin.oien.felton@mattilsynet.no)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 xml:space="preserve">Elin Cecilie RANUM (Ms.), Advisor, Oslo </w:t>
      </w:r>
      <w:r w:rsidRPr="00E1535A">
        <w:rPr>
          <w:lang w:val="en-GB"/>
        </w:rPr>
        <w:br/>
        <w:t>(e-mail: elin@utviklingsfondet.no)</w:t>
      </w:r>
    </w:p>
    <w:p w:rsidR="00E1535A" w:rsidRPr="00E1535A" w:rsidRDefault="00E1535A" w:rsidP="00E1535A">
      <w:pPr>
        <w:pStyle w:val="plcountry"/>
        <w:rPr>
          <w:lang w:val="en-GB"/>
        </w:rPr>
      </w:pPr>
      <w:r w:rsidRPr="00E1535A">
        <w:rPr>
          <w:lang w:val="en-GB"/>
        </w:rPr>
        <w:lastRenderedPageBreak/>
        <w:t>NOUVELLE-ZÉLANDE / NEW ZEALAND / NEUSEELAND / NUEVA ZELANDIA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 xml:space="preserve">Christopher J. BARNABY (Mr.), Assistant Commissioner / Principal Examiner for Plant Variety Rights, Plant Variety Rights Office, Intellectual Property Office of New Zealand, Intellectual Property Office of New Zealand, Plant Variety Rights, Ministry of Economic Development, Christchurch </w:t>
      </w:r>
      <w:r w:rsidRPr="00E1535A">
        <w:rPr>
          <w:lang w:val="en-GB"/>
        </w:rPr>
        <w:br/>
        <w:t xml:space="preserve">(e-mail: Chris.Barnaby@pvr.govt.nz) </w:t>
      </w:r>
    </w:p>
    <w:p w:rsidR="00E1535A" w:rsidRPr="00E1535A" w:rsidRDefault="00E1535A" w:rsidP="00E1535A">
      <w:pPr>
        <w:pStyle w:val="plcountry"/>
        <w:rPr>
          <w:lang w:val="en-GB"/>
        </w:rPr>
      </w:pPr>
      <w:r w:rsidRPr="00E1535A">
        <w:rPr>
          <w:lang w:val="en-GB"/>
        </w:rPr>
        <w:t>PAYS-BAS / NETHERLANDS / NIEDERLANDE / PAÍSES BAJOS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 xml:space="preserve">Kees Jan GROENEWOUD (Mr.), Secretary, Dutch Board for Plant Variety (Raad voor Plantenrassen), Naktuinbouw, Roelofarendsveen </w:t>
      </w:r>
      <w:r w:rsidRPr="00E1535A">
        <w:rPr>
          <w:lang w:val="en-GB"/>
        </w:rPr>
        <w:br/>
        <w:t>(e-mail: c.j.a.groenewoud@naktuinbouw.nl)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 xml:space="preserve">Kees VAN ETTEKOVEN (Mr.), Senior PVP Policy Advisor, Naktuinbouw NL, Roelofarendsveen </w:t>
      </w:r>
      <w:r w:rsidRPr="00E1535A">
        <w:rPr>
          <w:lang w:val="en-GB"/>
        </w:rPr>
        <w:br/>
        <w:t xml:space="preserve">(e-mail: c.v.ettekoven@naktuinbouw.nl) </w:t>
      </w:r>
    </w:p>
    <w:p w:rsidR="00E1535A" w:rsidRPr="002A5CE4" w:rsidRDefault="00E1535A" w:rsidP="00E1535A">
      <w:pPr>
        <w:pStyle w:val="plcountry"/>
        <w:rPr>
          <w:lang w:val="en-GB"/>
        </w:rPr>
      </w:pPr>
      <w:r w:rsidRPr="002A5CE4">
        <w:rPr>
          <w:lang w:val="en-GB"/>
        </w:rPr>
        <w:t>ROYAUME-UNI / UNITED KINGDOM / VEREINIGTES KÖNIGREICH / REINO UNIDO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 xml:space="preserve">Andrew MITCHELL (Mr.), Policy Team Leader, Department for Environment, Food and Rural Affairs (DEFRA), Cambridge </w:t>
      </w:r>
      <w:r w:rsidRPr="00E1535A">
        <w:rPr>
          <w:lang w:val="en-GB"/>
        </w:rPr>
        <w:br/>
        <w:t>(e-mail: andrew.mitchell@defra.gov.uk)</w:t>
      </w:r>
    </w:p>
    <w:p w:rsidR="00E1535A" w:rsidRPr="00E1535A" w:rsidRDefault="00E1535A" w:rsidP="00E1535A">
      <w:pPr>
        <w:pStyle w:val="plcountry"/>
        <w:rPr>
          <w:lang w:val="en-GB"/>
        </w:rPr>
      </w:pPr>
      <w:r w:rsidRPr="00E1535A">
        <w:rPr>
          <w:lang w:val="en-GB"/>
        </w:rPr>
        <w:t>SUISSE / SWITZERLAND / SCHWEIZ / SUIZA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 xml:space="preserve">Manuela BRAND (Ms.), Plant Variety Rights Office, Plant Health and Varieties, Office fédéral de l'agriculture (OFAG), Bern  </w:t>
      </w:r>
      <w:r w:rsidRPr="00E1535A">
        <w:rPr>
          <w:lang w:val="en-GB"/>
        </w:rPr>
        <w:br/>
        <w:t xml:space="preserve">(e-mail: manuela.brand@blw.admin.ch) </w:t>
      </w:r>
    </w:p>
    <w:p w:rsidR="00E1535A" w:rsidRPr="00E1535A" w:rsidRDefault="00E1535A" w:rsidP="00E1535A">
      <w:pPr>
        <w:pStyle w:val="plcountry"/>
        <w:rPr>
          <w:lang w:val="en-GB"/>
        </w:rPr>
      </w:pPr>
      <w:r w:rsidRPr="00E1535A">
        <w:rPr>
          <w:lang w:val="en-GB"/>
        </w:rPr>
        <w:t>UNION EUROPÉENNE / EUROPEAN UNION / EUROPÄISCHE UNION / UNIÓN EUROPEA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 xml:space="preserve">Päivi MANNERKORPI (Ms.), Team Leader - Unit G1, Plant Reproductive Material, Directorate General for Health and Food Safety (DG SANCO), European Commission, Bruxelles  </w:t>
      </w:r>
      <w:r w:rsidRPr="00E1535A">
        <w:rPr>
          <w:lang w:val="en-GB"/>
        </w:rPr>
        <w:br/>
        <w:t xml:space="preserve">(e-mail: paivi.mannerkorpi@ec.europa.eu) 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 xml:space="preserve">Martin EKVAD (Mr.), President, Community Plant Variety Office (CPVO), Angers </w:t>
      </w:r>
      <w:r w:rsidRPr="00E1535A">
        <w:rPr>
          <w:lang w:val="en-GB"/>
        </w:rPr>
        <w:br/>
        <w:t>(e-mail: ekvad@cpvo.europa.eu)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 xml:space="preserve">Francesco MATTINA (Mr.), Vice-President, Community Plant Variety Office (CPVO), Angers </w:t>
      </w:r>
      <w:r w:rsidRPr="00E1535A">
        <w:rPr>
          <w:lang w:val="en-GB"/>
        </w:rPr>
        <w:br/>
        <w:t>(e-mail: mattina@cpvo.europa.eu)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 xml:space="preserve">Dirk THEOBALD (Mr.), Head of the Technical Unit, Community Plant Variety Office (CPVO), Angers </w:t>
      </w:r>
      <w:r w:rsidRPr="00E1535A">
        <w:rPr>
          <w:lang w:val="en-GB"/>
        </w:rPr>
        <w:br/>
        <w:t xml:space="preserve">(e-mail: theobald@cpvo.europa.eu) </w:t>
      </w:r>
    </w:p>
    <w:p w:rsidR="00E1535A" w:rsidRPr="00E1535A" w:rsidRDefault="00E1535A" w:rsidP="00E1535A">
      <w:pPr>
        <w:pStyle w:val="plheading"/>
        <w:rPr>
          <w:rFonts w:cs="Arial"/>
          <w:lang w:val="en-GB"/>
        </w:rPr>
      </w:pPr>
      <w:r w:rsidRPr="00E1535A">
        <w:rPr>
          <w:rFonts w:cs="Arial"/>
          <w:lang w:val="en-GB"/>
        </w:rPr>
        <w:t>II. BUREAU / OFFICER / VORSITZ / OFICINA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>Peter BUTTON (Mr.), Chair</w:t>
      </w:r>
    </w:p>
    <w:p w:rsidR="00E1535A" w:rsidRPr="00E1535A" w:rsidRDefault="00E1535A" w:rsidP="00E1535A">
      <w:pPr>
        <w:pStyle w:val="plheading"/>
        <w:keepLines/>
        <w:rPr>
          <w:rFonts w:cs="Arial"/>
          <w:lang w:val="en-GB"/>
        </w:rPr>
      </w:pPr>
      <w:r w:rsidRPr="00E1535A">
        <w:rPr>
          <w:rFonts w:cs="Arial"/>
          <w:lang w:val="en-GB"/>
        </w:rPr>
        <w:t>III. BUREAU DE L’UPOV / OFFICE OF UPOV / BÜRO DER UPOV / OFICINA DE LA UPOV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>Peter BUTTON (Mr.), Vice Secretary-General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>Yolanda HUERTA (Ms.), Legal Counsel and Director of Training and Assistance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>Tomochika MOTOMURA (Mr.), Technical/Regional Officer (Asia)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>Ben RIVOIRE (Mr.), Technical/Regional Officer (Africa, Arab countries)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>Leontino TAVEIRA (Mr.), Technical/Regional Officer (Latin America, Caribbean countries)</w:t>
      </w:r>
    </w:p>
    <w:p w:rsidR="00E1535A" w:rsidRPr="00E1535A" w:rsidRDefault="00E1535A" w:rsidP="00E1535A">
      <w:pPr>
        <w:pStyle w:val="pldetails"/>
        <w:rPr>
          <w:lang w:val="en-GB"/>
        </w:rPr>
      </w:pPr>
      <w:r w:rsidRPr="00E1535A">
        <w:rPr>
          <w:lang w:val="en-GB"/>
        </w:rPr>
        <w:t>Hend MADHOUR (Ms.), IT Officer</w:t>
      </w:r>
    </w:p>
    <w:p w:rsidR="00E1535A" w:rsidRPr="00E1535A" w:rsidRDefault="00E1535A" w:rsidP="00E1535A">
      <w:pPr>
        <w:rPr>
          <w:lang w:val="en-GB"/>
        </w:rPr>
      </w:pPr>
      <w:r w:rsidRPr="00E1535A">
        <w:rPr>
          <w:lang w:val="en-GB"/>
        </w:rPr>
        <w:t>Ruixi HAN (Mr.), Fellow</w:t>
      </w:r>
    </w:p>
    <w:p w:rsidR="00E1535A" w:rsidRPr="00E1535A" w:rsidRDefault="00E1535A" w:rsidP="00E1535A">
      <w:pPr>
        <w:rPr>
          <w:lang w:val="en-GB"/>
        </w:rPr>
      </w:pPr>
    </w:p>
    <w:p w:rsidR="00E1535A" w:rsidRPr="00E1535A" w:rsidRDefault="00E1535A" w:rsidP="00E1535A">
      <w:pPr>
        <w:rPr>
          <w:lang w:val="en-GB"/>
        </w:rPr>
      </w:pPr>
    </w:p>
    <w:p w:rsidR="00E1535A" w:rsidRPr="002A5CE4" w:rsidRDefault="00E1535A" w:rsidP="00E1535A">
      <w:pPr>
        <w:keepNext/>
        <w:jc w:val="right"/>
        <w:rPr>
          <w:rFonts w:cs="Arial"/>
          <w:lang w:val="en-GB" w:eastAsia="zh-CN"/>
        </w:rPr>
      </w:pPr>
      <w:r w:rsidRPr="002A5CE4">
        <w:rPr>
          <w:rFonts w:cs="Arial"/>
          <w:lang w:val="en-GB"/>
        </w:rPr>
        <w:t>[L’annexe II suit /</w:t>
      </w:r>
      <w:r w:rsidRPr="002A5CE4">
        <w:rPr>
          <w:rFonts w:cs="Arial"/>
          <w:lang w:val="en-GB"/>
        </w:rPr>
        <w:br/>
        <w:t>Annex II follows /</w:t>
      </w:r>
      <w:r w:rsidRPr="002A5CE4">
        <w:rPr>
          <w:rFonts w:cs="Arial"/>
          <w:lang w:val="en-GB"/>
        </w:rPr>
        <w:br/>
        <w:t>Anlage II folgt /</w:t>
      </w:r>
      <w:r w:rsidRPr="002A5CE4">
        <w:rPr>
          <w:rFonts w:cs="Arial"/>
          <w:lang w:val="en-GB"/>
        </w:rPr>
        <w:br/>
        <w:t>Sigue el Anexo II]</w:t>
      </w:r>
    </w:p>
    <w:p w:rsidR="00E1535A" w:rsidRPr="002A5CE4" w:rsidRDefault="00E1535A" w:rsidP="00E1535A">
      <w:pPr>
        <w:rPr>
          <w:lang w:val="en-GB"/>
        </w:rPr>
      </w:pPr>
    </w:p>
    <w:p w:rsidR="00E1535A" w:rsidRPr="002A5CE4" w:rsidRDefault="00E1535A" w:rsidP="00E1535A">
      <w:pPr>
        <w:jc w:val="left"/>
        <w:rPr>
          <w:lang w:val="en-GB"/>
        </w:rPr>
        <w:sectPr w:rsidR="00E1535A" w:rsidRPr="002A5CE4" w:rsidSect="008E0F31">
          <w:headerReference w:type="default" r:id="rId9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E1535A" w:rsidRDefault="00E1535A" w:rsidP="00E1535A">
      <w:pPr>
        <w:pStyle w:val="Header"/>
        <w:rPr>
          <w:rStyle w:val="PageNumber"/>
          <w:lang w:val="en-US"/>
        </w:rPr>
      </w:pPr>
      <w:r>
        <w:rPr>
          <w:lang w:val="en-US"/>
        </w:rPr>
        <w:lastRenderedPageBreak/>
        <w:t>UPOV/WG-ISC/4/3</w:t>
      </w:r>
      <w:r w:rsidRPr="00595E54">
        <w:rPr>
          <w:lang w:val="en-US"/>
        </w:rPr>
        <w:t xml:space="preserve"> </w:t>
      </w:r>
    </w:p>
    <w:p w:rsidR="00E1535A" w:rsidRPr="002A5CE4" w:rsidRDefault="00E1535A" w:rsidP="00E1535A">
      <w:pPr>
        <w:jc w:val="center"/>
        <w:rPr>
          <w:lang w:val="en-GB"/>
        </w:rPr>
      </w:pPr>
    </w:p>
    <w:p w:rsidR="00E1535A" w:rsidRDefault="00BC25F2" w:rsidP="00B47E77">
      <w:pPr>
        <w:jc w:val="center"/>
      </w:pPr>
      <w:r>
        <w:t>ANLAGE</w:t>
      </w:r>
      <w:r w:rsidR="00E1535A">
        <w:t xml:space="preserve"> II</w:t>
      </w:r>
    </w:p>
    <w:p w:rsidR="00D75E94" w:rsidRDefault="00D75E94" w:rsidP="00B47E77">
      <w:pPr>
        <w:jc w:val="center"/>
      </w:pPr>
    </w:p>
    <w:p w:rsidR="00D75E94" w:rsidRDefault="00D75E94" w:rsidP="00B47E77">
      <w:pPr>
        <w:jc w:val="center"/>
      </w:pPr>
    </w:p>
    <w:p w:rsidR="002D029C" w:rsidRDefault="002D029C" w:rsidP="00B47E77">
      <w:pPr>
        <w:jc w:val="center"/>
      </w:pPr>
    </w:p>
    <w:p w:rsidR="00D75E94" w:rsidRDefault="004232DC" w:rsidP="00B47E77">
      <w:pPr>
        <w:jc w:val="center"/>
      </w:pPr>
      <w:r>
        <w:rPr>
          <w:noProof/>
          <w:lang w:val="en-US"/>
        </w:rPr>
        <w:drawing>
          <wp:inline distT="0" distB="0" distL="0" distR="0">
            <wp:extent cx="4842000" cy="3632400"/>
            <wp:effectExtent l="19050" t="19050" r="15875" b="2540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olie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000" cy="3632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75E94" w:rsidRDefault="00D75E94" w:rsidP="00B47E77">
      <w:pPr>
        <w:jc w:val="center"/>
      </w:pPr>
    </w:p>
    <w:p w:rsidR="00D75E94" w:rsidRDefault="00D75E94" w:rsidP="00B47E77">
      <w:pPr>
        <w:jc w:val="center"/>
      </w:pPr>
    </w:p>
    <w:p w:rsidR="00D75E94" w:rsidRDefault="004232DC" w:rsidP="00B47E77">
      <w:pPr>
        <w:jc w:val="center"/>
      </w:pPr>
      <w:r>
        <w:rPr>
          <w:noProof/>
          <w:lang w:val="en-US"/>
        </w:rPr>
        <w:drawing>
          <wp:inline distT="0" distB="0" distL="0" distR="0">
            <wp:extent cx="4842000" cy="3632400"/>
            <wp:effectExtent l="19050" t="19050" r="15875" b="2540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olie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000" cy="3632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75E94" w:rsidRDefault="00D75E94" w:rsidP="00B47E77">
      <w:pPr>
        <w:jc w:val="center"/>
      </w:pPr>
    </w:p>
    <w:p w:rsidR="00D75E94" w:rsidRDefault="004232DC" w:rsidP="00B47E77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4842000" cy="3632400"/>
            <wp:effectExtent l="19050" t="19050" r="15875" b="2540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olie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000" cy="3632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75E94" w:rsidRDefault="00D75E94" w:rsidP="00B47E77">
      <w:pPr>
        <w:jc w:val="center"/>
      </w:pPr>
    </w:p>
    <w:p w:rsidR="00D75E94" w:rsidRDefault="00D75E94" w:rsidP="00B47E77">
      <w:pPr>
        <w:jc w:val="center"/>
      </w:pPr>
    </w:p>
    <w:p w:rsidR="00D75E94" w:rsidRDefault="004232DC" w:rsidP="00B47E77">
      <w:pPr>
        <w:jc w:val="center"/>
      </w:pPr>
      <w:r>
        <w:rPr>
          <w:noProof/>
          <w:lang w:val="en-US"/>
        </w:rPr>
        <w:drawing>
          <wp:inline distT="0" distB="0" distL="0" distR="0">
            <wp:extent cx="4842000" cy="3632400"/>
            <wp:effectExtent l="19050" t="19050" r="15875" b="2540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olie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000" cy="3632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75E94" w:rsidRDefault="00D75E94" w:rsidP="00B47E77">
      <w:pPr>
        <w:jc w:val="center"/>
      </w:pPr>
    </w:p>
    <w:p w:rsidR="00D75E94" w:rsidRDefault="004232DC" w:rsidP="00B47E77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4842000" cy="3632400"/>
            <wp:effectExtent l="19050" t="19050" r="15875" b="2540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olie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000" cy="3632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75E94" w:rsidRDefault="00D75E94" w:rsidP="00B47E77">
      <w:pPr>
        <w:jc w:val="center"/>
      </w:pPr>
    </w:p>
    <w:p w:rsidR="00D75E94" w:rsidRDefault="00D75E94" w:rsidP="00B47E77">
      <w:pPr>
        <w:jc w:val="center"/>
      </w:pPr>
    </w:p>
    <w:p w:rsidR="00D75E94" w:rsidRDefault="004232DC" w:rsidP="00B47E77">
      <w:pPr>
        <w:jc w:val="center"/>
      </w:pPr>
      <w:bookmarkStart w:id="2" w:name="_GoBack"/>
      <w:r>
        <w:rPr>
          <w:noProof/>
          <w:lang w:val="en-US"/>
        </w:rPr>
        <w:drawing>
          <wp:inline distT="0" distB="0" distL="0" distR="0">
            <wp:extent cx="4841733" cy="3130906"/>
            <wp:effectExtent l="19050" t="19050" r="16510" b="1270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olie6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02"/>
                    <a:stretch/>
                  </pic:blipFill>
                  <pic:spPr bwMode="auto">
                    <a:xfrm>
                      <a:off x="0" y="0"/>
                      <a:ext cx="4842000" cy="313107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</w:p>
    <w:p w:rsidR="00D75E94" w:rsidRDefault="00D75E94" w:rsidP="00B47E77">
      <w:pPr>
        <w:jc w:val="center"/>
      </w:pPr>
    </w:p>
    <w:p w:rsidR="00D75E94" w:rsidRDefault="004232DC" w:rsidP="00B47E77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4842000" cy="3632400"/>
            <wp:effectExtent l="19050" t="19050" r="15875" b="2540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olie7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000" cy="3632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75E94" w:rsidRDefault="00D75E94" w:rsidP="00B47E77">
      <w:pPr>
        <w:jc w:val="center"/>
      </w:pPr>
    </w:p>
    <w:p w:rsidR="00D75E94" w:rsidRDefault="00D75E94" w:rsidP="00B47E77">
      <w:pPr>
        <w:jc w:val="center"/>
      </w:pPr>
    </w:p>
    <w:p w:rsidR="00D75E94" w:rsidRDefault="004232DC" w:rsidP="00B47E77">
      <w:pPr>
        <w:jc w:val="center"/>
      </w:pPr>
      <w:r>
        <w:rPr>
          <w:noProof/>
          <w:lang w:val="en-US"/>
        </w:rPr>
        <w:drawing>
          <wp:inline distT="0" distB="0" distL="0" distR="0">
            <wp:extent cx="4842000" cy="3632400"/>
            <wp:effectExtent l="19050" t="19050" r="15875" b="2540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olie8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000" cy="3632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75E94" w:rsidRDefault="00D75E94" w:rsidP="00B47E77">
      <w:pPr>
        <w:jc w:val="center"/>
      </w:pPr>
    </w:p>
    <w:p w:rsidR="00D75E94" w:rsidRDefault="00D75E94" w:rsidP="00B47E77">
      <w:pPr>
        <w:jc w:val="center"/>
      </w:pPr>
    </w:p>
    <w:p w:rsidR="003C7D08" w:rsidRDefault="004232DC" w:rsidP="00B47E77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4842000" cy="3632400"/>
            <wp:effectExtent l="19050" t="19050" r="15875" b="2540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olie9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000" cy="3632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1535A" w:rsidRDefault="00E1535A" w:rsidP="00B47E77">
      <w:pPr>
        <w:jc w:val="center"/>
      </w:pPr>
    </w:p>
    <w:p w:rsidR="00050E16" w:rsidRPr="005D6ACA" w:rsidRDefault="00050E16" w:rsidP="004B1215">
      <w:pPr>
        <w:rPr>
          <w:lang w:val="en-GB"/>
        </w:rPr>
      </w:pPr>
    </w:p>
    <w:p w:rsidR="00050E16" w:rsidRPr="005D6ACA" w:rsidRDefault="00050E16" w:rsidP="00050E16">
      <w:pPr>
        <w:rPr>
          <w:lang w:val="en-GB"/>
        </w:rPr>
      </w:pPr>
    </w:p>
    <w:p w:rsidR="00544581" w:rsidRPr="005D6ACA" w:rsidRDefault="00544581">
      <w:pPr>
        <w:jc w:val="left"/>
        <w:rPr>
          <w:lang w:val="en-GB"/>
        </w:rPr>
      </w:pPr>
    </w:p>
    <w:p w:rsidR="00050E16" w:rsidRPr="005D6ACA" w:rsidRDefault="00050E16" w:rsidP="00050E16">
      <w:pPr>
        <w:rPr>
          <w:lang w:val="en-GB"/>
        </w:rPr>
      </w:pPr>
    </w:p>
    <w:p w:rsidR="009B440E" w:rsidRDefault="00050E16" w:rsidP="00050E16">
      <w:pPr>
        <w:jc w:val="right"/>
      </w:pPr>
      <w:r w:rsidRPr="00C5280D">
        <w:t>[</w:t>
      </w:r>
      <w:r w:rsidR="00BC0BD4">
        <w:t>Ende</w:t>
      </w:r>
      <w:r w:rsidR="00DA1737">
        <w:t xml:space="preserve"> von Anlage II sowie</w:t>
      </w:r>
      <w:r w:rsidR="00BC0BD4">
        <w:t xml:space="preserve"> des</w:t>
      </w:r>
      <w:r w:rsidR="00A706D3">
        <w:t xml:space="preserve"> </w:t>
      </w:r>
      <w:r w:rsidR="00BC0BD4">
        <w:t>Dokuments</w:t>
      </w:r>
      <w:r w:rsidRPr="00C5280D">
        <w:t>]</w:t>
      </w:r>
    </w:p>
    <w:p w:rsidR="00202E38" w:rsidRDefault="00202E38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D75E94">
      <w:headerReference w:type="default" r:id="rId1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1DD" w:rsidRDefault="006661DD" w:rsidP="006655D3">
      <w:r>
        <w:separator/>
      </w:r>
    </w:p>
    <w:p w:rsidR="006661DD" w:rsidRDefault="006661DD" w:rsidP="006655D3"/>
    <w:p w:rsidR="006661DD" w:rsidRDefault="006661DD" w:rsidP="006655D3"/>
  </w:endnote>
  <w:endnote w:type="continuationSeparator" w:id="0">
    <w:p w:rsidR="006661DD" w:rsidRDefault="006661DD" w:rsidP="006655D3">
      <w:r>
        <w:separator/>
      </w:r>
    </w:p>
    <w:p w:rsidR="006661DD" w:rsidRPr="00294751" w:rsidRDefault="006661D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661DD" w:rsidRPr="00294751" w:rsidRDefault="006661DD" w:rsidP="006655D3">
      <w:pPr>
        <w:rPr>
          <w:lang w:val="fr-FR"/>
        </w:rPr>
      </w:pPr>
    </w:p>
    <w:p w:rsidR="006661DD" w:rsidRPr="00294751" w:rsidRDefault="006661DD" w:rsidP="006655D3">
      <w:pPr>
        <w:rPr>
          <w:lang w:val="fr-FR"/>
        </w:rPr>
      </w:pPr>
    </w:p>
  </w:endnote>
  <w:endnote w:type="continuationNotice" w:id="1">
    <w:p w:rsidR="006661DD" w:rsidRPr="00294751" w:rsidRDefault="006661D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661DD" w:rsidRPr="00294751" w:rsidRDefault="006661DD" w:rsidP="006655D3">
      <w:pPr>
        <w:rPr>
          <w:lang w:val="fr-FR"/>
        </w:rPr>
      </w:pPr>
    </w:p>
    <w:p w:rsidR="006661DD" w:rsidRPr="00294751" w:rsidRDefault="006661D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1DD" w:rsidRDefault="006661DD" w:rsidP="006655D3">
      <w:r>
        <w:separator/>
      </w:r>
    </w:p>
  </w:footnote>
  <w:footnote w:type="continuationSeparator" w:id="0">
    <w:p w:rsidR="006661DD" w:rsidRDefault="006661DD" w:rsidP="006655D3">
      <w:r>
        <w:separator/>
      </w:r>
    </w:p>
  </w:footnote>
  <w:footnote w:type="continuationNotice" w:id="1">
    <w:p w:rsidR="006661DD" w:rsidRPr="00AB530F" w:rsidRDefault="006661DD" w:rsidP="00AB530F">
      <w:pPr>
        <w:pStyle w:val="Footer"/>
      </w:pPr>
    </w:p>
  </w:footnote>
  <w:footnote w:id="2">
    <w:p w:rsidR="008E0F31" w:rsidRPr="00F974FD" w:rsidRDefault="008E0F31" w:rsidP="00E1535A">
      <w:pPr>
        <w:pStyle w:val="FootnoteText"/>
        <w:rPr>
          <w:lang w:val="de-CH"/>
        </w:rPr>
      </w:pPr>
      <w:r>
        <w:rPr>
          <w:rStyle w:val="FootnoteReference"/>
        </w:rPr>
        <w:footnoteRef/>
      </w:r>
      <w:r w:rsidRPr="00F974FD">
        <w:rPr>
          <w:lang w:val="de-CH"/>
        </w:rPr>
        <w:t xml:space="preserve"> </w:t>
      </w:r>
      <w:r w:rsidRPr="00F974FD">
        <w:rPr>
          <w:lang w:val="de-CH"/>
        </w:rPr>
        <w:tab/>
        <w:t xml:space="preserve">Aufgrund von Fehlern bei den Zahlen in der Anlage III, gilt </w:t>
      </w:r>
      <w:r>
        <w:rPr>
          <w:lang w:val="de-CH"/>
        </w:rPr>
        <w:t>der Verweis zur Nummerierung der Unterabsätze</w:t>
      </w:r>
      <w:r w:rsidRPr="00F974FD">
        <w:rPr>
          <w:lang w:val="de-CH"/>
        </w:rPr>
        <w:t xml:space="preserve"> </w:t>
      </w:r>
      <w:r w:rsidR="0003516A">
        <w:rPr>
          <w:lang w:val="de-CH"/>
        </w:rPr>
        <w:t>gemä</w:t>
      </w:r>
      <w:r w:rsidR="0003516A" w:rsidRPr="00F90673">
        <w:t>ß</w:t>
      </w:r>
      <w:r>
        <w:rPr>
          <w:lang w:val="de-CH"/>
        </w:rPr>
        <w:t xml:space="preserve"> der</w:t>
      </w:r>
      <w:r w:rsidRPr="00F974FD">
        <w:rPr>
          <w:lang w:val="de-CH"/>
        </w:rPr>
        <w:t xml:space="preserve"> Nummerierung in der Anlage 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F31" w:rsidRPr="00C5280D" w:rsidRDefault="008E0F31" w:rsidP="00EB048E">
    <w:pPr>
      <w:pStyle w:val="Header"/>
      <w:rPr>
        <w:rStyle w:val="PageNumber"/>
        <w:lang w:val="en-US"/>
      </w:rPr>
    </w:pPr>
    <w:r w:rsidRPr="001E12E0">
      <w:rPr>
        <w:lang w:val="en-US"/>
      </w:rPr>
      <w:t xml:space="preserve">UPOV/WG-ISC/4/3 </w:t>
    </w:r>
  </w:p>
  <w:p w:rsidR="008E0F31" w:rsidRPr="00C5280D" w:rsidRDefault="008E0F31" w:rsidP="00EB048E">
    <w:pPr>
      <w:pStyle w:val="Header"/>
      <w:rPr>
        <w:lang w:val="en-US"/>
      </w:rPr>
    </w:pPr>
    <w:r>
      <w:rPr>
        <w:lang w:val="en-US"/>
      </w:rPr>
      <w:t>Seite</w:t>
    </w:r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D029C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8E0F31" w:rsidRPr="00C5280D" w:rsidRDefault="008E0F31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F31" w:rsidRPr="00E1535A" w:rsidRDefault="008E0F31" w:rsidP="008E0F31">
    <w:pPr>
      <w:jc w:val="center"/>
      <w:rPr>
        <w:rFonts w:cs="Arial"/>
        <w:lang w:val="en-GB"/>
      </w:rPr>
    </w:pPr>
    <w:r w:rsidRPr="00E1535A">
      <w:rPr>
        <w:rFonts w:cs="Arial"/>
        <w:lang w:val="en-GB"/>
      </w:rPr>
      <w:t>UPOV/WG-ISC/4/3</w:t>
    </w:r>
  </w:p>
  <w:p w:rsidR="008E0F31" w:rsidRPr="00E1535A" w:rsidRDefault="008E0F31" w:rsidP="008E0F31">
    <w:pPr>
      <w:jc w:val="center"/>
      <w:rPr>
        <w:rFonts w:cs="Arial"/>
        <w:lang w:val="en-GB"/>
      </w:rPr>
    </w:pPr>
    <w:r w:rsidRPr="00E1535A">
      <w:rPr>
        <w:rFonts w:cs="Arial"/>
        <w:lang w:val="en-GB"/>
      </w:rPr>
      <w:t>Annexe I / Annex I / Anlage I / Anexo I</w:t>
    </w:r>
  </w:p>
  <w:p w:rsidR="008E0F31" w:rsidRPr="00FE1D1B" w:rsidRDefault="008E0F31" w:rsidP="008E0F31">
    <w:pPr>
      <w:jc w:val="center"/>
      <w:rPr>
        <w:rFonts w:cs="Arial"/>
      </w:rPr>
    </w:pPr>
    <w:r>
      <w:rPr>
        <w:rStyle w:val="PageNumber"/>
        <w:rFonts w:cs="Arial"/>
      </w:rPr>
      <w:t xml:space="preserve">page </w:t>
    </w:r>
    <w:r w:rsidRPr="00FE1D1B">
      <w:rPr>
        <w:rStyle w:val="PageNumber"/>
        <w:rFonts w:cs="Arial"/>
      </w:rPr>
      <w:fldChar w:fldCharType="begin"/>
    </w:r>
    <w:r w:rsidRPr="00FE1D1B">
      <w:rPr>
        <w:rStyle w:val="PageNumber"/>
        <w:rFonts w:cs="Arial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2D029C">
      <w:rPr>
        <w:rStyle w:val="PageNumber"/>
        <w:rFonts w:cs="Arial"/>
        <w:noProof/>
      </w:rPr>
      <w:t>3</w:t>
    </w:r>
    <w:r w:rsidRPr="00FE1D1B">
      <w:rPr>
        <w:rStyle w:val="PageNumber"/>
        <w:rFonts w:cs="Arial"/>
      </w:rPr>
      <w:fldChar w:fldCharType="end"/>
    </w:r>
    <w:r w:rsidRPr="00FE1D1B">
      <w:rPr>
        <w:rStyle w:val="PageNumber"/>
        <w:rFonts w:cs="Arial"/>
      </w:rPr>
      <w:t xml:space="preserve"> </w:t>
    </w:r>
    <w:r w:rsidRPr="00FE1D1B">
      <w:rPr>
        <w:rFonts w:cs="Arial"/>
      </w:rPr>
      <w:t xml:space="preserve">/ Seite </w:t>
    </w:r>
    <w:r w:rsidRPr="00FE1D1B">
      <w:rPr>
        <w:rStyle w:val="PageNumber"/>
        <w:rFonts w:cs="Arial"/>
      </w:rPr>
      <w:fldChar w:fldCharType="begin"/>
    </w:r>
    <w:r w:rsidRPr="00FE1D1B">
      <w:rPr>
        <w:rStyle w:val="PageNumber"/>
        <w:rFonts w:cs="Arial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2D029C">
      <w:rPr>
        <w:rStyle w:val="PageNumber"/>
        <w:rFonts w:cs="Arial"/>
        <w:noProof/>
      </w:rPr>
      <w:t>3</w:t>
    </w:r>
    <w:r w:rsidRPr="00FE1D1B">
      <w:rPr>
        <w:rStyle w:val="PageNumber"/>
        <w:rFonts w:cs="Arial"/>
      </w:rPr>
      <w:fldChar w:fldCharType="end"/>
    </w:r>
    <w:r w:rsidRPr="00FE1D1B">
      <w:rPr>
        <w:rStyle w:val="PageNumber"/>
        <w:rFonts w:cs="Arial"/>
      </w:rPr>
      <w:t xml:space="preserve"> </w:t>
    </w:r>
    <w:r w:rsidRPr="00FE1D1B">
      <w:rPr>
        <w:rFonts w:cs="Arial"/>
      </w:rPr>
      <w:t xml:space="preserve">/ página </w:t>
    </w:r>
    <w:r w:rsidRPr="00FE1D1B">
      <w:rPr>
        <w:rFonts w:cs="Arial"/>
      </w:rPr>
      <w:fldChar w:fldCharType="begin"/>
    </w:r>
    <w:r w:rsidRPr="00FE1D1B">
      <w:rPr>
        <w:rFonts w:cs="Arial"/>
      </w:rPr>
      <w:instrText xml:space="preserve"> PAGE  \* MERGEFORMAT </w:instrText>
    </w:r>
    <w:r w:rsidRPr="00FE1D1B">
      <w:rPr>
        <w:rFonts w:cs="Arial"/>
      </w:rPr>
      <w:fldChar w:fldCharType="separate"/>
    </w:r>
    <w:r w:rsidR="002D029C">
      <w:rPr>
        <w:rFonts w:cs="Arial"/>
        <w:noProof/>
      </w:rPr>
      <w:t>3</w:t>
    </w:r>
    <w:r w:rsidRPr="00FE1D1B">
      <w:rPr>
        <w:rFonts w:cs="Arial"/>
      </w:rPr>
      <w:fldChar w:fldCharType="end"/>
    </w:r>
  </w:p>
  <w:p w:rsidR="008E0F31" w:rsidRPr="00CF04C9" w:rsidRDefault="008E0F3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F31" w:rsidRPr="00D75E94" w:rsidRDefault="008E0F31" w:rsidP="00EB048E">
    <w:pPr>
      <w:pStyle w:val="Header"/>
      <w:rPr>
        <w:rStyle w:val="PageNumber"/>
      </w:rPr>
    </w:pPr>
    <w:r w:rsidRPr="00D75E94">
      <w:rPr>
        <w:rStyle w:val="PageNumber"/>
      </w:rPr>
      <w:t>UPOV/WG-ISC/4/3</w:t>
    </w:r>
  </w:p>
  <w:p w:rsidR="008E0F31" w:rsidRPr="00202E38" w:rsidRDefault="00D75E94" w:rsidP="00EB048E">
    <w:pPr>
      <w:pStyle w:val="Header"/>
    </w:pPr>
    <w:r>
      <w:t xml:space="preserve">Anlage II, </w:t>
    </w:r>
    <w:r w:rsidR="008E0F31" w:rsidRPr="00202E38">
      <w:t xml:space="preserve">Seite </w:t>
    </w:r>
    <w:r w:rsidR="008E0F31" w:rsidRPr="00202E38">
      <w:rPr>
        <w:rStyle w:val="PageNumber"/>
      </w:rPr>
      <w:fldChar w:fldCharType="begin"/>
    </w:r>
    <w:r w:rsidR="008E0F31" w:rsidRPr="00202E38">
      <w:rPr>
        <w:rStyle w:val="PageNumber"/>
      </w:rPr>
      <w:instrText xml:space="preserve"> PAGE </w:instrText>
    </w:r>
    <w:r w:rsidR="008E0F31" w:rsidRPr="00202E38">
      <w:rPr>
        <w:rStyle w:val="PageNumber"/>
      </w:rPr>
      <w:fldChar w:fldCharType="separate"/>
    </w:r>
    <w:r w:rsidR="002D029C">
      <w:rPr>
        <w:rStyle w:val="PageNumber"/>
        <w:noProof/>
      </w:rPr>
      <w:t>5</w:t>
    </w:r>
    <w:r w:rsidR="008E0F31" w:rsidRPr="00202E38">
      <w:rPr>
        <w:rStyle w:val="PageNumber"/>
      </w:rPr>
      <w:fldChar w:fldCharType="end"/>
    </w:r>
  </w:p>
  <w:p w:rsidR="008E0F31" w:rsidRDefault="008E0F31" w:rsidP="006655D3"/>
  <w:p w:rsidR="00D75E94" w:rsidRPr="00202E38" w:rsidRDefault="00D75E94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BD"/>
    <w:rsid w:val="00010CF3"/>
    <w:rsid w:val="00011E27"/>
    <w:rsid w:val="000148BC"/>
    <w:rsid w:val="00024AB8"/>
    <w:rsid w:val="00030854"/>
    <w:rsid w:val="0003516A"/>
    <w:rsid w:val="00036028"/>
    <w:rsid w:val="00044642"/>
    <w:rsid w:val="000446B9"/>
    <w:rsid w:val="00047E21"/>
    <w:rsid w:val="0005089B"/>
    <w:rsid w:val="00050E16"/>
    <w:rsid w:val="00083093"/>
    <w:rsid w:val="00085505"/>
    <w:rsid w:val="000B5C1B"/>
    <w:rsid w:val="000C1F3E"/>
    <w:rsid w:val="000C4E25"/>
    <w:rsid w:val="000C7021"/>
    <w:rsid w:val="000D6BBC"/>
    <w:rsid w:val="000D7780"/>
    <w:rsid w:val="000E40F3"/>
    <w:rsid w:val="000E636A"/>
    <w:rsid w:val="000F2F11"/>
    <w:rsid w:val="00105929"/>
    <w:rsid w:val="00110C36"/>
    <w:rsid w:val="00110F9E"/>
    <w:rsid w:val="001131D5"/>
    <w:rsid w:val="00141DB8"/>
    <w:rsid w:val="001509E2"/>
    <w:rsid w:val="00172084"/>
    <w:rsid w:val="0017474A"/>
    <w:rsid w:val="001758C6"/>
    <w:rsid w:val="00182B99"/>
    <w:rsid w:val="00182BED"/>
    <w:rsid w:val="001838C9"/>
    <w:rsid w:val="001F71E6"/>
    <w:rsid w:val="00202E38"/>
    <w:rsid w:val="0021332C"/>
    <w:rsid w:val="00213982"/>
    <w:rsid w:val="00215CFB"/>
    <w:rsid w:val="00222709"/>
    <w:rsid w:val="0024416D"/>
    <w:rsid w:val="002464A3"/>
    <w:rsid w:val="00265EB9"/>
    <w:rsid w:val="00271911"/>
    <w:rsid w:val="002723DB"/>
    <w:rsid w:val="002800A0"/>
    <w:rsid w:val="002801B3"/>
    <w:rsid w:val="00281060"/>
    <w:rsid w:val="002940E8"/>
    <w:rsid w:val="00294751"/>
    <w:rsid w:val="00294E8F"/>
    <w:rsid w:val="002A5CE4"/>
    <w:rsid w:val="002A6E50"/>
    <w:rsid w:val="002B4298"/>
    <w:rsid w:val="002B50E6"/>
    <w:rsid w:val="002C256A"/>
    <w:rsid w:val="002D029C"/>
    <w:rsid w:val="002E00B3"/>
    <w:rsid w:val="002F4661"/>
    <w:rsid w:val="00305A7F"/>
    <w:rsid w:val="00310AA2"/>
    <w:rsid w:val="003152FE"/>
    <w:rsid w:val="00327436"/>
    <w:rsid w:val="00344BD6"/>
    <w:rsid w:val="0035528D"/>
    <w:rsid w:val="00361821"/>
    <w:rsid w:val="00361E9E"/>
    <w:rsid w:val="00371440"/>
    <w:rsid w:val="00373CED"/>
    <w:rsid w:val="00376C5F"/>
    <w:rsid w:val="00380B1E"/>
    <w:rsid w:val="003A6039"/>
    <w:rsid w:val="003B031A"/>
    <w:rsid w:val="003B7B47"/>
    <w:rsid w:val="003C6DF9"/>
    <w:rsid w:val="003C7D08"/>
    <w:rsid w:val="003C7FBE"/>
    <w:rsid w:val="003D227C"/>
    <w:rsid w:val="003D2B4D"/>
    <w:rsid w:val="003D5F59"/>
    <w:rsid w:val="003E4889"/>
    <w:rsid w:val="0040557F"/>
    <w:rsid w:val="00422BB2"/>
    <w:rsid w:val="004232DC"/>
    <w:rsid w:val="00444A88"/>
    <w:rsid w:val="004508D9"/>
    <w:rsid w:val="0045362A"/>
    <w:rsid w:val="00474DA4"/>
    <w:rsid w:val="00476B4D"/>
    <w:rsid w:val="004805FA"/>
    <w:rsid w:val="00491B4F"/>
    <w:rsid w:val="004935D2"/>
    <w:rsid w:val="00495296"/>
    <w:rsid w:val="00497B71"/>
    <w:rsid w:val="004B1215"/>
    <w:rsid w:val="004C60A7"/>
    <w:rsid w:val="004D047D"/>
    <w:rsid w:val="004F1E9E"/>
    <w:rsid w:val="004F305A"/>
    <w:rsid w:val="0050390F"/>
    <w:rsid w:val="00512164"/>
    <w:rsid w:val="00520297"/>
    <w:rsid w:val="00522FBF"/>
    <w:rsid w:val="00525A12"/>
    <w:rsid w:val="005338F9"/>
    <w:rsid w:val="0054281C"/>
    <w:rsid w:val="00544581"/>
    <w:rsid w:val="00545E42"/>
    <w:rsid w:val="0055268D"/>
    <w:rsid w:val="005705F1"/>
    <w:rsid w:val="00576BE4"/>
    <w:rsid w:val="005821DC"/>
    <w:rsid w:val="005A1832"/>
    <w:rsid w:val="005A400A"/>
    <w:rsid w:val="005B4B94"/>
    <w:rsid w:val="005D6ACA"/>
    <w:rsid w:val="005E5EFC"/>
    <w:rsid w:val="005F7B92"/>
    <w:rsid w:val="00604568"/>
    <w:rsid w:val="00612379"/>
    <w:rsid w:val="006153B6"/>
    <w:rsid w:val="0061555F"/>
    <w:rsid w:val="00636CA6"/>
    <w:rsid w:val="00641200"/>
    <w:rsid w:val="00645CA8"/>
    <w:rsid w:val="006655D3"/>
    <w:rsid w:val="006661DD"/>
    <w:rsid w:val="00667404"/>
    <w:rsid w:val="00687EB4"/>
    <w:rsid w:val="00690100"/>
    <w:rsid w:val="00695C56"/>
    <w:rsid w:val="006A5CDE"/>
    <w:rsid w:val="006A644A"/>
    <w:rsid w:val="006B17D2"/>
    <w:rsid w:val="006B1DBD"/>
    <w:rsid w:val="006C224E"/>
    <w:rsid w:val="006D13BE"/>
    <w:rsid w:val="006D780A"/>
    <w:rsid w:val="0071271E"/>
    <w:rsid w:val="00720324"/>
    <w:rsid w:val="00731A83"/>
    <w:rsid w:val="00732DEC"/>
    <w:rsid w:val="00735BD5"/>
    <w:rsid w:val="00737C6D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C5568"/>
    <w:rsid w:val="007C595A"/>
    <w:rsid w:val="007D0B9D"/>
    <w:rsid w:val="007D19B0"/>
    <w:rsid w:val="007F498F"/>
    <w:rsid w:val="0080679D"/>
    <w:rsid w:val="00807859"/>
    <w:rsid w:val="00810720"/>
    <w:rsid w:val="008108B0"/>
    <w:rsid w:val="00811B20"/>
    <w:rsid w:val="008211B5"/>
    <w:rsid w:val="0082296E"/>
    <w:rsid w:val="00824099"/>
    <w:rsid w:val="00825BFE"/>
    <w:rsid w:val="00833054"/>
    <w:rsid w:val="00846D7C"/>
    <w:rsid w:val="00864C55"/>
    <w:rsid w:val="00865389"/>
    <w:rsid w:val="00867AC1"/>
    <w:rsid w:val="00875C3A"/>
    <w:rsid w:val="008858E1"/>
    <w:rsid w:val="00890DF8"/>
    <w:rsid w:val="008A743F"/>
    <w:rsid w:val="008C0970"/>
    <w:rsid w:val="008D0399"/>
    <w:rsid w:val="008D0BC5"/>
    <w:rsid w:val="008D2CF7"/>
    <w:rsid w:val="008E0F31"/>
    <w:rsid w:val="00900C26"/>
    <w:rsid w:val="00901278"/>
    <w:rsid w:val="0090197F"/>
    <w:rsid w:val="00906DDC"/>
    <w:rsid w:val="00907043"/>
    <w:rsid w:val="00934E09"/>
    <w:rsid w:val="00936253"/>
    <w:rsid w:val="00940D46"/>
    <w:rsid w:val="00952DD4"/>
    <w:rsid w:val="00954855"/>
    <w:rsid w:val="00965AE7"/>
    <w:rsid w:val="00970FED"/>
    <w:rsid w:val="00983B0F"/>
    <w:rsid w:val="00992D82"/>
    <w:rsid w:val="0099578E"/>
    <w:rsid w:val="00997029"/>
    <w:rsid w:val="009A7339"/>
    <w:rsid w:val="009B440E"/>
    <w:rsid w:val="009D690D"/>
    <w:rsid w:val="009E65B6"/>
    <w:rsid w:val="00A136B3"/>
    <w:rsid w:val="00A204F3"/>
    <w:rsid w:val="00A24C10"/>
    <w:rsid w:val="00A2636A"/>
    <w:rsid w:val="00A30573"/>
    <w:rsid w:val="00A42AC3"/>
    <w:rsid w:val="00A430CF"/>
    <w:rsid w:val="00A54309"/>
    <w:rsid w:val="00A706D3"/>
    <w:rsid w:val="00A7227F"/>
    <w:rsid w:val="00A80261"/>
    <w:rsid w:val="00A861CB"/>
    <w:rsid w:val="00AB2B93"/>
    <w:rsid w:val="00AB530F"/>
    <w:rsid w:val="00AB7E5B"/>
    <w:rsid w:val="00AC2883"/>
    <w:rsid w:val="00AD1D53"/>
    <w:rsid w:val="00AE0EF1"/>
    <w:rsid w:val="00AE2937"/>
    <w:rsid w:val="00B07301"/>
    <w:rsid w:val="00B11F3E"/>
    <w:rsid w:val="00B224DE"/>
    <w:rsid w:val="00B324D4"/>
    <w:rsid w:val="00B34D6C"/>
    <w:rsid w:val="00B46575"/>
    <w:rsid w:val="00B47E77"/>
    <w:rsid w:val="00B61777"/>
    <w:rsid w:val="00B84BBD"/>
    <w:rsid w:val="00BA43FB"/>
    <w:rsid w:val="00BA5587"/>
    <w:rsid w:val="00BA6E5D"/>
    <w:rsid w:val="00BC0BD4"/>
    <w:rsid w:val="00BC127D"/>
    <w:rsid w:val="00BC1FE6"/>
    <w:rsid w:val="00BC25F2"/>
    <w:rsid w:val="00BC6421"/>
    <w:rsid w:val="00BD450C"/>
    <w:rsid w:val="00BD47FD"/>
    <w:rsid w:val="00C061B6"/>
    <w:rsid w:val="00C2446C"/>
    <w:rsid w:val="00C36AE5"/>
    <w:rsid w:val="00C41F17"/>
    <w:rsid w:val="00C431DA"/>
    <w:rsid w:val="00C45AE3"/>
    <w:rsid w:val="00C45CDF"/>
    <w:rsid w:val="00C51FFC"/>
    <w:rsid w:val="00C527FA"/>
    <w:rsid w:val="00C5280D"/>
    <w:rsid w:val="00C530A4"/>
    <w:rsid w:val="00C53EB3"/>
    <w:rsid w:val="00C5791C"/>
    <w:rsid w:val="00C66290"/>
    <w:rsid w:val="00C72B7A"/>
    <w:rsid w:val="00C776E5"/>
    <w:rsid w:val="00C970E3"/>
    <w:rsid w:val="00C973F2"/>
    <w:rsid w:val="00CA304C"/>
    <w:rsid w:val="00CA774A"/>
    <w:rsid w:val="00CC11B0"/>
    <w:rsid w:val="00CC2841"/>
    <w:rsid w:val="00CD011C"/>
    <w:rsid w:val="00CF1330"/>
    <w:rsid w:val="00CF7E36"/>
    <w:rsid w:val="00D3708D"/>
    <w:rsid w:val="00D40426"/>
    <w:rsid w:val="00D40708"/>
    <w:rsid w:val="00D57C96"/>
    <w:rsid w:val="00D57D18"/>
    <w:rsid w:val="00D6567C"/>
    <w:rsid w:val="00D75E94"/>
    <w:rsid w:val="00D91203"/>
    <w:rsid w:val="00D95174"/>
    <w:rsid w:val="00D9530D"/>
    <w:rsid w:val="00DA1737"/>
    <w:rsid w:val="00DA4973"/>
    <w:rsid w:val="00DA6F36"/>
    <w:rsid w:val="00DB4A27"/>
    <w:rsid w:val="00DB596E"/>
    <w:rsid w:val="00DB7773"/>
    <w:rsid w:val="00DC00EA"/>
    <w:rsid w:val="00DC3802"/>
    <w:rsid w:val="00DC45EA"/>
    <w:rsid w:val="00DE5973"/>
    <w:rsid w:val="00E07D87"/>
    <w:rsid w:val="00E14BAA"/>
    <w:rsid w:val="00E1535A"/>
    <w:rsid w:val="00E26363"/>
    <w:rsid w:val="00E32F7E"/>
    <w:rsid w:val="00E50FB5"/>
    <w:rsid w:val="00E5267B"/>
    <w:rsid w:val="00E63C0E"/>
    <w:rsid w:val="00E71BF8"/>
    <w:rsid w:val="00E72D49"/>
    <w:rsid w:val="00E7593C"/>
    <w:rsid w:val="00E7678A"/>
    <w:rsid w:val="00E86ACB"/>
    <w:rsid w:val="00E935F1"/>
    <w:rsid w:val="00E94A81"/>
    <w:rsid w:val="00EA1681"/>
    <w:rsid w:val="00EA1FFB"/>
    <w:rsid w:val="00EB048E"/>
    <w:rsid w:val="00EB4E9C"/>
    <w:rsid w:val="00ED0D27"/>
    <w:rsid w:val="00EE34DF"/>
    <w:rsid w:val="00EF2F89"/>
    <w:rsid w:val="00EF7125"/>
    <w:rsid w:val="00F03E98"/>
    <w:rsid w:val="00F07FE6"/>
    <w:rsid w:val="00F1237A"/>
    <w:rsid w:val="00F22CBD"/>
    <w:rsid w:val="00F272F1"/>
    <w:rsid w:val="00F351A1"/>
    <w:rsid w:val="00F45372"/>
    <w:rsid w:val="00F45B23"/>
    <w:rsid w:val="00F560F7"/>
    <w:rsid w:val="00F6334D"/>
    <w:rsid w:val="00F750D4"/>
    <w:rsid w:val="00F90673"/>
    <w:rsid w:val="00F9217E"/>
    <w:rsid w:val="00F974F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AA2BAF1"/>
  <w15:docId w15:val="{2AE80ECE-794E-461F-BE57-C1CD24B7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136B3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825BFE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825BF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907043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907043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7043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907043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907043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E1535A"/>
    <w:pPr>
      <w:ind w:left="720"/>
      <w:contextualSpacing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rsid w:val="00E1535A"/>
    <w:rPr>
      <w:rFonts w:ascii="Arial" w:hAnsi="Arial"/>
      <w:lang w:val="de-DE"/>
    </w:rPr>
  </w:style>
  <w:style w:type="character" w:customStyle="1" w:styleId="pldetailsChar">
    <w:name w:val="pldetails Char"/>
    <w:link w:val="pldetails"/>
    <w:locked/>
    <w:rsid w:val="00E1535A"/>
    <w:rPr>
      <w:rFonts w:ascii="Arial" w:hAnsi="Arial"/>
      <w:noProof/>
      <w:snapToGrid w:val="0"/>
      <w:lang w:val="de-DE"/>
    </w:rPr>
  </w:style>
  <w:style w:type="character" w:customStyle="1" w:styleId="plcountryChar">
    <w:name w:val="plcountry Char"/>
    <w:basedOn w:val="DefaultParagraphFont"/>
    <w:link w:val="plcountry"/>
    <w:rsid w:val="00E1535A"/>
    <w:rPr>
      <w:rFonts w:ascii="Arial" w:hAnsi="Arial"/>
      <w:caps/>
      <w:noProof/>
      <w:snapToGrid w:val="0"/>
      <w:u w:val="single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oval\Downloads\tc_edc_mar_19_DE%20(templat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EF5B-6C84-4EB1-BD51-6870310B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tc_edc_mar_19_DE (template).dotx</Template>
  <TotalTime>0</TotalTime>
  <Pages>12</Pages>
  <Words>2604</Words>
  <Characters>17607</Characters>
  <Application>Microsoft Office Word</Application>
  <DocSecurity>0</DocSecurity>
  <Lines>146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TC-EDC/Mar18</vt:lpstr>
      <vt:lpstr>TC-EDC/Mar18</vt:lpstr>
    </vt:vector>
  </TitlesOfParts>
  <Company>UPOV</Company>
  <LinksUpToDate>false</LinksUpToDate>
  <CharactersWithSpaces>20171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TC-EDC/Mar18</dc:title>
  <dc:creator>SANDOVAL Barbara</dc:creator>
  <cp:lastModifiedBy>BESSE Ariane</cp:lastModifiedBy>
  <cp:revision>5</cp:revision>
  <cp:lastPrinted>2019-03-05T20:17:00Z</cp:lastPrinted>
  <dcterms:created xsi:type="dcterms:W3CDTF">2019-03-29T11:12:00Z</dcterms:created>
  <dcterms:modified xsi:type="dcterms:W3CDTF">2019-04-01T14:29:00Z</dcterms:modified>
</cp:coreProperties>
</file>