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26363" w:rsidP="00AC2883">
            <w:pPr>
              <w:pStyle w:val="Sessiontc"/>
              <w:spacing w:line="240" w:lineRule="auto"/>
            </w:pPr>
            <w:r w:rsidRPr="00E26363">
              <w:t>Erweiterter Redaktionsausschuß</w:t>
            </w:r>
          </w:p>
          <w:p w:rsidR="00EB4E9C" w:rsidRPr="00DC3802" w:rsidRDefault="00EB4E9C" w:rsidP="00A30573">
            <w:pPr>
              <w:pStyle w:val="Sessiontcplacedate"/>
              <w:rPr>
                <w:sz w:val="22"/>
              </w:rPr>
            </w:pPr>
            <w:r w:rsidRPr="00DA4973">
              <w:br/>
              <w:t>Gen</w:t>
            </w:r>
            <w:r w:rsidR="00BC0BD4">
              <w:t>f</w:t>
            </w:r>
            <w:r w:rsidRPr="00DA4973">
              <w:t xml:space="preserve">, </w:t>
            </w:r>
            <w:r w:rsidR="00A7227F">
              <w:t>2</w:t>
            </w:r>
            <w:r w:rsidR="007C595A">
              <w:t>6</w:t>
            </w:r>
            <w:r w:rsidR="00BC0BD4">
              <w:t>.</w:t>
            </w:r>
            <w:r w:rsidR="00A706D3">
              <w:t xml:space="preserve"> </w:t>
            </w:r>
            <w:r w:rsidR="00E26363">
              <w:t>und 27. März</w:t>
            </w:r>
            <w:r w:rsidR="00A7227F">
              <w:t xml:space="preserve"> </w:t>
            </w:r>
            <w:r w:rsidRPr="00DA4973">
              <w:t>201</w:t>
            </w:r>
            <w:r w:rsidR="00A30573">
              <w:t>9</w:t>
            </w:r>
          </w:p>
        </w:tc>
        <w:tc>
          <w:tcPr>
            <w:tcW w:w="3127" w:type="dxa"/>
          </w:tcPr>
          <w:p w:rsidR="00EB4E9C" w:rsidRPr="00E26363" w:rsidRDefault="00E26363" w:rsidP="003C7FBE">
            <w:pPr>
              <w:pStyle w:val="Doccode"/>
              <w:rPr>
                <w:lang w:val="de-CH"/>
              </w:rPr>
            </w:pPr>
            <w:r>
              <w:rPr>
                <w:lang w:val="de-CH"/>
              </w:rPr>
              <w:t>TC-EDC/</w:t>
            </w:r>
            <w:r w:rsidR="00A80261">
              <w:rPr>
                <w:lang w:val="de-CH"/>
              </w:rPr>
              <w:t>Mar</w:t>
            </w:r>
            <w:r>
              <w:rPr>
                <w:lang w:val="de-CH"/>
              </w:rPr>
              <w:t>1</w:t>
            </w:r>
            <w:r w:rsidR="00A30573">
              <w:rPr>
                <w:lang w:val="de-CH"/>
              </w:rPr>
              <w:t>9</w:t>
            </w:r>
            <w:r>
              <w:rPr>
                <w:lang w:val="de-CH"/>
              </w:rPr>
              <w:t>/</w:t>
            </w:r>
            <w:r w:rsidR="00615594">
              <w:rPr>
                <w:lang w:val="de-CH"/>
              </w:rPr>
              <w:t>6</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A30573">
            <w:pPr>
              <w:pStyle w:val="Docoriginal"/>
            </w:pPr>
            <w:r w:rsidRPr="00AC2883">
              <w:t>Dat</w:t>
            </w:r>
            <w:r w:rsidR="00BC0BD4">
              <w:t>um</w:t>
            </w:r>
            <w:r w:rsidRPr="00AC2883">
              <w:t>:</w:t>
            </w:r>
            <w:r w:rsidRPr="000E636A">
              <w:rPr>
                <w:b w:val="0"/>
                <w:spacing w:val="0"/>
              </w:rPr>
              <w:t xml:space="preserve">  </w:t>
            </w:r>
            <w:r w:rsidR="0052703E" w:rsidRPr="00A70A89">
              <w:rPr>
                <w:b w:val="0"/>
                <w:spacing w:val="0"/>
              </w:rPr>
              <w:t>18. Dezember</w:t>
            </w:r>
            <w:r w:rsidRPr="00A70A89">
              <w:rPr>
                <w:b w:val="0"/>
                <w:spacing w:val="0"/>
              </w:rPr>
              <w:t xml:space="preserve"> 201</w:t>
            </w:r>
            <w:r w:rsidR="00A30573" w:rsidRPr="00A70A89">
              <w:rPr>
                <w:b w:val="0"/>
                <w:spacing w:val="0"/>
              </w:rPr>
              <w:t>8</w:t>
            </w:r>
          </w:p>
        </w:tc>
      </w:tr>
    </w:tbl>
    <w:p w:rsidR="00A633D8" w:rsidRPr="008C58AD" w:rsidRDefault="00A633D8" w:rsidP="00A633D8">
      <w:pPr>
        <w:pStyle w:val="Titleofdoc0"/>
      </w:pPr>
      <w:bookmarkStart w:id="0" w:name="TitleOfDoc"/>
      <w:bookmarkStart w:id="1" w:name="Prepared"/>
      <w:bookmarkEnd w:id="0"/>
      <w:bookmarkEnd w:id="1"/>
      <w:r w:rsidRPr="008C58AD">
        <w:t xml:space="preserve">Teilüberarbeitung der Prüfungsrichtlinien für Erbse </w:t>
      </w:r>
    </w:p>
    <w:p w:rsidR="00A633D8" w:rsidRPr="00744CE2" w:rsidRDefault="00A70A89" w:rsidP="00A633D8">
      <w:pPr>
        <w:pStyle w:val="preparedby1"/>
        <w:jc w:val="left"/>
      </w:pPr>
      <w:r>
        <w:t>von einem</w:t>
      </w:r>
      <w:r w:rsidR="00744CE2" w:rsidRPr="00744CE2">
        <w:t xml:space="preserve"> Sachverständigen aus Frankreich erstelltes Dokument</w:t>
      </w:r>
    </w:p>
    <w:p w:rsidR="00A633D8" w:rsidRPr="008C58AD" w:rsidRDefault="00A633D8" w:rsidP="00A633D8">
      <w:pPr>
        <w:pStyle w:val="Disclaimer"/>
      </w:pPr>
      <w:r w:rsidRPr="008C58AD">
        <w:t>Haftungsausschluss: dieses Dokument gibt nicht die Grundsätze oder eine Anleitung der UPOV wieder</w:t>
      </w:r>
    </w:p>
    <w:p w:rsidR="00A633D8" w:rsidRPr="00615594" w:rsidRDefault="00A633D8" w:rsidP="00A633D8">
      <w:r>
        <w:rPr>
          <w:rFonts w:cs="Arial"/>
        </w:rPr>
        <w:fldChar w:fldCharType="begin"/>
      </w:r>
      <w:r w:rsidRPr="00A633D8">
        <w:rPr>
          <w:rFonts w:cs="Arial"/>
        </w:rPr>
        <w:instrText xml:space="preserve"> AUTONUM  </w:instrText>
      </w:r>
      <w:r>
        <w:rPr>
          <w:rFonts w:cs="Arial"/>
        </w:rPr>
        <w:fldChar w:fldCharType="end"/>
      </w:r>
      <w:r w:rsidRPr="00A633D8">
        <w:rPr>
          <w:rFonts w:cs="Arial"/>
        </w:rPr>
        <w:tab/>
      </w:r>
      <w:r w:rsidRPr="008C58AD">
        <w:rPr>
          <w:rFonts w:cs="Arial"/>
        </w:rPr>
        <w:t>Zweck dieses Dokum</w:t>
      </w:r>
      <w:r w:rsidR="00A70A89">
        <w:rPr>
          <w:rFonts w:cs="Arial"/>
        </w:rPr>
        <w:t>ents ist es, einen Vorschlag für eine</w:t>
      </w:r>
      <w:r w:rsidRPr="008C58AD">
        <w:rPr>
          <w:rFonts w:cs="Arial"/>
        </w:rPr>
        <w:t xml:space="preserve"> Teilüberarbeitung der Prüfungsrichtlinien für </w:t>
      </w:r>
      <w:r w:rsidRPr="008C58AD">
        <w:t>Erbse vorzulegen (Dokument TG/7/10 Rev.).</w:t>
      </w:r>
      <w:r>
        <w:t xml:space="preserve"> </w:t>
      </w:r>
    </w:p>
    <w:p w:rsidR="00A633D8" w:rsidRPr="00615594" w:rsidRDefault="00A633D8" w:rsidP="00A633D8">
      <w:pPr>
        <w:tabs>
          <w:tab w:val="left" w:pos="567"/>
        </w:tabs>
        <w:rPr>
          <w:rFonts w:cs="Arial"/>
        </w:rPr>
      </w:pPr>
    </w:p>
    <w:p w:rsidR="00A633D8" w:rsidRDefault="00A633D8" w:rsidP="00A633D8">
      <w:pPr>
        <w:tabs>
          <w:tab w:val="left" w:pos="567"/>
        </w:tabs>
      </w:pPr>
      <w:r>
        <w:rPr>
          <w:rFonts w:cs="Arial"/>
          <w:snapToGrid w:val="0"/>
        </w:rPr>
        <w:fldChar w:fldCharType="begin"/>
      </w:r>
      <w:r w:rsidRPr="00A633D8">
        <w:rPr>
          <w:rFonts w:cs="Arial"/>
          <w:snapToGrid w:val="0"/>
        </w:rPr>
        <w:instrText xml:space="preserve"> AUTONUM  </w:instrText>
      </w:r>
      <w:r>
        <w:rPr>
          <w:rFonts w:cs="Arial"/>
          <w:snapToGrid w:val="0"/>
        </w:rPr>
        <w:fldChar w:fldCharType="end"/>
      </w:r>
      <w:r w:rsidRPr="00A633D8">
        <w:rPr>
          <w:rFonts w:cs="Arial"/>
          <w:snapToGrid w:val="0"/>
        </w:rPr>
        <w:tab/>
      </w:r>
      <w:r w:rsidR="00A70A89">
        <w:rPr>
          <w:rFonts w:cs="Arial"/>
        </w:rPr>
        <w:t>Auf ihrer zweiundfünfzigsten Tagung vom 17</w:t>
      </w:r>
      <w:r w:rsidR="00397EDC">
        <w:rPr>
          <w:rFonts w:cs="Arial"/>
        </w:rPr>
        <w:t>. bis</w:t>
      </w:r>
      <w:r w:rsidR="00A70A89">
        <w:rPr>
          <w:rFonts w:cs="Arial"/>
        </w:rPr>
        <w:t xml:space="preserve"> 21. September 2018</w:t>
      </w:r>
      <w:r w:rsidR="00A70A89" w:rsidRPr="008C58AD">
        <w:rPr>
          <w:rFonts w:cs="Arial"/>
        </w:rPr>
        <w:t xml:space="preserve"> in </w:t>
      </w:r>
      <w:r w:rsidR="00A70A89">
        <w:rPr>
          <w:rFonts w:cs="Arial"/>
        </w:rPr>
        <w:t>Peking, China</w:t>
      </w:r>
      <w:r w:rsidR="00A70A89" w:rsidRPr="008C58AD">
        <w:rPr>
          <w:rFonts w:cs="Arial"/>
        </w:rPr>
        <w:t xml:space="preserve">, </w:t>
      </w:r>
      <w:r w:rsidR="00A70A89">
        <w:rPr>
          <w:rFonts w:cs="Arial"/>
        </w:rPr>
        <w:t>prüfte d</w:t>
      </w:r>
      <w:r w:rsidRPr="008C58AD">
        <w:rPr>
          <w:rFonts w:cs="Arial"/>
          <w:snapToGrid w:val="0"/>
        </w:rPr>
        <w:t xml:space="preserve">ie Technische Arbeitsgruppe für Gemüsearten </w:t>
      </w:r>
      <w:r w:rsidRPr="008C58AD">
        <w:rPr>
          <w:rFonts w:cs="Arial"/>
        </w:rPr>
        <w:t>(TWV)</w:t>
      </w:r>
      <w:r w:rsidR="00A70A89">
        <w:rPr>
          <w:rFonts w:cs="Arial"/>
        </w:rPr>
        <w:t xml:space="preserve"> </w:t>
      </w:r>
      <w:r w:rsidR="00A70A89" w:rsidRPr="008C58AD">
        <w:t xml:space="preserve">auf </w:t>
      </w:r>
      <w:r w:rsidR="00397EDC">
        <w:t xml:space="preserve">der </w:t>
      </w:r>
      <w:r w:rsidR="00A70A89" w:rsidRPr="008C58AD">
        <w:t>Grundlage de</w:t>
      </w:r>
      <w:r w:rsidR="00A70A89">
        <w:t>r</w:t>
      </w:r>
      <w:r w:rsidR="00A70A89" w:rsidRPr="008C58AD">
        <w:t xml:space="preserve"> Dokument</w:t>
      </w:r>
      <w:r w:rsidR="00A70A89">
        <w:t>e</w:t>
      </w:r>
      <w:r w:rsidR="00A70A89" w:rsidRPr="008C58AD">
        <w:t xml:space="preserve"> </w:t>
      </w:r>
      <w:r w:rsidR="00A70A89" w:rsidRPr="00A633D8">
        <w:t xml:space="preserve">TG/55/7 Rev. 5 </w:t>
      </w:r>
      <w:r w:rsidR="00A70A89" w:rsidRPr="008C58AD">
        <w:t xml:space="preserve">und </w:t>
      </w:r>
      <w:r w:rsidR="00A70A89" w:rsidRPr="00A633D8">
        <w:t xml:space="preserve">TWV/52/5 </w:t>
      </w:r>
      <w:r w:rsidR="00A70A89" w:rsidRPr="008C58AD">
        <w:t xml:space="preserve">„Teilüberarbeitung der Prüfungsrichtlinien für Erbse” </w:t>
      </w:r>
      <w:r w:rsidRPr="008C58AD">
        <w:t>einen Vorschlag für eine Teilüberarbeitung der Prüfungsrichtlinien für Erbse (</w:t>
      </w:r>
      <w:r w:rsidRPr="008C58AD">
        <w:rPr>
          <w:i/>
          <w:szCs w:val="24"/>
        </w:rPr>
        <w:t xml:space="preserve">Pisum sativum </w:t>
      </w:r>
      <w:r w:rsidRPr="008C58AD">
        <w:rPr>
          <w:szCs w:val="24"/>
        </w:rPr>
        <w:t>L.</w:t>
      </w:r>
      <w:r w:rsidRPr="008C58AD">
        <w:t>) und schlug die folgenden Überarbeitungen an den Prüfungsrichtlinien für Erbse vor (vgl. Dokument</w:t>
      </w:r>
      <w:r>
        <w:t xml:space="preserve"> TWV/52/20</w:t>
      </w:r>
      <w:r w:rsidRPr="008C58AD">
        <w:t xml:space="preserve"> „</w:t>
      </w:r>
      <w:r w:rsidRPr="00A70A89">
        <w:rPr>
          <w:i/>
        </w:rPr>
        <w:t>Report</w:t>
      </w:r>
      <w:r w:rsidRPr="008C58AD">
        <w:t xml:space="preserve">”, </w:t>
      </w:r>
      <w:r>
        <w:t>Absatz</w:t>
      </w:r>
      <w:r w:rsidRPr="008C58AD">
        <w:t xml:space="preserve"> </w:t>
      </w:r>
      <w:r>
        <w:t>70</w:t>
      </w:r>
      <w:r w:rsidRPr="008C58AD">
        <w:t>):</w:t>
      </w:r>
    </w:p>
    <w:p w:rsidR="00A633D8" w:rsidRPr="00615594" w:rsidRDefault="00A633D8" w:rsidP="00A633D8"/>
    <w:p w:rsidR="00A633D8" w:rsidRPr="00D2740F" w:rsidRDefault="00995D37" w:rsidP="00995D37">
      <w:pPr>
        <w:pStyle w:val="ListParagraph"/>
        <w:numPr>
          <w:ilvl w:val="0"/>
          <w:numId w:val="1"/>
        </w:numPr>
        <w:ind w:left="1170" w:hanging="540"/>
        <w:rPr>
          <w:lang w:val="de-DE"/>
        </w:rPr>
      </w:pPr>
      <w:r w:rsidRPr="00D2740F">
        <w:rPr>
          <w:lang w:val="de-DE"/>
        </w:rPr>
        <w:t>Änderung der Beispielssorten für Merkmal</w:t>
      </w:r>
      <w:r w:rsidR="00A70A89">
        <w:rPr>
          <w:lang w:val="de-DE"/>
        </w:rPr>
        <w:t xml:space="preserve"> 58 „</w:t>
      </w:r>
      <w:r w:rsidRPr="00D2740F">
        <w:rPr>
          <w:lang w:val="de-DE"/>
        </w:rPr>
        <w:t>Resistenz gegen</w:t>
      </w:r>
      <w:r w:rsidR="00A633D8" w:rsidRPr="00D2740F">
        <w:rPr>
          <w:lang w:val="de-DE"/>
        </w:rPr>
        <w:t xml:space="preserve"> </w:t>
      </w:r>
      <w:r w:rsidR="00A633D8" w:rsidRPr="00D2740F">
        <w:rPr>
          <w:i/>
          <w:lang w:val="de-DE"/>
        </w:rPr>
        <w:t>Fusarium oxysporum</w:t>
      </w:r>
      <w:r w:rsidR="00A633D8" w:rsidRPr="00D2740F">
        <w:rPr>
          <w:lang w:val="de-DE"/>
        </w:rPr>
        <w:t xml:space="preserve"> f. sp.</w:t>
      </w:r>
      <w:r w:rsidR="00A633D8" w:rsidRPr="00D2740F">
        <w:rPr>
          <w:i/>
          <w:lang w:val="de-DE"/>
        </w:rPr>
        <w:t xml:space="preserve"> pisi</w:t>
      </w:r>
      <w:r w:rsidR="00A633D8" w:rsidRPr="00D2740F">
        <w:rPr>
          <w:lang w:val="de-DE"/>
        </w:rPr>
        <w:t xml:space="preserve"> </w:t>
      </w:r>
      <w:r w:rsidR="00D2740F" w:rsidRPr="00D2740F">
        <w:rPr>
          <w:lang w:val="de-DE"/>
        </w:rPr>
        <w:t>Pathotyp</w:t>
      </w:r>
      <w:r w:rsidR="00A633D8" w:rsidRPr="00D2740F">
        <w:rPr>
          <w:lang w:val="de-DE"/>
        </w:rPr>
        <w:t xml:space="preserve"> 1” </w:t>
      </w:r>
    </w:p>
    <w:p w:rsidR="00A633D8" w:rsidRPr="003733C6" w:rsidRDefault="00995D37" w:rsidP="00995D37">
      <w:pPr>
        <w:pStyle w:val="ListParagraph"/>
        <w:numPr>
          <w:ilvl w:val="0"/>
          <w:numId w:val="1"/>
        </w:numPr>
        <w:ind w:left="1170" w:hanging="540"/>
        <w:rPr>
          <w:lang w:val="de-DE"/>
        </w:rPr>
      </w:pPr>
      <w:r w:rsidRPr="003733C6">
        <w:rPr>
          <w:lang w:val="de-DE"/>
        </w:rPr>
        <w:t>Änderung der Methodik für Merkmal</w:t>
      </w:r>
      <w:r w:rsidR="00A633D8" w:rsidRPr="003733C6">
        <w:rPr>
          <w:lang w:val="de-DE"/>
        </w:rPr>
        <w:t xml:space="preserve"> 58 </w:t>
      </w:r>
      <w:r w:rsidR="00A70A89" w:rsidRPr="00CB4F75">
        <w:rPr>
          <w:lang w:val="de-DE"/>
        </w:rPr>
        <w:t>in der Erläuterung zu Merkmal</w:t>
      </w:r>
      <w:r w:rsidR="00A633D8" w:rsidRPr="003733C6">
        <w:rPr>
          <w:lang w:val="de-DE"/>
        </w:rPr>
        <w:t xml:space="preserve"> 58</w:t>
      </w:r>
    </w:p>
    <w:p w:rsidR="00A633D8" w:rsidRPr="003733C6" w:rsidRDefault="00A633D8" w:rsidP="00A633D8">
      <w:pPr>
        <w:ind w:left="567"/>
        <w:jc w:val="left"/>
      </w:pPr>
    </w:p>
    <w:p w:rsidR="00A633D8" w:rsidRPr="00D10AB3" w:rsidRDefault="00A633D8" w:rsidP="00A633D8">
      <w:pPr>
        <w:pStyle w:val="Default"/>
        <w:rPr>
          <w:lang w:val="de-DE"/>
        </w:rPr>
      </w:pPr>
      <w:r w:rsidRPr="00780A4E">
        <w:rPr>
          <w:sz w:val="20"/>
        </w:rPr>
        <w:fldChar w:fldCharType="begin"/>
      </w:r>
      <w:r w:rsidRPr="00D10AB3">
        <w:rPr>
          <w:sz w:val="20"/>
          <w:lang w:val="de-DE"/>
        </w:rPr>
        <w:instrText xml:space="preserve"> AUTONUM  </w:instrText>
      </w:r>
      <w:r w:rsidRPr="00780A4E">
        <w:rPr>
          <w:sz w:val="20"/>
        </w:rPr>
        <w:fldChar w:fldCharType="end"/>
      </w:r>
      <w:r w:rsidRPr="00D10AB3">
        <w:rPr>
          <w:lang w:val="de-DE"/>
        </w:rPr>
        <w:tab/>
      </w:r>
      <w:r w:rsidR="00D10AB3" w:rsidRPr="008C58AD">
        <w:rPr>
          <w:sz w:val="20"/>
          <w:szCs w:val="20"/>
          <w:lang w:val="de-DE"/>
        </w:rPr>
        <w:t xml:space="preserve">Die vorgeschlagenen Änderungen sind nachfolgend durch </w:t>
      </w:r>
      <w:r w:rsidR="00D10AB3" w:rsidRPr="00675B9F">
        <w:rPr>
          <w:sz w:val="20"/>
          <w:szCs w:val="20"/>
          <w:highlight w:val="lightGray"/>
          <w:u w:val="single"/>
          <w:lang w:val="de-DE"/>
        </w:rPr>
        <w:t>Unterstreichen</w:t>
      </w:r>
      <w:r w:rsidR="00D10AB3" w:rsidRPr="008C58AD">
        <w:rPr>
          <w:sz w:val="20"/>
          <w:szCs w:val="20"/>
          <w:lang w:val="de-DE"/>
        </w:rPr>
        <w:t xml:space="preserve"> (Einfügungen) und </w:t>
      </w:r>
      <w:r w:rsidR="00D10AB3" w:rsidRPr="00675B9F">
        <w:rPr>
          <w:strike/>
          <w:sz w:val="20"/>
          <w:szCs w:val="20"/>
          <w:highlight w:val="lightGray"/>
          <w:lang w:val="de-DE"/>
        </w:rPr>
        <w:t>Durchstreichen</w:t>
      </w:r>
      <w:r w:rsidR="00D10AB3" w:rsidRPr="008C58AD">
        <w:rPr>
          <w:sz w:val="20"/>
          <w:szCs w:val="20"/>
          <w:lang w:val="de-DE"/>
        </w:rPr>
        <w:t xml:space="preserve"> (Streichungen) angegeben.</w:t>
      </w:r>
    </w:p>
    <w:p w:rsidR="00A633D8" w:rsidRPr="00D10AB3" w:rsidRDefault="00A633D8" w:rsidP="00A633D8"/>
    <w:p w:rsidR="00A633D8" w:rsidRPr="00D10AB3" w:rsidRDefault="00A633D8" w:rsidP="00A633D8"/>
    <w:p w:rsidR="00A633D8" w:rsidRPr="00D10AB3" w:rsidRDefault="00A633D8" w:rsidP="00A633D8">
      <w:pPr>
        <w:jc w:val="left"/>
        <w:rPr>
          <w:u w:val="single"/>
        </w:rPr>
      </w:pPr>
      <w:r w:rsidRPr="00D10AB3">
        <w:br w:type="page"/>
      </w:r>
    </w:p>
    <w:p w:rsidR="00A633D8" w:rsidRPr="00DD66F5" w:rsidRDefault="00DD66F5" w:rsidP="00A633D8">
      <w:pPr>
        <w:pStyle w:val="Heading2"/>
        <w:rPr>
          <w:lang w:val="de-DE"/>
        </w:rPr>
      </w:pPr>
      <w:r w:rsidRPr="00CB4F75">
        <w:rPr>
          <w:lang w:val="de-DE"/>
        </w:rPr>
        <w:lastRenderedPageBreak/>
        <w:t xml:space="preserve">Vorgeschlagene Änderung der Beispielssorten für </w:t>
      </w:r>
      <w:r w:rsidR="00995D37" w:rsidRPr="00DD66F5">
        <w:rPr>
          <w:lang w:val="de-DE"/>
        </w:rPr>
        <w:t>Merkmal</w:t>
      </w:r>
      <w:r>
        <w:rPr>
          <w:lang w:val="de-DE"/>
        </w:rPr>
        <w:t xml:space="preserve"> 58 „</w:t>
      </w:r>
      <w:r w:rsidR="00995D37" w:rsidRPr="00DD66F5">
        <w:rPr>
          <w:lang w:val="de-DE"/>
        </w:rPr>
        <w:t>Resistenz gegen</w:t>
      </w:r>
      <w:r w:rsidR="00A633D8" w:rsidRPr="00DD66F5">
        <w:rPr>
          <w:lang w:val="de-DE"/>
        </w:rPr>
        <w:t xml:space="preserve"> </w:t>
      </w:r>
      <w:r w:rsidR="00A633D8" w:rsidRPr="00DD66F5">
        <w:rPr>
          <w:i/>
          <w:lang w:val="de-DE"/>
        </w:rPr>
        <w:t>Fusarium oxysporum</w:t>
      </w:r>
      <w:r w:rsidR="00A633D8" w:rsidRPr="00DD66F5">
        <w:rPr>
          <w:lang w:val="de-DE"/>
        </w:rPr>
        <w:t xml:space="preserve"> f. sp.</w:t>
      </w:r>
      <w:r w:rsidR="00A633D8" w:rsidRPr="00DD66F5">
        <w:rPr>
          <w:i/>
          <w:lang w:val="de-DE"/>
        </w:rPr>
        <w:t xml:space="preserve"> pisi</w:t>
      </w:r>
      <w:r w:rsidR="00A633D8" w:rsidRPr="00DD66F5">
        <w:rPr>
          <w:lang w:val="de-DE"/>
        </w:rPr>
        <w:t xml:space="preserve"> </w:t>
      </w:r>
      <w:r w:rsidR="00D2740F" w:rsidRPr="00DD66F5">
        <w:rPr>
          <w:lang w:val="de-DE"/>
        </w:rPr>
        <w:t>Pathotyp</w:t>
      </w:r>
      <w:r w:rsidR="00A633D8" w:rsidRPr="00DD66F5">
        <w:rPr>
          <w:lang w:val="de-DE"/>
        </w:rPr>
        <w:t xml:space="preserve"> 1”</w:t>
      </w:r>
    </w:p>
    <w:p w:rsidR="00A633D8" w:rsidRPr="00DD66F5" w:rsidRDefault="00A633D8" w:rsidP="00A633D8">
      <w:pPr>
        <w:jc w:val="left"/>
      </w:pPr>
    </w:p>
    <w:p w:rsidR="00D10AB3" w:rsidRPr="008C58AD" w:rsidRDefault="00D10AB3" w:rsidP="00D10AB3">
      <w:pPr>
        <w:jc w:val="left"/>
        <w:rPr>
          <w:i/>
        </w:rPr>
      </w:pPr>
      <w:r w:rsidRPr="008C58AD">
        <w:rPr>
          <w:i/>
        </w:rPr>
        <w:t>Derzeitiger Wortlaut</w:t>
      </w:r>
    </w:p>
    <w:p w:rsidR="00A633D8" w:rsidRDefault="00A633D8" w:rsidP="00A633D8">
      <w:pPr>
        <w:jc w:val="left"/>
        <w:rPr>
          <w:i/>
        </w:rPr>
      </w:pPr>
    </w:p>
    <w:tbl>
      <w:tblPr>
        <w:tblW w:w="10995"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04"/>
      </w:tblGrid>
      <w:tr w:rsidR="00A633D8" w:rsidRPr="007B2A9E" w:rsidTr="00F47E4E">
        <w:trPr>
          <w:cantSplit/>
        </w:trPr>
        <w:tc>
          <w:tcPr>
            <w:tcW w:w="567" w:type="dxa"/>
            <w:tcBorders>
              <w:top w:val="single" w:sz="4" w:space="0" w:color="auto"/>
              <w:bottom w:val="nil"/>
            </w:tcBorders>
          </w:tcPr>
          <w:p w:rsidR="00A633D8" w:rsidRPr="003C4050" w:rsidRDefault="00A633D8" w:rsidP="00F47E4E">
            <w:pPr>
              <w:pStyle w:val="Normaltb"/>
              <w:jc w:val="center"/>
              <w:rPr>
                <w:rFonts w:ascii="Arial" w:hAnsi="Arial" w:cs="Arial"/>
                <w:sz w:val="16"/>
              </w:rPr>
            </w:pPr>
          </w:p>
        </w:tc>
        <w:tc>
          <w:tcPr>
            <w:tcW w:w="567" w:type="dxa"/>
            <w:tcBorders>
              <w:top w:val="single" w:sz="4" w:space="0" w:color="auto"/>
              <w:bottom w:val="nil"/>
            </w:tcBorders>
          </w:tcPr>
          <w:p w:rsidR="00A633D8" w:rsidRPr="003C4050" w:rsidRDefault="00A633D8" w:rsidP="00F47E4E">
            <w:pPr>
              <w:pStyle w:val="Normaltb"/>
              <w:jc w:val="center"/>
              <w:rPr>
                <w:rFonts w:ascii="Arial" w:hAnsi="Arial" w:cs="Arial"/>
                <w:sz w:val="16"/>
              </w:rPr>
            </w:pP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rPr>
            </w:pPr>
            <w:r w:rsidRPr="003C4050">
              <w:rPr>
                <w:rFonts w:ascii="Arial" w:hAnsi="Arial" w:cs="Arial"/>
                <w:sz w:val="16"/>
              </w:rPr>
              <w:t>English</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fr-CH"/>
              </w:rPr>
            </w:pPr>
            <w:r w:rsidRPr="003C4050">
              <w:rPr>
                <w:rFonts w:ascii="Arial" w:hAnsi="Arial" w:cs="Arial"/>
                <w:sz w:val="16"/>
                <w:lang w:val="fr-CH"/>
              </w:rPr>
              <w:t>français</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de-CH"/>
              </w:rPr>
            </w:pPr>
            <w:r w:rsidRPr="003C4050">
              <w:rPr>
                <w:rFonts w:ascii="Arial" w:hAnsi="Arial" w:cs="Arial"/>
                <w:sz w:val="16"/>
                <w:lang w:val="de-CH"/>
              </w:rPr>
              <w:t>deutsch</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es-ES"/>
              </w:rPr>
            </w:pPr>
            <w:r w:rsidRPr="003C4050">
              <w:rPr>
                <w:rFonts w:ascii="Arial" w:hAnsi="Arial" w:cs="Arial"/>
                <w:sz w:val="16"/>
                <w:lang w:val="es-ES"/>
              </w:rPr>
              <w:t>español</w:t>
            </w:r>
          </w:p>
        </w:tc>
        <w:tc>
          <w:tcPr>
            <w:tcW w:w="1985" w:type="dxa"/>
            <w:tcBorders>
              <w:top w:val="single" w:sz="4" w:space="0" w:color="auto"/>
              <w:bottom w:val="nil"/>
            </w:tcBorders>
          </w:tcPr>
          <w:p w:rsidR="00A633D8" w:rsidRPr="003C4050" w:rsidRDefault="00A633D8" w:rsidP="00F47E4E">
            <w:pPr>
              <w:pStyle w:val="Normaltb"/>
              <w:keepNext w:val="0"/>
              <w:rPr>
                <w:rFonts w:ascii="Arial" w:hAnsi="Arial" w:cs="Arial"/>
                <w:sz w:val="16"/>
                <w:lang w:val="nl-NL"/>
              </w:rPr>
            </w:pPr>
            <w:r w:rsidRPr="003C4050">
              <w:rPr>
                <w:rFonts w:ascii="Arial" w:hAnsi="Arial" w:cs="Arial"/>
                <w:sz w:val="16"/>
                <w:lang w:val="nl-NL"/>
              </w:rPr>
              <w:t>Example Varieties</w:t>
            </w:r>
            <w:r w:rsidRPr="003C4050">
              <w:rPr>
                <w:rFonts w:ascii="Arial" w:hAnsi="Arial" w:cs="Arial"/>
                <w:sz w:val="16"/>
                <w:lang w:val="nl-NL"/>
              </w:rPr>
              <w:br/>
              <w:t>Exemples</w:t>
            </w:r>
            <w:r w:rsidRPr="003C4050">
              <w:rPr>
                <w:rFonts w:ascii="Arial" w:hAnsi="Arial" w:cs="Arial"/>
                <w:sz w:val="16"/>
                <w:lang w:val="nl-NL"/>
              </w:rPr>
              <w:br/>
              <w:t>Beispielssorten</w:t>
            </w:r>
            <w:r w:rsidRPr="003C4050">
              <w:rPr>
                <w:rFonts w:ascii="Arial" w:hAnsi="Arial" w:cs="Arial"/>
                <w:sz w:val="16"/>
                <w:lang w:val="nl-NL"/>
              </w:rPr>
              <w:br/>
              <w:t>Variedades ejemplo</w:t>
            </w:r>
          </w:p>
        </w:tc>
        <w:tc>
          <w:tcPr>
            <w:tcW w:w="504" w:type="dxa"/>
            <w:tcBorders>
              <w:top w:val="single" w:sz="4" w:space="0" w:color="auto"/>
              <w:bottom w:val="nil"/>
            </w:tcBorders>
          </w:tcPr>
          <w:p w:rsidR="00A633D8" w:rsidRPr="003C4050" w:rsidRDefault="00A633D8" w:rsidP="00F47E4E">
            <w:pPr>
              <w:pStyle w:val="Normaltb"/>
              <w:keepNext w:val="0"/>
              <w:jc w:val="center"/>
              <w:rPr>
                <w:rFonts w:ascii="Arial" w:hAnsi="Arial" w:cs="Arial"/>
                <w:sz w:val="16"/>
                <w:lang w:val="nl-NL"/>
              </w:rPr>
            </w:pPr>
            <w:r w:rsidRPr="003C4050">
              <w:rPr>
                <w:rFonts w:ascii="Arial" w:hAnsi="Arial" w:cs="Arial"/>
                <w:sz w:val="16"/>
                <w:lang w:val="nl-NL"/>
              </w:rPr>
              <w:t>Note/</w:t>
            </w:r>
            <w:r w:rsidRPr="003C4050">
              <w:rPr>
                <w:rFonts w:ascii="Arial" w:hAnsi="Arial" w:cs="Arial"/>
                <w:sz w:val="16"/>
                <w:lang w:val="nl-NL"/>
              </w:rPr>
              <w:br/>
              <w:t>Nota</w:t>
            </w:r>
          </w:p>
        </w:tc>
      </w:tr>
      <w:tr w:rsidR="00A633D8" w:rsidRPr="007D179E" w:rsidTr="00F47E4E">
        <w:trPr>
          <w:cantSplit/>
        </w:trPr>
        <w:tc>
          <w:tcPr>
            <w:tcW w:w="567" w:type="dxa"/>
            <w:tcBorders>
              <w:top w:val="single" w:sz="4" w:space="0" w:color="auto"/>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A633D8" w:rsidRPr="005F306C" w:rsidRDefault="00A633D8" w:rsidP="00F47E4E">
            <w:pPr>
              <w:pStyle w:val="Normaltb"/>
              <w:keepNext w:val="0"/>
              <w:rPr>
                <w:rFonts w:ascii="Arial" w:hAnsi="Arial" w:cs="Arial"/>
                <w:sz w:val="16"/>
                <w:lang w:val="en-GB"/>
              </w:rPr>
            </w:pPr>
            <w:r w:rsidRPr="005F306C">
              <w:rPr>
                <w:rFonts w:ascii="Arial" w:hAnsi="Arial" w:cs="Arial"/>
                <w:sz w:val="16"/>
              </w:rPr>
              <w:t xml:space="preserve">Resistance to </w:t>
            </w:r>
            <w:r w:rsidRPr="005F306C">
              <w:rPr>
                <w:rFonts w:ascii="Arial" w:hAnsi="Arial" w:cs="Arial"/>
                <w:i/>
                <w:sz w:val="16"/>
                <w:u w:val="single"/>
              </w:rPr>
              <w:t>Fusarium oxysporum</w:t>
            </w:r>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r w:rsidRPr="005F306C">
              <w:rPr>
                <w:rFonts w:ascii="Arial" w:hAnsi="Arial" w:cs="Arial"/>
                <w:i/>
                <w:sz w:val="16"/>
                <w:u w:val="single"/>
              </w:rPr>
              <w:t>pisi</w:t>
            </w:r>
          </w:p>
        </w:tc>
        <w:tc>
          <w:tcPr>
            <w:tcW w:w="1843" w:type="dxa"/>
            <w:tcBorders>
              <w:top w:val="single" w:sz="4" w:space="0" w:color="auto"/>
              <w:bottom w:val="nil"/>
            </w:tcBorders>
          </w:tcPr>
          <w:p w:rsidR="00A633D8" w:rsidRPr="005F306C" w:rsidRDefault="00A633D8" w:rsidP="00F47E4E">
            <w:pPr>
              <w:pStyle w:val="Normaltb"/>
              <w:keepNext w:val="0"/>
              <w:rPr>
                <w:rFonts w:ascii="Arial" w:hAnsi="Arial" w:cs="Arial"/>
                <w:sz w:val="16"/>
                <w:lang w:val="fr-CH"/>
              </w:rPr>
            </w:pPr>
            <w:r w:rsidRPr="005F306C">
              <w:rPr>
                <w:rFonts w:ascii="Arial" w:hAnsi="Arial" w:cs="Arial"/>
                <w:sz w:val="16"/>
                <w:lang w:val="fr-CH"/>
              </w:rPr>
              <w:t xml:space="preserve">Résistance à </w:t>
            </w:r>
            <w:r w:rsidRPr="005F306C">
              <w:rPr>
                <w:rFonts w:ascii="Arial" w:hAnsi="Arial" w:cs="Arial"/>
                <w:i/>
                <w:sz w:val="16"/>
                <w:u w:val="single"/>
                <w:lang w:val="fr-CH"/>
              </w:rPr>
              <w:t>Fusarium oxysporum</w:t>
            </w:r>
            <w:r w:rsidRPr="005F306C">
              <w:rPr>
                <w:rFonts w:ascii="Arial" w:hAnsi="Arial" w:cs="Arial"/>
                <w:sz w:val="16"/>
                <w:u w:val="single"/>
                <w:lang w:val="fr-CH"/>
              </w:rPr>
              <w:t xml:space="preserve"> </w:t>
            </w:r>
            <w:r w:rsidRPr="005F306C">
              <w:rPr>
                <w:rFonts w:ascii="Arial" w:hAnsi="Arial" w:cs="Arial"/>
                <w:sz w:val="16"/>
                <w:lang w:val="fr-CH"/>
              </w:rPr>
              <w:t xml:space="preserve">f. sp. </w:t>
            </w:r>
            <w:r w:rsidRPr="005F306C">
              <w:rPr>
                <w:rFonts w:ascii="Arial" w:hAnsi="Arial" w:cs="Arial"/>
                <w:i/>
                <w:sz w:val="16"/>
                <w:u w:val="single"/>
                <w:lang w:val="fr-CH"/>
              </w:rPr>
              <w:t>pisi</w:t>
            </w:r>
          </w:p>
        </w:tc>
        <w:tc>
          <w:tcPr>
            <w:tcW w:w="1843" w:type="dxa"/>
            <w:tcBorders>
              <w:top w:val="single" w:sz="4" w:space="0" w:color="auto"/>
              <w:bottom w:val="nil"/>
            </w:tcBorders>
          </w:tcPr>
          <w:p w:rsidR="00A633D8" w:rsidRPr="005F306C" w:rsidRDefault="00A633D8" w:rsidP="00F47E4E">
            <w:pPr>
              <w:pStyle w:val="Normaltb"/>
              <w:keepNext w:val="0"/>
              <w:rPr>
                <w:rFonts w:ascii="Arial" w:hAnsi="Arial" w:cs="Arial"/>
                <w:sz w:val="16"/>
                <w:lang w:val="de-CH"/>
              </w:rPr>
            </w:pPr>
            <w:r w:rsidRPr="005F306C">
              <w:rPr>
                <w:rFonts w:ascii="Arial" w:hAnsi="Arial" w:cs="Arial"/>
                <w:sz w:val="16"/>
                <w:lang w:val="de-CH"/>
              </w:rPr>
              <w:t xml:space="preserve">Resistenz gegen </w:t>
            </w:r>
            <w:r w:rsidRPr="005F306C">
              <w:rPr>
                <w:rFonts w:ascii="Arial" w:hAnsi="Arial" w:cs="Arial"/>
                <w:i/>
                <w:sz w:val="16"/>
                <w:u w:val="single"/>
                <w:lang w:val="de-CH"/>
              </w:rPr>
              <w:t>Fusarium oxysporum</w:t>
            </w:r>
            <w:r w:rsidRPr="005F306C">
              <w:rPr>
                <w:rFonts w:ascii="Arial" w:hAnsi="Arial" w:cs="Arial"/>
                <w:sz w:val="16"/>
                <w:u w:val="single"/>
                <w:lang w:val="de-CH"/>
              </w:rPr>
              <w:t xml:space="preserve"> </w:t>
            </w:r>
            <w:r w:rsidRPr="005F306C">
              <w:rPr>
                <w:rFonts w:ascii="Arial" w:hAnsi="Arial" w:cs="Arial"/>
                <w:sz w:val="16"/>
                <w:lang w:val="de-CH"/>
              </w:rPr>
              <w:t xml:space="preserve">f. sp. </w:t>
            </w:r>
            <w:r w:rsidRPr="005F306C">
              <w:rPr>
                <w:rFonts w:ascii="Arial" w:hAnsi="Arial" w:cs="Arial"/>
                <w:i/>
                <w:sz w:val="16"/>
                <w:u w:val="single"/>
                <w:lang w:val="de-CH"/>
              </w:rPr>
              <w:t>pisi</w:t>
            </w:r>
          </w:p>
        </w:tc>
        <w:tc>
          <w:tcPr>
            <w:tcW w:w="1843" w:type="dxa"/>
            <w:tcBorders>
              <w:top w:val="single" w:sz="4" w:space="0" w:color="auto"/>
              <w:bottom w:val="nil"/>
            </w:tcBorders>
          </w:tcPr>
          <w:p w:rsidR="00A633D8" w:rsidRPr="005F306C" w:rsidRDefault="00A633D8" w:rsidP="00F47E4E">
            <w:pPr>
              <w:pStyle w:val="Normaltb"/>
              <w:keepNext w:val="0"/>
              <w:rPr>
                <w:rFonts w:ascii="Arial" w:hAnsi="Arial" w:cs="Arial"/>
                <w:sz w:val="16"/>
                <w:lang w:val="es-ES"/>
              </w:rPr>
            </w:pPr>
            <w:r w:rsidRPr="005F306C">
              <w:rPr>
                <w:rFonts w:ascii="Arial" w:hAnsi="Arial" w:cs="Arial"/>
                <w:sz w:val="16"/>
                <w:lang w:val="es-ES"/>
              </w:rPr>
              <w:t xml:space="preserve">Resistencia a </w:t>
            </w:r>
            <w:r w:rsidRPr="005F306C">
              <w:rPr>
                <w:rFonts w:ascii="Arial" w:hAnsi="Arial" w:cs="Arial"/>
                <w:i/>
                <w:sz w:val="16"/>
                <w:u w:val="single"/>
                <w:lang w:val="es-ES"/>
              </w:rPr>
              <w:t>Fusarium oxysporum</w:t>
            </w:r>
            <w:r w:rsidRPr="005F306C">
              <w:rPr>
                <w:rFonts w:ascii="Arial" w:hAnsi="Arial" w:cs="Arial"/>
                <w:sz w:val="16"/>
                <w:u w:val="single"/>
                <w:lang w:val="es-ES"/>
              </w:rPr>
              <w:t xml:space="preserve"> </w:t>
            </w:r>
            <w:r w:rsidRPr="005F306C">
              <w:rPr>
                <w:rFonts w:ascii="Arial" w:hAnsi="Arial" w:cs="Arial"/>
                <w:sz w:val="16"/>
                <w:lang w:val="es-ES"/>
              </w:rPr>
              <w:t xml:space="preserve">f. sp. </w:t>
            </w:r>
            <w:r w:rsidRPr="005F306C">
              <w:rPr>
                <w:rFonts w:ascii="Arial" w:hAnsi="Arial" w:cs="Arial"/>
                <w:i/>
                <w:sz w:val="16"/>
                <w:u w:val="single"/>
                <w:lang w:val="es-ES"/>
              </w:rPr>
              <w:t>pisi</w:t>
            </w:r>
          </w:p>
        </w:tc>
        <w:tc>
          <w:tcPr>
            <w:tcW w:w="1985" w:type="dxa"/>
            <w:tcBorders>
              <w:top w:val="single" w:sz="4" w:space="0" w:color="auto"/>
              <w:bottom w:val="nil"/>
            </w:tcBorders>
          </w:tcPr>
          <w:p w:rsidR="00A633D8" w:rsidRPr="005F306C" w:rsidRDefault="00A633D8" w:rsidP="00F47E4E">
            <w:pPr>
              <w:pStyle w:val="Normaltb"/>
              <w:keepNext w:val="0"/>
              <w:rPr>
                <w:rFonts w:ascii="Arial" w:hAnsi="Arial" w:cs="Arial"/>
                <w:sz w:val="16"/>
                <w:lang w:val="nl-NL"/>
              </w:rPr>
            </w:pPr>
          </w:p>
        </w:tc>
        <w:tc>
          <w:tcPr>
            <w:tcW w:w="504" w:type="dxa"/>
            <w:tcBorders>
              <w:top w:val="single" w:sz="4" w:space="0" w:color="auto"/>
              <w:bottom w:val="nil"/>
            </w:tcBorders>
          </w:tcPr>
          <w:p w:rsidR="00A633D8" w:rsidRPr="005F306C" w:rsidRDefault="00A633D8" w:rsidP="00F47E4E">
            <w:pPr>
              <w:pStyle w:val="Normaltb"/>
              <w:keepNext w:val="0"/>
              <w:jc w:val="center"/>
              <w:rPr>
                <w:rFonts w:ascii="Arial" w:hAnsi="Arial" w:cs="Arial"/>
                <w:sz w:val="16"/>
                <w:lang w:val="nl-NL"/>
              </w:rPr>
            </w:pPr>
          </w:p>
        </w:tc>
      </w:tr>
      <w:tr w:rsidR="00A633D8" w:rsidRPr="005F306C" w:rsidTr="00F47E4E">
        <w:trPr>
          <w:cantSplit/>
        </w:trPr>
        <w:tc>
          <w:tcPr>
            <w:tcW w:w="567" w:type="dxa"/>
            <w:tcBorders>
              <w:top w:val="nil"/>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58.1</w:t>
            </w:r>
          </w:p>
        </w:tc>
        <w:tc>
          <w:tcPr>
            <w:tcW w:w="567" w:type="dxa"/>
            <w:tcBorders>
              <w:top w:val="nil"/>
              <w:bottom w:val="nil"/>
            </w:tcBorders>
          </w:tcPr>
          <w:p w:rsidR="00A633D8" w:rsidRPr="005F306C" w:rsidRDefault="00A633D8" w:rsidP="00F47E4E">
            <w:pPr>
              <w:pStyle w:val="Normaltb"/>
              <w:jc w:val="center"/>
              <w:rPr>
                <w:rFonts w:ascii="Arial" w:hAnsi="Arial" w:cs="Arial"/>
                <w:sz w:val="16"/>
              </w:rPr>
            </w:pPr>
          </w:p>
        </w:tc>
        <w:tc>
          <w:tcPr>
            <w:tcW w:w="1843" w:type="dxa"/>
            <w:tcBorders>
              <w:top w:val="nil"/>
              <w:bottom w:val="nil"/>
            </w:tcBorders>
          </w:tcPr>
          <w:p w:rsidR="00A633D8" w:rsidRPr="005F306C" w:rsidRDefault="00A633D8" w:rsidP="00F47E4E">
            <w:pPr>
              <w:pStyle w:val="Normaltb"/>
              <w:rPr>
                <w:rFonts w:ascii="Arial" w:hAnsi="Arial" w:cs="Arial"/>
                <w:sz w:val="16"/>
                <w:lang w:val="en-GB"/>
              </w:rPr>
            </w:pPr>
            <w:r w:rsidRPr="005F306C">
              <w:rPr>
                <w:rFonts w:ascii="Arial" w:hAnsi="Arial" w:cs="Arial"/>
                <w:sz w:val="16"/>
              </w:rPr>
              <w:t>Race 1</w:t>
            </w:r>
          </w:p>
        </w:tc>
        <w:tc>
          <w:tcPr>
            <w:tcW w:w="1843" w:type="dxa"/>
            <w:tcBorders>
              <w:top w:val="nil"/>
              <w:bottom w:val="nil"/>
            </w:tcBorders>
          </w:tcPr>
          <w:p w:rsidR="00A633D8" w:rsidRPr="005F306C" w:rsidRDefault="00A633D8" w:rsidP="00F47E4E">
            <w:pPr>
              <w:pStyle w:val="Normaltb"/>
              <w:rPr>
                <w:rFonts w:ascii="Arial" w:hAnsi="Arial" w:cs="Arial"/>
                <w:sz w:val="16"/>
                <w:lang w:val="fr-CH"/>
              </w:rPr>
            </w:pPr>
            <w:r w:rsidRPr="005F306C">
              <w:rPr>
                <w:rFonts w:ascii="Arial" w:hAnsi="Arial" w:cs="Arial"/>
                <w:sz w:val="16"/>
                <w:lang w:val="fr-CH"/>
              </w:rPr>
              <w:t>Race 1</w:t>
            </w:r>
          </w:p>
        </w:tc>
        <w:tc>
          <w:tcPr>
            <w:tcW w:w="1843" w:type="dxa"/>
            <w:tcBorders>
              <w:top w:val="nil"/>
              <w:bottom w:val="nil"/>
            </w:tcBorders>
          </w:tcPr>
          <w:p w:rsidR="00A633D8" w:rsidRPr="005F306C" w:rsidRDefault="00A633D8" w:rsidP="00F47E4E">
            <w:pPr>
              <w:pStyle w:val="Normaltb"/>
              <w:rPr>
                <w:rFonts w:ascii="Arial" w:hAnsi="Arial" w:cs="Arial"/>
                <w:sz w:val="16"/>
                <w:lang w:val="de-CH"/>
              </w:rPr>
            </w:pPr>
            <w:r w:rsidRPr="005F306C">
              <w:rPr>
                <w:rFonts w:ascii="Arial" w:hAnsi="Arial" w:cs="Arial"/>
                <w:sz w:val="16"/>
                <w:lang w:val="de-CH"/>
              </w:rPr>
              <w:t>Pathotyp 1</w:t>
            </w:r>
          </w:p>
        </w:tc>
        <w:tc>
          <w:tcPr>
            <w:tcW w:w="1843" w:type="dxa"/>
            <w:tcBorders>
              <w:top w:val="nil"/>
              <w:bottom w:val="nil"/>
            </w:tcBorders>
          </w:tcPr>
          <w:p w:rsidR="00A633D8" w:rsidRPr="005F306C" w:rsidRDefault="00A633D8" w:rsidP="00F47E4E">
            <w:pPr>
              <w:pStyle w:val="Normaltb"/>
              <w:rPr>
                <w:rFonts w:ascii="Arial" w:hAnsi="Arial" w:cs="Arial"/>
                <w:sz w:val="16"/>
                <w:lang w:val="es-ES"/>
              </w:rPr>
            </w:pPr>
            <w:r w:rsidRPr="005F306C">
              <w:rPr>
                <w:rFonts w:ascii="Arial" w:hAnsi="Arial" w:cs="Arial"/>
                <w:sz w:val="16"/>
                <w:lang w:val="es-ES"/>
              </w:rPr>
              <w:t>Raza 1</w:t>
            </w:r>
          </w:p>
        </w:tc>
        <w:tc>
          <w:tcPr>
            <w:tcW w:w="1985" w:type="dxa"/>
            <w:tcBorders>
              <w:top w:val="nil"/>
              <w:bottom w:val="nil"/>
            </w:tcBorders>
          </w:tcPr>
          <w:p w:rsidR="00A633D8" w:rsidRPr="005F306C" w:rsidRDefault="00A633D8" w:rsidP="00F47E4E">
            <w:pPr>
              <w:pStyle w:val="Normaltb"/>
              <w:rPr>
                <w:rFonts w:ascii="Arial" w:hAnsi="Arial" w:cs="Arial"/>
                <w:sz w:val="16"/>
              </w:rPr>
            </w:pPr>
          </w:p>
        </w:tc>
        <w:tc>
          <w:tcPr>
            <w:tcW w:w="504" w:type="dxa"/>
            <w:tcBorders>
              <w:top w:val="nil"/>
              <w:bottom w:val="nil"/>
            </w:tcBorders>
          </w:tcPr>
          <w:p w:rsidR="00A633D8" w:rsidRPr="005F306C" w:rsidRDefault="00A633D8" w:rsidP="00F47E4E">
            <w:pPr>
              <w:pStyle w:val="Normaltb"/>
              <w:jc w:val="center"/>
              <w:rPr>
                <w:rFonts w:ascii="Arial" w:hAnsi="Arial" w:cs="Arial"/>
                <w:sz w:val="16"/>
              </w:rPr>
            </w:pPr>
          </w:p>
        </w:tc>
      </w:tr>
      <w:tr w:rsidR="00A633D8" w:rsidRPr="005F306C" w:rsidTr="00F47E4E">
        <w:trPr>
          <w:cantSplit/>
        </w:trPr>
        <w:tc>
          <w:tcPr>
            <w:tcW w:w="567" w:type="dxa"/>
            <w:tcBorders>
              <w:top w:val="nil"/>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A633D8" w:rsidRPr="005F306C" w:rsidRDefault="00A633D8" w:rsidP="00F47E4E">
            <w:pPr>
              <w:pStyle w:val="Normaltb"/>
              <w:jc w:val="center"/>
              <w:rPr>
                <w:rFonts w:ascii="Arial" w:hAnsi="Arial" w:cs="Arial"/>
                <w:sz w:val="16"/>
              </w:rPr>
            </w:pPr>
          </w:p>
        </w:tc>
        <w:tc>
          <w:tcPr>
            <w:tcW w:w="1843" w:type="dxa"/>
            <w:tcBorders>
              <w:top w:val="nil"/>
              <w:bottom w:val="nil"/>
            </w:tcBorders>
          </w:tcPr>
          <w:p w:rsidR="00A633D8" w:rsidRPr="005F306C" w:rsidRDefault="00A633D8" w:rsidP="00F47E4E">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A633D8" w:rsidRPr="005F306C" w:rsidRDefault="00A633D8" w:rsidP="00F47E4E">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A633D8" w:rsidRPr="005F306C" w:rsidRDefault="00A633D8" w:rsidP="00F47E4E">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A633D8" w:rsidRPr="005F306C" w:rsidRDefault="00A633D8" w:rsidP="00F47E4E">
            <w:pPr>
              <w:pStyle w:val="Normalt"/>
              <w:rPr>
                <w:rFonts w:ascii="Arial" w:hAnsi="Arial" w:cs="Arial"/>
                <w:sz w:val="16"/>
                <w:lang w:val="es-ES"/>
              </w:rPr>
            </w:pPr>
            <w:r w:rsidRPr="005F306C">
              <w:rPr>
                <w:rFonts w:ascii="Arial" w:hAnsi="Arial" w:cs="Arial"/>
                <w:sz w:val="16"/>
                <w:lang w:val="es-ES"/>
              </w:rPr>
              <w:t>ausente</w:t>
            </w:r>
          </w:p>
        </w:tc>
        <w:tc>
          <w:tcPr>
            <w:tcW w:w="1985" w:type="dxa"/>
            <w:tcBorders>
              <w:top w:val="nil"/>
              <w:bottom w:val="nil"/>
            </w:tcBorders>
          </w:tcPr>
          <w:p w:rsidR="00A633D8" w:rsidRPr="005F306C" w:rsidRDefault="00A633D8" w:rsidP="00F47E4E">
            <w:pPr>
              <w:pStyle w:val="Normalt"/>
              <w:rPr>
                <w:rFonts w:ascii="Arial" w:hAnsi="Arial" w:cs="Arial"/>
                <w:sz w:val="16"/>
              </w:rPr>
            </w:pPr>
            <w:r w:rsidRPr="005F306C">
              <w:rPr>
                <w:rFonts w:ascii="Arial" w:hAnsi="Arial" w:cs="Arial"/>
                <w:sz w:val="16"/>
              </w:rPr>
              <w:t>Eden,</w:t>
            </w:r>
            <w:r>
              <w:rPr>
                <w:rFonts w:ascii="Arial" w:hAnsi="Arial" w:cs="Arial"/>
                <w:sz w:val="16"/>
              </w:rPr>
              <w:t xml:space="preserve"> </w:t>
            </w:r>
            <w:r>
              <w:rPr>
                <w:rFonts w:ascii="Arial" w:hAnsi="Arial" w:cs="Arial"/>
                <w:sz w:val="16"/>
              </w:rPr>
              <w:br/>
            </w:r>
            <w:r w:rsidRPr="005F306C">
              <w:rPr>
                <w:rFonts w:ascii="Arial" w:hAnsi="Arial" w:cs="Arial"/>
                <w:sz w:val="16"/>
              </w:rPr>
              <w:t>Mammoth Melting Sugar</w:t>
            </w:r>
          </w:p>
        </w:tc>
        <w:tc>
          <w:tcPr>
            <w:tcW w:w="504" w:type="dxa"/>
            <w:tcBorders>
              <w:top w:val="nil"/>
              <w:bottom w:val="nil"/>
            </w:tcBorders>
          </w:tcPr>
          <w:p w:rsidR="00A633D8" w:rsidRPr="005F306C" w:rsidRDefault="00A633D8" w:rsidP="00F47E4E">
            <w:pPr>
              <w:pStyle w:val="Normalt"/>
              <w:jc w:val="center"/>
              <w:rPr>
                <w:rFonts w:ascii="Arial" w:hAnsi="Arial" w:cs="Arial"/>
                <w:sz w:val="16"/>
              </w:rPr>
            </w:pPr>
            <w:r w:rsidRPr="005F306C">
              <w:rPr>
                <w:rFonts w:ascii="Arial" w:hAnsi="Arial" w:cs="Arial"/>
                <w:sz w:val="16"/>
              </w:rPr>
              <w:t>1</w:t>
            </w:r>
          </w:p>
        </w:tc>
      </w:tr>
      <w:tr w:rsidR="00A633D8" w:rsidRPr="005F306C" w:rsidTr="00F47E4E">
        <w:trPr>
          <w:cantSplit/>
        </w:trPr>
        <w:tc>
          <w:tcPr>
            <w:tcW w:w="567" w:type="dxa"/>
            <w:tcBorders>
              <w:top w:val="nil"/>
              <w:bottom w:val="single" w:sz="4" w:space="0" w:color="auto"/>
            </w:tcBorders>
          </w:tcPr>
          <w:p w:rsidR="00A633D8" w:rsidRPr="005F306C" w:rsidRDefault="00A633D8" w:rsidP="00F47E4E">
            <w:pPr>
              <w:pStyle w:val="Normaltb"/>
              <w:keepNext w:val="0"/>
              <w:jc w:val="center"/>
              <w:rPr>
                <w:rFonts w:ascii="Arial" w:hAnsi="Arial" w:cs="Arial"/>
                <w:sz w:val="16"/>
              </w:rPr>
            </w:pPr>
          </w:p>
        </w:tc>
        <w:tc>
          <w:tcPr>
            <w:tcW w:w="567" w:type="dxa"/>
            <w:tcBorders>
              <w:top w:val="nil"/>
              <w:bottom w:val="single" w:sz="4" w:space="0" w:color="auto"/>
            </w:tcBorders>
          </w:tcPr>
          <w:p w:rsidR="00A633D8" w:rsidRPr="005F306C" w:rsidRDefault="00A633D8" w:rsidP="00F47E4E">
            <w:pPr>
              <w:pStyle w:val="Normaltb"/>
              <w:keepNext w:val="0"/>
              <w:jc w:val="center"/>
              <w:rPr>
                <w:rFonts w:ascii="Arial" w:hAnsi="Arial" w:cs="Arial"/>
                <w:sz w:val="16"/>
              </w:rPr>
            </w:pPr>
          </w:p>
        </w:tc>
        <w:tc>
          <w:tcPr>
            <w:tcW w:w="1843" w:type="dxa"/>
            <w:tcBorders>
              <w:top w:val="nil"/>
              <w:bottom w:val="single" w:sz="4" w:space="0" w:color="auto"/>
            </w:tcBorders>
          </w:tcPr>
          <w:p w:rsidR="00A633D8" w:rsidRPr="005F306C" w:rsidRDefault="00A633D8" w:rsidP="00F47E4E">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présente</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vorhanden</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presente</w:t>
            </w:r>
          </w:p>
        </w:tc>
        <w:tc>
          <w:tcPr>
            <w:tcW w:w="1985"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Solara, Twinkle</w:t>
            </w:r>
          </w:p>
        </w:tc>
        <w:tc>
          <w:tcPr>
            <w:tcW w:w="504" w:type="dxa"/>
            <w:tcBorders>
              <w:top w:val="nil"/>
              <w:bottom w:val="single" w:sz="4" w:space="0" w:color="auto"/>
            </w:tcBorders>
          </w:tcPr>
          <w:p w:rsidR="00A633D8" w:rsidRPr="005F306C" w:rsidRDefault="00A633D8" w:rsidP="00F47E4E">
            <w:pPr>
              <w:pStyle w:val="Normalt"/>
              <w:jc w:val="center"/>
              <w:rPr>
                <w:rFonts w:ascii="Arial" w:hAnsi="Arial" w:cs="Arial"/>
                <w:sz w:val="16"/>
              </w:rPr>
            </w:pPr>
            <w:r w:rsidRPr="005F306C">
              <w:rPr>
                <w:rFonts w:ascii="Arial" w:hAnsi="Arial" w:cs="Arial"/>
                <w:sz w:val="16"/>
              </w:rPr>
              <w:t>9</w:t>
            </w:r>
          </w:p>
        </w:tc>
      </w:tr>
      <w:tr w:rsidR="00A633D8" w:rsidRPr="00641D43" w:rsidTr="00F47E4E">
        <w:trPr>
          <w:cantSplit/>
        </w:trPr>
        <w:tc>
          <w:tcPr>
            <w:tcW w:w="567" w:type="dxa"/>
            <w:tcBorders>
              <w:top w:val="single" w:sz="4" w:space="0" w:color="auto"/>
              <w:bottom w:val="nil"/>
            </w:tcBorders>
          </w:tcPr>
          <w:p w:rsidR="00A633D8" w:rsidRPr="006203B9" w:rsidRDefault="00A633D8" w:rsidP="00F47E4E">
            <w:pPr>
              <w:pStyle w:val="Normaltb"/>
              <w:keepNext w:val="0"/>
              <w:jc w:val="center"/>
              <w:rPr>
                <w:rFonts w:ascii="Arial" w:hAnsi="Arial" w:cs="Arial"/>
                <w:sz w:val="16"/>
              </w:rPr>
            </w:pPr>
            <w:r w:rsidRPr="006203B9">
              <w:rPr>
                <w:rFonts w:ascii="Arial" w:hAnsi="Arial" w:cs="Arial"/>
                <w:sz w:val="16"/>
              </w:rPr>
              <w:t>58.2</w:t>
            </w:r>
          </w:p>
        </w:tc>
        <w:tc>
          <w:tcPr>
            <w:tcW w:w="567" w:type="dxa"/>
            <w:tcBorders>
              <w:top w:val="single" w:sz="4" w:space="0" w:color="auto"/>
              <w:bottom w:val="nil"/>
            </w:tcBorders>
          </w:tcPr>
          <w:p w:rsidR="00A633D8" w:rsidRPr="006203B9" w:rsidRDefault="00A633D8" w:rsidP="00F47E4E">
            <w:pPr>
              <w:pStyle w:val="Normaltb"/>
              <w:keepNext w:val="0"/>
              <w:jc w:val="center"/>
              <w:rPr>
                <w:rFonts w:ascii="Arial" w:hAnsi="Arial" w:cs="Arial"/>
                <w:sz w:val="16"/>
              </w:rPr>
            </w:pP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Race 5</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Race 5</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Pathotyp 5</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Raza 5</w:t>
            </w:r>
          </w:p>
        </w:tc>
        <w:tc>
          <w:tcPr>
            <w:tcW w:w="1985" w:type="dxa"/>
            <w:tcBorders>
              <w:top w:val="single" w:sz="4" w:space="0" w:color="auto"/>
              <w:bottom w:val="nil"/>
            </w:tcBorders>
          </w:tcPr>
          <w:p w:rsidR="00A633D8" w:rsidRPr="006203B9" w:rsidRDefault="00A633D8" w:rsidP="00F47E4E">
            <w:pPr>
              <w:pStyle w:val="Normalt"/>
              <w:rPr>
                <w:rFonts w:ascii="Arial" w:hAnsi="Arial" w:cs="Arial"/>
                <w:sz w:val="16"/>
              </w:rPr>
            </w:pPr>
          </w:p>
        </w:tc>
        <w:tc>
          <w:tcPr>
            <w:tcW w:w="504" w:type="dxa"/>
            <w:tcBorders>
              <w:top w:val="single" w:sz="4" w:space="0" w:color="auto"/>
              <w:bottom w:val="nil"/>
            </w:tcBorders>
          </w:tcPr>
          <w:p w:rsidR="00A633D8" w:rsidRPr="006203B9" w:rsidRDefault="00A633D8" w:rsidP="00F47E4E">
            <w:pPr>
              <w:pStyle w:val="Normalt"/>
              <w:rPr>
                <w:rFonts w:ascii="Arial" w:hAnsi="Arial" w:cs="Arial"/>
                <w:sz w:val="16"/>
              </w:rPr>
            </w:pPr>
          </w:p>
        </w:tc>
      </w:tr>
      <w:tr w:rsidR="00A633D8" w:rsidRPr="00641D43" w:rsidTr="00F47E4E">
        <w:trPr>
          <w:cantSplit/>
        </w:trPr>
        <w:tc>
          <w:tcPr>
            <w:tcW w:w="567" w:type="dxa"/>
            <w:tcBorders>
              <w:top w:val="nil"/>
              <w:bottom w:val="nil"/>
            </w:tcBorders>
          </w:tcPr>
          <w:p w:rsidR="00A633D8" w:rsidRPr="006203B9" w:rsidRDefault="00A633D8" w:rsidP="00F47E4E">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A633D8" w:rsidRPr="006203B9" w:rsidRDefault="00A633D8" w:rsidP="00F47E4E">
            <w:pPr>
              <w:pStyle w:val="Normaltb"/>
              <w:keepNext w:val="0"/>
              <w:jc w:val="center"/>
              <w:rPr>
                <w:rFonts w:ascii="Arial" w:hAnsi="Arial" w:cs="Arial"/>
                <w:sz w:val="16"/>
              </w:rPr>
            </w:pP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fehlend</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ausente</w:t>
            </w:r>
          </w:p>
        </w:tc>
        <w:tc>
          <w:tcPr>
            <w:tcW w:w="1985"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Legacy, Little Marvel</w:t>
            </w:r>
          </w:p>
        </w:tc>
        <w:tc>
          <w:tcPr>
            <w:tcW w:w="504" w:type="dxa"/>
            <w:tcBorders>
              <w:top w:val="nil"/>
              <w:bottom w:val="nil"/>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1</w:t>
            </w:r>
          </w:p>
        </w:tc>
      </w:tr>
      <w:tr w:rsidR="00A633D8" w:rsidRPr="00641D43" w:rsidTr="00F47E4E">
        <w:trPr>
          <w:cantSplit/>
        </w:trPr>
        <w:tc>
          <w:tcPr>
            <w:tcW w:w="567" w:type="dxa"/>
            <w:tcBorders>
              <w:top w:val="nil"/>
              <w:bottom w:val="single" w:sz="4" w:space="0" w:color="auto"/>
            </w:tcBorders>
          </w:tcPr>
          <w:p w:rsidR="00A633D8" w:rsidRPr="006203B9" w:rsidRDefault="00A633D8" w:rsidP="00F47E4E">
            <w:pPr>
              <w:pStyle w:val="Normaltb"/>
              <w:keepNext w:val="0"/>
              <w:jc w:val="center"/>
              <w:rPr>
                <w:rFonts w:ascii="Arial" w:hAnsi="Arial" w:cs="Arial"/>
                <w:sz w:val="16"/>
              </w:rPr>
            </w:pPr>
          </w:p>
        </w:tc>
        <w:tc>
          <w:tcPr>
            <w:tcW w:w="567" w:type="dxa"/>
            <w:tcBorders>
              <w:top w:val="nil"/>
              <w:bottom w:val="single" w:sz="4" w:space="0" w:color="auto"/>
            </w:tcBorders>
          </w:tcPr>
          <w:p w:rsidR="00A633D8" w:rsidRPr="006203B9" w:rsidRDefault="00A633D8" w:rsidP="00F47E4E">
            <w:pPr>
              <w:pStyle w:val="Normaltb"/>
              <w:keepNext w:val="0"/>
              <w:jc w:val="center"/>
              <w:rPr>
                <w:rFonts w:ascii="Arial" w:hAnsi="Arial" w:cs="Arial"/>
                <w:sz w:val="16"/>
              </w:rPr>
            </w:pP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présente</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vorhanden</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presente</w:t>
            </w:r>
          </w:p>
        </w:tc>
        <w:tc>
          <w:tcPr>
            <w:tcW w:w="1985"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Serge, Sundance</w:t>
            </w:r>
          </w:p>
        </w:tc>
        <w:tc>
          <w:tcPr>
            <w:tcW w:w="504" w:type="dxa"/>
            <w:tcBorders>
              <w:top w:val="nil"/>
              <w:bottom w:val="single" w:sz="4" w:space="0" w:color="auto"/>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9</w:t>
            </w:r>
          </w:p>
        </w:tc>
      </w:tr>
      <w:tr w:rsidR="00A633D8" w:rsidRPr="00641D43" w:rsidTr="00F47E4E">
        <w:trPr>
          <w:cantSplit/>
        </w:trPr>
        <w:tc>
          <w:tcPr>
            <w:tcW w:w="567" w:type="dxa"/>
            <w:tcBorders>
              <w:top w:val="single" w:sz="4" w:space="0" w:color="auto"/>
              <w:bottom w:val="nil"/>
            </w:tcBorders>
          </w:tcPr>
          <w:p w:rsidR="00A633D8" w:rsidRPr="006203B9" w:rsidRDefault="00A633D8" w:rsidP="00F47E4E">
            <w:pPr>
              <w:pStyle w:val="Normaltb"/>
              <w:keepNext w:val="0"/>
              <w:jc w:val="center"/>
              <w:rPr>
                <w:rFonts w:ascii="Arial" w:hAnsi="Arial" w:cs="Arial"/>
                <w:sz w:val="16"/>
              </w:rPr>
            </w:pPr>
            <w:r w:rsidRPr="006203B9">
              <w:rPr>
                <w:rFonts w:ascii="Arial" w:hAnsi="Arial" w:cs="Arial"/>
                <w:sz w:val="16"/>
              </w:rPr>
              <w:t>58.3</w:t>
            </w:r>
          </w:p>
        </w:tc>
        <w:tc>
          <w:tcPr>
            <w:tcW w:w="567" w:type="dxa"/>
            <w:tcBorders>
              <w:top w:val="single" w:sz="4" w:space="0" w:color="auto"/>
              <w:bottom w:val="nil"/>
            </w:tcBorders>
          </w:tcPr>
          <w:p w:rsidR="00A633D8" w:rsidRPr="006203B9" w:rsidRDefault="00A633D8" w:rsidP="00F47E4E">
            <w:pPr>
              <w:pStyle w:val="Normaltb"/>
              <w:keepNext w:val="0"/>
              <w:jc w:val="center"/>
              <w:rPr>
                <w:rFonts w:ascii="Arial" w:hAnsi="Arial" w:cs="Arial"/>
                <w:sz w:val="16"/>
              </w:rPr>
            </w:pP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Race 6</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Race 6</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Pathotyp 6</w:t>
            </w:r>
          </w:p>
        </w:tc>
        <w:tc>
          <w:tcPr>
            <w:tcW w:w="1843" w:type="dxa"/>
            <w:tcBorders>
              <w:top w:val="single" w:sz="4" w:space="0" w:color="auto"/>
              <w:bottom w:val="nil"/>
            </w:tcBorders>
          </w:tcPr>
          <w:p w:rsidR="00A633D8" w:rsidRPr="006203B9" w:rsidRDefault="00A633D8" w:rsidP="00F47E4E">
            <w:pPr>
              <w:pStyle w:val="Normalt"/>
              <w:rPr>
                <w:rFonts w:ascii="Arial" w:hAnsi="Arial" w:cs="Arial"/>
                <w:b/>
                <w:sz w:val="16"/>
              </w:rPr>
            </w:pPr>
            <w:r w:rsidRPr="006203B9">
              <w:rPr>
                <w:rFonts w:ascii="Arial" w:hAnsi="Arial" w:cs="Arial"/>
                <w:b/>
                <w:sz w:val="16"/>
              </w:rPr>
              <w:t>Raza 6</w:t>
            </w:r>
          </w:p>
        </w:tc>
        <w:tc>
          <w:tcPr>
            <w:tcW w:w="1985" w:type="dxa"/>
            <w:tcBorders>
              <w:top w:val="single" w:sz="4" w:space="0" w:color="auto"/>
              <w:bottom w:val="nil"/>
            </w:tcBorders>
          </w:tcPr>
          <w:p w:rsidR="00A633D8" w:rsidRPr="006203B9" w:rsidRDefault="00A633D8" w:rsidP="00F47E4E">
            <w:pPr>
              <w:pStyle w:val="Normalt"/>
              <w:rPr>
                <w:rFonts w:ascii="Arial" w:hAnsi="Arial" w:cs="Arial"/>
                <w:b/>
                <w:sz w:val="16"/>
              </w:rPr>
            </w:pPr>
          </w:p>
        </w:tc>
        <w:tc>
          <w:tcPr>
            <w:tcW w:w="504" w:type="dxa"/>
            <w:tcBorders>
              <w:top w:val="single" w:sz="4" w:space="0" w:color="auto"/>
              <w:bottom w:val="nil"/>
            </w:tcBorders>
          </w:tcPr>
          <w:p w:rsidR="00A633D8" w:rsidRPr="006203B9" w:rsidRDefault="00A633D8" w:rsidP="00F47E4E">
            <w:pPr>
              <w:pStyle w:val="Normalt"/>
              <w:rPr>
                <w:rFonts w:ascii="Arial" w:hAnsi="Arial" w:cs="Arial"/>
                <w:b/>
                <w:sz w:val="16"/>
              </w:rPr>
            </w:pPr>
          </w:p>
        </w:tc>
      </w:tr>
      <w:tr w:rsidR="00A633D8" w:rsidRPr="00641D43" w:rsidTr="00F47E4E">
        <w:trPr>
          <w:cantSplit/>
        </w:trPr>
        <w:tc>
          <w:tcPr>
            <w:tcW w:w="567" w:type="dxa"/>
            <w:tcBorders>
              <w:top w:val="nil"/>
              <w:bottom w:val="nil"/>
            </w:tcBorders>
          </w:tcPr>
          <w:p w:rsidR="00A633D8" w:rsidRPr="006203B9" w:rsidRDefault="00A633D8" w:rsidP="00F47E4E">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A633D8" w:rsidRPr="006203B9" w:rsidRDefault="00A633D8" w:rsidP="00F47E4E">
            <w:pPr>
              <w:pStyle w:val="Normaltb"/>
              <w:keepNext w:val="0"/>
              <w:jc w:val="center"/>
              <w:rPr>
                <w:rFonts w:ascii="Arial" w:hAnsi="Arial" w:cs="Arial"/>
                <w:sz w:val="16"/>
              </w:rPr>
            </w:pP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fehlend</w:t>
            </w:r>
          </w:p>
        </w:tc>
        <w:tc>
          <w:tcPr>
            <w:tcW w:w="1843"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ausente</w:t>
            </w:r>
          </w:p>
        </w:tc>
        <w:tc>
          <w:tcPr>
            <w:tcW w:w="1985" w:type="dxa"/>
            <w:tcBorders>
              <w:top w:val="nil"/>
              <w:bottom w:val="nil"/>
            </w:tcBorders>
          </w:tcPr>
          <w:p w:rsidR="00A633D8" w:rsidRPr="006203B9" w:rsidRDefault="00A633D8" w:rsidP="00F47E4E">
            <w:pPr>
              <w:pStyle w:val="Normalt"/>
              <w:rPr>
                <w:rFonts w:ascii="Arial" w:hAnsi="Arial" w:cs="Arial"/>
                <w:sz w:val="16"/>
              </w:rPr>
            </w:pPr>
            <w:r w:rsidRPr="006203B9">
              <w:rPr>
                <w:rFonts w:ascii="Arial" w:hAnsi="Arial" w:cs="Arial"/>
                <w:sz w:val="16"/>
              </w:rPr>
              <w:t>Little Marvel, Serge</w:t>
            </w:r>
          </w:p>
        </w:tc>
        <w:tc>
          <w:tcPr>
            <w:tcW w:w="504" w:type="dxa"/>
            <w:tcBorders>
              <w:top w:val="nil"/>
              <w:bottom w:val="nil"/>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1</w:t>
            </w:r>
          </w:p>
        </w:tc>
      </w:tr>
      <w:tr w:rsidR="00A633D8" w:rsidRPr="00641D43" w:rsidTr="00F47E4E">
        <w:trPr>
          <w:cantSplit/>
        </w:trPr>
        <w:tc>
          <w:tcPr>
            <w:tcW w:w="567" w:type="dxa"/>
            <w:tcBorders>
              <w:top w:val="nil"/>
              <w:bottom w:val="single" w:sz="4" w:space="0" w:color="auto"/>
            </w:tcBorders>
          </w:tcPr>
          <w:p w:rsidR="00A633D8" w:rsidRPr="006203B9" w:rsidRDefault="00A633D8" w:rsidP="00F47E4E">
            <w:pPr>
              <w:pStyle w:val="Normaltb"/>
              <w:keepNext w:val="0"/>
              <w:jc w:val="center"/>
              <w:rPr>
                <w:rFonts w:ascii="Arial" w:hAnsi="Arial" w:cs="Arial"/>
                <w:sz w:val="16"/>
              </w:rPr>
            </w:pPr>
          </w:p>
        </w:tc>
        <w:tc>
          <w:tcPr>
            <w:tcW w:w="567" w:type="dxa"/>
            <w:tcBorders>
              <w:top w:val="nil"/>
              <w:bottom w:val="single" w:sz="4" w:space="0" w:color="auto"/>
            </w:tcBorders>
          </w:tcPr>
          <w:p w:rsidR="00A633D8" w:rsidRPr="006203B9" w:rsidRDefault="00A633D8" w:rsidP="00F47E4E">
            <w:pPr>
              <w:pStyle w:val="Normaltb"/>
              <w:keepNext w:val="0"/>
              <w:jc w:val="center"/>
              <w:rPr>
                <w:rFonts w:ascii="Arial" w:hAnsi="Arial" w:cs="Arial"/>
                <w:sz w:val="16"/>
              </w:rPr>
            </w:pP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présente</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vorhanden</w:t>
            </w:r>
          </w:p>
        </w:tc>
        <w:tc>
          <w:tcPr>
            <w:tcW w:w="1843"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presente</w:t>
            </w:r>
          </w:p>
        </w:tc>
        <w:tc>
          <w:tcPr>
            <w:tcW w:w="1985" w:type="dxa"/>
            <w:tcBorders>
              <w:top w:val="nil"/>
              <w:bottom w:val="single" w:sz="4" w:space="0" w:color="auto"/>
            </w:tcBorders>
          </w:tcPr>
          <w:p w:rsidR="00A633D8" w:rsidRPr="006203B9" w:rsidRDefault="00A633D8" w:rsidP="00F47E4E">
            <w:pPr>
              <w:pStyle w:val="Normalt"/>
              <w:rPr>
                <w:rFonts w:ascii="Arial" w:hAnsi="Arial" w:cs="Arial"/>
                <w:sz w:val="16"/>
              </w:rPr>
            </w:pPr>
            <w:r w:rsidRPr="006203B9">
              <w:rPr>
                <w:rFonts w:ascii="Arial" w:hAnsi="Arial" w:cs="Arial"/>
                <w:sz w:val="16"/>
              </w:rPr>
              <w:t>Sundance</w:t>
            </w:r>
          </w:p>
        </w:tc>
        <w:tc>
          <w:tcPr>
            <w:tcW w:w="504" w:type="dxa"/>
            <w:tcBorders>
              <w:top w:val="nil"/>
              <w:bottom w:val="single" w:sz="4" w:space="0" w:color="auto"/>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9</w:t>
            </w:r>
          </w:p>
        </w:tc>
      </w:tr>
    </w:tbl>
    <w:p w:rsidR="00A633D8" w:rsidRDefault="00A633D8" w:rsidP="00A633D8">
      <w:pPr>
        <w:jc w:val="left"/>
        <w:rPr>
          <w:i/>
        </w:rPr>
      </w:pPr>
    </w:p>
    <w:p w:rsidR="00A633D8" w:rsidRDefault="00A633D8" w:rsidP="00A633D8">
      <w:pPr>
        <w:rPr>
          <w:u w:val="single"/>
        </w:rPr>
      </w:pPr>
    </w:p>
    <w:p w:rsidR="00D10AB3" w:rsidRPr="008C58AD" w:rsidRDefault="00D10AB3" w:rsidP="00D10AB3">
      <w:pPr>
        <w:jc w:val="left"/>
        <w:rPr>
          <w:i/>
        </w:rPr>
      </w:pPr>
      <w:r w:rsidRPr="008C58AD">
        <w:rPr>
          <w:i/>
        </w:rPr>
        <w:t>Vorgeschlagener neuer Wortlaut</w:t>
      </w:r>
    </w:p>
    <w:p w:rsidR="00A633D8" w:rsidRDefault="00A633D8" w:rsidP="00A633D8">
      <w:pPr>
        <w:jc w:val="left"/>
        <w:rPr>
          <w:i/>
        </w:rPr>
      </w:pPr>
    </w:p>
    <w:tbl>
      <w:tblPr>
        <w:tblW w:w="10995"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503"/>
      </w:tblGrid>
      <w:tr w:rsidR="00A633D8" w:rsidRPr="007B2A9E" w:rsidTr="00F47E4E">
        <w:trPr>
          <w:cantSplit/>
        </w:trPr>
        <w:tc>
          <w:tcPr>
            <w:tcW w:w="567" w:type="dxa"/>
            <w:tcBorders>
              <w:top w:val="single" w:sz="4" w:space="0" w:color="auto"/>
              <w:bottom w:val="nil"/>
            </w:tcBorders>
          </w:tcPr>
          <w:p w:rsidR="00A633D8" w:rsidRPr="003C4050" w:rsidRDefault="00A633D8" w:rsidP="00F47E4E">
            <w:pPr>
              <w:pStyle w:val="Normaltb"/>
              <w:jc w:val="center"/>
              <w:rPr>
                <w:rFonts w:ascii="Arial" w:hAnsi="Arial" w:cs="Arial"/>
                <w:sz w:val="16"/>
              </w:rPr>
            </w:pPr>
          </w:p>
        </w:tc>
        <w:tc>
          <w:tcPr>
            <w:tcW w:w="567" w:type="dxa"/>
            <w:tcBorders>
              <w:top w:val="single" w:sz="4" w:space="0" w:color="auto"/>
              <w:bottom w:val="nil"/>
            </w:tcBorders>
          </w:tcPr>
          <w:p w:rsidR="00A633D8" w:rsidRPr="003C4050" w:rsidRDefault="00A633D8" w:rsidP="00F47E4E">
            <w:pPr>
              <w:pStyle w:val="Normaltb"/>
              <w:jc w:val="center"/>
              <w:rPr>
                <w:rFonts w:ascii="Arial" w:hAnsi="Arial" w:cs="Arial"/>
                <w:sz w:val="16"/>
              </w:rPr>
            </w:pP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rPr>
            </w:pPr>
            <w:r w:rsidRPr="003C4050">
              <w:rPr>
                <w:rFonts w:ascii="Arial" w:hAnsi="Arial" w:cs="Arial"/>
                <w:sz w:val="16"/>
              </w:rPr>
              <w:t>English</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fr-CH"/>
              </w:rPr>
            </w:pPr>
            <w:r w:rsidRPr="003C4050">
              <w:rPr>
                <w:rFonts w:ascii="Arial" w:hAnsi="Arial" w:cs="Arial"/>
                <w:sz w:val="16"/>
                <w:lang w:val="fr-CH"/>
              </w:rPr>
              <w:t>français</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de-CH"/>
              </w:rPr>
            </w:pPr>
            <w:r w:rsidRPr="003C4050">
              <w:rPr>
                <w:rFonts w:ascii="Arial" w:hAnsi="Arial" w:cs="Arial"/>
                <w:sz w:val="16"/>
                <w:lang w:val="de-CH"/>
              </w:rPr>
              <w:t>deutsch</w:t>
            </w:r>
          </w:p>
        </w:tc>
        <w:tc>
          <w:tcPr>
            <w:tcW w:w="1843" w:type="dxa"/>
            <w:tcBorders>
              <w:top w:val="single" w:sz="4" w:space="0" w:color="auto"/>
              <w:bottom w:val="nil"/>
            </w:tcBorders>
          </w:tcPr>
          <w:p w:rsidR="00A633D8" w:rsidRPr="003C4050" w:rsidRDefault="00A633D8" w:rsidP="00F47E4E">
            <w:pPr>
              <w:pStyle w:val="Normaltb"/>
              <w:keepNext w:val="0"/>
              <w:rPr>
                <w:rFonts w:ascii="Arial" w:hAnsi="Arial" w:cs="Arial"/>
                <w:sz w:val="16"/>
                <w:lang w:val="es-ES"/>
              </w:rPr>
            </w:pPr>
            <w:r w:rsidRPr="003C4050">
              <w:rPr>
                <w:rFonts w:ascii="Arial" w:hAnsi="Arial" w:cs="Arial"/>
                <w:sz w:val="16"/>
                <w:lang w:val="es-ES"/>
              </w:rPr>
              <w:t>español</w:t>
            </w:r>
          </w:p>
        </w:tc>
        <w:tc>
          <w:tcPr>
            <w:tcW w:w="1986" w:type="dxa"/>
            <w:tcBorders>
              <w:top w:val="single" w:sz="4" w:space="0" w:color="auto"/>
              <w:bottom w:val="nil"/>
            </w:tcBorders>
          </w:tcPr>
          <w:p w:rsidR="00A633D8" w:rsidRPr="003C4050" w:rsidRDefault="00A633D8" w:rsidP="00F47E4E">
            <w:pPr>
              <w:pStyle w:val="Normaltb"/>
              <w:keepNext w:val="0"/>
              <w:rPr>
                <w:rFonts w:ascii="Arial" w:hAnsi="Arial" w:cs="Arial"/>
                <w:sz w:val="16"/>
                <w:lang w:val="nl-NL"/>
              </w:rPr>
            </w:pPr>
            <w:r w:rsidRPr="003C4050">
              <w:rPr>
                <w:rFonts w:ascii="Arial" w:hAnsi="Arial" w:cs="Arial"/>
                <w:sz w:val="16"/>
                <w:lang w:val="nl-NL"/>
              </w:rPr>
              <w:t>Example Varieties</w:t>
            </w:r>
            <w:r w:rsidRPr="003C4050">
              <w:rPr>
                <w:rFonts w:ascii="Arial" w:hAnsi="Arial" w:cs="Arial"/>
                <w:sz w:val="16"/>
                <w:lang w:val="nl-NL"/>
              </w:rPr>
              <w:br/>
              <w:t>Exemples</w:t>
            </w:r>
            <w:r w:rsidRPr="003C4050">
              <w:rPr>
                <w:rFonts w:ascii="Arial" w:hAnsi="Arial" w:cs="Arial"/>
                <w:sz w:val="16"/>
                <w:lang w:val="nl-NL"/>
              </w:rPr>
              <w:br/>
              <w:t>Beispielssorten</w:t>
            </w:r>
            <w:r w:rsidRPr="003C4050">
              <w:rPr>
                <w:rFonts w:ascii="Arial" w:hAnsi="Arial" w:cs="Arial"/>
                <w:sz w:val="16"/>
                <w:lang w:val="nl-NL"/>
              </w:rPr>
              <w:br/>
              <w:t>Variedades ejemplo</w:t>
            </w:r>
          </w:p>
        </w:tc>
        <w:tc>
          <w:tcPr>
            <w:tcW w:w="503" w:type="dxa"/>
            <w:tcBorders>
              <w:top w:val="single" w:sz="4" w:space="0" w:color="auto"/>
              <w:bottom w:val="nil"/>
            </w:tcBorders>
          </w:tcPr>
          <w:p w:rsidR="00A633D8" w:rsidRPr="003C4050" w:rsidRDefault="00A633D8" w:rsidP="00F47E4E">
            <w:pPr>
              <w:pStyle w:val="Normaltb"/>
              <w:keepNext w:val="0"/>
              <w:jc w:val="center"/>
              <w:rPr>
                <w:rFonts w:ascii="Arial" w:hAnsi="Arial" w:cs="Arial"/>
                <w:sz w:val="16"/>
                <w:lang w:val="nl-NL"/>
              </w:rPr>
            </w:pPr>
            <w:r w:rsidRPr="003C4050">
              <w:rPr>
                <w:rFonts w:ascii="Arial" w:hAnsi="Arial" w:cs="Arial"/>
                <w:sz w:val="16"/>
                <w:lang w:val="nl-NL"/>
              </w:rPr>
              <w:t>Note/</w:t>
            </w:r>
            <w:r w:rsidRPr="003C4050">
              <w:rPr>
                <w:rFonts w:ascii="Arial" w:hAnsi="Arial" w:cs="Arial"/>
                <w:sz w:val="16"/>
                <w:lang w:val="nl-NL"/>
              </w:rPr>
              <w:br/>
              <w:t>Nota</w:t>
            </w:r>
          </w:p>
        </w:tc>
      </w:tr>
      <w:tr w:rsidR="00A633D8" w:rsidRPr="005F306C" w:rsidTr="00F47E4E">
        <w:trPr>
          <w:cantSplit/>
        </w:trPr>
        <w:tc>
          <w:tcPr>
            <w:tcW w:w="567" w:type="dxa"/>
            <w:tcBorders>
              <w:top w:val="single" w:sz="4" w:space="0" w:color="auto"/>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A633D8" w:rsidRDefault="00A633D8" w:rsidP="00F47E4E">
            <w:pPr>
              <w:pStyle w:val="Normaltb"/>
              <w:keepNext w:val="0"/>
              <w:rPr>
                <w:rFonts w:ascii="Arial" w:hAnsi="Arial" w:cs="Arial"/>
                <w:sz w:val="16"/>
              </w:rPr>
            </w:pPr>
            <w:r w:rsidRPr="005F306C">
              <w:rPr>
                <w:rFonts w:ascii="Arial" w:hAnsi="Arial" w:cs="Arial"/>
                <w:sz w:val="16"/>
              </w:rPr>
              <w:t xml:space="preserve">Resistance to </w:t>
            </w:r>
            <w:r w:rsidRPr="005F306C">
              <w:rPr>
                <w:rFonts w:ascii="Arial" w:hAnsi="Arial" w:cs="Arial"/>
                <w:i/>
                <w:sz w:val="16"/>
                <w:u w:val="single"/>
              </w:rPr>
              <w:t>Fusarium oxysporum</w:t>
            </w:r>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r w:rsidRPr="005F306C">
              <w:rPr>
                <w:rFonts w:ascii="Arial" w:hAnsi="Arial" w:cs="Arial"/>
                <w:i/>
                <w:sz w:val="16"/>
                <w:u w:val="single"/>
              </w:rPr>
              <w:t>pisi</w:t>
            </w:r>
            <w:r>
              <w:rPr>
                <w:rFonts w:ascii="Arial" w:hAnsi="Arial" w:cs="Arial"/>
                <w:sz w:val="16"/>
              </w:rPr>
              <w:t xml:space="preserve"> </w:t>
            </w:r>
            <w:r w:rsidRPr="006453F1">
              <w:rPr>
                <w:rFonts w:ascii="Arial" w:hAnsi="Arial" w:cs="Arial"/>
                <w:sz w:val="16"/>
              </w:rPr>
              <w:t xml:space="preserve"> </w:t>
            </w:r>
          </w:p>
          <w:p w:rsidR="00A633D8" w:rsidRPr="005F306C" w:rsidRDefault="00A633D8" w:rsidP="00F47E4E">
            <w:pPr>
              <w:pStyle w:val="Normaltb"/>
              <w:keepNext w:val="0"/>
              <w:rPr>
                <w:rFonts w:ascii="Arial" w:hAnsi="Arial" w:cs="Arial"/>
                <w:sz w:val="16"/>
                <w:lang w:val="en-GB"/>
              </w:rPr>
            </w:pPr>
            <w:r w:rsidRPr="006453F1">
              <w:rPr>
                <w:rFonts w:ascii="Arial" w:hAnsi="Arial" w:cs="Arial"/>
                <w:sz w:val="16"/>
                <w:highlight w:val="lightGray"/>
                <w:u w:val="single"/>
              </w:rPr>
              <w:t>Race 1</w:t>
            </w:r>
          </w:p>
        </w:tc>
        <w:tc>
          <w:tcPr>
            <w:tcW w:w="1843" w:type="dxa"/>
            <w:tcBorders>
              <w:top w:val="single" w:sz="4" w:space="0" w:color="auto"/>
              <w:bottom w:val="nil"/>
            </w:tcBorders>
          </w:tcPr>
          <w:p w:rsidR="00A633D8" w:rsidRPr="00C20769" w:rsidRDefault="00A633D8" w:rsidP="00F47E4E">
            <w:pPr>
              <w:pStyle w:val="Normaltb"/>
              <w:keepNext w:val="0"/>
              <w:rPr>
                <w:rFonts w:ascii="Arial" w:hAnsi="Arial" w:cs="Arial"/>
                <w:i/>
                <w:sz w:val="16"/>
                <w:u w:val="single"/>
                <w:lang w:val="fr-CH"/>
              </w:rPr>
            </w:pPr>
            <w:r w:rsidRPr="00C20769">
              <w:rPr>
                <w:rFonts w:ascii="Arial" w:hAnsi="Arial" w:cs="Arial"/>
                <w:sz w:val="16"/>
                <w:lang w:val="fr-CH"/>
              </w:rPr>
              <w:t xml:space="preserve">Résistance à </w:t>
            </w:r>
            <w:r w:rsidRPr="00C20769">
              <w:rPr>
                <w:rFonts w:ascii="Arial" w:hAnsi="Arial" w:cs="Arial"/>
                <w:i/>
                <w:sz w:val="16"/>
                <w:u w:val="single"/>
                <w:lang w:val="fr-CH"/>
              </w:rPr>
              <w:t>Fusarium oxysporum</w:t>
            </w:r>
            <w:r w:rsidRPr="00C20769">
              <w:rPr>
                <w:rFonts w:ascii="Arial" w:hAnsi="Arial" w:cs="Arial"/>
                <w:sz w:val="16"/>
                <w:u w:val="single"/>
                <w:lang w:val="fr-CH"/>
              </w:rPr>
              <w:t xml:space="preserve"> </w:t>
            </w:r>
            <w:r w:rsidRPr="00C20769">
              <w:rPr>
                <w:rFonts w:ascii="Arial" w:hAnsi="Arial" w:cs="Arial"/>
                <w:sz w:val="16"/>
                <w:lang w:val="fr-CH"/>
              </w:rPr>
              <w:t xml:space="preserve">f. sp. </w:t>
            </w:r>
            <w:r w:rsidRPr="00C20769">
              <w:rPr>
                <w:rFonts w:ascii="Arial" w:hAnsi="Arial" w:cs="Arial"/>
                <w:i/>
                <w:sz w:val="16"/>
                <w:u w:val="single"/>
                <w:lang w:val="fr-CH"/>
              </w:rPr>
              <w:t>pisi</w:t>
            </w:r>
          </w:p>
          <w:p w:rsidR="00A633D8" w:rsidRPr="006453F1" w:rsidRDefault="00A633D8" w:rsidP="00F47E4E">
            <w:pPr>
              <w:pStyle w:val="Normaltb"/>
              <w:keepNext w:val="0"/>
              <w:rPr>
                <w:rFonts w:ascii="Arial" w:hAnsi="Arial" w:cs="Arial"/>
                <w:sz w:val="16"/>
              </w:rPr>
            </w:pPr>
            <w:r w:rsidRPr="006453F1">
              <w:rPr>
                <w:rFonts w:ascii="Arial" w:hAnsi="Arial" w:cs="Arial"/>
                <w:sz w:val="16"/>
                <w:highlight w:val="lightGray"/>
                <w:u w:val="single"/>
              </w:rPr>
              <w:t>Race 1</w:t>
            </w:r>
          </w:p>
        </w:tc>
        <w:tc>
          <w:tcPr>
            <w:tcW w:w="1843" w:type="dxa"/>
            <w:tcBorders>
              <w:top w:val="single" w:sz="4" w:space="0" w:color="auto"/>
              <w:bottom w:val="nil"/>
            </w:tcBorders>
          </w:tcPr>
          <w:p w:rsidR="00A633D8" w:rsidRPr="00C20769" w:rsidRDefault="00A633D8" w:rsidP="00F47E4E">
            <w:pPr>
              <w:pStyle w:val="Normaltb"/>
              <w:keepNext w:val="0"/>
              <w:rPr>
                <w:rFonts w:ascii="Arial" w:hAnsi="Arial" w:cs="Arial"/>
                <w:i/>
                <w:sz w:val="16"/>
                <w:u w:val="single"/>
                <w:lang w:val="de-DE"/>
              </w:rPr>
            </w:pPr>
            <w:r w:rsidRPr="00C20769">
              <w:rPr>
                <w:rFonts w:ascii="Arial" w:hAnsi="Arial" w:cs="Arial"/>
                <w:sz w:val="16"/>
                <w:lang w:val="de-DE"/>
              </w:rPr>
              <w:t xml:space="preserve">Resistenz gegen </w:t>
            </w:r>
            <w:r w:rsidRPr="00C20769">
              <w:rPr>
                <w:rFonts w:ascii="Arial" w:hAnsi="Arial" w:cs="Arial"/>
                <w:i/>
                <w:sz w:val="16"/>
                <w:u w:val="single"/>
                <w:lang w:val="de-DE"/>
              </w:rPr>
              <w:t>Fusarium oxysporum</w:t>
            </w:r>
            <w:r w:rsidRPr="00C20769">
              <w:rPr>
                <w:rFonts w:ascii="Arial" w:hAnsi="Arial" w:cs="Arial"/>
                <w:sz w:val="16"/>
                <w:u w:val="single"/>
                <w:lang w:val="de-DE"/>
              </w:rPr>
              <w:t xml:space="preserve"> </w:t>
            </w:r>
            <w:r w:rsidRPr="00C20769">
              <w:rPr>
                <w:rFonts w:ascii="Arial" w:hAnsi="Arial" w:cs="Arial"/>
                <w:sz w:val="16"/>
                <w:lang w:val="de-DE"/>
              </w:rPr>
              <w:t xml:space="preserve">f. sp. </w:t>
            </w:r>
            <w:r w:rsidRPr="00C20769">
              <w:rPr>
                <w:rFonts w:ascii="Arial" w:hAnsi="Arial" w:cs="Arial"/>
                <w:i/>
                <w:sz w:val="16"/>
                <w:u w:val="single"/>
                <w:lang w:val="de-DE"/>
              </w:rPr>
              <w:t>pisi</w:t>
            </w:r>
          </w:p>
          <w:p w:rsidR="00A633D8" w:rsidRPr="006453F1" w:rsidRDefault="00A633D8" w:rsidP="00F47E4E">
            <w:pPr>
              <w:pStyle w:val="Normaltb"/>
              <w:keepNext w:val="0"/>
              <w:rPr>
                <w:rFonts w:ascii="Arial" w:hAnsi="Arial" w:cs="Arial"/>
                <w:sz w:val="16"/>
                <w:u w:val="single"/>
              </w:rPr>
            </w:pPr>
            <w:r w:rsidRPr="006453F1">
              <w:rPr>
                <w:rFonts w:ascii="Arial" w:hAnsi="Arial" w:cs="Arial"/>
                <w:sz w:val="16"/>
                <w:highlight w:val="lightGray"/>
                <w:u w:val="single"/>
                <w:lang w:val="de-CH"/>
              </w:rPr>
              <w:t>Pathotyp 1</w:t>
            </w:r>
          </w:p>
        </w:tc>
        <w:tc>
          <w:tcPr>
            <w:tcW w:w="1843" w:type="dxa"/>
            <w:tcBorders>
              <w:top w:val="single" w:sz="4" w:space="0" w:color="auto"/>
              <w:bottom w:val="nil"/>
            </w:tcBorders>
          </w:tcPr>
          <w:p w:rsidR="00A633D8" w:rsidRDefault="00A633D8" w:rsidP="00F47E4E">
            <w:pPr>
              <w:pStyle w:val="Normaltb"/>
              <w:keepNext w:val="0"/>
              <w:rPr>
                <w:rFonts w:ascii="Arial" w:hAnsi="Arial" w:cs="Arial"/>
                <w:i/>
                <w:sz w:val="16"/>
                <w:u w:val="single"/>
                <w:lang w:val="es-ES"/>
              </w:rPr>
            </w:pPr>
            <w:r w:rsidRPr="005F306C">
              <w:rPr>
                <w:rFonts w:ascii="Arial" w:hAnsi="Arial" w:cs="Arial"/>
                <w:sz w:val="16"/>
                <w:lang w:val="es-ES"/>
              </w:rPr>
              <w:t xml:space="preserve">Resistencia a </w:t>
            </w:r>
            <w:r w:rsidRPr="005F306C">
              <w:rPr>
                <w:rFonts w:ascii="Arial" w:hAnsi="Arial" w:cs="Arial"/>
                <w:i/>
                <w:sz w:val="16"/>
                <w:u w:val="single"/>
                <w:lang w:val="es-ES"/>
              </w:rPr>
              <w:t>Fusarium oxysporum</w:t>
            </w:r>
            <w:r w:rsidRPr="005F306C">
              <w:rPr>
                <w:rFonts w:ascii="Arial" w:hAnsi="Arial" w:cs="Arial"/>
                <w:sz w:val="16"/>
                <w:u w:val="single"/>
                <w:lang w:val="es-ES"/>
              </w:rPr>
              <w:t xml:space="preserve"> </w:t>
            </w:r>
            <w:r w:rsidRPr="005F306C">
              <w:rPr>
                <w:rFonts w:ascii="Arial" w:hAnsi="Arial" w:cs="Arial"/>
                <w:sz w:val="16"/>
                <w:lang w:val="es-ES"/>
              </w:rPr>
              <w:t xml:space="preserve">f. sp. </w:t>
            </w:r>
            <w:r w:rsidRPr="005F306C">
              <w:rPr>
                <w:rFonts w:ascii="Arial" w:hAnsi="Arial" w:cs="Arial"/>
                <w:i/>
                <w:sz w:val="16"/>
                <w:u w:val="single"/>
                <w:lang w:val="es-ES"/>
              </w:rPr>
              <w:t>pisi</w:t>
            </w:r>
          </w:p>
          <w:p w:rsidR="00A633D8" w:rsidRPr="006453F1" w:rsidRDefault="00A633D8" w:rsidP="00F47E4E">
            <w:pPr>
              <w:pStyle w:val="Normaltb"/>
              <w:keepNext w:val="0"/>
              <w:rPr>
                <w:rFonts w:ascii="Arial" w:hAnsi="Arial" w:cs="Arial"/>
                <w:sz w:val="16"/>
                <w:u w:val="single"/>
                <w:lang w:val="es-ES"/>
              </w:rPr>
            </w:pPr>
            <w:r w:rsidRPr="006453F1">
              <w:rPr>
                <w:rFonts w:ascii="Arial" w:hAnsi="Arial" w:cs="Arial"/>
                <w:sz w:val="16"/>
                <w:highlight w:val="lightGray"/>
                <w:u w:val="single"/>
                <w:lang w:val="es-ES"/>
              </w:rPr>
              <w:t>Raza 1</w:t>
            </w:r>
          </w:p>
        </w:tc>
        <w:tc>
          <w:tcPr>
            <w:tcW w:w="1986" w:type="dxa"/>
            <w:tcBorders>
              <w:top w:val="single" w:sz="4" w:space="0" w:color="auto"/>
              <w:bottom w:val="nil"/>
            </w:tcBorders>
          </w:tcPr>
          <w:p w:rsidR="00A633D8" w:rsidRPr="005F306C" w:rsidRDefault="00A633D8" w:rsidP="00F47E4E">
            <w:pPr>
              <w:pStyle w:val="Normaltb"/>
              <w:keepNext w:val="0"/>
              <w:rPr>
                <w:rFonts w:ascii="Arial" w:hAnsi="Arial" w:cs="Arial"/>
                <w:sz w:val="16"/>
                <w:lang w:val="nl-NL"/>
              </w:rPr>
            </w:pPr>
          </w:p>
        </w:tc>
        <w:tc>
          <w:tcPr>
            <w:tcW w:w="503" w:type="dxa"/>
            <w:tcBorders>
              <w:top w:val="single" w:sz="4" w:space="0" w:color="auto"/>
              <w:bottom w:val="nil"/>
            </w:tcBorders>
          </w:tcPr>
          <w:p w:rsidR="00A633D8" w:rsidRPr="005F306C" w:rsidRDefault="00A633D8" w:rsidP="00F47E4E">
            <w:pPr>
              <w:pStyle w:val="Normaltb"/>
              <w:keepNext w:val="0"/>
              <w:jc w:val="center"/>
              <w:rPr>
                <w:rFonts w:ascii="Arial" w:hAnsi="Arial" w:cs="Arial"/>
                <w:sz w:val="16"/>
                <w:lang w:val="nl-NL"/>
              </w:rPr>
            </w:pPr>
          </w:p>
        </w:tc>
      </w:tr>
      <w:tr w:rsidR="00A633D8" w:rsidRPr="005F306C" w:rsidTr="00F47E4E">
        <w:trPr>
          <w:cantSplit/>
        </w:trPr>
        <w:tc>
          <w:tcPr>
            <w:tcW w:w="567" w:type="dxa"/>
            <w:tcBorders>
              <w:top w:val="nil"/>
              <w:bottom w:val="nil"/>
            </w:tcBorders>
          </w:tcPr>
          <w:p w:rsidR="00A633D8" w:rsidRPr="006453F1" w:rsidRDefault="00A633D8" w:rsidP="00F47E4E">
            <w:pPr>
              <w:pStyle w:val="Normaltb"/>
              <w:jc w:val="center"/>
              <w:rPr>
                <w:rFonts w:ascii="Arial" w:hAnsi="Arial" w:cs="Arial"/>
                <w:strike/>
                <w:sz w:val="16"/>
                <w:highlight w:val="lightGray"/>
              </w:rPr>
            </w:pPr>
            <w:r w:rsidRPr="006453F1">
              <w:rPr>
                <w:rFonts w:ascii="Arial" w:hAnsi="Arial" w:cs="Arial"/>
                <w:strike/>
                <w:sz w:val="16"/>
                <w:highlight w:val="lightGray"/>
              </w:rPr>
              <w:t>58.1</w:t>
            </w:r>
          </w:p>
        </w:tc>
        <w:tc>
          <w:tcPr>
            <w:tcW w:w="567" w:type="dxa"/>
            <w:tcBorders>
              <w:top w:val="nil"/>
              <w:bottom w:val="nil"/>
            </w:tcBorders>
          </w:tcPr>
          <w:p w:rsidR="00A633D8" w:rsidRPr="006453F1" w:rsidRDefault="00A633D8" w:rsidP="00F47E4E">
            <w:pPr>
              <w:pStyle w:val="Normaltb"/>
              <w:jc w:val="center"/>
              <w:rPr>
                <w:rFonts w:ascii="Arial" w:hAnsi="Arial" w:cs="Arial"/>
                <w:strike/>
                <w:sz w:val="16"/>
                <w:highlight w:val="lightGray"/>
              </w:rPr>
            </w:pPr>
          </w:p>
        </w:tc>
        <w:tc>
          <w:tcPr>
            <w:tcW w:w="1843" w:type="dxa"/>
            <w:tcBorders>
              <w:top w:val="nil"/>
              <w:bottom w:val="nil"/>
            </w:tcBorders>
          </w:tcPr>
          <w:p w:rsidR="00A633D8" w:rsidRPr="006453F1" w:rsidRDefault="00A633D8" w:rsidP="00F47E4E">
            <w:pPr>
              <w:pStyle w:val="Normaltb"/>
              <w:rPr>
                <w:rFonts w:ascii="Arial" w:hAnsi="Arial" w:cs="Arial"/>
                <w:strike/>
                <w:sz w:val="16"/>
                <w:highlight w:val="lightGray"/>
                <w:lang w:val="en-GB"/>
              </w:rPr>
            </w:pPr>
            <w:r w:rsidRPr="006453F1">
              <w:rPr>
                <w:rFonts w:ascii="Arial" w:hAnsi="Arial" w:cs="Arial"/>
                <w:strike/>
                <w:sz w:val="16"/>
                <w:highlight w:val="lightGray"/>
                <w:lang w:val="fr-CH"/>
              </w:rPr>
              <w:t>Race 1</w:t>
            </w:r>
          </w:p>
        </w:tc>
        <w:tc>
          <w:tcPr>
            <w:tcW w:w="1843" w:type="dxa"/>
            <w:tcBorders>
              <w:top w:val="nil"/>
              <w:bottom w:val="nil"/>
            </w:tcBorders>
          </w:tcPr>
          <w:p w:rsidR="00A633D8" w:rsidRPr="006453F1" w:rsidRDefault="00A633D8" w:rsidP="00F47E4E">
            <w:pPr>
              <w:pStyle w:val="Normaltb"/>
              <w:rPr>
                <w:rFonts w:ascii="Arial" w:hAnsi="Arial" w:cs="Arial"/>
                <w:strike/>
                <w:sz w:val="16"/>
                <w:highlight w:val="lightGray"/>
                <w:lang w:val="fr-CH"/>
              </w:rPr>
            </w:pPr>
            <w:r w:rsidRPr="006453F1">
              <w:rPr>
                <w:rFonts w:ascii="Arial" w:hAnsi="Arial" w:cs="Arial"/>
                <w:strike/>
                <w:sz w:val="16"/>
                <w:highlight w:val="lightGray"/>
                <w:lang w:val="fr-CH"/>
              </w:rPr>
              <w:t>Race 1</w:t>
            </w:r>
          </w:p>
        </w:tc>
        <w:tc>
          <w:tcPr>
            <w:tcW w:w="1843" w:type="dxa"/>
            <w:tcBorders>
              <w:top w:val="nil"/>
              <w:bottom w:val="nil"/>
            </w:tcBorders>
          </w:tcPr>
          <w:p w:rsidR="00A633D8" w:rsidRPr="006453F1" w:rsidRDefault="00A633D8" w:rsidP="00F47E4E">
            <w:pPr>
              <w:pStyle w:val="Normaltb"/>
              <w:rPr>
                <w:rFonts w:ascii="Arial" w:hAnsi="Arial" w:cs="Arial"/>
                <w:strike/>
                <w:sz w:val="16"/>
                <w:highlight w:val="lightGray"/>
                <w:lang w:val="de-CH"/>
              </w:rPr>
            </w:pPr>
            <w:r w:rsidRPr="006453F1">
              <w:rPr>
                <w:rFonts w:ascii="Arial" w:hAnsi="Arial" w:cs="Arial"/>
                <w:strike/>
                <w:sz w:val="16"/>
                <w:highlight w:val="lightGray"/>
                <w:lang w:val="de-CH"/>
              </w:rPr>
              <w:t>Pathotyp 1</w:t>
            </w:r>
          </w:p>
        </w:tc>
        <w:tc>
          <w:tcPr>
            <w:tcW w:w="1843" w:type="dxa"/>
            <w:tcBorders>
              <w:top w:val="nil"/>
              <w:bottom w:val="nil"/>
            </w:tcBorders>
          </w:tcPr>
          <w:p w:rsidR="00A633D8" w:rsidRPr="006453F1" w:rsidRDefault="00A633D8" w:rsidP="00F47E4E">
            <w:pPr>
              <w:pStyle w:val="Normaltb"/>
              <w:rPr>
                <w:rFonts w:ascii="Arial" w:hAnsi="Arial" w:cs="Arial"/>
                <w:strike/>
                <w:sz w:val="16"/>
                <w:highlight w:val="lightGray"/>
                <w:lang w:val="es-ES"/>
              </w:rPr>
            </w:pPr>
            <w:r w:rsidRPr="006453F1">
              <w:rPr>
                <w:rFonts w:ascii="Arial" w:hAnsi="Arial" w:cs="Arial"/>
                <w:strike/>
                <w:sz w:val="16"/>
                <w:highlight w:val="lightGray"/>
                <w:lang w:val="es-ES"/>
              </w:rPr>
              <w:t>Raza 1</w:t>
            </w:r>
          </w:p>
        </w:tc>
        <w:tc>
          <w:tcPr>
            <w:tcW w:w="1986" w:type="dxa"/>
            <w:tcBorders>
              <w:top w:val="nil"/>
              <w:bottom w:val="nil"/>
            </w:tcBorders>
          </w:tcPr>
          <w:p w:rsidR="00A633D8" w:rsidRPr="005F306C" w:rsidRDefault="00A633D8" w:rsidP="00F47E4E">
            <w:pPr>
              <w:pStyle w:val="Normaltb"/>
              <w:rPr>
                <w:rFonts w:ascii="Arial" w:hAnsi="Arial" w:cs="Arial"/>
                <w:sz w:val="16"/>
              </w:rPr>
            </w:pPr>
          </w:p>
        </w:tc>
        <w:tc>
          <w:tcPr>
            <w:tcW w:w="503" w:type="dxa"/>
            <w:tcBorders>
              <w:top w:val="nil"/>
              <w:bottom w:val="nil"/>
            </w:tcBorders>
          </w:tcPr>
          <w:p w:rsidR="00A633D8" w:rsidRPr="005F306C" w:rsidRDefault="00A633D8" w:rsidP="00F47E4E">
            <w:pPr>
              <w:pStyle w:val="Normaltb"/>
              <w:jc w:val="center"/>
              <w:rPr>
                <w:rFonts w:ascii="Arial" w:hAnsi="Arial" w:cs="Arial"/>
                <w:sz w:val="16"/>
              </w:rPr>
            </w:pPr>
          </w:p>
        </w:tc>
      </w:tr>
      <w:tr w:rsidR="00A633D8" w:rsidRPr="005F306C" w:rsidTr="00F47E4E">
        <w:trPr>
          <w:cantSplit/>
        </w:trPr>
        <w:tc>
          <w:tcPr>
            <w:tcW w:w="567" w:type="dxa"/>
            <w:tcBorders>
              <w:top w:val="nil"/>
              <w:bottom w:val="nil"/>
            </w:tcBorders>
          </w:tcPr>
          <w:p w:rsidR="00A633D8" w:rsidRPr="005F306C" w:rsidRDefault="00A633D8" w:rsidP="00F47E4E">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A633D8" w:rsidRPr="005F306C" w:rsidRDefault="00A633D8" w:rsidP="00F47E4E">
            <w:pPr>
              <w:pStyle w:val="Normaltb"/>
              <w:jc w:val="center"/>
              <w:rPr>
                <w:rFonts w:ascii="Arial" w:hAnsi="Arial" w:cs="Arial"/>
                <w:sz w:val="16"/>
              </w:rPr>
            </w:pPr>
          </w:p>
        </w:tc>
        <w:tc>
          <w:tcPr>
            <w:tcW w:w="1843" w:type="dxa"/>
            <w:tcBorders>
              <w:top w:val="nil"/>
              <w:bottom w:val="nil"/>
            </w:tcBorders>
          </w:tcPr>
          <w:p w:rsidR="00A633D8" w:rsidRPr="005F306C" w:rsidRDefault="00A633D8" w:rsidP="00F47E4E">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A633D8" w:rsidRPr="005F306C" w:rsidRDefault="00A633D8" w:rsidP="00F47E4E">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A633D8" w:rsidRPr="005F306C" w:rsidRDefault="00A633D8" w:rsidP="00F47E4E">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A633D8" w:rsidRPr="005F306C" w:rsidRDefault="00A633D8" w:rsidP="00F47E4E">
            <w:pPr>
              <w:pStyle w:val="Normalt"/>
              <w:rPr>
                <w:rFonts w:ascii="Arial" w:hAnsi="Arial" w:cs="Arial"/>
                <w:sz w:val="16"/>
                <w:lang w:val="es-ES"/>
              </w:rPr>
            </w:pPr>
            <w:r w:rsidRPr="005F306C">
              <w:rPr>
                <w:rFonts w:ascii="Arial" w:hAnsi="Arial" w:cs="Arial"/>
                <w:sz w:val="16"/>
                <w:lang w:val="es-ES"/>
              </w:rPr>
              <w:t>ausente</w:t>
            </w:r>
          </w:p>
        </w:tc>
        <w:tc>
          <w:tcPr>
            <w:tcW w:w="1986" w:type="dxa"/>
            <w:tcBorders>
              <w:top w:val="nil"/>
              <w:bottom w:val="nil"/>
            </w:tcBorders>
          </w:tcPr>
          <w:p w:rsidR="00A633D8" w:rsidRPr="005F306C" w:rsidRDefault="00A633D8" w:rsidP="00F47E4E">
            <w:pPr>
              <w:pStyle w:val="Normalt"/>
              <w:rPr>
                <w:rFonts w:ascii="Arial" w:hAnsi="Arial" w:cs="Arial"/>
                <w:sz w:val="16"/>
                <w:szCs w:val="16"/>
                <w:highlight w:val="lightGray"/>
              </w:rPr>
            </w:pPr>
            <w:r w:rsidRPr="005F306C">
              <w:rPr>
                <w:rFonts w:ascii="Arial" w:hAnsi="Arial" w:cs="Arial"/>
                <w:strike/>
                <w:sz w:val="16"/>
                <w:szCs w:val="16"/>
                <w:highlight w:val="lightGray"/>
              </w:rPr>
              <w:t>Eden, Mammoth Melting Sugar</w:t>
            </w:r>
            <w:r w:rsidRPr="005F306C">
              <w:rPr>
                <w:rFonts w:ascii="Arial" w:hAnsi="Arial" w:cs="Arial"/>
                <w:strike/>
                <w:sz w:val="16"/>
                <w:szCs w:val="16"/>
                <w:highlight w:val="lightGray"/>
              </w:rPr>
              <w:br/>
            </w:r>
            <w:r w:rsidRPr="005F306C">
              <w:rPr>
                <w:rFonts w:ascii="Arial" w:hAnsi="Arial" w:cs="Arial"/>
                <w:sz w:val="16"/>
                <w:szCs w:val="16"/>
                <w:highlight w:val="lightGray"/>
                <w:u w:val="single"/>
              </w:rPr>
              <w:t>Bartavelle</w:t>
            </w:r>
          </w:p>
        </w:tc>
        <w:tc>
          <w:tcPr>
            <w:tcW w:w="503" w:type="dxa"/>
            <w:tcBorders>
              <w:top w:val="nil"/>
              <w:bottom w:val="nil"/>
            </w:tcBorders>
          </w:tcPr>
          <w:p w:rsidR="00A633D8" w:rsidRPr="005F306C" w:rsidRDefault="00A633D8" w:rsidP="00F47E4E">
            <w:pPr>
              <w:pStyle w:val="Normalt"/>
              <w:jc w:val="center"/>
              <w:rPr>
                <w:rFonts w:ascii="Arial" w:hAnsi="Arial" w:cs="Arial"/>
                <w:sz w:val="16"/>
              </w:rPr>
            </w:pPr>
            <w:r w:rsidRPr="005F306C">
              <w:rPr>
                <w:rFonts w:ascii="Arial" w:hAnsi="Arial" w:cs="Arial"/>
                <w:sz w:val="16"/>
              </w:rPr>
              <w:t>1</w:t>
            </w:r>
          </w:p>
        </w:tc>
      </w:tr>
      <w:tr w:rsidR="00A633D8" w:rsidRPr="005F306C" w:rsidTr="00F47E4E">
        <w:trPr>
          <w:cantSplit/>
        </w:trPr>
        <w:tc>
          <w:tcPr>
            <w:tcW w:w="567" w:type="dxa"/>
            <w:tcBorders>
              <w:top w:val="nil"/>
              <w:bottom w:val="single" w:sz="4" w:space="0" w:color="auto"/>
            </w:tcBorders>
          </w:tcPr>
          <w:p w:rsidR="00A633D8" w:rsidRPr="005F306C" w:rsidRDefault="00A633D8" w:rsidP="00F47E4E">
            <w:pPr>
              <w:pStyle w:val="Normaltb"/>
              <w:keepNext w:val="0"/>
              <w:jc w:val="center"/>
              <w:rPr>
                <w:rFonts w:ascii="Arial" w:hAnsi="Arial" w:cs="Arial"/>
                <w:sz w:val="16"/>
              </w:rPr>
            </w:pPr>
          </w:p>
        </w:tc>
        <w:tc>
          <w:tcPr>
            <w:tcW w:w="567" w:type="dxa"/>
            <w:tcBorders>
              <w:top w:val="nil"/>
              <w:bottom w:val="single" w:sz="4" w:space="0" w:color="auto"/>
            </w:tcBorders>
          </w:tcPr>
          <w:p w:rsidR="00A633D8" w:rsidRPr="005F306C" w:rsidRDefault="00A633D8" w:rsidP="00F47E4E">
            <w:pPr>
              <w:pStyle w:val="Normaltb"/>
              <w:keepNext w:val="0"/>
              <w:jc w:val="center"/>
              <w:rPr>
                <w:rFonts w:ascii="Arial" w:hAnsi="Arial" w:cs="Arial"/>
                <w:sz w:val="16"/>
              </w:rPr>
            </w:pPr>
          </w:p>
        </w:tc>
        <w:tc>
          <w:tcPr>
            <w:tcW w:w="1843" w:type="dxa"/>
            <w:tcBorders>
              <w:top w:val="nil"/>
              <w:bottom w:val="single" w:sz="4" w:space="0" w:color="auto"/>
            </w:tcBorders>
          </w:tcPr>
          <w:p w:rsidR="00A633D8" w:rsidRPr="005F306C" w:rsidRDefault="00A633D8" w:rsidP="00F47E4E">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présente</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vorhanden</w:t>
            </w:r>
          </w:p>
        </w:tc>
        <w:tc>
          <w:tcPr>
            <w:tcW w:w="1843" w:type="dxa"/>
            <w:tcBorders>
              <w:top w:val="nil"/>
              <w:bottom w:val="single" w:sz="4" w:space="0" w:color="auto"/>
            </w:tcBorders>
          </w:tcPr>
          <w:p w:rsidR="00A633D8" w:rsidRPr="005F306C" w:rsidRDefault="00A633D8" w:rsidP="00F47E4E">
            <w:pPr>
              <w:pStyle w:val="Normalt"/>
              <w:rPr>
                <w:rFonts w:ascii="Arial" w:hAnsi="Arial" w:cs="Arial"/>
                <w:sz w:val="16"/>
              </w:rPr>
            </w:pPr>
            <w:r w:rsidRPr="005F306C">
              <w:rPr>
                <w:rFonts w:ascii="Arial" w:hAnsi="Arial" w:cs="Arial"/>
                <w:sz w:val="16"/>
              </w:rPr>
              <w:t>presente</w:t>
            </w:r>
          </w:p>
        </w:tc>
        <w:tc>
          <w:tcPr>
            <w:tcW w:w="1986" w:type="dxa"/>
            <w:tcBorders>
              <w:top w:val="nil"/>
              <w:bottom w:val="single" w:sz="4" w:space="0" w:color="auto"/>
            </w:tcBorders>
          </w:tcPr>
          <w:p w:rsidR="00A633D8" w:rsidRPr="00437A46" w:rsidRDefault="00A633D8" w:rsidP="00F47E4E">
            <w:pPr>
              <w:pStyle w:val="Normalt"/>
              <w:rPr>
                <w:rFonts w:ascii="Arial" w:hAnsi="Arial" w:cs="Arial"/>
                <w:sz w:val="16"/>
                <w:szCs w:val="16"/>
                <w:highlight w:val="lightGray"/>
                <w:lang w:val="es-ES_tradnl"/>
              </w:rPr>
            </w:pPr>
            <w:r w:rsidRPr="00437A46">
              <w:rPr>
                <w:rFonts w:ascii="Arial" w:hAnsi="Arial" w:cs="Arial"/>
                <w:strike/>
                <w:sz w:val="16"/>
                <w:szCs w:val="16"/>
                <w:highlight w:val="lightGray"/>
                <w:lang w:val="es-ES_tradnl"/>
              </w:rPr>
              <w:t>Solara, Twinkle</w:t>
            </w:r>
            <w:r w:rsidRPr="00437A46">
              <w:rPr>
                <w:rFonts w:ascii="Arial" w:hAnsi="Arial" w:cs="Arial"/>
                <w:sz w:val="16"/>
                <w:szCs w:val="16"/>
                <w:highlight w:val="lightGray"/>
                <w:lang w:val="es-ES_tradnl"/>
              </w:rPr>
              <w:br/>
            </w:r>
            <w:r w:rsidRPr="00437A46">
              <w:rPr>
                <w:rFonts w:ascii="Arial" w:hAnsi="Arial" w:cs="Arial"/>
                <w:sz w:val="16"/>
                <w:szCs w:val="16"/>
                <w:highlight w:val="lightGray"/>
                <w:u w:val="single"/>
                <w:lang w:val="es-ES_tradnl"/>
              </w:rPr>
              <w:t>New Era, Nina</w:t>
            </w:r>
          </w:p>
        </w:tc>
        <w:tc>
          <w:tcPr>
            <w:tcW w:w="503" w:type="dxa"/>
            <w:tcBorders>
              <w:top w:val="nil"/>
              <w:bottom w:val="single" w:sz="4" w:space="0" w:color="auto"/>
            </w:tcBorders>
          </w:tcPr>
          <w:p w:rsidR="00A633D8" w:rsidRPr="005F306C" w:rsidRDefault="00A633D8" w:rsidP="00F47E4E">
            <w:pPr>
              <w:pStyle w:val="Normalt"/>
              <w:jc w:val="center"/>
              <w:rPr>
                <w:rFonts w:ascii="Arial" w:hAnsi="Arial" w:cs="Arial"/>
                <w:sz w:val="16"/>
              </w:rPr>
            </w:pPr>
            <w:r w:rsidRPr="005F306C">
              <w:rPr>
                <w:rFonts w:ascii="Arial" w:hAnsi="Arial" w:cs="Arial"/>
                <w:sz w:val="16"/>
              </w:rPr>
              <w:t>9</w:t>
            </w:r>
          </w:p>
        </w:tc>
      </w:tr>
      <w:tr w:rsidR="00A633D8" w:rsidRPr="006203B9" w:rsidTr="00F47E4E">
        <w:trPr>
          <w:cantSplit/>
        </w:trPr>
        <w:tc>
          <w:tcPr>
            <w:tcW w:w="567" w:type="dxa"/>
            <w:tcBorders>
              <w:top w:val="single" w:sz="4" w:space="0" w:color="auto"/>
              <w:bottom w:val="nil"/>
            </w:tcBorders>
          </w:tcPr>
          <w:p w:rsidR="00A633D8" w:rsidRPr="006453F1" w:rsidRDefault="00A633D8" w:rsidP="00F47E4E">
            <w:pPr>
              <w:pStyle w:val="Normaltb"/>
              <w:keepNext w:val="0"/>
              <w:jc w:val="center"/>
              <w:rPr>
                <w:rFonts w:ascii="Arial" w:hAnsi="Arial" w:cs="Arial"/>
                <w:strike/>
                <w:sz w:val="16"/>
                <w:highlight w:val="lightGray"/>
              </w:rPr>
            </w:pPr>
            <w:r w:rsidRPr="006453F1">
              <w:rPr>
                <w:rFonts w:ascii="Arial" w:hAnsi="Arial" w:cs="Arial"/>
                <w:strike/>
                <w:sz w:val="16"/>
                <w:highlight w:val="lightGray"/>
              </w:rPr>
              <w:t>58.2</w:t>
            </w:r>
          </w:p>
        </w:tc>
        <w:tc>
          <w:tcPr>
            <w:tcW w:w="567" w:type="dxa"/>
            <w:tcBorders>
              <w:top w:val="single" w:sz="4" w:space="0" w:color="auto"/>
              <w:bottom w:val="nil"/>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Race 5</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Race 5</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Pathotyp 5</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Raza 5</w:t>
            </w:r>
          </w:p>
        </w:tc>
        <w:tc>
          <w:tcPr>
            <w:tcW w:w="1986" w:type="dxa"/>
            <w:tcBorders>
              <w:top w:val="single" w:sz="4" w:space="0" w:color="auto"/>
              <w:bottom w:val="nil"/>
            </w:tcBorders>
          </w:tcPr>
          <w:p w:rsidR="00A633D8" w:rsidRPr="006453F1" w:rsidRDefault="00A633D8" w:rsidP="00F47E4E">
            <w:pPr>
              <w:pStyle w:val="Normalt"/>
              <w:rPr>
                <w:rFonts w:ascii="Arial" w:hAnsi="Arial" w:cs="Arial"/>
                <w:b/>
                <w:strike/>
                <w:sz w:val="16"/>
                <w:szCs w:val="16"/>
                <w:highlight w:val="lightGray"/>
                <w:lang w:val="es-ES_tradnl"/>
              </w:rPr>
            </w:pPr>
          </w:p>
        </w:tc>
        <w:tc>
          <w:tcPr>
            <w:tcW w:w="503" w:type="dxa"/>
            <w:tcBorders>
              <w:top w:val="single" w:sz="4" w:space="0" w:color="auto"/>
              <w:bottom w:val="nil"/>
            </w:tcBorders>
          </w:tcPr>
          <w:p w:rsidR="00A633D8" w:rsidRPr="006203B9" w:rsidRDefault="00A633D8" w:rsidP="00F47E4E">
            <w:pPr>
              <w:pStyle w:val="Normalt"/>
              <w:jc w:val="center"/>
              <w:rPr>
                <w:rFonts w:ascii="Arial" w:hAnsi="Arial" w:cs="Arial"/>
                <w:sz w:val="16"/>
              </w:rPr>
            </w:pPr>
          </w:p>
        </w:tc>
      </w:tr>
      <w:tr w:rsidR="00A633D8" w:rsidRPr="006203B9" w:rsidTr="00F47E4E">
        <w:trPr>
          <w:cantSplit/>
        </w:trPr>
        <w:tc>
          <w:tcPr>
            <w:tcW w:w="567" w:type="dxa"/>
            <w:tcBorders>
              <w:top w:val="nil"/>
              <w:bottom w:val="nil"/>
            </w:tcBorders>
          </w:tcPr>
          <w:p w:rsidR="00A633D8" w:rsidRPr="006453F1" w:rsidRDefault="00A633D8" w:rsidP="00F47E4E">
            <w:pPr>
              <w:pStyle w:val="Normaltb"/>
              <w:keepNext w:val="0"/>
              <w:jc w:val="center"/>
              <w:rPr>
                <w:rFonts w:ascii="Arial" w:hAnsi="Arial" w:cs="Arial"/>
                <w:strike/>
                <w:sz w:val="16"/>
                <w:highlight w:val="lightGray"/>
              </w:rPr>
            </w:pPr>
            <w:r w:rsidRPr="006453F1">
              <w:rPr>
                <w:rFonts w:ascii="Arial" w:hAnsi="Arial" w:cs="Arial"/>
                <w:strike/>
                <w:sz w:val="16"/>
                <w:highlight w:val="lightGray"/>
              </w:rPr>
              <w:t>QL</w:t>
            </w:r>
          </w:p>
        </w:tc>
        <w:tc>
          <w:tcPr>
            <w:tcW w:w="567" w:type="dxa"/>
            <w:tcBorders>
              <w:top w:val="nil"/>
              <w:bottom w:val="nil"/>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absent</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absente</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fehlend</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ausente</w:t>
            </w:r>
          </w:p>
        </w:tc>
        <w:tc>
          <w:tcPr>
            <w:tcW w:w="1986" w:type="dxa"/>
            <w:tcBorders>
              <w:top w:val="nil"/>
              <w:bottom w:val="nil"/>
            </w:tcBorders>
            <w:shd w:val="clear" w:color="auto" w:fill="auto"/>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Legacy, Little Marvel, Mini</w:t>
            </w:r>
          </w:p>
        </w:tc>
        <w:tc>
          <w:tcPr>
            <w:tcW w:w="503" w:type="dxa"/>
            <w:tcBorders>
              <w:top w:val="nil"/>
              <w:bottom w:val="nil"/>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1</w:t>
            </w:r>
          </w:p>
        </w:tc>
      </w:tr>
      <w:tr w:rsidR="00A633D8" w:rsidRPr="006203B9" w:rsidTr="00F47E4E">
        <w:trPr>
          <w:cantSplit/>
        </w:trPr>
        <w:tc>
          <w:tcPr>
            <w:tcW w:w="567" w:type="dxa"/>
            <w:tcBorders>
              <w:top w:val="nil"/>
              <w:bottom w:val="single" w:sz="4" w:space="0" w:color="auto"/>
            </w:tcBorders>
          </w:tcPr>
          <w:p w:rsidR="00A633D8" w:rsidRPr="006453F1" w:rsidRDefault="00A633D8" w:rsidP="00F47E4E">
            <w:pPr>
              <w:pStyle w:val="Normaltb"/>
              <w:keepNext w:val="0"/>
              <w:jc w:val="center"/>
              <w:rPr>
                <w:rFonts w:ascii="Arial" w:hAnsi="Arial" w:cs="Arial"/>
                <w:strike/>
                <w:sz w:val="16"/>
                <w:highlight w:val="lightGray"/>
              </w:rPr>
            </w:pPr>
          </w:p>
        </w:tc>
        <w:tc>
          <w:tcPr>
            <w:tcW w:w="567" w:type="dxa"/>
            <w:tcBorders>
              <w:top w:val="nil"/>
              <w:bottom w:val="single" w:sz="4" w:space="0" w:color="auto"/>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present</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présente</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vorhanden</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presente</w:t>
            </w:r>
          </w:p>
        </w:tc>
        <w:tc>
          <w:tcPr>
            <w:tcW w:w="1986" w:type="dxa"/>
            <w:tcBorders>
              <w:top w:val="nil"/>
              <w:bottom w:val="single" w:sz="4" w:space="0" w:color="auto"/>
            </w:tcBorders>
            <w:shd w:val="clear" w:color="auto" w:fill="auto"/>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Serge, Sundance II</w:t>
            </w:r>
          </w:p>
        </w:tc>
        <w:tc>
          <w:tcPr>
            <w:tcW w:w="503" w:type="dxa"/>
            <w:tcBorders>
              <w:top w:val="nil"/>
              <w:bottom w:val="single" w:sz="4" w:space="0" w:color="auto"/>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9</w:t>
            </w:r>
          </w:p>
        </w:tc>
      </w:tr>
      <w:tr w:rsidR="00A633D8" w:rsidRPr="006203B9" w:rsidTr="00F47E4E">
        <w:trPr>
          <w:cantSplit/>
        </w:trPr>
        <w:tc>
          <w:tcPr>
            <w:tcW w:w="567" w:type="dxa"/>
            <w:tcBorders>
              <w:top w:val="single" w:sz="4" w:space="0" w:color="auto"/>
              <w:bottom w:val="nil"/>
            </w:tcBorders>
          </w:tcPr>
          <w:p w:rsidR="00A633D8" w:rsidRPr="006453F1" w:rsidRDefault="00A633D8" w:rsidP="00F47E4E">
            <w:pPr>
              <w:pStyle w:val="Normaltb"/>
              <w:keepNext w:val="0"/>
              <w:jc w:val="center"/>
              <w:rPr>
                <w:rFonts w:ascii="Arial" w:hAnsi="Arial" w:cs="Arial"/>
                <w:strike/>
                <w:sz w:val="16"/>
                <w:highlight w:val="lightGray"/>
              </w:rPr>
            </w:pPr>
            <w:r w:rsidRPr="006453F1">
              <w:rPr>
                <w:rFonts w:ascii="Arial" w:hAnsi="Arial" w:cs="Arial"/>
                <w:strike/>
                <w:sz w:val="16"/>
                <w:highlight w:val="lightGray"/>
              </w:rPr>
              <w:t>58.3</w:t>
            </w:r>
          </w:p>
        </w:tc>
        <w:tc>
          <w:tcPr>
            <w:tcW w:w="567" w:type="dxa"/>
            <w:tcBorders>
              <w:top w:val="single" w:sz="4" w:space="0" w:color="auto"/>
              <w:bottom w:val="nil"/>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Race 6</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Race 6</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Pathotyp 6</w:t>
            </w:r>
          </w:p>
        </w:tc>
        <w:tc>
          <w:tcPr>
            <w:tcW w:w="1843" w:type="dxa"/>
            <w:tcBorders>
              <w:top w:val="single" w:sz="4" w:space="0" w:color="auto"/>
              <w:bottom w:val="nil"/>
            </w:tcBorders>
          </w:tcPr>
          <w:p w:rsidR="00A633D8" w:rsidRPr="006453F1" w:rsidRDefault="00A633D8" w:rsidP="00F47E4E">
            <w:pPr>
              <w:pStyle w:val="Normalt"/>
              <w:rPr>
                <w:rFonts w:ascii="Arial" w:hAnsi="Arial" w:cs="Arial"/>
                <w:b/>
                <w:strike/>
                <w:sz w:val="16"/>
                <w:highlight w:val="lightGray"/>
              </w:rPr>
            </w:pPr>
            <w:r w:rsidRPr="006453F1">
              <w:rPr>
                <w:rFonts w:ascii="Arial" w:hAnsi="Arial" w:cs="Arial"/>
                <w:b/>
                <w:strike/>
                <w:sz w:val="16"/>
                <w:highlight w:val="lightGray"/>
              </w:rPr>
              <w:t>Raza 6</w:t>
            </w:r>
          </w:p>
        </w:tc>
        <w:tc>
          <w:tcPr>
            <w:tcW w:w="1986" w:type="dxa"/>
            <w:tcBorders>
              <w:top w:val="single" w:sz="4" w:space="0" w:color="auto"/>
              <w:bottom w:val="nil"/>
            </w:tcBorders>
            <w:shd w:val="clear" w:color="auto" w:fill="auto"/>
          </w:tcPr>
          <w:p w:rsidR="00A633D8" w:rsidRPr="006453F1" w:rsidRDefault="00A633D8" w:rsidP="00F47E4E">
            <w:pPr>
              <w:pStyle w:val="Normalt"/>
              <w:rPr>
                <w:rFonts w:ascii="Arial" w:hAnsi="Arial" w:cs="Arial"/>
                <w:b/>
                <w:strike/>
                <w:sz w:val="16"/>
                <w:highlight w:val="lightGray"/>
              </w:rPr>
            </w:pPr>
          </w:p>
        </w:tc>
        <w:tc>
          <w:tcPr>
            <w:tcW w:w="503" w:type="dxa"/>
            <w:tcBorders>
              <w:top w:val="single" w:sz="4" w:space="0" w:color="auto"/>
              <w:bottom w:val="nil"/>
            </w:tcBorders>
          </w:tcPr>
          <w:p w:rsidR="00A633D8" w:rsidRPr="006203B9" w:rsidRDefault="00A633D8" w:rsidP="00F47E4E">
            <w:pPr>
              <w:pStyle w:val="Normalt"/>
              <w:jc w:val="center"/>
              <w:rPr>
                <w:rFonts w:ascii="Arial" w:hAnsi="Arial" w:cs="Arial"/>
                <w:sz w:val="16"/>
              </w:rPr>
            </w:pPr>
          </w:p>
        </w:tc>
      </w:tr>
      <w:tr w:rsidR="00A633D8" w:rsidRPr="006203B9" w:rsidTr="00F47E4E">
        <w:trPr>
          <w:cantSplit/>
        </w:trPr>
        <w:tc>
          <w:tcPr>
            <w:tcW w:w="567" w:type="dxa"/>
            <w:tcBorders>
              <w:top w:val="nil"/>
              <w:bottom w:val="nil"/>
            </w:tcBorders>
          </w:tcPr>
          <w:p w:rsidR="00A633D8" w:rsidRPr="006453F1" w:rsidRDefault="00A633D8" w:rsidP="00F47E4E">
            <w:pPr>
              <w:pStyle w:val="Normaltb"/>
              <w:keepNext w:val="0"/>
              <w:jc w:val="center"/>
              <w:rPr>
                <w:rFonts w:ascii="Arial" w:hAnsi="Arial" w:cs="Arial"/>
                <w:strike/>
                <w:sz w:val="16"/>
                <w:highlight w:val="lightGray"/>
              </w:rPr>
            </w:pPr>
            <w:r w:rsidRPr="006453F1">
              <w:rPr>
                <w:rFonts w:ascii="Arial" w:hAnsi="Arial" w:cs="Arial"/>
                <w:strike/>
                <w:sz w:val="16"/>
                <w:highlight w:val="lightGray"/>
              </w:rPr>
              <w:t>QL</w:t>
            </w:r>
          </w:p>
        </w:tc>
        <w:tc>
          <w:tcPr>
            <w:tcW w:w="567" w:type="dxa"/>
            <w:tcBorders>
              <w:top w:val="nil"/>
              <w:bottom w:val="nil"/>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absent</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absente</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fehlend</w:t>
            </w:r>
          </w:p>
        </w:tc>
        <w:tc>
          <w:tcPr>
            <w:tcW w:w="1843" w:type="dxa"/>
            <w:tcBorders>
              <w:top w:val="nil"/>
              <w:bottom w:val="nil"/>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ausente</w:t>
            </w:r>
          </w:p>
        </w:tc>
        <w:tc>
          <w:tcPr>
            <w:tcW w:w="1986" w:type="dxa"/>
            <w:tcBorders>
              <w:top w:val="nil"/>
              <w:bottom w:val="nil"/>
            </w:tcBorders>
            <w:shd w:val="clear" w:color="auto" w:fill="auto"/>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Little Marvel, Serge, Mini</w:t>
            </w:r>
          </w:p>
        </w:tc>
        <w:tc>
          <w:tcPr>
            <w:tcW w:w="503" w:type="dxa"/>
            <w:tcBorders>
              <w:top w:val="nil"/>
              <w:bottom w:val="nil"/>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1</w:t>
            </w:r>
          </w:p>
        </w:tc>
      </w:tr>
      <w:tr w:rsidR="00A633D8" w:rsidRPr="006203B9" w:rsidTr="00F47E4E">
        <w:trPr>
          <w:cantSplit/>
        </w:trPr>
        <w:tc>
          <w:tcPr>
            <w:tcW w:w="567" w:type="dxa"/>
            <w:tcBorders>
              <w:top w:val="nil"/>
              <w:bottom w:val="single" w:sz="4" w:space="0" w:color="auto"/>
            </w:tcBorders>
          </w:tcPr>
          <w:p w:rsidR="00A633D8" w:rsidRPr="006453F1" w:rsidRDefault="00A633D8" w:rsidP="00F47E4E">
            <w:pPr>
              <w:pStyle w:val="Normaltb"/>
              <w:keepNext w:val="0"/>
              <w:jc w:val="center"/>
              <w:rPr>
                <w:rFonts w:ascii="Arial" w:hAnsi="Arial" w:cs="Arial"/>
                <w:strike/>
                <w:sz w:val="16"/>
                <w:highlight w:val="lightGray"/>
              </w:rPr>
            </w:pPr>
          </w:p>
        </w:tc>
        <w:tc>
          <w:tcPr>
            <w:tcW w:w="567" w:type="dxa"/>
            <w:tcBorders>
              <w:top w:val="nil"/>
              <w:bottom w:val="single" w:sz="4" w:space="0" w:color="auto"/>
            </w:tcBorders>
          </w:tcPr>
          <w:p w:rsidR="00A633D8" w:rsidRPr="006453F1" w:rsidRDefault="00A633D8" w:rsidP="00F47E4E">
            <w:pPr>
              <w:pStyle w:val="Normaltb"/>
              <w:keepNext w:val="0"/>
              <w:jc w:val="center"/>
              <w:rPr>
                <w:rFonts w:ascii="Arial" w:hAnsi="Arial" w:cs="Arial"/>
                <w:strike/>
                <w:sz w:val="16"/>
                <w:highlight w:val="lightGray"/>
              </w:rPr>
            </w:pP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present</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présente</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vorhanden</w:t>
            </w:r>
          </w:p>
        </w:tc>
        <w:tc>
          <w:tcPr>
            <w:tcW w:w="1843" w:type="dxa"/>
            <w:tcBorders>
              <w:top w:val="nil"/>
              <w:bottom w:val="single" w:sz="4" w:space="0" w:color="auto"/>
            </w:tcBorders>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presente</w:t>
            </w:r>
          </w:p>
        </w:tc>
        <w:tc>
          <w:tcPr>
            <w:tcW w:w="1986" w:type="dxa"/>
            <w:tcBorders>
              <w:top w:val="nil"/>
              <w:bottom w:val="single" w:sz="4" w:space="0" w:color="auto"/>
            </w:tcBorders>
            <w:shd w:val="clear" w:color="auto" w:fill="auto"/>
          </w:tcPr>
          <w:p w:rsidR="00A633D8" w:rsidRPr="006453F1" w:rsidRDefault="00A633D8" w:rsidP="00F47E4E">
            <w:pPr>
              <w:pStyle w:val="Normalt"/>
              <w:rPr>
                <w:rFonts w:ascii="Arial" w:hAnsi="Arial" w:cs="Arial"/>
                <w:strike/>
                <w:sz w:val="16"/>
                <w:highlight w:val="lightGray"/>
              </w:rPr>
            </w:pPr>
            <w:r w:rsidRPr="006453F1">
              <w:rPr>
                <w:rFonts w:ascii="Arial" w:hAnsi="Arial" w:cs="Arial"/>
                <w:strike/>
                <w:sz w:val="16"/>
                <w:highlight w:val="lightGray"/>
              </w:rPr>
              <w:t>Sundance Grant</w:t>
            </w:r>
          </w:p>
        </w:tc>
        <w:tc>
          <w:tcPr>
            <w:tcW w:w="503" w:type="dxa"/>
            <w:tcBorders>
              <w:top w:val="nil"/>
              <w:bottom w:val="single" w:sz="4" w:space="0" w:color="auto"/>
            </w:tcBorders>
          </w:tcPr>
          <w:p w:rsidR="00A633D8" w:rsidRPr="006203B9" w:rsidRDefault="00A633D8" w:rsidP="00F47E4E">
            <w:pPr>
              <w:pStyle w:val="Normalt"/>
              <w:jc w:val="center"/>
              <w:rPr>
                <w:rFonts w:ascii="Arial" w:hAnsi="Arial" w:cs="Arial"/>
                <w:sz w:val="16"/>
              </w:rPr>
            </w:pPr>
            <w:r w:rsidRPr="006203B9">
              <w:rPr>
                <w:rFonts w:ascii="Arial" w:hAnsi="Arial" w:cs="Arial"/>
                <w:sz w:val="16"/>
              </w:rPr>
              <w:t>9</w:t>
            </w:r>
          </w:p>
        </w:tc>
      </w:tr>
    </w:tbl>
    <w:p w:rsidR="00A633D8" w:rsidRDefault="00A633D8" w:rsidP="00A633D8">
      <w:pPr>
        <w:jc w:val="left"/>
      </w:pPr>
    </w:p>
    <w:p w:rsidR="00A633D8" w:rsidRPr="00DD66F5" w:rsidRDefault="00DD66F5" w:rsidP="00A633D8">
      <w:pPr>
        <w:pStyle w:val="Heading2"/>
        <w:rPr>
          <w:lang w:val="de-DE"/>
        </w:rPr>
      </w:pPr>
      <w:r w:rsidRPr="00DD66F5">
        <w:rPr>
          <w:lang w:val="de-DE"/>
        </w:rPr>
        <w:t xml:space="preserve">Vorgeschlagene Änderung an der Methodik für </w:t>
      </w:r>
      <w:r>
        <w:rPr>
          <w:lang w:val="de-DE"/>
        </w:rPr>
        <w:t xml:space="preserve">die </w:t>
      </w:r>
      <w:r w:rsidRPr="00DD66F5">
        <w:rPr>
          <w:lang w:val="de-DE"/>
        </w:rPr>
        <w:t>Merkmal</w:t>
      </w:r>
      <w:r>
        <w:rPr>
          <w:lang w:val="de-DE"/>
        </w:rPr>
        <w:t>e 58 in der Erläuterung zu</w:t>
      </w:r>
      <w:r w:rsidR="00A633D8" w:rsidRPr="00DD66F5">
        <w:rPr>
          <w:lang w:val="de-DE"/>
        </w:rPr>
        <w:t xml:space="preserve"> 58 </w:t>
      </w:r>
    </w:p>
    <w:p w:rsidR="00A633D8" w:rsidRPr="00DD66F5" w:rsidRDefault="00A633D8" w:rsidP="00A633D8">
      <w:pPr>
        <w:rPr>
          <w:u w:val="single"/>
        </w:rPr>
      </w:pPr>
    </w:p>
    <w:p w:rsidR="00D10AB3" w:rsidRPr="008C58AD" w:rsidRDefault="00D10AB3" w:rsidP="00D10AB3">
      <w:pPr>
        <w:jc w:val="left"/>
        <w:rPr>
          <w:i/>
        </w:rPr>
      </w:pPr>
      <w:r w:rsidRPr="008C58AD">
        <w:rPr>
          <w:i/>
        </w:rPr>
        <w:t>Derzeitiger Wortlaut</w:t>
      </w:r>
    </w:p>
    <w:p w:rsidR="00A633D8" w:rsidRPr="003733C6" w:rsidRDefault="00A633D8" w:rsidP="00A633D8">
      <w:pPr>
        <w:rPr>
          <w:u w:val="single"/>
        </w:rPr>
      </w:pPr>
    </w:p>
    <w:p w:rsidR="00A633D8" w:rsidRPr="0018138B" w:rsidRDefault="00DD66F5" w:rsidP="00A633D8">
      <w:pPr>
        <w:rPr>
          <w:sz w:val="18"/>
          <w:szCs w:val="18"/>
          <w:u w:val="single"/>
        </w:rPr>
      </w:pPr>
      <w:r w:rsidRPr="0018138B">
        <w:rPr>
          <w:sz w:val="18"/>
          <w:szCs w:val="18"/>
          <w:u w:val="single"/>
        </w:rPr>
        <w:t>Zu</w:t>
      </w:r>
      <w:r w:rsidR="00A633D8" w:rsidRPr="0018138B">
        <w:rPr>
          <w:sz w:val="18"/>
          <w:szCs w:val="18"/>
          <w:u w:val="single"/>
        </w:rPr>
        <w:t xml:space="preserve"> 58.1, 58.2, 58.3:  </w:t>
      </w:r>
      <w:r w:rsidR="00995D37" w:rsidRPr="0018138B">
        <w:rPr>
          <w:sz w:val="18"/>
          <w:szCs w:val="18"/>
          <w:u w:val="single"/>
        </w:rPr>
        <w:t>Resistenz gegen</w:t>
      </w:r>
      <w:r w:rsidR="00A633D8" w:rsidRPr="0018138B">
        <w:rPr>
          <w:sz w:val="18"/>
          <w:szCs w:val="18"/>
          <w:u w:val="single"/>
        </w:rPr>
        <w:t xml:space="preserve"> </w:t>
      </w:r>
      <w:r w:rsidR="00A633D8" w:rsidRPr="0018138B">
        <w:rPr>
          <w:i/>
          <w:sz w:val="18"/>
          <w:szCs w:val="18"/>
          <w:u w:val="single"/>
        </w:rPr>
        <w:t>Fusarium oxysporum</w:t>
      </w:r>
      <w:r w:rsidR="00A633D8" w:rsidRPr="0018138B">
        <w:rPr>
          <w:sz w:val="18"/>
          <w:szCs w:val="18"/>
          <w:u w:val="single"/>
        </w:rPr>
        <w:t xml:space="preserve"> f. sp. </w:t>
      </w:r>
      <w:r w:rsidR="00A633D8" w:rsidRPr="0018138B">
        <w:rPr>
          <w:i/>
          <w:sz w:val="18"/>
          <w:szCs w:val="18"/>
          <w:u w:val="single"/>
        </w:rPr>
        <w:t>pisi</w:t>
      </w:r>
      <w:r w:rsidR="00A633D8" w:rsidRPr="0018138B">
        <w:rPr>
          <w:sz w:val="18"/>
          <w:szCs w:val="18"/>
          <w:u w:val="single"/>
        </w:rPr>
        <w:t xml:space="preserve"> </w:t>
      </w:r>
    </w:p>
    <w:p w:rsidR="00A633D8" w:rsidRPr="0018138B" w:rsidRDefault="00A633D8" w:rsidP="00A633D8">
      <w:pPr>
        <w:rPr>
          <w:sz w:val="18"/>
          <w:szCs w:val="18"/>
        </w:rPr>
      </w:pPr>
    </w:p>
    <w:p w:rsidR="00D10AB3" w:rsidRPr="0018138B" w:rsidRDefault="00D10AB3" w:rsidP="00D10AB3">
      <w:pPr>
        <w:rPr>
          <w:sz w:val="18"/>
          <w:szCs w:val="18"/>
          <w:u w:val="single"/>
        </w:rPr>
      </w:pPr>
      <w:r w:rsidRPr="0018138B">
        <w:rPr>
          <w:sz w:val="18"/>
          <w:szCs w:val="18"/>
          <w:u w:val="single"/>
        </w:rPr>
        <w:t>Resistente und anfällige Sorten</w:t>
      </w:r>
    </w:p>
    <w:p w:rsidR="00A633D8" w:rsidRPr="0018138B" w:rsidRDefault="00D2740F" w:rsidP="00A633D8">
      <w:pPr>
        <w:rPr>
          <w:sz w:val="18"/>
          <w:szCs w:val="18"/>
        </w:rPr>
      </w:pPr>
      <w:r w:rsidRPr="0018138B">
        <w:rPr>
          <w:sz w:val="18"/>
          <w:szCs w:val="18"/>
        </w:rPr>
        <w:t>Pathotyp</w:t>
      </w:r>
      <w:r w:rsidR="00A633D8" w:rsidRPr="0018138B">
        <w:rPr>
          <w:sz w:val="18"/>
          <w:szCs w:val="18"/>
        </w:rPr>
        <w:t xml:space="preserve"> 1: Eden, Mammoth Melting Sugar (</w:t>
      </w:r>
      <w:r w:rsidR="00D10AB3" w:rsidRPr="0018138B">
        <w:rPr>
          <w:sz w:val="18"/>
          <w:szCs w:val="18"/>
        </w:rPr>
        <w:t xml:space="preserve">anfällig = Resistenz fehlend </w:t>
      </w:r>
      <w:r w:rsidR="00A633D8" w:rsidRPr="0018138B">
        <w:rPr>
          <w:sz w:val="18"/>
          <w:szCs w:val="18"/>
        </w:rPr>
        <w:t>(1))</w:t>
      </w:r>
    </w:p>
    <w:p w:rsidR="00A633D8" w:rsidRPr="0018138B" w:rsidRDefault="00A633D8" w:rsidP="00A633D8">
      <w:pPr>
        <w:rPr>
          <w:sz w:val="18"/>
          <w:szCs w:val="18"/>
        </w:rPr>
      </w:pPr>
      <w:r w:rsidRPr="0018138B">
        <w:rPr>
          <w:sz w:val="18"/>
          <w:szCs w:val="18"/>
        </w:rPr>
        <w:tab/>
        <w:t xml:space="preserve"> Solara, Twinkle (</w:t>
      </w:r>
      <w:r w:rsidR="00D10AB3" w:rsidRPr="0018138B">
        <w:rPr>
          <w:sz w:val="18"/>
          <w:szCs w:val="18"/>
        </w:rPr>
        <w:t xml:space="preserve">resistent = Resistenz vorhanden </w:t>
      </w:r>
      <w:r w:rsidRPr="0018138B">
        <w:rPr>
          <w:sz w:val="18"/>
          <w:szCs w:val="18"/>
        </w:rPr>
        <w:t>(9))</w:t>
      </w:r>
    </w:p>
    <w:p w:rsidR="00A633D8" w:rsidRPr="0018138B" w:rsidRDefault="00A633D8" w:rsidP="00A633D8">
      <w:pPr>
        <w:rPr>
          <w:sz w:val="18"/>
          <w:szCs w:val="18"/>
        </w:rPr>
      </w:pPr>
    </w:p>
    <w:p w:rsidR="00A633D8" w:rsidRPr="0018138B" w:rsidRDefault="00D2740F" w:rsidP="00A633D8">
      <w:pPr>
        <w:rPr>
          <w:sz w:val="18"/>
          <w:szCs w:val="18"/>
        </w:rPr>
      </w:pPr>
      <w:r w:rsidRPr="0018138B">
        <w:rPr>
          <w:sz w:val="18"/>
          <w:szCs w:val="18"/>
        </w:rPr>
        <w:t>Pathotyp</w:t>
      </w:r>
      <w:r w:rsidR="00A633D8" w:rsidRPr="0018138B">
        <w:rPr>
          <w:sz w:val="18"/>
          <w:szCs w:val="18"/>
        </w:rPr>
        <w:t xml:space="preserve"> 5: Little Marvel, Legacy (</w:t>
      </w:r>
      <w:r w:rsidR="006D38BF" w:rsidRPr="0018138B">
        <w:rPr>
          <w:sz w:val="18"/>
          <w:szCs w:val="18"/>
        </w:rPr>
        <w:t xml:space="preserve">anfällig = Resistenz fehlend </w:t>
      </w:r>
      <w:r w:rsidR="00A633D8" w:rsidRPr="0018138B">
        <w:rPr>
          <w:sz w:val="18"/>
          <w:szCs w:val="18"/>
        </w:rPr>
        <w:t>(1))</w:t>
      </w:r>
    </w:p>
    <w:p w:rsidR="00A633D8" w:rsidRPr="0018138B" w:rsidRDefault="00A633D8" w:rsidP="00A633D8">
      <w:pPr>
        <w:rPr>
          <w:sz w:val="18"/>
          <w:szCs w:val="18"/>
        </w:rPr>
      </w:pPr>
      <w:r w:rsidRPr="0018138B">
        <w:rPr>
          <w:sz w:val="18"/>
          <w:szCs w:val="18"/>
        </w:rPr>
        <w:tab/>
        <w:t xml:space="preserve"> Serge, Sundance (</w:t>
      </w:r>
      <w:r w:rsidR="006D38BF" w:rsidRPr="0018138B">
        <w:rPr>
          <w:sz w:val="18"/>
          <w:szCs w:val="18"/>
        </w:rPr>
        <w:t xml:space="preserve">resistent = Resistenz vorhanden </w:t>
      </w:r>
      <w:r w:rsidRPr="0018138B">
        <w:rPr>
          <w:sz w:val="18"/>
          <w:szCs w:val="18"/>
        </w:rPr>
        <w:t>(9))</w:t>
      </w:r>
    </w:p>
    <w:p w:rsidR="00A633D8" w:rsidRPr="0018138B" w:rsidRDefault="00A633D8" w:rsidP="00A633D8">
      <w:pPr>
        <w:rPr>
          <w:sz w:val="18"/>
          <w:szCs w:val="18"/>
        </w:rPr>
      </w:pPr>
    </w:p>
    <w:p w:rsidR="00A633D8" w:rsidRPr="0018138B" w:rsidRDefault="00D2740F" w:rsidP="00A633D8">
      <w:pPr>
        <w:rPr>
          <w:sz w:val="18"/>
          <w:szCs w:val="18"/>
        </w:rPr>
      </w:pPr>
      <w:r w:rsidRPr="0018138B">
        <w:rPr>
          <w:sz w:val="18"/>
          <w:szCs w:val="18"/>
        </w:rPr>
        <w:t>Pathotyp</w:t>
      </w:r>
      <w:r w:rsidR="00A633D8" w:rsidRPr="0018138B">
        <w:rPr>
          <w:sz w:val="18"/>
          <w:szCs w:val="18"/>
        </w:rPr>
        <w:t xml:space="preserve"> 6:  Little Marvel, Serge (</w:t>
      </w:r>
      <w:r w:rsidR="006D38BF" w:rsidRPr="0018138B">
        <w:rPr>
          <w:sz w:val="18"/>
          <w:szCs w:val="18"/>
        </w:rPr>
        <w:t xml:space="preserve">anfällig = Resistenz fehlend </w:t>
      </w:r>
      <w:r w:rsidR="00A633D8" w:rsidRPr="0018138B">
        <w:rPr>
          <w:sz w:val="18"/>
          <w:szCs w:val="18"/>
        </w:rPr>
        <w:t>(1))</w:t>
      </w:r>
    </w:p>
    <w:p w:rsidR="00A633D8" w:rsidRPr="0018138B" w:rsidRDefault="00A633D8" w:rsidP="00A633D8">
      <w:pPr>
        <w:rPr>
          <w:sz w:val="18"/>
          <w:szCs w:val="18"/>
        </w:rPr>
      </w:pPr>
      <w:r w:rsidRPr="0018138B">
        <w:rPr>
          <w:sz w:val="18"/>
          <w:szCs w:val="18"/>
        </w:rPr>
        <w:tab/>
        <w:t xml:space="preserve"> Sundance (</w:t>
      </w:r>
      <w:r w:rsidR="006D38BF" w:rsidRPr="0018138B">
        <w:rPr>
          <w:sz w:val="18"/>
          <w:szCs w:val="18"/>
        </w:rPr>
        <w:t xml:space="preserve">resistent = Resistenz vorhanden </w:t>
      </w:r>
      <w:r w:rsidRPr="0018138B">
        <w:rPr>
          <w:sz w:val="18"/>
          <w:szCs w:val="18"/>
        </w:rPr>
        <w:t>(9))</w:t>
      </w:r>
    </w:p>
    <w:p w:rsidR="00A633D8" w:rsidRPr="0018138B" w:rsidRDefault="00A633D8" w:rsidP="00A633D8">
      <w:pPr>
        <w:rPr>
          <w:sz w:val="18"/>
          <w:szCs w:val="18"/>
        </w:rPr>
      </w:pPr>
    </w:p>
    <w:p w:rsidR="006D38BF" w:rsidRPr="0018138B" w:rsidRDefault="00D2740F" w:rsidP="006D38BF">
      <w:pPr>
        <w:rPr>
          <w:sz w:val="18"/>
          <w:szCs w:val="18"/>
          <w:u w:val="single"/>
        </w:rPr>
      </w:pPr>
      <w:r w:rsidRPr="0018138B">
        <w:rPr>
          <w:sz w:val="18"/>
          <w:szCs w:val="18"/>
          <w:u w:val="single"/>
        </w:rPr>
        <w:t>Isolate</w:t>
      </w:r>
      <w:r w:rsidR="006D38BF" w:rsidRPr="0018138B">
        <w:rPr>
          <w:sz w:val="18"/>
          <w:szCs w:val="18"/>
          <w:u w:val="single"/>
        </w:rPr>
        <w:t xml:space="preserve"> und Isolatidentität</w:t>
      </w:r>
    </w:p>
    <w:p w:rsidR="00A633D8" w:rsidRPr="0018138B" w:rsidRDefault="00D2740F" w:rsidP="00A633D8">
      <w:pPr>
        <w:rPr>
          <w:sz w:val="18"/>
          <w:szCs w:val="18"/>
        </w:rPr>
      </w:pPr>
      <w:r w:rsidRPr="0018138B">
        <w:rPr>
          <w:sz w:val="18"/>
          <w:szCs w:val="18"/>
        </w:rPr>
        <w:t>Die Identität des Isolats wird festgestellt, indem die Prüfung in bezug auf die (1979 von Haglund und Kraft beschriebene) Wirtssorten-Gruppe durchgeführt wird. Alle Isolate werden anhand einzelner Sporenkulturen erhalten.</w:t>
      </w:r>
    </w:p>
    <w:p w:rsidR="00D2740F" w:rsidRPr="0018138B" w:rsidRDefault="00D2740F" w:rsidP="00A633D8">
      <w:pPr>
        <w:rPr>
          <w:sz w:val="18"/>
          <w:szCs w:val="18"/>
        </w:rPr>
      </w:pPr>
    </w:p>
    <w:p w:rsidR="00A633D8" w:rsidRPr="0018138B" w:rsidRDefault="00D2740F" w:rsidP="00A633D8">
      <w:pPr>
        <w:rPr>
          <w:sz w:val="18"/>
          <w:szCs w:val="18"/>
        </w:rPr>
      </w:pPr>
      <w:r w:rsidRPr="0018138B">
        <w:rPr>
          <w:sz w:val="18"/>
          <w:szCs w:val="18"/>
        </w:rPr>
        <w:t>Für die Prüfung verwendete Isolate</w:t>
      </w:r>
      <w:r w:rsidR="00A633D8" w:rsidRPr="0018138B">
        <w:rPr>
          <w:sz w:val="18"/>
          <w:szCs w:val="18"/>
        </w:rPr>
        <w:t xml:space="preserve">: </w:t>
      </w:r>
      <w:r w:rsidR="00A633D8" w:rsidRPr="0018138B">
        <w:rPr>
          <w:sz w:val="18"/>
          <w:szCs w:val="18"/>
        </w:rPr>
        <w:tab/>
        <w:t xml:space="preserve"> </w:t>
      </w:r>
      <w:r w:rsidR="00C47F68" w:rsidRPr="0018138B">
        <w:rPr>
          <w:sz w:val="18"/>
          <w:szCs w:val="18"/>
        </w:rPr>
        <w:tab/>
      </w:r>
      <w:r w:rsidRPr="0018138B">
        <w:rPr>
          <w:sz w:val="18"/>
          <w:szCs w:val="18"/>
        </w:rPr>
        <w:t>Pathotyp</w:t>
      </w:r>
      <w:r w:rsidR="00A633D8" w:rsidRPr="0018138B">
        <w:rPr>
          <w:sz w:val="18"/>
          <w:szCs w:val="18"/>
        </w:rPr>
        <w:t xml:space="preserve"> 1: IPO culture collection </w:t>
      </w:r>
      <w:r w:rsidRPr="0018138B">
        <w:rPr>
          <w:sz w:val="18"/>
          <w:szCs w:val="18"/>
        </w:rPr>
        <w:t>Nr</w:t>
      </w:r>
      <w:r w:rsidR="00A633D8" w:rsidRPr="0018138B">
        <w:rPr>
          <w:sz w:val="18"/>
          <w:szCs w:val="18"/>
        </w:rPr>
        <w:t>. 20379</w:t>
      </w:r>
    </w:p>
    <w:p w:rsidR="00A633D8" w:rsidRPr="0018138B" w:rsidRDefault="00A633D8" w:rsidP="00D2740F">
      <w:pPr>
        <w:ind w:left="1701"/>
        <w:rPr>
          <w:sz w:val="18"/>
          <w:szCs w:val="18"/>
        </w:rPr>
      </w:pPr>
      <w:r w:rsidRPr="0018138B">
        <w:rPr>
          <w:sz w:val="18"/>
          <w:szCs w:val="18"/>
        </w:rPr>
        <w:tab/>
      </w:r>
      <w:r w:rsidRPr="0018138B">
        <w:rPr>
          <w:sz w:val="18"/>
          <w:szCs w:val="18"/>
        </w:rPr>
        <w:tab/>
      </w:r>
      <w:r w:rsidRPr="0018138B">
        <w:rPr>
          <w:sz w:val="18"/>
          <w:szCs w:val="18"/>
        </w:rPr>
        <w:tab/>
      </w:r>
      <w:r w:rsidRPr="0018138B">
        <w:rPr>
          <w:sz w:val="18"/>
          <w:szCs w:val="18"/>
        </w:rPr>
        <w:tab/>
        <w:t xml:space="preserve"> </w:t>
      </w:r>
      <w:r w:rsidR="00D2740F" w:rsidRPr="0018138B">
        <w:rPr>
          <w:sz w:val="18"/>
          <w:szCs w:val="18"/>
        </w:rPr>
        <w:t>Pathotyp</w:t>
      </w:r>
      <w:r w:rsidRPr="0018138B">
        <w:rPr>
          <w:sz w:val="18"/>
          <w:szCs w:val="18"/>
        </w:rPr>
        <w:t xml:space="preserve"> 5: </w:t>
      </w:r>
      <w:r w:rsidRPr="0018138B">
        <w:rPr>
          <w:sz w:val="18"/>
          <w:szCs w:val="18"/>
          <w:lang w:eastAsia="en-GB"/>
        </w:rPr>
        <w:t xml:space="preserve">IPO culture collection </w:t>
      </w:r>
      <w:r w:rsidR="00D2740F" w:rsidRPr="0018138B">
        <w:rPr>
          <w:sz w:val="18"/>
          <w:szCs w:val="18"/>
        </w:rPr>
        <w:t xml:space="preserve">Nr. </w:t>
      </w:r>
      <w:r w:rsidRPr="0018138B">
        <w:rPr>
          <w:sz w:val="18"/>
          <w:szCs w:val="18"/>
          <w:lang w:eastAsia="en-GB"/>
        </w:rPr>
        <w:t>10279</w:t>
      </w:r>
    </w:p>
    <w:p w:rsidR="00A633D8" w:rsidRPr="0018138B" w:rsidRDefault="00A633D8" w:rsidP="00D2740F">
      <w:pPr>
        <w:ind w:left="1701"/>
        <w:rPr>
          <w:sz w:val="18"/>
          <w:szCs w:val="18"/>
        </w:rPr>
      </w:pPr>
      <w:r w:rsidRPr="0018138B">
        <w:rPr>
          <w:sz w:val="18"/>
          <w:szCs w:val="18"/>
        </w:rPr>
        <w:tab/>
      </w:r>
      <w:r w:rsidRPr="0018138B">
        <w:rPr>
          <w:sz w:val="18"/>
          <w:szCs w:val="18"/>
        </w:rPr>
        <w:tab/>
      </w:r>
      <w:r w:rsidRPr="0018138B">
        <w:rPr>
          <w:sz w:val="18"/>
          <w:szCs w:val="18"/>
        </w:rPr>
        <w:tab/>
      </w:r>
      <w:r w:rsidRPr="0018138B">
        <w:rPr>
          <w:sz w:val="18"/>
          <w:szCs w:val="18"/>
        </w:rPr>
        <w:tab/>
        <w:t xml:space="preserve"> </w:t>
      </w:r>
      <w:r w:rsidR="00D2740F" w:rsidRPr="0018138B">
        <w:rPr>
          <w:sz w:val="18"/>
          <w:szCs w:val="18"/>
        </w:rPr>
        <w:t>Pathotyp</w:t>
      </w:r>
      <w:r w:rsidRPr="0018138B">
        <w:rPr>
          <w:sz w:val="18"/>
          <w:szCs w:val="18"/>
        </w:rPr>
        <w:t xml:space="preserve"> 6:</w:t>
      </w:r>
      <w:r w:rsidR="00D2740F" w:rsidRPr="0018138B">
        <w:rPr>
          <w:sz w:val="18"/>
          <w:szCs w:val="18"/>
          <w:lang w:eastAsia="en-GB"/>
        </w:rPr>
        <w:t xml:space="preserve"> WSU culture T</w:t>
      </w:r>
      <w:r w:rsidRPr="0018138B">
        <w:rPr>
          <w:sz w:val="18"/>
          <w:szCs w:val="18"/>
          <w:lang w:eastAsia="en-GB"/>
        </w:rPr>
        <w:t>ype 6</w:t>
      </w:r>
    </w:p>
    <w:p w:rsidR="00A633D8" w:rsidRPr="0018138B" w:rsidRDefault="00A633D8" w:rsidP="00A633D8">
      <w:pPr>
        <w:rPr>
          <w:sz w:val="18"/>
          <w:szCs w:val="18"/>
        </w:rPr>
      </w:pPr>
    </w:p>
    <w:p w:rsidR="00D2740F" w:rsidRPr="0018138B" w:rsidRDefault="00D2740F" w:rsidP="00A633D8">
      <w:pPr>
        <w:rPr>
          <w:sz w:val="18"/>
          <w:szCs w:val="18"/>
          <w:u w:val="single"/>
        </w:rPr>
      </w:pPr>
      <w:r w:rsidRPr="0018138B">
        <w:rPr>
          <w:sz w:val="18"/>
          <w:szCs w:val="18"/>
          <w:u w:val="single"/>
        </w:rPr>
        <w:t>Erhaltung der Isolate</w:t>
      </w:r>
    </w:p>
    <w:p w:rsidR="00A633D8" w:rsidRPr="0018138B" w:rsidRDefault="00D2740F" w:rsidP="00A633D8">
      <w:pPr>
        <w:rPr>
          <w:sz w:val="18"/>
          <w:szCs w:val="18"/>
        </w:rPr>
      </w:pPr>
      <w:r w:rsidRPr="0018138B">
        <w:rPr>
          <w:sz w:val="18"/>
          <w:szCs w:val="18"/>
        </w:rPr>
        <w:t>Erhaltung im Kühlschrank bei 4°C als (Lehm-)Bodenkultur. Alle 2-3 Jahre Passage durch eine anfällige Sorte. Die Identität des Isolats wird durch Prüfung in bezug auf eine Wirtssortengruppe festgestellt.</w:t>
      </w:r>
    </w:p>
    <w:p w:rsidR="00D2740F" w:rsidRPr="0018138B" w:rsidRDefault="00D2740F" w:rsidP="00A633D8">
      <w:pPr>
        <w:rPr>
          <w:sz w:val="18"/>
          <w:szCs w:val="18"/>
          <w:u w:val="single"/>
        </w:rPr>
      </w:pPr>
    </w:p>
    <w:p w:rsidR="00D2740F" w:rsidRPr="0018138B" w:rsidRDefault="00D2740F" w:rsidP="00A633D8">
      <w:pPr>
        <w:rPr>
          <w:sz w:val="18"/>
          <w:szCs w:val="18"/>
          <w:lang w:val="en-US"/>
        </w:rPr>
      </w:pPr>
      <w:r w:rsidRPr="0018138B">
        <w:rPr>
          <w:sz w:val="18"/>
          <w:szCs w:val="18"/>
          <w:lang w:val="en-US"/>
        </w:rPr>
        <w:t>Quelle für Isolate</w:t>
      </w:r>
    </w:p>
    <w:p w:rsidR="00A633D8" w:rsidRPr="0018138B" w:rsidRDefault="00D2740F" w:rsidP="00A633D8">
      <w:pPr>
        <w:rPr>
          <w:sz w:val="18"/>
          <w:szCs w:val="18"/>
          <w:lang w:val="en-US"/>
        </w:rPr>
      </w:pPr>
      <w:r w:rsidRPr="0018138B">
        <w:rPr>
          <w:sz w:val="18"/>
          <w:szCs w:val="18"/>
          <w:lang w:val="en-US"/>
        </w:rPr>
        <w:t>Pathotypen 1 u</w:t>
      </w:r>
      <w:r w:rsidR="00A633D8" w:rsidRPr="0018138B">
        <w:rPr>
          <w:sz w:val="18"/>
          <w:szCs w:val="18"/>
          <w:lang w:val="en-US"/>
        </w:rPr>
        <w:t>nd 5</w:t>
      </w:r>
      <w:r w:rsidR="00A633D8" w:rsidRPr="0018138B">
        <w:rPr>
          <w:sz w:val="18"/>
          <w:szCs w:val="18"/>
          <w:lang w:val="en-US"/>
        </w:rPr>
        <w:tab/>
      </w:r>
      <w:r w:rsidR="00A633D8" w:rsidRPr="0018138B">
        <w:rPr>
          <w:sz w:val="18"/>
          <w:szCs w:val="18"/>
          <w:lang w:val="en-US"/>
        </w:rPr>
        <w:tab/>
      </w:r>
      <w:r w:rsidR="00A633D8" w:rsidRPr="0018138B">
        <w:rPr>
          <w:sz w:val="18"/>
          <w:szCs w:val="18"/>
          <w:lang w:val="en-US"/>
        </w:rPr>
        <w:tab/>
        <w:t>Research Institute for Plant Protection (IPO)</w:t>
      </w:r>
    </w:p>
    <w:p w:rsidR="00A633D8" w:rsidRPr="0018138B" w:rsidRDefault="00A633D8" w:rsidP="00A633D8">
      <w:pPr>
        <w:ind w:left="2211" w:firstLine="737"/>
        <w:rPr>
          <w:sz w:val="18"/>
          <w:szCs w:val="18"/>
          <w:lang w:val="en-US"/>
        </w:rPr>
      </w:pPr>
      <w:r w:rsidRPr="0018138B">
        <w:rPr>
          <w:sz w:val="18"/>
          <w:szCs w:val="18"/>
          <w:lang w:val="en-US"/>
        </w:rPr>
        <w:t>PO Box 9060</w:t>
      </w:r>
    </w:p>
    <w:p w:rsidR="00A633D8" w:rsidRPr="0018138B" w:rsidRDefault="00A633D8" w:rsidP="00A633D8">
      <w:pPr>
        <w:ind w:left="2211" w:firstLine="737"/>
        <w:rPr>
          <w:sz w:val="18"/>
          <w:szCs w:val="18"/>
          <w:lang w:val="en-US"/>
        </w:rPr>
      </w:pPr>
      <w:r w:rsidRPr="0018138B">
        <w:rPr>
          <w:sz w:val="18"/>
          <w:szCs w:val="18"/>
          <w:lang w:val="en-US"/>
        </w:rPr>
        <w:t>NL-6700 GW Wageningen</w:t>
      </w:r>
    </w:p>
    <w:p w:rsidR="00A633D8" w:rsidRPr="0018138B" w:rsidRDefault="00D2740F" w:rsidP="00A633D8">
      <w:pPr>
        <w:ind w:left="2211" w:firstLine="737"/>
        <w:rPr>
          <w:sz w:val="18"/>
          <w:szCs w:val="18"/>
          <w:lang w:val="en-US"/>
        </w:rPr>
      </w:pPr>
      <w:r w:rsidRPr="0018138B">
        <w:rPr>
          <w:sz w:val="18"/>
          <w:szCs w:val="18"/>
          <w:lang w:val="en-US"/>
        </w:rPr>
        <w:t>Niederlande</w:t>
      </w:r>
    </w:p>
    <w:p w:rsidR="00A633D8" w:rsidRPr="0018138B" w:rsidRDefault="00A633D8" w:rsidP="00A633D8">
      <w:pPr>
        <w:rPr>
          <w:sz w:val="18"/>
          <w:szCs w:val="18"/>
          <w:lang w:val="en-US"/>
        </w:rPr>
      </w:pPr>
    </w:p>
    <w:p w:rsidR="00A633D8" w:rsidRPr="0018138B" w:rsidRDefault="00D2740F" w:rsidP="00A633D8">
      <w:pPr>
        <w:autoSpaceDE w:val="0"/>
        <w:autoSpaceDN w:val="0"/>
        <w:adjustRightInd w:val="0"/>
        <w:jc w:val="left"/>
        <w:rPr>
          <w:sz w:val="18"/>
          <w:szCs w:val="18"/>
          <w:lang w:val="en-GB" w:eastAsia="en-GB"/>
        </w:rPr>
      </w:pPr>
      <w:r w:rsidRPr="0018138B">
        <w:rPr>
          <w:sz w:val="18"/>
          <w:szCs w:val="18"/>
          <w:lang w:val="en-US"/>
        </w:rPr>
        <w:t>Pathotyp</w:t>
      </w:r>
      <w:r w:rsidR="00A633D8" w:rsidRPr="0018138B">
        <w:rPr>
          <w:sz w:val="18"/>
          <w:szCs w:val="18"/>
          <w:lang w:val="en-US"/>
        </w:rPr>
        <w:t xml:space="preserve"> 6</w:t>
      </w:r>
      <w:r w:rsidR="00A633D8" w:rsidRPr="0018138B">
        <w:rPr>
          <w:sz w:val="18"/>
          <w:szCs w:val="18"/>
          <w:lang w:val="en-US"/>
        </w:rPr>
        <w:tab/>
      </w:r>
      <w:r w:rsidR="00A633D8" w:rsidRPr="0018138B">
        <w:rPr>
          <w:sz w:val="18"/>
          <w:szCs w:val="18"/>
          <w:lang w:val="en-US"/>
        </w:rPr>
        <w:tab/>
      </w:r>
      <w:r w:rsidR="00A633D8" w:rsidRPr="0018138B">
        <w:rPr>
          <w:sz w:val="18"/>
          <w:szCs w:val="18"/>
          <w:lang w:val="en-US"/>
        </w:rPr>
        <w:tab/>
      </w:r>
      <w:r w:rsidR="00A633D8" w:rsidRPr="0018138B">
        <w:rPr>
          <w:sz w:val="18"/>
          <w:szCs w:val="18"/>
          <w:lang w:val="en-US"/>
        </w:rPr>
        <w:tab/>
      </w:r>
      <w:r w:rsidR="00A633D8" w:rsidRPr="0018138B">
        <w:rPr>
          <w:sz w:val="18"/>
          <w:szCs w:val="18"/>
          <w:lang w:val="en-GB" w:eastAsia="en-GB"/>
        </w:rPr>
        <w:t>Washington State University (WSU),</w:t>
      </w:r>
    </w:p>
    <w:p w:rsidR="00A633D8" w:rsidRPr="0018138B" w:rsidRDefault="00A633D8" w:rsidP="00A633D8">
      <w:pPr>
        <w:autoSpaceDE w:val="0"/>
        <w:autoSpaceDN w:val="0"/>
        <w:adjustRightInd w:val="0"/>
        <w:ind w:left="2211" w:firstLine="737"/>
        <w:jc w:val="left"/>
        <w:rPr>
          <w:sz w:val="18"/>
          <w:szCs w:val="18"/>
          <w:lang w:val="en-GB" w:eastAsia="en-GB"/>
        </w:rPr>
      </w:pPr>
      <w:r w:rsidRPr="0018138B">
        <w:rPr>
          <w:sz w:val="18"/>
          <w:szCs w:val="18"/>
          <w:lang w:val="en-GB" w:eastAsia="en-GB"/>
        </w:rPr>
        <w:t>Research and Extension Unit,</w:t>
      </w:r>
    </w:p>
    <w:p w:rsidR="00A633D8" w:rsidRPr="0018138B" w:rsidRDefault="00A633D8" w:rsidP="00A633D8">
      <w:pPr>
        <w:autoSpaceDE w:val="0"/>
        <w:autoSpaceDN w:val="0"/>
        <w:adjustRightInd w:val="0"/>
        <w:ind w:left="2211" w:firstLine="737"/>
        <w:jc w:val="left"/>
        <w:rPr>
          <w:sz w:val="18"/>
          <w:szCs w:val="18"/>
          <w:lang w:eastAsia="en-GB"/>
        </w:rPr>
      </w:pPr>
      <w:r w:rsidRPr="0018138B">
        <w:rPr>
          <w:sz w:val="18"/>
          <w:szCs w:val="18"/>
          <w:lang w:eastAsia="en-GB"/>
        </w:rPr>
        <w:t>Mount Vernon, Washington 98273,</w:t>
      </w:r>
    </w:p>
    <w:p w:rsidR="00A633D8" w:rsidRPr="0018138B" w:rsidRDefault="00D2740F" w:rsidP="00A633D8">
      <w:pPr>
        <w:ind w:left="2211" w:firstLine="737"/>
        <w:rPr>
          <w:sz w:val="18"/>
          <w:szCs w:val="18"/>
          <w:lang w:eastAsia="en-GB"/>
        </w:rPr>
      </w:pPr>
      <w:r w:rsidRPr="0018138B">
        <w:rPr>
          <w:sz w:val="18"/>
          <w:szCs w:val="18"/>
          <w:lang w:eastAsia="en-GB"/>
        </w:rPr>
        <w:t>Vereinigte Staaten von Amerika</w:t>
      </w:r>
    </w:p>
    <w:p w:rsidR="00A633D8" w:rsidRPr="0018138B" w:rsidRDefault="00A633D8" w:rsidP="00A633D8">
      <w:pPr>
        <w:rPr>
          <w:sz w:val="18"/>
          <w:szCs w:val="18"/>
        </w:rPr>
      </w:pPr>
    </w:p>
    <w:p w:rsidR="00BE4CBF" w:rsidRPr="0018138B" w:rsidRDefault="00BE4CBF" w:rsidP="00A633D8">
      <w:pPr>
        <w:rPr>
          <w:sz w:val="18"/>
          <w:szCs w:val="18"/>
          <w:u w:val="single"/>
        </w:rPr>
      </w:pPr>
      <w:r w:rsidRPr="0018138B">
        <w:rPr>
          <w:sz w:val="18"/>
          <w:szCs w:val="18"/>
          <w:u w:val="single"/>
        </w:rPr>
        <w:t>Präparation des Inokulums und Krankheitsbewertung</w:t>
      </w:r>
    </w:p>
    <w:p w:rsidR="00BE4CBF" w:rsidRPr="0018138B" w:rsidRDefault="00BE4CBF" w:rsidP="00A633D8">
      <w:pPr>
        <w:rPr>
          <w:sz w:val="18"/>
          <w:szCs w:val="18"/>
        </w:rPr>
      </w:pPr>
      <w:r w:rsidRPr="0018138B">
        <w:rPr>
          <w:sz w:val="18"/>
          <w:szCs w:val="18"/>
        </w:rPr>
        <w:t>Die Anzucht der Pilzkulturen erfolgt während 7 Tagen in flüssigem Czapek-Dox-Medium bei 2°C unter Tageslicht-Bedingungen. Die Flüssigkeit wird durch sterile Luft ständig belüftet. Die Kulturen werden durch ein Gazetuch gestrichen und anschließend 10 Minuten mit 3 500 Umdrehungen pro Minute zentrifugiert. Die Lösung wird mit destilliertem Wasser auf eine Konzentration von 10</w:t>
      </w:r>
      <w:r w:rsidRPr="0018138B">
        <w:rPr>
          <w:sz w:val="18"/>
          <w:szCs w:val="18"/>
          <w:vertAlign w:val="superscript"/>
        </w:rPr>
        <w:t>6</w:t>
      </w:r>
      <w:r w:rsidRPr="0018138B">
        <w:rPr>
          <w:sz w:val="18"/>
          <w:szCs w:val="18"/>
        </w:rPr>
        <w:t xml:space="preserve"> Sporen/ml verdünnt.</w:t>
      </w:r>
    </w:p>
    <w:p w:rsidR="00A633D8" w:rsidRPr="0018138B" w:rsidRDefault="00A633D8" w:rsidP="00A633D8">
      <w:pPr>
        <w:rPr>
          <w:sz w:val="18"/>
          <w:szCs w:val="18"/>
        </w:rPr>
      </w:pPr>
    </w:p>
    <w:p w:rsidR="00A633D8" w:rsidRPr="0018138B" w:rsidRDefault="00BE4CBF" w:rsidP="00BE4CBF">
      <w:pPr>
        <w:rPr>
          <w:sz w:val="18"/>
          <w:szCs w:val="18"/>
        </w:rPr>
      </w:pPr>
      <w:r w:rsidRPr="0018138B">
        <w:rPr>
          <w:sz w:val="18"/>
          <w:szCs w:val="18"/>
        </w:rPr>
        <w:t>Die Test- und Kontrollpflanzen für die Inokulation und Krankheitsbewertung werden in 8 Liter einer an pH 5,0 angepaßten 1:1 Torf- und Sandmischung angezogen. Verwendet wird 1 Liter Sporensuspension. Für die Bewertung werden zwei Wiederholungen von 10 Pflanzen verwendet; eine dritte Wiederholung wird für den Fall vorgesehen, daß irgendwelche Probleme auftreten.</w:t>
      </w:r>
    </w:p>
    <w:p w:rsidR="00BE4CBF" w:rsidRPr="0018138B" w:rsidRDefault="00BE4CBF" w:rsidP="00BE4CBF">
      <w:pPr>
        <w:rPr>
          <w:sz w:val="18"/>
          <w:szCs w:val="18"/>
        </w:rPr>
      </w:pPr>
    </w:p>
    <w:p w:rsidR="00A633D8" w:rsidRPr="0018138B" w:rsidRDefault="00BE4CBF" w:rsidP="00A633D8">
      <w:pPr>
        <w:rPr>
          <w:sz w:val="18"/>
          <w:szCs w:val="18"/>
        </w:rPr>
      </w:pPr>
      <w:r w:rsidRPr="0018138B">
        <w:rPr>
          <w:sz w:val="18"/>
          <w:szCs w:val="18"/>
        </w:rPr>
        <w:t>Nach 3 Wochen oder im 4-5-Knoten-Stadium kann das basale Drittel der Keimlingswurzel abgeschnitten und während 3-5 Sekunden in das Inokulum getaucht werden, bevor sie umgepflanzt wird. Vier Wochen nach der Inokulation werden die überlebenden Keimlinge als resistent registriert.</w:t>
      </w:r>
    </w:p>
    <w:p w:rsidR="00BE4CBF" w:rsidRPr="0018138B" w:rsidRDefault="00BE4CBF" w:rsidP="00A633D8">
      <w:pPr>
        <w:rPr>
          <w:sz w:val="18"/>
          <w:szCs w:val="18"/>
        </w:rPr>
      </w:pPr>
    </w:p>
    <w:p w:rsidR="00A633D8" w:rsidRPr="0018138B" w:rsidRDefault="00BE4CBF" w:rsidP="00A633D8">
      <w:pPr>
        <w:keepNext/>
        <w:keepLines/>
        <w:ind w:firstLine="709"/>
        <w:rPr>
          <w:sz w:val="18"/>
          <w:szCs w:val="18"/>
        </w:rPr>
      </w:pPr>
      <w:r w:rsidRPr="0018138B">
        <w:rPr>
          <w:sz w:val="18"/>
          <w:szCs w:val="18"/>
        </w:rPr>
        <w:t>Zusammensetzung des flüssigen Mediums Czapek-Dox</w:t>
      </w:r>
    </w:p>
    <w:p w:rsidR="00A633D8" w:rsidRPr="0018138B" w:rsidRDefault="00A633D8" w:rsidP="00A633D8">
      <w:pPr>
        <w:keepNext/>
        <w:keepLines/>
        <w:ind w:firstLine="709"/>
        <w:rPr>
          <w:sz w:val="18"/>
          <w:szCs w:val="18"/>
        </w:rPr>
      </w:pPr>
    </w:p>
    <w:p w:rsidR="00A633D8" w:rsidRPr="0018138B" w:rsidRDefault="000A59B9" w:rsidP="00A633D8">
      <w:pPr>
        <w:keepNext/>
        <w:keepLines/>
        <w:ind w:firstLine="720"/>
        <w:rPr>
          <w:sz w:val="18"/>
          <w:szCs w:val="18"/>
        </w:rPr>
      </w:pPr>
      <w:r w:rsidRPr="0018138B">
        <w:rPr>
          <w:sz w:val="18"/>
          <w:szCs w:val="18"/>
        </w:rPr>
        <w:t>2,</w:t>
      </w:r>
      <w:r w:rsidR="00A633D8" w:rsidRPr="0018138B">
        <w:rPr>
          <w:sz w:val="18"/>
          <w:szCs w:val="18"/>
        </w:rPr>
        <w:t>0 g</w:t>
      </w:r>
      <w:r w:rsidR="00A633D8" w:rsidRPr="0018138B">
        <w:rPr>
          <w:sz w:val="18"/>
          <w:szCs w:val="18"/>
        </w:rPr>
        <w:tab/>
      </w:r>
      <w:r w:rsidR="00BE4CBF" w:rsidRPr="0018138B">
        <w:rPr>
          <w:sz w:val="18"/>
          <w:szCs w:val="18"/>
        </w:rPr>
        <w:t>Natriumnitrat</w:t>
      </w:r>
    </w:p>
    <w:p w:rsidR="00A633D8" w:rsidRPr="0018138B" w:rsidRDefault="000A59B9" w:rsidP="00A633D8">
      <w:pPr>
        <w:keepNext/>
        <w:keepLines/>
        <w:ind w:firstLine="720"/>
        <w:rPr>
          <w:sz w:val="18"/>
          <w:szCs w:val="18"/>
        </w:rPr>
      </w:pPr>
      <w:r w:rsidRPr="0018138B">
        <w:rPr>
          <w:sz w:val="18"/>
          <w:szCs w:val="18"/>
        </w:rPr>
        <w:t>0,</w:t>
      </w:r>
      <w:r w:rsidR="00A633D8" w:rsidRPr="0018138B">
        <w:rPr>
          <w:sz w:val="18"/>
          <w:szCs w:val="18"/>
        </w:rPr>
        <w:t xml:space="preserve">5 g </w:t>
      </w:r>
      <w:r w:rsidR="00A633D8" w:rsidRPr="0018138B">
        <w:rPr>
          <w:sz w:val="18"/>
          <w:szCs w:val="18"/>
        </w:rPr>
        <w:tab/>
      </w:r>
      <w:r w:rsidR="00BE4CBF" w:rsidRPr="0018138B">
        <w:rPr>
          <w:sz w:val="18"/>
          <w:szCs w:val="18"/>
        </w:rPr>
        <w:t>Kaliumchlorit (Chlorkalium)</w:t>
      </w:r>
    </w:p>
    <w:p w:rsidR="00A633D8" w:rsidRPr="0018138B" w:rsidRDefault="000A59B9" w:rsidP="00A633D8">
      <w:pPr>
        <w:ind w:firstLine="720"/>
        <w:rPr>
          <w:sz w:val="18"/>
          <w:szCs w:val="18"/>
        </w:rPr>
      </w:pPr>
      <w:r w:rsidRPr="0018138B">
        <w:rPr>
          <w:sz w:val="18"/>
          <w:szCs w:val="18"/>
        </w:rPr>
        <w:t>1,</w:t>
      </w:r>
      <w:r w:rsidR="00A633D8" w:rsidRPr="0018138B">
        <w:rPr>
          <w:sz w:val="18"/>
          <w:szCs w:val="18"/>
        </w:rPr>
        <w:t xml:space="preserve">0 g </w:t>
      </w:r>
      <w:r w:rsidR="00A633D8" w:rsidRPr="0018138B">
        <w:rPr>
          <w:sz w:val="18"/>
          <w:szCs w:val="18"/>
        </w:rPr>
        <w:tab/>
      </w:r>
      <w:r w:rsidR="00BE4CBF" w:rsidRPr="0018138B">
        <w:rPr>
          <w:sz w:val="18"/>
          <w:szCs w:val="18"/>
        </w:rPr>
        <w:t>Di-Kaliumphosphat</w:t>
      </w:r>
    </w:p>
    <w:p w:rsidR="00A633D8" w:rsidRPr="0018138B" w:rsidRDefault="000A59B9" w:rsidP="00A633D8">
      <w:pPr>
        <w:ind w:firstLine="720"/>
        <w:rPr>
          <w:sz w:val="18"/>
          <w:szCs w:val="18"/>
        </w:rPr>
      </w:pPr>
      <w:r w:rsidRPr="0018138B">
        <w:rPr>
          <w:sz w:val="18"/>
          <w:szCs w:val="18"/>
        </w:rPr>
        <w:t>0,</w:t>
      </w:r>
      <w:r w:rsidR="00A633D8" w:rsidRPr="0018138B">
        <w:rPr>
          <w:sz w:val="18"/>
          <w:szCs w:val="18"/>
        </w:rPr>
        <w:t xml:space="preserve">5 g </w:t>
      </w:r>
      <w:r w:rsidR="00A633D8" w:rsidRPr="0018138B">
        <w:rPr>
          <w:sz w:val="18"/>
          <w:szCs w:val="18"/>
        </w:rPr>
        <w:tab/>
      </w:r>
      <w:r w:rsidR="00BE4CBF" w:rsidRPr="0018138B">
        <w:rPr>
          <w:sz w:val="18"/>
          <w:szCs w:val="18"/>
        </w:rPr>
        <w:t>Magnesiumsulfat</w:t>
      </w:r>
    </w:p>
    <w:p w:rsidR="00A633D8" w:rsidRPr="0018138B" w:rsidRDefault="000A59B9" w:rsidP="00A633D8">
      <w:pPr>
        <w:ind w:firstLine="720"/>
        <w:rPr>
          <w:sz w:val="18"/>
          <w:szCs w:val="18"/>
        </w:rPr>
      </w:pPr>
      <w:r w:rsidRPr="0018138B">
        <w:rPr>
          <w:sz w:val="18"/>
          <w:szCs w:val="18"/>
        </w:rPr>
        <w:t>0,</w:t>
      </w:r>
      <w:r w:rsidR="00A633D8" w:rsidRPr="0018138B">
        <w:rPr>
          <w:sz w:val="18"/>
          <w:szCs w:val="18"/>
        </w:rPr>
        <w:t xml:space="preserve">01 g </w:t>
      </w:r>
      <w:r w:rsidR="00A633D8" w:rsidRPr="0018138B">
        <w:rPr>
          <w:sz w:val="18"/>
          <w:szCs w:val="18"/>
        </w:rPr>
        <w:tab/>
      </w:r>
      <w:r w:rsidR="00BE4CBF" w:rsidRPr="0018138B">
        <w:rPr>
          <w:sz w:val="18"/>
          <w:szCs w:val="18"/>
        </w:rPr>
        <w:t>Eisensulfat</w:t>
      </w:r>
    </w:p>
    <w:p w:rsidR="00A633D8" w:rsidRPr="0018138B" w:rsidRDefault="000A59B9" w:rsidP="00A633D8">
      <w:pPr>
        <w:ind w:firstLine="720"/>
        <w:rPr>
          <w:sz w:val="18"/>
          <w:szCs w:val="18"/>
        </w:rPr>
      </w:pPr>
      <w:r w:rsidRPr="0018138B">
        <w:rPr>
          <w:sz w:val="18"/>
          <w:szCs w:val="18"/>
        </w:rPr>
        <w:t>30,</w:t>
      </w:r>
      <w:r w:rsidR="00A633D8" w:rsidRPr="0018138B">
        <w:rPr>
          <w:sz w:val="18"/>
          <w:szCs w:val="18"/>
        </w:rPr>
        <w:t xml:space="preserve">0 g </w:t>
      </w:r>
      <w:r w:rsidR="00A633D8" w:rsidRPr="0018138B">
        <w:rPr>
          <w:sz w:val="18"/>
          <w:szCs w:val="18"/>
        </w:rPr>
        <w:tab/>
      </w:r>
      <w:r w:rsidR="00BE4CBF" w:rsidRPr="0018138B">
        <w:rPr>
          <w:sz w:val="18"/>
          <w:szCs w:val="18"/>
        </w:rPr>
        <w:t>Saccharose</w:t>
      </w:r>
    </w:p>
    <w:p w:rsidR="00A633D8" w:rsidRPr="0018138B" w:rsidRDefault="00A633D8" w:rsidP="00A633D8">
      <w:pPr>
        <w:rPr>
          <w:sz w:val="18"/>
          <w:szCs w:val="18"/>
        </w:rPr>
      </w:pPr>
    </w:p>
    <w:p w:rsidR="00BE4CBF" w:rsidRPr="0018138B" w:rsidRDefault="00BE4CBF" w:rsidP="00A633D8">
      <w:pPr>
        <w:rPr>
          <w:sz w:val="18"/>
          <w:szCs w:val="18"/>
        </w:rPr>
      </w:pPr>
      <w:r w:rsidRPr="0018138B">
        <w:rPr>
          <w:sz w:val="18"/>
          <w:szCs w:val="18"/>
        </w:rPr>
        <w:t>Die obige Mischung wird einem Liter destilliertem Wasser beigefügt und dann in eine Flasche gefüllt; die Lösung wird während 20 Minuten in einem Autoklaven bei 115</w:t>
      </w:r>
      <w:r w:rsidRPr="0018138B">
        <w:rPr>
          <w:sz w:val="18"/>
          <w:szCs w:val="18"/>
          <w:vertAlign w:val="superscript"/>
        </w:rPr>
        <w:t>o</w:t>
      </w:r>
      <w:r w:rsidRPr="0018138B">
        <w:rPr>
          <w:sz w:val="18"/>
          <w:szCs w:val="18"/>
        </w:rPr>
        <w:t>C sterilisiert.</w:t>
      </w:r>
    </w:p>
    <w:p w:rsidR="00A633D8" w:rsidRPr="0018138B" w:rsidRDefault="00A633D8" w:rsidP="00A633D8">
      <w:pPr>
        <w:rPr>
          <w:sz w:val="18"/>
          <w:szCs w:val="18"/>
        </w:rPr>
      </w:pPr>
    </w:p>
    <w:p w:rsidR="006D38BF" w:rsidRPr="0018138B" w:rsidRDefault="006D38BF" w:rsidP="006D38BF">
      <w:pPr>
        <w:rPr>
          <w:sz w:val="18"/>
          <w:szCs w:val="18"/>
          <w:u w:val="single"/>
        </w:rPr>
      </w:pPr>
      <w:r w:rsidRPr="0018138B">
        <w:rPr>
          <w:sz w:val="18"/>
          <w:szCs w:val="18"/>
          <w:u w:val="single"/>
        </w:rPr>
        <w:t>Genetischer Hintergrund</w:t>
      </w:r>
    </w:p>
    <w:p w:rsidR="00A633D8" w:rsidRPr="0018138B" w:rsidRDefault="00BE4CBF" w:rsidP="00A633D8">
      <w:pPr>
        <w:rPr>
          <w:sz w:val="18"/>
          <w:szCs w:val="18"/>
        </w:rPr>
      </w:pPr>
      <w:r w:rsidRPr="0018138B">
        <w:rPr>
          <w:sz w:val="18"/>
          <w:szCs w:val="18"/>
        </w:rPr>
        <w:t xml:space="preserve">Ein einziges dominantes Gen </w:t>
      </w:r>
      <w:r w:rsidRPr="0018138B">
        <w:rPr>
          <w:sz w:val="18"/>
          <w:szCs w:val="18"/>
          <w:u w:val="single"/>
        </w:rPr>
        <w:t>Fw</w:t>
      </w:r>
      <w:r w:rsidRPr="0018138B">
        <w:rPr>
          <w:sz w:val="18"/>
          <w:szCs w:val="18"/>
        </w:rPr>
        <w:t xml:space="preserve"> verleiht dem Pathotyp 1 die Resistenz</w:t>
      </w:r>
      <w:r w:rsidR="00A633D8" w:rsidRPr="0018138B">
        <w:rPr>
          <w:sz w:val="18"/>
          <w:szCs w:val="18"/>
        </w:rPr>
        <w:t>.</w:t>
      </w:r>
    </w:p>
    <w:p w:rsidR="00CB4F75" w:rsidRPr="003733C6" w:rsidRDefault="00CB4F75" w:rsidP="00A633D8">
      <w:pPr>
        <w:rPr>
          <w:sz w:val="19"/>
          <w:szCs w:val="19"/>
        </w:rPr>
      </w:pPr>
    </w:p>
    <w:p w:rsidR="00CB4F75" w:rsidRPr="006D38BF" w:rsidRDefault="00CB4F75" w:rsidP="00CB4F75">
      <w:pPr>
        <w:rPr>
          <w:i/>
        </w:rPr>
      </w:pPr>
      <w:r>
        <w:rPr>
          <w:i/>
        </w:rPr>
        <w:t>Vorgeschlagener neuer Wortlaut</w:t>
      </w:r>
    </w:p>
    <w:p w:rsidR="00CB4F75" w:rsidRPr="003733C6" w:rsidRDefault="00CB4F75" w:rsidP="00CB4F75">
      <w:pPr>
        <w:rPr>
          <w:rFonts w:cs="Arial"/>
          <w:u w:val="single"/>
        </w:rPr>
      </w:pPr>
    </w:p>
    <w:p w:rsidR="00CB4F75" w:rsidRPr="003733C6" w:rsidRDefault="00CB4F75" w:rsidP="00CB4F75">
      <w:pPr>
        <w:rPr>
          <w:rFonts w:cs="Arial"/>
          <w:sz w:val="19"/>
          <w:szCs w:val="19"/>
          <w:u w:val="single"/>
        </w:rPr>
      </w:pPr>
      <w:r>
        <w:rPr>
          <w:sz w:val="19"/>
          <w:szCs w:val="19"/>
          <w:u w:val="single"/>
        </w:rPr>
        <w:t>Zu 58</w:t>
      </w:r>
      <w:r>
        <w:rPr>
          <w:strike/>
          <w:sz w:val="19"/>
          <w:szCs w:val="19"/>
          <w:highlight w:val="lightGray"/>
          <w:u w:val="single"/>
        </w:rPr>
        <w:t>.1, 58.2 und 58.3</w:t>
      </w:r>
      <w:r>
        <w:rPr>
          <w:sz w:val="19"/>
          <w:szCs w:val="19"/>
          <w:u w:val="single"/>
        </w:rPr>
        <w:t xml:space="preserve">: Resistenz gegen </w:t>
      </w:r>
      <w:r>
        <w:rPr>
          <w:i/>
          <w:sz w:val="19"/>
          <w:szCs w:val="19"/>
          <w:u w:val="single"/>
        </w:rPr>
        <w:t xml:space="preserve">Fusarium oxysporum </w:t>
      </w:r>
      <w:r>
        <w:rPr>
          <w:sz w:val="19"/>
          <w:szCs w:val="19"/>
          <w:u w:val="single"/>
        </w:rPr>
        <w:t>f. sp.</w:t>
      </w:r>
      <w:r>
        <w:rPr>
          <w:i/>
          <w:sz w:val="19"/>
          <w:szCs w:val="19"/>
          <w:u w:val="single"/>
        </w:rPr>
        <w:t xml:space="preserve"> pisi</w:t>
      </w:r>
      <w:r>
        <w:rPr>
          <w:sz w:val="19"/>
          <w:szCs w:val="19"/>
          <w:u w:val="single"/>
        </w:rPr>
        <w:t xml:space="preserve"> </w:t>
      </w:r>
      <w:r>
        <w:rPr>
          <w:sz w:val="19"/>
          <w:szCs w:val="19"/>
          <w:highlight w:val="lightGray"/>
          <w:u w:val="single"/>
        </w:rPr>
        <w:t>Pathotyp 1 (Fusarium-Welke)</w:t>
      </w:r>
      <w:r>
        <w:rPr>
          <w:sz w:val="19"/>
          <w:szCs w:val="19"/>
          <w:u w:val="single"/>
        </w:rPr>
        <w:t xml:space="preserve"> </w:t>
      </w:r>
      <w:r>
        <w:rPr>
          <w:strike/>
          <w:sz w:val="19"/>
          <w:szCs w:val="19"/>
          <w:highlight w:val="lightGray"/>
          <w:u w:val="single"/>
        </w:rPr>
        <w:t>Pathotyp 5 und Pathotyp 6</w:t>
      </w:r>
      <w:r>
        <w:rPr>
          <w:sz w:val="19"/>
          <w:szCs w:val="19"/>
          <w:u w:val="single"/>
        </w:rPr>
        <w:t xml:space="preserve"> </w:t>
      </w:r>
    </w:p>
    <w:p w:rsidR="00CB4F75" w:rsidRPr="003733C6" w:rsidRDefault="00CB4F75" w:rsidP="00CB4F75">
      <w:pPr>
        <w:rPr>
          <w:rFonts w:cs="Arial"/>
          <w:sz w:val="19"/>
          <w:szCs w:val="19"/>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CB4F75" w:rsidRPr="007D179E" w:rsidTr="00B807BA">
        <w:trPr>
          <w:cantSplit/>
        </w:trPr>
        <w:tc>
          <w:tcPr>
            <w:tcW w:w="606" w:type="dxa"/>
          </w:tcPr>
          <w:p w:rsidR="00CB4F75" w:rsidRPr="003C4050" w:rsidRDefault="00CB4F75" w:rsidP="00B807BA">
            <w:pPr>
              <w:tabs>
                <w:tab w:val="left" w:leader="dot" w:pos="3720"/>
              </w:tabs>
              <w:spacing w:before="20" w:after="20"/>
              <w:ind w:left="567" w:right="-108" w:hanging="567"/>
              <w:rPr>
                <w:rFonts w:cs="Arial"/>
              </w:rPr>
            </w:pPr>
            <w:r>
              <w:t>1.</w:t>
            </w:r>
          </w:p>
        </w:tc>
        <w:tc>
          <w:tcPr>
            <w:tcW w:w="3188" w:type="dxa"/>
          </w:tcPr>
          <w:p w:rsidR="00CB4F75" w:rsidRPr="003C4050" w:rsidRDefault="00CB4F75" w:rsidP="00B807BA">
            <w:pPr>
              <w:tabs>
                <w:tab w:val="left" w:leader="dot" w:pos="3720"/>
              </w:tabs>
              <w:spacing w:before="20" w:after="20"/>
              <w:ind w:left="567" w:right="-108" w:hanging="567"/>
              <w:rPr>
                <w:rFonts w:cs="Arial"/>
              </w:rPr>
            </w:pPr>
            <w:r>
              <w:t>Pathogen</w:t>
            </w:r>
          </w:p>
        </w:tc>
        <w:tc>
          <w:tcPr>
            <w:tcW w:w="5953" w:type="dxa"/>
          </w:tcPr>
          <w:p w:rsidR="00CB4F75" w:rsidRPr="0018138B" w:rsidRDefault="00CB4F75" w:rsidP="00B807BA">
            <w:pPr>
              <w:spacing w:before="20" w:after="20"/>
              <w:rPr>
                <w:rFonts w:cs="Arial"/>
                <w:color w:val="000000"/>
                <w:lang w:val="en-US"/>
              </w:rPr>
            </w:pPr>
            <w:r w:rsidRPr="0018138B">
              <w:rPr>
                <w:i/>
                <w:sz w:val="19"/>
                <w:szCs w:val="19"/>
                <w:lang w:val="en-US"/>
              </w:rPr>
              <w:t xml:space="preserve">Fusarium oxysporum </w:t>
            </w:r>
            <w:r w:rsidRPr="0018138B">
              <w:rPr>
                <w:sz w:val="19"/>
                <w:szCs w:val="19"/>
                <w:lang w:val="en-US"/>
              </w:rPr>
              <w:t>f. sp.</w:t>
            </w:r>
            <w:r w:rsidRPr="0018138B">
              <w:rPr>
                <w:i/>
                <w:sz w:val="19"/>
                <w:szCs w:val="19"/>
                <w:lang w:val="en-US"/>
              </w:rPr>
              <w:t xml:space="preserve"> pisi </w:t>
            </w:r>
            <w:r w:rsidRPr="0018138B">
              <w:rPr>
                <w:sz w:val="19"/>
                <w:szCs w:val="19"/>
                <w:lang w:val="en-US"/>
              </w:rPr>
              <w:t>(Pathotyp 1)</w:t>
            </w:r>
          </w:p>
        </w:tc>
      </w:tr>
      <w:tr w:rsidR="00CB4F75" w:rsidRPr="003C4050" w:rsidTr="00B807BA">
        <w:trPr>
          <w:cantSplit/>
        </w:trPr>
        <w:tc>
          <w:tcPr>
            <w:tcW w:w="606" w:type="dxa"/>
          </w:tcPr>
          <w:p w:rsidR="00CB4F75" w:rsidRPr="003C4050" w:rsidRDefault="00CB4F75" w:rsidP="00B807BA">
            <w:pPr>
              <w:tabs>
                <w:tab w:val="left" w:leader="dot" w:pos="3720"/>
              </w:tabs>
              <w:spacing w:before="20" w:after="20"/>
              <w:ind w:left="567" w:right="-108" w:hanging="567"/>
              <w:rPr>
                <w:rFonts w:cs="Arial"/>
              </w:rPr>
            </w:pPr>
            <w:r>
              <w:t>2.</w:t>
            </w:r>
          </w:p>
        </w:tc>
        <w:tc>
          <w:tcPr>
            <w:tcW w:w="3188" w:type="dxa"/>
          </w:tcPr>
          <w:p w:rsidR="00CB4F75" w:rsidRPr="003C4050" w:rsidRDefault="00CB4F75" w:rsidP="00B807BA">
            <w:pPr>
              <w:tabs>
                <w:tab w:val="left" w:leader="dot" w:pos="3720"/>
              </w:tabs>
              <w:spacing w:before="20" w:after="20"/>
              <w:ind w:left="567" w:right="-108" w:hanging="567"/>
              <w:rPr>
                <w:rFonts w:cs="Arial"/>
              </w:rPr>
            </w:pPr>
            <w:r>
              <w:t>Quarantänestatus</w:t>
            </w:r>
          </w:p>
        </w:tc>
        <w:tc>
          <w:tcPr>
            <w:tcW w:w="5953" w:type="dxa"/>
          </w:tcPr>
          <w:p w:rsidR="00CB4F75" w:rsidRPr="003C4050" w:rsidRDefault="0018138B" w:rsidP="00B807BA">
            <w:pPr>
              <w:spacing w:before="20" w:after="20"/>
              <w:rPr>
                <w:rFonts w:cs="Arial"/>
              </w:rPr>
            </w:pPr>
            <w:r>
              <w:rPr>
                <w:color w:val="000000"/>
              </w:rPr>
              <w:t>nein</w:t>
            </w:r>
          </w:p>
        </w:tc>
      </w:tr>
      <w:tr w:rsidR="00CB4F75" w:rsidRPr="003C4050" w:rsidTr="00B807BA">
        <w:trPr>
          <w:cantSplit/>
        </w:trPr>
        <w:tc>
          <w:tcPr>
            <w:tcW w:w="606" w:type="dxa"/>
          </w:tcPr>
          <w:p w:rsidR="00CB4F75" w:rsidRPr="003C4050" w:rsidRDefault="00CB4F75" w:rsidP="00B807BA">
            <w:pPr>
              <w:tabs>
                <w:tab w:val="left" w:leader="dot" w:pos="3720"/>
              </w:tabs>
              <w:spacing w:before="20" w:after="20"/>
              <w:rPr>
                <w:rFonts w:cs="Arial"/>
              </w:rPr>
            </w:pPr>
            <w:r>
              <w:t>3.</w:t>
            </w:r>
          </w:p>
        </w:tc>
        <w:tc>
          <w:tcPr>
            <w:tcW w:w="3188" w:type="dxa"/>
          </w:tcPr>
          <w:p w:rsidR="00CB4F75" w:rsidRPr="003C4050" w:rsidRDefault="00CB4F75" w:rsidP="00B807BA">
            <w:pPr>
              <w:tabs>
                <w:tab w:val="left" w:leader="dot" w:pos="3720"/>
              </w:tabs>
              <w:spacing w:before="20" w:after="20"/>
              <w:rPr>
                <w:rFonts w:cs="Arial"/>
              </w:rPr>
            </w:pPr>
            <w:r>
              <w:t>Wirtsart</w:t>
            </w:r>
          </w:p>
        </w:tc>
        <w:tc>
          <w:tcPr>
            <w:tcW w:w="5953" w:type="dxa"/>
          </w:tcPr>
          <w:p w:rsidR="00CB4F75" w:rsidRPr="003C4050" w:rsidRDefault="00CB4F75" w:rsidP="00B807BA">
            <w:pPr>
              <w:spacing w:before="20" w:after="20"/>
              <w:rPr>
                <w:rFonts w:cs="Arial"/>
                <w:i/>
                <w:color w:val="000000"/>
              </w:rPr>
            </w:pPr>
            <w:r>
              <w:rPr>
                <w:color w:val="000000"/>
                <w:sz w:val="19"/>
                <w:szCs w:val="19"/>
              </w:rPr>
              <w:t xml:space="preserve">Erbse – </w:t>
            </w:r>
            <w:r>
              <w:rPr>
                <w:i/>
                <w:iCs/>
                <w:color w:val="000000"/>
                <w:sz w:val="19"/>
                <w:szCs w:val="19"/>
              </w:rPr>
              <w:t xml:space="preserve">Pisum sativum </w:t>
            </w:r>
            <w:r>
              <w:rPr>
                <w:iCs/>
                <w:color w:val="000000"/>
                <w:sz w:val="19"/>
                <w:szCs w:val="19"/>
              </w:rPr>
              <w:t>L.</w:t>
            </w:r>
          </w:p>
        </w:tc>
      </w:tr>
      <w:tr w:rsidR="00CB4F75" w:rsidRPr="00397EDC" w:rsidTr="00B807BA">
        <w:trPr>
          <w:cantSplit/>
        </w:trPr>
        <w:tc>
          <w:tcPr>
            <w:tcW w:w="606" w:type="dxa"/>
          </w:tcPr>
          <w:p w:rsidR="00CB4F75" w:rsidRPr="003C4050" w:rsidRDefault="00CB4F75" w:rsidP="00B807BA">
            <w:pPr>
              <w:tabs>
                <w:tab w:val="left" w:leader="dot" w:pos="3720"/>
              </w:tabs>
              <w:spacing w:before="20" w:after="20"/>
              <w:rPr>
                <w:rFonts w:cs="Arial"/>
              </w:rPr>
            </w:pPr>
            <w:r>
              <w:t>4.</w:t>
            </w:r>
          </w:p>
        </w:tc>
        <w:tc>
          <w:tcPr>
            <w:tcW w:w="3188" w:type="dxa"/>
          </w:tcPr>
          <w:p w:rsidR="00CB4F75" w:rsidRPr="003C4050" w:rsidRDefault="00CB4F75" w:rsidP="00B807BA">
            <w:pPr>
              <w:tabs>
                <w:tab w:val="left" w:leader="dot" w:pos="3720"/>
              </w:tabs>
              <w:spacing w:before="20" w:after="20"/>
              <w:rPr>
                <w:rFonts w:cs="Arial"/>
              </w:rPr>
            </w:pPr>
            <w:r>
              <w:t>Quelle des Inokulums</w:t>
            </w:r>
          </w:p>
        </w:tc>
        <w:tc>
          <w:tcPr>
            <w:tcW w:w="5953" w:type="dxa"/>
          </w:tcPr>
          <w:p w:rsidR="00CB4F75" w:rsidRPr="00DA2E9B" w:rsidRDefault="00CB4F75" w:rsidP="00B807BA">
            <w:pPr>
              <w:spacing w:before="20" w:after="20"/>
              <w:rPr>
                <w:rFonts w:cs="Arial"/>
                <w:color w:val="000000"/>
                <w:lang w:val="es-ES"/>
              </w:rPr>
            </w:pPr>
            <w:r w:rsidRPr="00DA2E9B">
              <w:rPr>
                <w:color w:val="000000"/>
                <w:sz w:val="19"/>
                <w:szCs w:val="19"/>
                <w:lang w:val="es-ES"/>
              </w:rPr>
              <w:t>GEVES</w:t>
            </w:r>
            <w:r w:rsidRPr="006B0320">
              <w:rPr>
                <w:rStyle w:val="FootnoteReference"/>
                <w:rFonts w:cs="Arial"/>
                <w:color w:val="000000"/>
                <w:sz w:val="19"/>
                <w:szCs w:val="19"/>
              </w:rPr>
              <w:footnoteReference w:id="2"/>
            </w:r>
            <w:r w:rsidRPr="00DA2E9B">
              <w:rPr>
                <w:color w:val="000000"/>
                <w:sz w:val="19"/>
                <w:szCs w:val="19"/>
                <w:lang w:val="es-ES"/>
              </w:rPr>
              <w:t xml:space="preserve"> (FR), INIA</w:t>
            </w:r>
            <w:r w:rsidRPr="00B66B5F">
              <w:rPr>
                <w:rStyle w:val="FootnoteReference"/>
                <w:rFonts w:cs="Arial"/>
                <w:color w:val="000000"/>
                <w:sz w:val="19"/>
                <w:szCs w:val="19"/>
                <w:lang w:val="nl-NL"/>
              </w:rPr>
              <w:footnoteReference w:id="3"/>
            </w:r>
            <w:r w:rsidRPr="00DA2E9B">
              <w:rPr>
                <w:color w:val="000000"/>
                <w:sz w:val="19"/>
                <w:szCs w:val="19"/>
                <w:lang w:val="es-ES"/>
              </w:rPr>
              <w:t xml:space="preserve"> (ES) </w:t>
            </w:r>
            <w:r w:rsidRPr="00DA2E9B">
              <w:rPr>
                <w:color w:val="000000"/>
                <w:lang w:val="es-ES"/>
              </w:rPr>
              <w:t xml:space="preserve">oder </w:t>
            </w:r>
            <w:r w:rsidRPr="00DA2E9B">
              <w:rPr>
                <w:color w:val="000000"/>
                <w:sz w:val="19"/>
                <w:szCs w:val="19"/>
                <w:lang w:val="es-ES"/>
              </w:rPr>
              <w:t>SASA</w:t>
            </w:r>
            <w:r w:rsidRPr="00B66B5F">
              <w:rPr>
                <w:rStyle w:val="FootnoteReference"/>
                <w:rFonts w:cs="Arial"/>
                <w:color w:val="000000"/>
                <w:sz w:val="19"/>
                <w:szCs w:val="19"/>
              </w:rPr>
              <w:footnoteReference w:id="4"/>
            </w:r>
            <w:r w:rsidRPr="00DA2E9B">
              <w:rPr>
                <w:color w:val="000000"/>
                <w:sz w:val="19"/>
                <w:szCs w:val="19"/>
                <w:lang w:val="es-ES"/>
              </w:rPr>
              <w:t xml:space="preserve"> (GB)</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5.</w:t>
            </w:r>
          </w:p>
        </w:tc>
        <w:tc>
          <w:tcPr>
            <w:tcW w:w="3188" w:type="dxa"/>
          </w:tcPr>
          <w:p w:rsidR="00CB4F75" w:rsidRPr="00E5019E" w:rsidRDefault="00CB4F75" w:rsidP="00B807BA">
            <w:pPr>
              <w:tabs>
                <w:tab w:val="left" w:leader="dot" w:pos="3720"/>
              </w:tabs>
              <w:spacing w:before="20" w:after="20"/>
              <w:rPr>
                <w:rFonts w:cs="Arial"/>
              </w:rPr>
            </w:pPr>
            <w:r w:rsidRPr="00E5019E">
              <w:t>Isolat</w:t>
            </w:r>
          </w:p>
        </w:tc>
        <w:tc>
          <w:tcPr>
            <w:tcW w:w="5953" w:type="dxa"/>
          </w:tcPr>
          <w:p w:rsidR="00CB4F75" w:rsidRPr="00E5019E" w:rsidRDefault="00CB4F75" w:rsidP="00B807BA">
            <w:pPr>
              <w:spacing w:before="20" w:after="20"/>
              <w:rPr>
                <w:rFonts w:cs="Arial"/>
                <w:color w:val="000000"/>
              </w:rPr>
            </w:pPr>
            <w:r w:rsidRPr="00E5019E">
              <w:rPr>
                <w:i/>
                <w:color w:val="000000"/>
              </w:rPr>
              <w:t>Fusarium oxysporum</w:t>
            </w:r>
            <w:r w:rsidRPr="00E5019E">
              <w:rPr>
                <w:color w:val="000000"/>
              </w:rPr>
              <w:t xml:space="preserve"> f. sp. </w:t>
            </w:r>
            <w:r w:rsidRPr="00E5019E">
              <w:rPr>
                <w:i/>
                <w:color w:val="000000"/>
              </w:rPr>
              <w:t>pisi</w:t>
            </w:r>
            <w:r w:rsidRPr="00E5019E">
              <w:rPr>
                <w:color w:val="000000"/>
              </w:rPr>
              <w:t xml:space="preserve"> Pathotyp 1 Stamm MATREF 04-02-01-01 (das Prüfungsprotokoll wurde anhand dieses Isolats/Pathotyps validiert)</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6.</w:t>
            </w:r>
          </w:p>
        </w:tc>
        <w:tc>
          <w:tcPr>
            <w:tcW w:w="3188" w:type="dxa"/>
          </w:tcPr>
          <w:p w:rsidR="00CB4F75" w:rsidRPr="00E5019E" w:rsidRDefault="00CB4F75" w:rsidP="00B807BA">
            <w:pPr>
              <w:tabs>
                <w:tab w:val="left" w:leader="dot" w:pos="3720"/>
              </w:tabs>
              <w:spacing w:before="20" w:after="20"/>
              <w:rPr>
                <w:rFonts w:cs="Arial"/>
              </w:rPr>
            </w:pPr>
            <w:r w:rsidRPr="00E5019E">
              <w:t>Feststellung der Isolatidentität</w:t>
            </w:r>
          </w:p>
        </w:tc>
        <w:tc>
          <w:tcPr>
            <w:tcW w:w="5953" w:type="dxa"/>
          </w:tcPr>
          <w:p w:rsidR="00CB4F75" w:rsidRPr="00E5019E" w:rsidRDefault="00CB4F75" w:rsidP="00B807BA">
            <w:pPr>
              <w:spacing w:before="20" w:after="20"/>
              <w:rPr>
                <w:rFonts w:cs="Arial"/>
                <w:color w:val="000000"/>
              </w:rPr>
            </w:pPr>
            <w:r w:rsidRPr="00E5019E">
              <w:rPr>
                <w:color w:val="000000"/>
              </w:rPr>
              <w:t xml:space="preserve">genetisch definierte Kontrollsorten von Erbse </w:t>
            </w:r>
            <w:r w:rsidRPr="00E5019E">
              <w:rPr>
                <w:color w:val="000000"/>
                <w:sz w:val="19"/>
                <w:szCs w:val="19"/>
              </w:rPr>
              <w:t xml:space="preserve">(siehe ISF-Website: </w:t>
            </w:r>
            <w:hyperlink r:id="rId8" w:history="1">
              <w:r w:rsidRPr="00E5019E">
                <w:rPr>
                  <w:rStyle w:val="Hyperlink"/>
                  <w:sz w:val="19"/>
                  <w:szCs w:val="19"/>
                </w:rPr>
                <w:t>http://www.worldseed.org</w:t>
              </w:r>
            </w:hyperlink>
            <w:r w:rsidRPr="00E5019E">
              <w:rPr>
                <w:rStyle w:val="Hyperlink"/>
                <w:sz w:val="19"/>
                <w:szCs w:val="19"/>
              </w:rPr>
              <w:t>)</w:t>
            </w:r>
          </w:p>
        </w:tc>
      </w:tr>
    </w:tbl>
    <w:p w:rsidR="00CB4F75" w:rsidRPr="00E5019E" w:rsidRDefault="00CB4F75" w:rsidP="00CB4F75"/>
    <w:tbl>
      <w:tblPr>
        <w:tblW w:w="3975" w:type="pct"/>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2"/>
        <w:gridCol w:w="5663"/>
      </w:tblGrid>
      <w:tr w:rsidR="00CB4F75" w:rsidRPr="00E5019E" w:rsidTr="00B807BA">
        <w:trPr>
          <w:trHeight w:val="167"/>
        </w:trPr>
        <w:tc>
          <w:tcPr>
            <w:tcW w:w="1386" w:type="pct"/>
          </w:tcPr>
          <w:p w:rsidR="00CB4F75" w:rsidRPr="00E5019E" w:rsidRDefault="0047646C" w:rsidP="00B807BA">
            <w:pPr>
              <w:rPr>
                <w:rFonts w:cs="Arial"/>
                <w:bCs/>
              </w:rPr>
            </w:pPr>
            <w:r>
              <w:t>Differentialsort</w:t>
            </w:r>
            <w:r w:rsidR="00CB4F75" w:rsidRPr="00E5019E">
              <w:t>en- Wirtsart</w:t>
            </w:r>
          </w:p>
        </w:tc>
        <w:tc>
          <w:tcPr>
            <w:tcW w:w="3614" w:type="pct"/>
          </w:tcPr>
          <w:p w:rsidR="00CB4F75" w:rsidRPr="00E5019E" w:rsidRDefault="00CB4F75" w:rsidP="00B807BA">
            <w:pPr>
              <w:jc w:val="center"/>
            </w:pPr>
          </w:p>
        </w:tc>
      </w:tr>
      <w:tr w:rsidR="00CB4F75" w:rsidRPr="00E5019E" w:rsidTr="00B807BA">
        <w:trPr>
          <w:trHeight w:val="187"/>
        </w:trPr>
        <w:tc>
          <w:tcPr>
            <w:tcW w:w="1386" w:type="pct"/>
          </w:tcPr>
          <w:p w:rsidR="00CB4F75" w:rsidRPr="00E5019E" w:rsidRDefault="00CB4F75" w:rsidP="00B807BA">
            <w:r w:rsidRPr="00E5019E">
              <w:t xml:space="preserve">anfällig: </w:t>
            </w:r>
          </w:p>
          <w:p w:rsidR="00CB4F75" w:rsidRPr="00E5019E" w:rsidRDefault="00CB4F75" w:rsidP="00B807BA">
            <w:pPr>
              <w:rPr>
                <w:rFonts w:cs="Arial"/>
                <w:bCs/>
              </w:rPr>
            </w:pPr>
          </w:p>
        </w:tc>
        <w:tc>
          <w:tcPr>
            <w:tcW w:w="3614" w:type="pct"/>
          </w:tcPr>
          <w:p w:rsidR="00CB4F75" w:rsidRPr="00E5019E" w:rsidRDefault="00CB4F75" w:rsidP="00B807BA">
            <w:pPr>
              <w:jc w:val="left"/>
              <w:rPr>
                <w:rFonts w:cs="Arial"/>
                <w:bCs/>
              </w:rPr>
            </w:pPr>
            <w:r w:rsidRPr="00E5019E">
              <w:t>M410, Bartavelle, Little Marvel</w:t>
            </w:r>
          </w:p>
        </w:tc>
      </w:tr>
      <w:tr w:rsidR="00CB4F75" w:rsidRPr="007D179E" w:rsidTr="00B807BA">
        <w:tc>
          <w:tcPr>
            <w:tcW w:w="1386" w:type="pct"/>
          </w:tcPr>
          <w:p w:rsidR="00CB4F75" w:rsidRPr="00E5019E" w:rsidRDefault="00CB4F75" w:rsidP="00B807BA">
            <w:pPr>
              <w:rPr>
                <w:rFonts w:cs="Arial"/>
                <w:bCs/>
              </w:rPr>
            </w:pPr>
            <w:r w:rsidRPr="00E5019E">
              <w:t>resistent:</w:t>
            </w:r>
          </w:p>
        </w:tc>
        <w:tc>
          <w:tcPr>
            <w:tcW w:w="3614" w:type="pct"/>
          </w:tcPr>
          <w:p w:rsidR="00CB4F75" w:rsidRPr="00E5019E" w:rsidRDefault="00CB4F75" w:rsidP="00B807BA">
            <w:pPr>
              <w:jc w:val="left"/>
              <w:rPr>
                <w:rFonts w:cs="Arial"/>
                <w:bCs/>
                <w:lang w:val="en-US"/>
              </w:rPr>
            </w:pPr>
            <w:r w:rsidRPr="00E5019E">
              <w:rPr>
                <w:bCs/>
                <w:lang w:val="en-US"/>
              </w:rPr>
              <w:t>New Era, Mini 93, Dark Skin Perfection, Vantage, WSU 23, New Season, WSU 31, 74SN5, Sundance II, Grant</w:t>
            </w:r>
          </w:p>
        </w:tc>
      </w:tr>
    </w:tbl>
    <w:p w:rsidR="00CB4F75" w:rsidRPr="00E5019E" w:rsidRDefault="00CB4F75" w:rsidP="00CB4F75">
      <w:pPr>
        <w:rPr>
          <w:lang w:val="en-U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7.</w:t>
            </w:r>
          </w:p>
        </w:tc>
        <w:tc>
          <w:tcPr>
            <w:tcW w:w="3188" w:type="dxa"/>
          </w:tcPr>
          <w:p w:rsidR="00CB4F75" w:rsidRPr="00E5019E" w:rsidRDefault="00CB4F75" w:rsidP="00B807BA">
            <w:pPr>
              <w:tabs>
                <w:tab w:val="left" w:leader="dot" w:pos="3720"/>
              </w:tabs>
              <w:spacing w:before="20" w:after="20"/>
              <w:rPr>
                <w:rFonts w:cs="Arial"/>
              </w:rPr>
            </w:pPr>
            <w:r w:rsidRPr="00E5019E">
              <w:t>Feststellung der Pathogenität</w:t>
            </w:r>
          </w:p>
        </w:tc>
        <w:tc>
          <w:tcPr>
            <w:tcW w:w="5953" w:type="dxa"/>
          </w:tcPr>
          <w:p w:rsidR="00CB4F75" w:rsidRPr="00E5019E" w:rsidRDefault="00CB4F75" w:rsidP="00B807BA">
            <w:pPr>
              <w:spacing w:before="20" w:after="20"/>
              <w:rPr>
                <w:rFonts w:cs="Arial"/>
                <w:color w:val="000000"/>
              </w:rPr>
            </w:pPr>
            <w:r w:rsidRPr="00E5019E">
              <w:rPr>
                <w:color w:val="000000"/>
              </w:rPr>
              <w:t>Prüfung von anfälligen Pflanzen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w:t>
            </w:r>
          </w:p>
        </w:tc>
        <w:tc>
          <w:tcPr>
            <w:tcW w:w="3188" w:type="dxa"/>
          </w:tcPr>
          <w:p w:rsidR="00CB4F75" w:rsidRPr="00E5019E" w:rsidRDefault="00CB4F75" w:rsidP="00B807BA">
            <w:pPr>
              <w:tabs>
                <w:tab w:val="left" w:leader="dot" w:pos="3720"/>
              </w:tabs>
              <w:spacing w:before="20" w:after="20"/>
              <w:rPr>
                <w:rFonts w:cs="Arial"/>
              </w:rPr>
            </w:pPr>
            <w:r w:rsidRPr="00E5019E">
              <w:t>Vermehrung des Inokulums</w:t>
            </w:r>
          </w:p>
        </w:tc>
        <w:tc>
          <w:tcPr>
            <w:tcW w:w="5953" w:type="dxa"/>
          </w:tcPr>
          <w:p w:rsidR="00CB4F75" w:rsidRPr="00E5019E" w:rsidRDefault="00CB4F75" w:rsidP="00B807BA">
            <w:pPr>
              <w:spacing w:before="20" w:after="20"/>
              <w:rPr>
                <w:rFonts w:cs="Arial"/>
                <w:color w:val="000000"/>
              </w:rPr>
            </w:pP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8.1</w:t>
            </w:r>
          </w:p>
        </w:tc>
        <w:tc>
          <w:tcPr>
            <w:tcW w:w="3188" w:type="dxa"/>
          </w:tcPr>
          <w:p w:rsidR="00CB4F75" w:rsidRPr="00E5019E" w:rsidRDefault="00CB4F75" w:rsidP="00B807BA">
            <w:pPr>
              <w:tabs>
                <w:tab w:val="left" w:leader="dot" w:pos="3720"/>
              </w:tabs>
              <w:spacing w:before="20" w:after="20"/>
              <w:rPr>
                <w:rFonts w:cs="Arial"/>
              </w:rPr>
            </w:pPr>
            <w:r w:rsidRPr="00E5019E">
              <w:t>Vermehrungsmedium</w:t>
            </w:r>
          </w:p>
        </w:tc>
        <w:tc>
          <w:tcPr>
            <w:tcW w:w="5953" w:type="dxa"/>
          </w:tcPr>
          <w:p w:rsidR="00CB4F75" w:rsidRPr="00E5019E" w:rsidRDefault="00CB4F75" w:rsidP="00B807BA">
            <w:pPr>
              <w:spacing w:before="20" w:after="20"/>
              <w:rPr>
                <w:rFonts w:cs="Arial"/>
                <w:color w:val="000000"/>
              </w:rPr>
            </w:pPr>
            <w:r w:rsidRPr="00E5019E">
              <w:rPr>
                <w:color w:val="000000"/>
              </w:rPr>
              <w:t>Vermehrung auf Agarmedium: zum Beispiel Malz-Agar oder PDA</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8.4</w:t>
            </w:r>
          </w:p>
        </w:tc>
        <w:tc>
          <w:tcPr>
            <w:tcW w:w="3188" w:type="dxa"/>
          </w:tcPr>
          <w:p w:rsidR="00CB4F75" w:rsidRPr="00E5019E" w:rsidRDefault="00CB4F75" w:rsidP="00B807BA">
            <w:pPr>
              <w:tabs>
                <w:tab w:val="left" w:leader="dot" w:pos="3720"/>
              </w:tabs>
              <w:spacing w:before="20" w:after="20"/>
              <w:rPr>
                <w:rFonts w:cs="Arial"/>
              </w:rPr>
            </w:pPr>
            <w:r w:rsidRPr="00E5019E">
              <w:t>Inokulationsmedium</w:t>
            </w:r>
          </w:p>
        </w:tc>
        <w:tc>
          <w:tcPr>
            <w:tcW w:w="5953" w:type="dxa"/>
          </w:tcPr>
          <w:p w:rsidR="00CB4F75" w:rsidRPr="00E5019E" w:rsidRDefault="00CB4F75" w:rsidP="00B807BA">
            <w:pPr>
              <w:spacing w:before="20" w:after="20"/>
              <w:rPr>
                <w:rFonts w:cs="Arial"/>
                <w:color w:val="000000"/>
              </w:rPr>
            </w:pPr>
            <w:r w:rsidRPr="00E5019E">
              <w:rPr>
                <w:color w:val="000000"/>
              </w:rPr>
              <w:t>Vermehrung auf Agarmedium: Wasser zum Abschaben der Agarplatten.</w:t>
            </w:r>
          </w:p>
          <w:p w:rsidR="00CB4F75" w:rsidRPr="00E5019E" w:rsidRDefault="00CB4F75" w:rsidP="00B807BA">
            <w:pPr>
              <w:spacing w:before="20" w:after="20"/>
              <w:rPr>
                <w:rFonts w:cs="Arial"/>
                <w:color w:val="000000"/>
              </w:rPr>
            </w:pPr>
            <w:r w:rsidRPr="00E5019E">
              <w:rPr>
                <w:color w:val="000000"/>
              </w:rPr>
              <w:t>Vermehrung auf flüssigem Medium: zum Beispiel Kartoffel-Dextrose-Brühe, Kerrs-Brühe oder Czapek-Dox (3 bis 7 Tage alte belüftete Kultur).</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8.6</w:t>
            </w:r>
          </w:p>
        </w:tc>
        <w:tc>
          <w:tcPr>
            <w:tcW w:w="3188" w:type="dxa"/>
          </w:tcPr>
          <w:p w:rsidR="00CB4F75" w:rsidRPr="00E5019E" w:rsidRDefault="00CB4F75" w:rsidP="00B807BA">
            <w:pPr>
              <w:tabs>
                <w:tab w:val="left" w:leader="dot" w:pos="3720"/>
              </w:tabs>
              <w:spacing w:before="20" w:after="20"/>
              <w:rPr>
                <w:rFonts w:cs="Arial"/>
              </w:rPr>
            </w:pPr>
            <w:r w:rsidRPr="00E5019E">
              <w:t>Ernte des Inokulums</w:t>
            </w:r>
          </w:p>
        </w:tc>
        <w:tc>
          <w:tcPr>
            <w:tcW w:w="5953" w:type="dxa"/>
          </w:tcPr>
          <w:p w:rsidR="00CB4F75" w:rsidRPr="00E5019E" w:rsidRDefault="00CB4F75" w:rsidP="00B807BA">
            <w:pPr>
              <w:spacing w:before="20" w:after="20"/>
              <w:rPr>
                <w:rFonts w:cs="Arial"/>
                <w:color w:val="000000"/>
              </w:rPr>
            </w:pPr>
            <w:r w:rsidRPr="00E5019E">
              <w:rPr>
                <w:color w:val="000000"/>
              </w:rPr>
              <w:t>vgl. 10.1</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8.7</w:t>
            </w:r>
          </w:p>
        </w:tc>
        <w:tc>
          <w:tcPr>
            <w:tcW w:w="3188" w:type="dxa"/>
          </w:tcPr>
          <w:p w:rsidR="00CB4F75" w:rsidRPr="00E5019E" w:rsidRDefault="00CB4F75" w:rsidP="00B807BA">
            <w:pPr>
              <w:tabs>
                <w:tab w:val="left" w:leader="dot" w:pos="3720"/>
              </w:tabs>
              <w:spacing w:before="20" w:after="20"/>
              <w:jc w:val="left"/>
              <w:rPr>
                <w:rFonts w:cs="Arial"/>
              </w:rPr>
            </w:pPr>
            <w:r w:rsidRPr="00E5019E">
              <w:t>Prüfung des geernteten Inokulums</w:t>
            </w:r>
          </w:p>
        </w:tc>
        <w:tc>
          <w:tcPr>
            <w:tcW w:w="5953" w:type="dxa"/>
          </w:tcPr>
          <w:p w:rsidR="00CB4F75" w:rsidRPr="00E5019E" w:rsidRDefault="00CB4F75" w:rsidP="00B807BA">
            <w:pPr>
              <w:spacing w:before="20" w:after="20"/>
              <w:rPr>
                <w:rFonts w:cs="Arial"/>
                <w:color w:val="000000"/>
              </w:rPr>
            </w:pPr>
            <w:r w:rsidRPr="00E5019E">
              <w:rPr>
                <w:color w:val="000000"/>
              </w:rPr>
              <w:t>vgl. 10.2</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8.8</w:t>
            </w:r>
          </w:p>
        </w:tc>
        <w:tc>
          <w:tcPr>
            <w:tcW w:w="3188" w:type="dxa"/>
          </w:tcPr>
          <w:p w:rsidR="00CB4F75" w:rsidRPr="00E5019E" w:rsidRDefault="00CB4F75" w:rsidP="00B807BA">
            <w:pPr>
              <w:tabs>
                <w:tab w:val="left" w:leader="dot" w:pos="3720"/>
              </w:tabs>
              <w:spacing w:before="20" w:after="20"/>
              <w:rPr>
                <w:rFonts w:cs="Arial"/>
              </w:rPr>
            </w:pPr>
            <w:r w:rsidRPr="00E5019E">
              <w:t>Haltbarkeit/Lebensfähigkeit des Inokulums</w:t>
            </w:r>
          </w:p>
        </w:tc>
        <w:tc>
          <w:tcPr>
            <w:tcW w:w="5953" w:type="dxa"/>
          </w:tcPr>
          <w:p w:rsidR="00CB4F75" w:rsidRPr="00E5019E" w:rsidRDefault="00CB4F75" w:rsidP="0018138B">
            <w:pPr>
              <w:spacing w:before="20" w:after="20"/>
              <w:rPr>
                <w:rFonts w:cs="Arial"/>
                <w:color w:val="000000"/>
              </w:rPr>
            </w:pPr>
            <w:r w:rsidRPr="00E5019E">
              <w:rPr>
                <w:color w:val="000000"/>
              </w:rPr>
              <w:t xml:space="preserve">zwischen 4 und 8 Stunden, kühl halten, um Sporenkeimung zu verhindern. Die Haltbarkeit der Sporen sollte bei Lagerung bei </w:t>
            </w:r>
            <w:r w:rsidR="0018138B">
              <w:rPr>
                <w:color w:val="000000"/>
              </w:rPr>
              <w:noBreakHyphen/>
            </w:r>
            <w:r w:rsidRPr="00E5019E">
              <w:rPr>
                <w:color w:val="000000"/>
              </w:rPr>
              <w:t>20°C mehr als 3 Jahre betragen.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w:t>
            </w:r>
          </w:p>
        </w:tc>
        <w:tc>
          <w:tcPr>
            <w:tcW w:w="3188" w:type="dxa"/>
          </w:tcPr>
          <w:p w:rsidR="00CB4F75" w:rsidRPr="00E5019E" w:rsidRDefault="00CB4F75" w:rsidP="00B807BA">
            <w:pPr>
              <w:tabs>
                <w:tab w:val="left" w:leader="dot" w:pos="3720"/>
              </w:tabs>
              <w:spacing w:before="20" w:after="20"/>
              <w:rPr>
                <w:rFonts w:cs="Arial"/>
              </w:rPr>
            </w:pPr>
            <w:r w:rsidRPr="00E5019E">
              <w:t>Prüfungsanlage</w:t>
            </w:r>
          </w:p>
        </w:tc>
        <w:tc>
          <w:tcPr>
            <w:tcW w:w="5953" w:type="dxa"/>
          </w:tcPr>
          <w:p w:rsidR="00CB4F75" w:rsidRPr="00E5019E" w:rsidRDefault="00CB4F75" w:rsidP="00B807BA">
            <w:pPr>
              <w:spacing w:before="20" w:after="20"/>
              <w:rPr>
                <w:rFonts w:cs="Arial"/>
                <w:color w:val="000000"/>
              </w:rPr>
            </w:pPr>
          </w:p>
        </w:tc>
      </w:tr>
      <w:tr w:rsidR="00CB4F75" w:rsidRPr="00E5019E" w:rsidTr="00B807BA">
        <w:trPr>
          <w:cantSplit/>
        </w:trPr>
        <w:tc>
          <w:tcPr>
            <w:tcW w:w="606" w:type="dxa"/>
          </w:tcPr>
          <w:p w:rsidR="00CB4F75" w:rsidRPr="00E5019E" w:rsidRDefault="00CB4F75" w:rsidP="00B807BA">
            <w:pPr>
              <w:tabs>
                <w:tab w:val="left" w:leader="dot" w:pos="3720"/>
              </w:tabs>
              <w:spacing w:before="20" w:after="20"/>
              <w:jc w:val="left"/>
              <w:rPr>
                <w:rFonts w:cs="Arial"/>
              </w:rPr>
            </w:pPr>
            <w:r w:rsidRPr="00E5019E">
              <w:t>9.1</w:t>
            </w:r>
          </w:p>
        </w:tc>
        <w:tc>
          <w:tcPr>
            <w:tcW w:w="3188" w:type="dxa"/>
          </w:tcPr>
          <w:p w:rsidR="00CB4F75" w:rsidRPr="00E5019E" w:rsidRDefault="00CB4F75" w:rsidP="00B807BA">
            <w:pPr>
              <w:tabs>
                <w:tab w:val="left" w:leader="dot" w:pos="3720"/>
              </w:tabs>
              <w:spacing w:before="20" w:after="20"/>
              <w:rPr>
                <w:rFonts w:cs="Arial"/>
              </w:rPr>
            </w:pPr>
            <w:r w:rsidRPr="00E5019E">
              <w:t>Anzahl der Pflanzen pro Genotyp</w:t>
            </w:r>
          </w:p>
        </w:tc>
        <w:tc>
          <w:tcPr>
            <w:tcW w:w="5953" w:type="dxa"/>
          </w:tcPr>
          <w:p w:rsidR="00CB4F75" w:rsidRPr="00E5019E" w:rsidRDefault="00CB4F75" w:rsidP="00B807BA">
            <w:pPr>
              <w:spacing w:before="20" w:after="20"/>
              <w:rPr>
                <w:rFonts w:cs="Arial"/>
                <w:color w:val="000000"/>
              </w:rPr>
            </w:pPr>
            <w:r w:rsidRPr="00E5019E">
              <w:rPr>
                <w:color w:val="000000"/>
              </w:rPr>
              <w:t>mindestens 20 Pflanzen und 5 nicht-inokulierte Pflanzen pro Sorte</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9.2</w:t>
            </w:r>
          </w:p>
        </w:tc>
        <w:tc>
          <w:tcPr>
            <w:tcW w:w="3188" w:type="dxa"/>
          </w:tcPr>
          <w:p w:rsidR="00CB4F75" w:rsidRPr="00E5019E" w:rsidRDefault="00CB4F75" w:rsidP="00B807BA">
            <w:pPr>
              <w:tabs>
                <w:tab w:val="left" w:leader="dot" w:pos="3720"/>
              </w:tabs>
              <w:spacing w:before="20" w:after="20"/>
              <w:rPr>
                <w:rFonts w:cs="Arial"/>
              </w:rPr>
            </w:pPr>
            <w:r w:rsidRPr="00E5019E">
              <w:t>Anzahl der Wiederholungen</w:t>
            </w:r>
          </w:p>
        </w:tc>
        <w:tc>
          <w:tcPr>
            <w:tcW w:w="5953" w:type="dxa"/>
          </w:tcPr>
          <w:p w:rsidR="00CB4F75" w:rsidRPr="00E5019E" w:rsidRDefault="00CB4F75" w:rsidP="00B807BA">
            <w:pPr>
              <w:spacing w:before="20" w:after="20"/>
              <w:rPr>
                <w:rFonts w:cs="Arial"/>
                <w:color w:val="000000"/>
              </w:rPr>
            </w:pPr>
            <w:r w:rsidRPr="00E5019E">
              <w:rPr>
                <w:color w:val="000000"/>
              </w:rPr>
              <w:t>-</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9.3</w:t>
            </w:r>
          </w:p>
        </w:tc>
        <w:tc>
          <w:tcPr>
            <w:tcW w:w="3188" w:type="dxa"/>
          </w:tcPr>
          <w:p w:rsidR="00CB4F75" w:rsidRPr="00E5019E" w:rsidRDefault="00CB4F75" w:rsidP="00B807BA">
            <w:pPr>
              <w:tabs>
                <w:tab w:val="left" w:leader="dot" w:pos="3720"/>
              </w:tabs>
              <w:spacing w:before="20" w:after="20"/>
              <w:rPr>
                <w:rFonts w:cs="Arial"/>
              </w:rPr>
            </w:pPr>
            <w:r w:rsidRPr="00E5019E">
              <w:t>Kontrollsorten</w:t>
            </w:r>
          </w:p>
        </w:tc>
        <w:tc>
          <w:tcPr>
            <w:tcW w:w="5953" w:type="dxa"/>
          </w:tcPr>
          <w:p w:rsidR="00CB4F75" w:rsidRPr="00E5019E" w:rsidRDefault="00CB4F75" w:rsidP="00B807BA">
            <w:pPr>
              <w:tabs>
                <w:tab w:val="left" w:leader="dot" w:pos="3402"/>
              </w:tabs>
              <w:ind w:left="3402" w:hanging="3402"/>
              <w:rPr>
                <w:rFonts w:cs="Arial"/>
                <w:color w:val="000000"/>
              </w:rPr>
            </w:pPr>
            <w:r w:rsidRPr="00E5019E">
              <w:t>Anfällige Kontrollsorten: Bartavelle</w:t>
            </w:r>
          </w:p>
          <w:p w:rsidR="00CB4F75" w:rsidRPr="00E5019E" w:rsidRDefault="00CB4F75" w:rsidP="00B807BA">
            <w:pPr>
              <w:rPr>
                <w:rFonts w:cs="Arial"/>
              </w:rPr>
            </w:pPr>
            <w:r w:rsidRPr="00E5019E">
              <w:t>Resistente Kontrollsorten: New Era und Nina</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9.5</w:t>
            </w:r>
          </w:p>
        </w:tc>
        <w:tc>
          <w:tcPr>
            <w:tcW w:w="3188" w:type="dxa"/>
          </w:tcPr>
          <w:p w:rsidR="00CB4F75" w:rsidRPr="00E5019E" w:rsidRDefault="00CB4F75" w:rsidP="00B807BA">
            <w:pPr>
              <w:tabs>
                <w:tab w:val="left" w:leader="dot" w:pos="3720"/>
              </w:tabs>
              <w:spacing w:before="20" w:after="20"/>
              <w:rPr>
                <w:rFonts w:cs="Arial"/>
              </w:rPr>
            </w:pPr>
            <w:r w:rsidRPr="00E5019E">
              <w:t>Prüfungseinrichtung</w:t>
            </w:r>
          </w:p>
        </w:tc>
        <w:tc>
          <w:tcPr>
            <w:tcW w:w="5953" w:type="dxa"/>
          </w:tcPr>
          <w:p w:rsidR="00CB4F75" w:rsidRPr="00E5019E" w:rsidRDefault="00CB4F75" w:rsidP="00B807BA">
            <w:pPr>
              <w:spacing w:before="20" w:after="20"/>
              <w:rPr>
                <w:rFonts w:cs="Arial"/>
                <w:color w:val="000000"/>
              </w:rPr>
            </w:pPr>
            <w:r w:rsidRPr="00E5019E">
              <w:rPr>
                <w:color w:val="000000"/>
              </w:rPr>
              <w:t>Klimatisierter Raum oder Gewächshaus</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9.6</w:t>
            </w:r>
          </w:p>
        </w:tc>
        <w:tc>
          <w:tcPr>
            <w:tcW w:w="3188" w:type="dxa"/>
          </w:tcPr>
          <w:p w:rsidR="00CB4F75" w:rsidRPr="00E5019E" w:rsidRDefault="00CB4F75" w:rsidP="00B807BA">
            <w:pPr>
              <w:tabs>
                <w:tab w:val="left" w:leader="dot" w:pos="3720"/>
              </w:tabs>
              <w:spacing w:before="20" w:after="20"/>
              <w:rPr>
                <w:rFonts w:cs="Arial"/>
              </w:rPr>
            </w:pPr>
            <w:r w:rsidRPr="00E5019E">
              <w:t>Temperatur</w:t>
            </w:r>
          </w:p>
        </w:tc>
        <w:tc>
          <w:tcPr>
            <w:tcW w:w="5953" w:type="dxa"/>
          </w:tcPr>
          <w:p w:rsidR="00CB4F75" w:rsidRPr="00E5019E" w:rsidRDefault="00CB4F75" w:rsidP="00B807BA">
            <w:pPr>
              <w:spacing w:before="20" w:after="20"/>
              <w:rPr>
                <w:rFonts w:cs="Arial"/>
                <w:color w:val="000000"/>
              </w:rPr>
            </w:pPr>
            <w:r w:rsidRPr="00E5019E">
              <w:rPr>
                <w:color w:val="000000"/>
              </w:rPr>
              <w:t>20-25°C</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9.7</w:t>
            </w:r>
          </w:p>
        </w:tc>
        <w:tc>
          <w:tcPr>
            <w:tcW w:w="3188" w:type="dxa"/>
          </w:tcPr>
          <w:p w:rsidR="00CB4F75" w:rsidRPr="00E5019E" w:rsidRDefault="00CB4F75" w:rsidP="00B807BA">
            <w:pPr>
              <w:tabs>
                <w:tab w:val="left" w:leader="dot" w:pos="3720"/>
              </w:tabs>
              <w:spacing w:before="20" w:after="20"/>
              <w:rPr>
                <w:rFonts w:cs="Arial"/>
              </w:rPr>
            </w:pPr>
            <w:r w:rsidRPr="00E5019E">
              <w:t>Licht</w:t>
            </w:r>
          </w:p>
        </w:tc>
        <w:tc>
          <w:tcPr>
            <w:tcW w:w="5953" w:type="dxa"/>
          </w:tcPr>
          <w:p w:rsidR="00CB4F75" w:rsidRPr="00E5019E" w:rsidRDefault="00CB4F75" w:rsidP="00B807BA">
            <w:pPr>
              <w:spacing w:before="20" w:after="20"/>
              <w:rPr>
                <w:rFonts w:cs="Arial"/>
                <w:color w:val="000000"/>
              </w:rPr>
            </w:pPr>
            <w:r w:rsidRPr="00E5019E">
              <w:rPr>
                <w:color w:val="000000"/>
              </w:rPr>
              <w:t>12 Stunden oder länger</w:t>
            </w:r>
          </w:p>
        </w:tc>
      </w:tr>
      <w:tr w:rsidR="00CB4F75" w:rsidRPr="00E5019E" w:rsidTr="00B807BA">
        <w:trPr>
          <w:cantSplit/>
        </w:trPr>
        <w:tc>
          <w:tcPr>
            <w:tcW w:w="606" w:type="dxa"/>
          </w:tcPr>
          <w:p w:rsidR="00CB4F75" w:rsidRPr="00E5019E" w:rsidRDefault="00CB4F75" w:rsidP="00B807BA">
            <w:pPr>
              <w:rPr>
                <w:rFonts w:cs="Arial"/>
              </w:rPr>
            </w:pPr>
            <w:r w:rsidRPr="00E5019E">
              <w:t>9.9</w:t>
            </w:r>
          </w:p>
        </w:tc>
        <w:tc>
          <w:tcPr>
            <w:tcW w:w="3188" w:type="dxa"/>
          </w:tcPr>
          <w:p w:rsidR="00CB4F75" w:rsidRPr="00E5019E" w:rsidRDefault="00CB4F75" w:rsidP="00B807BA">
            <w:pPr>
              <w:rPr>
                <w:rFonts w:cs="Arial"/>
              </w:rPr>
            </w:pPr>
            <w:r w:rsidRPr="00E5019E">
              <w:t>Besondere Maßnahmen</w:t>
            </w:r>
          </w:p>
        </w:tc>
        <w:tc>
          <w:tcPr>
            <w:tcW w:w="5953" w:type="dxa"/>
          </w:tcPr>
          <w:p w:rsidR="00CB4F75" w:rsidRPr="00E5019E" w:rsidRDefault="00CB4F75" w:rsidP="00B807BA">
            <w:pPr>
              <w:rPr>
                <w:rFonts w:cs="Arial"/>
                <w:color w:val="000000"/>
              </w:rPr>
            </w:pPr>
            <w:r w:rsidRPr="00E5019E">
              <w:t xml:space="preserve">Es ist wichtig, die inokulierten Pflanzen mit den negativen nicht inokulierten Kontrollpflanzen derselben Probe zu vergleichen. Dies ermöglicht die Interpretation von Symptomen von Wurzelfäule, des Alterns oder der 'Welke', die durch den Stress des Wurzelschnitts und nicht durch eine </w:t>
            </w:r>
            <w:r w:rsidRPr="00E5019E">
              <w:rPr>
                <w:i/>
                <w:iCs/>
              </w:rPr>
              <w:t>F. oxysporum</w:t>
            </w:r>
            <w:r w:rsidRPr="0018138B">
              <w:rPr>
                <w:iCs/>
              </w:rPr>
              <w:t>-Infektion</w:t>
            </w:r>
            <w:r w:rsidRPr="00E5019E">
              <w:rPr>
                <w:i/>
                <w:iCs/>
              </w:rPr>
              <w:t xml:space="preserve"> </w:t>
            </w:r>
            <w:r w:rsidRPr="00E5019E">
              <w:t>verursacht werden.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w:t>
            </w:r>
          </w:p>
        </w:tc>
        <w:tc>
          <w:tcPr>
            <w:tcW w:w="3188" w:type="dxa"/>
          </w:tcPr>
          <w:p w:rsidR="00CB4F75" w:rsidRPr="00E5019E" w:rsidRDefault="00CB4F75" w:rsidP="00B807BA">
            <w:pPr>
              <w:tabs>
                <w:tab w:val="left" w:leader="dot" w:pos="3720"/>
              </w:tabs>
              <w:spacing w:before="20" w:after="20"/>
              <w:rPr>
                <w:rFonts w:cs="Arial"/>
              </w:rPr>
            </w:pPr>
            <w:r w:rsidRPr="00E5019E">
              <w:t>Inokulation</w:t>
            </w:r>
          </w:p>
        </w:tc>
        <w:tc>
          <w:tcPr>
            <w:tcW w:w="5953" w:type="dxa"/>
          </w:tcPr>
          <w:p w:rsidR="00CB4F75" w:rsidRPr="00E5019E" w:rsidRDefault="00CB4F75" w:rsidP="00B807BA">
            <w:pPr>
              <w:spacing w:before="20" w:after="20"/>
              <w:rPr>
                <w:rFonts w:cs="Arial"/>
                <w:color w:val="000000"/>
              </w:rPr>
            </w:pP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10.1</w:t>
            </w:r>
          </w:p>
        </w:tc>
        <w:tc>
          <w:tcPr>
            <w:tcW w:w="3188" w:type="dxa"/>
          </w:tcPr>
          <w:p w:rsidR="00CB4F75" w:rsidRPr="00E5019E" w:rsidRDefault="00CB4F75" w:rsidP="00B807BA">
            <w:pPr>
              <w:tabs>
                <w:tab w:val="left" w:leader="dot" w:pos="3720"/>
              </w:tabs>
              <w:spacing w:before="20" w:after="20"/>
              <w:rPr>
                <w:rFonts w:cs="Arial"/>
              </w:rPr>
            </w:pPr>
            <w:r w:rsidRPr="00E5019E">
              <w:t>Vorbereitung des Inokulums</w:t>
            </w:r>
          </w:p>
        </w:tc>
        <w:tc>
          <w:tcPr>
            <w:tcW w:w="5953" w:type="dxa"/>
          </w:tcPr>
          <w:p w:rsidR="00CB4F75" w:rsidRPr="00E5019E" w:rsidRDefault="00CB4F75" w:rsidP="00B807BA">
            <w:pPr>
              <w:rPr>
                <w:rFonts w:cs="Arial"/>
                <w:color w:val="000000"/>
              </w:rPr>
            </w:pPr>
            <w:r w:rsidRPr="00E5019E">
              <w:rPr>
                <w:color w:val="000000"/>
              </w:rPr>
              <w:t>Für Agarplatten</w:t>
            </w:r>
            <w:r w:rsidR="0047646C">
              <w:rPr>
                <w:color w:val="000000"/>
              </w:rPr>
              <w:t xml:space="preserve"> werden die</w:t>
            </w:r>
            <w:r w:rsidRPr="00E5019E">
              <w:rPr>
                <w:color w:val="000000"/>
              </w:rPr>
              <w:t xml:space="preserve"> hyphale</w:t>
            </w:r>
            <w:r w:rsidR="0047646C">
              <w:rPr>
                <w:color w:val="000000"/>
              </w:rPr>
              <w:t>n Fragmente entfernt,</w:t>
            </w:r>
            <w:r w:rsidRPr="00E5019E">
              <w:rPr>
                <w:color w:val="000000"/>
              </w:rPr>
              <w:t xml:space="preserve"> indem die Lösung durch ein Gazetuch gestrichen wird.</w:t>
            </w:r>
          </w:p>
          <w:p w:rsidR="00CB4F75" w:rsidRPr="00E5019E" w:rsidRDefault="00CB4F75" w:rsidP="00B807BA">
            <w:pPr>
              <w:rPr>
                <w:rFonts w:cs="Arial"/>
                <w:color w:val="000000"/>
              </w:rPr>
            </w:pPr>
            <w:r w:rsidRPr="00E5019E">
              <w:rPr>
                <w:color w:val="000000"/>
              </w:rPr>
              <w:t>Für liquide Medien durch eine Gaze filtern.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10.2</w:t>
            </w:r>
          </w:p>
        </w:tc>
        <w:tc>
          <w:tcPr>
            <w:tcW w:w="3188" w:type="dxa"/>
          </w:tcPr>
          <w:p w:rsidR="00CB4F75" w:rsidRPr="00E5019E" w:rsidRDefault="00CB4F75" w:rsidP="00B807BA">
            <w:pPr>
              <w:tabs>
                <w:tab w:val="left" w:leader="dot" w:pos="3720"/>
              </w:tabs>
              <w:spacing w:before="20" w:after="20"/>
              <w:rPr>
                <w:rFonts w:cs="Arial"/>
              </w:rPr>
            </w:pPr>
            <w:r w:rsidRPr="00E5019E">
              <w:t>Quantifizierung des Inokulums</w:t>
            </w:r>
          </w:p>
        </w:tc>
        <w:tc>
          <w:tcPr>
            <w:tcW w:w="5953" w:type="dxa"/>
          </w:tcPr>
          <w:p w:rsidR="00CB4F75" w:rsidRPr="00E5019E" w:rsidRDefault="00CB4F75" w:rsidP="00B807BA">
            <w:pPr>
              <w:spacing w:before="20" w:after="20"/>
              <w:rPr>
                <w:rFonts w:cs="Arial"/>
                <w:color w:val="000000"/>
              </w:rPr>
            </w:pPr>
            <w:r w:rsidRPr="00E5019E">
              <w:rPr>
                <w:color w:val="000000"/>
              </w:rPr>
              <w:t>10</w:t>
            </w:r>
            <w:r w:rsidRPr="00E5019E">
              <w:rPr>
                <w:color w:val="000000"/>
                <w:vertAlign w:val="superscript"/>
              </w:rPr>
              <w:t>6</w:t>
            </w:r>
            <w:r w:rsidRPr="00E5019E">
              <w:rPr>
                <w:color w:val="000000"/>
              </w:rPr>
              <w:t xml:space="preserve"> Sporen/ml</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10.3</w:t>
            </w:r>
          </w:p>
        </w:tc>
        <w:tc>
          <w:tcPr>
            <w:tcW w:w="3188" w:type="dxa"/>
          </w:tcPr>
          <w:p w:rsidR="00CB4F75" w:rsidRPr="00E5019E" w:rsidRDefault="00CB4F75" w:rsidP="00B807BA">
            <w:pPr>
              <w:tabs>
                <w:tab w:val="left" w:leader="dot" w:pos="3720"/>
              </w:tabs>
              <w:spacing w:before="20" w:after="20"/>
              <w:rPr>
                <w:rFonts w:cs="Arial"/>
              </w:rPr>
            </w:pPr>
            <w:r w:rsidRPr="00E5019E">
              <w:t>Pflanzenstadium bei der Inokulation</w:t>
            </w:r>
          </w:p>
        </w:tc>
        <w:tc>
          <w:tcPr>
            <w:tcW w:w="5953" w:type="dxa"/>
          </w:tcPr>
          <w:p w:rsidR="00CB4F75" w:rsidRPr="00E5019E" w:rsidRDefault="00CB4F75" w:rsidP="00B807BA">
            <w:pPr>
              <w:spacing w:before="20" w:after="20"/>
              <w:rPr>
                <w:rFonts w:cs="Arial"/>
                <w:color w:val="000000"/>
              </w:rPr>
            </w:pPr>
            <w:r w:rsidRPr="00E5019E">
              <w:t>Samen oder 2 Wochen alte Keimlinge (Knotenstadium 2-3)</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10.4</w:t>
            </w:r>
          </w:p>
        </w:tc>
        <w:tc>
          <w:tcPr>
            <w:tcW w:w="3188" w:type="dxa"/>
          </w:tcPr>
          <w:p w:rsidR="00CB4F75" w:rsidRPr="00E5019E" w:rsidRDefault="00CB4F75" w:rsidP="00B807BA">
            <w:pPr>
              <w:tabs>
                <w:tab w:val="left" w:leader="dot" w:pos="3720"/>
              </w:tabs>
              <w:spacing w:before="20" w:after="20"/>
              <w:rPr>
                <w:rFonts w:cs="Arial"/>
              </w:rPr>
            </w:pPr>
            <w:r w:rsidRPr="00E5019E">
              <w:t>Inokulationsmethode</w:t>
            </w:r>
          </w:p>
        </w:tc>
        <w:tc>
          <w:tcPr>
            <w:tcW w:w="5953" w:type="dxa"/>
          </w:tcPr>
          <w:p w:rsidR="00CB4F75" w:rsidRPr="00E5019E" w:rsidRDefault="00CB4F75" w:rsidP="00B807BA">
            <w:pPr>
              <w:spacing w:before="20" w:after="20"/>
              <w:rPr>
                <w:rFonts w:cs="Arial"/>
                <w:color w:val="000000"/>
              </w:rPr>
            </w:pPr>
            <w:r w:rsidRPr="00E5019E">
              <w:rPr>
                <w:color w:val="000000"/>
              </w:rPr>
              <w:t>Für Samen:</w:t>
            </w:r>
          </w:p>
          <w:p w:rsidR="00CB4F75" w:rsidRPr="00E5019E" w:rsidRDefault="00CB4F75" w:rsidP="00B807BA">
            <w:pPr>
              <w:rPr>
                <w:rFonts w:cs="Arial"/>
              </w:rPr>
            </w:pPr>
            <w:r w:rsidRPr="00E5019E">
              <w:t>Aussaat in kontami</w:t>
            </w:r>
            <w:r w:rsidR="00D867B3">
              <w:t>niertes Substrat (erdbasiertes Substrat</w:t>
            </w:r>
            <w:r w:rsidRPr="00E5019E">
              <w:t>), 750 ml Sporensuspension mit 10</w:t>
            </w:r>
            <w:r w:rsidRPr="00E5019E">
              <w:rPr>
                <w:vertAlign w:val="superscript"/>
              </w:rPr>
              <w:t>6 </w:t>
            </w:r>
            <w:r w:rsidRPr="00E5019E">
              <w:t>sp/ml für 5 l Substrat.</w:t>
            </w:r>
          </w:p>
          <w:p w:rsidR="00CB4F75" w:rsidRPr="00E5019E" w:rsidRDefault="00CB4F75" w:rsidP="00B807BA">
            <w:pPr>
              <w:rPr>
                <w:rFonts w:cs="Arial"/>
                <w:color w:val="000000"/>
              </w:rPr>
            </w:pPr>
            <w:r w:rsidRPr="00E5019E">
              <w:t>Für 2 Wochen alte Setzlinge:</w:t>
            </w:r>
          </w:p>
          <w:p w:rsidR="00CB4F75" w:rsidRPr="00E5019E" w:rsidRDefault="00CB4F75" w:rsidP="00B807BA">
            <w:pPr>
              <w:rPr>
                <w:rFonts w:cs="Arial"/>
              </w:rPr>
            </w:pPr>
            <w:r w:rsidRPr="00E5019E">
              <w:t>Aussaat in einer Mischung aus Vermi</w:t>
            </w:r>
            <w:r w:rsidR="00D867B3">
              <w:t>culit + Erde oder erdbasiertes Substrat</w:t>
            </w:r>
          </w:p>
          <w:p w:rsidR="00CB4F75" w:rsidRPr="00E5019E" w:rsidRDefault="00CB4F75" w:rsidP="00B807BA">
            <w:pPr>
              <w:rPr>
                <w:rFonts w:cs="Arial"/>
                <w:color w:val="000000"/>
              </w:rPr>
            </w:pPr>
            <w:r w:rsidRPr="00E5019E">
              <w:t>Die apikalen 2/3 der Wurzeln werden mit einer Schere abgeschnitten, die Wurzel des Keimlings wird für 1 bis 5 Minuten in die Sporensuspension getaucht und in ein sauberes erdbasiertes Substrat in eine neue Schale umgepflanzt.</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10.7</w:t>
            </w:r>
          </w:p>
        </w:tc>
        <w:tc>
          <w:tcPr>
            <w:tcW w:w="3188" w:type="dxa"/>
          </w:tcPr>
          <w:p w:rsidR="00CB4F75" w:rsidRPr="00E5019E" w:rsidRDefault="00CB4F75" w:rsidP="00B807BA">
            <w:pPr>
              <w:tabs>
                <w:tab w:val="left" w:leader="dot" w:pos="3720"/>
              </w:tabs>
              <w:spacing w:before="20" w:after="20"/>
              <w:rPr>
                <w:rFonts w:cs="Arial"/>
              </w:rPr>
            </w:pPr>
            <w:r w:rsidRPr="00E5019E">
              <w:t>Abschließende Erfassungen</w:t>
            </w:r>
          </w:p>
        </w:tc>
        <w:tc>
          <w:tcPr>
            <w:tcW w:w="5953" w:type="dxa"/>
          </w:tcPr>
          <w:p w:rsidR="00CB4F75" w:rsidRPr="00E5019E" w:rsidRDefault="00CB4F75" w:rsidP="00B807BA">
            <w:pPr>
              <w:spacing w:before="20" w:after="20"/>
              <w:rPr>
                <w:rFonts w:cs="Arial"/>
                <w:color w:val="000000"/>
              </w:rPr>
            </w:pPr>
            <w:r w:rsidRPr="00E5019E">
              <w:rPr>
                <w:color w:val="000000"/>
              </w:rPr>
              <w:t xml:space="preserve">28 Tage nach der </w:t>
            </w:r>
            <w:r w:rsidRPr="00E5019E">
              <w:t>Inokulation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11.</w:t>
            </w:r>
          </w:p>
        </w:tc>
        <w:tc>
          <w:tcPr>
            <w:tcW w:w="3188" w:type="dxa"/>
          </w:tcPr>
          <w:p w:rsidR="00CB4F75" w:rsidRPr="00E5019E" w:rsidRDefault="00CB4F75" w:rsidP="00B807BA">
            <w:pPr>
              <w:tabs>
                <w:tab w:val="left" w:leader="dot" w:pos="3720"/>
              </w:tabs>
              <w:spacing w:before="20" w:after="20"/>
              <w:rPr>
                <w:rFonts w:cs="Arial"/>
              </w:rPr>
            </w:pPr>
            <w:r w:rsidRPr="00E5019E">
              <w:t>Erfassungen</w:t>
            </w:r>
          </w:p>
        </w:tc>
        <w:tc>
          <w:tcPr>
            <w:tcW w:w="5953" w:type="dxa"/>
          </w:tcPr>
          <w:p w:rsidR="00CB4F75" w:rsidRPr="00E5019E" w:rsidRDefault="00CB4F75" w:rsidP="00B807BA">
            <w:pPr>
              <w:spacing w:before="20" w:after="20"/>
              <w:jc w:val="left"/>
              <w:rPr>
                <w:rFonts w:cs="Arial"/>
              </w:rPr>
            </w:pP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11.1</w:t>
            </w:r>
          </w:p>
        </w:tc>
        <w:tc>
          <w:tcPr>
            <w:tcW w:w="3188" w:type="dxa"/>
          </w:tcPr>
          <w:p w:rsidR="00CB4F75" w:rsidRPr="00E5019E" w:rsidRDefault="0018138B" w:rsidP="00B807BA">
            <w:pPr>
              <w:tabs>
                <w:tab w:val="left" w:leader="dot" w:pos="3720"/>
              </w:tabs>
              <w:spacing w:before="20" w:after="20"/>
              <w:rPr>
                <w:rFonts w:cs="Arial"/>
              </w:rPr>
            </w:pPr>
            <w:r>
              <w:t>Methode</w:t>
            </w:r>
          </w:p>
        </w:tc>
        <w:tc>
          <w:tcPr>
            <w:tcW w:w="5953" w:type="dxa"/>
          </w:tcPr>
          <w:p w:rsidR="00CB4F75" w:rsidRPr="00E5019E" w:rsidRDefault="00CB4F75" w:rsidP="00B807BA">
            <w:pPr>
              <w:spacing w:before="20" w:after="20"/>
              <w:jc w:val="left"/>
              <w:rPr>
                <w:rFonts w:cs="Arial"/>
              </w:rPr>
            </w:pPr>
            <w:r w:rsidRPr="00E5019E">
              <w:t>visuell</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11.2</w:t>
            </w:r>
          </w:p>
        </w:tc>
        <w:tc>
          <w:tcPr>
            <w:tcW w:w="3188" w:type="dxa"/>
          </w:tcPr>
          <w:p w:rsidR="00CB4F75" w:rsidRPr="00E5019E" w:rsidRDefault="00CB4F75" w:rsidP="00B807BA">
            <w:pPr>
              <w:keepNext/>
              <w:tabs>
                <w:tab w:val="left" w:leader="dot" w:pos="3720"/>
              </w:tabs>
              <w:spacing w:before="20" w:after="20"/>
              <w:rPr>
                <w:rFonts w:cs="Arial"/>
              </w:rPr>
            </w:pPr>
            <w:r w:rsidRPr="00E5019E">
              <w:t>Erfassungsskala</w:t>
            </w:r>
          </w:p>
        </w:tc>
        <w:tc>
          <w:tcPr>
            <w:tcW w:w="5953" w:type="dxa"/>
          </w:tcPr>
          <w:p w:rsidR="00CB4F75" w:rsidRPr="00E5019E" w:rsidRDefault="00CB4F75" w:rsidP="00B807BA">
            <w:pPr>
              <w:spacing w:line="276" w:lineRule="auto"/>
              <w:rPr>
                <w:noProof/>
              </w:rPr>
            </w:pPr>
            <w:r w:rsidRPr="00E5019E">
              <w:t>anfällig:</w:t>
            </w:r>
          </w:p>
          <w:p w:rsidR="00CB4F75" w:rsidRPr="00E5019E" w:rsidRDefault="00CB4F75" w:rsidP="00B807BA">
            <w:pPr>
              <w:spacing w:line="276" w:lineRule="auto"/>
              <w:rPr>
                <w:noProof/>
              </w:rPr>
            </w:pPr>
            <w:r w:rsidRPr="00E5019E">
              <w:t xml:space="preserve">Klasse 2: Die Bandbreite reicht von einem Großteil der Pflanze verwelkt/vertrocknet, aber noch lebend, bis hin zu braunen abgestorbenen Pflanzen mit kollabierten Stängeln. </w:t>
            </w:r>
          </w:p>
          <w:p w:rsidR="00CB4F75" w:rsidRPr="00E5019E" w:rsidRDefault="00CB4F75" w:rsidP="00B807BA">
            <w:pPr>
              <w:rPr>
                <w:color w:val="000000"/>
              </w:rPr>
            </w:pPr>
            <w:r w:rsidRPr="00E5019E">
              <w:rPr>
                <w:color w:val="000000"/>
              </w:rPr>
              <w:t>resistent:</w:t>
            </w:r>
          </w:p>
          <w:p w:rsidR="00CB4F75" w:rsidRPr="00E5019E" w:rsidRDefault="00CB4F75" w:rsidP="00B807BA">
            <w:pPr>
              <w:rPr>
                <w:noProof/>
              </w:rPr>
            </w:pPr>
            <w:r w:rsidRPr="00E5019E">
              <w:rPr>
                <w:color w:val="000000"/>
              </w:rPr>
              <w:t>Klasse 0:</w:t>
            </w:r>
            <w:r w:rsidRPr="00E5019E">
              <w:t xml:space="preserve"> Keine Symptome oder äquivalent zu negativen Kontrollpflanzen, 1 oder 2 verwelkte/vertrocknete untere Blätter und eine leichte Wachstumsminderung im Vergleich zur negativen Kontrollgruppe derselben Sorte sind akzeptabel.</w:t>
            </w:r>
          </w:p>
          <w:p w:rsidR="00CB4F75" w:rsidRPr="00E5019E" w:rsidRDefault="00CB4F75" w:rsidP="00B807BA">
            <w:pPr>
              <w:spacing w:line="276" w:lineRule="auto"/>
              <w:rPr>
                <w:rFonts w:cs="Arial"/>
              </w:rPr>
            </w:pPr>
            <w:r w:rsidRPr="00E5019E">
              <w:t>Klasse 1: Die Bandbreite reicht von einigen chlorotischen oder verwelkten/vertrockneten Blättern, die nicht an der Negativkontrollgruppe bzw. zahlreicher als an der Negativkontrollgruppe vorhanden sind, bis hin zu vielen Blättern mit Symptomen des Alterns oder Welkens, einigen Blattabfällen, wobei der obere Teil der Pflanze noch grün ist und wächst.</w:t>
            </w:r>
          </w:p>
        </w:tc>
      </w:tr>
    </w:tbl>
    <w:p w:rsidR="00CB4F75" w:rsidRPr="00E5019E" w:rsidRDefault="00CB4F75" w:rsidP="00CB4F75"/>
    <w:tbl>
      <w:tblPr>
        <w:tblStyle w:val="TableGrid"/>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551"/>
        <w:gridCol w:w="2126"/>
        <w:gridCol w:w="1776"/>
      </w:tblGrid>
      <w:tr w:rsidR="00CB4F75" w:rsidRPr="00E5019E" w:rsidTr="00B807BA">
        <w:tc>
          <w:tcPr>
            <w:tcW w:w="1980" w:type="dxa"/>
          </w:tcPr>
          <w:p w:rsidR="00CB4F75" w:rsidRPr="00E5019E" w:rsidRDefault="00CB4F75" w:rsidP="00B807BA">
            <w:pPr>
              <w:rPr>
                <w:sz w:val="19"/>
                <w:szCs w:val="19"/>
              </w:rPr>
            </w:pPr>
            <w:r w:rsidRPr="00E5019E">
              <w:rPr>
                <w:noProof/>
                <w:sz w:val="19"/>
                <w:szCs w:val="19"/>
                <w:lang w:val="en-US"/>
              </w:rPr>
              <w:drawing>
                <wp:inline distT="0" distB="0" distL="0" distR="0" wp14:anchorId="0D5D76D1" wp14:editId="55A3ECB1">
                  <wp:extent cx="1074420" cy="2426335"/>
                  <wp:effectExtent l="0" t="0" r="0" b="0"/>
                  <wp:docPr id="18" name="Image 2" descr="Pea Fop note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2426335"/>
                          </a:xfrm>
                          <a:prstGeom prst="rect">
                            <a:avLst/>
                          </a:prstGeom>
                        </pic:spPr>
                      </pic:pic>
                    </a:graphicData>
                  </a:graphic>
                </wp:inline>
              </w:drawing>
            </w:r>
          </w:p>
        </w:tc>
        <w:tc>
          <w:tcPr>
            <w:tcW w:w="2551" w:type="dxa"/>
          </w:tcPr>
          <w:p w:rsidR="00CB4F75" w:rsidRPr="00E5019E" w:rsidRDefault="00CB4F75" w:rsidP="00B807BA">
            <w:pPr>
              <w:jc w:val="center"/>
              <w:rPr>
                <w:sz w:val="19"/>
                <w:szCs w:val="19"/>
              </w:rPr>
            </w:pPr>
            <w:r w:rsidRPr="00E5019E">
              <w:rPr>
                <w:noProof/>
                <w:sz w:val="19"/>
                <w:szCs w:val="19"/>
                <w:lang w:val="en-US"/>
              </w:rPr>
              <w:drawing>
                <wp:inline distT="0" distB="0" distL="0" distR="0" wp14:anchorId="0CBC280F" wp14:editId="29596E30">
                  <wp:extent cx="1257300" cy="2426335"/>
                  <wp:effectExtent l="0" t="0" r="0" b="0"/>
                  <wp:docPr id="28" name="Image 6" descr="Pea Fop no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2426335"/>
                          </a:xfrm>
                          <a:prstGeom prst="rect">
                            <a:avLst/>
                          </a:prstGeom>
                        </pic:spPr>
                      </pic:pic>
                    </a:graphicData>
                  </a:graphic>
                </wp:inline>
              </w:drawing>
            </w:r>
          </w:p>
        </w:tc>
        <w:tc>
          <w:tcPr>
            <w:tcW w:w="2126" w:type="dxa"/>
            <w:vAlign w:val="center"/>
          </w:tcPr>
          <w:p w:rsidR="00CB4F75" w:rsidRPr="00E5019E" w:rsidRDefault="00CB4F75" w:rsidP="00B807BA">
            <w:pPr>
              <w:jc w:val="center"/>
              <w:rPr>
                <w:sz w:val="19"/>
                <w:szCs w:val="19"/>
              </w:rPr>
            </w:pPr>
            <w:r w:rsidRPr="00E5019E">
              <w:rPr>
                <w:noProof/>
                <w:sz w:val="19"/>
                <w:szCs w:val="19"/>
                <w:lang w:val="en-US"/>
              </w:rPr>
              <w:drawing>
                <wp:inline distT="0" distB="0" distL="0" distR="0" wp14:anchorId="66E4FDC1" wp14:editId="79E7B88A">
                  <wp:extent cx="2490470" cy="1063625"/>
                  <wp:effectExtent l="8572" t="0" r="0" b="0"/>
                  <wp:docPr id="29" name="Image 8" descr="Pea Fop note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490470" cy="1063625"/>
                          </a:xfrm>
                          <a:prstGeom prst="rect">
                            <a:avLst/>
                          </a:prstGeom>
                        </pic:spPr>
                      </pic:pic>
                    </a:graphicData>
                  </a:graphic>
                </wp:inline>
              </w:drawing>
            </w:r>
          </w:p>
        </w:tc>
        <w:tc>
          <w:tcPr>
            <w:tcW w:w="1776" w:type="dxa"/>
          </w:tcPr>
          <w:p w:rsidR="00CB4F75" w:rsidRPr="00E5019E" w:rsidRDefault="00CB4F75" w:rsidP="00B807BA">
            <w:pPr>
              <w:jc w:val="center"/>
              <w:rPr>
                <w:sz w:val="19"/>
                <w:szCs w:val="19"/>
              </w:rPr>
            </w:pPr>
            <w:r w:rsidRPr="00E5019E">
              <w:rPr>
                <w:noProof/>
                <w:sz w:val="19"/>
                <w:szCs w:val="19"/>
                <w:lang w:val="en-US"/>
              </w:rPr>
              <w:drawing>
                <wp:inline distT="0" distB="0" distL="0" distR="0" wp14:anchorId="499F87C2" wp14:editId="08280076">
                  <wp:extent cx="990600" cy="2426335"/>
                  <wp:effectExtent l="0" t="0" r="0" b="0"/>
                  <wp:docPr id="30" name="Image 7" descr="Pea Fop no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2426335"/>
                          </a:xfrm>
                          <a:prstGeom prst="rect">
                            <a:avLst/>
                          </a:prstGeom>
                        </pic:spPr>
                      </pic:pic>
                    </a:graphicData>
                  </a:graphic>
                </wp:inline>
              </w:drawing>
            </w:r>
          </w:p>
        </w:tc>
      </w:tr>
      <w:tr w:rsidR="00CB4F75" w:rsidRPr="00E5019E" w:rsidTr="00B807BA">
        <w:tc>
          <w:tcPr>
            <w:tcW w:w="1980" w:type="dxa"/>
          </w:tcPr>
          <w:p w:rsidR="00CB4F75" w:rsidRPr="00E5019E" w:rsidRDefault="00CB4F75" w:rsidP="00B807BA">
            <w:pPr>
              <w:spacing w:line="276" w:lineRule="auto"/>
              <w:jc w:val="center"/>
              <w:rPr>
                <w:rFonts w:cs="Arial"/>
                <w:sz w:val="19"/>
                <w:szCs w:val="19"/>
              </w:rPr>
            </w:pPr>
            <w:r w:rsidRPr="00E5019E">
              <w:rPr>
                <w:sz w:val="19"/>
                <w:szCs w:val="19"/>
              </w:rPr>
              <w:t>Klasse 0</w:t>
            </w:r>
          </w:p>
          <w:p w:rsidR="00CB4F75" w:rsidRPr="00E5019E" w:rsidRDefault="00CB4F75" w:rsidP="00B807BA">
            <w:pPr>
              <w:spacing w:line="276" w:lineRule="auto"/>
              <w:jc w:val="center"/>
              <w:rPr>
                <w:rFonts w:cs="Arial"/>
                <w:sz w:val="19"/>
                <w:szCs w:val="19"/>
              </w:rPr>
            </w:pPr>
            <w:r w:rsidRPr="00E5019E">
              <w:rPr>
                <w:sz w:val="19"/>
                <w:szCs w:val="19"/>
              </w:rPr>
              <w:t>resistent</w:t>
            </w:r>
          </w:p>
        </w:tc>
        <w:tc>
          <w:tcPr>
            <w:tcW w:w="2551" w:type="dxa"/>
          </w:tcPr>
          <w:p w:rsidR="00CB4F75" w:rsidRPr="00E5019E" w:rsidRDefault="00CB4F75" w:rsidP="00B807BA">
            <w:pPr>
              <w:spacing w:line="276" w:lineRule="auto"/>
              <w:jc w:val="center"/>
              <w:rPr>
                <w:rFonts w:cs="Arial"/>
                <w:sz w:val="19"/>
                <w:szCs w:val="19"/>
              </w:rPr>
            </w:pPr>
            <w:r w:rsidRPr="00E5019E">
              <w:rPr>
                <w:sz w:val="19"/>
                <w:szCs w:val="19"/>
              </w:rPr>
              <w:t>Klasse 1</w:t>
            </w:r>
          </w:p>
          <w:p w:rsidR="00CB4F75" w:rsidRPr="00E5019E" w:rsidRDefault="00CB4F75" w:rsidP="00B807BA">
            <w:pPr>
              <w:spacing w:line="276" w:lineRule="auto"/>
              <w:jc w:val="center"/>
              <w:rPr>
                <w:rFonts w:cs="Arial"/>
                <w:sz w:val="19"/>
                <w:szCs w:val="19"/>
              </w:rPr>
            </w:pPr>
            <w:r w:rsidRPr="00E5019E">
              <w:rPr>
                <w:sz w:val="19"/>
                <w:szCs w:val="19"/>
              </w:rPr>
              <w:t>resistent</w:t>
            </w:r>
          </w:p>
        </w:tc>
        <w:tc>
          <w:tcPr>
            <w:tcW w:w="3902" w:type="dxa"/>
            <w:gridSpan w:val="2"/>
          </w:tcPr>
          <w:p w:rsidR="00CB4F75" w:rsidRPr="00E5019E" w:rsidRDefault="00CB4F75" w:rsidP="00B807BA">
            <w:pPr>
              <w:spacing w:line="276" w:lineRule="auto"/>
              <w:jc w:val="center"/>
              <w:rPr>
                <w:rFonts w:cs="Arial"/>
                <w:sz w:val="19"/>
                <w:szCs w:val="19"/>
              </w:rPr>
            </w:pPr>
            <w:r w:rsidRPr="00E5019E">
              <w:rPr>
                <w:sz w:val="19"/>
                <w:szCs w:val="19"/>
              </w:rPr>
              <w:t>Klasse 2</w:t>
            </w:r>
          </w:p>
          <w:p w:rsidR="00CB4F75" w:rsidRPr="00E5019E" w:rsidRDefault="00CB4F75" w:rsidP="00B807BA">
            <w:pPr>
              <w:spacing w:line="276" w:lineRule="auto"/>
              <w:jc w:val="center"/>
              <w:rPr>
                <w:rFonts w:cs="Arial"/>
                <w:sz w:val="19"/>
                <w:szCs w:val="19"/>
              </w:rPr>
            </w:pPr>
            <w:r w:rsidRPr="00E5019E">
              <w:t>anfällig</w:t>
            </w:r>
          </w:p>
        </w:tc>
      </w:tr>
    </w:tbl>
    <w:p w:rsidR="00CB4F75" w:rsidRPr="00E5019E" w:rsidRDefault="00CB4F75" w:rsidP="00CB4F75"/>
    <w:p w:rsidR="00CB4F75" w:rsidRPr="00E5019E" w:rsidRDefault="00CB4F75" w:rsidP="00CB4F7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p>
        </w:tc>
        <w:tc>
          <w:tcPr>
            <w:tcW w:w="3188" w:type="dxa"/>
          </w:tcPr>
          <w:p w:rsidR="00CB4F75" w:rsidRPr="00E5019E" w:rsidRDefault="00CB4F75" w:rsidP="00B807BA">
            <w:pPr>
              <w:tabs>
                <w:tab w:val="left" w:leader="dot" w:pos="3720"/>
              </w:tabs>
              <w:spacing w:before="20" w:after="20"/>
              <w:rPr>
                <w:rFonts w:cs="Arial"/>
              </w:rPr>
            </w:pPr>
          </w:p>
        </w:tc>
        <w:tc>
          <w:tcPr>
            <w:tcW w:w="5953" w:type="dxa"/>
          </w:tcPr>
          <w:p w:rsidR="00CB4F75" w:rsidRPr="00E5019E" w:rsidRDefault="00CB4F75" w:rsidP="00B807BA">
            <w:pPr>
              <w:spacing w:line="276" w:lineRule="auto"/>
              <w:rPr>
                <w:rFonts w:cs="Arial"/>
              </w:rPr>
            </w:pPr>
            <w:r w:rsidRPr="00E5019E">
              <w:t>Sorten mit demselben oder höheren Resistenzniveau wie New Era sind als resistent auszulegen. Sorten mit einem niedrigeren Resistenzniveau als New Era sind als anfällig auszulegen. Nina ist erwartungsgemäß äußerst resistent, Bartavelle sehr anfällig. New Era prägt schwache Symptome aus, und je nach Aggressivität der Prüfungsbedingungen können Abweichungen bei diesen schwachen Symptomen auftreten.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11.3</w:t>
            </w:r>
          </w:p>
        </w:tc>
        <w:tc>
          <w:tcPr>
            <w:tcW w:w="3188" w:type="dxa"/>
          </w:tcPr>
          <w:p w:rsidR="00CB4F75" w:rsidRPr="00E5019E" w:rsidRDefault="00CB4F75" w:rsidP="00B807BA">
            <w:pPr>
              <w:tabs>
                <w:tab w:val="left" w:leader="dot" w:pos="3720"/>
              </w:tabs>
              <w:spacing w:before="20" w:after="20"/>
              <w:rPr>
                <w:rFonts w:cs="Arial"/>
              </w:rPr>
            </w:pPr>
            <w:r w:rsidRPr="00E5019E">
              <w:t>Validierung der Prüfung</w:t>
            </w:r>
          </w:p>
        </w:tc>
        <w:tc>
          <w:tcPr>
            <w:tcW w:w="5953" w:type="dxa"/>
          </w:tcPr>
          <w:p w:rsidR="00CB4F75" w:rsidRPr="00E5019E" w:rsidRDefault="00CB4F75" w:rsidP="00B807BA">
            <w:pPr>
              <w:spacing w:before="20" w:after="20"/>
              <w:rPr>
                <w:rFonts w:cs="Arial"/>
                <w:color w:val="000000"/>
              </w:rPr>
            </w:pPr>
            <w:r w:rsidRPr="00E5019E">
              <w:rPr>
                <w:color w:val="000000"/>
              </w:rPr>
              <w:t>Bewertung der Sortenresistenz sollte mit den Ergebnissen der resistenten und anfälligen Kontrollsorten abgeglichen werden.</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ind w:left="426" w:hanging="426"/>
              <w:jc w:val="left"/>
              <w:rPr>
                <w:rFonts w:cs="Arial"/>
              </w:rPr>
            </w:pPr>
            <w:r w:rsidRPr="00E5019E">
              <w:t>12.</w:t>
            </w:r>
          </w:p>
        </w:tc>
        <w:tc>
          <w:tcPr>
            <w:tcW w:w="3188" w:type="dxa"/>
          </w:tcPr>
          <w:p w:rsidR="00CB4F75" w:rsidRPr="00E5019E" w:rsidRDefault="00CB4F75" w:rsidP="00B807BA">
            <w:pPr>
              <w:tabs>
                <w:tab w:val="left" w:leader="dot" w:pos="3720"/>
              </w:tabs>
              <w:spacing w:before="20" w:after="20"/>
              <w:ind w:left="34"/>
              <w:jc w:val="left"/>
              <w:rPr>
                <w:rFonts w:cs="Arial"/>
              </w:rPr>
            </w:pPr>
            <w:r w:rsidRPr="00E5019E">
              <w:t>Auswertung der Daten hinsichtlich der UPOV Ausprägungsstufen für Merkmale</w:t>
            </w:r>
          </w:p>
        </w:tc>
        <w:tc>
          <w:tcPr>
            <w:tcW w:w="5953" w:type="dxa"/>
          </w:tcPr>
          <w:p w:rsidR="00CB4F75" w:rsidRPr="00E5019E" w:rsidRDefault="00CB4F75" w:rsidP="00B807BA">
            <w:pPr>
              <w:spacing w:before="20" w:after="20"/>
              <w:rPr>
                <w:rFonts w:cs="Arial"/>
                <w:color w:val="000000"/>
              </w:rPr>
            </w:pPr>
          </w:p>
        </w:tc>
      </w:tr>
      <w:tr w:rsidR="00CB4F75" w:rsidRPr="00E5019E" w:rsidTr="00B807BA">
        <w:trPr>
          <w:cantSplit/>
        </w:trPr>
        <w:tc>
          <w:tcPr>
            <w:tcW w:w="606" w:type="dxa"/>
          </w:tcPr>
          <w:p w:rsidR="00CB4F75" w:rsidRPr="00E5019E" w:rsidRDefault="00CB4F75" w:rsidP="00B807BA">
            <w:pPr>
              <w:tabs>
                <w:tab w:val="left" w:leader="dot" w:pos="3720"/>
              </w:tabs>
              <w:spacing w:before="20" w:after="20"/>
              <w:ind w:left="426" w:hanging="426"/>
              <w:jc w:val="left"/>
              <w:rPr>
                <w:rFonts w:cs="Arial"/>
              </w:rPr>
            </w:pPr>
          </w:p>
        </w:tc>
        <w:tc>
          <w:tcPr>
            <w:tcW w:w="3188" w:type="dxa"/>
          </w:tcPr>
          <w:p w:rsidR="00CB4F75" w:rsidRPr="00E5019E" w:rsidRDefault="00CB4F75" w:rsidP="00B807BA">
            <w:pPr>
              <w:tabs>
                <w:tab w:val="left" w:pos="2019"/>
                <w:tab w:val="left" w:leader="dot" w:pos="3720"/>
              </w:tabs>
              <w:spacing w:before="20" w:after="20"/>
              <w:ind w:left="670"/>
              <w:jc w:val="left"/>
              <w:rPr>
                <w:rFonts w:cs="Arial"/>
              </w:rPr>
            </w:pPr>
            <w:r w:rsidRPr="00E5019E">
              <w:rPr>
                <w:color w:val="000000"/>
              </w:rPr>
              <w:t>fehlend</w:t>
            </w:r>
            <w:r w:rsidRPr="00E5019E">
              <w:tab/>
              <w:t>[1]</w:t>
            </w:r>
          </w:p>
        </w:tc>
        <w:tc>
          <w:tcPr>
            <w:tcW w:w="5953" w:type="dxa"/>
          </w:tcPr>
          <w:p w:rsidR="00CB4F75" w:rsidRPr="00E5019E" w:rsidRDefault="00CB4F75" w:rsidP="00B807BA">
            <w:pPr>
              <w:spacing w:before="20" w:after="20"/>
              <w:rPr>
                <w:rFonts w:cs="Arial"/>
                <w:color w:val="000000"/>
              </w:rPr>
            </w:pPr>
            <w:r w:rsidRPr="00E5019E">
              <w:rPr>
                <w:color w:val="000000"/>
              </w:rPr>
              <w:t>anfällig</w:t>
            </w:r>
          </w:p>
        </w:tc>
      </w:tr>
      <w:tr w:rsidR="00CB4F75" w:rsidRPr="00E5019E" w:rsidTr="00B807BA">
        <w:trPr>
          <w:cantSplit/>
        </w:trPr>
        <w:tc>
          <w:tcPr>
            <w:tcW w:w="606" w:type="dxa"/>
          </w:tcPr>
          <w:p w:rsidR="00CB4F75" w:rsidRPr="00E5019E" w:rsidRDefault="00CB4F75" w:rsidP="00B807BA">
            <w:pPr>
              <w:tabs>
                <w:tab w:val="left" w:leader="dot" w:pos="3720"/>
              </w:tabs>
              <w:spacing w:before="20" w:after="20"/>
              <w:ind w:left="426" w:hanging="426"/>
              <w:jc w:val="left"/>
              <w:rPr>
                <w:rFonts w:cs="Arial"/>
              </w:rPr>
            </w:pPr>
          </w:p>
        </w:tc>
        <w:tc>
          <w:tcPr>
            <w:tcW w:w="3188" w:type="dxa"/>
          </w:tcPr>
          <w:p w:rsidR="00CB4F75" w:rsidRPr="00E5019E" w:rsidRDefault="00CB4F75" w:rsidP="00B807BA">
            <w:pPr>
              <w:tabs>
                <w:tab w:val="left" w:pos="2019"/>
                <w:tab w:val="left" w:leader="dot" w:pos="3720"/>
              </w:tabs>
              <w:spacing w:before="20" w:after="20"/>
              <w:ind w:left="670"/>
              <w:jc w:val="left"/>
              <w:rPr>
                <w:rFonts w:cs="Arial"/>
              </w:rPr>
            </w:pPr>
            <w:r w:rsidRPr="00E5019E">
              <w:rPr>
                <w:color w:val="000000"/>
              </w:rPr>
              <w:t>vorhanden</w:t>
            </w:r>
            <w:r w:rsidRPr="00E5019E">
              <w:rPr>
                <w:color w:val="000000"/>
              </w:rPr>
              <w:tab/>
              <w:t>[9]</w:t>
            </w:r>
          </w:p>
        </w:tc>
        <w:tc>
          <w:tcPr>
            <w:tcW w:w="5953" w:type="dxa"/>
          </w:tcPr>
          <w:p w:rsidR="00CB4F75" w:rsidRPr="00E5019E" w:rsidRDefault="00CB4F75" w:rsidP="00B807BA">
            <w:pPr>
              <w:spacing w:before="20" w:after="20"/>
              <w:rPr>
                <w:rFonts w:cs="Arial"/>
                <w:color w:val="000000"/>
              </w:rPr>
            </w:pPr>
            <w:r w:rsidRPr="00E5019E">
              <w:rPr>
                <w:color w:val="000000"/>
              </w:rPr>
              <w:t>resistent</w:t>
            </w:r>
          </w:p>
        </w:tc>
      </w:tr>
      <w:tr w:rsidR="00CB4F75" w:rsidRPr="003733C6" w:rsidTr="00B807BA">
        <w:trPr>
          <w:cantSplit/>
        </w:trPr>
        <w:tc>
          <w:tcPr>
            <w:tcW w:w="606" w:type="dxa"/>
          </w:tcPr>
          <w:p w:rsidR="00CB4F75" w:rsidRPr="00E5019E" w:rsidRDefault="00CB4F75" w:rsidP="00B807BA">
            <w:pPr>
              <w:tabs>
                <w:tab w:val="left" w:leader="dot" w:pos="3720"/>
              </w:tabs>
              <w:spacing w:before="20" w:after="20"/>
              <w:rPr>
                <w:rFonts w:cs="Arial"/>
              </w:rPr>
            </w:pPr>
            <w:r w:rsidRPr="00E5019E">
              <w:t>13.</w:t>
            </w:r>
          </w:p>
        </w:tc>
        <w:tc>
          <w:tcPr>
            <w:tcW w:w="3188" w:type="dxa"/>
          </w:tcPr>
          <w:p w:rsidR="00CB4F75" w:rsidRPr="00E5019E" w:rsidRDefault="00CB4F75" w:rsidP="00B807BA">
            <w:pPr>
              <w:tabs>
                <w:tab w:val="left" w:leader="dot" w:pos="3720"/>
              </w:tabs>
              <w:spacing w:before="20" w:after="20"/>
              <w:rPr>
                <w:rFonts w:cs="Arial"/>
              </w:rPr>
            </w:pPr>
            <w:r w:rsidRPr="00E5019E">
              <w:t>Kritische Kontrollpunkte</w:t>
            </w:r>
          </w:p>
        </w:tc>
        <w:tc>
          <w:tcPr>
            <w:tcW w:w="5953" w:type="dxa"/>
          </w:tcPr>
          <w:p w:rsidR="00CB4F75" w:rsidRPr="00E5019E" w:rsidRDefault="00CB4F75" w:rsidP="00B807BA">
            <w:pPr>
              <w:rPr>
                <w:rFonts w:cs="Arial"/>
              </w:rPr>
            </w:pPr>
            <w:r w:rsidRPr="00E5019E">
              <w:t>Jedes Labor muß, abhängig von den Ergebnissen an den Kontrollsorten, das beste Inokulationsverfahren in seinem Labor bestimmen.</w:t>
            </w:r>
          </w:p>
          <w:p w:rsidR="00CB4F75" w:rsidRPr="00A633D8" w:rsidRDefault="00CB4F75" w:rsidP="00B807BA">
            <w:pPr>
              <w:spacing w:before="20" w:after="20"/>
              <w:rPr>
                <w:rFonts w:cs="Arial"/>
                <w:color w:val="000000"/>
              </w:rPr>
            </w:pPr>
            <w:r w:rsidRPr="00E5019E">
              <w:t>Inokulation durch Aussaat auf kontaminierter Erde kann in einigen Fällen zu Keimungsproblemen führen. In diesem Fall kann keine Schlußfolgerung gezogen werden, und die Prüfung sollte wiederholt werden.</w:t>
            </w:r>
          </w:p>
        </w:tc>
      </w:tr>
    </w:tbl>
    <w:p w:rsidR="00CB4F75" w:rsidRPr="00DF4EAF" w:rsidRDefault="00CB4F75" w:rsidP="00CB4F75">
      <w:pPr>
        <w:jc w:val="left"/>
      </w:pPr>
    </w:p>
    <w:p w:rsidR="00BE4CBF" w:rsidRPr="003733C6" w:rsidRDefault="00BE4CBF" w:rsidP="00A633D8">
      <w:pPr>
        <w:rPr>
          <w:sz w:val="19"/>
          <w:szCs w:val="19"/>
        </w:rPr>
      </w:pPr>
    </w:p>
    <w:p w:rsidR="00A633D8" w:rsidRPr="00CB4F75" w:rsidRDefault="00A633D8" w:rsidP="00A633D8">
      <w:pPr>
        <w:jc w:val="right"/>
      </w:pPr>
    </w:p>
    <w:p w:rsidR="00A633D8" w:rsidRPr="00CB4F75" w:rsidRDefault="00A633D8" w:rsidP="00A633D8">
      <w:pPr>
        <w:jc w:val="right"/>
      </w:pPr>
    </w:p>
    <w:p w:rsidR="00050E16" w:rsidRPr="00C5280D" w:rsidRDefault="00A633D8" w:rsidP="00513885">
      <w:pPr>
        <w:jc w:val="right"/>
      </w:pPr>
      <w:r w:rsidRPr="00C5280D">
        <w:t>[</w:t>
      </w:r>
      <w:r>
        <w:t>Ende des Dokuments</w:t>
      </w:r>
      <w:r w:rsidRPr="00C5280D">
        <w:t>]</w:t>
      </w:r>
    </w:p>
    <w:sectPr w:rsidR="00050E16" w:rsidRPr="00C5280D"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3A" w:rsidRDefault="00A2273A" w:rsidP="006655D3">
      <w:r>
        <w:separator/>
      </w:r>
    </w:p>
    <w:p w:rsidR="00A2273A" w:rsidRDefault="00A2273A" w:rsidP="006655D3"/>
    <w:p w:rsidR="00A2273A" w:rsidRDefault="00A2273A" w:rsidP="006655D3"/>
  </w:endnote>
  <w:endnote w:type="continuationSeparator" w:id="0">
    <w:p w:rsidR="00A2273A" w:rsidRDefault="00A2273A" w:rsidP="006655D3">
      <w:r>
        <w:separator/>
      </w:r>
    </w:p>
    <w:p w:rsidR="00A2273A" w:rsidRPr="00294751" w:rsidRDefault="00A2273A">
      <w:pPr>
        <w:pStyle w:val="Footer"/>
        <w:spacing w:after="60"/>
        <w:rPr>
          <w:sz w:val="18"/>
          <w:lang w:val="fr-FR"/>
        </w:rPr>
      </w:pPr>
      <w:r w:rsidRPr="00294751">
        <w:rPr>
          <w:sz w:val="18"/>
          <w:lang w:val="fr-FR"/>
        </w:rPr>
        <w:t>[Suite de la note de la page précédente]</w:t>
      </w:r>
    </w:p>
    <w:p w:rsidR="00A2273A" w:rsidRPr="00294751" w:rsidRDefault="00A2273A" w:rsidP="006655D3">
      <w:pPr>
        <w:rPr>
          <w:lang w:val="fr-FR"/>
        </w:rPr>
      </w:pPr>
    </w:p>
    <w:p w:rsidR="00A2273A" w:rsidRPr="00294751" w:rsidRDefault="00A2273A" w:rsidP="006655D3">
      <w:pPr>
        <w:rPr>
          <w:lang w:val="fr-FR"/>
        </w:rPr>
      </w:pPr>
    </w:p>
  </w:endnote>
  <w:endnote w:type="continuationNotice" w:id="1">
    <w:p w:rsidR="00A2273A" w:rsidRPr="00294751" w:rsidRDefault="00A2273A" w:rsidP="006655D3">
      <w:pPr>
        <w:rPr>
          <w:lang w:val="fr-FR"/>
        </w:rPr>
      </w:pPr>
      <w:r w:rsidRPr="00294751">
        <w:rPr>
          <w:lang w:val="fr-FR"/>
        </w:rPr>
        <w:t>[Suite de la note page suivante]</w:t>
      </w:r>
    </w:p>
    <w:p w:rsidR="00A2273A" w:rsidRPr="00294751" w:rsidRDefault="00A2273A" w:rsidP="006655D3">
      <w:pPr>
        <w:rPr>
          <w:lang w:val="fr-FR"/>
        </w:rPr>
      </w:pPr>
    </w:p>
    <w:p w:rsidR="00A2273A" w:rsidRPr="00294751" w:rsidRDefault="00A227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3A" w:rsidRDefault="00A2273A" w:rsidP="006655D3">
      <w:r>
        <w:separator/>
      </w:r>
    </w:p>
  </w:footnote>
  <w:footnote w:type="continuationSeparator" w:id="0">
    <w:p w:rsidR="00A2273A" w:rsidRDefault="00A2273A" w:rsidP="006655D3">
      <w:r>
        <w:separator/>
      </w:r>
    </w:p>
  </w:footnote>
  <w:footnote w:type="continuationNotice" w:id="1">
    <w:p w:rsidR="00A2273A" w:rsidRPr="00AB530F" w:rsidRDefault="00A2273A" w:rsidP="00AB530F">
      <w:pPr>
        <w:pStyle w:val="Footer"/>
      </w:pPr>
    </w:p>
  </w:footnote>
  <w:footnote w:id="2">
    <w:p w:rsidR="00CB4F75" w:rsidRPr="00FC0A89" w:rsidRDefault="00CB4F75" w:rsidP="00CB4F75">
      <w:pPr>
        <w:pStyle w:val="FootnoteText"/>
      </w:pPr>
      <w:r>
        <w:rPr>
          <w:rStyle w:val="FootnoteReference"/>
        </w:rPr>
        <w:footnoteRef/>
      </w:r>
      <w:r>
        <w:t xml:space="preserve"> </w:t>
      </w:r>
      <w:hyperlink r:id="rId1" w:history="1">
        <w:r>
          <w:rPr>
            <w:rStyle w:val="Hyperlink"/>
          </w:rPr>
          <w:t>matref@geves.fr</w:t>
        </w:r>
      </w:hyperlink>
      <w:r>
        <w:t xml:space="preserve"> / </w:t>
      </w:r>
      <w:hyperlink r:id="rId2" w:history="1">
        <w:r>
          <w:rPr>
            <w:rStyle w:val="Hyperlink"/>
          </w:rPr>
          <w:t>www.geves.fr</w:t>
        </w:r>
      </w:hyperlink>
      <w:r>
        <w:t xml:space="preserve"> </w:t>
      </w:r>
    </w:p>
  </w:footnote>
  <w:footnote w:id="3">
    <w:p w:rsidR="00CB4F75" w:rsidRPr="007C467E" w:rsidRDefault="00CB4F75" w:rsidP="00CB4F75">
      <w:pPr>
        <w:pStyle w:val="FootnoteText"/>
      </w:pPr>
      <w:r>
        <w:rPr>
          <w:rStyle w:val="FootnoteReference"/>
        </w:rPr>
        <w:footnoteRef/>
      </w:r>
      <w:r>
        <w:t xml:space="preserve"> </w:t>
      </w:r>
      <w:hyperlink r:id="rId3" w:history="1">
        <w:r>
          <w:rPr>
            <w:rStyle w:val="Hyperlink"/>
          </w:rPr>
          <w:t>resistencias@inia.es</w:t>
        </w:r>
      </w:hyperlink>
      <w:r>
        <w:t xml:space="preserve"> </w:t>
      </w:r>
    </w:p>
  </w:footnote>
  <w:footnote w:id="4">
    <w:p w:rsidR="00CB4F75" w:rsidRPr="00FC0A89" w:rsidRDefault="00CB4F75" w:rsidP="00CB4F75">
      <w:pPr>
        <w:pStyle w:val="FootnoteText"/>
      </w:pPr>
      <w:bookmarkStart w:id="2" w:name="_GoBack"/>
      <w:bookmarkEnd w:id="2"/>
      <w:r w:rsidRPr="007D179E">
        <w:rPr>
          <w:rStyle w:val="FootnoteReference"/>
        </w:rPr>
        <w:footnoteRef/>
      </w:r>
      <w:r w:rsidRPr="007D179E">
        <w:t xml:space="preserve"> </w:t>
      </w:r>
      <w:hyperlink r:id="rId4" w:history="1">
        <w:r w:rsidR="0018138B" w:rsidRPr="007D179E">
          <w:rPr>
            <w:rStyle w:val="Hyperlink"/>
          </w:rPr>
          <w:t>restest@sasa.gov.scot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A80261" w:rsidP="00EB048E">
    <w:pPr>
      <w:pStyle w:val="Header"/>
      <w:rPr>
        <w:rStyle w:val="PageNumber"/>
      </w:rPr>
    </w:pPr>
    <w:r>
      <w:rPr>
        <w:rStyle w:val="PageNumber"/>
        <w:lang w:val="en-US"/>
      </w:rPr>
      <w:t>TC-EDC/Mar1</w:t>
    </w:r>
    <w:r w:rsidR="00A30573">
      <w:rPr>
        <w:rStyle w:val="PageNumber"/>
        <w:lang w:val="en-US"/>
      </w:rPr>
      <w:t>9</w:t>
    </w:r>
    <w:r>
      <w:rPr>
        <w:rStyle w:val="PageNumber"/>
        <w:lang w:val="en-US"/>
      </w:rPr>
      <w:t>/</w:t>
    </w:r>
    <w:r w:rsidR="00615594">
      <w:rPr>
        <w:rStyle w:val="PageNumber"/>
        <w:lang w:val="en-US"/>
      </w:rPr>
      <w:t>6</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7D179E">
      <w:rPr>
        <w:rStyle w:val="PageNumber"/>
        <w:noProof/>
      </w:rPr>
      <w:t>2</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1F66F844"/>
    <w:lvl w:ilvl="0" w:tplc="04070017">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0C"/>
    <w:rsid w:val="00010CF3"/>
    <w:rsid w:val="00011E27"/>
    <w:rsid w:val="000148BC"/>
    <w:rsid w:val="00024AB8"/>
    <w:rsid w:val="00030854"/>
    <w:rsid w:val="00036028"/>
    <w:rsid w:val="00044642"/>
    <w:rsid w:val="000446B9"/>
    <w:rsid w:val="00047E21"/>
    <w:rsid w:val="00050E16"/>
    <w:rsid w:val="00083093"/>
    <w:rsid w:val="00085505"/>
    <w:rsid w:val="000A59B9"/>
    <w:rsid w:val="000C4E25"/>
    <w:rsid w:val="000C7021"/>
    <w:rsid w:val="000D6BBC"/>
    <w:rsid w:val="000D7780"/>
    <w:rsid w:val="000E636A"/>
    <w:rsid w:val="000F2F11"/>
    <w:rsid w:val="00105929"/>
    <w:rsid w:val="00110C36"/>
    <w:rsid w:val="001131D5"/>
    <w:rsid w:val="00124E8F"/>
    <w:rsid w:val="00141DB8"/>
    <w:rsid w:val="00172084"/>
    <w:rsid w:val="0017474A"/>
    <w:rsid w:val="001758C6"/>
    <w:rsid w:val="0018138B"/>
    <w:rsid w:val="00182B99"/>
    <w:rsid w:val="001E7656"/>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733C6"/>
    <w:rsid w:val="00376C5F"/>
    <w:rsid w:val="00397EDC"/>
    <w:rsid w:val="003B031A"/>
    <w:rsid w:val="003C7FBE"/>
    <w:rsid w:val="003D227C"/>
    <w:rsid w:val="003D2B4D"/>
    <w:rsid w:val="0040557F"/>
    <w:rsid w:val="00444A88"/>
    <w:rsid w:val="00474DA4"/>
    <w:rsid w:val="0047646C"/>
    <w:rsid w:val="0047680C"/>
    <w:rsid w:val="00476B4D"/>
    <w:rsid w:val="004805FA"/>
    <w:rsid w:val="004935D2"/>
    <w:rsid w:val="004B1215"/>
    <w:rsid w:val="004D047D"/>
    <w:rsid w:val="004F1E9E"/>
    <w:rsid w:val="004F305A"/>
    <w:rsid w:val="00512164"/>
    <w:rsid w:val="00513885"/>
    <w:rsid w:val="00520297"/>
    <w:rsid w:val="0052703E"/>
    <w:rsid w:val="005338F9"/>
    <w:rsid w:val="0054281C"/>
    <w:rsid w:val="00544581"/>
    <w:rsid w:val="00545E42"/>
    <w:rsid w:val="0055268D"/>
    <w:rsid w:val="00576BE4"/>
    <w:rsid w:val="005A400A"/>
    <w:rsid w:val="005F7B92"/>
    <w:rsid w:val="00612379"/>
    <w:rsid w:val="006153B6"/>
    <w:rsid w:val="0061555F"/>
    <w:rsid w:val="00615594"/>
    <w:rsid w:val="00636CA6"/>
    <w:rsid w:val="00641200"/>
    <w:rsid w:val="00645CA8"/>
    <w:rsid w:val="006655D3"/>
    <w:rsid w:val="00667404"/>
    <w:rsid w:val="00687EB4"/>
    <w:rsid w:val="00695C56"/>
    <w:rsid w:val="006A5CDE"/>
    <w:rsid w:val="006A644A"/>
    <w:rsid w:val="006B17D2"/>
    <w:rsid w:val="006C224E"/>
    <w:rsid w:val="006D38BF"/>
    <w:rsid w:val="006D780A"/>
    <w:rsid w:val="006E6D7A"/>
    <w:rsid w:val="0071271E"/>
    <w:rsid w:val="00732DEC"/>
    <w:rsid w:val="00735BD5"/>
    <w:rsid w:val="00737C6D"/>
    <w:rsid w:val="00744CE2"/>
    <w:rsid w:val="00751613"/>
    <w:rsid w:val="007556F6"/>
    <w:rsid w:val="00760EEF"/>
    <w:rsid w:val="00777EE5"/>
    <w:rsid w:val="00784836"/>
    <w:rsid w:val="0079023E"/>
    <w:rsid w:val="007A2854"/>
    <w:rsid w:val="007C1D92"/>
    <w:rsid w:val="007C4CB9"/>
    <w:rsid w:val="007C595A"/>
    <w:rsid w:val="007D0B9D"/>
    <w:rsid w:val="007D179E"/>
    <w:rsid w:val="007D19B0"/>
    <w:rsid w:val="007E1C69"/>
    <w:rsid w:val="007F498F"/>
    <w:rsid w:val="0080679D"/>
    <w:rsid w:val="008108B0"/>
    <w:rsid w:val="00811B20"/>
    <w:rsid w:val="008211B5"/>
    <w:rsid w:val="0082296E"/>
    <w:rsid w:val="00824099"/>
    <w:rsid w:val="00825BFE"/>
    <w:rsid w:val="00831FE2"/>
    <w:rsid w:val="00833054"/>
    <w:rsid w:val="00846D7C"/>
    <w:rsid w:val="00864C55"/>
    <w:rsid w:val="00867AC1"/>
    <w:rsid w:val="00890DF8"/>
    <w:rsid w:val="008A743F"/>
    <w:rsid w:val="008C0970"/>
    <w:rsid w:val="008D0BC5"/>
    <w:rsid w:val="008D2CF7"/>
    <w:rsid w:val="008E24E2"/>
    <w:rsid w:val="00900C26"/>
    <w:rsid w:val="0090197F"/>
    <w:rsid w:val="00906DDC"/>
    <w:rsid w:val="00907043"/>
    <w:rsid w:val="00923075"/>
    <w:rsid w:val="00934E09"/>
    <w:rsid w:val="00936253"/>
    <w:rsid w:val="00940D46"/>
    <w:rsid w:val="00952DD4"/>
    <w:rsid w:val="00965AE7"/>
    <w:rsid w:val="00970FED"/>
    <w:rsid w:val="00992D82"/>
    <w:rsid w:val="00995D37"/>
    <w:rsid w:val="00997029"/>
    <w:rsid w:val="009A7339"/>
    <w:rsid w:val="009B440E"/>
    <w:rsid w:val="009D690D"/>
    <w:rsid w:val="009E65B6"/>
    <w:rsid w:val="00A0142C"/>
    <w:rsid w:val="00A136B3"/>
    <w:rsid w:val="00A2273A"/>
    <w:rsid w:val="00A24C10"/>
    <w:rsid w:val="00A30573"/>
    <w:rsid w:val="00A42AC3"/>
    <w:rsid w:val="00A430CF"/>
    <w:rsid w:val="00A54309"/>
    <w:rsid w:val="00A633D8"/>
    <w:rsid w:val="00A706D3"/>
    <w:rsid w:val="00A70A89"/>
    <w:rsid w:val="00A7227F"/>
    <w:rsid w:val="00A80261"/>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BE4CBF"/>
    <w:rsid w:val="00C061B6"/>
    <w:rsid w:val="00C2446C"/>
    <w:rsid w:val="00C36AE5"/>
    <w:rsid w:val="00C41F17"/>
    <w:rsid w:val="00C47F68"/>
    <w:rsid w:val="00C527FA"/>
    <w:rsid w:val="00C5280D"/>
    <w:rsid w:val="00C53EB3"/>
    <w:rsid w:val="00C5791C"/>
    <w:rsid w:val="00C66290"/>
    <w:rsid w:val="00C72B7A"/>
    <w:rsid w:val="00C973F2"/>
    <w:rsid w:val="00CA304C"/>
    <w:rsid w:val="00CA774A"/>
    <w:rsid w:val="00CB4F75"/>
    <w:rsid w:val="00CC11B0"/>
    <w:rsid w:val="00CC2841"/>
    <w:rsid w:val="00CF1330"/>
    <w:rsid w:val="00CF7E36"/>
    <w:rsid w:val="00D10AB3"/>
    <w:rsid w:val="00D2740F"/>
    <w:rsid w:val="00D3708D"/>
    <w:rsid w:val="00D40426"/>
    <w:rsid w:val="00D57C96"/>
    <w:rsid w:val="00D57D18"/>
    <w:rsid w:val="00D867B3"/>
    <w:rsid w:val="00D91203"/>
    <w:rsid w:val="00D95174"/>
    <w:rsid w:val="00DA4973"/>
    <w:rsid w:val="00DA6F36"/>
    <w:rsid w:val="00DB596E"/>
    <w:rsid w:val="00DB7773"/>
    <w:rsid w:val="00DC00EA"/>
    <w:rsid w:val="00DC3802"/>
    <w:rsid w:val="00DD66F5"/>
    <w:rsid w:val="00DE5973"/>
    <w:rsid w:val="00E07D87"/>
    <w:rsid w:val="00E26363"/>
    <w:rsid w:val="00E32F7E"/>
    <w:rsid w:val="00E50FB5"/>
    <w:rsid w:val="00E522E8"/>
    <w:rsid w:val="00E5267B"/>
    <w:rsid w:val="00E63C0E"/>
    <w:rsid w:val="00E72D49"/>
    <w:rsid w:val="00E7593C"/>
    <w:rsid w:val="00E7678A"/>
    <w:rsid w:val="00E80791"/>
    <w:rsid w:val="00E935F1"/>
    <w:rsid w:val="00E94A81"/>
    <w:rsid w:val="00EA1FFB"/>
    <w:rsid w:val="00EB048E"/>
    <w:rsid w:val="00EB4E9C"/>
    <w:rsid w:val="00EE34DF"/>
    <w:rsid w:val="00EF2F89"/>
    <w:rsid w:val="00F03E98"/>
    <w:rsid w:val="00F11C4F"/>
    <w:rsid w:val="00F1237A"/>
    <w:rsid w:val="00F22CBD"/>
    <w:rsid w:val="00F272F1"/>
    <w:rsid w:val="00F3412C"/>
    <w:rsid w:val="00F45372"/>
    <w:rsid w:val="00F560F7"/>
    <w:rsid w:val="00F5638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449F53-10E1-4DE3-A8ED-C334F36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633D8"/>
    <w:pPr>
      <w:ind w:left="720"/>
      <w:contextualSpacing/>
    </w:pPr>
    <w:rPr>
      <w:rFonts w:eastAsia="MS Mincho"/>
      <w:lang w:val="en-US"/>
    </w:rPr>
  </w:style>
  <w:style w:type="paragraph" w:customStyle="1" w:styleId="Default">
    <w:name w:val="Default"/>
    <w:rsid w:val="00A633D8"/>
    <w:pPr>
      <w:autoSpaceDE w:val="0"/>
      <w:autoSpaceDN w:val="0"/>
      <w:adjustRightInd w:val="0"/>
    </w:pPr>
    <w:rPr>
      <w:rFonts w:ascii="Arial" w:hAnsi="Arial" w:cs="Arial"/>
      <w:color w:val="000000"/>
      <w:sz w:val="24"/>
      <w:szCs w:val="24"/>
    </w:rPr>
  </w:style>
  <w:style w:type="paragraph" w:customStyle="1" w:styleId="Normalt">
    <w:name w:val="Normalt"/>
    <w:basedOn w:val="Normal"/>
    <w:rsid w:val="00A633D8"/>
    <w:pPr>
      <w:spacing w:before="120" w:after="120"/>
      <w:jc w:val="left"/>
    </w:pPr>
    <w:rPr>
      <w:rFonts w:ascii="Times New Roman" w:hAnsi="Times New Roman"/>
      <w:lang w:val="en-US" w:eastAsia="fr-FR"/>
    </w:rPr>
  </w:style>
  <w:style w:type="paragraph" w:customStyle="1" w:styleId="Normaltb">
    <w:name w:val="Normaltb"/>
    <w:basedOn w:val="Normalt"/>
    <w:rsid w:val="00A633D8"/>
    <w:pPr>
      <w:keepNext/>
    </w:pPr>
    <w:rPr>
      <w:b/>
      <w:bCs/>
    </w:rPr>
  </w:style>
  <w:style w:type="table" w:styleId="TableGrid">
    <w:name w:val="Table Grid"/>
    <w:basedOn w:val="TableNormal"/>
    <w:rsid w:val="00A633D8"/>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633D8"/>
    <w:rPr>
      <w:rFonts w:ascii="Arial" w:hAnsi="Arial"/>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rldseed.org/cms/medias/file/TradeIssues/DiseasesResistance/Differentials/Pea-near_wilt_2012.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resistencias@inia.es" TargetMode="External"/><Relationship Id="rId2" Type="http://schemas.openxmlformats.org/officeDocument/2006/relationships/hyperlink" Target="http://www.geves.fr" TargetMode="External"/><Relationship Id="rId1" Type="http://schemas.openxmlformats.org/officeDocument/2006/relationships/hyperlink" Target="mailto:matref@geves.fr" TargetMode="External"/><Relationship Id="rId4" Type="http://schemas.openxmlformats.org/officeDocument/2006/relationships/hyperlink" Target="mailto:restest@sasa.gov.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bson\Downloads\tc_edc_mar_1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tc_edc_mar_19_DE.dotx</Template>
  <TotalTime>10</TotalTime>
  <Pages>6</Pages>
  <Words>1715</Words>
  <Characters>9781</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TC-EDC/Mar18</vt:lpstr>
      <vt:lpstr>TC-EDC/Mar18</vt:lpstr>
    </vt:vector>
  </TitlesOfParts>
  <Company>UPOV</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GIBSON Rory</dc:creator>
  <cp:lastModifiedBy>Romy Oertel</cp:lastModifiedBy>
  <cp:revision>8</cp:revision>
  <cp:lastPrinted>2019-02-06T12:34:00Z</cp:lastPrinted>
  <dcterms:created xsi:type="dcterms:W3CDTF">2019-01-07T18:54:00Z</dcterms:created>
  <dcterms:modified xsi:type="dcterms:W3CDTF">2019-02-06T12:35:00Z</dcterms:modified>
</cp:coreProperties>
</file>