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874D3B" w14:paraId="56F9845B" w14:textId="77777777" w:rsidTr="00EB4E9C">
        <w:tc>
          <w:tcPr>
            <w:tcW w:w="6522" w:type="dxa"/>
          </w:tcPr>
          <w:p w14:paraId="0A54ABAA" w14:textId="77777777" w:rsidR="00DC3802" w:rsidRPr="00874D3B" w:rsidRDefault="00BB15AF" w:rsidP="00AC2883">
            <w:r w:rsidRPr="00874D3B">
              <w:rPr>
                <w:noProof/>
              </w:rPr>
              <w:drawing>
                <wp:inline distT="0" distB="0" distL="0" distR="0" wp14:anchorId="47939FDC" wp14:editId="163444A1">
                  <wp:extent cx="933580" cy="266737"/>
                  <wp:effectExtent l="0" t="0" r="0" b="0"/>
                  <wp:docPr id="205790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00728" name="Picture 2057900728"/>
                          <pic:cNvPicPr/>
                        </pic:nvPicPr>
                        <pic:blipFill>
                          <a:blip r:embed="rId6">
                            <a:extLst>
                              <a:ext uri="{28A0092B-C50C-407E-A947-70E740481C1C}">
                                <a14:useLocalDpi xmlns:a14="http://schemas.microsoft.com/office/drawing/2010/main" val="0"/>
                              </a:ext>
                            </a:extLst>
                          </a:blip>
                          <a:stretch>
                            <a:fillRect/>
                          </a:stretch>
                        </pic:blipFill>
                        <pic:spPr>
                          <a:xfrm>
                            <a:off x="0" y="0"/>
                            <a:ext cx="933580" cy="266737"/>
                          </a:xfrm>
                          <a:prstGeom prst="rect">
                            <a:avLst/>
                          </a:prstGeom>
                        </pic:spPr>
                      </pic:pic>
                    </a:graphicData>
                  </a:graphic>
                </wp:inline>
              </w:drawing>
            </w:r>
          </w:p>
        </w:tc>
        <w:tc>
          <w:tcPr>
            <w:tcW w:w="3117" w:type="dxa"/>
          </w:tcPr>
          <w:p w14:paraId="6D4A505A" w14:textId="2E75EAC6" w:rsidR="00DC3802" w:rsidRPr="00874D3B" w:rsidRDefault="00874D3B" w:rsidP="00AC2883">
            <w:pPr>
              <w:pStyle w:val="Lettrine"/>
            </w:pPr>
            <w:r>
              <w:t>G</w:t>
            </w:r>
          </w:p>
        </w:tc>
      </w:tr>
      <w:tr w:rsidR="00DC3802" w:rsidRPr="00874D3B" w14:paraId="5EFD5EDE" w14:textId="77777777" w:rsidTr="00645CA8">
        <w:trPr>
          <w:trHeight w:val="219"/>
        </w:trPr>
        <w:tc>
          <w:tcPr>
            <w:tcW w:w="6522" w:type="dxa"/>
          </w:tcPr>
          <w:p w14:paraId="3D57740C" w14:textId="77777777" w:rsidR="00DC3802" w:rsidRPr="00874D3B" w:rsidRDefault="00DC3802" w:rsidP="00AC2883">
            <w:pPr>
              <w:pStyle w:val="upove"/>
            </w:pPr>
            <w:r w:rsidRPr="00874D3B">
              <w:t>Internationaler Verband zum Schutz von Pflanzenzüchtungen</w:t>
            </w:r>
          </w:p>
        </w:tc>
        <w:tc>
          <w:tcPr>
            <w:tcW w:w="3117" w:type="dxa"/>
          </w:tcPr>
          <w:p w14:paraId="5F0BB3CB" w14:textId="77777777" w:rsidR="00DC3802" w:rsidRPr="00874D3B" w:rsidRDefault="00DC3802" w:rsidP="00DA4973"/>
        </w:tc>
      </w:tr>
    </w:tbl>
    <w:p w14:paraId="392D489C" w14:textId="77777777" w:rsidR="00DC3802" w:rsidRPr="00874D3B" w:rsidRDefault="00DC3802" w:rsidP="00DC3802"/>
    <w:p w14:paraId="194759F9" w14:textId="77777777" w:rsidR="00DA4973" w:rsidRPr="00874D3B"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874D3B" w14:paraId="31FD17CF" w14:textId="77777777" w:rsidTr="00EB4E9C">
        <w:tc>
          <w:tcPr>
            <w:tcW w:w="6512" w:type="dxa"/>
          </w:tcPr>
          <w:p w14:paraId="61535C01" w14:textId="77777777" w:rsidR="00EB4E9C" w:rsidRPr="00874D3B" w:rsidRDefault="00EB4E9C" w:rsidP="00AC2883">
            <w:pPr>
              <w:pStyle w:val="Sessiontc"/>
              <w:spacing w:line="240" w:lineRule="auto"/>
            </w:pPr>
            <w:r w:rsidRPr="00874D3B">
              <w:t>Technischer Ausschuss</w:t>
            </w:r>
          </w:p>
          <w:p w14:paraId="55FD7531" w14:textId="77777777" w:rsidR="00296158" w:rsidRPr="00874D3B" w:rsidRDefault="0086579E" w:rsidP="00CC461C">
            <w:pPr>
              <w:pStyle w:val="Sessiontcplacedate"/>
            </w:pPr>
            <w:r w:rsidRPr="00874D3B">
              <w:t xml:space="preserve">Zweiundsechzigste </w:t>
            </w:r>
            <w:r w:rsidR="00EB4E9C" w:rsidRPr="00874D3B">
              <w:t>Tagung</w:t>
            </w:r>
          </w:p>
          <w:p w14:paraId="7785C90A" w14:textId="77777777" w:rsidR="00EB4E9C" w:rsidRPr="00874D3B" w:rsidRDefault="00EB4E9C" w:rsidP="00D42AF1">
            <w:pPr>
              <w:pStyle w:val="Sessiontcplacedate"/>
              <w:rPr>
                <w:sz w:val="22"/>
              </w:rPr>
            </w:pPr>
            <w:r w:rsidRPr="00874D3B">
              <w:t xml:space="preserve">Genf, </w:t>
            </w:r>
            <w:r w:rsidR="0086579E" w:rsidRPr="00874D3B">
              <w:t xml:space="preserve">19. </w:t>
            </w:r>
            <w:r w:rsidR="008B6E60" w:rsidRPr="00874D3B">
              <w:t>und 20</w:t>
            </w:r>
            <w:r w:rsidR="0086579E" w:rsidRPr="00874D3B">
              <w:t xml:space="preserve">. </w:t>
            </w:r>
            <w:r w:rsidR="008B6E60" w:rsidRPr="00874D3B">
              <w:t>Oktober</w:t>
            </w:r>
            <w:r w:rsidR="0086579E" w:rsidRPr="00874D3B">
              <w:t xml:space="preserve"> 2026</w:t>
            </w:r>
          </w:p>
        </w:tc>
        <w:tc>
          <w:tcPr>
            <w:tcW w:w="3127" w:type="dxa"/>
          </w:tcPr>
          <w:p w14:paraId="627E8894" w14:textId="2FB123D9" w:rsidR="00EB4E9C" w:rsidRPr="00874D3B" w:rsidRDefault="007278B9" w:rsidP="003C7FBE">
            <w:pPr>
              <w:pStyle w:val="Doccode"/>
              <w:rPr>
                <w:lang w:val="de-DE"/>
              </w:rPr>
            </w:pPr>
            <w:r w:rsidRPr="00874D3B">
              <w:rPr>
                <w:lang w:val="de-DE"/>
              </w:rPr>
              <w:t>TC/62/1</w:t>
            </w:r>
          </w:p>
          <w:p w14:paraId="2B4A9106" w14:textId="77777777" w:rsidR="00EB4E9C" w:rsidRPr="00874D3B" w:rsidRDefault="00EB4E9C" w:rsidP="003C7FBE">
            <w:pPr>
              <w:pStyle w:val="Docoriginal"/>
            </w:pPr>
            <w:r w:rsidRPr="00874D3B">
              <w:t xml:space="preserve">Original: </w:t>
            </w:r>
            <w:r w:rsidRPr="00874D3B">
              <w:rPr>
                <w:b w:val="0"/>
                <w:spacing w:val="0"/>
              </w:rPr>
              <w:t>Englisch</w:t>
            </w:r>
          </w:p>
          <w:p w14:paraId="66AA654D" w14:textId="62BA857F" w:rsidR="00EB4E9C" w:rsidRPr="00874D3B" w:rsidRDefault="00EB4E9C" w:rsidP="001F34F7">
            <w:pPr>
              <w:pStyle w:val="Docoriginal"/>
            </w:pPr>
            <w:r w:rsidRPr="0033734B">
              <w:t>Datum:</w:t>
            </w:r>
            <w:r w:rsidR="008B6E60" w:rsidRPr="0033734B">
              <w:rPr>
                <w:b w:val="0"/>
                <w:spacing w:val="0"/>
              </w:rPr>
              <w:t xml:space="preserve">  </w:t>
            </w:r>
            <w:r w:rsidR="00D854A0" w:rsidRPr="0033734B">
              <w:rPr>
                <w:b w:val="0"/>
                <w:spacing w:val="0"/>
              </w:rPr>
              <w:t>1</w:t>
            </w:r>
            <w:r w:rsidR="0033734B" w:rsidRPr="0033734B">
              <w:rPr>
                <w:b w:val="0"/>
                <w:spacing w:val="0"/>
              </w:rPr>
              <w:t>6</w:t>
            </w:r>
            <w:r w:rsidR="005E779B" w:rsidRPr="0033734B">
              <w:rPr>
                <w:b w:val="0"/>
                <w:spacing w:val="0"/>
              </w:rPr>
              <w:t>. Juni 2026</w:t>
            </w:r>
          </w:p>
        </w:tc>
      </w:tr>
    </w:tbl>
    <w:p w14:paraId="0943B99E" w14:textId="77777777" w:rsidR="00874D3B" w:rsidRPr="0067149F" w:rsidRDefault="00874D3B" w:rsidP="00874D3B">
      <w:pPr>
        <w:pStyle w:val="Titleofdoc0"/>
      </w:pPr>
      <w:r w:rsidRPr="0067149F">
        <w:t>ENTWURF DER ERLÄUTERTEN TAGESORDNUNG</w:t>
      </w:r>
    </w:p>
    <w:p w14:paraId="06348D43" w14:textId="77777777" w:rsidR="00874D3B" w:rsidRPr="0067149F" w:rsidRDefault="00874D3B" w:rsidP="00874D3B">
      <w:pPr>
        <w:pStyle w:val="preparedby1"/>
        <w:jc w:val="left"/>
      </w:pPr>
      <w:r w:rsidRPr="0067149F">
        <w:t>vom Verbandsbüro erstellt</w:t>
      </w:r>
    </w:p>
    <w:p w14:paraId="291BF2EC" w14:textId="77777777" w:rsidR="00874D3B" w:rsidRPr="006365CE" w:rsidRDefault="00874D3B" w:rsidP="00874D3B">
      <w:pPr>
        <w:pStyle w:val="Disclaimer"/>
        <w:rPr>
          <w:lang w:val="de-DE"/>
        </w:rPr>
      </w:pPr>
      <w:r w:rsidRPr="006365CE">
        <w:rPr>
          <w:lang w:val="de-DE"/>
        </w:rPr>
        <w:t>Haftungsausschluss: Dieses Dokument gibt nicht die Grundsätze oder eine Anleitung der UPOV wieder</w:t>
      </w:r>
      <w:r>
        <w:rPr>
          <w:lang w:val="de-DE"/>
        </w:rPr>
        <w:t>.</w:t>
      </w:r>
      <w:r>
        <w:rPr>
          <w:lang w:val="de-DE"/>
        </w:rPr>
        <w:br/>
      </w:r>
      <w:r>
        <w:rPr>
          <w:lang w:val="de-DE"/>
        </w:rPr>
        <w:br/>
      </w:r>
      <w:r w:rsidRPr="006365CE">
        <w:rPr>
          <w:lang w:val="de-DE"/>
        </w:rPr>
        <w:t>Dieses Dokument wurde mit Hilfe einer maschinellen Übersetzung erstellt, und die Genauigkeit kann nicht garantiert werden. Daher ist der Text in der Originalsprache die einzige authentische Version.</w:t>
      </w:r>
    </w:p>
    <w:p w14:paraId="4B5AA355" w14:textId="77777777"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t>Eröffnung der Tagung</w:t>
      </w:r>
    </w:p>
    <w:p w14:paraId="6F38C686" w14:textId="77777777" w:rsidR="005E779B" w:rsidRPr="00874D3B" w:rsidRDefault="005E779B" w:rsidP="005E779B"/>
    <w:p w14:paraId="7024E9EE" w14:textId="77777777" w:rsidR="005E779B" w:rsidRPr="00874D3B" w:rsidRDefault="005E779B" w:rsidP="005E779B"/>
    <w:p w14:paraId="532F34FD" w14:textId="77777777"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t>Annahme der Tagesordnung</w:t>
      </w:r>
    </w:p>
    <w:p w14:paraId="5510AC8B" w14:textId="77777777" w:rsidR="005E779B" w:rsidRPr="00874D3B" w:rsidRDefault="005E779B" w:rsidP="005E779B"/>
    <w:p w14:paraId="7BB83A24" w14:textId="77777777" w:rsidR="005E779B" w:rsidRPr="00874D3B" w:rsidRDefault="005E779B" w:rsidP="005E779B"/>
    <w:p w14:paraId="659B7BA0" w14:textId="1C818A2F" w:rsidR="005E779B" w:rsidRPr="00874D3B" w:rsidRDefault="005E779B" w:rsidP="00874D3B">
      <w:pPr>
        <w:pStyle w:val="agendaitemtitle"/>
        <w:jc w:val="left"/>
        <w:rPr>
          <w:snapToGrid w:val="0"/>
        </w:rPr>
      </w:pPr>
      <w:r w:rsidRPr="00874D3B">
        <w:fldChar w:fldCharType="begin"/>
      </w:r>
      <w:r w:rsidRPr="00874D3B">
        <w:instrText xml:space="preserve"> AUTONUM  </w:instrText>
      </w:r>
      <w:r w:rsidRPr="00874D3B">
        <w:fldChar w:fldCharType="end"/>
      </w:r>
      <w:r w:rsidRPr="00874D3B">
        <w:tab/>
      </w:r>
      <w:r w:rsidR="00874D3B" w:rsidRPr="0067149F">
        <w:rPr>
          <w:snapToGrid w:val="0"/>
        </w:rPr>
        <w:t xml:space="preserve">Entwicklungen </w:t>
      </w:r>
      <w:r w:rsidR="00874D3B">
        <w:rPr>
          <w:snapToGrid w:val="0"/>
        </w:rPr>
        <w:t>in</w:t>
      </w:r>
      <w:r w:rsidR="00874D3B" w:rsidRPr="0067149F">
        <w:rPr>
          <w:snapToGrid w:val="0"/>
        </w:rPr>
        <w:t xml:space="preserve"> der UPOV und Überblick über relevante Angelegenheiten</w:t>
      </w:r>
      <w:r w:rsidR="00874D3B" w:rsidRPr="00874D3B">
        <w:rPr>
          <w:snapToGrid w:val="0"/>
        </w:rPr>
        <w:t xml:space="preserve"> </w:t>
      </w:r>
      <w:r w:rsidRPr="00874D3B">
        <w:rPr>
          <w:snapToGrid w:val="0"/>
        </w:rPr>
        <w:t>für den Technischen Ausschuss</w:t>
      </w:r>
      <w:r w:rsidR="00874D3B" w:rsidRPr="00874D3B">
        <w:rPr>
          <w:b w:val="0"/>
          <w:bCs w:val="0"/>
          <w:snapToGrid w:val="0"/>
          <w:color w:val="auto"/>
        </w:rPr>
        <w:t xml:space="preserve"> (Dokument </w:t>
      </w:r>
      <w:r w:rsidR="00874D3B" w:rsidRPr="00874D3B">
        <w:rPr>
          <w:b w:val="0"/>
          <w:bCs w:val="0"/>
          <w:color w:val="auto"/>
        </w:rPr>
        <w:t>SESSIONS/2026/1</w:t>
      </w:r>
      <w:r w:rsidR="00874D3B" w:rsidRPr="00874D3B">
        <w:rPr>
          <w:b w:val="0"/>
          <w:bCs w:val="0"/>
          <w:snapToGrid w:val="0"/>
          <w:color w:val="auto"/>
        </w:rPr>
        <w:t>)</w:t>
      </w:r>
    </w:p>
    <w:p w14:paraId="46A439EF" w14:textId="77777777" w:rsidR="005E779B" w:rsidRPr="00874D3B" w:rsidRDefault="005E779B" w:rsidP="005E779B">
      <w:pPr>
        <w:ind w:left="567" w:hanging="567"/>
        <w:rPr>
          <w:rFonts w:cs="Arial"/>
          <w:snapToGrid w:val="0"/>
        </w:rPr>
      </w:pPr>
    </w:p>
    <w:p w14:paraId="0FE4F7EB" w14:textId="77777777" w:rsidR="00874D3B" w:rsidRPr="0067149F" w:rsidRDefault="00874D3B" w:rsidP="00874D3B">
      <w:pPr>
        <w:ind w:left="567"/>
        <w:jc w:val="left"/>
      </w:pPr>
      <w:r w:rsidRPr="0067149F">
        <w:rPr>
          <w:rFonts w:cs="Arial"/>
          <w:snapToGrid w:val="0"/>
        </w:rPr>
        <w:t xml:space="preserve">Es wird ein </w:t>
      </w:r>
      <w:r>
        <w:rPr>
          <w:rFonts w:cs="Arial"/>
          <w:snapToGrid w:val="0"/>
        </w:rPr>
        <w:t xml:space="preserve">Referat über </w:t>
      </w:r>
      <w:r w:rsidRPr="0067149F">
        <w:rPr>
          <w:rFonts w:cs="Arial"/>
          <w:snapToGrid w:val="0"/>
        </w:rPr>
        <w:t xml:space="preserve">strategische Fragen gehalten, wobei ein Video über die Entwicklungen </w:t>
      </w:r>
      <w:r>
        <w:rPr>
          <w:rFonts w:cs="Arial"/>
          <w:snapToGrid w:val="0"/>
        </w:rPr>
        <w:t xml:space="preserve">in </w:t>
      </w:r>
      <w:r w:rsidRPr="0067149F">
        <w:rPr>
          <w:rFonts w:cs="Arial"/>
          <w:snapToGrid w:val="0"/>
        </w:rPr>
        <w:t>der UPOV zur Verfügung gestellt wird.</w:t>
      </w:r>
    </w:p>
    <w:p w14:paraId="71FBC415" w14:textId="77777777" w:rsidR="005E779B" w:rsidRPr="00874D3B" w:rsidRDefault="005E779B" w:rsidP="005E779B"/>
    <w:p w14:paraId="629E429A" w14:textId="77777777" w:rsidR="005E779B" w:rsidRPr="00874D3B" w:rsidRDefault="005E779B" w:rsidP="005E779B"/>
    <w:p w14:paraId="6C6DFA37" w14:textId="08437509" w:rsidR="005E779B" w:rsidRPr="00874D3B" w:rsidRDefault="00874D3B" w:rsidP="005E779B">
      <w:pPr>
        <w:pStyle w:val="agendaitemtitle"/>
        <w:ind w:left="1134"/>
        <w:rPr>
          <w:i/>
          <w:iCs/>
        </w:rPr>
      </w:pPr>
      <w:r w:rsidRPr="00874D3B">
        <w:rPr>
          <w:i/>
          <w:iCs/>
        </w:rPr>
        <w:t>Zu prüfende Angelegenheiten</w:t>
      </w:r>
      <w:r w:rsidR="005E779B" w:rsidRPr="00874D3B">
        <w:rPr>
          <w:i/>
          <w:iCs/>
        </w:rPr>
        <w:t>:</w:t>
      </w:r>
    </w:p>
    <w:p w14:paraId="5224FBE0" w14:textId="77777777" w:rsidR="005E779B" w:rsidRPr="00874D3B" w:rsidRDefault="005E779B" w:rsidP="005E779B"/>
    <w:p w14:paraId="6FDFAFCA" w14:textId="4A1F480D"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r>
      <w:r w:rsidR="00874D3B" w:rsidRPr="00874D3B">
        <w:t>Berichte über den Fortschritt der Arbeiten der Technischen Arbeitsgruppen</w:t>
      </w:r>
    </w:p>
    <w:p w14:paraId="7367DC67" w14:textId="77777777" w:rsidR="005E779B" w:rsidRPr="0033734B" w:rsidRDefault="005E779B" w:rsidP="005E779B">
      <w:pPr>
        <w:ind w:firstLine="567"/>
        <w:rPr>
          <w:lang w:val="en-US"/>
        </w:rPr>
      </w:pPr>
      <w:r w:rsidRPr="0033734B">
        <w:rPr>
          <w:spacing w:val="-2"/>
          <w:lang w:val="en-US"/>
        </w:rPr>
        <w:t>(</w:t>
      </w:r>
      <w:proofErr w:type="spellStart"/>
      <w:r w:rsidRPr="0033734B">
        <w:rPr>
          <w:spacing w:val="-2"/>
          <w:lang w:val="en-US"/>
        </w:rPr>
        <w:t>Dokumente</w:t>
      </w:r>
      <w:proofErr w:type="spellEnd"/>
      <w:r w:rsidRPr="0033734B">
        <w:rPr>
          <w:spacing w:val="-2"/>
          <w:lang w:val="en-US"/>
        </w:rPr>
        <w:t xml:space="preserve"> TC/62/5, TWA/55/XX, TWF/57/XX, TWM/4/31, TWO/58/XX, TWV/60/8)</w:t>
      </w:r>
    </w:p>
    <w:p w14:paraId="727F5DB7" w14:textId="77777777" w:rsidR="005E779B" w:rsidRPr="0033734B" w:rsidRDefault="005E779B" w:rsidP="005E779B">
      <w:pPr>
        <w:ind w:left="567"/>
        <w:rPr>
          <w:lang w:val="en-US"/>
        </w:rPr>
      </w:pPr>
    </w:p>
    <w:p w14:paraId="1B3B30E4" w14:textId="11077BC9" w:rsidR="005E779B" w:rsidRPr="00874D3B" w:rsidRDefault="005E779B" w:rsidP="005E779B">
      <w:pPr>
        <w:ind w:left="567"/>
      </w:pPr>
      <w:r w:rsidRPr="00874D3B">
        <w:t xml:space="preserve">Der TC wird </w:t>
      </w:r>
      <w:r w:rsidR="00874D3B" w:rsidRPr="00874D3B">
        <w:t>Referate</w:t>
      </w:r>
      <w:r w:rsidR="00874D3B">
        <w:t xml:space="preserve"> </w:t>
      </w:r>
      <w:r w:rsidRPr="00874D3B">
        <w:t xml:space="preserve">der Vorsitzenden der TWP </w:t>
      </w:r>
      <w:r w:rsidR="00874D3B" w:rsidRPr="00874D3B">
        <w:t>erhalten</w:t>
      </w:r>
      <w:r w:rsidR="00874D3B">
        <w:t xml:space="preserve"> </w:t>
      </w:r>
      <w:r w:rsidRPr="00874D3B">
        <w:t xml:space="preserve">und Themen von besonderer </w:t>
      </w:r>
      <w:r w:rsidR="00874D3B">
        <w:t>Bedeutung</w:t>
      </w:r>
      <w:r w:rsidRPr="00874D3B">
        <w:t xml:space="preserve"> für jede TWP prüfen, einschließlich der vorgeschlagenen Arbeitsprogramme und Prüfungsrichtlinien zur Erörterung im Jahr 2027. Der TC wird den </w:t>
      </w:r>
      <w:r w:rsidR="00874D3B" w:rsidRPr="00874D3B">
        <w:t>Kalender</w:t>
      </w:r>
      <w:r w:rsidRPr="00874D3B">
        <w:t>für die TWP-Sitzungen im Jahr 2027 und den Folgejahren prüfen.</w:t>
      </w:r>
    </w:p>
    <w:p w14:paraId="48CF5499" w14:textId="77777777" w:rsidR="005E779B" w:rsidRPr="00874D3B" w:rsidRDefault="005E779B" w:rsidP="005E779B"/>
    <w:p w14:paraId="54ED4D25" w14:textId="77777777" w:rsidR="005E779B" w:rsidRPr="00874D3B" w:rsidRDefault="005E779B" w:rsidP="005E779B"/>
    <w:p w14:paraId="2EB55CEF" w14:textId="3E54A55D" w:rsidR="005E779B" w:rsidRPr="00874D3B" w:rsidRDefault="005E779B" w:rsidP="005E779B">
      <w:pPr>
        <w:pStyle w:val="agendaitemtitle"/>
        <w:rPr>
          <w:b w:val="0"/>
          <w:bCs w:val="0"/>
          <w:color w:val="auto"/>
        </w:rPr>
      </w:pPr>
      <w:r w:rsidRPr="00874D3B">
        <w:fldChar w:fldCharType="begin"/>
      </w:r>
      <w:r w:rsidRPr="00874D3B">
        <w:instrText xml:space="preserve"> AUTONUM  </w:instrText>
      </w:r>
      <w:r w:rsidRPr="00874D3B">
        <w:fldChar w:fldCharType="end"/>
      </w:r>
      <w:r w:rsidRPr="00874D3B">
        <w:tab/>
      </w:r>
      <w:r w:rsidR="00874D3B" w:rsidRPr="00874D3B">
        <w:t xml:space="preserve">Fragen, die von den Technischen Arbeitsgruppen aufgeworfen wurden </w:t>
      </w:r>
      <w:r w:rsidRPr="00874D3B">
        <w:t xml:space="preserve"> </w:t>
      </w:r>
      <w:r w:rsidRPr="00874D3B">
        <w:rPr>
          <w:b w:val="0"/>
          <w:bCs w:val="0"/>
          <w:color w:val="auto"/>
        </w:rPr>
        <w:t xml:space="preserve">(Dokument TC/62/3) </w:t>
      </w:r>
    </w:p>
    <w:p w14:paraId="7EBB0427" w14:textId="77777777" w:rsidR="005E779B" w:rsidRPr="00874D3B" w:rsidRDefault="005E779B" w:rsidP="005E779B"/>
    <w:p w14:paraId="679B495F" w14:textId="49FE361D" w:rsidR="005E779B" w:rsidRPr="00874D3B" w:rsidRDefault="00874D3B" w:rsidP="00874D3B">
      <w:pPr>
        <w:ind w:left="567"/>
      </w:pPr>
      <w:r>
        <w:t>Der TC wird ersucht werden, die auf den TWP im Jahre 2025 erörterten Angelegenheiten, die nicht unter spezifische Tagesordnungspunkte fallen, zu prüfen und/oder zur Kenntnis zu nehmen</w:t>
      </w:r>
      <w:r w:rsidR="005E779B" w:rsidRPr="00874D3B">
        <w:t>.</w:t>
      </w:r>
    </w:p>
    <w:p w14:paraId="4B5AAF6E" w14:textId="77777777" w:rsidR="005E779B" w:rsidRPr="00874D3B" w:rsidRDefault="005E779B" w:rsidP="005E779B"/>
    <w:p w14:paraId="7108FAB5" w14:textId="77777777" w:rsidR="005E779B" w:rsidRPr="00874D3B" w:rsidRDefault="005E779B" w:rsidP="005E779B"/>
    <w:bookmarkStart w:id="0" w:name="_Hlk193966668"/>
    <w:p w14:paraId="208637A9" w14:textId="77777777" w:rsidR="00874D3B" w:rsidRPr="00875043" w:rsidRDefault="00874D3B" w:rsidP="00874D3B">
      <w:pPr>
        <w:pStyle w:val="agendaitemtitle"/>
      </w:pPr>
      <w:r w:rsidRPr="00875043">
        <w:fldChar w:fldCharType="begin"/>
      </w:r>
      <w:r w:rsidRPr="00875043">
        <w:instrText xml:space="preserve"> AUTONUM  </w:instrText>
      </w:r>
      <w:r w:rsidRPr="00875043">
        <w:fldChar w:fldCharType="end"/>
      </w:r>
      <w:r w:rsidRPr="00875043">
        <w:tab/>
        <w:t>Ausarbeitung von Anleitung und dem Rat zur Annahme vorgeschlagene Dokumente</w:t>
      </w:r>
    </w:p>
    <w:p w14:paraId="58121B32" w14:textId="77777777" w:rsidR="00874D3B" w:rsidRPr="00875043" w:rsidRDefault="00874D3B" w:rsidP="00874D3B">
      <w:pPr>
        <w:ind w:left="1134" w:hanging="567"/>
        <w:rPr>
          <w:rFonts w:cs="Arial"/>
          <w:snapToGrid w:val="0"/>
        </w:rPr>
      </w:pPr>
      <w:r w:rsidRPr="00875043">
        <w:rPr>
          <w:bCs/>
          <w:snapToGrid w:val="0"/>
          <w:szCs w:val="24"/>
        </w:rPr>
        <w:t>(</w:t>
      </w:r>
      <w:r w:rsidRPr="00875043">
        <w:rPr>
          <w:rFonts w:cs="Arial"/>
          <w:snapToGrid w:val="0"/>
        </w:rPr>
        <w:t xml:space="preserve">Dokument </w:t>
      </w:r>
      <w:r w:rsidRPr="00875043">
        <w:t>SESSIONS/2026/2</w:t>
      </w:r>
      <w:r w:rsidRPr="00875043">
        <w:rPr>
          <w:bCs/>
          <w:snapToGrid w:val="0"/>
          <w:szCs w:val="24"/>
        </w:rPr>
        <w:t xml:space="preserve">) </w:t>
      </w:r>
    </w:p>
    <w:p w14:paraId="54D45F9B" w14:textId="77777777" w:rsidR="005E779B" w:rsidRPr="00874D3B" w:rsidRDefault="005E779B" w:rsidP="005E779B">
      <w:pPr>
        <w:keepNext/>
        <w:rPr>
          <w:rFonts w:cs="Arial"/>
          <w:snapToGrid w:val="0"/>
        </w:rPr>
      </w:pPr>
    </w:p>
    <w:p w14:paraId="14761D6F" w14:textId="77777777" w:rsidR="00874D3B" w:rsidRPr="0067149F" w:rsidRDefault="00874D3B" w:rsidP="00874D3B">
      <w:pPr>
        <w:ind w:left="2127" w:hanging="1560"/>
        <w:jc w:val="left"/>
        <w:rPr>
          <w:rFonts w:eastAsia="Calibri" w:cs="Arial"/>
          <w:bdr w:val="nil"/>
          <w:lang w:eastAsia="nl-NL"/>
        </w:rPr>
      </w:pPr>
      <w:bookmarkStart w:id="1" w:name="_Hlk225776505"/>
      <w:r w:rsidRPr="0067149F">
        <w:rPr>
          <w:rFonts w:eastAsia="Calibri" w:cs="Arial"/>
          <w:color w:val="006600"/>
          <w:bdr w:val="nil"/>
          <w:lang w:eastAsia="nl-NL"/>
        </w:rPr>
        <w:t>UPOV/INF/16</w:t>
      </w:r>
      <w:r w:rsidRPr="0067149F">
        <w:rPr>
          <w:rFonts w:eastAsia="Calibri" w:cs="Arial"/>
          <w:color w:val="006600"/>
          <w:bdr w:val="nil"/>
          <w:lang w:eastAsia="nl-NL"/>
        </w:rPr>
        <w:tab/>
        <w:t xml:space="preserve">Austauschbare Software (Überarbeitung) </w:t>
      </w:r>
      <w:r w:rsidRPr="0067149F">
        <w:rPr>
          <w:rFonts w:eastAsia="Calibri" w:cs="Arial"/>
          <w:bdr w:val="nil"/>
          <w:lang w:eastAsia="nl-NL"/>
        </w:rPr>
        <w:t xml:space="preserve">(Dokument UPOV/INF/16/14 </w:t>
      </w:r>
      <w:r>
        <w:rPr>
          <w:rFonts w:eastAsia="Calibri" w:cs="Arial"/>
          <w:bdr w:val="nil"/>
          <w:lang w:eastAsia="nl-NL"/>
        </w:rPr>
        <w:t>Draft </w:t>
      </w:r>
      <w:r w:rsidRPr="0067149F">
        <w:rPr>
          <w:rFonts w:eastAsia="Calibri" w:cs="Arial"/>
          <w:bdr w:val="nil"/>
          <w:lang w:eastAsia="nl-NL"/>
        </w:rPr>
        <w:t xml:space="preserve"> 1)</w:t>
      </w:r>
    </w:p>
    <w:p w14:paraId="1253E47F" w14:textId="77777777" w:rsidR="00874D3B" w:rsidRPr="0067149F" w:rsidRDefault="00874D3B" w:rsidP="00874D3B">
      <w:pPr>
        <w:ind w:left="2127"/>
        <w:jc w:val="left"/>
        <w:rPr>
          <w:rFonts w:eastAsia="Calibri" w:cs="Arial"/>
          <w:bdr w:val="nil"/>
          <w:lang w:eastAsia="nl-NL"/>
        </w:rPr>
      </w:pPr>
    </w:p>
    <w:p w14:paraId="3771A651" w14:textId="77777777" w:rsidR="00874D3B" w:rsidRPr="0067149F" w:rsidRDefault="00874D3B" w:rsidP="00874D3B">
      <w:pPr>
        <w:ind w:left="2127"/>
        <w:rPr>
          <w:rFonts w:eastAsia="Calibri" w:cs="Arial"/>
          <w:bdr w:val="nil"/>
          <w:lang w:eastAsia="nl-NL"/>
        </w:rPr>
      </w:pPr>
      <w:r w:rsidRPr="0067149F">
        <w:rPr>
          <w:rFonts w:eastAsia="Calibri" w:cs="Arial"/>
          <w:bdr w:val="nil"/>
          <w:lang w:eastAsia="nl-NL"/>
        </w:rPr>
        <w:t>Unter austauschbarer Software versteht man Software, die von UPOV-Mitgliedern entwickelt und anderen UPOV-Mitgliedern unter bestimmten Bedingungen zur Verfügung gestellt wird. Vorschläge zur Aufnahme neuer Software werden der Technischen Arbeitsgruppe für Prüfverfahren und -techniken (TWM) zur Prüfung vorgelegt. Die TWM gibt dem Technischen Ausschuss (TC) eine Empfehlung darüber ab, ob diese Software in das Dokument UPOV/INF/16 aufgenommen werden soll.</w:t>
      </w:r>
    </w:p>
    <w:p w14:paraId="3A4F940A" w14:textId="77777777" w:rsidR="005E779B" w:rsidRPr="00874D3B" w:rsidRDefault="005E779B" w:rsidP="00B97DB7">
      <w:pPr>
        <w:ind w:left="2127"/>
        <w:rPr>
          <w:rFonts w:eastAsia="Calibri" w:cs="Arial"/>
          <w:bdr w:val="nil"/>
          <w:lang w:eastAsia="nl-NL"/>
        </w:rPr>
      </w:pPr>
    </w:p>
    <w:p w14:paraId="19EF12E9" w14:textId="08342168" w:rsidR="005E779B" w:rsidRPr="00874D3B" w:rsidRDefault="005E779B" w:rsidP="00B97DB7">
      <w:pPr>
        <w:ind w:left="2127"/>
        <w:rPr>
          <w:rFonts w:eastAsia="Calibri" w:cs="Arial"/>
          <w:bdr w:val="nil"/>
          <w:lang w:eastAsia="nl-NL"/>
        </w:rPr>
      </w:pPr>
      <w:r w:rsidRPr="00874D3B">
        <w:rPr>
          <w:rFonts w:eastAsia="Calibri" w:cs="Arial"/>
          <w:bdr w:val="nil"/>
          <w:lang w:eastAsia="nl-NL"/>
        </w:rPr>
        <w:t xml:space="preserve">Der TC </w:t>
      </w:r>
      <w:r w:rsidR="00B97DB7">
        <w:rPr>
          <w:rFonts w:eastAsia="Calibri" w:cs="Arial"/>
          <w:bdr w:val="nil"/>
          <w:lang w:eastAsia="nl-NL"/>
        </w:rPr>
        <w:t xml:space="preserve">wird </w:t>
      </w:r>
      <w:r w:rsidRPr="00874D3B">
        <w:rPr>
          <w:rFonts w:eastAsia="Calibri" w:cs="Arial"/>
          <w:bdr w:val="nil"/>
          <w:lang w:eastAsia="nl-NL"/>
        </w:rPr>
        <w:t xml:space="preserve">einen Bericht über die Entwicklungen </w:t>
      </w:r>
      <w:r w:rsidR="00B97DB7" w:rsidRPr="00874D3B">
        <w:rPr>
          <w:rFonts w:eastAsia="Calibri" w:cs="Arial"/>
          <w:bdr w:val="nil"/>
          <w:lang w:eastAsia="nl-NL"/>
        </w:rPr>
        <w:t>erh</w:t>
      </w:r>
      <w:r w:rsidR="00B97DB7">
        <w:rPr>
          <w:rFonts w:eastAsia="Calibri" w:cs="Arial"/>
          <w:bdr w:val="nil"/>
          <w:lang w:eastAsia="nl-NL"/>
        </w:rPr>
        <w:t>alten</w:t>
      </w:r>
      <w:r w:rsidR="00B97DB7" w:rsidRPr="00874D3B">
        <w:rPr>
          <w:rFonts w:eastAsia="Calibri" w:cs="Arial"/>
          <w:bdr w:val="nil"/>
          <w:lang w:eastAsia="nl-NL"/>
        </w:rPr>
        <w:t xml:space="preserve"> </w:t>
      </w:r>
      <w:r w:rsidRPr="00874D3B">
        <w:rPr>
          <w:rFonts w:eastAsia="Calibri" w:cs="Arial"/>
          <w:bdr w:val="nil"/>
          <w:lang w:eastAsia="nl-NL"/>
        </w:rPr>
        <w:t>und die Empfehlungen der TWM</w:t>
      </w:r>
      <w:r w:rsidR="00B97DB7">
        <w:rPr>
          <w:rFonts w:eastAsia="Calibri" w:cs="Arial"/>
          <w:bdr w:val="nil"/>
          <w:lang w:eastAsia="nl-NL"/>
        </w:rPr>
        <w:t xml:space="preserve"> </w:t>
      </w:r>
      <w:r w:rsidR="00B97DB7" w:rsidRPr="00874D3B">
        <w:rPr>
          <w:rFonts w:eastAsia="Calibri" w:cs="Arial"/>
          <w:bdr w:val="nil"/>
          <w:lang w:eastAsia="nl-NL"/>
        </w:rPr>
        <w:t>prüf</w:t>
      </w:r>
      <w:r w:rsidR="00B97DB7">
        <w:rPr>
          <w:rFonts w:eastAsia="Calibri" w:cs="Arial"/>
          <w:bdr w:val="nil"/>
          <w:lang w:eastAsia="nl-NL"/>
        </w:rPr>
        <w:t>en</w:t>
      </w:r>
      <w:r w:rsidRPr="00874D3B">
        <w:rPr>
          <w:rFonts w:eastAsia="Calibri" w:cs="Arial"/>
          <w:bdr w:val="nil"/>
          <w:lang w:eastAsia="nl-NL"/>
        </w:rPr>
        <w:t>, sofern vorhanden, zur Aufnahme einer neuen Software zum Austausch in das Dokument UPOV/INF/16.</w:t>
      </w:r>
    </w:p>
    <w:p w14:paraId="03B52EDE" w14:textId="77777777" w:rsidR="005E779B" w:rsidRPr="00874D3B" w:rsidRDefault="005E779B" w:rsidP="00B97DB7">
      <w:pPr>
        <w:ind w:left="2127"/>
        <w:rPr>
          <w:rFonts w:eastAsia="Calibri" w:cs="Arial"/>
          <w:bdr w:val="nil"/>
          <w:lang w:eastAsia="nl-NL"/>
        </w:rPr>
      </w:pPr>
    </w:p>
    <w:p w14:paraId="3E964DF0" w14:textId="77777777" w:rsidR="00B97DB7" w:rsidRPr="0067149F" w:rsidRDefault="00B97DB7" w:rsidP="00B97DB7">
      <w:pPr>
        <w:ind w:left="2127"/>
        <w:rPr>
          <w:rFonts w:eastAsia="Calibri" w:cs="Arial"/>
          <w:bdr w:val="nil"/>
          <w:lang w:eastAsia="nl-NL"/>
        </w:rPr>
      </w:pPr>
      <w:r w:rsidRPr="0067149F">
        <w:rPr>
          <w:rFonts w:eastAsia="Calibri" w:cs="Arial"/>
          <w:bdr w:val="nil"/>
          <w:lang w:eastAsia="nl-NL"/>
        </w:rPr>
        <w:t>Auf der Grundlage der Empfehlungen des Beratenden Ausschusses im Jahr 2025 wird der Rat ersucht, das „Verfahren zur Aufnahme der Software“ in Dokument UPOV/INF/16 so zu ändern, dass künftige Überarbeitungen dieses Dokuments dem Technischen Ausschuss übertragen werden und keiner formellen Annahme durch den Rat bedürfen.</w:t>
      </w:r>
    </w:p>
    <w:p w14:paraId="4C922A5F" w14:textId="77777777" w:rsidR="005E779B" w:rsidRPr="00874D3B" w:rsidRDefault="005E779B" w:rsidP="00B97DB7">
      <w:pPr>
        <w:ind w:left="2127"/>
        <w:rPr>
          <w:rFonts w:eastAsia="Calibri" w:cs="Arial"/>
          <w:bdr w:val="nil"/>
          <w:lang w:eastAsia="nl-NL"/>
        </w:rPr>
      </w:pPr>
    </w:p>
    <w:p w14:paraId="305B9660" w14:textId="77777777" w:rsidR="00B97DB7" w:rsidRPr="0067149F" w:rsidRDefault="00B97DB7" w:rsidP="00B97DB7">
      <w:pPr>
        <w:keepNext/>
        <w:ind w:left="2127" w:hanging="1560"/>
        <w:jc w:val="left"/>
        <w:rPr>
          <w:rFonts w:eastAsia="Calibri" w:cs="Arial"/>
          <w:bdr w:val="nil"/>
          <w:lang w:eastAsia="nl-NL"/>
        </w:rPr>
      </w:pPr>
      <w:r w:rsidRPr="0067149F">
        <w:rPr>
          <w:rFonts w:eastAsia="Calibri" w:cs="Arial"/>
          <w:color w:val="006600"/>
          <w:bdr w:val="nil"/>
          <w:lang w:eastAsia="nl-NL"/>
        </w:rPr>
        <w:t>UPOV/INF/22</w:t>
      </w:r>
      <w:r w:rsidRPr="0067149F">
        <w:rPr>
          <w:rFonts w:eastAsia="Calibri" w:cs="Arial"/>
          <w:color w:val="006600"/>
          <w:bdr w:val="nil"/>
          <w:lang w:eastAsia="nl-NL"/>
        </w:rPr>
        <w:tab/>
        <w:t>Von Verbandsmitgliedern verwendete Software und Ausrüstung (Überarbeitung)</w:t>
      </w:r>
      <w:r w:rsidRPr="0067149F">
        <w:rPr>
          <w:rFonts w:eastAsia="Calibri" w:cs="Arial"/>
          <w:bdr w:val="nil"/>
          <w:lang w:eastAsia="nl-NL"/>
        </w:rPr>
        <w:br/>
        <w:t xml:space="preserve">(Dokument UPOV/INF/22/13 </w:t>
      </w:r>
      <w:r>
        <w:rPr>
          <w:rFonts w:eastAsia="Calibri" w:cs="Arial"/>
          <w:bdr w:val="nil"/>
          <w:lang w:eastAsia="nl-NL"/>
        </w:rPr>
        <w:t>Draft </w:t>
      </w:r>
      <w:r w:rsidRPr="0067149F">
        <w:rPr>
          <w:rFonts w:eastAsia="Calibri" w:cs="Arial"/>
          <w:bdr w:val="nil"/>
          <w:lang w:eastAsia="nl-NL"/>
        </w:rPr>
        <w:t xml:space="preserve"> 1) </w:t>
      </w:r>
    </w:p>
    <w:p w14:paraId="44A4B638" w14:textId="77777777" w:rsidR="00B97DB7" w:rsidRPr="0067149F" w:rsidRDefault="00B97DB7" w:rsidP="00B97DB7">
      <w:pPr>
        <w:keepNext/>
        <w:ind w:left="2127"/>
        <w:jc w:val="left"/>
        <w:rPr>
          <w:rFonts w:eastAsia="Calibri" w:cs="Arial"/>
          <w:bdr w:val="nil"/>
          <w:lang w:eastAsia="nl-NL"/>
        </w:rPr>
      </w:pPr>
    </w:p>
    <w:p w14:paraId="7DEF57E9" w14:textId="77777777" w:rsidR="00B97DB7" w:rsidRPr="0067149F" w:rsidRDefault="00B97DB7" w:rsidP="00B97DB7">
      <w:pPr>
        <w:ind w:left="2127"/>
        <w:rPr>
          <w:rFonts w:eastAsia="Calibri" w:cs="Arial"/>
          <w:bdr w:val="nil"/>
          <w:lang w:eastAsia="nl-NL"/>
        </w:rPr>
      </w:pPr>
      <w:r w:rsidRPr="0067149F">
        <w:rPr>
          <w:rFonts w:eastAsia="Calibri" w:cs="Arial"/>
          <w:bdr w:val="nil"/>
          <w:lang w:eastAsia="nl-NL"/>
        </w:rPr>
        <w:t>Das Dokument UPOV/INF/22 ist ein Verzeichnis der im Handel erhältlichen Software und Ausrüstung, die von UPOV-Mitgliedern für Zwecke des Sortenschutzes verwendet wird. Es umfasst Tools für die Verwaltung von Sortenschutzanträgen, Online-Antragssysteme, die Überprüfung von Sortenbezeichnungen sowie die Gestaltung von DUS-Prüfungen und die Datenanalyse. Die UPOV-Mitglieder berichten jährlich über ihre Nutzung der aufgeführten Software und Ausrüstung, und das Dokument wird fortlaufend aktualisiert.</w:t>
      </w:r>
    </w:p>
    <w:p w14:paraId="620C701E" w14:textId="77777777" w:rsidR="00B97DB7" w:rsidRPr="0067149F" w:rsidRDefault="00B97DB7" w:rsidP="00B97DB7">
      <w:pPr>
        <w:ind w:left="2127"/>
        <w:rPr>
          <w:rFonts w:eastAsia="Calibri" w:cs="Arial"/>
          <w:bdr w:val="nil"/>
          <w:lang w:eastAsia="nl-NL"/>
        </w:rPr>
      </w:pPr>
    </w:p>
    <w:p w14:paraId="12360D16" w14:textId="77777777" w:rsidR="00B97DB7" w:rsidRPr="0067149F" w:rsidRDefault="00B97DB7" w:rsidP="00B97DB7">
      <w:pPr>
        <w:ind w:left="2127"/>
        <w:rPr>
          <w:rFonts w:eastAsia="Calibri" w:cs="Arial"/>
          <w:bdr w:val="nil"/>
          <w:lang w:eastAsia="nl-NL"/>
        </w:rPr>
      </w:pPr>
      <w:r w:rsidRPr="0067149F">
        <w:rPr>
          <w:rFonts w:eastAsia="Calibri" w:cs="Arial"/>
          <w:bdr w:val="nil"/>
          <w:lang w:eastAsia="nl-NL"/>
        </w:rPr>
        <w:t xml:space="preserve">Auf der Grundlage der Empfehlungen des Beratenden Ausschusses im Jahr 2025 wird der Rat ersucht, das „Verfahren zur Aufnahme von Software/Ausrüstung“ in Dokument UPOV/INF/22 so zu ändern, dass künftige Überarbeitungen dieses Dokuments keiner formellen Annahme durch den Rat bedürfen. </w:t>
      </w:r>
    </w:p>
    <w:p w14:paraId="6145D198" w14:textId="77777777" w:rsidR="005E779B" w:rsidRPr="00874D3B" w:rsidRDefault="005E779B" w:rsidP="005E779B">
      <w:pPr>
        <w:ind w:left="2268"/>
        <w:jc w:val="left"/>
        <w:rPr>
          <w:rFonts w:eastAsia="Calibri" w:cs="Arial"/>
          <w:bdr w:val="nil"/>
          <w:lang w:eastAsia="nl-NL"/>
        </w:rPr>
      </w:pPr>
    </w:p>
    <w:p w14:paraId="71F596F1" w14:textId="77777777" w:rsidR="00B97DB7" w:rsidRPr="0067149F" w:rsidRDefault="00B97DB7" w:rsidP="00B97DB7">
      <w:pPr>
        <w:keepNext/>
        <w:ind w:left="1134" w:hanging="567"/>
        <w:jc w:val="left"/>
        <w:rPr>
          <w:rFonts w:eastAsia="Calibri" w:cs="Arial"/>
          <w:color w:val="006600"/>
          <w:bdr w:val="nil"/>
          <w:lang w:eastAsia="nl-NL"/>
        </w:rPr>
      </w:pPr>
      <w:r w:rsidRPr="0067149F">
        <w:rPr>
          <w:rFonts w:eastAsia="Calibri" w:cs="Arial"/>
          <w:color w:val="006600"/>
          <w:bdr w:val="nil"/>
          <w:lang w:eastAsia="nl-NL"/>
        </w:rPr>
        <w:t>(b)</w:t>
      </w:r>
      <w:r w:rsidRPr="0067149F">
        <w:rPr>
          <w:rFonts w:eastAsia="Calibri" w:cs="Arial"/>
          <w:color w:val="006600"/>
          <w:bdr w:val="nil"/>
          <w:lang w:eastAsia="nl-NL"/>
        </w:rPr>
        <w:tab/>
        <w:t>TGP-Dokumente:</w:t>
      </w:r>
    </w:p>
    <w:p w14:paraId="75AC81FA" w14:textId="77777777" w:rsidR="00B97DB7" w:rsidRPr="0067149F" w:rsidRDefault="00B97DB7" w:rsidP="00B97DB7">
      <w:pPr>
        <w:keepNext/>
        <w:ind w:left="1560" w:hanging="993"/>
        <w:jc w:val="left"/>
        <w:rPr>
          <w:rFonts w:eastAsia="Calibri" w:cs="Arial"/>
          <w:color w:val="006600"/>
          <w:bdr w:val="nil"/>
          <w:lang w:eastAsia="nl-NL"/>
        </w:rPr>
      </w:pPr>
    </w:p>
    <w:p w14:paraId="76033958" w14:textId="77777777" w:rsidR="00B97DB7" w:rsidRPr="0067149F" w:rsidRDefault="00B97DB7" w:rsidP="00B97DB7">
      <w:pPr>
        <w:ind w:left="2127" w:hanging="1560"/>
        <w:jc w:val="left"/>
      </w:pPr>
      <w:r w:rsidRPr="0067149F">
        <w:rPr>
          <w:rFonts w:eastAsia="Calibri" w:cs="Arial"/>
          <w:color w:val="006600"/>
          <w:bdr w:val="nil"/>
          <w:lang w:eastAsia="nl-NL"/>
        </w:rPr>
        <w:t>TGP/5</w:t>
      </w:r>
      <w:r w:rsidRPr="0067149F">
        <w:rPr>
          <w:rFonts w:eastAsia="Calibri" w:cs="Arial"/>
          <w:color w:val="006600"/>
          <w:bdr w:val="nil"/>
          <w:lang w:eastAsia="nl-NL"/>
        </w:rPr>
        <w:tab/>
        <w:t>Erfahrungen und Zusammenarbeit bei der DUS-Prüfung: Abschnitt 11 „</w:t>
      </w:r>
      <w:r w:rsidRPr="00F55E5C">
        <w:rPr>
          <w:rFonts w:eastAsia="Calibri" w:cs="Arial"/>
          <w:color w:val="006600"/>
          <w:bdr w:val="nil"/>
          <w:lang w:eastAsia="nl-NL"/>
        </w:rPr>
        <w:t>Beispiele für Verfahren und Verträge bezüglich des vom Züchter eingereichten Materials</w:t>
      </w:r>
      <w:r w:rsidRPr="0067149F">
        <w:rPr>
          <w:rFonts w:eastAsia="Calibri" w:cs="Arial"/>
          <w:color w:val="006600"/>
          <w:bdr w:val="nil"/>
          <w:lang w:eastAsia="nl-NL"/>
        </w:rPr>
        <w:t>“ (Überarbeitung)</w:t>
      </w:r>
      <w:r w:rsidRPr="00F55E5C">
        <w:rPr>
          <w:rFonts w:cs="Arial"/>
          <w:snapToGrid w:val="0"/>
        </w:rPr>
        <w:t xml:space="preserve"> </w:t>
      </w:r>
      <w:r w:rsidRPr="0067149F">
        <w:rPr>
          <w:rFonts w:cs="Arial"/>
          <w:snapToGrid w:val="0"/>
        </w:rPr>
        <w:t xml:space="preserve">(Dokument </w:t>
      </w:r>
      <w:r w:rsidRPr="0067149F">
        <w:t xml:space="preserve">TGP/5 Abschnitt 11/2 </w:t>
      </w:r>
      <w:r>
        <w:t>Draft </w:t>
      </w:r>
      <w:r w:rsidRPr="0067149F">
        <w:t xml:space="preserve"> 1</w:t>
      </w:r>
      <w:r w:rsidRPr="0067149F">
        <w:rPr>
          <w:bCs/>
          <w:snapToGrid w:val="0"/>
          <w:szCs w:val="24"/>
        </w:rPr>
        <w:t>)</w:t>
      </w:r>
      <w:r w:rsidRPr="0067149F">
        <w:rPr>
          <w:rFonts w:eastAsia="Calibri" w:cs="Arial"/>
          <w:color w:val="006600"/>
          <w:bdr w:val="nil"/>
          <w:lang w:eastAsia="nl-NL"/>
        </w:rPr>
        <w:br/>
      </w:r>
    </w:p>
    <w:p w14:paraId="74BBE9F7" w14:textId="77777777" w:rsidR="00B97DB7" w:rsidRPr="0067149F" w:rsidRDefault="00B97DB7" w:rsidP="00B97DB7">
      <w:pPr>
        <w:ind w:left="2127"/>
      </w:pPr>
      <w:r w:rsidRPr="0067149F">
        <w:t xml:space="preserve">Der Rat wird ersucht, eine Überarbeitung des Dokuments TGP/5 Abschnitt 11 anzunehmen, um die zuvor von der Europäischen Union bereitgestellten Informationen durch die aktuelle Richtlinie zum Status von für die DUS-Prüfung eingereichtem Pflanzenmaterial zu ersetzen.  </w:t>
      </w:r>
    </w:p>
    <w:p w14:paraId="284B1DF7" w14:textId="77777777" w:rsidR="005E779B" w:rsidRPr="00874D3B" w:rsidRDefault="005E779B" w:rsidP="005E779B">
      <w:pPr>
        <w:ind w:left="1560" w:hanging="993"/>
        <w:jc w:val="left"/>
        <w:rPr>
          <w:rFonts w:eastAsia="Calibri" w:cs="Arial"/>
          <w:color w:val="006600"/>
          <w:bdr w:val="nil"/>
          <w:lang w:eastAsia="nl-NL"/>
        </w:rPr>
      </w:pPr>
    </w:p>
    <w:p w14:paraId="64C94453" w14:textId="77777777" w:rsidR="005E779B" w:rsidRPr="00874D3B" w:rsidRDefault="005E779B" w:rsidP="00B97DB7">
      <w:pPr>
        <w:ind w:left="2127" w:hanging="1560"/>
        <w:jc w:val="left"/>
        <w:rPr>
          <w:rFonts w:eastAsia="Calibri" w:cs="Arial"/>
          <w:bdr w:val="nil"/>
          <w:lang w:eastAsia="nl-NL"/>
        </w:rPr>
      </w:pPr>
      <w:r w:rsidRPr="00874D3B">
        <w:rPr>
          <w:rFonts w:eastAsia="Calibri" w:cs="Arial"/>
          <w:color w:val="006600"/>
          <w:bdr w:val="nil"/>
          <w:lang w:eastAsia="nl-NL"/>
        </w:rPr>
        <w:t>TGP/7</w:t>
      </w:r>
      <w:r w:rsidRPr="00874D3B">
        <w:rPr>
          <w:rFonts w:eastAsia="Calibri" w:cs="Arial"/>
          <w:color w:val="006600"/>
          <w:bdr w:val="nil"/>
          <w:lang w:eastAsia="nl-NL"/>
        </w:rPr>
        <w:tab/>
        <w:t>Erstellung von Prüfungsrichtlinien (Überarbeitung)</w:t>
      </w:r>
      <w:r w:rsidRPr="00874D3B">
        <w:rPr>
          <w:rFonts w:eastAsia="Calibri" w:cs="Arial"/>
          <w:color w:val="006600"/>
          <w:bdr w:val="nil"/>
          <w:lang w:eastAsia="nl-NL"/>
        </w:rPr>
        <w:br/>
      </w:r>
      <w:r w:rsidRPr="00874D3B">
        <w:rPr>
          <w:rFonts w:eastAsia="Calibri" w:cs="Arial"/>
          <w:bdr w:val="nil"/>
          <w:lang w:eastAsia="nl-NL"/>
        </w:rPr>
        <w:t>(Dokument SESSIONS/2026/2)</w:t>
      </w:r>
    </w:p>
    <w:p w14:paraId="184F1BD1" w14:textId="77777777" w:rsidR="005E779B" w:rsidRPr="00874D3B" w:rsidRDefault="005E779B" w:rsidP="005E779B">
      <w:pPr>
        <w:ind w:left="1560" w:hanging="993"/>
        <w:jc w:val="left"/>
        <w:rPr>
          <w:rFonts w:eastAsia="Calibri" w:cs="Arial"/>
          <w:color w:val="006600"/>
          <w:bdr w:val="nil"/>
          <w:lang w:eastAsia="nl-NL"/>
        </w:rPr>
      </w:pPr>
    </w:p>
    <w:p w14:paraId="2DEAD77A" w14:textId="29348647" w:rsidR="005E779B" w:rsidRPr="00874D3B" w:rsidRDefault="005E779B" w:rsidP="00B97DB7">
      <w:pPr>
        <w:ind w:left="2410" w:hanging="283"/>
        <w:jc w:val="left"/>
        <w:rPr>
          <w:rFonts w:eastAsia="Calibri" w:cs="Arial"/>
          <w:color w:val="006600"/>
          <w:bdr w:val="nil"/>
          <w:lang w:eastAsia="nl-NL"/>
        </w:rPr>
      </w:pPr>
      <w:r w:rsidRPr="00874D3B">
        <w:rPr>
          <w:rFonts w:eastAsia="Calibri" w:cs="Arial"/>
          <w:color w:val="006600"/>
          <w:bdr w:val="nil"/>
          <w:lang w:eastAsia="nl-NL"/>
        </w:rPr>
        <w:t>–</w:t>
      </w:r>
      <w:r w:rsidR="00B97DB7">
        <w:rPr>
          <w:rFonts w:eastAsia="Calibri" w:cs="Arial"/>
          <w:color w:val="006600"/>
          <w:bdr w:val="nil"/>
          <w:lang w:eastAsia="nl-NL"/>
        </w:rPr>
        <w:tab/>
      </w:r>
      <w:r w:rsidR="00B97DB7" w:rsidRPr="00B97DB7">
        <w:rPr>
          <w:rFonts w:eastAsia="Calibri" w:cs="Arial"/>
          <w:color w:val="006600"/>
          <w:bdr w:val="nil"/>
          <w:lang w:eastAsia="nl-NL"/>
        </w:rPr>
        <w:t>Allgemeingültiger</w:t>
      </w:r>
      <w:r w:rsidR="00B97DB7">
        <w:rPr>
          <w:rFonts w:eastAsia="Calibri" w:cs="Arial"/>
          <w:color w:val="006600"/>
          <w:bdr w:val="nil"/>
          <w:lang w:eastAsia="nl-NL"/>
        </w:rPr>
        <w:t xml:space="preserve"> </w:t>
      </w:r>
      <w:r w:rsidRPr="00874D3B">
        <w:rPr>
          <w:rFonts w:eastAsia="Calibri" w:cs="Arial"/>
          <w:color w:val="006600"/>
          <w:bdr w:val="nil"/>
          <w:lang w:eastAsia="nl-NL"/>
        </w:rPr>
        <w:t>Standardwortlaut in den Prüfungsrichtlinien für „</w:t>
      </w:r>
      <w:r w:rsidR="00B97DB7" w:rsidRPr="00B97DB7">
        <w:rPr>
          <w:rFonts w:eastAsia="Calibri" w:cs="Arial"/>
          <w:color w:val="006600"/>
          <w:bdr w:val="nil"/>
          <w:lang w:eastAsia="nl-NL"/>
        </w:rPr>
        <w:t>Anzahl von Wachstumsperioden</w:t>
      </w:r>
      <w:r w:rsidRPr="00874D3B">
        <w:rPr>
          <w:rFonts w:eastAsia="Calibri" w:cs="Arial"/>
          <w:color w:val="006600"/>
          <w:bdr w:val="nil"/>
          <w:lang w:eastAsia="nl-NL"/>
        </w:rPr>
        <w:t xml:space="preserve">“; </w:t>
      </w:r>
    </w:p>
    <w:p w14:paraId="25591FCA" w14:textId="0CEC331C" w:rsidR="005E779B" w:rsidRPr="00874D3B" w:rsidRDefault="005E779B" w:rsidP="00B97DB7">
      <w:pPr>
        <w:ind w:left="2410" w:hanging="283"/>
        <w:jc w:val="left"/>
        <w:rPr>
          <w:rFonts w:eastAsia="Calibri" w:cs="Arial"/>
          <w:color w:val="006600"/>
          <w:bdr w:val="nil"/>
          <w:lang w:eastAsia="nl-NL"/>
        </w:rPr>
      </w:pPr>
      <w:r w:rsidRPr="00874D3B">
        <w:rPr>
          <w:rFonts w:eastAsia="Calibri" w:cs="Arial"/>
          <w:color w:val="006600"/>
          <w:bdr w:val="nil"/>
          <w:lang w:eastAsia="nl-NL"/>
        </w:rPr>
        <w:t>–</w:t>
      </w:r>
      <w:r w:rsidR="00B97DB7">
        <w:rPr>
          <w:rFonts w:eastAsia="Calibri" w:cs="Arial"/>
          <w:color w:val="006600"/>
          <w:bdr w:val="nil"/>
          <w:lang w:eastAsia="nl-NL"/>
        </w:rPr>
        <w:tab/>
      </w:r>
      <w:r w:rsidRPr="00874D3B">
        <w:rPr>
          <w:rFonts w:eastAsia="Calibri" w:cs="Arial"/>
          <w:color w:val="006600"/>
          <w:bdr w:val="nil"/>
          <w:lang w:eastAsia="nl-NL"/>
        </w:rPr>
        <w:t>Zusätzlicher Standardwortlaut für „</w:t>
      </w:r>
      <w:r w:rsidR="00B97DB7" w:rsidRPr="00B97DB7">
        <w:rPr>
          <w:rFonts w:eastAsia="Calibri" w:cs="Arial"/>
          <w:color w:val="006600"/>
          <w:bdr w:val="nil"/>
          <w:lang w:eastAsia="nl-NL"/>
        </w:rPr>
        <w:t>Anzahl von Wachstumsperioden</w:t>
      </w:r>
      <w:r w:rsidRPr="00874D3B">
        <w:rPr>
          <w:rFonts w:eastAsia="Calibri" w:cs="Arial"/>
          <w:color w:val="006600"/>
          <w:bdr w:val="nil"/>
          <w:lang w:eastAsia="nl-NL"/>
        </w:rPr>
        <w:t>“ (ASW 2)</w:t>
      </w:r>
    </w:p>
    <w:p w14:paraId="67255243" w14:textId="565F4759" w:rsidR="005E779B" w:rsidRPr="00874D3B" w:rsidRDefault="005E779B" w:rsidP="00B97DB7">
      <w:pPr>
        <w:ind w:left="2410" w:hanging="283"/>
        <w:jc w:val="left"/>
        <w:rPr>
          <w:rFonts w:eastAsia="Calibri" w:cs="Arial"/>
          <w:color w:val="006600"/>
          <w:bdr w:val="nil"/>
          <w:lang w:eastAsia="nl-NL"/>
        </w:rPr>
      </w:pPr>
      <w:r w:rsidRPr="00874D3B">
        <w:rPr>
          <w:rFonts w:eastAsia="Calibri" w:cs="Arial"/>
          <w:color w:val="006600"/>
          <w:bdr w:val="nil"/>
          <w:lang w:eastAsia="nl-NL"/>
        </w:rPr>
        <w:t>–</w:t>
      </w:r>
      <w:r w:rsidR="00B97DB7">
        <w:rPr>
          <w:rFonts w:eastAsia="Calibri" w:cs="Arial"/>
          <w:color w:val="006600"/>
          <w:bdr w:val="nil"/>
          <w:lang w:eastAsia="nl-NL"/>
        </w:rPr>
        <w:tab/>
      </w:r>
      <w:r w:rsidRPr="00874D3B">
        <w:rPr>
          <w:rFonts w:eastAsia="Calibri" w:cs="Arial"/>
          <w:color w:val="006600"/>
          <w:bdr w:val="nil"/>
          <w:lang w:eastAsia="nl-NL"/>
        </w:rPr>
        <w:t>Erläuterung de</w:t>
      </w:r>
      <w:r w:rsidR="00B97DB7">
        <w:rPr>
          <w:rFonts w:eastAsia="Calibri" w:cs="Arial"/>
          <w:color w:val="006600"/>
          <w:bdr w:val="nil"/>
          <w:lang w:eastAsia="nl-NL"/>
        </w:rPr>
        <w:t>r</w:t>
      </w:r>
      <w:r w:rsidRPr="00874D3B">
        <w:rPr>
          <w:rFonts w:eastAsia="Calibri" w:cs="Arial"/>
          <w:color w:val="006600"/>
          <w:bdr w:val="nil"/>
          <w:lang w:eastAsia="nl-NL"/>
        </w:rPr>
        <w:t xml:space="preserve"> </w:t>
      </w:r>
      <w:r w:rsidR="00B97DB7" w:rsidRPr="00B97DB7">
        <w:rPr>
          <w:rFonts w:eastAsia="Calibri" w:cs="Arial"/>
          <w:color w:val="006600"/>
          <w:bdr w:val="nil"/>
          <w:lang w:eastAsia="nl-NL"/>
        </w:rPr>
        <w:t>Wachstumsperiode</w:t>
      </w:r>
      <w:r w:rsidRPr="00874D3B">
        <w:rPr>
          <w:rFonts w:eastAsia="Calibri" w:cs="Arial"/>
          <w:color w:val="006600"/>
          <w:bdr w:val="nil"/>
          <w:lang w:eastAsia="nl-NL"/>
        </w:rPr>
        <w:t>: Obstarten (ASW 3)</w:t>
      </w:r>
    </w:p>
    <w:p w14:paraId="1DD1B1ED" w14:textId="77777777" w:rsidR="005E779B" w:rsidRPr="00874D3B" w:rsidRDefault="005E779B" w:rsidP="005E779B"/>
    <w:p w14:paraId="10A3A5EB" w14:textId="22AC33E1" w:rsidR="005E779B" w:rsidRPr="00874D3B" w:rsidRDefault="005E779B" w:rsidP="005E779B">
      <w:pPr>
        <w:ind w:left="1560"/>
      </w:pPr>
      <w:r w:rsidRPr="00874D3B">
        <w:t>Der Technische Ausschuss wird gebeten, die vorgeschlagenen Änderungen am Standardwortlaut der Prüfungsrichtlinien für die „</w:t>
      </w:r>
      <w:r w:rsidR="00B97DB7" w:rsidRPr="00B97DB7">
        <w:t>Anzahl von Wachstumsperioden</w:t>
      </w:r>
      <w:r w:rsidRPr="00874D3B">
        <w:t>“ zu prüfen, um zu klären, wann die Prüfung einer Sorte abgeschlossen werden kann.  Stellungnahmen der TWP zu diesem Vorschlag werden berichtet.</w:t>
      </w:r>
    </w:p>
    <w:p w14:paraId="7120F386" w14:textId="77777777" w:rsidR="005E779B" w:rsidRPr="00874D3B" w:rsidRDefault="005E779B" w:rsidP="005E779B">
      <w:pPr>
        <w:ind w:left="1560" w:hanging="993"/>
        <w:jc w:val="left"/>
        <w:rPr>
          <w:rFonts w:eastAsia="Calibri" w:cs="Arial"/>
          <w:color w:val="006600"/>
          <w:bdr w:val="nil"/>
          <w:lang w:eastAsia="nl-NL"/>
        </w:rPr>
      </w:pPr>
    </w:p>
    <w:bookmarkEnd w:id="1"/>
    <w:p w14:paraId="408761A9" w14:textId="77777777" w:rsidR="00FF6C61" w:rsidRPr="0067149F" w:rsidRDefault="00FF6C61" w:rsidP="00FF6C61">
      <w:pPr>
        <w:ind w:left="2127" w:hanging="1560"/>
        <w:jc w:val="left"/>
        <w:rPr>
          <w:bCs/>
          <w:snapToGrid w:val="0"/>
          <w:szCs w:val="24"/>
        </w:rPr>
      </w:pPr>
      <w:r w:rsidRPr="0067149F">
        <w:rPr>
          <w:rFonts w:eastAsia="Calibri" w:cs="Arial"/>
          <w:color w:val="006600"/>
          <w:bdr w:val="nil"/>
          <w:lang w:eastAsia="nl-NL"/>
        </w:rPr>
        <w:t>TGP/15</w:t>
      </w:r>
      <w:r w:rsidRPr="0067149F">
        <w:rPr>
          <w:rFonts w:eastAsia="Calibri" w:cs="Arial"/>
          <w:color w:val="006600"/>
          <w:bdr w:val="nil"/>
          <w:lang w:eastAsia="nl-NL"/>
        </w:rPr>
        <w:tab/>
      </w:r>
      <w:r w:rsidRPr="00F55E5C">
        <w:rPr>
          <w:rFonts w:eastAsia="Calibri" w:cs="Arial"/>
          <w:color w:val="006600"/>
          <w:bdr w:val="nil"/>
          <w:lang w:eastAsia="nl-NL"/>
        </w:rPr>
        <w:t>Anleitung zur Verwendung biochemischer und molekularer Marker bei der Prüfung der Unterscheidbarkeit, Homogenität und Beständigkeit (DUS)</w:t>
      </w:r>
      <w:r w:rsidRPr="0067149F">
        <w:rPr>
          <w:rFonts w:eastAsia="Calibri" w:cs="Arial"/>
          <w:color w:val="006600"/>
          <w:bdr w:val="nil"/>
          <w:lang w:eastAsia="nl-NL"/>
        </w:rPr>
        <w:t xml:space="preserve"> (Überarbeitung)</w:t>
      </w:r>
      <w:r w:rsidRPr="0067149F">
        <w:rPr>
          <w:rFonts w:eastAsia="Calibri" w:cs="Arial"/>
          <w:color w:val="006600"/>
          <w:bdr w:val="nil"/>
          <w:lang w:eastAsia="nl-NL"/>
        </w:rPr>
        <w:br/>
      </w:r>
      <w:r w:rsidRPr="0067149F">
        <w:rPr>
          <w:rFonts w:cs="Arial"/>
          <w:snapToGrid w:val="0"/>
        </w:rPr>
        <w:t xml:space="preserve">(Dokument </w:t>
      </w:r>
      <w:r w:rsidRPr="0067149F">
        <w:t xml:space="preserve">TGP/15/4 </w:t>
      </w:r>
      <w:r>
        <w:t>Draft </w:t>
      </w:r>
      <w:r w:rsidRPr="0067149F">
        <w:t xml:space="preserve"> 1</w:t>
      </w:r>
      <w:r w:rsidRPr="0067149F">
        <w:rPr>
          <w:bCs/>
          <w:snapToGrid w:val="0"/>
          <w:szCs w:val="24"/>
        </w:rPr>
        <w:t>)</w:t>
      </w:r>
    </w:p>
    <w:p w14:paraId="24BA6B49" w14:textId="77777777" w:rsidR="00FF6C61" w:rsidRPr="0067149F" w:rsidRDefault="00FF6C61" w:rsidP="00FF6C61">
      <w:pPr>
        <w:ind w:left="2127"/>
        <w:jc w:val="left"/>
        <w:rPr>
          <w:rFonts w:eastAsia="Calibri" w:cs="Arial"/>
          <w:bdr w:val="nil"/>
          <w:lang w:eastAsia="nl-NL"/>
        </w:rPr>
      </w:pPr>
    </w:p>
    <w:p w14:paraId="1EB29E0C" w14:textId="77777777" w:rsidR="00FF6C61" w:rsidRPr="0067149F" w:rsidRDefault="00FF6C61" w:rsidP="00FF6C61">
      <w:pPr>
        <w:ind w:left="2127"/>
        <w:rPr>
          <w:rFonts w:eastAsia="Calibri" w:cs="Arial"/>
          <w:bdr w:val="nil"/>
          <w:lang w:eastAsia="nl-NL"/>
        </w:rPr>
      </w:pPr>
      <w:r w:rsidRPr="0067149F">
        <w:rPr>
          <w:rFonts w:eastAsia="Calibri" w:cs="Arial"/>
          <w:bdr w:val="nil"/>
          <w:lang w:eastAsia="nl-NL"/>
        </w:rPr>
        <w:t>Der Rat wird ersucht, eine Überarbeitung des Dokuments TGP/15 anzunehmen, um Verfahren zur Validierung merkmalsspezifischer molekularer Marker sowie eine Standardvorlage für die Bereitstellung von Informationen in Prüfungsrichtlinien zur Bewertung von Merkmalen unter Verwendung dieser Marker aufzunehmen.</w:t>
      </w:r>
    </w:p>
    <w:p w14:paraId="7F52C63D" w14:textId="77777777" w:rsidR="005E779B" w:rsidRPr="00874D3B" w:rsidRDefault="005E779B" w:rsidP="005E779B"/>
    <w:p w14:paraId="258C0FBE" w14:textId="77777777" w:rsidR="005E779B" w:rsidRPr="00874D3B" w:rsidRDefault="005E779B" w:rsidP="005E779B"/>
    <w:bookmarkEnd w:id="0"/>
    <w:p w14:paraId="76B844AA" w14:textId="77777777" w:rsidR="00FF6C61" w:rsidRDefault="00FF6C61">
      <w:pPr>
        <w:jc w:val="left"/>
        <w:rPr>
          <w:rFonts w:eastAsia="Calibri" w:cs="Arial"/>
          <w:b/>
          <w:bCs/>
          <w:color w:val="006600"/>
          <w:bdr w:val="nil"/>
          <w:lang w:eastAsia="nl-NL"/>
        </w:rPr>
      </w:pPr>
      <w:r>
        <w:br w:type="page"/>
      </w:r>
    </w:p>
    <w:p w14:paraId="0944AFFD" w14:textId="110F9EA1" w:rsidR="005E779B" w:rsidRPr="00874D3B" w:rsidRDefault="005E779B" w:rsidP="00FF6C61">
      <w:pPr>
        <w:pStyle w:val="agendaitemtitle"/>
        <w:jc w:val="left"/>
        <w:rPr>
          <w:b w:val="0"/>
          <w:bCs w:val="0"/>
          <w:color w:val="auto"/>
        </w:rPr>
      </w:pPr>
      <w:r w:rsidRPr="00874D3B">
        <w:lastRenderedPageBreak/>
        <w:fldChar w:fldCharType="begin"/>
      </w:r>
      <w:r w:rsidRPr="00874D3B">
        <w:instrText xml:space="preserve"> AUTONUM  </w:instrText>
      </w:r>
      <w:r w:rsidRPr="00874D3B">
        <w:fldChar w:fldCharType="end"/>
      </w:r>
      <w:r w:rsidRPr="00874D3B">
        <w:tab/>
        <w:t xml:space="preserve">Maßnahmen zur Verbesserung der Zusammenarbeit bei der Prüfung </w:t>
      </w:r>
      <w:r w:rsidR="00FF6C61">
        <w:br/>
      </w:r>
      <w:r w:rsidRPr="00874D3B">
        <w:rPr>
          <w:b w:val="0"/>
          <w:bCs w:val="0"/>
          <w:color w:val="auto"/>
        </w:rPr>
        <w:t>(Dokument SESSIONS/2026/3)</w:t>
      </w:r>
    </w:p>
    <w:p w14:paraId="2B2026B9" w14:textId="77777777" w:rsidR="005E779B" w:rsidRPr="00874D3B" w:rsidRDefault="005E779B" w:rsidP="005E779B"/>
    <w:p w14:paraId="0B7A4853" w14:textId="77777777" w:rsidR="005E779B" w:rsidRPr="00874D3B" w:rsidRDefault="005E779B" w:rsidP="005E779B">
      <w:pPr>
        <w:ind w:left="567"/>
      </w:pPr>
      <w:r w:rsidRPr="00874D3B">
        <w:t xml:space="preserve">Der TC und der CAJ werden die Erörterung möglicher Maßnahmen zur Verbesserung der Zusammenarbeit bei der DUS-Prüfung und der Anerkennung von DUS-Prüfungsberichten fortsetzen. Es wird ein Sachstandsbericht zu den Webinaren vorgelegt, die zu folgenden Themen organisiert wurden: (1) Umwelteinflüsse auf die Ausprägung von Merkmalen, (2) Vollständigkeit und Relevanz von Sortensammlungen und (3) phytosanitäre Verzögerungen bei der DUS-Prüfung. Die Aufzeichnungen der Webinar-Präsentationen sind auf der UPOV-Website verfügbar. </w:t>
      </w:r>
    </w:p>
    <w:p w14:paraId="6D3545B5" w14:textId="77777777" w:rsidR="005E779B" w:rsidRPr="00874D3B" w:rsidRDefault="005E779B" w:rsidP="005E779B"/>
    <w:p w14:paraId="56C80485" w14:textId="77777777" w:rsidR="004E2DB7" w:rsidRPr="00874D3B" w:rsidRDefault="004E2DB7" w:rsidP="005E779B"/>
    <w:p w14:paraId="2FC01B61" w14:textId="77777777" w:rsidR="005E779B" w:rsidRPr="00874D3B" w:rsidRDefault="005E779B" w:rsidP="005E779B">
      <w:pPr>
        <w:pStyle w:val="agendaitemtitle"/>
        <w:keepNext/>
        <w:rPr>
          <w:b w:val="0"/>
          <w:bCs w:val="0"/>
          <w:color w:val="auto"/>
        </w:rPr>
      </w:pPr>
      <w:r w:rsidRPr="00874D3B">
        <w:fldChar w:fldCharType="begin"/>
      </w:r>
      <w:r w:rsidRPr="00874D3B">
        <w:instrText xml:space="preserve"> AUTONUM  </w:instrText>
      </w:r>
      <w:r w:rsidRPr="00874D3B">
        <w:fldChar w:fldCharType="end"/>
      </w:r>
      <w:r w:rsidRPr="00874D3B">
        <w:tab/>
        <w:t xml:space="preserve">Maßnahmen zur Verbesserung der Unterstützung bei der DUS-Prüfung </w:t>
      </w:r>
      <w:r w:rsidRPr="00874D3B">
        <w:rPr>
          <w:b w:val="0"/>
          <w:bCs w:val="0"/>
          <w:color w:val="auto"/>
        </w:rPr>
        <w:t>(Dokument TC/62/6)</w:t>
      </w:r>
    </w:p>
    <w:p w14:paraId="77E71DFE" w14:textId="77777777" w:rsidR="005E779B" w:rsidRPr="00874D3B" w:rsidRDefault="005E779B" w:rsidP="004E2DB7">
      <w:pPr>
        <w:keepNext/>
      </w:pPr>
    </w:p>
    <w:p w14:paraId="7988C807" w14:textId="1F4531F3" w:rsidR="005E779B" w:rsidRPr="00874D3B" w:rsidRDefault="005E779B" w:rsidP="005E779B">
      <w:pPr>
        <w:ind w:left="567"/>
      </w:pPr>
      <w:r w:rsidRPr="00874D3B">
        <w:t>Im Jahr 2025 wurde das webbasierte UPOV-Tool zur Erstellung von Prüfungsrichtlinien („TG-Vorlage“) genutzt, um die Ergebnisse der Beratungen über Entwürfe von Prüfungsrichtlinien in der TWF festzuhalten.  Der TC wird einen Bericht über die Anwendung dieses Verfahrens in allen im Jahr 2026 abgehaltenen TWP erhalten, mit dem Ziel, den Prozess der Erstellung von Prüfungsrichtlinien zu straffen. Weitere Vorschläge zur weiteren Verbesserung der TG-Vorlage als Arbeitsinstrument für die UPOV-Mitglieder werden vom TC entsprechend den Ergebnissen der Beratungen in den TWPs geprüft.</w:t>
      </w:r>
    </w:p>
    <w:p w14:paraId="0F6E9F78" w14:textId="77777777" w:rsidR="005E779B" w:rsidRPr="00874D3B" w:rsidRDefault="005E779B" w:rsidP="005E779B">
      <w:pPr>
        <w:ind w:left="567"/>
      </w:pPr>
    </w:p>
    <w:p w14:paraId="21E879DD" w14:textId="77777777" w:rsidR="005E779B" w:rsidRPr="00874D3B" w:rsidRDefault="005E779B" w:rsidP="005E779B">
      <w:pPr>
        <w:ind w:left="567"/>
      </w:pPr>
      <w:r w:rsidRPr="00874D3B">
        <w:t xml:space="preserve">Nach Zustimmung des TC werden die TWPs im Jahr 2026 den UPOV-Mitgliedern die Möglichkeit bieten, Merkmale, Ansätze oder Herausforderungen für die DUS-Prüfung vorzustellen, die für die Ausarbeitung nationaler Prüfungsrichtlinien relevant sind. Ziel ist es, UPOV-Mitglieder bei der Entwicklung nationaler Prüfungsrichtlinien gemäß den UPOV-Leitlinien zu unterstützen, die nicht mit der Entwicklung international harmonisierter UPOV-Prüfungsrichtlinien in Zusammenhang stehen.  Der TC wird einen Bericht über die Umsetzung dieses neuen Ansatzes der technischen Zusammenarbeit erhalten und prüfen, ob Anpassungen der durchgeführten Verfahren erforderlich wären. </w:t>
      </w:r>
    </w:p>
    <w:p w14:paraId="6E97E0C2" w14:textId="77777777" w:rsidR="005E779B" w:rsidRPr="00874D3B" w:rsidRDefault="005E779B" w:rsidP="005E779B"/>
    <w:p w14:paraId="53966BA2" w14:textId="77777777" w:rsidR="005E779B" w:rsidRPr="00874D3B" w:rsidRDefault="005E779B" w:rsidP="005E779B"/>
    <w:p w14:paraId="4CAC1B1D" w14:textId="77777777" w:rsidR="005E779B" w:rsidRPr="00874D3B" w:rsidRDefault="005E779B" w:rsidP="005E779B">
      <w:pPr>
        <w:pStyle w:val="agendaitemtitle"/>
        <w:keepNext/>
        <w:rPr>
          <w:b w:val="0"/>
          <w:bCs w:val="0"/>
          <w:snapToGrid w:val="0"/>
          <w:color w:val="auto"/>
        </w:rPr>
      </w:pPr>
      <w:r w:rsidRPr="00874D3B">
        <w:fldChar w:fldCharType="begin"/>
      </w:r>
      <w:r w:rsidRPr="00874D3B">
        <w:instrText xml:space="preserve"> AUTONUM  </w:instrText>
      </w:r>
      <w:r w:rsidRPr="00874D3B">
        <w:fldChar w:fldCharType="end"/>
      </w:r>
      <w:r w:rsidRPr="00874D3B">
        <w:tab/>
      </w:r>
      <w:r w:rsidRPr="00874D3B">
        <w:rPr>
          <w:snapToGrid w:val="0"/>
        </w:rPr>
        <w:t xml:space="preserve">UPOV-Informationsdatenbanken </w:t>
      </w:r>
      <w:r w:rsidRPr="00874D3B">
        <w:rPr>
          <w:b w:val="0"/>
          <w:bCs w:val="0"/>
          <w:snapToGrid w:val="0"/>
          <w:color w:val="auto"/>
        </w:rPr>
        <w:t xml:space="preserve">(Dokument SESSIONS/2026/5) </w:t>
      </w:r>
    </w:p>
    <w:p w14:paraId="01990BA5" w14:textId="77777777" w:rsidR="005E779B" w:rsidRPr="00874D3B" w:rsidRDefault="005E779B" w:rsidP="005E779B">
      <w:pPr>
        <w:keepNext/>
      </w:pPr>
    </w:p>
    <w:p w14:paraId="67605FD4" w14:textId="77777777" w:rsidR="005E779B" w:rsidRPr="00874D3B" w:rsidRDefault="005E779B" w:rsidP="005E779B">
      <w:pPr>
        <w:ind w:left="567"/>
      </w:pPr>
      <w:r w:rsidRPr="00874D3B">
        <w:t xml:space="preserve">Der TC wird Vorschläge zur Änderung der UPOV-Codes für Zitrusarten prüfen, die nicht mehr als gültige botanische Namen anerkannt sind; der TC wird zur Kenntnis nehmen, dass der CAJ aufgefordert wird, die Analyse der Ergebnisse der Umfragen unter PLUTO-Nutzern und Datenlieferanten sowie etwaige daraus resultierende Empfehlungen für das Programm zur Verbesserung der PLUTO-Datenbank zu prüfen. </w:t>
      </w:r>
    </w:p>
    <w:p w14:paraId="77492C45" w14:textId="77777777" w:rsidR="005E779B" w:rsidRPr="00874D3B" w:rsidRDefault="005E779B" w:rsidP="005E779B">
      <w:pPr>
        <w:ind w:left="567"/>
      </w:pPr>
    </w:p>
    <w:p w14:paraId="4D3439B8" w14:textId="77777777" w:rsidR="005E779B" w:rsidRPr="00874D3B" w:rsidRDefault="005E779B" w:rsidP="005E779B">
      <w:pPr>
        <w:ind w:left="567"/>
      </w:pPr>
    </w:p>
    <w:p w14:paraId="67971BFC" w14:textId="77777777" w:rsidR="005E779B" w:rsidRPr="00874D3B" w:rsidRDefault="005E779B" w:rsidP="005E779B">
      <w:pPr>
        <w:pStyle w:val="agendaitemtitle"/>
        <w:rPr>
          <w:b w:val="0"/>
          <w:bCs w:val="0"/>
          <w:color w:val="auto"/>
        </w:rPr>
      </w:pPr>
      <w:r w:rsidRPr="00874D3B">
        <w:fldChar w:fldCharType="begin"/>
      </w:r>
      <w:r w:rsidRPr="00874D3B">
        <w:instrText xml:space="preserve"> AUTONUM  </w:instrText>
      </w:r>
      <w:r w:rsidRPr="00874D3B">
        <w:fldChar w:fldCharType="end"/>
      </w:r>
      <w:r w:rsidRPr="00874D3B">
        <w:tab/>
        <w:t xml:space="preserve">Molekulare Verfahren </w:t>
      </w:r>
      <w:r w:rsidRPr="00874D3B">
        <w:rPr>
          <w:b w:val="0"/>
          <w:bCs w:val="0"/>
          <w:snapToGrid w:val="0"/>
          <w:color w:val="auto"/>
        </w:rPr>
        <w:t xml:space="preserve">(Dokument SESSIONS/2026/6) </w:t>
      </w:r>
    </w:p>
    <w:p w14:paraId="2B199214" w14:textId="77777777" w:rsidR="005E779B" w:rsidRPr="00874D3B" w:rsidRDefault="005E779B" w:rsidP="005E779B"/>
    <w:p w14:paraId="0F05C297" w14:textId="77777777" w:rsidR="005E779B" w:rsidRPr="00874D3B" w:rsidRDefault="005E779B" w:rsidP="005E779B">
      <w:pPr>
        <w:ind w:left="567"/>
      </w:pPr>
      <w:r w:rsidRPr="00874D3B">
        <w:t>Der TC wird Fragen im Zusammenhang mit der Anwendung molekularer Verfahren bei der Prüfung der Unterscheidbarkeit, der Homogenität und der Beständigkeit prüfen, einschließlich:</w:t>
      </w:r>
    </w:p>
    <w:p w14:paraId="6B06CC9B" w14:textId="77777777" w:rsidR="005E779B" w:rsidRPr="00874D3B" w:rsidRDefault="005E779B" w:rsidP="005E779B"/>
    <w:p w14:paraId="05FD8F83" w14:textId="77777777" w:rsidR="00780860" w:rsidRPr="00875043" w:rsidRDefault="00780860" w:rsidP="00780860">
      <w:pPr>
        <w:ind w:left="1134" w:hanging="567"/>
      </w:pPr>
      <w:r w:rsidRPr="00875043">
        <w:t>(a)</w:t>
      </w:r>
      <w:r w:rsidRPr="00875043">
        <w:tab/>
        <w:t>Entwicklungen in der Technischen Arbeitsgruppe für Prüfungsmethoden und -techniken (TWM) im Zusammenhang mit der Verwendung molekularer Marker bei der DUS-Prüfung, der Sortenidentifikation, der Beurteilung der wesentlichen Ableitung und der Durchsetzung;</w:t>
      </w:r>
    </w:p>
    <w:p w14:paraId="6B775986" w14:textId="77777777" w:rsidR="00780860" w:rsidRPr="00875043" w:rsidRDefault="00780860" w:rsidP="00780860">
      <w:pPr>
        <w:ind w:left="1134" w:hanging="567"/>
      </w:pPr>
    </w:p>
    <w:p w14:paraId="5CB247B7" w14:textId="77777777" w:rsidR="00780860" w:rsidRPr="00875043" w:rsidRDefault="00780860" w:rsidP="00780860">
      <w:pPr>
        <w:ind w:left="1134" w:hanging="567"/>
      </w:pPr>
      <w:r w:rsidRPr="00875043">
        <w:t>(b)</w:t>
      </w:r>
      <w:r w:rsidRPr="00875043">
        <w:tab/>
        <w:t>Erörterungen in den TWP zur Zusammenarbeit bei der Nutzung molekularer Informationen, einschließlich der gemeinsamen Entwicklung molekularer Marker, der Verwaltung von Sortensammlungen und der Sortenidentifikation;</w:t>
      </w:r>
    </w:p>
    <w:p w14:paraId="3E760FD2" w14:textId="77777777" w:rsidR="00780860" w:rsidRPr="00875043" w:rsidRDefault="00780860" w:rsidP="00780860">
      <w:pPr>
        <w:ind w:left="1134" w:hanging="567"/>
      </w:pPr>
    </w:p>
    <w:p w14:paraId="5249CB0C" w14:textId="77777777" w:rsidR="00780860" w:rsidRPr="00875043" w:rsidRDefault="00780860" w:rsidP="00780860">
      <w:pPr>
        <w:spacing w:after="120"/>
        <w:ind w:left="1134" w:hanging="567"/>
      </w:pPr>
      <w:r w:rsidRPr="00875043">
        <w:t>(c)</w:t>
      </w:r>
      <w:r w:rsidRPr="00875043">
        <w:tab/>
        <w:t xml:space="preserve">Zusammenarbeit mit internationalen Organisationen, einschließlich möglicher gemeinsamer Initiativen mit der OECD und der ISTA: </w:t>
      </w:r>
    </w:p>
    <w:p w14:paraId="73FF6A71" w14:textId="77777777" w:rsidR="00780860" w:rsidRPr="00875043" w:rsidRDefault="00780860" w:rsidP="00780860">
      <w:pPr>
        <w:ind w:left="1701" w:hanging="567"/>
      </w:pPr>
      <w:r w:rsidRPr="00875043">
        <w:t>(i)</w:t>
      </w:r>
      <w:r w:rsidRPr="00875043">
        <w:tab/>
        <w:t xml:space="preserve">Harmonisierung von Begriffen, Definitionen und Methoden im Zusammenhang mit molekularen Techniken; </w:t>
      </w:r>
    </w:p>
    <w:p w14:paraId="28A35E26" w14:textId="77777777" w:rsidR="00780860" w:rsidRPr="00875043" w:rsidRDefault="00780860" w:rsidP="00780860">
      <w:pPr>
        <w:ind w:left="1701" w:hanging="567"/>
      </w:pPr>
      <w:r w:rsidRPr="00875043">
        <w:t>(ii)</w:t>
      </w:r>
      <w:r w:rsidRPr="00875043">
        <w:tab/>
        <w:t xml:space="preserve">gemeinsames Treffen mit TWM, den OECD-Saatgutprogrammen und dem ISTA-Sortenausschuss; und </w:t>
      </w:r>
    </w:p>
    <w:p w14:paraId="1E5F9D44" w14:textId="77777777" w:rsidR="00780860" w:rsidRPr="00875043" w:rsidRDefault="00780860" w:rsidP="00780860">
      <w:pPr>
        <w:ind w:left="1701" w:hanging="567"/>
      </w:pPr>
      <w:r w:rsidRPr="00875043">
        <w:t>(iii)</w:t>
      </w:r>
      <w:r w:rsidRPr="00875043">
        <w:tab/>
        <w:t>Festlegung gemeinsamer Sätze molekularer Marker für die Sortenidentifikation.</w:t>
      </w:r>
    </w:p>
    <w:p w14:paraId="5520FBCA" w14:textId="77777777" w:rsidR="00780860" w:rsidRPr="00875043" w:rsidRDefault="00780860" w:rsidP="00780860">
      <w:pPr>
        <w:ind w:left="567"/>
      </w:pPr>
    </w:p>
    <w:p w14:paraId="6D685629" w14:textId="77777777" w:rsidR="00780860" w:rsidRPr="00875043" w:rsidRDefault="00780860" w:rsidP="00780860">
      <w:pPr>
        <w:ind w:left="567"/>
      </w:pPr>
      <w:r w:rsidRPr="00875043">
        <w:t>(d)</w:t>
      </w:r>
      <w:r w:rsidRPr="00875043">
        <w:tab/>
        <w:t>die Ergebnisse der Erhebung von 2026 zur Verwendung molekularer Marker nach Kulturpflanzen.</w:t>
      </w:r>
    </w:p>
    <w:p w14:paraId="6C0A2101" w14:textId="77777777" w:rsidR="005E779B" w:rsidRPr="00874D3B" w:rsidRDefault="005E779B" w:rsidP="005E779B"/>
    <w:p w14:paraId="770EC80C" w14:textId="77777777" w:rsidR="005E779B" w:rsidRPr="00874D3B" w:rsidRDefault="005E779B" w:rsidP="005E779B"/>
    <w:p w14:paraId="5BA11B66" w14:textId="5AB2062A" w:rsidR="005E779B" w:rsidRPr="00874D3B" w:rsidRDefault="005E779B" w:rsidP="005E779B">
      <w:pPr>
        <w:pStyle w:val="agendaitemtitle"/>
      </w:pPr>
      <w:r w:rsidRPr="00874D3B">
        <w:lastRenderedPageBreak/>
        <w:fldChar w:fldCharType="begin"/>
      </w:r>
      <w:r w:rsidRPr="00874D3B">
        <w:instrText xml:space="preserve"> AUTONUM  </w:instrText>
      </w:r>
      <w:r w:rsidRPr="00874D3B">
        <w:fldChar w:fldCharType="end"/>
      </w:r>
      <w:r w:rsidRPr="00874D3B">
        <w:tab/>
      </w:r>
      <w:r w:rsidR="00780860" w:rsidRPr="00780860">
        <w:t>TWP-Arbeitstagungen und Webinare</w:t>
      </w:r>
      <w:r w:rsidRPr="00874D3B">
        <w:t xml:space="preserve"> </w:t>
      </w:r>
      <w:r w:rsidRPr="00874D3B">
        <w:rPr>
          <w:b w:val="0"/>
          <w:bCs w:val="0"/>
          <w:snapToGrid w:val="0"/>
          <w:color w:val="auto"/>
        </w:rPr>
        <w:t xml:space="preserve">(Dokument TC/62/7) </w:t>
      </w:r>
    </w:p>
    <w:p w14:paraId="4EA4F198" w14:textId="77777777" w:rsidR="005E779B" w:rsidRPr="00874D3B" w:rsidRDefault="005E779B" w:rsidP="005E779B">
      <w:pPr>
        <w:keepNext/>
        <w:ind w:left="567"/>
      </w:pPr>
    </w:p>
    <w:p w14:paraId="28D53062" w14:textId="295E4FE6" w:rsidR="005E779B" w:rsidRPr="00874D3B" w:rsidRDefault="00780860" w:rsidP="005E779B">
      <w:pPr>
        <w:ind w:left="567"/>
      </w:pPr>
      <w:r w:rsidRPr="00780860">
        <w:t>Arbeitstagungen</w:t>
      </w:r>
      <w:r>
        <w:t xml:space="preserve"> </w:t>
      </w:r>
      <w:r w:rsidR="005E779B" w:rsidRPr="00874D3B">
        <w:t xml:space="preserve">und Webinare werden mit dem Hauptziel organisiert, einigen Delegierten zu helfen, aktiver an den </w:t>
      </w:r>
      <w:r>
        <w:t>Tag</w:t>
      </w:r>
      <w:r w:rsidR="005E779B" w:rsidRPr="00874D3B">
        <w:t xml:space="preserve">ungen der Technischen Arbeitsgruppe (TWP) teilzunehmen. Seit 2021 werden die </w:t>
      </w:r>
      <w:r w:rsidRPr="00780860">
        <w:t>Arbeitstagungen</w:t>
      </w:r>
      <w:r w:rsidR="005E779B" w:rsidRPr="00874D3B">
        <w:t xml:space="preserve"> als Webinare vor den TWP-Sitzungen organisiert, und ihre Videoaufzeichnungen sind auf der UPOV-Website verfügbar.  </w:t>
      </w:r>
    </w:p>
    <w:p w14:paraId="15ADE31D" w14:textId="77777777" w:rsidR="005E779B" w:rsidRPr="00874D3B" w:rsidRDefault="005E779B" w:rsidP="005E779B">
      <w:pPr>
        <w:keepNext/>
        <w:ind w:left="1134" w:hanging="567"/>
      </w:pPr>
    </w:p>
    <w:p w14:paraId="4AEE9C43" w14:textId="77777777" w:rsidR="005E779B" w:rsidRPr="00874D3B" w:rsidRDefault="005E779B" w:rsidP="005E779B">
      <w:pPr>
        <w:keepNext/>
        <w:ind w:left="567"/>
      </w:pPr>
      <w:r w:rsidRPr="00874D3B">
        <w:t xml:space="preserve">Der TC wird einen Bericht über die im Jahr 2026 organisierten </w:t>
      </w:r>
      <w:hyperlink r:id="rId7" w:anchor="technical-webinars" w:history="1">
        <w:r w:rsidRPr="00874D3B">
          <w:rPr>
            <w:rStyle w:val="Hyperlink"/>
          </w:rPr>
          <w:t>Webinare</w:t>
        </w:r>
      </w:hyperlink>
      <w:r w:rsidRPr="00874D3B">
        <w:t xml:space="preserve"> sowie Vorschläge für Webinare im Jahr 2027 prüfen.</w:t>
      </w:r>
    </w:p>
    <w:p w14:paraId="3EED902E" w14:textId="77777777" w:rsidR="005E779B" w:rsidRPr="00874D3B" w:rsidRDefault="005E779B" w:rsidP="005E779B"/>
    <w:p w14:paraId="3AC10662" w14:textId="77777777" w:rsidR="005E779B" w:rsidRPr="00874D3B" w:rsidRDefault="005E779B" w:rsidP="005E779B"/>
    <w:p w14:paraId="1A1EB6FE" w14:textId="0CBF1A5C"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r>
      <w:r w:rsidR="009543A8" w:rsidRPr="009543A8">
        <w:t>Diskussion über</w:t>
      </w:r>
      <w:r w:rsidRPr="00874D3B">
        <w:t>:  Umwelteinflüssen auf die Ausprägung von Merkmalen; Vollständigkeit und Relevanz von Sortensammlungen; Pflanzenschutzfragen, die den Zugang zu Pflanzenmaterial beeinträchtigen</w:t>
      </w:r>
    </w:p>
    <w:p w14:paraId="275EFC80" w14:textId="77777777" w:rsidR="005E779B" w:rsidRPr="00874D3B" w:rsidRDefault="005E779B" w:rsidP="005E779B"/>
    <w:p w14:paraId="02098642" w14:textId="77777777" w:rsidR="005E779B" w:rsidRPr="00874D3B" w:rsidRDefault="005E779B" w:rsidP="005E779B">
      <w:pPr>
        <w:ind w:left="567"/>
      </w:pPr>
      <w:r w:rsidRPr="00874D3B">
        <w:t xml:space="preserve">Auf seiner einundsechzigsten Tagung kam der TC überein, eine offene Diskussionsrunde zu den oben genannten Punkten abzuhalten, die auch unter „Maßnahmen zur Verbesserung der Zusammenarbeit bei der Prüfung“ behandelt wurden und Gegenstand der im Jahr 2026 organisierten </w:t>
      </w:r>
      <w:hyperlink r:id="rId8" w:anchor="technical-webinars" w:history="1">
        <w:r w:rsidRPr="00874D3B">
          <w:rPr>
            <w:rStyle w:val="Hyperlink"/>
          </w:rPr>
          <w:t>Webinare</w:t>
        </w:r>
      </w:hyperlink>
      <w:r w:rsidRPr="00874D3B">
        <w:t xml:space="preserve"> waren.</w:t>
      </w:r>
    </w:p>
    <w:p w14:paraId="42703797" w14:textId="77777777" w:rsidR="005E779B" w:rsidRPr="00874D3B" w:rsidRDefault="005E779B" w:rsidP="005E779B"/>
    <w:p w14:paraId="66117CBD" w14:textId="77777777" w:rsidR="005E779B" w:rsidRPr="00874D3B" w:rsidRDefault="005E779B" w:rsidP="005E779B"/>
    <w:p w14:paraId="47EB4A2F" w14:textId="77777777"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t xml:space="preserve">Prüfungsrichtlinien </w:t>
      </w:r>
      <w:r w:rsidRPr="00874D3B">
        <w:rPr>
          <w:b w:val="0"/>
          <w:bCs w:val="0"/>
          <w:color w:val="auto"/>
        </w:rPr>
        <w:t>(Dokumente TC/62/2, TC/62/[xx])</w:t>
      </w:r>
    </w:p>
    <w:p w14:paraId="2889B9A7" w14:textId="77777777" w:rsidR="005E779B" w:rsidRPr="00874D3B" w:rsidRDefault="005E779B" w:rsidP="005E779B"/>
    <w:p w14:paraId="46A40792" w14:textId="77777777" w:rsidR="005E779B" w:rsidRPr="00874D3B" w:rsidRDefault="005E779B" w:rsidP="005E779B">
      <w:pPr>
        <w:ind w:left="567"/>
      </w:pPr>
      <w:r w:rsidRPr="00874D3B">
        <w:t>Der TC wird ersucht, (a) das Programm zur Ausarbeitung und Überarbeitung der Prüfungsrichtlinien; (b) von UPOV-Mitgliedern mitgeteilte zusätzliche Merkmale/Ausprägungszustände; und (c) die in den TWP erörterten Erfahrungen mit neuen Typen und Arten zu prüfen.</w:t>
      </w:r>
    </w:p>
    <w:p w14:paraId="1DC345F5" w14:textId="77777777" w:rsidR="005E779B" w:rsidRPr="00874D3B" w:rsidRDefault="005E779B" w:rsidP="005E779B"/>
    <w:p w14:paraId="675F7A47" w14:textId="77777777" w:rsidR="005E779B" w:rsidRPr="00874D3B" w:rsidRDefault="005E779B" w:rsidP="005E779B"/>
    <w:p w14:paraId="54E2F16C" w14:textId="6C4E3EF4" w:rsidR="005E779B" w:rsidRPr="00874D3B" w:rsidRDefault="005E779B" w:rsidP="005E779B">
      <w:pPr>
        <w:pStyle w:val="agendaitemtitle"/>
        <w:rPr>
          <w:snapToGrid w:val="0"/>
        </w:rPr>
      </w:pPr>
      <w:r w:rsidRPr="00874D3B">
        <w:rPr>
          <w:snapToGrid w:val="0"/>
        </w:rPr>
        <w:fldChar w:fldCharType="begin"/>
      </w:r>
      <w:r w:rsidRPr="00874D3B">
        <w:rPr>
          <w:snapToGrid w:val="0"/>
        </w:rPr>
        <w:instrText xml:space="preserve"> AUTONUM  </w:instrText>
      </w:r>
      <w:r w:rsidRPr="00874D3B">
        <w:rPr>
          <w:snapToGrid w:val="0"/>
        </w:rPr>
        <w:fldChar w:fldCharType="end"/>
      </w:r>
      <w:r w:rsidRPr="00874D3B">
        <w:rPr>
          <w:snapToGrid w:val="0"/>
        </w:rPr>
        <w:tab/>
      </w:r>
      <w:r w:rsidR="009543A8" w:rsidRPr="009543A8">
        <w:rPr>
          <w:snapToGrid w:val="0"/>
        </w:rPr>
        <w:t>Angelegenheiten zur Information</w:t>
      </w:r>
      <w:r w:rsidRPr="00874D3B">
        <w:rPr>
          <w:snapToGrid w:val="0"/>
        </w:rPr>
        <w:t xml:space="preserve">: </w:t>
      </w:r>
    </w:p>
    <w:p w14:paraId="2154B133" w14:textId="77777777" w:rsidR="005E779B" w:rsidRPr="00874D3B" w:rsidRDefault="005E779B" w:rsidP="005E779B">
      <w:pPr>
        <w:ind w:left="567" w:hanging="567"/>
        <w:rPr>
          <w:rFonts w:cs="Arial"/>
          <w:snapToGrid w:val="0"/>
        </w:rPr>
      </w:pPr>
    </w:p>
    <w:p w14:paraId="491EB9C2" w14:textId="77777777" w:rsidR="005E779B" w:rsidRPr="00874D3B" w:rsidRDefault="005E779B" w:rsidP="005E779B">
      <w:pPr>
        <w:ind w:left="1134" w:hanging="567"/>
        <w:rPr>
          <w:rFonts w:cs="Arial"/>
          <w:snapToGrid w:val="0"/>
        </w:rPr>
      </w:pPr>
      <w:r w:rsidRPr="00874D3B">
        <w:rPr>
          <w:rFonts w:eastAsia="Calibri" w:cs="Arial"/>
          <w:color w:val="006600"/>
          <w:bdr w:val="nil"/>
          <w:lang w:eastAsia="nl-NL"/>
        </w:rPr>
        <w:t>(a)</w:t>
      </w:r>
      <w:r w:rsidRPr="00874D3B">
        <w:rPr>
          <w:rFonts w:eastAsia="Calibri" w:cs="Arial"/>
          <w:color w:val="006600"/>
          <w:bdr w:val="nil"/>
          <w:lang w:eastAsia="nl-NL"/>
        </w:rPr>
        <w:tab/>
        <w:t xml:space="preserve">Entwicklungen bezüglich UPOV e-PVP </w:t>
      </w:r>
      <w:r w:rsidRPr="00874D3B">
        <w:rPr>
          <w:rFonts w:cs="Arial"/>
          <w:snapToGrid w:val="0"/>
        </w:rPr>
        <w:t>(Dokument SESSIONS/2026/4)</w:t>
      </w:r>
    </w:p>
    <w:p w14:paraId="3AC92536" w14:textId="77777777" w:rsidR="005E779B" w:rsidRPr="00874D3B" w:rsidRDefault="005E779B" w:rsidP="005E779B">
      <w:pPr>
        <w:ind w:left="1134" w:hanging="567"/>
        <w:rPr>
          <w:rFonts w:cs="Arial"/>
          <w:snapToGrid w:val="0"/>
        </w:rPr>
      </w:pPr>
    </w:p>
    <w:p w14:paraId="51A56B5F" w14:textId="04C0045F" w:rsidR="005E779B" w:rsidRPr="00874D3B" w:rsidRDefault="005E779B" w:rsidP="005E779B">
      <w:pPr>
        <w:ind w:left="1134" w:hanging="567"/>
        <w:rPr>
          <w:rFonts w:cs="Arial"/>
        </w:rPr>
      </w:pPr>
      <w:r w:rsidRPr="00874D3B">
        <w:rPr>
          <w:rFonts w:eastAsia="Calibri" w:cs="Arial"/>
          <w:color w:val="006600"/>
          <w:bdr w:val="nil"/>
          <w:lang w:eastAsia="nl-NL"/>
        </w:rPr>
        <w:t>(b)</w:t>
      </w:r>
      <w:r w:rsidRPr="00874D3B">
        <w:rPr>
          <w:rFonts w:eastAsia="Calibri" w:cs="Arial"/>
          <w:color w:val="006600"/>
          <w:bdr w:val="nil"/>
          <w:lang w:eastAsia="nl-NL"/>
        </w:rPr>
        <w:tab/>
        <w:t xml:space="preserve">Liste der Gattungen und Arten, für die die Behörden praktische Erfahrung bei der Prüfung der Unterscheidbarkeit, der Homogenität und der Beständigkeit </w:t>
      </w:r>
      <w:r w:rsidR="009543A8">
        <w:rPr>
          <w:rFonts w:eastAsia="Calibri" w:cs="Arial"/>
          <w:color w:val="006600"/>
          <w:bdr w:val="nil"/>
          <w:lang w:eastAsia="nl-NL"/>
        </w:rPr>
        <w:t>verfügen</w:t>
      </w:r>
      <w:r w:rsidRPr="00874D3B">
        <w:rPr>
          <w:rFonts w:eastAsia="Calibri" w:cs="Arial"/>
          <w:color w:val="006600"/>
          <w:bdr w:val="nil"/>
          <w:lang w:eastAsia="nl-NL"/>
        </w:rPr>
        <w:t xml:space="preserve"> </w:t>
      </w:r>
      <w:r w:rsidRPr="00874D3B">
        <w:rPr>
          <w:rFonts w:cs="Arial"/>
        </w:rPr>
        <w:t>(Dokument TC/62/4)</w:t>
      </w:r>
    </w:p>
    <w:p w14:paraId="521504C9" w14:textId="77777777" w:rsidR="005E779B" w:rsidRPr="00874D3B" w:rsidRDefault="005E779B" w:rsidP="005E779B"/>
    <w:p w14:paraId="0B6574BB" w14:textId="77777777" w:rsidR="005E779B" w:rsidRPr="00874D3B" w:rsidRDefault="005E779B" w:rsidP="005E779B"/>
    <w:p w14:paraId="4E3BD804" w14:textId="77777777" w:rsidR="005E779B" w:rsidRPr="00874D3B" w:rsidRDefault="005E779B" w:rsidP="005E779B">
      <w:pPr>
        <w:pStyle w:val="agendaitemtitle"/>
        <w:keepNext/>
      </w:pPr>
      <w:r w:rsidRPr="00874D3B">
        <w:fldChar w:fldCharType="begin"/>
      </w:r>
      <w:r w:rsidRPr="00874D3B">
        <w:instrText xml:space="preserve"> AUTONUM  </w:instrText>
      </w:r>
      <w:r w:rsidRPr="00874D3B">
        <w:fldChar w:fldCharType="end"/>
      </w:r>
      <w:r w:rsidRPr="00874D3B">
        <w:tab/>
        <w:t xml:space="preserve">Programm für die dreiundsechzigste Tagung </w:t>
      </w:r>
    </w:p>
    <w:p w14:paraId="68DAE020" w14:textId="77777777" w:rsidR="005E779B" w:rsidRPr="00874D3B" w:rsidRDefault="005E779B" w:rsidP="005E779B">
      <w:pPr>
        <w:keepNext/>
        <w:ind w:left="567"/>
      </w:pPr>
    </w:p>
    <w:p w14:paraId="2FD52130" w14:textId="77777777" w:rsidR="005E779B" w:rsidRPr="00874D3B" w:rsidRDefault="005E779B" w:rsidP="005E779B">
      <w:pPr>
        <w:ind w:left="567"/>
      </w:pPr>
      <w:r w:rsidRPr="00874D3B">
        <w:t>Der TC wird gebeten, sein künftiges Arbeitsprogramm zu erörtern, einschließlich der Auswahl eines Themas für die „Diskussionsrunde“.</w:t>
      </w:r>
    </w:p>
    <w:p w14:paraId="1E67080E" w14:textId="77777777" w:rsidR="005E779B" w:rsidRPr="00874D3B" w:rsidRDefault="005E779B" w:rsidP="005E779B">
      <w:pPr>
        <w:rPr>
          <w:rFonts w:cs="Arial"/>
        </w:rPr>
      </w:pPr>
    </w:p>
    <w:p w14:paraId="71ACBDDA" w14:textId="77777777" w:rsidR="005E779B" w:rsidRPr="00874D3B" w:rsidRDefault="005E779B" w:rsidP="005E779B">
      <w:pPr>
        <w:rPr>
          <w:rFonts w:cs="Arial"/>
        </w:rPr>
      </w:pPr>
    </w:p>
    <w:p w14:paraId="0AFC39F4" w14:textId="507E9383"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t>Annahme des Berichts (</w:t>
      </w:r>
      <w:r w:rsidR="009543A8" w:rsidRPr="009543A8">
        <w:t>sofern zeitlich möglich</w:t>
      </w:r>
      <w:r w:rsidRPr="00874D3B">
        <w:t xml:space="preserve">) </w:t>
      </w:r>
    </w:p>
    <w:p w14:paraId="0947EC88" w14:textId="77777777" w:rsidR="005E779B" w:rsidRPr="00874D3B" w:rsidRDefault="005E779B" w:rsidP="005E779B">
      <w:pPr>
        <w:keepNext/>
      </w:pPr>
    </w:p>
    <w:p w14:paraId="2749DB4D" w14:textId="77777777" w:rsidR="005E779B" w:rsidRPr="00874D3B" w:rsidRDefault="005E779B" w:rsidP="005E779B">
      <w:pPr>
        <w:keepNext/>
      </w:pPr>
    </w:p>
    <w:p w14:paraId="576ECDCC" w14:textId="0E17E73A" w:rsidR="005E779B" w:rsidRPr="00874D3B" w:rsidRDefault="005E779B" w:rsidP="005E779B">
      <w:pPr>
        <w:pStyle w:val="agendaitemtitle"/>
      </w:pPr>
      <w:r w:rsidRPr="00874D3B">
        <w:fldChar w:fldCharType="begin"/>
      </w:r>
      <w:r w:rsidRPr="00874D3B">
        <w:instrText xml:space="preserve"> AUTONUM  </w:instrText>
      </w:r>
      <w:r w:rsidRPr="00874D3B">
        <w:fldChar w:fldCharType="end"/>
      </w:r>
      <w:r w:rsidRPr="00874D3B">
        <w:tab/>
      </w:r>
      <w:r w:rsidR="009543A8" w:rsidRPr="009543A8">
        <w:t>Schließung</w:t>
      </w:r>
      <w:r w:rsidRPr="00874D3B">
        <w:t xml:space="preserve"> der </w:t>
      </w:r>
      <w:r w:rsidR="009543A8">
        <w:t>Tag</w:t>
      </w:r>
      <w:r w:rsidRPr="00874D3B">
        <w:t>ung</w:t>
      </w:r>
    </w:p>
    <w:p w14:paraId="50D9E71F" w14:textId="77777777" w:rsidR="005E779B" w:rsidRPr="00874D3B" w:rsidRDefault="005E779B" w:rsidP="005E779B">
      <w:pPr>
        <w:jc w:val="left"/>
      </w:pPr>
    </w:p>
    <w:p w14:paraId="52846C33" w14:textId="77777777" w:rsidR="005E779B" w:rsidRPr="00874D3B" w:rsidRDefault="005E779B" w:rsidP="005E779B">
      <w:pPr>
        <w:jc w:val="left"/>
      </w:pPr>
    </w:p>
    <w:p w14:paraId="3D37B57F" w14:textId="77777777" w:rsidR="005E779B" w:rsidRPr="00874D3B" w:rsidRDefault="005E779B" w:rsidP="005E779B">
      <w:pPr>
        <w:jc w:val="left"/>
      </w:pPr>
    </w:p>
    <w:p w14:paraId="4CF8A892" w14:textId="77777777" w:rsidR="009B440E" w:rsidRPr="00874D3B" w:rsidRDefault="00050E16" w:rsidP="00050E16">
      <w:pPr>
        <w:jc w:val="right"/>
      </w:pPr>
      <w:r w:rsidRPr="00874D3B">
        <w:t>[Ende des Dokuments]</w:t>
      </w:r>
    </w:p>
    <w:p w14:paraId="7A67B90F" w14:textId="382F69B0" w:rsidR="007278B9" w:rsidRPr="00874D3B" w:rsidRDefault="007278B9">
      <w:pPr>
        <w:jc w:val="left"/>
      </w:pPr>
    </w:p>
    <w:p w14:paraId="0C02BEDA" w14:textId="77777777" w:rsidR="00050E16" w:rsidRPr="00874D3B" w:rsidRDefault="00050E16" w:rsidP="009B440E">
      <w:pPr>
        <w:jc w:val="left"/>
      </w:pPr>
    </w:p>
    <w:sectPr w:rsidR="00050E16" w:rsidRPr="00874D3B" w:rsidSect="00906DDC">
      <w:headerReference w:type="default" r:id="rId9"/>
      <w:footerReference w:type="first" r:id="rId10"/>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9779" w14:textId="77777777" w:rsidR="00E338FC" w:rsidRDefault="00E338FC" w:rsidP="006655D3">
      <w:r>
        <w:separator/>
      </w:r>
    </w:p>
    <w:p w14:paraId="1C93DF57" w14:textId="77777777" w:rsidR="00E338FC" w:rsidRDefault="00E338FC" w:rsidP="006655D3"/>
    <w:p w14:paraId="6FEBD309" w14:textId="77777777" w:rsidR="00E338FC" w:rsidRDefault="00E338FC" w:rsidP="006655D3"/>
  </w:endnote>
  <w:endnote w:type="continuationSeparator" w:id="0">
    <w:p w14:paraId="76FF84C6" w14:textId="77777777" w:rsidR="00E338FC" w:rsidRDefault="00E338FC" w:rsidP="006655D3">
      <w:r>
        <w:separator/>
      </w:r>
    </w:p>
    <w:p w14:paraId="4395872E" w14:textId="77777777" w:rsidR="00E338FC" w:rsidRPr="0033734B" w:rsidRDefault="00E338FC">
      <w:pPr>
        <w:pStyle w:val="Footer"/>
        <w:spacing w:after="60"/>
        <w:rPr>
          <w:sz w:val="18"/>
          <w:lang w:val="de-DE"/>
        </w:rPr>
      </w:pPr>
      <w:r w:rsidRPr="0033734B">
        <w:rPr>
          <w:sz w:val="18"/>
          <w:lang w:val="de-DE"/>
        </w:rPr>
        <w:t>[Fortsetzung der Anmerkung von der vorherigen Seite]</w:t>
      </w:r>
    </w:p>
    <w:p w14:paraId="5A6FD53D" w14:textId="77777777" w:rsidR="00E338FC" w:rsidRPr="0033734B" w:rsidRDefault="00E338FC" w:rsidP="006655D3"/>
    <w:p w14:paraId="0F5463B9" w14:textId="77777777" w:rsidR="00E338FC" w:rsidRPr="0033734B" w:rsidRDefault="00E338FC" w:rsidP="006655D3"/>
  </w:endnote>
  <w:endnote w:type="continuationNotice" w:id="1">
    <w:p w14:paraId="2D8A32FD" w14:textId="77777777" w:rsidR="00E338FC" w:rsidRPr="0033734B" w:rsidRDefault="00E338FC" w:rsidP="006655D3">
      <w:r w:rsidRPr="0033734B">
        <w:t>[Fortsetzung der Anmerkung auf der nächsten Seite]</w:t>
      </w:r>
    </w:p>
    <w:p w14:paraId="29D2D360" w14:textId="77777777" w:rsidR="00E338FC" w:rsidRPr="0033734B" w:rsidRDefault="00E338FC" w:rsidP="006655D3"/>
    <w:p w14:paraId="1803DDF3" w14:textId="77777777" w:rsidR="00E338FC" w:rsidRPr="0033734B" w:rsidRDefault="00E338FC"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45E6" w14:textId="77777777" w:rsidR="00D140B8" w:rsidRPr="000372C8" w:rsidRDefault="00D140B8" w:rsidP="00D140B8">
    <w:pPr>
      <w:tabs>
        <w:tab w:val="left" w:pos="2835"/>
      </w:tabs>
      <w:spacing w:before="60"/>
      <w:rPr>
        <w:sz w:val="16"/>
        <w:u w:val="single"/>
      </w:rPr>
    </w:pPr>
    <w:r w:rsidRPr="000372C8">
      <w:rPr>
        <w:sz w:val="16"/>
        <w:u w:val="single"/>
      </w:rPr>
      <w:tab/>
    </w:r>
  </w:p>
  <w:p w14:paraId="075E8660" w14:textId="0DB34D3A" w:rsidR="00D140B8" w:rsidRPr="00D140B8" w:rsidRDefault="00D140B8" w:rsidP="00D140B8">
    <w:pPr>
      <w:spacing w:before="120"/>
      <w:rPr>
        <w:sz w:val="14"/>
        <w:szCs w:val="14"/>
      </w:rPr>
    </w:pPr>
    <w:r w:rsidRPr="00EA51C3">
      <w:rPr>
        <w:rFonts w:cs="Arial"/>
        <w:sz w:val="14"/>
        <w:szCs w:val="15"/>
      </w:rPr>
      <w:t xml:space="preserve">Die </w:t>
    </w:r>
    <w:r w:rsidR="00874D3B">
      <w:rPr>
        <w:rFonts w:cs="Arial"/>
        <w:sz w:val="14"/>
        <w:szCs w:val="15"/>
      </w:rPr>
      <w:t>Tagung wird</w:t>
    </w:r>
    <w:r w:rsidRPr="00EA51C3">
      <w:rPr>
        <w:rFonts w:cs="Arial"/>
        <w:sz w:val="14"/>
        <w:szCs w:val="15"/>
      </w:rPr>
      <w:t xml:space="preserve"> </w:t>
    </w:r>
    <w:r w:rsidRPr="00EA51C3">
      <w:rPr>
        <w:sz w:val="14"/>
        <w:szCs w:val="15"/>
      </w:rPr>
      <w:t xml:space="preserve">am </w:t>
    </w:r>
    <w:r w:rsidRPr="00B67D96">
      <w:rPr>
        <w:sz w:val="14"/>
        <w:szCs w:val="15"/>
      </w:rPr>
      <w:t xml:space="preserve">Montag, </w:t>
    </w:r>
    <w:r>
      <w:rPr>
        <w:sz w:val="14"/>
        <w:szCs w:val="15"/>
      </w:rPr>
      <w:t>dem 19.</w:t>
    </w:r>
    <w:r w:rsidRPr="00B67D96">
      <w:rPr>
        <w:sz w:val="14"/>
        <w:szCs w:val="15"/>
      </w:rPr>
      <w:t xml:space="preserve"> Oktober</w:t>
    </w:r>
    <w:r w:rsidRPr="00EA51C3">
      <w:rPr>
        <w:sz w:val="14"/>
        <w:szCs w:val="15"/>
      </w:rPr>
      <w:t>,</w:t>
    </w:r>
    <w:r>
      <w:rPr>
        <w:sz w:val="14"/>
        <w:szCs w:val="15"/>
      </w:rPr>
      <w:t xml:space="preserve"> und </w:t>
    </w:r>
    <w:r w:rsidRPr="00B67D96">
      <w:rPr>
        <w:sz w:val="14"/>
        <w:szCs w:val="15"/>
      </w:rPr>
      <w:t xml:space="preserve">Dienstag, </w:t>
    </w:r>
    <w:r>
      <w:rPr>
        <w:sz w:val="14"/>
        <w:szCs w:val="15"/>
      </w:rPr>
      <w:t>dem 20</w:t>
    </w:r>
    <w:r w:rsidRPr="00B67D96">
      <w:rPr>
        <w:sz w:val="14"/>
        <w:szCs w:val="15"/>
      </w:rPr>
      <w:t>. Oktober</w:t>
    </w:r>
    <w:r>
      <w:rPr>
        <w:sz w:val="14"/>
        <w:szCs w:val="15"/>
      </w:rPr>
      <w:t xml:space="preserve"> 2026</w:t>
    </w:r>
    <w:r w:rsidRPr="00EA51C3">
      <w:rPr>
        <w:sz w:val="14"/>
        <w:szCs w:val="15"/>
      </w:rPr>
      <w:t xml:space="preserve">, </w:t>
    </w:r>
    <w:r w:rsidRPr="00EA51C3">
      <w:rPr>
        <w:rFonts w:cs="Arial"/>
        <w:sz w:val="14"/>
        <w:szCs w:val="15"/>
      </w:rPr>
      <w:t xml:space="preserve">im Hauptsitz der UPOV (34, </w:t>
    </w:r>
    <w:proofErr w:type="spellStart"/>
    <w:r w:rsidRPr="00EA51C3">
      <w:rPr>
        <w:rFonts w:cs="Arial"/>
        <w:sz w:val="14"/>
        <w:szCs w:val="15"/>
      </w:rPr>
      <w:t>chemin</w:t>
    </w:r>
    <w:proofErr w:type="spellEnd"/>
    <w:r w:rsidRPr="00EA51C3">
      <w:rPr>
        <w:rFonts w:cs="Arial"/>
        <w:sz w:val="14"/>
        <w:szCs w:val="15"/>
      </w:rPr>
      <w:t xml:space="preserve"> des </w:t>
    </w:r>
    <w:proofErr w:type="spellStart"/>
    <w:r w:rsidRPr="00EA51C3">
      <w:rPr>
        <w:rFonts w:cs="Arial"/>
        <w:sz w:val="14"/>
        <w:szCs w:val="15"/>
      </w:rPr>
      <w:t>Colombettes</w:t>
    </w:r>
    <w:proofErr w:type="spellEnd"/>
    <w:r w:rsidRPr="00EA51C3">
      <w:rPr>
        <w:rFonts w:cs="Arial"/>
        <w:sz w:val="14"/>
        <w:szCs w:val="15"/>
      </w:rPr>
      <w:t>, Genf, Schweiz) statt</w:t>
    </w:r>
    <w:r w:rsidR="00874D3B">
      <w:rPr>
        <w:rFonts w:cs="Arial"/>
        <w:sz w:val="14"/>
        <w:szCs w:val="15"/>
      </w:rPr>
      <w:t>finden</w:t>
    </w:r>
    <w:r w:rsidRPr="00EA51C3">
      <w:rPr>
        <w:rFonts w:cs="Arial"/>
        <w:sz w:val="14"/>
        <w:szCs w:val="15"/>
      </w:rPr>
      <w:t xml:space="preserve"> </w:t>
    </w:r>
    <w:r w:rsidRPr="00EA51C3">
      <w:rPr>
        <w:sz w:val="14"/>
        <w:szCs w:val="15"/>
      </w:rPr>
      <w:t xml:space="preserve">und um 9.30 Uhr </w:t>
    </w:r>
    <w:r>
      <w:rPr>
        <w:sz w:val="14"/>
        <w:szCs w:val="15"/>
      </w:rPr>
      <w:t>(Genfer Zeit (MEZ))</w:t>
    </w:r>
    <w:r w:rsidR="00874D3B">
      <w:rPr>
        <w:sz w:val="14"/>
        <w:szCs w:val="15"/>
      </w:rPr>
      <w:t xml:space="preserve"> </w:t>
    </w:r>
    <w:r w:rsidR="00874D3B" w:rsidRPr="00EA51C3">
      <w:rPr>
        <w:sz w:val="14"/>
        <w:szCs w:val="15"/>
      </w:rPr>
      <w:t>beginn</w:t>
    </w:r>
    <w:r w:rsidR="00874D3B">
      <w:rPr>
        <w:sz w:val="14"/>
        <w:szCs w:val="15"/>
      </w:rPr>
      <w:t>en</w:t>
    </w:r>
    <w:r>
      <w:rPr>
        <w:sz w:val="14"/>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7CEE" w14:textId="77777777" w:rsidR="00E338FC" w:rsidRDefault="00E338FC" w:rsidP="006655D3">
      <w:r>
        <w:separator/>
      </w:r>
    </w:p>
  </w:footnote>
  <w:footnote w:type="continuationSeparator" w:id="0">
    <w:p w14:paraId="3D0E03D0" w14:textId="77777777" w:rsidR="00E338FC" w:rsidRDefault="00E338FC" w:rsidP="006655D3">
      <w:r>
        <w:separator/>
      </w:r>
    </w:p>
  </w:footnote>
  <w:footnote w:type="continuationNotice" w:id="1">
    <w:p w14:paraId="077FB38F" w14:textId="77777777" w:rsidR="00E338FC" w:rsidRPr="00AB530F" w:rsidRDefault="00E338FC"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98FA" w14:textId="0DA2C36A" w:rsidR="00182B99" w:rsidRPr="00C366A8" w:rsidRDefault="007278B9" w:rsidP="00EB048E">
    <w:pPr>
      <w:pStyle w:val="Header"/>
      <w:rPr>
        <w:rStyle w:val="PageNumber"/>
        <w:lang w:val="de-DE"/>
      </w:rPr>
    </w:pPr>
    <w:r w:rsidRPr="00C366A8">
      <w:rPr>
        <w:rStyle w:val="PageNumber"/>
        <w:lang w:val="de-DE"/>
      </w:rPr>
      <w:t>TC/62/1</w:t>
    </w:r>
  </w:p>
  <w:p w14:paraId="1E088690" w14:textId="77777777" w:rsidR="00182B99" w:rsidRPr="00C366A8" w:rsidRDefault="00182B99" w:rsidP="00EB048E">
    <w:pPr>
      <w:pStyle w:val="Header"/>
      <w:rPr>
        <w:lang w:val="de-DE"/>
      </w:rPr>
    </w:pPr>
    <w:r w:rsidRPr="00C366A8">
      <w:rPr>
        <w:lang w:val="de-DE"/>
      </w:rPr>
      <w:t xml:space="preserve">Seite </w:t>
    </w:r>
    <w:r w:rsidRPr="00C366A8">
      <w:rPr>
        <w:rStyle w:val="PageNumber"/>
        <w:lang w:val="de-DE"/>
      </w:rPr>
      <w:fldChar w:fldCharType="begin"/>
    </w:r>
    <w:r w:rsidRPr="00C366A8">
      <w:rPr>
        <w:rStyle w:val="PageNumber"/>
        <w:lang w:val="de-DE"/>
      </w:rPr>
      <w:instrText xml:space="preserve"> PAGE </w:instrText>
    </w:r>
    <w:r w:rsidRPr="00C366A8">
      <w:rPr>
        <w:rStyle w:val="PageNumber"/>
        <w:lang w:val="de-DE"/>
      </w:rPr>
      <w:fldChar w:fldCharType="separate"/>
    </w:r>
    <w:r w:rsidR="001F34F7" w:rsidRPr="00C366A8">
      <w:rPr>
        <w:rStyle w:val="PageNumber"/>
        <w:lang w:val="de-DE"/>
      </w:rPr>
      <w:t>2</w:t>
    </w:r>
    <w:r w:rsidRPr="00C366A8">
      <w:rPr>
        <w:rStyle w:val="PageNumber"/>
        <w:lang w:val="de-DE"/>
      </w:rPr>
      <w:fldChar w:fldCharType="end"/>
    </w:r>
  </w:p>
  <w:p w14:paraId="481F10B0" w14:textId="77777777" w:rsidR="00182B99" w:rsidRPr="00C366A8"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FC"/>
    <w:rsid w:val="00010CF3"/>
    <w:rsid w:val="00011E27"/>
    <w:rsid w:val="00013345"/>
    <w:rsid w:val="000148BC"/>
    <w:rsid w:val="00024AB8"/>
    <w:rsid w:val="00030854"/>
    <w:rsid w:val="00036028"/>
    <w:rsid w:val="00044642"/>
    <w:rsid w:val="000446B9"/>
    <w:rsid w:val="00047E21"/>
    <w:rsid w:val="00050E16"/>
    <w:rsid w:val="00062542"/>
    <w:rsid w:val="00085505"/>
    <w:rsid w:val="000C4E25"/>
    <w:rsid w:val="000C7021"/>
    <w:rsid w:val="000D6BBC"/>
    <w:rsid w:val="000D7780"/>
    <w:rsid w:val="000E636A"/>
    <w:rsid w:val="000F2F11"/>
    <w:rsid w:val="000F65FC"/>
    <w:rsid w:val="000F77B3"/>
    <w:rsid w:val="00105929"/>
    <w:rsid w:val="00110C36"/>
    <w:rsid w:val="001131D5"/>
    <w:rsid w:val="00131C84"/>
    <w:rsid w:val="00141DB8"/>
    <w:rsid w:val="00172084"/>
    <w:rsid w:val="0017474A"/>
    <w:rsid w:val="001758C6"/>
    <w:rsid w:val="00182B99"/>
    <w:rsid w:val="001F34F7"/>
    <w:rsid w:val="0021332C"/>
    <w:rsid w:val="00213982"/>
    <w:rsid w:val="0024416D"/>
    <w:rsid w:val="002634C6"/>
    <w:rsid w:val="00271911"/>
    <w:rsid w:val="002800A0"/>
    <w:rsid w:val="002801B3"/>
    <w:rsid w:val="00281060"/>
    <w:rsid w:val="002940E8"/>
    <w:rsid w:val="00294751"/>
    <w:rsid w:val="00296158"/>
    <w:rsid w:val="002A6E50"/>
    <w:rsid w:val="002B4298"/>
    <w:rsid w:val="002C256A"/>
    <w:rsid w:val="00304827"/>
    <w:rsid w:val="00305A7F"/>
    <w:rsid w:val="003152FE"/>
    <w:rsid w:val="00327436"/>
    <w:rsid w:val="0033734B"/>
    <w:rsid w:val="00344BD6"/>
    <w:rsid w:val="0035528D"/>
    <w:rsid w:val="00361821"/>
    <w:rsid w:val="00361E9E"/>
    <w:rsid w:val="003C7FBE"/>
    <w:rsid w:val="003D227C"/>
    <w:rsid w:val="003D2B4D"/>
    <w:rsid w:val="003E2587"/>
    <w:rsid w:val="00444A88"/>
    <w:rsid w:val="00464958"/>
    <w:rsid w:val="0047392F"/>
    <w:rsid w:val="00474DA4"/>
    <w:rsid w:val="00476B4D"/>
    <w:rsid w:val="004805FA"/>
    <w:rsid w:val="004935D2"/>
    <w:rsid w:val="004B1215"/>
    <w:rsid w:val="004B6946"/>
    <w:rsid w:val="004D047D"/>
    <w:rsid w:val="004E2DB7"/>
    <w:rsid w:val="004F1E9E"/>
    <w:rsid w:val="004F305A"/>
    <w:rsid w:val="00512164"/>
    <w:rsid w:val="00520297"/>
    <w:rsid w:val="005338F9"/>
    <w:rsid w:val="0054281C"/>
    <w:rsid w:val="00544581"/>
    <w:rsid w:val="0055268D"/>
    <w:rsid w:val="00576BE4"/>
    <w:rsid w:val="005A400A"/>
    <w:rsid w:val="005E779B"/>
    <w:rsid w:val="005F7B92"/>
    <w:rsid w:val="00612379"/>
    <w:rsid w:val="006153B6"/>
    <w:rsid w:val="0061555F"/>
    <w:rsid w:val="00617608"/>
    <w:rsid w:val="00636CA6"/>
    <w:rsid w:val="00641200"/>
    <w:rsid w:val="00645CA8"/>
    <w:rsid w:val="006655D3"/>
    <w:rsid w:val="00667404"/>
    <w:rsid w:val="00687EB4"/>
    <w:rsid w:val="00695C56"/>
    <w:rsid w:val="006A5CDE"/>
    <w:rsid w:val="006A644A"/>
    <w:rsid w:val="006B17D2"/>
    <w:rsid w:val="006C224E"/>
    <w:rsid w:val="006D7435"/>
    <w:rsid w:val="006D780A"/>
    <w:rsid w:val="0071271E"/>
    <w:rsid w:val="007278B9"/>
    <w:rsid w:val="00732DEC"/>
    <w:rsid w:val="00735BD5"/>
    <w:rsid w:val="00751613"/>
    <w:rsid w:val="007556F6"/>
    <w:rsid w:val="00760EEF"/>
    <w:rsid w:val="00777EE5"/>
    <w:rsid w:val="00780860"/>
    <w:rsid w:val="00784836"/>
    <w:rsid w:val="0079023E"/>
    <w:rsid w:val="007A2854"/>
    <w:rsid w:val="007C1D92"/>
    <w:rsid w:val="007C4CB9"/>
    <w:rsid w:val="007D0B9D"/>
    <w:rsid w:val="007D19B0"/>
    <w:rsid w:val="007F498F"/>
    <w:rsid w:val="0080679D"/>
    <w:rsid w:val="008108B0"/>
    <w:rsid w:val="00811B20"/>
    <w:rsid w:val="008211B5"/>
    <w:rsid w:val="0082296E"/>
    <w:rsid w:val="00824099"/>
    <w:rsid w:val="00846D7C"/>
    <w:rsid w:val="00850C65"/>
    <w:rsid w:val="0086579E"/>
    <w:rsid w:val="00867AC1"/>
    <w:rsid w:val="00874D3B"/>
    <w:rsid w:val="00890DF8"/>
    <w:rsid w:val="008A743F"/>
    <w:rsid w:val="008B6E60"/>
    <w:rsid w:val="008C0970"/>
    <w:rsid w:val="008C5DA5"/>
    <w:rsid w:val="008D0BC5"/>
    <w:rsid w:val="008D2CF7"/>
    <w:rsid w:val="008D7E86"/>
    <w:rsid w:val="00900C26"/>
    <w:rsid w:val="0090197F"/>
    <w:rsid w:val="00906DDC"/>
    <w:rsid w:val="00934E09"/>
    <w:rsid w:val="00936253"/>
    <w:rsid w:val="00940D46"/>
    <w:rsid w:val="00952DD4"/>
    <w:rsid w:val="009543A8"/>
    <w:rsid w:val="00965AE7"/>
    <w:rsid w:val="00970FED"/>
    <w:rsid w:val="00992D82"/>
    <w:rsid w:val="00997029"/>
    <w:rsid w:val="009A7339"/>
    <w:rsid w:val="009B440E"/>
    <w:rsid w:val="009D690D"/>
    <w:rsid w:val="009E65B6"/>
    <w:rsid w:val="00A24C10"/>
    <w:rsid w:val="00A37C2B"/>
    <w:rsid w:val="00A42AC3"/>
    <w:rsid w:val="00A430CF"/>
    <w:rsid w:val="00A54309"/>
    <w:rsid w:val="00A61DD7"/>
    <w:rsid w:val="00AB2B93"/>
    <w:rsid w:val="00AB530F"/>
    <w:rsid w:val="00AB7E5B"/>
    <w:rsid w:val="00AC2883"/>
    <w:rsid w:val="00AE0EF1"/>
    <w:rsid w:val="00AE2937"/>
    <w:rsid w:val="00B07301"/>
    <w:rsid w:val="00B11F3E"/>
    <w:rsid w:val="00B224DE"/>
    <w:rsid w:val="00B324D4"/>
    <w:rsid w:val="00B46575"/>
    <w:rsid w:val="00B61777"/>
    <w:rsid w:val="00B84BBD"/>
    <w:rsid w:val="00B97DB7"/>
    <w:rsid w:val="00BA43FB"/>
    <w:rsid w:val="00BB15AF"/>
    <w:rsid w:val="00BC127D"/>
    <w:rsid w:val="00BC1FE6"/>
    <w:rsid w:val="00C061B6"/>
    <w:rsid w:val="00C2446C"/>
    <w:rsid w:val="00C366A8"/>
    <w:rsid w:val="00C36AE5"/>
    <w:rsid w:val="00C41F17"/>
    <w:rsid w:val="00C527FA"/>
    <w:rsid w:val="00C5280D"/>
    <w:rsid w:val="00C53EB3"/>
    <w:rsid w:val="00C5791C"/>
    <w:rsid w:val="00C66290"/>
    <w:rsid w:val="00C72B7A"/>
    <w:rsid w:val="00C75A58"/>
    <w:rsid w:val="00C973F2"/>
    <w:rsid w:val="00CA304C"/>
    <w:rsid w:val="00CA774A"/>
    <w:rsid w:val="00CC11B0"/>
    <w:rsid w:val="00CC2841"/>
    <w:rsid w:val="00CC461C"/>
    <w:rsid w:val="00CF1330"/>
    <w:rsid w:val="00CF7E36"/>
    <w:rsid w:val="00D140B8"/>
    <w:rsid w:val="00D3708D"/>
    <w:rsid w:val="00D40426"/>
    <w:rsid w:val="00D42AF1"/>
    <w:rsid w:val="00D57C96"/>
    <w:rsid w:val="00D57D18"/>
    <w:rsid w:val="00D854A0"/>
    <w:rsid w:val="00D91203"/>
    <w:rsid w:val="00D95174"/>
    <w:rsid w:val="00DA0A03"/>
    <w:rsid w:val="00DA4973"/>
    <w:rsid w:val="00DA6F36"/>
    <w:rsid w:val="00DB596E"/>
    <w:rsid w:val="00DB7773"/>
    <w:rsid w:val="00DC00EA"/>
    <w:rsid w:val="00DC3802"/>
    <w:rsid w:val="00E07D87"/>
    <w:rsid w:val="00E32F7E"/>
    <w:rsid w:val="00E338FC"/>
    <w:rsid w:val="00E5267B"/>
    <w:rsid w:val="00E63C0E"/>
    <w:rsid w:val="00E72D49"/>
    <w:rsid w:val="00E75233"/>
    <w:rsid w:val="00E7593C"/>
    <w:rsid w:val="00E7678A"/>
    <w:rsid w:val="00E935F1"/>
    <w:rsid w:val="00E94A81"/>
    <w:rsid w:val="00EA1FFB"/>
    <w:rsid w:val="00EB048E"/>
    <w:rsid w:val="00EB4E9C"/>
    <w:rsid w:val="00EB7ABF"/>
    <w:rsid w:val="00EE34DF"/>
    <w:rsid w:val="00EF2F89"/>
    <w:rsid w:val="00F03E98"/>
    <w:rsid w:val="00F1237A"/>
    <w:rsid w:val="00F22CBD"/>
    <w:rsid w:val="00F272F1"/>
    <w:rsid w:val="00F345F0"/>
    <w:rsid w:val="00F45372"/>
    <w:rsid w:val="00F50D7E"/>
    <w:rsid w:val="00F560F7"/>
    <w:rsid w:val="00F6334D"/>
    <w:rsid w:val="00F85EF6"/>
    <w:rsid w:val="00FA49AB"/>
    <w:rsid w:val="00FE39C7"/>
    <w:rsid w:val="00FE6B45"/>
    <w:rsid w:val="00FF4D07"/>
    <w:rsid w:val="00FF6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8A06D"/>
  <w15:docId w15:val="{C896C274-8E05-4960-B82E-851F931C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D3B"/>
    <w:pPr>
      <w:jc w:val="both"/>
    </w:pPr>
    <w:rPr>
      <w:rFonts w:ascii="Arial" w:hAnsi="Arial"/>
      <w:lang w:val="de-DE"/>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AB530F"/>
    <w:pPr>
      <w:tabs>
        <w:tab w:val="left" w:pos="5387"/>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304827"/>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304827"/>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semiHidden/>
    <w:rsid w:val="00900C26"/>
    <w:pPr>
      <w:tabs>
        <w:tab w:val="right" w:leader="dot" w:pos="9639"/>
      </w:tabs>
      <w:spacing w:before="120"/>
      <w:ind w:left="454" w:right="851" w:hanging="284"/>
      <w:contextualSpacing/>
    </w:pPr>
    <w:rPr>
      <w:rFonts w:ascii="Arial" w:hAnsi="Arial"/>
      <w:smallCaps/>
    </w:rPr>
  </w:style>
  <w:style w:type="paragraph" w:styleId="TOC3">
    <w:name w:val="toc 3"/>
    <w:next w:val="Normal"/>
    <w:autoRedefine/>
    <w:semiHidden/>
    <w:rsid w:val="00900C26"/>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semiHidden/>
    <w:rsid w:val="00900C26"/>
    <w:pPr>
      <w:tabs>
        <w:tab w:val="right" w:leader="dot" w:pos="9639"/>
      </w:tabs>
      <w:spacing w:before="120"/>
      <w:ind w:left="738" w:right="851" w:hanging="284"/>
    </w:pPr>
    <w:rPr>
      <w:rFonts w:ascii="Arial" w:hAnsi="Arial"/>
      <w:i/>
      <w:sz w:val="18"/>
      <w:lang w:val="fr-FR"/>
    </w:rPr>
  </w:style>
  <w:style w:type="paragraph" w:styleId="TOC1">
    <w:name w:val="toc 1"/>
    <w:next w:val="Normal"/>
    <w:autoRedefine/>
    <w:semiHidden/>
    <w:rsid w:val="00B07301"/>
    <w:pPr>
      <w:tabs>
        <w:tab w:val="right" w:leader="dot" w:pos="9639"/>
      </w:tabs>
      <w:contextualSpacing/>
      <w:jc w:val="center"/>
    </w:pPr>
    <w:rPr>
      <w:rFonts w:ascii="Arial" w:hAnsi="Arial"/>
      <w:caps/>
    </w:rPr>
  </w:style>
  <w:style w:type="paragraph" w:styleId="TOC5">
    <w:name w:val="toc 5"/>
    <w:next w:val="Normal"/>
    <w:autoRedefine/>
    <w:semiHidden/>
    <w:rsid w:val="00C72B7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customStyle="1" w:styleId="agendaitemtitle">
    <w:name w:val="agenda_item_title"/>
    <w:basedOn w:val="Normal"/>
    <w:link w:val="agendaitemtitleChar"/>
    <w:qFormat/>
    <w:rsid w:val="005E779B"/>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5E779B"/>
    <w:rPr>
      <w:rFonts w:ascii="Arial" w:eastAsia="Calibri" w:hAnsi="Arial" w:cs="Arial"/>
      <w:b/>
      <w:bCs/>
      <w:color w:val="006600"/>
      <w:bdr w:val="nil"/>
      <w:lang w:eastAsia="nl-NL"/>
    </w:rPr>
  </w:style>
  <w:style w:type="character" w:styleId="CommentReference">
    <w:name w:val="annotation reference"/>
    <w:basedOn w:val="DefaultParagraphFont"/>
    <w:semiHidden/>
    <w:unhideWhenUsed/>
    <w:rsid w:val="005E779B"/>
    <w:rPr>
      <w:sz w:val="16"/>
      <w:szCs w:val="16"/>
    </w:rPr>
  </w:style>
  <w:style w:type="paragraph" w:styleId="CommentText">
    <w:name w:val="annotation text"/>
    <w:basedOn w:val="Normal"/>
    <w:link w:val="CommentTextChar"/>
    <w:unhideWhenUsed/>
    <w:rsid w:val="005E779B"/>
  </w:style>
  <w:style w:type="character" w:customStyle="1" w:styleId="CommentTextChar">
    <w:name w:val="Comment Text Char"/>
    <w:basedOn w:val="DefaultParagraphFont"/>
    <w:link w:val="CommentText"/>
    <w:rsid w:val="005E779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pov.int/en/find-and-explore/information-and-guidance/examination-guidance" TargetMode="External"/><Relationship Id="rId3" Type="http://schemas.openxmlformats.org/officeDocument/2006/relationships/webSettings" Target="webSettings.xml"/><Relationship Id="rId7" Type="http://schemas.openxmlformats.org/officeDocument/2006/relationships/hyperlink" Target="https://www.upov.int/en/find-and-explore/information-and-guidance/examination-guid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1359</Words>
  <Characters>9930</Characters>
  <Application>Microsoft Office Word</Application>
  <DocSecurity>0</DocSecurity>
  <Lines>254</Lines>
  <Paragraphs>86</Paragraphs>
  <ScaleCrop>false</ScaleCrop>
  <HeadingPairs>
    <vt:vector size="2" baseType="variant">
      <vt:variant>
        <vt:lpstr>Title</vt:lpstr>
      </vt:variant>
      <vt:variant>
        <vt:i4>1</vt:i4>
      </vt:variant>
    </vt:vector>
  </HeadingPairs>
  <TitlesOfParts>
    <vt:vector size="1" baseType="lpstr">
      <vt:lpstr>TC/62/1</vt:lpstr>
    </vt:vector>
  </TitlesOfParts>
  <Company>UPOV</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TC/62/1</dc:title>
  <dc:subject>Annotated Draft Agenda</dc:subject>
  <dc:creator>UPOV</dc:creator>
  <cp:keywords>, docId:228DB460F49EEFBEAC231E7F0B058D44</cp:keywords>
  <cp:lastModifiedBy>NICOLO Laurianne</cp:lastModifiedBy>
  <cp:revision>9</cp:revision>
  <cp:lastPrinted>2016-11-22T15:41:00Z</cp:lastPrinted>
  <dcterms:created xsi:type="dcterms:W3CDTF">2026-06-11T19:40:00Z</dcterms:created>
  <dcterms:modified xsi:type="dcterms:W3CDTF">2026-06-16T09:07:00Z</dcterms:modified>
</cp:coreProperties>
</file>