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421571" w:rsidRPr="00260716" w14:paraId="3612A074" w14:textId="77777777" w:rsidTr="00F26786">
        <w:tc>
          <w:tcPr>
            <w:tcW w:w="6522" w:type="dxa"/>
          </w:tcPr>
          <w:p w14:paraId="334F9761" w14:textId="25DA0306" w:rsidR="00421571" w:rsidRPr="00260716" w:rsidRDefault="00711F8E" w:rsidP="00F26786">
            <w:pPr>
              <w:rPr>
                <w:lang w:val="de-DE"/>
              </w:rPr>
            </w:pPr>
            <w:r w:rsidRPr="00260716">
              <w:rPr>
                <w:lang w:val="de-DE" w:eastAsia="zh-CN"/>
              </w:rPr>
              <w:drawing>
                <wp:inline distT="0" distB="0" distL="0" distR="0" wp14:anchorId="6830DD8B" wp14:editId="1D5375C7">
                  <wp:extent cx="933450" cy="266700"/>
                  <wp:effectExtent l="0" t="0" r="0" b="0"/>
                  <wp:docPr id="581889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266700"/>
                          </a:xfrm>
                          <a:prstGeom prst="rect">
                            <a:avLst/>
                          </a:prstGeom>
                          <a:noFill/>
                          <a:ln>
                            <a:noFill/>
                          </a:ln>
                        </pic:spPr>
                      </pic:pic>
                    </a:graphicData>
                  </a:graphic>
                </wp:inline>
              </w:drawing>
            </w:r>
          </w:p>
        </w:tc>
        <w:tc>
          <w:tcPr>
            <w:tcW w:w="3117" w:type="dxa"/>
          </w:tcPr>
          <w:p w14:paraId="0F6F2607" w14:textId="4FD25393" w:rsidR="00421571" w:rsidRPr="00260716" w:rsidRDefault="00260716" w:rsidP="00F26786">
            <w:pPr>
              <w:pStyle w:val="Lettrine"/>
              <w:rPr>
                <w:lang w:val="de-DE"/>
              </w:rPr>
            </w:pPr>
            <w:r>
              <w:rPr>
                <w:lang w:val="de-DE"/>
              </w:rPr>
              <w:t>G</w:t>
            </w:r>
          </w:p>
        </w:tc>
      </w:tr>
      <w:tr w:rsidR="00421571" w:rsidRPr="00260716" w14:paraId="58F1FB94" w14:textId="77777777" w:rsidTr="00F26786">
        <w:trPr>
          <w:trHeight w:val="219"/>
        </w:trPr>
        <w:tc>
          <w:tcPr>
            <w:tcW w:w="6522" w:type="dxa"/>
          </w:tcPr>
          <w:p w14:paraId="03A247AE" w14:textId="77777777" w:rsidR="00421571" w:rsidRPr="00260716" w:rsidRDefault="00421571" w:rsidP="00F26786">
            <w:pPr>
              <w:pStyle w:val="upove"/>
              <w:rPr>
                <w:lang w:val="de-DE"/>
              </w:rPr>
            </w:pPr>
            <w:r w:rsidRPr="00260716">
              <w:rPr>
                <w:lang w:val="de-DE"/>
              </w:rPr>
              <w:t>Internationaler Verband zum Schutz von Pflanzenzüchtungen</w:t>
            </w:r>
          </w:p>
        </w:tc>
        <w:tc>
          <w:tcPr>
            <w:tcW w:w="3117" w:type="dxa"/>
          </w:tcPr>
          <w:p w14:paraId="03A480E8" w14:textId="77777777" w:rsidR="00421571" w:rsidRPr="00260716" w:rsidRDefault="00421571" w:rsidP="00F26786">
            <w:pPr>
              <w:rPr>
                <w:lang w:val="de-DE"/>
              </w:rPr>
            </w:pPr>
          </w:p>
        </w:tc>
      </w:tr>
    </w:tbl>
    <w:p w14:paraId="564D388D" w14:textId="77777777" w:rsidR="00421571" w:rsidRPr="00260716" w:rsidRDefault="00421571" w:rsidP="00421571">
      <w:pPr>
        <w:rPr>
          <w:lang w:val="de-DE"/>
        </w:rPr>
      </w:pPr>
    </w:p>
    <w:p w14:paraId="6B7F669E" w14:textId="77777777" w:rsidR="00F96C11" w:rsidRPr="00260716" w:rsidRDefault="00F96C11" w:rsidP="00F96C11">
      <w:pPr>
        <w:rPr>
          <w:lang w:val="de-DE"/>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F96C11" w:rsidRPr="00260716" w14:paraId="524487DA" w14:textId="77777777" w:rsidTr="00B314FB">
        <w:tc>
          <w:tcPr>
            <w:tcW w:w="6512" w:type="dxa"/>
          </w:tcPr>
          <w:p w14:paraId="11909CBC" w14:textId="77777777" w:rsidR="00F96C11" w:rsidRPr="00260716" w:rsidRDefault="00F96C11" w:rsidP="00B314FB">
            <w:pPr>
              <w:pStyle w:val="Sessiontc"/>
              <w:spacing w:line="240" w:lineRule="auto"/>
              <w:rPr>
                <w:lang w:val="de-DE"/>
              </w:rPr>
            </w:pPr>
            <w:r w:rsidRPr="00260716">
              <w:rPr>
                <w:lang w:val="de-DE"/>
              </w:rPr>
              <w:t>Technischer Ausschuss</w:t>
            </w:r>
          </w:p>
          <w:p w14:paraId="73D989F9" w14:textId="77777777" w:rsidR="00F96C11" w:rsidRPr="00260716" w:rsidRDefault="00F96C11" w:rsidP="00B314FB">
            <w:pPr>
              <w:pStyle w:val="Sessiontcplacedate"/>
              <w:rPr>
                <w:lang w:val="de-DE"/>
              </w:rPr>
            </w:pPr>
            <w:r w:rsidRPr="00260716">
              <w:rPr>
                <w:lang w:val="de-DE"/>
              </w:rPr>
              <w:t>Einundsechzigste Tagung</w:t>
            </w:r>
          </w:p>
          <w:p w14:paraId="7B8EFFB4" w14:textId="77777777" w:rsidR="00F96C11" w:rsidRPr="00260716" w:rsidRDefault="00F96C11" w:rsidP="00B314FB">
            <w:pPr>
              <w:pStyle w:val="Sessiontcplacedate"/>
              <w:rPr>
                <w:sz w:val="22"/>
                <w:lang w:val="de-DE"/>
              </w:rPr>
            </w:pPr>
            <w:r w:rsidRPr="00260716">
              <w:rPr>
                <w:lang w:val="de-DE"/>
              </w:rPr>
              <w:t>Genf, 20. und 21. Oktober 2025</w:t>
            </w:r>
          </w:p>
        </w:tc>
        <w:tc>
          <w:tcPr>
            <w:tcW w:w="3127" w:type="dxa"/>
          </w:tcPr>
          <w:p w14:paraId="37F48C1C" w14:textId="0B38ABEB" w:rsidR="00F96C11" w:rsidRPr="00260716" w:rsidRDefault="0011619B" w:rsidP="00B314FB">
            <w:pPr>
              <w:pStyle w:val="Doccode"/>
              <w:rPr>
                <w:lang w:val="de-DE"/>
              </w:rPr>
            </w:pPr>
            <w:r w:rsidRPr="00260716">
              <w:rPr>
                <w:lang w:val="de-DE"/>
              </w:rPr>
              <w:t>TC/61/7</w:t>
            </w:r>
          </w:p>
          <w:p w14:paraId="3BAFE16B" w14:textId="77777777" w:rsidR="00F96C11" w:rsidRPr="00260716" w:rsidRDefault="00F96C11" w:rsidP="00B314FB">
            <w:pPr>
              <w:pStyle w:val="Docoriginal"/>
              <w:rPr>
                <w:lang w:val="de-DE"/>
              </w:rPr>
            </w:pPr>
            <w:r w:rsidRPr="00260716">
              <w:rPr>
                <w:lang w:val="de-DE"/>
              </w:rPr>
              <w:t xml:space="preserve">Original: </w:t>
            </w:r>
            <w:r w:rsidRPr="00260716">
              <w:rPr>
                <w:b w:val="0"/>
                <w:spacing w:val="0"/>
                <w:lang w:val="de-DE"/>
              </w:rPr>
              <w:t>Englisch</w:t>
            </w:r>
          </w:p>
          <w:p w14:paraId="65679824" w14:textId="52DCFF79" w:rsidR="00F96C11" w:rsidRPr="00260716" w:rsidRDefault="00F96C11" w:rsidP="00B314FB">
            <w:pPr>
              <w:pStyle w:val="Docoriginal"/>
              <w:rPr>
                <w:lang w:val="de-DE"/>
              </w:rPr>
            </w:pPr>
            <w:r w:rsidRPr="00260716">
              <w:rPr>
                <w:lang w:val="de-DE"/>
              </w:rPr>
              <w:t>Datum:</w:t>
            </w:r>
            <w:r w:rsidRPr="00260716">
              <w:rPr>
                <w:b w:val="0"/>
                <w:spacing w:val="0"/>
                <w:lang w:val="de-DE"/>
              </w:rPr>
              <w:t xml:space="preserve"> </w:t>
            </w:r>
            <w:r w:rsidR="003A47D4" w:rsidRPr="00260716">
              <w:rPr>
                <w:b w:val="0"/>
                <w:spacing w:val="0"/>
                <w:lang w:val="de-DE"/>
              </w:rPr>
              <w:t xml:space="preserve"> 25</w:t>
            </w:r>
            <w:r w:rsidRPr="00260716">
              <w:rPr>
                <w:b w:val="0"/>
                <w:spacing w:val="0"/>
                <w:lang w:val="de-DE"/>
              </w:rPr>
              <w:t xml:space="preserve">. </w:t>
            </w:r>
            <w:r w:rsidR="00E13B15" w:rsidRPr="00260716">
              <w:rPr>
                <w:b w:val="0"/>
                <w:spacing w:val="0"/>
                <w:lang w:val="de-DE"/>
              </w:rPr>
              <w:t>September</w:t>
            </w:r>
            <w:r w:rsidRPr="00260716">
              <w:rPr>
                <w:b w:val="0"/>
                <w:spacing w:val="0"/>
                <w:lang w:val="de-DE"/>
              </w:rPr>
              <w:t xml:space="preserve"> 2025</w:t>
            </w:r>
          </w:p>
        </w:tc>
      </w:tr>
    </w:tbl>
    <w:p w14:paraId="2A1C89D1" w14:textId="5080DEFA" w:rsidR="00F96C11" w:rsidRPr="00260716" w:rsidRDefault="0011619B" w:rsidP="00F96C11">
      <w:pPr>
        <w:pStyle w:val="Titleofdoc0"/>
        <w:rPr>
          <w:lang w:val="de-DE"/>
        </w:rPr>
      </w:pPr>
      <w:r w:rsidRPr="00260716">
        <w:rPr>
          <w:lang w:val="de-DE"/>
        </w:rPr>
        <w:t>TWP-</w:t>
      </w:r>
      <w:r w:rsidR="00D75F8C" w:rsidRPr="00260716">
        <w:rPr>
          <w:b w:val="0"/>
          <w:caps w:val="0"/>
          <w:lang w:val="de-DE"/>
        </w:rPr>
        <w:t xml:space="preserve"> </w:t>
      </w:r>
      <w:r w:rsidR="00D75F8C" w:rsidRPr="00260716">
        <w:rPr>
          <w:lang w:val="de-DE"/>
        </w:rPr>
        <w:t>Arbeitstagungen</w:t>
      </w:r>
      <w:r w:rsidRPr="00260716">
        <w:rPr>
          <w:lang w:val="de-DE"/>
        </w:rPr>
        <w:t xml:space="preserve"> und Webinare</w:t>
      </w:r>
    </w:p>
    <w:p w14:paraId="23DFE5AD" w14:textId="77777777" w:rsidR="003D0839" w:rsidRPr="00260716" w:rsidRDefault="003D0839" w:rsidP="003D0839">
      <w:pPr>
        <w:pStyle w:val="preparedby1"/>
        <w:jc w:val="left"/>
        <w:rPr>
          <w:lang w:val="de-DE"/>
        </w:rPr>
      </w:pPr>
      <w:r w:rsidRPr="00260716">
        <w:rPr>
          <w:lang w:val="de-DE"/>
        </w:rPr>
        <w:t>Vom Büro des Verbandes erstelltes Dokument</w:t>
      </w:r>
    </w:p>
    <w:p w14:paraId="31399651" w14:textId="77777777" w:rsidR="003367EA" w:rsidRPr="006365CE" w:rsidRDefault="003367EA" w:rsidP="003367EA">
      <w:pPr>
        <w:pStyle w:val="Disclaimer"/>
        <w:rPr>
          <w:lang w:val="de-DE"/>
        </w:rPr>
      </w:pPr>
      <w:bookmarkStart w:id="0" w:name="_Toc475955714"/>
      <w:bookmarkStart w:id="1" w:name="_Toc203989697"/>
      <w:r w:rsidRPr="006365CE">
        <w:rPr>
          <w:lang w:val="de-DE"/>
        </w:rPr>
        <w:t>Haftungsausschluss: Dieses Dokument gibt nicht die Grundsätze oder eine Anleitung der UPOV wieder</w:t>
      </w:r>
      <w:r>
        <w:rPr>
          <w:lang w:val="de-DE"/>
        </w:rPr>
        <w:t>.</w:t>
      </w:r>
      <w:r>
        <w:rPr>
          <w:lang w:val="de-DE"/>
        </w:rPr>
        <w:br/>
      </w:r>
      <w:r>
        <w:rPr>
          <w:lang w:val="de-DE"/>
        </w:rPr>
        <w:br/>
      </w:r>
      <w:r w:rsidRPr="006365CE">
        <w:rPr>
          <w:lang w:val="de-DE"/>
        </w:rPr>
        <w:t>Dieses Dokument wurde mit Hilfe einer maschinellen Übersetzung erstellt, und die Genauigkeit kann nicht garantiert werden. Daher ist der Text in der Originalsprache die einzige authentische Version.</w:t>
      </w:r>
    </w:p>
    <w:p w14:paraId="15F256E7" w14:textId="77777777" w:rsidR="00E3579A" w:rsidRPr="00260716" w:rsidRDefault="00E3579A" w:rsidP="00E3579A">
      <w:pPr>
        <w:pStyle w:val="Heading1"/>
        <w:rPr>
          <w:lang w:val="de-DE"/>
        </w:rPr>
      </w:pPr>
      <w:r w:rsidRPr="00260716">
        <w:rPr>
          <w:lang w:val="de-DE"/>
        </w:rPr>
        <w:t>ZUSAMMENFASSUNG</w:t>
      </w:r>
      <w:bookmarkEnd w:id="0"/>
      <w:bookmarkEnd w:id="1"/>
    </w:p>
    <w:p w14:paraId="0CFC86A1" w14:textId="77777777" w:rsidR="00E3579A" w:rsidRPr="00260716" w:rsidRDefault="00E3579A" w:rsidP="00E3579A">
      <w:pPr>
        <w:autoSpaceDE w:val="0"/>
        <w:autoSpaceDN w:val="0"/>
        <w:adjustRightInd w:val="0"/>
        <w:rPr>
          <w:rFonts w:cs="Arial"/>
          <w:lang w:val="de-DE"/>
        </w:rPr>
      </w:pPr>
    </w:p>
    <w:p w14:paraId="4EC5967E" w14:textId="21031F79" w:rsidR="00E3579A" w:rsidRPr="00260716" w:rsidRDefault="00E3579A" w:rsidP="00E3579A">
      <w:pPr>
        <w:rPr>
          <w:rFonts w:cs="Arial"/>
          <w:lang w:val="de-DE"/>
        </w:rPr>
      </w:pPr>
      <w:r w:rsidRPr="00260716">
        <w:rPr>
          <w:rFonts w:cs="Arial"/>
          <w:lang w:val="de-DE"/>
        </w:rPr>
        <w:fldChar w:fldCharType="begin"/>
      </w:r>
      <w:r w:rsidRPr="00260716">
        <w:rPr>
          <w:rFonts w:cs="Arial"/>
          <w:lang w:val="de-DE"/>
        </w:rPr>
        <w:instrText xml:space="preserve"> AUTONUM  </w:instrText>
      </w:r>
      <w:r w:rsidRPr="00260716">
        <w:rPr>
          <w:rFonts w:cs="Arial"/>
          <w:lang w:val="de-DE"/>
        </w:rPr>
        <w:fldChar w:fldCharType="end"/>
      </w:r>
      <w:r w:rsidRPr="00260716">
        <w:rPr>
          <w:rFonts w:cs="Arial"/>
          <w:lang w:val="de-DE"/>
        </w:rPr>
        <w:tab/>
        <w:t>Zweck dieses Dokuments ist es, über die TWP-</w:t>
      </w:r>
      <w:r w:rsidR="003367EA" w:rsidRPr="003367EA">
        <w:rPr>
          <w:lang w:val="de-DE"/>
        </w:rPr>
        <w:t xml:space="preserve"> </w:t>
      </w:r>
      <w:r w:rsidR="003367EA" w:rsidRPr="00260716">
        <w:rPr>
          <w:lang w:val="de-DE"/>
        </w:rPr>
        <w:t>Arbeitstagungen</w:t>
      </w:r>
      <w:r w:rsidR="003367EA" w:rsidRPr="00260716">
        <w:rPr>
          <w:rFonts w:cs="Arial"/>
          <w:lang w:val="de-DE"/>
        </w:rPr>
        <w:t xml:space="preserve"> </w:t>
      </w:r>
      <w:r w:rsidRPr="00260716">
        <w:rPr>
          <w:rFonts w:cs="Arial"/>
          <w:lang w:val="de-DE"/>
        </w:rPr>
        <w:t>und Webinare im Jahr</w:t>
      </w:r>
      <w:r w:rsidR="00E878CB" w:rsidRPr="00260716">
        <w:rPr>
          <w:rFonts w:cs="Arial"/>
          <w:lang w:val="de-DE"/>
        </w:rPr>
        <w:t xml:space="preserve"> 2025</w:t>
      </w:r>
      <w:r w:rsidRPr="00260716">
        <w:rPr>
          <w:rFonts w:cs="Arial"/>
          <w:lang w:val="de-DE"/>
        </w:rPr>
        <w:t xml:space="preserve"> zu berichten und Vorschläge für</w:t>
      </w:r>
      <w:r w:rsidR="00E878CB" w:rsidRPr="00260716">
        <w:rPr>
          <w:rFonts w:cs="Arial"/>
          <w:lang w:val="de-DE"/>
        </w:rPr>
        <w:t xml:space="preserve"> 2026</w:t>
      </w:r>
      <w:r w:rsidRPr="00260716">
        <w:rPr>
          <w:rFonts w:cs="Arial"/>
          <w:lang w:val="de-DE"/>
        </w:rPr>
        <w:t xml:space="preserve"> vorzulegen.</w:t>
      </w:r>
    </w:p>
    <w:p w14:paraId="0D2B4EF8" w14:textId="77777777" w:rsidR="00E3579A" w:rsidRPr="00260716" w:rsidRDefault="00E3579A" w:rsidP="00E3579A">
      <w:pPr>
        <w:rPr>
          <w:rFonts w:cs="Arial"/>
          <w:lang w:val="de-DE"/>
        </w:rPr>
      </w:pPr>
    </w:p>
    <w:p w14:paraId="518148D9" w14:textId="1C24AE29" w:rsidR="00E3579A" w:rsidRPr="00260716" w:rsidRDefault="00E3579A" w:rsidP="00E3579A">
      <w:pPr>
        <w:rPr>
          <w:rFonts w:cs="Arial"/>
          <w:lang w:val="de-DE"/>
        </w:rPr>
      </w:pPr>
      <w:r w:rsidRPr="00260716">
        <w:rPr>
          <w:rFonts w:cs="Arial"/>
          <w:lang w:val="de-DE"/>
        </w:rPr>
        <w:fldChar w:fldCharType="begin"/>
      </w:r>
      <w:r w:rsidRPr="00260716">
        <w:rPr>
          <w:rFonts w:cs="Arial"/>
          <w:lang w:val="de-DE"/>
        </w:rPr>
        <w:instrText xml:space="preserve"> AUTONUM  </w:instrText>
      </w:r>
      <w:r w:rsidRPr="00260716">
        <w:rPr>
          <w:rFonts w:cs="Arial"/>
          <w:lang w:val="de-DE"/>
        </w:rPr>
        <w:fldChar w:fldCharType="end"/>
      </w:r>
      <w:r w:rsidRPr="00260716">
        <w:rPr>
          <w:rFonts w:cs="Arial"/>
          <w:lang w:val="de-DE"/>
        </w:rPr>
        <w:tab/>
        <w:t>Workshops und Webinare werden mit dem Hauptziel organisiert, einigen Delegierten zu helfen, aktiver an den Sitzungen der Technischen Arbeitsgruppen (TWP) teilzunehmen. Seit 2021 werden Workshops als Webinare vor den TWP-Sitzungen organisiert. Die Videoaufzeichnungen sind auf der UPOV-Website und dem UPOV-YouTube-Kanal (</w:t>
      </w:r>
      <w:hyperlink r:id="rId9" w:history="1">
        <w:r w:rsidRPr="00260716">
          <w:rPr>
            <w:rFonts w:cs="Arial"/>
            <w:color w:val="0000FF"/>
            <w:u w:val="single"/>
            <w:lang w:val="de-DE"/>
          </w:rPr>
          <w:t>https://www.youtube.com/user/upov</w:t>
        </w:r>
      </w:hyperlink>
      <w:r w:rsidRPr="00260716">
        <w:rPr>
          <w:rFonts w:cs="Arial"/>
          <w:lang w:val="de-DE"/>
        </w:rPr>
        <w:t xml:space="preserve">)  verfügbar.  Videos auf dem YouTube-Kanal der UPOV können automatisch generierte Transkriptionen und Untertitel in verschiedenen Sprachen („Closed Caption“) anzeigen.  </w:t>
      </w:r>
    </w:p>
    <w:p w14:paraId="67D494FB" w14:textId="77777777" w:rsidR="00E3579A" w:rsidRPr="00260716" w:rsidRDefault="00E3579A" w:rsidP="00E3579A">
      <w:pPr>
        <w:rPr>
          <w:rFonts w:cs="Arial"/>
          <w:lang w:val="de-DE"/>
        </w:rPr>
      </w:pPr>
      <w:r w:rsidRPr="00260716">
        <w:rPr>
          <w:rFonts w:cs="Arial"/>
          <w:lang w:val="de-DE"/>
        </w:rPr>
        <w:t xml:space="preserve">   </w:t>
      </w:r>
    </w:p>
    <w:p w14:paraId="61644D74" w14:textId="4931E931" w:rsidR="00E3579A" w:rsidRPr="00260716" w:rsidRDefault="00E3579A" w:rsidP="00E3579A">
      <w:pPr>
        <w:tabs>
          <w:tab w:val="left" w:pos="567"/>
          <w:tab w:val="left" w:pos="1134"/>
          <w:tab w:val="left" w:pos="5387"/>
          <w:tab w:val="left" w:pos="5954"/>
        </w:tabs>
        <w:rPr>
          <w:rFonts w:cs="Arial"/>
          <w:lang w:val="de-DE"/>
        </w:rPr>
      </w:pPr>
      <w:r w:rsidRPr="00260716">
        <w:rPr>
          <w:rFonts w:cs="Arial"/>
          <w:lang w:val="de-DE"/>
        </w:rPr>
        <w:fldChar w:fldCharType="begin"/>
      </w:r>
      <w:r w:rsidRPr="00260716">
        <w:rPr>
          <w:rFonts w:cs="Arial"/>
          <w:lang w:val="de-DE"/>
        </w:rPr>
        <w:instrText xml:space="preserve"> AUTONUM  </w:instrText>
      </w:r>
      <w:r w:rsidRPr="00260716">
        <w:rPr>
          <w:rFonts w:cs="Arial"/>
          <w:lang w:val="de-DE"/>
        </w:rPr>
        <w:fldChar w:fldCharType="end"/>
      </w:r>
      <w:r w:rsidRPr="00260716">
        <w:rPr>
          <w:rFonts w:cs="Arial"/>
          <w:lang w:val="de-DE"/>
        </w:rPr>
        <w:tab/>
        <w:t>Der TC wird gebeten, zu prüfen, ob</w:t>
      </w:r>
      <w:r w:rsidR="00E878CB" w:rsidRPr="00260716">
        <w:rPr>
          <w:rFonts w:cs="Arial"/>
          <w:lang w:val="de-DE"/>
        </w:rPr>
        <w:t xml:space="preserve"> 2026</w:t>
      </w:r>
      <w:r w:rsidRPr="00260716">
        <w:rPr>
          <w:rFonts w:cs="Arial"/>
          <w:lang w:val="de-DE"/>
        </w:rPr>
        <w:t xml:space="preserve"> technische Webinare zu geeigneten Terminen entsprechend dem Zeitplan der TWP-Sitzungen und Workshops mit physischer Teilnahme, sofern gewünscht, gemäß den Absätzen 16 bis 19 dieses Dokuments organisiert werden sollen</w:t>
      </w:r>
      <w:r w:rsidRPr="00260716">
        <w:rPr>
          <w:snapToGrid w:val="0"/>
          <w:lang w:val="de-DE"/>
        </w:rPr>
        <w:t>.</w:t>
      </w:r>
    </w:p>
    <w:p w14:paraId="5FFC4709" w14:textId="77777777" w:rsidR="00E3579A" w:rsidRPr="00260716" w:rsidRDefault="00E3579A" w:rsidP="00E3579A">
      <w:pPr>
        <w:tabs>
          <w:tab w:val="left" w:pos="567"/>
          <w:tab w:val="left" w:pos="1134"/>
          <w:tab w:val="num" w:pos="5387"/>
          <w:tab w:val="left" w:pos="5954"/>
        </w:tabs>
        <w:ind w:left="567"/>
        <w:rPr>
          <w:rFonts w:cs="Arial"/>
          <w:lang w:val="de-DE"/>
        </w:rPr>
      </w:pPr>
    </w:p>
    <w:p w14:paraId="6C3E13AF" w14:textId="77777777" w:rsidR="00E3579A" w:rsidRPr="00260716" w:rsidRDefault="00E3579A" w:rsidP="00E3579A">
      <w:pPr>
        <w:rPr>
          <w:rFonts w:cs="Arial"/>
          <w:color w:val="000000"/>
          <w:lang w:val="de-DE"/>
        </w:rPr>
      </w:pPr>
      <w:r w:rsidRPr="00260716">
        <w:rPr>
          <w:rFonts w:cs="Arial"/>
          <w:color w:val="000000"/>
          <w:lang w:val="de-DE"/>
        </w:rPr>
        <w:fldChar w:fldCharType="begin"/>
      </w:r>
      <w:r w:rsidRPr="00260716">
        <w:rPr>
          <w:rFonts w:cs="Arial"/>
          <w:color w:val="000000"/>
          <w:lang w:val="de-DE"/>
        </w:rPr>
        <w:instrText xml:space="preserve"> AUTONUM  </w:instrText>
      </w:r>
      <w:r w:rsidRPr="00260716">
        <w:rPr>
          <w:rFonts w:cs="Arial"/>
          <w:color w:val="000000"/>
          <w:lang w:val="de-DE"/>
        </w:rPr>
        <w:fldChar w:fldCharType="end"/>
      </w:r>
      <w:r w:rsidRPr="00260716">
        <w:rPr>
          <w:rFonts w:cs="Arial"/>
          <w:color w:val="000000"/>
          <w:lang w:val="de-DE"/>
        </w:rPr>
        <w:tab/>
        <w:t>In diesem Dokument werden folgende Abkürzungen verwendet:</w:t>
      </w:r>
    </w:p>
    <w:p w14:paraId="2486249A" w14:textId="77777777" w:rsidR="00E3579A" w:rsidRPr="00260716" w:rsidRDefault="00E3579A" w:rsidP="00E3579A">
      <w:pPr>
        <w:rPr>
          <w:rFonts w:cs="Arial"/>
          <w:color w:val="000000"/>
          <w:lang w:val="de-DE"/>
        </w:rPr>
      </w:pPr>
    </w:p>
    <w:p w14:paraId="4936DD85" w14:textId="77777777" w:rsidR="00E3579A" w:rsidRPr="00260716" w:rsidRDefault="00E3579A" w:rsidP="00E3579A">
      <w:pPr>
        <w:tabs>
          <w:tab w:val="left" w:pos="567"/>
        </w:tabs>
        <w:ind w:left="1418" w:hanging="851"/>
        <w:rPr>
          <w:rFonts w:cs="Arial"/>
          <w:color w:val="000000"/>
          <w:lang w:val="de-DE"/>
        </w:rPr>
      </w:pPr>
      <w:r w:rsidRPr="00260716">
        <w:rPr>
          <w:rFonts w:cs="Arial"/>
          <w:color w:val="000000"/>
          <w:lang w:val="de-DE"/>
        </w:rPr>
        <w:t>TC:</w:t>
      </w:r>
      <w:r w:rsidRPr="00260716">
        <w:rPr>
          <w:rFonts w:cs="Arial"/>
          <w:color w:val="000000"/>
          <w:lang w:val="de-DE"/>
        </w:rPr>
        <w:tab/>
        <w:t>Technischer Ausschuss</w:t>
      </w:r>
    </w:p>
    <w:p w14:paraId="58DD0C49" w14:textId="77777777" w:rsidR="00E3579A" w:rsidRPr="00260716" w:rsidRDefault="00E3579A" w:rsidP="00E3579A">
      <w:pPr>
        <w:tabs>
          <w:tab w:val="left" w:pos="567"/>
        </w:tabs>
        <w:ind w:left="1418" w:hanging="851"/>
        <w:rPr>
          <w:rFonts w:cs="Arial"/>
          <w:color w:val="000000"/>
          <w:lang w:val="de-DE"/>
        </w:rPr>
      </w:pPr>
      <w:r w:rsidRPr="00260716">
        <w:rPr>
          <w:rFonts w:cs="Arial"/>
          <w:color w:val="000000"/>
          <w:lang w:val="de-DE"/>
        </w:rPr>
        <w:t>TWA:</w:t>
      </w:r>
      <w:r w:rsidRPr="00260716">
        <w:rPr>
          <w:rFonts w:cs="Arial"/>
          <w:color w:val="000000"/>
          <w:lang w:val="de-DE"/>
        </w:rPr>
        <w:tab/>
        <w:t>Technische Arbeitsgruppe für landwirtschaftliche Kulturpflanzen</w:t>
      </w:r>
    </w:p>
    <w:p w14:paraId="332D259C" w14:textId="77777777" w:rsidR="00E3579A" w:rsidRPr="00260716" w:rsidRDefault="00E3579A" w:rsidP="00E3579A">
      <w:pPr>
        <w:ind w:left="1418" w:hanging="851"/>
        <w:rPr>
          <w:rFonts w:cs="Arial"/>
          <w:color w:val="000000"/>
          <w:lang w:val="de-DE"/>
        </w:rPr>
      </w:pPr>
      <w:r w:rsidRPr="00260716">
        <w:rPr>
          <w:rFonts w:cs="Arial"/>
          <w:color w:val="000000"/>
          <w:lang w:val="de-DE"/>
        </w:rPr>
        <w:t xml:space="preserve">TWF: </w:t>
      </w:r>
      <w:r w:rsidRPr="00260716">
        <w:rPr>
          <w:rFonts w:cs="Arial"/>
          <w:color w:val="000000"/>
          <w:lang w:val="de-DE"/>
        </w:rPr>
        <w:tab/>
        <w:t>Technische Arbeitsgruppe für Obstkulturen</w:t>
      </w:r>
    </w:p>
    <w:p w14:paraId="6608AA63" w14:textId="77777777" w:rsidR="00E3579A" w:rsidRPr="00260716" w:rsidRDefault="00E3579A" w:rsidP="00E3579A">
      <w:pPr>
        <w:ind w:left="1418" w:hanging="851"/>
        <w:rPr>
          <w:rFonts w:cs="Arial"/>
          <w:color w:val="000000"/>
          <w:lang w:val="de-DE"/>
        </w:rPr>
      </w:pPr>
      <w:r w:rsidRPr="00260716">
        <w:rPr>
          <w:rFonts w:cs="Arial"/>
          <w:color w:val="000000"/>
          <w:lang w:val="de-DE"/>
        </w:rPr>
        <w:t>TWM:</w:t>
      </w:r>
      <w:r w:rsidRPr="00260716">
        <w:rPr>
          <w:rFonts w:cs="Arial"/>
          <w:color w:val="000000"/>
          <w:lang w:val="de-DE"/>
        </w:rPr>
        <w:tab/>
      </w:r>
      <w:r w:rsidRPr="00260716">
        <w:rPr>
          <w:lang w:val="de-DE"/>
        </w:rPr>
        <w:t>Technische Arbeitsgruppe für Prüfverfahren und -techniken</w:t>
      </w:r>
    </w:p>
    <w:p w14:paraId="757D7433" w14:textId="77777777" w:rsidR="00E3579A" w:rsidRPr="00260716" w:rsidRDefault="00E3579A" w:rsidP="00E3579A">
      <w:pPr>
        <w:ind w:left="1418" w:hanging="851"/>
        <w:rPr>
          <w:rFonts w:cs="Arial"/>
          <w:color w:val="000000"/>
          <w:lang w:val="de-DE"/>
        </w:rPr>
      </w:pPr>
      <w:r w:rsidRPr="00260716">
        <w:rPr>
          <w:rFonts w:cs="Arial"/>
          <w:color w:val="000000"/>
          <w:lang w:val="de-DE"/>
        </w:rPr>
        <w:t>TWO:</w:t>
      </w:r>
      <w:r w:rsidRPr="00260716">
        <w:rPr>
          <w:rFonts w:cs="Arial"/>
          <w:color w:val="000000"/>
          <w:lang w:val="de-DE"/>
        </w:rPr>
        <w:tab/>
        <w:t>Technische Arbeitsgruppe für Zierpflanzen und Waldbäume</w:t>
      </w:r>
    </w:p>
    <w:p w14:paraId="68DFB95E" w14:textId="77777777" w:rsidR="00E3579A" w:rsidRPr="00260716" w:rsidRDefault="00E3579A" w:rsidP="00E3579A">
      <w:pPr>
        <w:tabs>
          <w:tab w:val="left" w:pos="567"/>
        </w:tabs>
        <w:ind w:left="1418" w:hanging="851"/>
        <w:rPr>
          <w:rFonts w:cs="Arial"/>
          <w:color w:val="000000"/>
          <w:lang w:val="de-DE" w:eastAsia="ja-JP" w:bidi="th-TH"/>
        </w:rPr>
      </w:pPr>
      <w:r w:rsidRPr="00260716">
        <w:rPr>
          <w:rFonts w:cs="Arial"/>
          <w:color w:val="000000"/>
          <w:lang w:val="de-DE" w:eastAsia="ja-JP" w:bidi="th-TH"/>
        </w:rPr>
        <w:t>TWPs:</w:t>
      </w:r>
      <w:r w:rsidRPr="00260716">
        <w:rPr>
          <w:rFonts w:cs="Arial"/>
          <w:color w:val="000000"/>
          <w:lang w:val="de-DE" w:eastAsia="ja-JP" w:bidi="th-TH"/>
        </w:rPr>
        <w:tab/>
        <w:t>Technische Arbeitsgruppen</w:t>
      </w:r>
    </w:p>
    <w:p w14:paraId="69D73A44" w14:textId="77777777" w:rsidR="00E3579A" w:rsidRPr="00260716" w:rsidRDefault="00E3579A" w:rsidP="00E3579A">
      <w:pPr>
        <w:ind w:left="1418" w:hanging="851"/>
        <w:rPr>
          <w:rFonts w:cs="Arial"/>
          <w:color w:val="000000"/>
          <w:lang w:val="de-DE"/>
        </w:rPr>
      </w:pPr>
      <w:r w:rsidRPr="00260716">
        <w:rPr>
          <w:rFonts w:cs="Arial"/>
          <w:color w:val="000000"/>
          <w:lang w:val="de-DE"/>
        </w:rPr>
        <w:t>TWV:</w:t>
      </w:r>
      <w:r w:rsidRPr="00260716">
        <w:rPr>
          <w:rFonts w:cs="Arial"/>
          <w:color w:val="000000"/>
          <w:lang w:val="de-DE"/>
        </w:rPr>
        <w:tab/>
        <w:t>Technische Arbeitsgruppe für Gemüse</w:t>
      </w:r>
    </w:p>
    <w:p w14:paraId="00E32ADC" w14:textId="77777777" w:rsidR="00E3579A" w:rsidRPr="00260716" w:rsidRDefault="00E3579A" w:rsidP="00E3579A">
      <w:pPr>
        <w:autoSpaceDE w:val="0"/>
        <w:autoSpaceDN w:val="0"/>
        <w:adjustRightInd w:val="0"/>
        <w:rPr>
          <w:rFonts w:cs="Arial"/>
          <w:snapToGrid w:val="0"/>
          <w:lang w:val="de-DE"/>
        </w:rPr>
      </w:pPr>
    </w:p>
    <w:p w14:paraId="25EFD978" w14:textId="77777777" w:rsidR="00E3579A" w:rsidRPr="00260716" w:rsidRDefault="00E3579A" w:rsidP="00E3579A">
      <w:pPr>
        <w:autoSpaceDE w:val="0"/>
        <w:autoSpaceDN w:val="0"/>
        <w:adjustRightInd w:val="0"/>
        <w:rPr>
          <w:rFonts w:cs="Arial"/>
          <w:snapToGrid w:val="0"/>
          <w:lang w:val="de-DE" w:eastAsia="ja-JP"/>
        </w:rPr>
      </w:pPr>
      <w:r w:rsidRPr="00260716">
        <w:rPr>
          <w:rFonts w:cs="Arial"/>
          <w:snapToGrid w:val="0"/>
          <w:lang w:val="de-DE"/>
        </w:rPr>
        <w:fldChar w:fldCharType="begin"/>
      </w:r>
      <w:r w:rsidRPr="00260716">
        <w:rPr>
          <w:rFonts w:cs="Arial"/>
          <w:snapToGrid w:val="0"/>
          <w:lang w:val="de-DE"/>
        </w:rPr>
        <w:instrText xml:space="preserve"> AUTONUM  </w:instrText>
      </w:r>
      <w:r w:rsidRPr="00260716">
        <w:rPr>
          <w:rFonts w:cs="Arial"/>
          <w:snapToGrid w:val="0"/>
          <w:lang w:val="de-DE"/>
        </w:rPr>
        <w:fldChar w:fldCharType="end"/>
      </w:r>
      <w:r w:rsidRPr="00260716">
        <w:rPr>
          <w:rFonts w:cs="Arial"/>
          <w:snapToGrid w:val="0"/>
          <w:lang w:val="de-DE"/>
        </w:rPr>
        <w:tab/>
      </w:r>
      <w:r w:rsidRPr="00260716">
        <w:rPr>
          <w:rFonts w:cs="Arial"/>
          <w:snapToGrid w:val="0"/>
          <w:lang w:val="de-DE" w:eastAsia="ja-JP"/>
        </w:rPr>
        <w:t>Dieses Dokument ist wie folgt aufgebaut:</w:t>
      </w:r>
    </w:p>
    <w:p w14:paraId="7D769620" w14:textId="77777777" w:rsidR="00E3579A" w:rsidRPr="00260716" w:rsidRDefault="00E3579A" w:rsidP="00E3579A">
      <w:pPr>
        <w:autoSpaceDE w:val="0"/>
        <w:autoSpaceDN w:val="0"/>
        <w:adjustRightInd w:val="0"/>
        <w:rPr>
          <w:rFonts w:cs="Arial"/>
          <w:snapToGrid w:val="0"/>
          <w:lang w:val="de-DE" w:eastAsia="ja-JP"/>
        </w:rPr>
      </w:pPr>
    </w:p>
    <w:p w14:paraId="5EA8782C" w14:textId="24111611" w:rsidR="00E878CB" w:rsidRPr="00260716" w:rsidRDefault="00E3579A" w:rsidP="00B94BC8">
      <w:pPr>
        <w:pStyle w:val="TOC1"/>
        <w:rPr>
          <w:rFonts w:asciiTheme="minorHAnsi" w:eastAsiaTheme="minorEastAsia" w:hAnsiTheme="minorHAnsi" w:cstheme="minorBidi"/>
          <w:kern w:val="2"/>
          <w:sz w:val="24"/>
          <w:szCs w:val="24"/>
          <w:lang w:val="de-DE"/>
          <w14:ligatures w14:val="standardContextual"/>
        </w:rPr>
      </w:pPr>
      <w:r w:rsidRPr="00260716">
        <w:rPr>
          <w:bCs/>
          <w:snapToGrid w:val="0"/>
          <w:lang w:val="de-DE" w:eastAsia="ja-JP"/>
        </w:rPr>
        <w:fldChar w:fldCharType="begin"/>
      </w:r>
      <w:r w:rsidRPr="00260716">
        <w:rPr>
          <w:snapToGrid w:val="0"/>
          <w:lang w:val="de-DE"/>
        </w:rPr>
        <w:instrText xml:space="preserve"> TOC \o "1-3" \h \z \u </w:instrText>
      </w:r>
      <w:r w:rsidRPr="00260716">
        <w:rPr>
          <w:bCs/>
          <w:snapToGrid w:val="0"/>
          <w:lang w:val="de-DE" w:eastAsia="ja-JP"/>
        </w:rPr>
        <w:fldChar w:fldCharType="separate"/>
      </w:r>
      <w:hyperlink w:anchor="_Toc203989697" w:history="1">
        <w:r w:rsidR="00E878CB" w:rsidRPr="00260716">
          <w:rPr>
            <w:rStyle w:val="Hyperlink"/>
            <w:lang w:val="de-DE"/>
          </w:rPr>
          <w:t>ZUSAMMENFASSUNG</w:t>
        </w:r>
        <w:r w:rsidR="00E878CB" w:rsidRPr="00260716">
          <w:rPr>
            <w:webHidden/>
            <w:lang w:val="de-DE"/>
          </w:rPr>
          <w:tab/>
        </w:r>
        <w:r w:rsidR="00E878CB" w:rsidRPr="00260716">
          <w:rPr>
            <w:webHidden/>
            <w:lang w:val="de-DE"/>
          </w:rPr>
          <w:fldChar w:fldCharType="begin"/>
        </w:r>
        <w:r w:rsidR="00E878CB" w:rsidRPr="00260716">
          <w:rPr>
            <w:webHidden/>
            <w:lang w:val="de-DE"/>
          </w:rPr>
          <w:instrText xml:space="preserve"> PAGEREF _Toc203989697 \h </w:instrText>
        </w:r>
        <w:r w:rsidR="00E878CB" w:rsidRPr="00260716">
          <w:rPr>
            <w:webHidden/>
            <w:lang w:val="de-DE"/>
          </w:rPr>
        </w:r>
        <w:r w:rsidR="00E878CB" w:rsidRPr="00260716">
          <w:rPr>
            <w:webHidden/>
            <w:lang w:val="de-DE"/>
          </w:rPr>
          <w:fldChar w:fldCharType="separate"/>
        </w:r>
        <w:r w:rsidR="00E878CB" w:rsidRPr="00260716">
          <w:rPr>
            <w:webHidden/>
            <w:lang w:val="de-DE"/>
          </w:rPr>
          <w:t>1</w:t>
        </w:r>
        <w:r w:rsidR="00E878CB" w:rsidRPr="00260716">
          <w:rPr>
            <w:webHidden/>
            <w:lang w:val="de-DE"/>
          </w:rPr>
          <w:fldChar w:fldCharType="end"/>
        </w:r>
      </w:hyperlink>
    </w:p>
    <w:p w14:paraId="0017282C" w14:textId="290CA2DD" w:rsidR="00E878CB" w:rsidRPr="00260716" w:rsidRDefault="00E878CB" w:rsidP="00B94BC8">
      <w:pPr>
        <w:pStyle w:val="TOC1"/>
        <w:rPr>
          <w:rFonts w:asciiTheme="minorHAnsi" w:eastAsiaTheme="minorEastAsia" w:hAnsiTheme="minorHAnsi" w:cstheme="minorBidi"/>
          <w:kern w:val="2"/>
          <w:sz w:val="24"/>
          <w:szCs w:val="24"/>
          <w:lang w:val="de-DE"/>
          <w14:ligatures w14:val="standardContextual"/>
        </w:rPr>
      </w:pPr>
      <w:hyperlink w:anchor="_Toc203989698" w:history="1">
        <w:r w:rsidRPr="00260716">
          <w:rPr>
            <w:rStyle w:val="Hyperlink"/>
            <w:lang w:val="de-DE"/>
          </w:rPr>
          <w:t>HINTERGRUND</w:t>
        </w:r>
        <w:r w:rsidRPr="00260716">
          <w:rPr>
            <w:webHidden/>
            <w:lang w:val="de-DE"/>
          </w:rPr>
          <w:tab/>
        </w:r>
        <w:r w:rsidRPr="00260716">
          <w:rPr>
            <w:webHidden/>
            <w:lang w:val="de-DE"/>
          </w:rPr>
          <w:fldChar w:fldCharType="begin"/>
        </w:r>
        <w:r w:rsidRPr="00260716">
          <w:rPr>
            <w:webHidden/>
            <w:lang w:val="de-DE"/>
          </w:rPr>
          <w:instrText xml:space="preserve"> PAGEREF _Toc203989698 \h </w:instrText>
        </w:r>
        <w:r w:rsidRPr="00260716">
          <w:rPr>
            <w:webHidden/>
            <w:lang w:val="de-DE"/>
          </w:rPr>
        </w:r>
        <w:r w:rsidRPr="00260716">
          <w:rPr>
            <w:webHidden/>
            <w:lang w:val="de-DE"/>
          </w:rPr>
          <w:fldChar w:fldCharType="separate"/>
        </w:r>
        <w:r w:rsidRPr="00260716">
          <w:rPr>
            <w:webHidden/>
            <w:lang w:val="de-DE"/>
          </w:rPr>
          <w:t>1</w:t>
        </w:r>
        <w:r w:rsidRPr="00260716">
          <w:rPr>
            <w:webHidden/>
            <w:lang w:val="de-DE"/>
          </w:rPr>
          <w:fldChar w:fldCharType="end"/>
        </w:r>
      </w:hyperlink>
    </w:p>
    <w:p w14:paraId="136CE0F3" w14:textId="1B2D693D" w:rsidR="00E878CB" w:rsidRPr="00260716" w:rsidRDefault="00E878CB" w:rsidP="00B94BC8">
      <w:pPr>
        <w:pStyle w:val="TOC1"/>
        <w:rPr>
          <w:rFonts w:asciiTheme="minorHAnsi" w:eastAsiaTheme="minorEastAsia" w:hAnsiTheme="minorHAnsi" w:cstheme="minorBidi"/>
          <w:kern w:val="2"/>
          <w:sz w:val="24"/>
          <w:szCs w:val="24"/>
          <w:lang w:val="de-DE"/>
          <w14:ligatures w14:val="standardContextual"/>
        </w:rPr>
      </w:pPr>
      <w:hyperlink w:anchor="_Toc203989699" w:history="1">
        <w:r w:rsidRPr="00260716">
          <w:rPr>
            <w:rStyle w:val="Hyperlink"/>
            <w:lang w:val="de-DE"/>
          </w:rPr>
          <w:t>Bericht über TECHNISCHE WEBINARE im Jahr 2025</w:t>
        </w:r>
        <w:r w:rsidRPr="00260716">
          <w:rPr>
            <w:webHidden/>
            <w:lang w:val="de-DE"/>
          </w:rPr>
          <w:tab/>
        </w:r>
        <w:r w:rsidRPr="00260716">
          <w:rPr>
            <w:webHidden/>
            <w:lang w:val="de-DE"/>
          </w:rPr>
          <w:fldChar w:fldCharType="begin"/>
        </w:r>
        <w:r w:rsidRPr="00260716">
          <w:rPr>
            <w:webHidden/>
            <w:lang w:val="de-DE"/>
          </w:rPr>
          <w:instrText xml:space="preserve"> PAGEREF _Toc203989699 \h </w:instrText>
        </w:r>
        <w:r w:rsidRPr="00260716">
          <w:rPr>
            <w:webHidden/>
            <w:lang w:val="de-DE"/>
          </w:rPr>
        </w:r>
        <w:r w:rsidRPr="00260716">
          <w:rPr>
            <w:webHidden/>
            <w:lang w:val="de-DE"/>
          </w:rPr>
          <w:fldChar w:fldCharType="separate"/>
        </w:r>
        <w:r w:rsidRPr="00260716">
          <w:rPr>
            <w:webHidden/>
            <w:lang w:val="de-DE"/>
          </w:rPr>
          <w:t>2</w:t>
        </w:r>
        <w:r w:rsidRPr="00260716">
          <w:rPr>
            <w:webHidden/>
            <w:lang w:val="de-DE"/>
          </w:rPr>
          <w:fldChar w:fldCharType="end"/>
        </w:r>
      </w:hyperlink>
    </w:p>
    <w:p w14:paraId="52FE9043" w14:textId="054E8913" w:rsidR="00E878CB" w:rsidRPr="00260716" w:rsidRDefault="00E878CB" w:rsidP="00B94BC8">
      <w:pPr>
        <w:pStyle w:val="TOC1"/>
        <w:rPr>
          <w:rFonts w:asciiTheme="minorHAnsi" w:eastAsiaTheme="minorEastAsia" w:hAnsiTheme="minorHAnsi" w:cstheme="minorBidi"/>
          <w:kern w:val="2"/>
          <w:sz w:val="24"/>
          <w:szCs w:val="24"/>
          <w:lang w:val="de-DE"/>
          <w14:ligatures w14:val="standardContextual"/>
        </w:rPr>
      </w:pPr>
      <w:hyperlink w:anchor="_Toc203989700" w:history="1">
        <w:r w:rsidRPr="00260716">
          <w:rPr>
            <w:rStyle w:val="Hyperlink"/>
            <w:lang w:val="de-DE"/>
          </w:rPr>
          <w:t>Programm und Format für die Vorbereitungsarbeiten im Jahr 2026</w:t>
        </w:r>
        <w:r w:rsidRPr="00260716">
          <w:rPr>
            <w:webHidden/>
            <w:lang w:val="de-DE"/>
          </w:rPr>
          <w:tab/>
        </w:r>
        <w:r w:rsidRPr="00260716">
          <w:rPr>
            <w:webHidden/>
            <w:lang w:val="de-DE"/>
          </w:rPr>
          <w:fldChar w:fldCharType="begin"/>
        </w:r>
        <w:r w:rsidRPr="00260716">
          <w:rPr>
            <w:webHidden/>
            <w:lang w:val="de-DE"/>
          </w:rPr>
          <w:instrText xml:space="preserve"> PAGEREF _Toc203989700 \h </w:instrText>
        </w:r>
        <w:r w:rsidRPr="00260716">
          <w:rPr>
            <w:webHidden/>
            <w:lang w:val="de-DE"/>
          </w:rPr>
        </w:r>
        <w:r w:rsidRPr="00260716">
          <w:rPr>
            <w:webHidden/>
            <w:lang w:val="de-DE"/>
          </w:rPr>
          <w:fldChar w:fldCharType="separate"/>
        </w:r>
        <w:r w:rsidRPr="00260716">
          <w:rPr>
            <w:webHidden/>
            <w:lang w:val="de-DE"/>
          </w:rPr>
          <w:t>3</w:t>
        </w:r>
        <w:r w:rsidRPr="00260716">
          <w:rPr>
            <w:webHidden/>
            <w:lang w:val="de-DE"/>
          </w:rPr>
          <w:fldChar w:fldCharType="end"/>
        </w:r>
      </w:hyperlink>
    </w:p>
    <w:p w14:paraId="49F60991" w14:textId="0AF13480" w:rsidR="00E3579A" w:rsidRPr="00260716" w:rsidRDefault="00E3579A" w:rsidP="00E3579A">
      <w:pPr>
        <w:rPr>
          <w:snapToGrid w:val="0"/>
          <w:sz w:val="18"/>
          <w:szCs w:val="18"/>
          <w:lang w:val="de-DE"/>
        </w:rPr>
      </w:pPr>
      <w:r w:rsidRPr="00260716">
        <w:rPr>
          <w:snapToGrid w:val="0"/>
          <w:lang w:val="de-DE"/>
        </w:rPr>
        <w:fldChar w:fldCharType="end"/>
      </w:r>
      <w:r w:rsidRPr="00260716">
        <w:rPr>
          <w:snapToGrid w:val="0"/>
          <w:sz w:val="18"/>
          <w:szCs w:val="18"/>
          <w:lang w:val="de-DE"/>
        </w:rPr>
        <w:t>Anhang: Programm der vorbereitenden Webinare im Jahr</w:t>
      </w:r>
      <w:r w:rsidR="00E878CB" w:rsidRPr="00260716">
        <w:rPr>
          <w:snapToGrid w:val="0"/>
          <w:sz w:val="18"/>
          <w:szCs w:val="18"/>
          <w:lang w:val="de-DE"/>
        </w:rPr>
        <w:t xml:space="preserve"> 2025</w:t>
      </w:r>
    </w:p>
    <w:p w14:paraId="7ED9D46B" w14:textId="77777777" w:rsidR="00E3579A" w:rsidRPr="00260716" w:rsidRDefault="00E3579A" w:rsidP="00E3579A">
      <w:pPr>
        <w:rPr>
          <w:lang w:val="de-DE"/>
        </w:rPr>
      </w:pPr>
    </w:p>
    <w:p w14:paraId="05B6F76C" w14:textId="77777777" w:rsidR="00E3579A" w:rsidRPr="00260716" w:rsidRDefault="00E3579A" w:rsidP="00E3579A">
      <w:pPr>
        <w:rPr>
          <w:lang w:val="de-DE"/>
        </w:rPr>
      </w:pPr>
    </w:p>
    <w:p w14:paraId="573EA919" w14:textId="77777777" w:rsidR="00E3579A" w:rsidRPr="00260716" w:rsidRDefault="00E3579A" w:rsidP="00E3579A">
      <w:pPr>
        <w:pStyle w:val="Heading1"/>
        <w:rPr>
          <w:lang w:val="de-DE"/>
        </w:rPr>
      </w:pPr>
      <w:bookmarkStart w:id="2" w:name="_Toc203989698"/>
      <w:r w:rsidRPr="00260716">
        <w:rPr>
          <w:lang w:val="de-DE"/>
        </w:rPr>
        <w:lastRenderedPageBreak/>
        <w:t>HINTERGRUND</w:t>
      </w:r>
      <w:bookmarkEnd w:id="2"/>
    </w:p>
    <w:p w14:paraId="19EA0D22" w14:textId="77777777" w:rsidR="00E3579A" w:rsidRPr="00260716" w:rsidRDefault="00E3579A" w:rsidP="00E3579A">
      <w:pPr>
        <w:keepNext/>
        <w:keepLines/>
        <w:rPr>
          <w:lang w:val="de-DE"/>
        </w:rPr>
      </w:pPr>
    </w:p>
    <w:p w14:paraId="43069E27" w14:textId="77777777" w:rsidR="00E3579A" w:rsidRPr="00260716" w:rsidRDefault="00E3579A" w:rsidP="00E3579A">
      <w:pPr>
        <w:keepLines/>
        <w:autoSpaceDE w:val="0"/>
        <w:autoSpaceDN w:val="0"/>
        <w:adjustRightInd w:val="0"/>
        <w:rPr>
          <w:rFonts w:cs="Arial"/>
          <w:snapToGrid w:val="0"/>
          <w:lang w:val="de-DE"/>
        </w:rPr>
      </w:pPr>
      <w:r w:rsidRPr="00260716">
        <w:rPr>
          <w:rFonts w:cs="Arial"/>
          <w:lang w:val="de-DE"/>
        </w:rPr>
        <w:fldChar w:fldCharType="begin"/>
      </w:r>
      <w:r w:rsidRPr="00260716">
        <w:rPr>
          <w:rFonts w:cs="Arial"/>
          <w:lang w:val="de-DE"/>
        </w:rPr>
        <w:instrText xml:space="preserve"> AUTONUM  </w:instrText>
      </w:r>
      <w:r w:rsidRPr="00260716">
        <w:rPr>
          <w:rFonts w:cs="Arial"/>
          <w:lang w:val="de-DE"/>
        </w:rPr>
        <w:fldChar w:fldCharType="end"/>
      </w:r>
      <w:r w:rsidRPr="00260716">
        <w:rPr>
          <w:rFonts w:cs="Arial"/>
          <w:lang w:val="de-DE"/>
        </w:rPr>
        <w:tab/>
        <w:t>Der TC hat auf seiner achtunddreißigsten Tagung</w:t>
      </w:r>
      <w:r w:rsidRPr="00260716">
        <w:rPr>
          <w:rFonts w:cs="Arial"/>
          <w:vertAlign w:val="superscript"/>
          <w:lang w:val="de-DE"/>
        </w:rPr>
        <w:footnoteReference w:id="2"/>
      </w:r>
      <w:r w:rsidRPr="00260716">
        <w:rPr>
          <w:rFonts w:cs="Arial"/>
          <w:lang w:val="de-DE"/>
        </w:rPr>
        <w:t xml:space="preserve"> auf der Grundlage des Dokuments TC/38/12 vereinbart, vor jeder Sitzung der Technischen Arbeitsgruppe (TWP) einen vorbereitenden Workshop abzuhalten, um einigen Delegierten eine aktivere Teilnahme an der Sitzung zu ermöglichen (siehe Dokument TC/38/16 „Bericht“, Absatz 215).</w:t>
      </w:r>
    </w:p>
    <w:p w14:paraId="6FEE1EF9" w14:textId="77777777" w:rsidR="00E3579A" w:rsidRPr="00260716" w:rsidRDefault="00E3579A" w:rsidP="00E3579A">
      <w:pPr>
        <w:rPr>
          <w:lang w:val="de-DE"/>
        </w:rPr>
      </w:pPr>
    </w:p>
    <w:p w14:paraId="1D272A60" w14:textId="070F5709" w:rsidR="00E3579A" w:rsidRPr="00260716" w:rsidRDefault="00E3579A" w:rsidP="00E3579A">
      <w:pPr>
        <w:rPr>
          <w:lang w:val="de-DE"/>
        </w:rPr>
      </w:pPr>
      <w:r w:rsidRPr="00260716">
        <w:rPr>
          <w:lang w:val="de-DE"/>
        </w:rPr>
        <w:fldChar w:fldCharType="begin"/>
      </w:r>
      <w:r w:rsidRPr="00260716">
        <w:rPr>
          <w:lang w:val="de-DE"/>
        </w:rPr>
        <w:instrText xml:space="preserve"> AUTONUM  </w:instrText>
      </w:r>
      <w:r w:rsidRPr="00260716">
        <w:rPr>
          <w:lang w:val="de-DE"/>
        </w:rPr>
        <w:fldChar w:fldCharType="end"/>
      </w:r>
      <w:r w:rsidRPr="00260716">
        <w:rPr>
          <w:lang w:val="de-DE"/>
        </w:rPr>
        <w:tab/>
        <w:t>Der TC erinnerte auf seiner fünfundfünfzigsten Tagung</w:t>
      </w:r>
      <w:r w:rsidRPr="00260716">
        <w:rPr>
          <w:vertAlign w:val="superscript"/>
          <w:lang w:val="de-DE"/>
        </w:rPr>
        <w:footnoteReference w:id="3"/>
      </w:r>
      <w:r w:rsidRPr="00260716">
        <w:rPr>
          <w:lang w:val="de-DE"/>
        </w:rPr>
        <w:t xml:space="preserve"> daran, dass vorbereitende Workshops eine Gelegenheit zur Schulung lokaler Teilnehmer darstellten, und kam überein, dass die Gastgeber der TWP die Möglichkeit haben sollten, zu entscheiden, ob sie vor der TWP-Tagung einen vorbereitenden Workshop organisieren wollen oder nicht (siehe Dokument TC/55/25 „Bericht“, Absätze 226 und 227).</w:t>
      </w:r>
    </w:p>
    <w:p w14:paraId="0291585B" w14:textId="77777777" w:rsidR="00E3579A" w:rsidRPr="00260716" w:rsidRDefault="00E3579A" w:rsidP="00E3579A">
      <w:pPr>
        <w:rPr>
          <w:lang w:val="de-DE"/>
        </w:rPr>
      </w:pPr>
    </w:p>
    <w:p w14:paraId="1CF7465F" w14:textId="77777777" w:rsidR="00E3579A" w:rsidRPr="00260716" w:rsidRDefault="00E3579A" w:rsidP="00E3579A">
      <w:pPr>
        <w:rPr>
          <w:lang w:val="de-DE"/>
        </w:rPr>
      </w:pPr>
      <w:r w:rsidRPr="00260716">
        <w:rPr>
          <w:lang w:val="de-DE"/>
        </w:rPr>
        <w:fldChar w:fldCharType="begin"/>
      </w:r>
      <w:r w:rsidRPr="00260716">
        <w:rPr>
          <w:lang w:val="de-DE"/>
        </w:rPr>
        <w:instrText xml:space="preserve"> AUTONUM  </w:instrText>
      </w:r>
      <w:r w:rsidRPr="00260716">
        <w:rPr>
          <w:lang w:val="de-DE"/>
        </w:rPr>
        <w:fldChar w:fldCharType="end"/>
      </w:r>
      <w:r w:rsidRPr="00260716">
        <w:rPr>
          <w:lang w:val="de-DE"/>
        </w:rPr>
        <w:tab/>
        <w:t>Der TC hat auf seiner fünfundfünfzigsten Tagung vereinbart, dass die TWP eingeladen werden sollten, die mögliche Organisation von Vorbereitungsworkshops zu erörtern, wenn sie über den Termin und den Ort ihrer künftigen Tagungen beraten.</w:t>
      </w:r>
    </w:p>
    <w:p w14:paraId="55535D8A" w14:textId="77777777" w:rsidR="00E3579A" w:rsidRPr="00260716" w:rsidRDefault="00E3579A" w:rsidP="00E3579A">
      <w:pPr>
        <w:rPr>
          <w:lang w:val="de-DE"/>
        </w:rPr>
      </w:pPr>
    </w:p>
    <w:p w14:paraId="7A385C5C" w14:textId="77777777" w:rsidR="00E3579A" w:rsidRPr="00260716" w:rsidRDefault="00E3579A" w:rsidP="00E3579A">
      <w:pPr>
        <w:rPr>
          <w:snapToGrid w:val="0"/>
          <w:lang w:val="de-DE"/>
        </w:rPr>
      </w:pPr>
      <w:r w:rsidRPr="00260716">
        <w:rPr>
          <w:lang w:val="de-DE"/>
        </w:rPr>
        <w:fldChar w:fldCharType="begin"/>
      </w:r>
      <w:r w:rsidRPr="00260716">
        <w:rPr>
          <w:lang w:val="de-DE"/>
        </w:rPr>
        <w:instrText xml:space="preserve"> AUTONUM  </w:instrText>
      </w:r>
      <w:r w:rsidRPr="00260716">
        <w:rPr>
          <w:lang w:val="de-DE"/>
        </w:rPr>
        <w:fldChar w:fldCharType="end"/>
      </w:r>
      <w:r w:rsidRPr="00260716">
        <w:rPr>
          <w:lang w:val="de-DE"/>
        </w:rPr>
        <w:tab/>
      </w:r>
      <w:bookmarkStart w:id="3" w:name="_Hlk176785890"/>
      <w:r w:rsidRPr="00260716">
        <w:rPr>
          <w:lang w:val="de-DE"/>
        </w:rPr>
        <w:t>Der TC vereinbarte auf seiner sechsundfünfzigsten Tagung</w:t>
      </w:r>
      <w:r w:rsidRPr="00260716">
        <w:rPr>
          <w:vertAlign w:val="superscript"/>
          <w:lang w:val="de-DE"/>
        </w:rPr>
        <w:footnoteReference w:id="4"/>
      </w:r>
      <w:r w:rsidRPr="00260716">
        <w:rPr>
          <w:lang w:val="de-DE"/>
        </w:rPr>
        <w:t xml:space="preserve"> , Vorbereitungsworkshops als eine Reihe von Webinaren zu geeigneten Terminen entsprechend dem Zeitplan der TWP-Tagungen zu organisieren.  </w:t>
      </w:r>
      <w:bookmarkEnd w:id="3"/>
      <w:r w:rsidRPr="00260716">
        <w:rPr>
          <w:lang w:val="de-DE"/>
        </w:rPr>
        <w:t xml:space="preserve">Der TC </w:t>
      </w:r>
      <w:r w:rsidRPr="00260716">
        <w:rPr>
          <w:snapToGrid w:val="0"/>
          <w:lang w:val="de-DE"/>
        </w:rPr>
        <w:t>nahm zur Kenntnis, dass die Webinar-Präsentationen aufgezeichnet und online verfügbar gemacht werden, nicht jedoch die Diskussionen. Der TC nahm zur Kenntnis, dass das Büro des Verbandes Inhalte für die Webinare bereitstellen und Experten aus den Mitgliedsländern einladen wird, als Diskussionsteilnehmer zu fungieren und praktische Beispiele zu liefern (</w:t>
      </w:r>
      <w:r w:rsidRPr="00260716">
        <w:rPr>
          <w:lang w:val="de-DE"/>
        </w:rPr>
        <w:t>siehe Dokument TC/56/23 „Bericht“, Absätze 71 und 75)</w:t>
      </w:r>
      <w:r w:rsidRPr="00260716">
        <w:rPr>
          <w:snapToGrid w:val="0"/>
          <w:lang w:val="de-DE"/>
        </w:rPr>
        <w:t xml:space="preserve">.  </w:t>
      </w:r>
    </w:p>
    <w:p w14:paraId="5F3C1E78" w14:textId="77777777" w:rsidR="00E3579A" w:rsidRPr="00260716" w:rsidRDefault="00E3579A" w:rsidP="00E3579A">
      <w:pPr>
        <w:rPr>
          <w:rFonts w:cs="Arial"/>
          <w:lang w:val="de-DE"/>
        </w:rPr>
      </w:pPr>
    </w:p>
    <w:p w14:paraId="2069D4E9" w14:textId="77777777" w:rsidR="00E3579A" w:rsidRPr="00260716" w:rsidRDefault="00E3579A" w:rsidP="00E3579A">
      <w:pPr>
        <w:rPr>
          <w:rFonts w:cs="Arial"/>
          <w:lang w:val="de-DE"/>
        </w:rPr>
      </w:pPr>
      <w:r w:rsidRPr="00260716">
        <w:rPr>
          <w:rFonts w:cs="Arial"/>
          <w:lang w:val="de-DE"/>
        </w:rPr>
        <w:fldChar w:fldCharType="begin"/>
      </w:r>
      <w:r w:rsidRPr="00260716">
        <w:rPr>
          <w:rFonts w:cs="Arial"/>
          <w:lang w:val="de-DE"/>
        </w:rPr>
        <w:instrText xml:space="preserve"> AUTONUM  </w:instrText>
      </w:r>
      <w:r w:rsidRPr="00260716">
        <w:rPr>
          <w:rFonts w:cs="Arial"/>
          <w:lang w:val="de-DE"/>
        </w:rPr>
        <w:fldChar w:fldCharType="end"/>
      </w:r>
      <w:r w:rsidRPr="00260716">
        <w:rPr>
          <w:rFonts w:cs="Arial"/>
          <w:lang w:val="de-DE"/>
        </w:rPr>
        <w:tab/>
        <w:t xml:space="preserve">Der TC stellte </w:t>
      </w:r>
      <w:r w:rsidRPr="00260716">
        <w:rPr>
          <w:lang w:val="de-DE"/>
        </w:rPr>
        <w:t xml:space="preserve">auf seiner sechsundfünfzigsten Tagung </w:t>
      </w:r>
      <w:r w:rsidRPr="00260716">
        <w:rPr>
          <w:rFonts w:cs="Arial"/>
          <w:lang w:val="de-DE"/>
        </w:rPr>
        <w:t>fest, dass auf Antrag der Gastgeber der TWP-Sitzungen Workshops mit physischer Teilnahme in Verbindung mit den TWP-Sitzungen organisiert werden könnten. In solchen Fällen würden die Inhalte an den jeweiligen Kontext angepasst.</w:t>
      </w:r>
    </w:p>
    <w:p w14:paraId="1719B707" w14:textId="77777777" w:rsidR="00E3579A" w:rsidRPr="00260716" w:rsidRDefault="00E3579A" w:rsidP="00E3579A">
      <w:pPr>
        <w:rPr>
          <w:lang w:val="de-DE"/>
        </w:rPr>
      </w:pPr>
    </w:p>
    <w:p w14:paraId="63A13E76" w14:textId="77777777" w:rsidR="001D5B08" w:rsidRPr="00260716" w:rsidRDefault="001D5B08" w:rsidP="003D0839">
      <w:pPr>
        <w:rPr>
          <w:lang w:val="de-DE"/>
        </w:rPr>
      </w:pPr>
    </w:p>
    <w:p w14:paraId="37A20B59" w14:textId="6CC2ED88" w:rsidR="001D5B08" w:rsidRPr="00260716" w:rsidRDefault="001D5B08" w:rsidP="001D5B08">
      <w:pPr>
        <w:pStyle w:val="Heading1"/>
        <w:rPr>
          <w:i/>
          <w:lang w:val="de-DE"/>
        </w:rPr>
      </w:pPr>
      <w:bookmarkStart w:id="4" w:name="_Toc524688361"/>
      <w:bookmarkStart w:id="5" w:name="_Toc203989699"/>
      <w:r w:rsidRPr="00260716">
        <w:rPr>
          <w:lang w:val="de-DE"/>
        </w:rPr>
        <w:t xml:space="preserve">Bericht über TECHNISCHE WEBINARE </w:t>
      </w:r>
      <w:r w:rsidR="00BE1687">
        <w:rPr>
          <w:lang w:val="de-DE"/>
        </w:rPr>
        <w:t>AUF</w:t>
      </w:r>
      <w:r w:rsidRPr="00260716">
        <w:rPr>
          <w:lang w:val="de-DE"/>
        </w:rPr>
        <w:t xml:space="preserve"> 2025</w:t>
      </w:r>
      <w:bookmarkEnd w:id="4"/>
      <w:r w:rsidRPr="00260716">
        <w:rPr>
          <w:lang w:val="de-DE"/>
        </w:rPr>
        <w:t xml:space="preserve"> </w:t>
      </w:r>
      <w:bookmarkEnd w:id="5"/>
    </w:p>
    <w:p w14:paraId="5E9A1C36" w14:textId="77777777" w:rsidR="001D5B08" w:rsidRPr="00260716" w:rsidRDefault="001D5B08" w:rsidP="001D5B08">
      <w:pPr>
        <w:jc w:val="left"/>
        <w:rPr>
          <w:snapToGrid w:val="0"/>
          <w:lang w:val="de-DE"/>
        </w:rPr>
      </w:pPr>
    </w:p>
    <w:p w14:paraId="59393D60" w14:textId="389C31C7" w:rsidR="001D5B08" w:rsidRPr="00260716" w:rsidRDefault="001D5B08" w:rsidP="001D5B08">
      <w:pPr>
        <w:rPr>
          <w:snapToGrid w:val="0"/>
          <w:lang w:val="de-DE"/>
        </w:rPr>
      </w:pPr>
      <w:r w:rsidRPr="00260716">
        <w:rPr>
          <w:snapToGrid w:val="0"/>
          <w:lang w:val="de-DE"/>
        </w:rPr>
        <w:fldChar w:fldCharType="begin"/>
      </w:r>
      <w:r w:rsidRPr="00260716">
        <w:rPr>
          <w:snapToGrid w:val="0"/>
          <w:lang w:val="de-DE"/>
        </w:rPr>
        <w:instrText xml:space="preserve"> AUTONUM  </w:instrText>
      </w:r>
      <w:r w:rsidRPr="00260716">
        <w:rPr>
          <w:snapToGrid w:val="0"/>
          <w:lang w:val="de-DE"/>
        </w:rPr>
        <w:fldChar w:fldCharType="end"/>
      </w:r>
      <w:r w:rsidRPr="00260716">
        <w:rPr>
          <w:snapToGrid w:val="0"/>
          <w:lang w:val="de-DE"/>
        </w:rPr>
        <w:tab/>
      </w:r>
      <w:r w:rsidRPr="00260716">
        <w:rPr>
          <w:rFonts w:cs="Arial"/>
          <w:lang w:val="de-DE"/>
        </w:rPr>
        <w:t>Insgesamt wurden vor den TWP-Sitzungen am Vormittag und Nachmittag des 11. und 12. März 2025 vier Webinare durchgeführt.</w:t>
      </w:r>
    </w:p>
    <w:p w14:paraId="03F46C16" w14:textId="77777777" w:rsidR="001D5B08" w:rsidRPr="00260716" w:rsidRDefault="001D5B08" w:rsidP="001D5B08">
      <w:pPr>
        <w:rPr>
          <w:snapToGrid w:val="0"/>
          <w:lang w:val="de-DE"/>
        </w:rPr>
      </w:pPr>
    </w:p>
    <w:p w14:paraId="52E34429" w14:textId="77777777" w:rsidR="001D5B08" w:rsidRPr="00260716" w:rsidRDefault="001D5B08" w:rsidP="001D5B08">
      <w:pPr>
        <w:rPr>
          <w:snapToGrid w:val="0"/>
          <w:lang w:val="de-DE"/>
        </w:rPr>
      </w:pPr>
      <w:r w:rsidRPr="00260716">
        <w:rPr>
          <w:snapToGrid w:val="0"/>
          <w:lang w:val="de-DE"/>
        </w:rPr>
        <w:fldChar w:fldCharType="begin"/>
      </w:r>
      <w:r w:rsidRPr="00260716">
        <w:rPr>
          <w:snapToGrid w:val="0"/>
          <w:lang w:val="de-DE"/>
        </w:rPr>
        <w:instrText xml:space="preserve"> AUTONUM  </w:instrText>
      </w:r>
      <w:r w:rsidRPr="00260716">
        <w:rPr>
          <w:snapToGrid w:val="0"/>
          <w:lang w:val="de-DE"/>
        </w:rPr>
        <w:fldChar w:fldCharType="end"/>
      </w:r>
      <w:r w:rsidRPr="00260716">
        <w:rPr>
          <w:snapToGrid w:val="0"/>
          <w:lang w:val="de-DE"/>
        </w:rPr>
        <w:tab/>
        <w:t>Die Webinare hatten folgenden Inhalt:</w:t>
      </w:r>
    </w:p>
    <w:p w14:paraId="73BAAD43" w14:textId="77777777" w:rsidR="001D5B08" w:rsidRPr="00260716" w:rsidRDefault="001D5B08" w:rsidP="001D5B08">
      <w:pPr>
        <w:rPr>
          <w:snapToGrid w:val="0"/>
          <w:lang w:val="de-DE"/>
        </w:rPr>
      </w:pPr>
    </w:p>
    <w:p w14:paraId="5B95D168" w14:textId="3C31139A" w:rsidR="001D5B08" w:rsidRPr="00260716" w:rsidRDefault="001D5B08" w:rsidP="001D5B08">
      <w:pPr>
        <w:numPr>
          <w:ilvl w:val="0"/>
          <w:numId w:val="2"/>
        </w:numPr>
        <w:rPr>
          <w:rFonts w:cs="Arial"/>
          <w:color w:val="000000" w:themeColor="text1"/>
          <w:szCs w:val="18"/>
          <w:lang w:val="de-DE"/>
        </w:rPr>
      </w:pPr>
      <w:r w:rsidRPr="00260716">
        <w:rPr>
          <w:rFonts w:cs="Arial"/>
          <w:color w:val="000000" w:themeColor="text1"/>
          <w:szCs w:val="18"/>
          <w:lang w:val="de-DE"/>
        </w:rPr>
        <w:t xml:space="preserve">Webinar 1:  </w:t>
      </w:r>
      <w:r w:rsidRPr="00260716">
        <w:rPr>
          <w:lang w:val="de-DE"/>
        </w:rPr>
        <w:t>Ausarbeitung von Testrichtlinien</w:t>
      </w:r>
    </w:p>
    <w:p w14:paraId="1D8F7C8B" w14:textId="169F1D37" w:rsidR="001D5B08" w:rsidRPr="00260716" w:rsidRDefault="001D5B08" w:rsidP="001D5B08">
      <w:pPr>
        <w:numPr>
          <w:ilvl w:val="0"/>
          <w:numId w:val="2"/>
        </w:numPr>
        <w:rPr>
          <w:rFonts w:cs="Arial"/>
          <w:color w:val="000000" w:themeColor="text1"/>
          <w:szCs w:val="18"/>
          <w:lang w:val="de-DE"/>
        </w:rPr>
      </w:pPr>
      <w:r w:rsidRPr="00260716">
        <w:rPr>
          <w:rFonts w:cs="Arial"/>
          <w:color w:val="000000" w:themeColor="text1"/>
          <w:szCs w:val="18"/>
          <w:lang w:val="de-DE"/>
        </w:rPr>
        <w:t>Webinar 2:  In Testrichtlinien verwendete Merkmale</w:t>
      </w:r>
    </w:p>
    <w:p w14:paraId="24A99A58" w14:textId="77777777" w:rsidR="001D5B08" w:rsidRPr="00260716" w:rsidRDefault="001D5B08" w:rsidP="001D5B08">
      <w:pPr>
        <w:rPr>
          <w:rFonts w:cs="Arial"/>
          <w:lang w:val="de-DE"/>
        </w:rPr>
      </w:pPr>
    </w:p>
    <w:p w14:paraId="1992DE24" w14:textId="77777777" w:rsidR="001D5B08" w:rsidRPr="00260716" w:rsidRDefault="001D5B08" w:rsidP="001D5B08">
      <w:pPr>
        <w:rPr>
          <w:rFonts w:cs="Arial"/>
          <w:lang w:val="de-DE"/>
        </w:rPr>
      </w:pPr>
      <w:r w:rsidRPr="00260716">
        <w:rPr>
          <w:rFonts w:cs="Arial"/>
          <w:lang w:val="de-DE"/>
        </w:rPr>
        <w:fldChar w:fldCharType="begin"/>
      </w:r>
      <w:r w:rsidRPr="00260716">
        <w:rPr>
          <w:rFonts w:cs="Arial"/>
          <w:lang w:val="de-DE"/>
        </w:rPr>
        <w:instrText xml:space="preserve"> AUTONUM  </w:instrText>
      </w:r>
      <w:r w:rsidRPr="00260716">
        <w:rPr>
          <w:rFonts w:cs="Arial"/>
          <w:lang w:val="de-DE"/>
        </w:rPr>
        <w:fldChar w:fldCharType="end"/>
      </w:r>
      <w:r w:rsidRPr="00260716">
        <w:rPr>
          <w:rFonts w:cs="Arial"/>
          <w:lang w:val="de-DE"/>
        </w:rPr>
        <w:tab/>
        <w:t>Die folgenden Teilnehmerzahlen nahmen an den Webinaren teil:</w:t>
      </w:r>
    </w:p>
    <w:p w14:paraId="3260B916" w14:textId="77777777" w:rsidR="001D5B08" w:rsidRPr="00260716" w:rsidRDefault="001D5B08" w:rsidP="001D5B08">
      <w:pPr>
        <w:rPr>
          <w:color w:val="000000"/>
          <w:sz w:val="18"/>
          <w:lang w:val="de-DE"/>
        </w:rPr>
      </w:pPr>
    </w:p>
    <w:tbl>
      <w:tblPr>
        <w:tblW w:w="9047" w:type="dxa"/>
        <w:tblInd w:w="-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104"/>
        <w:gridCol w:w="2392"/>
        <w:gridCol w:w="2551"/>
      </w:tblGrid>
      <w:tr w:rsidR="001D5B08" w:rsidRPr="00260716" w14:paraId="32DD98B1" w14:textId="77777777" w:rsidTr="00A839F8">
        <w:trPr>
          <w:trHeight w:val="315"/>
        </w:trPr>
        <w:tc>
          <w:tcPr>
            <w:tcW w:w="4104" w:type="dxa"/>
            <w:shd w:val="clear" w:color="auto" w:fill="auto"/>
            <w:noWrap/>
            <w:tcMar>
              <w:top w:w="0" w:type="dxa"/>
              <w:left w:w="108" w:type="dxa"/>
              <w:bottom w:w="0" w:type="dxa"/>
              <w:right w:w="108" w:type="dxa"/>
            </w:tcMar>
            <w:vAlign w:val="center"/>
          </w:tcPr>
          <w:p w14:paraId="43A948B3" w14:textId="77777777" w:rsidR="001D5B08" w:rsidRPr="00260716" w:rsidRDefault="001D5B08" w:rsidP="00946538">
            <w:pPr>
              <w:jc w:val="left"/>
              <w:rPr>
                <w:color w:val="000000"/>
                <w:sz w:val="18"/>
                <w:szCs w:val="18"/>
                <w:lang w:val="de-DE"/>
              </w:rPr>
            </w:pPr>
            <w:r w:rsidRPr="00260716">
              <w:rPr>
                <w:color w:val="000000"/>
                <w:sz w:val="18"/>
                <w:szCs w:val="18"/>
                <w:lang w:val="de-DE"/>
              </w:rPr>
              <w:t>Gesamtzahl für beide Sitzungen (vormittags/nachmittags)</w:t>
            </w:r>
          </w:p>
        </w:tc>
        <w:tc>
          <w:tcPr>
            <w:tcW w:w="2392" w:type="dxa"/>
            <w:shd w:val="clear" w:color="auto" w:fill="auto"/>
            <w:noWrap/>
            <w:tcMar>
              <w:top w:w="0" w:type="dxa"/>
              <w:left w:w="108" w:type="dxa"/>
              <w:bottom w:w="0" w:type="dxa"/>
              <w:right w:w="108" w:type="dxa"/>
            </w:tcMar>
            <w:vAlign w:val="center"/>
          </w:tcPr>
          <w:p w14:paraId="5056CE59" w14:textId="741BEC54" w:rsidR="001D5B08" w:rsidRPr="00260716" w:rsidRDefault="001D5B08" w:rsidP="00946538">
            <w:pPr>
              <w:jc w:val="center"/>
              <w:rPr>
                <w:color w:val="000000"/>
                <w:sz w:val="18"/>
                <w:szCs w:val="18"/>
                <w:lang w:val="de-DE"/>
              </w:rPr>
            </w:pPr>
            <w:r w:rsidRPr="00260716">
              <w:rPr>
                <w:rFonts w:cs="Arial"/>
                <w:color w:val="000000" w:themeColor="text1"/>
                <w:sz w:val="18"/>
                <w:szCs w:val="18"/>
                <w:lang w:val="de-DE"/>
              </w:rPr>
              <w:t>Erstellung von Testrichtlinien</w:t>
            </w:r>
          </w:p>
        </w:tc>
        <w:tc>
          <w:tcPr>
            <w:tcW w:w="2551" w:type="dxa"/>
            <w:vAlign w:val="center"/>
          </w:tcPr>
          <w:p w14:paraId="2D370593" w14:textId="7FEE3C55" w:rsidR="001D5B08" w:rsidRPr="00260716" w:rsidRDefault="001D5B08" w:rsidP="00946538">
            <w:pPr>
              <w:jc w:val="center"/>
              <w:rPr>
                <w:color w:val="000000"/>
                <w:sz w:val="18"/>
                <w:szCs w:val="18"/>
                <w:lang w:val="de-DE"/>
              </w:rPr>
            </w:pPr>
            <w:r w:rsidRPr="00260716">
              <w:rPr>
                <w:rFonts w:cs="Arial"/>
                <w:color w:val="000000" w:themeColor="text1"/>
                <w:sz w:val="18"/>
                <w:szCs w:val="18"/>
                <w:lang w:val="de-DE"/>
              </w:rPr>
              <w:t>In Testrichtlinien verwendete Merkmale</w:t>
            </w:r>
          </w:p>
        </w:tc>
      </w:tr>
      <w:tr w:rsidR="001D5B08" w:rsidRPr="00260716" w14:paraId="3C8AE47D" w14:textId="77777777" w:rsidTr="00A839F8">
        <w:trPr>
          <w:trHeight w:val="773"/>
        </w:trPr>
        <w:tc>
          <w:tcPr>
            <w:tcW w:w="4104" w:type="dxa"/>
            <w:shd w:val="clear" w:color="auto" w:fill="auto"/>
            <w:noWrap/>
            <w:tcMar>
              <w:top w:w="0" w:type="dxa"/>
              <w:left w:w="108" w:type="dxa"/>
              <w:bottom w:w="0" w:type="dxa"/>
              <w:right w:w="108" w:type="dxa"/>
            </w:tcMar>
            <w:vAlign w:val="center"/>
            <w:hideMark/>
          </w:tcPr>
          <w:p w14:paraId="7A37924B" w14:textId="175E0A3C" w:rsidR="001D5B08" w:rsidRPr="00260716" w:rsidRDefault="001D5B08" w:rsidP="00946538">
            <w:pPr>
              <w:jc w:val="left"/>
              <w:rPr>
                <w:rFonts w:ascii="Calibri" w:hAnsi="Calibri" w:cs="Calibri"/>
                <w:color w:val="000000"/>
                <w:sz w:val="18"/>
                <w:szCs w:val="18"/>
                <w:lang w:val="de-DE"/>
              </w:rPr>
            </w:pPr>
            <w:r w:rsidRPr="00260716">
              <w:rPr>
                <w:color w:val="000000"/>
                <w:sz w:val="18"/>
                <w:szCs w:val="18"/>
                <w:lang w:val="de-DE"/>
              </w:rPr>
              <w:t xml:space="preserve">Gesamtzahl der Teilnehmer </w:t>
            </w:r>
            <w:r w:rsidR="00A839F8" w:rsidRPr="00260716">
              <w:rPr>
                <w:color w:val="000000"/>
                <w:sz w:val="18"/>
                <w:szCs w:val="18"/>
                <w:lang w:val="de-DE"/>
              </w:rPr>
              <w:t>während der Live-Sitzung</w:t>
            </w:r>
          </w:p>
        </w:tc>
        <w:tc>
          <w:tcPr>
            <w:tcW w:w="2392" w:type="dxa"/>
            <w:shd w:val="clear" w:color="auto" w:fill="auto"/>
            <w:noWrap/>
            <w:tcMar>
              <w:top w:w="0" w:type="dxa"/>
              <w:left w:w="108" w:type="dxa"/>
              <w:bottom w:w="0" w:type="dxa"/>
              <w:right w:w="108" w:type="dxa"/>
            </w:tcMar>
            <w:vAlign w:val="center"/>
          </w:tcPr>
          <w:p w14:paraId="40F438D6" w14:textId="1FF3B904" w:rsidR="001D5B08" w:rsidRPr="00260716" w:rsidRDefault="00503E63" w:rsidP="00946538">
            <w:pPr>
              <w:jc w:val="center"/>
              <w:rPr>
                <w:color w:val="000000"/>
                <w:sz w:val="18"/>
                <w:szCs w:val="18"/>
                <w:lang w:val="de-DE"/>
              </w:rPr>
            </w:pPr>
            <w:r w:rsidRPr="00260716">
              <w:rPr>
                <w:color w:val="000000"/>
                <w:sz w:val="18"/>
                <w:szCs w:val="18"/>
                <w:lang w:val="de-DE"/>
              </w:rPr>
              <w:t>158</w:t>
            </w:r>
          </w:p>
        </w:tc>
        <w:tc>
          <w:tcPr>
            <w:tcW w:w="2551" w:type="dxa"/>
            <w:vAlign w:val="center"/>
          </w:tcPr>
          <w:p w14:paraId="743551AA" w14:textId="0352D41C" w:rsidR="001D5B08" w:rsidRPr="00260716" w:rsidRDefault="00503E63" w:rsidP="00946538">
            <w:pPr>
              <w:jc w:val="center"/>
              <w:rPr>
                <w:color w:val="000000"/>
                <w:sz w:val="18"/>
                <w:szCs w:val="18"/>
                <w:lang w:val="de-DE"/>
              </w:rPr>
            </w:pPr>
            <w:r w:rsidRPr="00260716">
              <w:rPr>
                <w:color w:val="000000"/>
                <w:sz w:val="18"/>
                <w:szCs w:val="18"/>
                <w:lang w:val="de-DE"/>
              </w:rPr>
              <w:t>141</w:t>
            </w:r>
          </w:p>
        </w:tc>
      </w:tr>
    </w:tbl>
    <w:p w14:paraId="719B398D" w14:textId="77777777" w:rsidR="001D5B08" w:rsidRPr="00260716" w:rsidRDefault="001D5B08" w:rsidP="001D5B08">
      <w:pPr>
        <w:rPr>
          <w:color w:val="000000"/>
          <w:sz w:val="18"/>
          <w:lang w:val="de-DE"/>
        </w:rPr>
      </w:pPr>
    </w:p>
    <w:p w14:paraId="2EFD9F71" w14:textId="46F4C5E9" w:rsidR="00A705A5" w:rsidRPr="00260716" w:rsidRDefault="00A705A5" w:rsidP="00A705A5">
      <w:pPr>
        <w:rPr>
          <w:rFonts w:cs="Arial"/>
          <w:lang w:val="de-DE"/>
        </w:rPr>
      </w:pPr>
      <w:r w:rsidRPr="00260716">
        <w:rPr>
          <w:rFonts w:cs="Arial"/>
          <w:lang w:val="de-DE"/>
        </w:rPr>
        <w:fldChar w:fldCharType="begin"/>
      </w:r>
      <w:r w:rsidRPr="00260716">
        <w:rPr>
          <w:rFonts w:cs="Arial"/>
          <w:lang w:val="de-DE"/>
        </w:rPr>
        <w:instrText xml:space="preserve"> AUTONUM  </w:instrText>
      </w:r>
      <w:r w:rsidRPr="00260716">
        <w:rPr>
          <w:rFonts w:cs="Arial"/>
          <w:lang w:val="de-DE"/>
        </w:rPr>
        <w:fldChar w:fldCharType="end"/>
      </w:r>
      <w:r w:rsidRPr="00260716">
        <w:rPr>
          <w:rFonts w:cs="Arial"/>
          <w:lang w:val="de-DE"/>
        </w:rPr>
        <w:tab/>
        <w:t>Videoaufzeichnungen der Webinare, mit Ausnahme der Diskussionsrunden, wurden auf der UPOV-Webseite für die TC- und jede TWP-Sitzung im Jahr</w:t>
      </w:r>
      <w:r w:rsidR="00A839F8" w:rsidRPr="00260716">
        <w:rPr>
          <w:rFonts w:cs="Arial"/>
          <w:lang w:val="de-DE"/>
        </w:rPr>
        <w:t xml:space="preserve"> 2025 </w:t>
      </w:r>
      <w:r w:rsidRPr="00260716">
        <w:rPr>
          <w:rFonts w:cs="Arial"/>
          <w:lang w:val="de-DE"/>
        </w:rPr>
        <w:t xml:space="preserve">sowie auf dem UPOV-YouTube-Kanal zur Verfügung gestellt. Der UPOV-YouTube-Kanal bietet die Möglichkeit, die Videos mit automatisch generierten Untertiteln in verschiedenen Sprachen  anzusehen.  </w:t>
      </w:r>
    </w:p>
    <w:p w14:paraId="52DA8D50" w14:textId="77777777" w:rsidR="00A705A5" w:rsidRPr="00260716" w:rsidRDefault="00A705A5" w:rsidP="00A705A5">
      <w:pPr>
        <w:rPr>
          <w:rFonts w:cs="Arial"/>
          <w:lang w:val="de-DE"/>
        </w:rPr>
      </w:pPr>
    </w:p>
    <w:bookmarkStart w:id="6" w:name="_Hlk170920689"/>
    <w:p w14:paraId="256C190B" w14:textId="2D160731" w:rsidR="00A705A5" w:rsidRPr="00260716" w:rsidRDefault="00A705A5" w:rsidP="00A705A5">
      <w:pPr>
        <w:keepNext/>
        <w:rPr>
          <w:rFonts w:cs="Arial"/>
          <w:lang w:val="de-DE"/>
        </w:rPr>
      </w:pPr>
      <w:r w:rsidRPr="00260716">
        <w:rPr>
          <w:rFonts w:cs="Arial"/>
          <w:lang w:val="de-DE"/>
        </w:rPr>
        <w:lastRenderedPageBreak/>
        <w:fldChar w:fldCharType="begin"/>
      </w:r>
      <w:r w:rsidRPr="00260716">
        <w:rPr>
          <w:rFonts w:cs="Arial"/>
          <w:lang w:val="de-DE"/>
        </w:rPr>
        <w:instrText xml:space="preserve"> AUTONUM  </w:instrText>
      </w:r>
      <w:r w:rsidRPr="00260716">
        <w:rPr>
          <w:rFonts w:cs="Arial"/>
          <w:lang w:val="de-DE"/>
        </w:rPr>
        <w:fldChar w:fldCharType="end"/>
      </w:r>
      <w:r w:rsidRPr="00260716">
        <w:rPr>
          <w:rFonts w:cs="Arial"/>
          <w:lang w:val="de-DE"/>
        </w:rPr>
        <w:tab/>
      </w:r>
      <w:r w:rsidR="00241187" w:rsidRPr="00260716">
        <w:rPr>
          <w:rFonts w:cs="Arial"/>
          <w:lang w:val="de-DE"/>
        </w:rPr>
        <w:t xml:space="preserve">Bis </w:t>
      </w:r>
      <w:r w:rsidR="006616F5" w:rsidRPr="00260716">
        <w:rPr>
          <w:rFonts w:cs="Arial"/>
          <w:lang w:val="de-DE"/>
        </w:rPr>
        <w:t xml:space="preserve">zur Veröffentlichung dieses Dokuments </w:t>
      </w:r>
      <w:r w:rsidRPr="00260716">
        <w:rPr>
          <w:rFonts w:cs="Arial"/>
          <w:lang w:val="de-DE"/>
        </w:rPr>
        <w:t xml:space="preserve">wurde die folgende Anzahl von Aufrufen </w:t>
      </w:r>
      <w:r w:rsidR="00241187" w:rsidRPr="00260716">
        <w:rPr>
          <w:rFonts w:cs="Arial"/>
          <w:lang w:val="de-DE"/>
        </w:rPr>
        <w:t xml:space="preserve">der Webinar-Videos </w:t>
      </w:r>
      <w:r w:rsidRPr="00260716">
        <w:rPr>
          <w:rFonts w:cs="Arial"/>
          <w:lang w:val="de-DE"/>
        </w:rPr>
        <w:t>registriert:</w:t>
      </w:r>
    </w:p>
    <w:p w14:paraId="7F793BD9" w14:textId="77777777" w:rsidR="00A705A5" w:rsidRPr="00260716" w:rsidRDefault="00A705A5" w:rsidP="00A705A5">
      <w:pPr>
        <w:keepNext/>
        <w:rPr>
          <w:rFonts w:cs="Arial"/>
          <w:lang w:val="de-DE"/>
        </w:rPr>
      </w:pPr>
    </w:p>
    <w:tbl>
      <w:tblPr>
        <w:tblW w:w="9629"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400"/>
        <w:gridCol w:w="3544"/>
        <w:gridCol w:w="3685"/>
      </w:tblGrid>
      <w:tr w:rsidR="006616F5" w:rsidRPr="00260716" w14:paraId="56437BDB" w14:textId="348A4960" w:rsidTr="006616F5">
        <w:tc>
          <w:tcPr>
            <w:tcW w:w="2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9E5931" w14:textId="29621464" w:rsidR="006616F5" w:rsidRPr="00260716" w:rsidRDefault="006616F5" w:rsidP="00B83BAC">
            <w:pPr>
              <w:keepNext/>
              <w:jc w:val="center"/>
              <w:rPr>
                <w:rFonts w:cs="Arial"/>
                <w:lang w:val="de-DE"/>
              </w:rPr>
            </w:pPr>
            <w:r w:rsidRPr="00260716">
              <w:rPr>
                <w:rFonts w:cs="Arial"/>
                <w:lang w:val="de-DE"/>
              </w:rPr>
              <w:t>Jahr</w:t>
            </w:r>
          </w:p>
        </w:tc>
        <w:tc>
          <w:tcPr>
            <w:tcW w:w="3544" w:type="dxa"/>
            <w:tcBorders>
              <w:top w:val="single" w:sz="8" w:space="0" w:color="A3A3A3"/>
              <w:left w:val="single" w:sz="8" w:space="0" w:color="A3A3A3"/>
              <w:bottom w:val="single" w:sz="8" w:space="0" w:color="A3A3A3"/>
              <w:right w:val="single" w:sz="8" w:space="0" w:color="A3A3A3"/>
            </w:tcBorders>
          </w:tcPr>
          <w:p w14:paraId="40BA0DFC" w14:textId="27E8B0A7" w:rsidR="006616F5" w:rsidRPr="00260716" w:rsidRDefault="006616F5" w:rsidP="006616F5">
            <w:pPr>
              <w:keepNext/>
              <w:jc w:val="center"/>
              <w:rPr>
                <w:rFonts w:cs="Arial"/>
                <w:highlight w:val="green"/>
                <w:lang w:val="de-DE"/>
              </w:rPr>
            </w:pPr>
            <w:r w:rsidRPr="00260716">
              <w:rPr>
                <w:rFonts w:cs="Arial"/>
                <w:lang w:val="de-DE"/>
              </w:rPr>
              <w:t>Seitenaufrufe</w:t>
            </w:r>
          </w:p>
        </w:tc>
        <w:tc>
          <w:tcPr>
            <w:tcW w:w="3685" w:type="dxa"/>
            <w:tcBorders>
              <w:top w:val="single" w:sz="8" w:space="0" w:color="A3A3A3"/>
              <w:left w:val="single" w:sz="8" w:space="0" w:color="A3A3A3"/>
              <w:bottom w:val="single" w:sz="8" w:space="0" w:color="A3A3A3"/>
              <w:right w:val="single" w:sz="8" w:space="0" w:color="A3A3A3"/>
            </w:tcBorders>
          </w:tcPr>
          <w:p w14:paraId="3FDB95D5" w14:textId="5AB33442" w:rsidR="006616F5" w:rsidRPr="00260716" w:rsidRDefault="006616F5" w:rsidP="006616F5">
            <w:pPr>
              <w:keepNext/>
              <w:jc w:val="center"/>
              <w:rPr>
                <w:rFonts w:cs="Arial"/>
                <w:lang w:val="de-DE"/>
              </w:rPr>
            </w:pPr>
            <w:r w:rsidRPr="00260716">
              <w:rPr>
                <w:rFonts w:cs="Arial"/>
                <w:lang w:val="de-DE"/>
              </w:rPr>
              <w:t>Einzigartige Besucher</w:t>
            </w:r>
          </w:p>
        </w:tc>
      </w:tr>
      <w:tr w:rsidR="006616F5" w:rsidRPr="00260716" w14:paraId="10F60CE0" w14:textId="4F984DB4" w:rsidTr="006616F5">
        <w:tc>
          <w:tcPr>
            <w:tcW w:w="2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5F375F8" w14:textId="60817B55" w:rsidR="006616F5" w:rsidRPr="00260716" w:rsidRDefault="006616F5" w:rsidP="00B83BAC">
            <w:pPr>
              <w:keepNext/>
              <w:jc w:val="center"/>
              <w:rPr>
                <w:rFonts w:cs="Arial"/>
                <w:lang w:val="de-DE"/>
              </w:rPr>
            </w:pPr>
            <w:r w:rsidRPr="00260716">
              <w:rPr>
                <w:rFonts w:cs="Arial"/>
                <w:lang w:val="de-DE"/>
              </w:rPr>
              <w:t>2024</w:t>
            </w:r>
          </w:p>
        </w:tc>
        <w:tc>
          <w:tcPr>
            <w:tcW w:w="3544" w:type="dxa"/>
            <w:tcBorders>
              <w:top w:val="single" w:sz="8" w:space="0" w:color="A3A3A3"/>
              <w:left w:val="single" w:sz="8" w:space="0" w:color="A3A3A3"/>
              <w:bottom w:val="single" w:sz="8" w:space="0" w:color="A3A3A3"/>
              <w:right w:val="single" w:sz="8" w:space="0" w:color="A3A3A3"/>
            </w:tcBorders>
          </w:tcPr>
          <w:p w14:paraId="62C16B62" w14:textId="63916AE9" w:rsidR="006616F5" w:rsidRPr="00260716" w:rsidRDefault="006616F5" w:rsidP="00B83BAC">
            <w:pPr>
              <w:keepNext/>
              <w:jc w:val="center"/>
              <w:rPr>
                <w:rFonts w:cs="Arial"/>
                <w:highlight w:val="green"/>
                <w:lang w:val="de-DE"/>
              </w:rPr>
            </w:pPr>
            <w:r w:rsidRPr="00260716">
              <w:rPr>
                <w:rFonts w:cs="Arial"/>
                <w:lang w:val="de-DE"/>
              </w:rPr>
              <w:t>502</w:t>
            </w:r>
          </w:p>
        </w:tc>
        <w:tc>
          <w:tcPr>
            <w:tcW w:w="3685" w:type="dxa"/>
            <w:tcBorders>
              <w:top w:val="single" w:sz="8" w:space="0" w:color="A3A3A3"/>
              <w:left w:val="single" w:sz="8" w:space="0" w:color="A3A3A3"/>
              <w:bottom w:val="single" w:sz="8" w:space="0" w:color="A3A3A3"/>
              <w:right w:val="single" w:sz="8" w:space="0" w:color="A3A3A3"/>
            </w:tcBorders>
          </w:tcPr>
          <w:p w14:paraId="0B280235" w14:textId="2ED65ED0" w:rsidR="006616F5" w:rsidRPr="00260716" w:rsidRDefault="006616F5" w:rsidP="00B83BAC">
            <w:pPr>
              <w:keepNext/>
              <w:jc w:val="center"/>
              <w:rPr>
                <w:rFonts w:cs="Arial"/>
                <w:lang w:val="de-DE"/>
              </w:rPr>
            </w:pPr>
            <w:r w:rsidRPr="00260716">
              <w:rPr>
                <w:rFonts w:cs="Arial"/>
                <w:lang w:val="de-DE"/>
              </w:rPr>
              <w:t>225</w:t>
            </w:r>
          </w:p>
        </w:tc>
      </w:tr>
      <w:tr w:rsidR="006616F5" w:rsidRPr="00260716" w14:paraId="08FB5076" w14:textId="77777777" w:rsidTr="006616F5">
        <w:tc>
          <w:tcPr>
            <w:tcW w:w="24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83B318" w14:textId="77777777" w:rsidR="006616F5" w:rsidRPr="00260716" w:rsidRDefault="006616F5" w:rsidP="00B83BAC">
            <w:pPr>
              <w:keepNext/>
              <w:jc w:val="center"/>
              <w:rPr>
                <w:rFonts w:cs="Arial"/>
                <w:lang w:val="de-DE"/>
              </w:rPr>
            </w:pPr>
            <w:r w:rsidRPr="00260716">
              <w:rPr>
                <w:rFonts w:cs="Arial"/>
                <w:lang w:val="de-DE"/>
              </w:rPr>
              <w:t xml:space="preserve">2025 </w:t>
            </w:r>
          </w:p>
          <w:p w14:paraId="4A138CF3" w14:textId="623DA8DB" w:rsidR="006616F5" w:rsidRPr="00260716" w:rsidRDefault="006616F5" w:rsidP="00B83BAC">
            <w:pPr>
              <w:keepNext/>
              <w:jc w:val="center"/>
              <w:rPr>
                <w:rFonts w:cs="Arial"/>
                <w:lang w:val="de-DE"/>
              </w:rPr>
            </w:pPr>
            <w:r w:rsidRPr="00260716">
              <w:rPr>
                <w:rFonts w:cs="Arial"/>
                <w:sz w:val="18"/>
                <w:szCs w:val="18"/>
                <w:lang w:val="de-DE"/>
              </w:rPr>
              <w:t>(Teildaten)</w:t>
            </w:r>
          </w:p>
        </w:tc>
        <w:tc>
          <w:tcPr>
            <w:tcW w:w="3544" w:type="dxa"/>
            <w:tcBorders>
              <w:top w:val="single" w:sz="8" w:space="0" w:color="A3A3A3"/>
              <w:left w:val="single" w:sz="8" w:space="0" w:color="A3A3A3"/>
              <w:bottom w:val="single" w:sz="8" w:space="0" w:color="A3A3A3"/>
              <w:right w:val="single" w:sz="8" w:space="0" w:color="A3A3A3"/>
            </w:tcBorders>
          </w:tcPr>
          <w:p w14:paraId="6B131BEB" w14:textId="44618491" w:rsidR="006616F5" w:rsidRPr="00260716" w:rsidRDefault="006616F5" w:rsidP="00B83BAC">
            <w:pPr>
              <w:keepNext/>
              <w:jc w:val="center"/>
              <w:rPr>
                <w:rFonts w:cs="Arial"/>
                <w:lang w:val="de-DE"/>
              </w:rPr>
            </w:pPr>
            <w:r w:rsidRPr="00260716">
              <w:rPr>
                <w:rFonts w:cs="Arial"/>
                <w:lang w:val="de-DE"/>
              </w:rPr>
              <w:t>1.076</w:t>
            </w:r>
          </w:p>
        </w:tc>
        <w:tc>
          <w:tcPr>
            <w:tcW w:w="3685" w:type="dxa"/>
            <w:tcBorders>
              <w:top w:val="single" w:sz="8" w:space="0" w:color="A3A3A3"/>
              <w:left w:val="single" w:sz="8" w:space="0" w:color="A3A3A3"/>
              <w:bottom w:val="single" w:sz="8" w:space="0" w:color="A3A3A3"/>
              <w:right w:val="single" w:sz="8" w:space="0" w:color="A3A3A3"/>
            </w:tcBorders>
          </w:tcPr>
          <w:p w14:paraId="7389C0B3" w14:textId="7344158D" w:rsidR="006616F5" w:rsidRPr="00260716" w:rsidRDefault="006616F5" w:rsidP="00B83BAC">
            <w:pPr>
              <w:keepNext/>
              <w:jc w:val="center"/>
              <w:rPr>
                <w:rFonts w:cs="Arial"/>
                <w:lang w:val="de-DE"/>
              </w:rPr>
            </w:pPr>
            <w:r w:rsidRPr="00260716">
              <w:rPr>
                <w:rFonts w:cs="Arial"/>
                <w:lang w:val="de-DE"/>
              </w:rPr>
              <w:t>449</w:t>
            </w:r>
          </w:p>
        </w:tc>
      </w:tr>
    </w:tbl>
    <w:p w14:paraId="6996A273" w14:textId="77777777" w:rsidR="008110A8" w:rsidRPr="00260716" w:rsidRDefault="008110A8" w:rsidP="006616F5">
      <w:pPr>
        <w:rPr>
          <w:lang w:val="de-DE"/>
        </w:rPr>
      </w:pPr>
    </w:p>
    <w:bookmarkEnd w:id="6"/>
    <w:p w14:paraId="3CB6213A" w14:textId="77777777" w:rsidR="00A705A5" w:rsidRPr="00260716" w:rsidRDefault="00A705A5" w:rsidP="00A705A5">
      <w:pPr>
        <w:rPr>
          <w:lang w:val="de-DE"/>
        </w:rPr>
      </w:pPr>
    </w:p>
    <w:p w14:paraId="6B9D55D5" w14:textId="50B509CB" w:rsidR="00E878CB" w:rsidRPr="00260716" w:rsidRDefault="00E878CB" w:rsidP="00E878CB">
      <w:pPr>
        <w:keepNext/>
        <w:keepLines/>
        <w:outlineLvl w:val="0"/>
        <w:rPr>
          <w:i/>
          <w:caps/>
          <w:lang w:val="de-DE"/>
        </w:rPr>
      </w:pPr>
      <w:bookmarkStart w:id="7" w:name="_Toc524688363"/>
      <w:bookmarkStart w:id="8" w:name="_Toc177746472"/>
      <w:r w:rsidRPr="00260716">
        <w:rPr>
          <w:caps/>
          <w:lang w:val="de-DE"/>
        </w:rPr>
        <w:t>Programm und Format für die Vorbereitungsarbeiten im Jahr 20</w:t>
      </w:r>
      <w:bookmarkEnd w:id="7"/>
      <w:r w:rsidRPr="00260716">
        <w:rPr>
          <w:caps/>
          <w:lang w:val="de-DE"/>
        </w:rPr>
        <w:t>2</w:t>
      </w:r>
      <w:bookmarkEnd w:id="8"/>
      <w:r w:rsidRPr="00260716">
        <w:rPr>
          <w:caps/>
          <w:lang w:val="de-DE"/>
        </w:rPr>
        <w:t>6</w:t>
      </w:r>
    </w:p>
    <w:p w14:paraId="38BECF64" w14:textId="77777777" w:rsidR="00E878CB" w:rsidRPr="00260716" w:rsidRDefault="00E878CB" w:rsidP="00E878CB">
      <w:pPr>
        <w:keepNext/>
        <w:keepLines/>
        <w:rPr>
          <w:snapToGrid w:val="0"/>
          <w:lang w:val="de-DE"/>
        </w:rPr>
      </w:pPr>
    </w:p>
    <w:p w14:paraId="0B26F829" w14:textId="77777777" w:rsidR="00E878CB" w:rsidRPr="00260716" w:rsidRDefault="00E878CB" w:rsidP="00E878CB">
      <w:pPr>
        <w:keepNext/>
        <w:snapToGrid w:val="0"/>
        <w:outlineLvl w:val="1"/>
        <w:rPr>
          <w:u w:val="single"/>
          <w:lang w:val="de-DE"/>
        </w:rPr>
      </w:pPr>
      <w:bookmarkStart w:id="9" w:name="_Toc177745208"/>
      <w:bookmarkStart w:id="10" w:name="_Toc177746473"/>
      <w:r w:rsidRPr="00260716">
        <w:rPr>
          <w:u w:val="single"/>
          <w:lang w:val="de-DE"/>
        </w:rPr>
        <w:t>Vorschlag:</w:t>
      </w:r>
      <w:bookmarkEnd w:id="9"/>
      <w:bookmarkEnd w:id="10"/>
    </w:p>
    <w:p w14:paraId="710B05A6" w14:textId="77777777" w:rsidR="00E878CB" w:rsidRPr="00260716" w:rsidRDefault="00E878CB" w:rsidP="00E878CB">
      <w:pPr>
        <w:keepNext/>
        <w:keepLines/>
        <w:rPr>
          <w:snapToGrid w:val="0"/>
          <w:lang w:val="de-DE"/>
        </w:rPr>
      </w:pPr>
    </w:p>
    <w:p w14:paraId="4EE49974" w14:textId="1BAFB353" w:rsidR="00E878CB" w:rsidRPr="00260716" w:rsidRDefault="00E878CB" w:rsidP="00E878CB">
      <w:pPr>
        <w:keepNext/>
        <w:keepLines/>
        <w:rPr>
          <w:snapToGrid w:val="0"/>
          <w:lang w:val="de-DE"/>
        </w:rPr>
      </w:pPr>
      <w:r w:rsidRPr="00260716">
        <w:rPr>
          <w:snapToGrid w:val="0"/>
          <w:lang w:val="de-DE"/>
        </w:rPr>
        <w:fldChar w:fldCharType="begin"/>
      </w:r>
      <w:r w:rsidRPr="00260716">
        <w:rPr>
          <w:snapToGrid w:val="0"/>
          <w:lang w:val="de-DE"/>
        </w:rPr>
        <w:instrText xml:space="preserve"> AUTONUM  </w:instrText>
      </w:r>
      <w:r w:rsidRPr="00260716">
        <w:rPr>
          <w:snapToGrid w:val="0"/>
          <w:lang w:val="de-DE"/>
        </w:rPr>
        <w:fldChar w:fldCharType="end"/>
      </w:r>
      <w:r w:rsidRPr="00260716">
        <w:rPr>
          <w:snapToGrid w:val="0"/>
          <w:lang w:val="de-DE"/>
        </w:rPr>
        <w:tab/>
        <w:t xml:space="preserve">Es wird vorgeschlagen, im Jahr 2026 zu geeigneten Terminen entsprechend dem Zeitplan der TWP-Sitzungen technische Webinare zu organisieren. Die Webinar-Präsentationen und Podiumsdiskussionen würden aufgezeichnet und online zur Verfügung gestellt werden. Die Frage-und-Antwort-Runde würde nicht aufgezeichnet und/oder online zur Verfügung gestellt werden. </w:t>
      </w:r>
    </w:p>
    <w:p w14:paraId="32DFE390" w14:textId="77777777" w:rsidR="00E878CB" w:rsidRPr="00260716" w:rsidRDefault="00E878CB" w:rsidP="00E878CB">
      <w:pPr>
        <w:rPr>
          <w:snapToGrid w:val="0"/>
          <w:lang w:val="de-DE"/>
        </w:rPr>
      </w:pPr>
    </w:p>
    <w:p w14:paraId="5229DEC8" w14:textId="77777777" w:rsidR="00E878CB" w:rsidRPr="00260716" w:rsidRDefault="00E878CB" w:rsidP="00E878CB">
      <w:pPr>
        <w:rPr>
          <w:snapToGrid w:val="0"/>
          <w:lang w:val="de-DE"/>
        </w:rPr>
      </w:pPr>
      <w:r w:rsidRPr="00260716">
        <w:rPr>
          <w:snapToGrid w:val="0"/>
          <w:lang w:val="de-DE"/>
        </w:rPr>
        <w:fldChar w:fldCharType="begin"/>
      </w:r>
      <w:r w:rsidRPr="00260716">
        <w:rPr>
          <w:snapToGrid w:val="0"/>
          <w:lang w:val="de-DE"/>
        </w:rPr>
        <w:instrText xml:space="preserve"> AUTONUM  </w:instrText>
      </w:r>
      <w:r w:rsidRPr="00260716">
        <w:rPr>
          <w:snapToGrid w:val="0"/>
          <w:lang w:val="de-DE"/>
        </w:rPr>
        <w:fldChar w:fldCharType="end"/>
      </w:r>
      <w:r w:rsidRPr="00260716">
        <w:rPr>
          <w:snapToGrid w:val="0"/>
          <w:lang w:val="de-DE"/>
        </w:rPr>
        <w:tab/>
        <w:t xml:space="preserve">Experten aus den Mitgliedsländern würden eingeladen, Präsentationen zu ausgewählten Inhalten zu halten und als Diskussionsteilnehmer an den Podiumsdiskussionen teilzunehmen.  </w:t>
      </w:r>
    </w:p>
    <w:p w14:paraId="2B5485D6" w14:textId="77777777" w:rsidR="00E878CB" w:rsidRPr="00260716" w:rsidRDefault="00E878CB" w:rsidP="00E878CB">
      <w:pPr>
        <w:rPr>
          <w:snapToGrid w:val="0"/>
          <w:lang w:val="de-DE"/>
        </w:rPr>
      </w:pPr>
    </w:p>
    <w:p w14:paraId="649F1AC9" w14:textId="261EABDF" w:rsidR="00E878CB" w:rsidRPr="00260716" w:rsidRDefault="00E878CB" w:rsidP="00E878CB">
      <w:pPr>
        <w:rPr>
          <w:snapToGrid w:val="0"/>
          <w:lang w:val="de-DE"/>
        </w:rPr>
      </w:pPr>
      <w:r w:rsidRPr="00260716">
        <w:rPr>
          <w:snapToGrid w:val="0"/>
          <w:lang w:val="de-DE"/>
        </w:rPr>
        <w:fldChar w:fldCharType="begin"/>
      </w:r>
      <w:r w:rsidRPr="00260716">
        <w:rPr>
          <w:snapToGrid w:val="0"/>
          <w:lang w:val="de-DE"/>
        </w:rPr>
        <w:instrText xml:space="preserve"> AUTONUM  </w:instrText>
      </w:r>
      <w:r w:rsidRPr="00260716">
        <w:rPr>
          <w:snapToGrid w:val="0"/>
          <w:lang w:val="de-DE"/>
        </w:rPr>
        <w:fldChar w:fldCharType="end"/>
      </w:r>
      <w:r w:rsidRPr="00260716">
        <w:rPr>
          <w:snapToGrid w:val="0"/>
          <w:lang w:val="de-DE"/>
        </w:rPr>
        <w:tab/>
        <w:t>Die detaillierten Modalitäten für die Webinare würden vom Büro der Union in Abstimmung mit den Vorsitzenden des TC und der TWPs festgelegt.</w:t>
      </w:r>
    </w:p>
    <w:p w14:paraId="46D38C20" w14:textId="77777777" w:rsidR="00E878CB" w:rsidRPr="00260716" w:rsidRDefault="00E878CB" w:rsidP="00E878CB">
      <w:pPr>
        <w:rPr>
          <w:rFonts w:cs="Arial"/>
          <w:lang w:val="de-DE"/>
        </w:rPr>
      </w:pPr>
    </w:p>
    <w:p w14:paraId="3CB3922C" w14:textId="77777777" w:rsidR="00E878CB" w:rsidRPr="00260716" w:rsidRDefault="00E878CB" w:rsidP="00E878CB">
      <w:pPr>
        <w:rPr>
          <w:rFonts w:cs="Arial"/>
          <w:lang w:val="de-DE"/>
        </w:rPr>
      </w:pPr>
      <w:r w:rsidRPr="00260716">
        <w:rPr>
          <w:lang w:val="de-DE"/>
        </w:rPr>
        <w:fldChar w:fldCharType="begin"/>
      </w:r>
      <w:r w:rsidRPr="00260716">
        <w:rPr>
          <w:lang w:val="de-DE"/>
        </w:rPr>
        <w:instrText xml:space="preserve"> AUTONUM  </w:instrText>
      </w:r>
      <w:r w:rsidRPr="00260716">
        <w:rPr>
          <w:lang w:val="de-DE"/>
        </w:rPr>
        <w:fldChar w:fldCharType="end"/>
      </w:r>
      <w:r w:rsidRPr="00260716">
        <w:rPr>
          <w:lang w:val="de-DE"/>
        </w:rPr>
        <w:tab/>
      </w:r>
      <w:r w:rsidRPr="00260716">
        <w:rPr>
          <w:rFonts w:cs="Arial"/>
          <w:lang w:val="de-DE"/>
        </w:rPr>
        <w:t>Auf Wunsch der Gastgeber der TWP könnten in Verbindung mit den TWP-Sitzungen Workshops mit physischer Teilnahme organisiert werden. In solchen Fällen würden die Inhalte an den jeweiligen Kontext angepasst.</w:t>
      </w:r>
    </w:p>
    <w:p w14:paraId="4FFB8710" w14:textId="77777777" w:rsidR="00E878CB" w:rsidRPr="00260716" w:rsidRDefault="00E878CB" w:rsidP="00E878CB">
      <w:pPr>
        <w:rPr>
          <w:rFonts w:eastAsia="Calibri" w:cs="Arial"/>
          <w:lang w:val="de-DE"/>
        </w:rPr>
      </w:pPr>
    </w:p>
    <w:p w14:paraId="7F794BEC" w14:textId="3122C22F" w:rsidR="00E878CB" w:rsidRPr="00260716" w:rsidRDefault="00E878CB" w:rsidP="00E878CB">
      <w:pPr>
        <w:pStyle w:val="DecisionParagraphs"/>
        <w:rPr>
          <w:rFonts w:cs="Arial"/>
          <w:lang w:val="de-DE"/>
        </w:rPr>
      </w:pPr>
      <w:r w:rsidRPr="00260716">
        <w:rPr>
          <w:rFonts w:cs="Arial"/>
          <w:lang w:val="de-DE"/>
        </w:rPr>
        <w:fldChar w:fldCharType="begin"/>
      </w:r>
      <w:r w:rsidRPr="00260716">
        <w:rPr>
          <w:rFonts w:cs="Arial"/>
          <w:lang w:val="de-DE"/>
        </w:rPr>
        <w:instrText xml:space="preserve"> AUTONUM  </w:instrText>
      </w:r>
      <w:r w:rsidRPr="00260716">
        <w:rPr>
          <w:rFonts w:cs="Arial"/>
          <w:lang w:val="de-DE"/>
        </w:rPr>
        <w:fldChar w:fldCharType="end"/>
      </w:r>
      <w:r w:rsidRPr="00260716">
        <w:rPr>
          <w:rFonts w:cs="Arial"/>
          <w:lang w:val="de-DE"/>
        </w:rPr>
        <w:tab/>
        <w:t xml:space="preserve">Der TC wird gebeten, </w:t>
      </w:r>
      <w:r w:rsidRPr="00260716">
        <w:rPr>
          <w:snapToGrid w:val="0"/>
          <w:lang w:val="de-DE"/>
        </w:rPr>
        <w:t>zu prüfen, ob im Jahr 2026 technische Webinare zu geeigneten Terminen entsprechend dem Zeitplan der TWP-Sitzungen sowie Workshops mit physischer Teilnahme, sofern gewünscht, gemäß den Absätzen 16 bis 19 dieses Dokuments organisiert werden sollen.</w:t>
      </w:r>
    </w:p>
    <w:p w14:paraId="40737D36" w14:textId="77777777" w:rsidR="00E878CB" w:rsidRPr="00260716" w:rsidRDefault="00E878CB" w:rsidP="00E878CB">
      <w:pPr>
        <w:rPr>
          <w:lang w:val="de-DE"/>
        </w:rPr>
      </w:pPr>
    </w:p>
    <w:p w14:paraId="29975C42" w14:textId="77777777" w:rsidR="00E878CB" w:rsidRPr="00260716" w:rsidRDefault="00E878CB" w:rsidP="00E878CB">
      <w:pPr>
        <w:jc w:val="left"/>
        <w:rPr>
          <w:lang w:val="de-DE"/>
        </w:rPr>
      </w:pPr>
    </w:p>
    <w:p w14:paraId="2EBB0913" w14:textId="77777777" w:rsidR="00E878CB" w:rsidRPr="00260716" w:rsidRDefault="00E878CB" w:rsidP="00E878CB">
      <w:pPr>
        <w:rPr>
          <w:lang w:val="de-DE"/>
        </w:rPr>
      </w:pPr>
    </w:p>
    <w:p w14:paraId="5857E11D" w14:textId="4528AE4D" w:rsidR="00E878CB" w:rsidRPr="00260716" w:rsidRDefault="00E878CB" w:rsidP="00E878CB">
      <w:pPr>
        <w:jc w:val="right"/>
        <w:rPr>
          <w:lang w:val="de-DE"/>
        </w:rPr>
      </w:pPr>
      <w:r w:rsidRPr="00260716">
        <w:rPr>
          <w:lang w:val="de-DE"/>
        </w:rPr>
        <w:t xml:space="preserve"> [An</w:t>
      </w:r>
      <w:r w:rsidR="00B31C21">
        <w:rPr>
          <w:lang w:val="de-DE"/>
        </w:rPr>
        <w:t>l</w:t>
      </w:r>
      <w:r w:rsidRPr="00260716">
        <w:rPr>
          <w:lang w:val="de-DE"/>
        </w:rPr>
        <w:t>ag</w:t>
      </w:r>
      <w:r w:rsidR="00B31C21">
        <w:rPr>
          <w:lang w:val="de-DE"/>
        </w:rPr>
        <w:t>e</w:t>
      </w:r>
      <w:r w:rsidRPr="00260716">
        <w:rPr>
          <w:lang w:val="de-DE"/>
        </w:rPr>
        <w:t xml:space="preserve"> folgt]</w:t>
      </w:r>
    </w:p>
    <w:p w14:paraId="3B9BC6B9" w14:textId="77777777" w:rsidR="008863BB" w:rsidRPr="00260716" w:rsidRDefault="008863BB" w:rsidP="00E878CB">
      <w:pPr>
        <w:keepNext/>
        <w:keepLines/>
        <w:outlineLvl w:val="0"/>
        <w:rPr>
          <w:lang w:val="de-DE"/>
        </w:rPr>
        <w:sectPr w:rsidR="008863BB" w:rsidRPr="00260716" w:rsidSect="0004198B">
          <w:headerReference w:type="default" r:id="rId10"/>
          <w:pgSz w:w="11907" w:h="16840" w:code="9"/>
          <w:pgMar w:top="510" w:right="1134" w:bottom="1134" w:left="1134" w:header="510" w:footer="680" w:gutter="0"/>
          <w:pgNumType w:start="1"/>
          <w:cols w:space="720"/>
          <w:titlePg/>
        </w:sectPr>
      </w:pPr>
    </w:p>
    <w:p w14:paraId="765F4ED7" w14:textId="707E969C" w:rsidR="00284985" w:rsidRPr="00260716" w:rsidRDefault="00284985" w:rsidP="00284985">
      <w:pPr>
        <w:jc w:val="center"/>
        <w:rPr>
          <w:lang w:val="de-DE"/>
        </w:rPr>
      </w:pPr>
      <w:bookmarkStart w:id="11" w:name="_Toc141103600"/>
      <w:bookmarkStart w:id="12" w:name="_Toc177745209"/>
      <w:bookmarkEnd w:id="11"/>
      <w:bookmarkEnd w:id="12"/>
      <w:r w:rsidRPr="00260716">
        <w:rPr>
          <w:lang w:val="de-DE"/>
        </w:rPr>
        <w:lastRenderedPageBreak/>
        <w:t>PROGRAMM DER TECHNISCHEN WEBINARE IM JAHR 2025</w:t>
      </w:r>
    </w:p>
    <w:p w14:paraId="416073C9" w14:textId="77777777" w:rsidR="00284985" w:rsidRPr="00260716" w:rsidRDefault="00284985" w:rsidP="00284985">
      <w:pPr>
        <w:jc w:val="center"/>
        <w:rPr>
          <w:lang w:val="de-DE"/>
        </w:rPr>
      </w:pPr>
      <w:r w:rsidRPr="00260716">
        <w:rPr>
          <w:lang w:val="de-DE"/>
        </w:rPr>
        <w:t>Jedes Webinar wird zweimal angeboten</w:t>
      </w:r>
      <w:bookmarkStart w:id="13" w:name="_Hlk159257437"/>
      <w:r w:rsidRPr="00260716">
        <w:rPr>
          <w:lang w:val="de-DE"/>
        </w:rPr>
        <w:t xml:space="preserve"> (8 Uhr und 15 Uhr Genfer Zeit – MEZ)</w:t>
      </w:r>
    </w:p>
    <w:bookmarkEnd w:id="13"/>
    <w:p w14:paraId="2BD4365A" w14:textId="77777777" w:rsidR="002B7E9E" w:rsidRPr="00260716" w:rsidRDefault="002B7E9E" w:rsidP="002B7E9E">
      <w:pPr>
        <w:rPr>
          <w:lang w:val="de-DE"/>
        </w:rPr>
      </w:pPr>
    </w:p>
    <w:p w14:paraId="40C58DD1" w14:textId="77777777" w:rsidR="00284985" w:rsidRPr="00260716" w:rsidRDefault="00284985" w:rsidP="002B7E9E">
      <w:pPr>
        <w:rPr>
          <w:lang w:val="de-DE"/>
        </w:rPr>
      </w:pPr>
    </w:p>
    <w:p w14:paraId="0735EB66" w14:textId="77777777" w:rsidR="002B7E9E" w:rsidRPr="00260716" w:rsidRDefault="002B7E9E" w:rsidP="002B7E9E">
      <w:pPr>
        <w:pStyle w:val="Heading1"/>
        <w:rPr>
          <w:lang w:val="de-DE"/>
        </w:rPr>
      </w:pPr>
      <w:r w:rsidRPr="00260716">
        <w:rPr>
          <w:lang w:val="de-DE"/>
        </w:rPr>
        <w:t xml:space="preserve">Dienstag, 11. März 2025:  </w:t>
      </w:r>
      <w:r w:rsidRPr="00260716">
        <w:rPr>
          <w:b/>
          <w:lang w:val="de-DE"/>
        </w:rPr>
        <w:t>Webinar 1</w:t>
      </w:r>
      <w:r w:rsidRPr="00260716">
        <w:rPr>
          <w:lang w:val="de-DE"/>
        </w:rPr>
        <w:t>:  Ausarbeitung von Prüfungsrichtlinien</w:t>
      </w:r>
    </w:p>
    <w:p w14:paraId="3A944D38" w14:textId="77777777" w:rsidR="002B7E9E" w:rsidRPr="00260716" w:rsidRDefault="002B7E9E" w:rsidP="002B7E9E">
      <w:pPr>
        <w:rPr>
          <w:lang w:val="de-DE"/>
        </w:rPr>
      </w:pPr>
    </w:p>
    <w:p w14:paraId="66633AC7" w14:textId="77777777" w:rsidR="002B7E9E" w:rsidRPr="00260716" w:rsidRDefault="002B7E9E" w:rsidP="002B7E9E">
      <w:pPr>
        <w:pStyle w:val="Heading2"/>
        <w:rPr>
          <w:lang w:val="de-DE"/>
        </w:rPr>
      </w:pPr>
      <w:r w:rsidRPr="00260716">
        <w:rPr>
          <w:lang w:val="de-DE"/>
        </w:rPr>
        <w:t>Teil I: Präsentationen</w:t>
      </w:r>
    </w:p>
    <w:p w14:paraId="07D2D18B" w14:textId="77777777" w:rsidR="002B7E9E" w:rsidRPr="00260716" w:rsidRDefault="002B7E9E" w:rsidP="002B7E9E">
      <w:pPr>
        <w:rPr>
          <w:lang w:val="de-DE"/>
        </w:rPr>
      </w:pPr>
    </w:p>
    <w:p w14:paraId="3DBD6E87" w14:textId="77777777" w:rsidR="002B7E9E" w:rsidRPr="00260716" w:rsidRDefault="002B7E9E" w:rsidP="002B7E9E">
      <w:pPr>
        <w:numPr>
          <w:ilvl w:val="1"/>
          <w:numId w:val="3"/>
        </w:numPr>
        <w:ind w:left="1134"/>
        <w:rPr>
          <w:lang w:val="de-DE"/>
        </w:rPr>
      </w:pPr>
      <w:r w:rsidRPr="00260716">
        <w:rPr>
          <w:lang w:val="de-DE"/>
        </w:rPr>
        <w:t xml:space="preserve">Einführung in die Ausarbeitung von UPOV-Prüfungsrichtlinien </w:t>
      </w:r>
    </w:p>
    <w:p w14:paraId="27461141" w14:textId="77777777" w:rsidR="002B7E9E" w:rsidRPr="00260716" w:rsidRDefault="002B7E9E" w:rsidP="002B7E9E">
      <w:pPr>
        <w:ind w:left="1134"/>
        <w:rPr>
          <w:lang w:val="de-DE"/>
        </w:rPr>
      </w:pPr>
      <w:r w:rsidRPr="00260716">
        <w:rPr>
          <w:lang w:val="de-DE"/>
        </w:rPr>
        <w:t>Frau Romy Oertel – Büro des Verbandes</w:t>
      </w:r>
    </w:p>
    <w:p w14:paraId="4610A6C8" w14:textId="77777777" w:rsidR="002B7E9E" w:rsidRPr="00260716" w:rsidRDefault="002B7E9E" w:rsidP="002B7E9E">
      <w:pPr>
        <w:ind w:left="1134"/>
        <w:rPr>
          <w:lang w:val="de-DE"/>
        </w:rPr>
      </w:pPr>
    </w:p>
    <w:p w14:paraId="07DB1B07" w14:textId="77777777" w:rsidR="002B7E9E" w:rsidRPr="00260716" w:rsidRDefault="002B7E9E" w:rsidP="002B7E9E">
      <w:pPr>
        <w:numPr>
          <w:ilvl w:val="1"/>
          <w:numId w:val="3"/>
        </w:numPr>
        <w:ind w:left="1134"/>
        <w:rPr>
          <w:lang w:val="de-DE"/>
        </w:rPr>
      </w:pPr>
      <w:r w:rsidRPr="00260716">
        <w:rPr>
          <w:lang w:val="de-DE"/>
        </w:rPr>
        <w:t xml:space="preserve">Ausarbeitung nationaler Prüfungsrichtlinien in Ermangelung von UPOV-Prüfungsrichtlinien </w:t>
      </w:r>
    </w:p>
    <w:p w14:paraId="7BA8A33F" w14:textId="77777777" w:rsidR="002B7E9E" w:rsidRPr="00260716" w:rsidRDefault="002B7E9E" w:rsidP="002B7E9E">
      <w:pPr>
        <w:ind w:left="1134"/>
        <w:rPr>
          <w:lang w:val="de-DE"/>
        </w:rPr>
      </w:pPr>
      <w:r w:rsidRPr="00260716">
        <w:rPr>
          <w:lang w:val="de-DE"/>
        </w:rPr>
        <w:t>Frau Hilary Papworth – Vereinigtes Königreich</w:t>
      </w:r>
    </w:p>
    <w:p w14:paraId="0F8BA193" w14:textId="77777777" w:rsidR="002B7E9E" w:rsidRPr="00260716" w:rsidRDefault="002B7E9E" w:rsidP="002B7E9E">
      <w:pPr>
        <w:rPr>
          <w:lang w:val="de-DE"/>
        </w:rPr>
      </w:pPr>
    </w:p>
    <w:p w14:paraId="7AC23747" w14:textId="77777777" w:rsidR="002B7E9E" w:rsidRPr="00260716" w:rsidRDefault="002B7E9E" w:rsidP="002B7E9E">
      <w:pPr>
        <w:rPr>
          <w:lang w:val="de-DE"/>
        </w:rPr>
      </w:pPr>
    </w:p>
    <w:p w14:paraId="07CF8573" w14:textId="77777777" w:rsidR="002B7E9E" w:rsidRPr="00260716" w:rsidRDefault="002B7E9E" w:rsidP="002B7E9E">
      <w:pPr>
        <w:pStyle w:val="Heading2"/>
        <w:rPr>
          <w:u w:val="none"/>
          <w:lang w:val="de-DE"/>
        </w:rPr>
      </w:pPr>
      <w:r w:rsidRPr="00260716">
        <w:rPr>
          <w:lang w:val="de-DE"/>
        </w:rPr>
        <w:t>Teil II: Frage-und-Antwort-Runde</w:t>
      </w:r>
    </w:p>
    <w:p w14:paraId="3F3F3A8F" w14:textId="77777777" w:rsidR="002B7E9E" w:rsidRPr="00260716" w:rsidRDefault="002B7E9E" w:rsidP="002B7E9E">
      <w:pPr>
        <w:rPr>
          <w:lang w:val="de-DE"/>
        </w:rPr>
      </w:pPr>
    </w:p>
    <w:p w14:paraId="77B6591C" w14:textId="77777777" w:rsidR="002B7E9E" w:rsidRPr="00260716" w:rsidRDefault="002B7E9E" w:rsidP="002B7E9E">
      <w:pPr>
        <w:rPr>
          <w:lang w:val="de-DE"/>
        </w:rPr>
      </w:pPr>
    </w:p>
    <w:p w14:paraId="29858D38" w14:textId="77777777" w:rsidR="002B7E9E" w:rsidRPr="00260716" w:rsidRDefault="002B7E9E" w:rsidP="002B7E9E">
      <w:pPr>
        <w:rPr>
          <w:lang w:val="de-DE"/>
        </w:rPr>
      </w:pPr>
    </w:p>
    <w:p w14:paraId="0387758A" w14:textId="77777777" w:rsidR="002B7E9E" w:rsidRPr="00260716" w:rsidRDefault="002B7E9E" w:rsidP="002B7E9E">
      <w:pPr>
        <w:rPr>
          <w:lang w:val="de-DE"/>
        </w:rPr>
      </w:pPr>
    </w:p>
    <w:p w14:paraId="7EB4DA96" w14:textId="77777777" w:rsidR="002B7E9E" w:rsidRPr="00260716" w:rsidRDefault="002B7E9E" w:rsidP="002B7E9E">
      <w:pPr>
        <w:pStyle w:val="Heading1"/>
        <w:rPr>
          <w:lang w:val="de-DE"/>
        </w:rPr>
      </w:pPr>
      <w:r w:rsidRPr="00260716">
        <w:rPr>
          <w:lang w:val="de-DE"/>
        </w:rPr>
        <w:t xml:space="preserve">Mittwoch, 12. März 2025:  </w:t>
      </w:r>
      <w:r w:rsidRPr="00260716">
        <w:rPr>
          <w:b/>
          <w:lang w:val="de-DE"/>
        </w:rPr>
        <w:t>Webinar 2</w:t>
      </w:r>
      <w:r w:rsidRPr="00260716">
        <w:rPr>
          <w:lang w:val="de-DE"/>
        </w:rPr>
        <w:t xml:space="preserve">:  In Prüfungsrichtlinien verwendete Merkmale </w:t>
      </w:r>
    </w:p>
    <w:p w14:paraId="7B32BA2E" w14:textId="77777777" w:rsidR="002B7E9E" w:rsidRPr="00260716" w:rsidRDefault="002B7E9E" w:rsidP="002B7E9E">
      <w:pPr>
        <w:spacing w:line="276" w:lineRule="auto"/>
        <w:ind w:left="567"/>
        <w:rPr>
          <w:rFonts w:cs="Arial"/>
          <w:lang w:val="de-DE"/>
        </w:rPr>
      </w:pPr>
    </w:p>
    <w:p w14:paraId="641D6321" w14:textId="77777777" w:rsidR="002B7E9E" w:rsidRPr="00260716" w:rsidRDefault="002B7E9E" w:rsidP="002B7E9E">
      <w:pPr>
        <w:pStyle w:val="Heading2"/>
        <w:rPr>
          <w:lang w:val="de-DE"/>
        </w:rPr>
      </w:pPr>
      <w:r w:rsidRPr="00260716">
        <w:rPr>
          <w:lang w:val="de-DE"/>
        </w:rPr>
        <w:t xml:space="preserve">Teil I: Präsentationen:  </w:t>
      </w:r>
    </w:p>
    <w:p w14:paraId="5670E2E5" w14:textId="77777777" w:rsidR="002B7E9E" w:rsidRPr="00260716" w:rsidRDefault="002B7E9E" w:rsidP="002B7E9E">
      <w:pPr>
        <w:rPr>
          <w:lang w:val="de-DE"/>
        </w:rPr>
      </w:pPr>
    </w:p>
    <w:p w14:paraId="43BD5956" w14:textId="77777777" w:rsidR="002B7E9E" w:rsidRPr="00260716" w:rsidRDefault="002B7E9E" w:rsidP="002B7E9E">
      <w:pPr>
        <w:rPr>
          <w:lang w:val="de-DE"/>
        </w:rPr>
      </w:pPr>
    </w:p>
    <w:p w14:paraId="52191288" w14:textId="77777777" w:rsidR="002B7E9E" w:rsidRPr="00260716" w:rsidRDefault="002B7E9E" w:rsidP="002B7E9E">
      <w:pPr>
        <w:numPr>
          <w:ilvl w:val="1"/>
          <w:numId w:val="3"/>
        </w:numPr>
        <w:ind w:left="1134"/>
        <w:rPr>
          <w:lang w:val="de-DE"/>
        </w:rPr>
      </w:pPr>
      <w:r w:rsidRPr="00260716">
        <w:rPr>
          <w:lang w:val="de-DE"/>
        </w:rPr>
        <w:t>Entwicklung von Form- und Farbmerkmalen (Dokument TGP 14 „Glossar der in UPOV-Dokumenten verwendeten Begriffe“)</w:t>
      </w:r>
    </w:p>
    <w:p w14:paraId="26E8C087" w14:textId="77777777" w:rsidR="002B7E9E" w:rsidRPr="00260716" w:rsidRDefault="002B7E9E" w:rsidP="002B7E9E">
      <w:pPr>
        <w:ind w:left="1134"/>
        <w:rPr>
          <w:lang w:val="de-DE"/>
        </w:rPr>
      </w:pPr>
      <w:r w:rsidRPr="00260716">
        <w:rPr>
          <w:lang w:val="de-DE"/>
        </w:rPr>
        <w:t>Herr Chris Barnaby – Neuseeland</w:t>
      </w:r>
    </w:p>
    <w:p w14:paraId="4A2EBBB5" w14:textId="77777777" w:rsidR="002B7E9E" w:rsidRPr="00260716" w:rsidRDefault="002B7E9E" w:rsidP="002B7E9E">
      <w:pPr>
        <w:ind w:left="1134"/>
        <w:rPr>
          <w:lang w:val="de-DE"/>
        </w:rPr>
      </w:pPr>
    </w:p>
    <w:p w14:paraId="7DE3DF39" w14:textId="77777777" w:rsidR="002B7E9E" w:rsidRPr="00260716" w:rsidRDefault="002B7E9E" w:rsidP="002B7E9E">
      <w:pPr>
        <w:numPr>
          <w:ilvl w:val="1"/>
          <w:numId w:val="3"/>
        </w:numPr>
        <w:ind w:left="1134"/>
        <w:rPr>
          <w:lang w:val="de-DE"/>
        </w:rPr>
      </w:pPr>
      <w:r w:rsidRPr="00260716">
        <w:rPr>
          <w:lang w:val="de-DE"/>
        </w:rPr>
        <w:t>Arten von Merkmalen und ihre Auswirkungen auf die Unterscheidbarkeit (Dokument TGP/9 „Beurteilung der Unterscheidbarkeit”)</w:t>
      </w:r>
    </w:p>
    <w:p w14:paraId="29F7910F" w14:textId="77777777" w:rsidR="002B7E9E" w:rsidRPr="00260716" w:rsidRDefault="002B7E9E" w:rsidP="002B7E9E">
      <w:pPr>
        <w:ind w:left="1134"/>
        <w:rPr>
          <w:lang w:val="de-DE"/>
        </w:rPr>
      </w:pPr>
      <w:r w:rsidRPr="00260716">
        <w:rPr>
          <w:lang w:val="de-DE"/>
        </w:rPr>
        <w:t>Frau Pavla Bímová – Tschechische Republik</w:t>
      </w:r>
    </w:p>
    <w:p w14:paraId="1984AFF6" w14:textId="77777777" w:rsidR="002B7E9E" w:rsidRPr="00260716" w:rsidRDefault="002B7E9E" w:rsidP="002B7E9E">
      <w:pPr>
        <w:rPr>
          <w:lang w:val="de-DE"/>
        </w:rPr>
      </w:pPr>
    </w:p>
    <w:p w14:paraId="125F3D19" w14:textId="77777777" w:rsidR="002B7E9E" w:rsidRPr="00260716" w:rsidRDefault="002B7E9E" w:rsidP="002B7E9E">
      <w:pPr>
        <w:rPr>
          <w:lang w:val="de-DE"/>
        </w:rPr>
      </w:pPr>
    </w:p>
    <w:p w14:paraId="6AB79B8E" w14:textId="77777777" w:rsidR="002B7E9E" w:rsidRPr="00260716" w:rsidRDefault="002B7E9E" w:rsidP="002B7E9E">
      <w:pPr>
        <w:pStyle w:val="Heading2"/>
        <w:rPr>
          <w:lang w:val="de-DE"/>
        </w:rPr>
      </w:pPr>
      <w:r w:rsidRPr="00260716">
        <w:rPr>
          <w:lang w:val="de-DE"/>
        </w:rPr>
        <w:t xml:space="preserve">Teil II: Frage-und-Antwort-Runde </w:t>
      </w:r>
    </w:p>
    <w:p w14:paraId="20D78EA0" w14:textId="77777777" w:rsidR="002B7E9E" w:rsidRPr="00260716" w:rsidRDefault="002B7E9E" w:rsidP="002B7E9E">
      <w:pPr>
        <w:rPr>
          <w:lang w:val="de-DE"/>
        </w:rPr>
      </w:pPr>
    </w:p>
    <w:p w14:paraId="08874328" w14:textId="77777777" w:rsidR="002B7E9E" w:rsidRPr="00260716" w:rsidRDefault="002B7E9E" w:rsidP="002B7E9E">
      <w:pPr>
        <w:rPr>
          <w:lang w:val="de-DE"/>
        </w:rPr>
      </w:pPr>
    </w:p>
    <w:p w14:paraId="4827FD65" w14:textId="77777777" w:rsidR="002B7E9E" w:rsidRPr="00260716" w:rsidRDefault="002B7E9E" w:rsidP="002B7E9E">
      <w:pPr>
        <w:rPr>
          <w:lang w:val="de-DE"/>
        </w:rPr>
      </w:pPr>
    </w:p>
    <w:p w14:paraId="4130D772" w14:textId="77777777" w:rsidR="002B7E9E" w:rsidRPr="00260716" w:rsidRDefault="002B7E9E" w:rsidP="002B7E9E">
      <w:pPr>
        <w:rPr>
          <w:lang w:val="de-DE"/>
        </w:rPr>
      </w:pPr>
    </w:p>
    <w:p w14:paraId="09C5FC65" w14:textId="058F4CBE" w:rsidR="002B7E9E" w:rsidRPr="00260716" w:rsidRDefault="002B7E9E" w:rsidP="002B7E9E">
      <w:pPr>
        <w:jc w:val="right"/>
        <w:rPr>
          <w:snapToGrid w:val="0"/>
          <w:lang w:val="de-DE"/>
        </w:rPr>
      </w:pPr>
      <w:r w:rsidRPr="00260716">
        <w:rPr>
          <w:snapToGrid w:val="0"/>
          <w:lang w:val="de-DE"/>
        </w:rPr>
        <w:t>[Ende de</w:t>
      </w:r>
      <w:r w:rsidR="008F78ED">
        <w:rPr>
          <w:snapToGrid w:val="0"/>
          <w:lang w:val="de-DE"/>
        </w:rPr>
        <w:t>r</w:t>
      </w:r>
      <w:r w:rsidRPr="00260716">
        <w:rPr>
          <w:snapToGrid w:val="0"/>
          <w:lang w:val="de-DE"/>
        </w:rPr>
        <w:t xml:space="preserve"> An</w:t>
      </w:r>
      <w:r w:rsidR="008F78ED">
        <w:rPr>
          <w:snapToGrid w:val="0"/>
          <w:lang w:val="de-DE"/>
        </w:rPr>
        <w:t>l</w:t>
      </w:r>
      <w:r w:rsidRPr="00260716">
        <w:rPr>
          <w:snapToGrid w:val="0"/>
          <w:lang w:val="de-DE"/>
        </w:rPr>
        <w:t>ag</w:t>
      </w:r>
      <w:r w:rsidR="008F78ED">
        <w:rPr>
          <w:snapToGrid w:val="0"/>
          <w:lang w:val="de-DE"/>
        </w:rPr>
        <w:t>e</w:t>
      </w:r>
      <w:r w:rsidRPr="00260716">
        <w:rPr>
          <w:snapToGrid w:val="0"/>
          <w:lang w:val="de-DE"/>
        </w:rPr>
        <w:t xml:space="preserve"> und des Dokuments]</w:t>
      </w:r>
    </w:p>
    <w:p w14:paraId="702947A9" w14:textId="77777777" w:rsidR="00050E16" w:rsidRPr="00260716" w:rsidRDefault="00050E16" w:rsidP="00E878CB">
      <w:pPr>
        <w:keepNext/>
        <w:keepLines/>
        <w:outlineLvl w:val="0"/>
        <w:rPr>
          <w:lang w:val="de-DE"/>
        </w:rPr>
      </w:pPr>
    </w:p>
    <w:sectPr w:rsidR="00050E16" w:rsidRPr="00260716" w:rsidSect="002B7E9E">
      <w:headerReference w:type="even" r:id="rId11"/>
      <w:headerReference w:type="default" r:id="rId12"/>
      <w:headerReference w:type="first" r:id="rId13"/>
      <w:pgSz w:w="11907" w:h="16840" w:code="9"/>
      <w:pgMar w:top="851" w:right="1134" w:bottom="851"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92E2" w14:textId="77777777" w:rsidR="00474A16" w:rsidRDefault="00474A16" w:rsidP="006655D3">
      <w:r>
        <w:separator/>
      </w:r>
    </w:p>
    <w:p w14:paraId="4C9EB820" w14:textId="77777777" w:rsidR="00474A16" w:rsidRDefault="00474A16" w:rsidP="006655D3"/>
    <w:p w14:paraId="000A7D2B" w14:textId="77777777" w:rsidR="00474A16" w:rsidRDefault="00474A16" w:rsidP="006655D3"/>
  </w:endnote>
  <w:endnote w:type="continuationSeparator" w:id="0">
    <w:p w14:paraId="526142BF" w14:textId="77777777" w:rsidR="00474A16" w:rsidRDefault="00474A16" w:rsidP="006655D3">
      <w:r>
        <w:separator/>
      </w:r>
    </w:p>
    <w:p w14:paraId="784A73BF" w14:textId="77777777" w:rsidR="00474A16" w:rsidRPr="00D75F8C" w:rsidRDefault="00474A16">
      <w:pPr>
        <w:pStyle w:val="Footer"/>
        <w:spacing w:after="60"/>
        <w:rPr>
          <w:sz w:val="18"/>
          <w:lang w:val="de-DE"/>
        </w:rPr>
      </w:pPr>
      <w:r w:rsidRPr="00D75F8C">
        <w:rPr>
          <w:sz w:val="18"/>
          <w:lang w:val="de-DE"/>
        </w:rPr>
        <w:t>[Fortsetzung der Anmerkung von der vorherigen Seite]</w:t>
      </w:r>
    </w:p>
    <w:p w14:paraId="5B4768D6" w14:textId="77777777" w:rsidR="00474A16" w:rsidRPr="00D75F8C" w:rsidRDefault="00474A16" w:rsidP="006655D3">
      <w:pPr>
        <w:rPr>
          <w:lang w:val="de-DE"/>
        </w:rPr>
      </w:pPr>
    </w:p>
    <w:p w14:paraId="5D8DBCB9" w14:textId="77777777" w:rsidR="00474A16" w:rsidRPr="00D75F8C" w:rsidRDefault="00474A16" w:rsidP="006655D3">
      <w:pPr>
        <w:rPr>
          <w:lang w:val="de-DE"/>
        </w:rPr>
      </w:pPr>
    </w:p>
  </w:endnote>
  <w:endnote w:type="continuationNotice" w:id="1">
    <w:p w14:paraId="5A650486" w14:textId="77777777" w:rsidR="00474A16" w:rsidRPr="00D75F8C" w:rsidRDefault="00474A16" w:rsidP="006655D3">
      <w:pPr>
        <w:rPr>
          <w:lang w:val="de-DE"/>
        </w:rPr>
      </w:pPr>
      <w:r w:rsidRPr="00D75F8C">
        <w:rPr>
          <w:lang w:val="de-DE"/>
        </w:rPr>
        <w:t>[Fortsetzung der Anmerkung auf der nächsten Seite]</w:t>
      </w:r>
    </w:p>
    <w:p w14:paraId="706B5E3F" w14:textId="77777777" w:rsidR="00474A16" w:rsidRPr="00D75F8C" w:rsidRDefault="00474A16" w:rsidP="006655D3">
      <w:pPr>
        <w:rPr>
          <w:lang w:val="de-DE"/>
        </w:rPr>
      </w:pPr>
    </w:p>
    <w:p w14:paraId="620B815C" w14:textId="77777777" w:rsidR="00474A16" w:rsidRPr="00D75F8C" w:rsidRDefault="00474A16" w:rsidP="006655D3">
      <w:pPr>
        <w:rPr>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8FAE" w14:textId="77777777" w:rsidR="00474A16" w:rsidRDefault="00474A16" w:rsidP="006655D3">
      <w:r>
        <w:separator/>
      </w:r>
    </w:p>
  </w:footnote>
  <w:footnote w:type="continuationSeparator" w:id="0">
    <w:p w14:paraId="571F458F" w14:textId="77777777" w:rsidR="00474A16" w:rsidRDefault="00474A16" w:rsidP="006655D3">
      <w:r>
        <w:separator/>
      </w:r>
    </w:p>
  </w:footnote>
  <w:footnote w:type="continuationNotice" w:id="1">
    <w:p w14:paraId="0564F208" w14:textId="77777777" w:rsidR="00474A16" w:rsidRPr="00AB530F" w:rsidRDefault="00474A16" w:rsidP="00AB530F">
      <w:pPr>
        <w:pStyle w:val="Footer"/>
      </w:pPr>
    </w:p>
  </w:footnote>
  <w:footnote w:id="2">
    <w:p w14:paraId="508F4CDA" w14:textId="77777777" w:rsidR="00E3579A" w:rsidRPr="00D75F8C" w:rsidRDefault="00E3579A" w:rsidP="00E3579A">
      <w:pPr>
        <w:pStyle w:val="FootnoteText"/>
        <w:rPr>
          <w:lang w:val="de-DE"/>
        </w:rPr>
      </w:pPr>
      <w:r>
        <w:rPr>
          <w:rStyle w:val="FootnoteReference"/>
        </w:rPr>
        <w:footnoteRef/>
      </w:r>
      <w:r w:rsidRPr="00D75F8C">
        <w:rPr>
          <w:rFonts w:cs="Arial"/>
          <w:lang w:val="de-DE"/>
        </w:rPr>
        <w:t xml:space="preserve"> vom 15. bis 17. April 2002 in Genf</w:t>
      </w:r>
    </w:p>
  </w:footnote>
  <w:footnote w:id="3">
    <w:p w14:paraId="248421B6" w14:textId="77777777" w:rsidR="00E3579A" w:rsidRPr="00D75F8C" w:rsidRDefault="00E3579A" w:rsidP="00E3579A">
      <w:pPr>
        <w:pStyle w:val="FootnoteText"/>
        <w:rPr>
          <w:lang w:val="de-DE"/>
        </w:rPr>
      </w:pPr>
      <w:r>
        <w:rPr>
          <w:rStyle w:val="FootnoteReference"/>
        </w:rPr>
        <w:footnoteRef/>
      </w:r>
      <w:r w:rsidRPr="00D75F8C">
        <w:rPr>
          <w:snapToGrid w:val="0"/>
          <w:lang w:val="de-DE"/>
        </w:rPr>
        <w:t xml:space="preserve"> am 28. und 29. Oktober 2019 in Genf</w:t>
      </w:r>
    </w:p>
  </w:footnote>
  <w:footnote w:id="4">
    <w:p w14:paraId="7C0E06C6" w14:textId="77777777" w:rsidR="00E3579A" w:rsidRDefault="00E3579A" w:rsidP="00E3579A">
      <w:pPr>
        <w:pStyle w:val="FootnoteText"/>
      </w:pPr>
      <w:r>
        <w:rPr>
          <w:rStyle w:val="FootnoteReference"/>
        </w:rPr>
        <w:footnoteRef/>
      </w:r>
      <w:r w:rsidRPr="00D75F8C">
        <w:rPr>
          <w:snapToGrid w:val="0"/>
          <w:lang w:val="de-DE"/>
        </w:rPr>
        <w:t xml:space="preserve"> in Genf am 26. und 27. </w:t>
      </w:r>
      <w:r>
        <w:rPr>
          <w:snapToGrid w:val="0"/>
        </w:rPr>
        <w:t>Oktober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0FAE" w14:textId="46C5A52B" w:rsidR="0004198B" w:rsidRPr="00C5280D" w:rsidRDefault="0011619B" w:rsidP="00EB048E">
    <w:pPr>
      <w:pStyle w:val="Header"/>
      <w:rPr>
        <w:rStyle w:val="PageNumber"/>
        <w:lang w:val="en-US"/>
      </w:rPr>
    </w:pPr>
    <w:r>
      <w:rPr>
        <w:rStyle w:val="PageNumber"/>
        <w:lang w:val="en-US"/>
      </w:rPr>
      <w:t>TC/61/7</w:t>
    </w:r>
  </w:p>
  <w:p w14:paraId="2659679F" w14:textId="77777777" w:rsidR="0004198B" w:rsidRPr="00C5280D" w:rsidRDefault="0004198B" w:rsidP="00EB048E">
    <w:pPr>
      <w:pStyle w:val="Header"/>
      <w:rPr>
        <w:lang w:val="en-US"/>
      </w:rPr>
    </w:pPr>
    <w:r w:rsidRPr="00C5280D">
      <w:rPr>
        <w:lang w:val="en-US"/>
      </w:rPr>
      <w:t xml:space="preserve">Seite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6245ED">
      <w:rPr>
        <w:rStyle w:val="PageNumber"/>
        <w:noProof/>
        <w:lang w:val="en-US"/>
      </w:rPr>
      <w:t>2</w:t>
    </w:r>
    <w:r w:rsidRPr="00C5280D">
      <w:rPr>
        <w:rStyle w:val="PageNumber"/>
        <w:lang w:val="en-US"/>
      </w:rPr>
      <w:fldChar w:fldCharType="end"/>
    </w:r>
  </w:p>
  <w:p w14:paraId="4EE8F755"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6937" w14:textId="77777777" w:rsidR="00284985" w:rsidRPr="00D75F8C" w:rsidRDefault="00284985" w:rsidP="00117C11">
    <w:pPr>
      <w:pStyle w:val="Header"/>
      <w:rPr>
        <w:rStyle w:val="PageNumber"/>
        <w:lang w:val="de-DE"/>
      </w:rPr>
    </w:pPr>
    <w:r w:rsidRPr="00D75F8C">
      <w:rPr>
        <w:rStyle w:val="PageNumber"/>
        <w:lang w:val="de-DE"/>
      </w:rPr>
      <w:t>TC/55/25 Corr.</w:t>
    </w:r>
  </w:p>
  <w:p w14:paraId="72811122" w14:textId="77777777" w:rsidR="00284985" w:rsidRPr="00D75F8C" w:rsidRDefault="00284985" w:rsidP="00117C11">
    <w:pPr>
      <w:pStyle w:val="Header"/>
      <w:rPr>
        <w:lang w:val="de-DE"/>
      </w:rPr>
    </w:pPr>
    <w:r w:rsidRPr="00D75F8C">
      <w:rPr>
        <w:lang w:val="de-DE"/>
      </w:rPr>
      <w:t xml:space="preserve">Anhang II, Seite </w:t>
    </w:r>
    <w:r w:rsidRPr="00C5280D">
      <w:rPr>
        <w:rStyle w:val="PageNumber"/>
        <w:lang w:val="en-US"/>
      </w:rPr>
      <w:fldChar w:fldCharType="begin"/>
    </w:r>
    <w:r w:rsidRPr="00D75F8C">
      <w:rPr>
        <w:rStyle w:val="PageNumber"/>
        <w:lang w:val="de-DE"/>
      </w:rPr>
      <w:instrText xml:space="preserve"> PAGE </w:instrText>
    </w:r>
    <w:r w:rsidRPr="00C5280D">
      <w:rPr>
        <w:rStyle w:val="PageNumber"/>
        <w:lang w:val="en-US"/>
      </w:rPr>
      <w:fldChar w:fldCharType="separate"/>
    </w:r>
    <w:r w:rsidRPr="00D75F8C">
      <w:rPr>
        <w:rStyle w:val="PageNumber"/>
        <w:noProof/>
        <w:lang w:val="de-DE"/>
      </w:rPr>
      <w:t>8</w:t>
    </w:r>
    <w:r w:rsidRPr="00C5280D">
      <w:rPr>
        <w:rStyle w:val="PageNumber"/>
        <w:lang w:val="en-US"/>
      </w:rPr>
      <w:fldChar w:fldCharType="end"/>
    </w:r>
  </w:p>
  <w:p w14:paraId="5C7B415B" w14:textId="77777777" w:rsidR="00284985" w:rsidRPr="00D75F8C" w:rsidRDefault="00284985" w:rsidP="00117C11">
    <w:pP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B55D" w14:textId="77777777" w:rsidR="00284985" w:rsidRPr="00673FC4" w:rsidRDefault="00284985" w:rsidP="00EB048E">
    <w:pPr>
      <w:pStyle w:val="Header"/>
      <w:rPr>
        <w:lang w:val="en-GB"/>
      </w:rPr>
    </w:pPr>
    <w:r w:rsidRPr="00673FC4">
      <w:rPr>
        <w:rStyle w:val="PageNumber"/>
        <w:lang w:val="en-GB"/>
      </w:rPr>
      <w:t>Webinare: Vorbereitungsworkshops 2021</w:t>
    </w:r>
  </w:p>
  <w:p w14:paraId="248B6610" w14:textId="77777777" w:rsidR="00284985" w:rsidRPr="007273D4" w:rsidRDefault="00284985" w:rsidP="006655D3">
    <w:pPr>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A391" w14:textId="7A6C5E8C" w:rsidR="00284985" w:rsidRDefault="00284985" w:rsidP="00284985">
    <w:pPr>
      <w:pStyle w:val="Header"/>
      <w:rPr>
        <w:lang w:val="en-US"/>
      </w:rPr>
    </w:pPr>
    <w:r>
      <w:rPr>
        <w:lang w:val="en-US"/>
      </w:rPr>
      <w:t>TC/61/7</w:t>
    </w:r>
  </w:p>
  <w:p w14:paraId="6B75A526" w14:textId="77777777" w:rsidR="00284985" w:rsidRDefault="00284985" w:rsidP="00284985">
    <w:pPr>
      <w:pStyle w:val="Header"/>
      <w:rPr>
        <w:lang w:val="en-US"/>
      </w:rPr>
    </w:pPr>
  </w:p>
  <w:p w14:paraId="1B4D9AD8" w14:textId="1AC66B04" w:rsidR="00284985" w:rsidRDefault="00284985" w:rsidP="00284985">
    <w:pPr>
      <w:pStyle w:val="Header"/>
      <w:rPr>
        <w:lang w:val="en-US"/>
      </w:rPr>
    </w:pPr>
    <w:r>
      <w:rPr>
        <w:lang w:val="en-US"/>
      </w:rPr>
      <w:t>AN</w:t>
    </w:r>
    <w:r w:rsidR="008F78ED">
      <w:rPr>
        <w:lang w:val="en-US"/>
      </w:rPr>
      <w:t>LAGE</w:t>
    </w:r>
  </w:p>
  <w:p w14:paraId="0B3A03A6" w14:textId="77777777" w:rsidR="00284985" w:rsidRPr="00A65A3E" w:rsidRDefault="00284985" w:rsidP="0028498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1F2"/>
    <w:multiLevelType w:val="hybridMultilevel"/>
    <w:tmpl w:val="E2B2636C"/>
    <w:lvl w:ilvl="0" w:tplc="1AAE0152">
      <w:start w:val="1"/>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 w15:restartNumberingAfterBreak="0">
    <w:nsid w:val="616A69EA"/>
    <w:multiLevelType w:val="hybridMultilevel"/>
    <w:tmpl w:val="1A464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72008266">
    <w:abstractNumId w:val="1"/>
  </w:num>
  <w:num w:numId="2" w16cid:durableId="544878224">
    <w:abstractNumId w:val="2"/>
  </w:num>
  <w:num w:numId="3" w16cid:durableId="162742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16"/>
    <w:rsid w:val="00010CF3"/>
    <w:rsid w:val="00011E27"/>
    <w:rsid w:val="000148BC"/>
    <w:rsid w:val="00021923"/>
    <w:rsid w:val="00024AB8"/>
    <w:rsid w:val="00030854"/>
    <w:rsid w:val="00031058"/>
    <w:rsid w:val="00036028"/>
    <w:rsid w:val="0004198B"/>
    <w:rsid w:val="00044642"/>
    <w:rsid w:val="000446B9"/>
    <w:rsid w:val="00047E21"/>
    <w:rsid w:val="00050E16"/>
    <w:rsid w:val="00085505"/>
    <w:rsid w:val="000C4E25"/>
    <w:rsid w:val="000C7021"/>
    <w:rsid w:val="000D6BBC"/>
    <w:rsid w:val="000D7780"/>
    <w:rsid w:val="000E636A"/>
    <w:rsid w:val="000F1412"/>
    <w:rsid w:val="000F2F11"/>
    <w:rsid w:val="00100A5F"/>
    <w:rsid w:val="00105929"/>
    <w:rsid w:val="00110BED"/>
    <w:rsid w:val="00110C36"/>
    <w:rsid w:val="001110C5"/>
    <w:rsid w:val="001131D5"/>
    <w:rsid w:val="00114547"/>
    <w:rsid w:val="0011619B"/>
    <w:rsid w:val="00132F56"/>
    <w:rsid w:val="00141DB8"/>
    <w:rsid w:val="00172084"/>
    <w:rsid w:val="0017474A"/>
    <w:rsid w:val="001758C6"/>
    <w:rsid w:val="00182B99"/>
    <w:rsid w:val="001A6E99"/>
    <w:rsid w:val="001C1525"/>
    <w:rsid w:val="001D5B08"/>
    <w:rsid w:val="002102F3"/>
    <w:rsid w:val="0021332C"/>
    <w:rsid w:val="00213982"/>
    <w:rsid w:val="002176C6"/>
    <w:rsid w:val="00225C36"/>
    <w:rsid w:val="00241187"/>
    <w:rsid w:val="00241ED9"/>
    <w:rsid w:val="0024416D"/>
    <w:rsid w:val="00247B0E"/>
    <w:rsid w:val="00260716"/>
    <w:rsid w:val="00261AFA"/>
    <w:rsid w:val="00271911"/>
    <w:rsid w:val="00273187"/>
    <w:rsid w:val="002800A0"/>
    <w:rsid w:val="002801B3"/>
    <w:rsid w:val="00281060"/>
    <w:rsid w:val="002816E0"/>
    <w:rsid w:val="00284050"/>
    <w:rsid w:val="00284985"/>
    <w:rsid w:val="00285BD0"/>
    <w:rsid w:val="002940E8"/>
    <w:rsid w:val="00294751"/>
    <w:rsid w:val="002A6E50"/>
    <w:rsid w:val="002B4298"/>
    <w:rsid w:val="002B7A36"/>
    <w:rsid w:val="002B7E9E"/>
    <w:rsid w:val="002C256A"/>
    <w:rsid w:val="002D5226"/>
    <w:rsid w:val="00305A7F"/>
    <w:rsid w:val="003151C8"/>
    <w:rsid w:val="003152FE"/>
    <w:rsid w:val="00324493"/>
    <w:rsid w:val="00327436"/>
    <w:rsid w:val="003367EA"/>
    <w:rsid w:val="00344BD6"/>
    <w:rsid w:val="0034766C"/>
    <w:rsid w:val="0035528D"/>
    <w:rsid w:val="00357ADF"/>
    <w:rsid w:val="00361821"/>
    <w:rsid w:val="00361E9E"/>
    <w:rsid w:val="00366853"/>
    <w:rsid w:val="003753EE"/>
    <w:rsid w:val="003A0835"/>
    <w:rsid w:val="003A47D4"/>
    <w:rsid w:val="003A5AAF"/>
    <w:rsid w:val="003B700A"/>
    <w:rsid w:val="003C7FBE"/>
    <w:rsid w:val="003D0839"/>
    <w:rsid w:val="003D1881"/>
    <w:rsid w:val="003D227C"/>
    <w:rsid w:val="003D2B4D"/>
    <w:rsid w:val="003D5495"/>
    <w:rsid w:val="003F37F5"/>
    <w:rsid w:val="00421571"/>
    <w:rsid w:val="00444A88"/>
    <w:rsid w:val="00445B73"/>
    <w:rsid w:val="00463127"/>
    <w:rsid w:val="00474A16"/>
    <w:rsid w:val="00474DA4"/>
    <w:rsid w:val="00476B4D"/>
    <w:rsid w:val="004805FA"/>
    <w:rsid w:val="004935D2"/>
    <w:rsid w:val="004B1215"/>
    <w:rsid w:val="004D047D"/>
    <w:rsid w:val="004F1E9E"/>
    <w:rsid w:val="004F305A"/>
    <w:rsid w:val="00503E63"/>
    <w:rsid w:val="00512164"/>
    <w:rsid w:val="005146FA"/>
    <w:rsid w:val="00520297"/>
    <w:rsid w:val="00532347"/>
    <w:rsid w:val="005338F9"/>
    <w:rsid w:val="0054281C"/>
    <w:rsid w:val="00544581"/>
    <w:rsid w:val="0055268D"/>
    <w:rsid w:val="00553381"/>
    <w:rsid w:val="00575DE2"/>
    <w:rsid w:val="00576BE4"/>
    <w:rsid w:val="005779DB"/>
    <w:rsid w:val="005848DE"/>
    <w:rsid w:val="005A2A67"/>
    <w:rsid w:val="005A400A"/>
    <w:rsid w:val="005B269D"/>
    <w:rsid w:val="005D206F"/>
    <w:rsid w:val="005D5B82"/>
    <w:rsid w:val="005F7B92"/>
    <w:rsid w:val="00612379"/>
    <w:rsid w:val="006153B6"/>
    <w:rsid w:val="0061555F"/>
    <w:rsid w:val="006245ED"/>
    <w:rsid w:val="00636CA6"/>
    <w:rsid w:val="00641200"/>
    <w:rsid w:val="00645CA8"/>
    <w:rsid w:val="006616F5"/>
    <w:rsid w:val="006655D3"/>
    <w:rsid w:val="00667404"/>
    <w:rsid w:val="00687EB4"/>
    <w:rsid w:val="00695C56"/>
    <w:rsid w:val="006A5CDE"/>
    <w:rsid w:val="006A644A"/>
    <w:rsid w:val="006B17D2"/>
    <w:rsid w:val="006B71F4"/>
    <w:rsid w:val="006C224E"/>
    <w:rsid w:val="006D780A"/>
    <w:rsid w:val="00706976"/>
    <w:rsid w:val="00711F8E"/>
    <w:rsid w:val="0071271E"/>
    <w:rsid w:val="00732DEC"/>
    <w:rsid w:val="00735BD5"/>
    <w:rsid w:val="007451EC"/>
    <w:rsid w:val="007460E9"/>
    <w:rsid w:val="00751613"/>
    <w:rsid w:val="00753EE9"/>
    <w:rsid w:val="007556F6"/>
    <w:rsid w:val="00760EEF"/>
    <w:rsid w:val="00777EE5"/>
    <w:rsid w:val="00784836"/>
    <w:rsid w:val="0079023E"/>
    <w:rsid w:val="007A2854"/>
    <w:rsid w:val="007C1D92"/>
    <w:rsid w:val="007C4CB9"/>
    <w:rsid w:val="007D0B9D"/>
    <w:rsid w:val="007D19B0"/>
    <w:rsid w:val="007F498F"/>
    <w:rsid w:val="0080679D"/>
    <w:rsid w:val="008108B0"/>
    <w:rsid w:val="008110A8"/>
    <w:rsid w:val="00811B20"/>
    <w:rsid w:val="00812609"/>
    <w:rsid w:val="008211B5"/>
    <w:rsid w:val="0082296E"/>
    <w:rsid w:val="00824099"/>
    <w:rsid w:val="00846D7C"/>
    <w:rsid w:val="00867AC1"/>
    <w:rsid w:val="008751DE"/>
    <w:rsid w:val="008863BB"/>
    <w:rsid w:val="00890DF8"/>
    <w:rsid w:val="008A0ADE"/>
    <w:rsid w:val="008A743F"/>
    <w:rsid w:val="008C0970"/>
    <w:rsid w:val="008D0BC5"/>
    <w:rsid w:val="008D2CF7"/>
    <w:rsid w:val="008F2245"/>
    <w:rsid w:val="008F78ED"/>
    <w:rsid w:val="00900C26"/>
    <w:rsid w:val="0090197F"/>
    <w:rsid w:val="00902190"/>
    <w:rsid w:val="00903264"/>
    <w:rsid w:val="00906DDC"/>
    <w:rsid w:val="00934E09"/>
    <w:rsid w:val="00936253"/>
    <w:rsid w:val="00940D46"/>
    <w:rsid w:val="009413F1"/>
    <w:rsid w:val="00952DD4"/>
    <w:rsid w:val="009561F4"/>
    <w:rsid w:val="00965AE7"/>
    <w:rsid w:val="00970FED"/>
    <w:rsid w:val="00985E41"/>
    <w:rsid w:val="00992D82"/>
    <w:rsid w:val="00996813"/>
    <w:rsid w:val="00997029"/>
    <w:rsid w:val="009A7339"/>
    <w:rsid w:val="009B440E"/>
    <w:rsid w:val="009D690D"/>
    <w:rsid w:val="009E65B6"/>
    <w:rsid w:val="009F0A51"/>
    <w:rsid w:val="009F0B7F"/>
    <w:rsid w:val="009F77CF"/>
    <w:rsid w:val="00A12795"/>
    <w:rsid w:val="00A24C10"/>
    <w:rsid w:val="00A42AC3"/>
    <w:rsid w:val="00A430CF"/>
    <w:rsid w:val="00A54309"/>
    <w:rsid w:val="00A55168"/>
    <w:rsid w:val="00A610A9"/>
    <w:rsid w:val="00A705A5"/>
    <w:rsid w:val="00A80F2A"/>
    <w:rsid w:val="00A839F8"/>
    <w:rsid w:val="00A96C33"/>
    <w:rsid w:val="00AB2B93"/>
    <w:rsid w:val="00AB530F"/>
    <w:rsid w:val="00AB7E5B"/>
    <w:rsid w:val="00AC2883"/>
    <w:rsid w:val="00AE0EF1"/>
    <w:rsid w:val="00AE2937"/>
    <w:rsid w:val="00AE4EE7"/>
    <w:rsid w:val="00AF09FC"/>
    <w:rsid w:val="00B07301"/>
    <w:rsid w:val="00B11F3E"/>
    <w:rsid w:val="00B224DE"/>
    <w:rsid w:val="00B31C21"/>
    <w:rsid w:val="00B324D4"/>
    <w:rsid w:val="00B46575"/>
    <w:rsid w:val="00B57D2B"/>
    <w:rsid w:val="00B61777"/>
    <w:rsid w:val="00B622E6"/>
    <w:rsid w:val="00B64A58"/>
    <w:rsid w:val="00B80C62"/>
    <w:rsid w:val="00B83BAC"/>
    <w:rsid w:val="00B83E82"/>
    <w:rsid w:val="00B84BBD"/>
    <w:rsid w:val="00B87296"/>
    <w:rsid w:val="00B94BC8"/>
    <w:rsid w:val="00BA43FB"/>
    <w:rsid w:val="00BC127D"/>
    <w:rsid w:val="00BC1FE6"/>
    <w:rsid w:val="00BE1687"/>
    <w:rsid w:val="00C05BBC"/>
    <w:rsid w:val="00C060B9"/>
    <w:rsid w:val="00C061B6"/>
    <w:rsid w:val="00C14D83"/>
    <w:rsid w:val="00C2345E"/>
    <w:rsid w:val="00C2446C"/>
    <w:rsid w:val="00C36AE5"/>
    <w:rsid w:val="00C41F17"/>
    <w:rsid w:val="00C527FA"/>
    <w:rsid w:val="00C5280D"/>
    <w:rsid w:val="00C53EB3"/>
    <w:rsid w:val="00C5791C"/>
    <w:rsid w:val="00C66290"/>
    <w:rsid w:val="00C72B7A"/>
    <w:rsid w:val="00C75A58"/>
    <w:rsid w:val="00C80836"/>
    <w:rsid w:val="00C973F2"/>
    <w:rsid w:val="00CA304C"/>
    <w:rsid w:val="00CA774A"/>
    <w:rsid w:val="00CB4921"/>
    <w:rsid w:val="00CC11B0"/>
    <w:rsid w:val="00CC2841"/>
    <w:rsid w:val="00CC3CDF"/>
    <w:rsid w:val="00CF1330"/>
    <w:rsid w:val="00CF7E36"/>
    <w:rsid w:val="00D3708D"/>
    <w:rsid w:val="00D40426"/>
    <w:rsid w:val="00D57C96"/>
    <w:rsid w:val="00D57D18"/>
    <w:rsid w:val="00D70E65"/>
    <w:rsid w:val="00D75F8C"/>
    <w:rsid w:val="00D91203"/>
    <w:rsid w:val="00D95174"/>
    <w:rsid w:val="00DA4973"/>
    <w:rsid w:val="00DA6F36"/>
    <w:rsid w:val="00DB2A78"/>
    <w:rsid w:val="00DB596E"/>
    <w:rsid w:val="00DB7773"/>
    <w:rsid w:val="00DC00EA"/>
    <w:rsid w:val="00DC3802"/>
    <w:rsid w:val="00DD6208"/>
    <w:rsid w:val="00DF1758"/>
    <w:rsid w:val="00DF7E99"/>
    <w:rsid w:val="00E07D87"/>
    <w:rsid w:val="00E13B15"/>
    <w:rsid w:val="00E249C8"/>
    <w:rsid w:val="00E32F7E"/>
    <w:rsid w:val="00E3579A"/>
    <w:rsid w:val="00E5267B"/>
    <w:rsid w:val="00E559F0"/>
    <w:rsid w:val="00E63C0E"/>
    <w:rsid w:val="00E72D49"/>
    <w:rsid w:val="00E7593C"/>
    <w:rsid w:val="00E7678A"/>
    <w:rsid w:val="00E81BE2"/>
    <w:rsid w:val="00E878CB"/>
    <w:rsid w:val="00E935F1"/>
    <w:rsid w:val="00E94A81"/>
    <w:rsid w:val="00EA1FFB"/>
    <w:rsid w:val="00EB048E"/>
    <w:rsid w:val="00EB4E9C"/>
    <w:rsid w:val="00EC634B"/>
    <w:rsid w:val="00EE34DF"/>
    <w:rsid w:val="00EF2F89"/>
    <w:rsid w:val="00F03E98"/>
    <w:rsid w:val="00F1237A"/>
    <w:rsid w:val="00F22CBD"/>
    <w:rsid w:val="00F272F1"/>
    <w:rsid w:val="00F31412"/>
    <w:rsid w:val="00F45372"/>
    <w:rsid w:val="00F54661"/>
    <w:rsid w:val="00F560F7"/>
    <w:rsid w:val="00F6334D"/>
    <w:rsid w:val="00F63599"/>
    <w:rsid w:val="00F71781"/>
    <w:rsid w:val="00F96C11"/>
    <w:rsid w:val="00FA2C30"/>
    <w:rsid w:val="00FA49AB"/>
    <w:rsid w:val="00FC5FD0"/>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09F0B"/>
  <w15:docId w15:val="{23DE11C2-5ECE-41B2-B5C7-4236A0FE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aliases w:val="COMMON NAME,common"/>
    <w:next w:val="Normal"/>
    <w:link w:val="Heading1Char"/>
    <w:autoRedefine/>
    <w:qFormat/>
    <w:rsid w:val="004805FA"/>
    <w:pPr>
      <w:keepNext/>
      <w:jc w:val="both"/>
      <w:outlineLvl w:val="0"/>
    </w:pPr>
    <w:rPr>
      <w:rFonts w:ascii="Arial" w:hAnsi="Arial"/>
      <w:caps/>
    </w:rPr>
  </w:style>
  <w:style w:type="paragraph" w:styleId="Heading2">
    <w:name w:val="heading 2"/>
    <w:next w:val="Normal"/>
    <w:link w:val="Heading2Char"/>
    <w:autoRedefine/>
    <w:qFormat/>
    <w:rsid w:val="005848DE"/>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link w:val="FootnoteTextChar"/>
    <w:autoRedefine/>
    <w:rsid w:val="009D690D"/>
    <w:pPr>
      <w:spacing w:before="60"/>
      <w:ind w:left="567" w:hanging="567"/>
      <w:jc w:val="both"/>
    </w:pPr>
    <w:rPr>
      <w:rFonts w:ascii="Arial" w:hAnsi="Arial"/>
      <w:sz w:val="16"/>
    </w:rPr>
  </w:style>
  <w:style w:type="character" w:styleId="FootnoteReference">
    <w:name w:val="footnote reference"/>
    <w:aliases w:val="Footnote,callout"/>
    <w:basedOn w:val="DefaultParagraphFont"/>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uiPriority w:val="39"/>
    <w:rsid w:val="00902190"/>
    <w:pPr>
      <w:tabs>
        <w:tab w:val="right" w:leader="dot" w:pos="9639"/>
      </w:tabs>
      <w:spacing w:after="60"/>
      <w:ind w:left="851" w:right="1418" w:hanging="284"/>
    </w:pPr>
    <w:rPr>
      <w:rFonts w:ascii="Arial" w:hAnsi="Arial"/>
      <w:i/>
      <w:sz w:val="18"/>
      <w:lang w:val="fr-FR"/>
    </w:rPr>
  </w:style>
  <w:style w:type="character" w:styleId="Hyperlink">
    <w:name w:val="Hyperlink"/>
    <w:basedOn w:val="DefaultParagraphFont"/>
    <w:uiPriority w:val="99"/>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basedOn w:val="Normal"/>
    <w:next w:val="Normal"/>
    <w:autoRedefine/>
    <w:uiPriority w:val="39"/>
    <w:rsid w:val="00B94BC8"/>
    <w:pPr>
      <w:tabs>
        <w:tab w:val="right" w:leader="dot" w:pos="9639"/>
      </w:tabs>
      <w:spacing w:before="60"/>
      <w:ind w:right="1418"/>
      <w:jc w:val="left"/>
    </w:pPr>
    <w:rPr>
      <w:caps/>
      <w:sz w:val="18"/>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2Char">
    <w:name w:val="Heading 2 Char"/>
    <w:basedOn w:val="DefaultParagraphFont"/>
    <w:link w:val="Heading2"/>
    <w:rsid w:val="005848DE"/>
    <w:rPr>
      <w:rFonts w:ascii="Arial" w:hAnsi="Arial"/>
      <w:u w:val="single"/>
    </w:rPr>
  </w:style>
  <w:style w:type="character" w:customStyle="1" w:styleId="Heading1Char">
    <w:name w:val="Heading 1 Char"/>
    <w:aliases w:val="COMMON NAME Char,common Char"/>
    <w:basedOn w:val="DefaultParagraphFont"/>
    <w:link w:val="Heading1"/>
    <w:rsid w:val="001D5B08"/>
    <w:rPr>
      <w:rFonts w:ascii="Arial" w:hAnsi="Arial"/>
      <w:cap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E3579A"/>
    <w:rPr>
      <w:rFonts w:ascii="Arial" w:hAnsi="Arial"/>
      <w:sz w:val="16"/>
    </w:rPr>
  </w:style>
  <w:style w:type="character" w:customStyle="1" w:styleId="HeaderChar">
    <w:name w:val="Header Char"/>
    <w:basedOn w:val="DefaultParagraphFont"/>
    <w:link w:val="Header"/>
    <w:uiPriority w:val="99"/>
    <w:rsid w:val="002B7E9E"/>
    <w:rPr>
      <w:rFonts w:ascii="Arial" w:hAnsi="Arial"/>
      <w:lang w:val="fr-FR"/>
    </w:rPr>
  </w:style>
  <w:style w:type="character" w:styleId="CommentReference">
    <w:name w:val="annotation reference"/>
    <w:basedOn w:val="DefaultParagraphFont"/>
    <w:semiHidden/>
    <w:unhideWhenUsed/>
    <w:rsid w:val="00B83BAC"/>
    <w:rPr>
      <w:sz w:val="16"/>
      <w:szCs w:val="16"/>
    </w:rPr>
  </w:style>
  <w:style w:type="paragraph" w:styleId="CommentText">
    <w:name w:val="annotation text"/>
    <w:basedOn w:val="Normal"/>
    <w:link w:val="CommentTextChar"/>
    <w:unhideWhenUsed/>
    <w:rsid w:val="00B83BAC"/>
  </w:style>
  <w:style w:type="character" w:customStyle="1" w:styleId="CommentTextChar">
    <w:name w:val="Comment Text Char"/>
    <w:basedOn w:val="DefaultParagraphFont"/>
    <w:link w:val="CommentText"/>
    <w:rsid w:val="00B83BAC"/>
    <w:rPr>
      <w:rFonts w:ascii="Arial" w:hAnsi="Arial"/>
    </w:rPr>
  </w:style>
  <w:style w:type="paragraph" w:styleId="CommentSubject">
    <w:name w:val="annotation subject"/>
    <w:basedOn w:val="CommentText"/>
    <w:next w:val="CommentText"/>
    <w:link w:val="CommentSubjectChar"/>
    <w:semiHidden/>
    <w:unhideWhenUsed/>
    <w:rsid w:val="00B83BAC"/>
    <w:rPr>
      <w:b/>
      <w:bCs/>
    </w:rPr>
  </w:style>
  <w:style w:type="character" w:customStyle="1" w:styleId="CommentSubjectChar">
    <w:name w:val="Comment Subject Char"/>
    <w:basedOn w:val="CommentTextChar"/>
    <w:link w:val="CommentSubject"/>
    <w:semiHidden/>
    <w:rsid w:val="00B83BA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7898">
      <w:bodyDiv w:val="1"/>
      <w:marLeft w:val="0"/>
      <w:marRight w:val="0"/>
      <w:marTop w:val="0"/>
      <w:marBottom w:val="0"/>
      <w:divBdr>
        <w:top w:val="none" w:sz="0" w:space="0" w:color="auto"/>
        <w:left w:val="none" w:sz="0" w:space="0" w:color="auto"/>
        <w:bottom w:val="none" w:sz="0" w:space="0" w:color="auto"/>
        <w:right w:val="none" w:sz="0" w:space="0" w:color="auto"/>
      </w:divBdr>
      <w:divsChild>
        <w:div w:id="1284536432">
          <w:marLeft w:val="0"/>
          <w:marRight w:val="0"/>
          <w:marTop w:val="0"/>
          <w:marBottom w:val="0"/>
          <w:divBdr>
            <w:top w:val="none" w:sz="0" w:space="0" w:color="auto"/>
            <w:left w:val="none" w:sz="0" w:space="0" w:color="auto"/>
            <w:bottom w:val="none" w:sz="0" w:space="0" w:color="auto"/>
            <w:right w:val="none" w:sz="0" w:space="0" w:color="auto"/>
          </w:divBdr>
        </w:div>
      </w:divsChild>
    </w:div>
    <w:div w:id="739249801">
      <w:bodyDiv w:val="1"/>
      <w:marLeft w:val="0"/>
      <w:marRight w:val="0"/>
      <w:marTop w:val="0"/>
      <w:marBottom w:val="0"/>
      <w:divBdr>
        <w:top w:val="none" w:sz="0" w:space="0" w:color="auto"/>
        <w:left w:val="none" w:sz="0" w:space="0" w:color="auto"/>
        <w:bottom w:val="none" w:sz="0" w:space="0" w:color="auto"/>
        <w:right w:val="none" w:sz="0" w:space="0" w:color="auto"/>
      </w:divBdr>
    </w:div>
    <w:div w:id="1173762915">
      <w:bodyDiv w:val="1"/>
      <w:marLeft w:val="0"/>
      <w:marRight w:val="0"/>
      <w:marTop w:val="0"/>
      <w:marBottom w:val="0"/>
      <w:divBdr>
        <w:top w:val="none" w:sz="0" w:space="0" w:color="auto"/>
        <w:left w:val="none" w:sz="0" w:space="0" w:color="auto"/>
        <w:bottom w:val="none" w:sz="0" w:space="0" w:color="auto"/>
        <w:right w:val="none" w:sz="0" w:space="0" w:color="auto"/>
      </w:divBdr>
    </w:div>
    <w:div w:id="1666131528">
      <w:bodyDiv w:val="1"/>
      <w:marLeft w:val="0"/>
      <w:marRight w:val="0"/>
      <w:marTop w:val="0"/>
      <w:marBottom w:val="0"/>
      <w:divBdr>
        <w:top w:val="none" w:sz="0" w:space="0" w:color="auto"/>
        <w:left w:val="none" w:sz="0" w:space="0" w:color="auto"/>
        <w:bottom w:val="none" w:sz="0" w:space="0" w:color="auto"/>
        <w:right w:val="none" w:sz="0" w:space="0" w:color="auto"/>
      </w:divBdr>
    </w:div>
    <w:div w:id="1848671645">
      <w:bodyDiv w:val="1"/>
      <w:marLeft w:val="0"/>
      <w:marRight w:val="0"/>
      <w:marTop w:val="0"/>
      <w:marBottom w:val="0"/>
      <w:divBdr>
        <w:top w:val="none" w:sz="0" w:space="0" w:color="auto"/>
        <w:left w:val="none" w:sz="0" w:space="0" w:color="auto"/>
        <w:bottom w:val="none" w:sz="0" w:space="0" w:color="auto"/>
        <w:right w:val="none" w:sz="0" w:space="0" w:color="auto"/>
      </w:divBdr>
      <w:divsChild>
        <w:div w:id="6559634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user/up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TC\TC61%20(2025)\templates\routing_slip_with_doc_tc_6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C2F6E-CF08-49CD-A37A-11446C2B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routing_slip_with_doc_tc_61</Template>
  <TotalTime>233</TotalTime>
  <Pages>4</Pages>
  <Words>956</Words>
  <Characters>6990</Characters>
  <Application>Microsoft Office Word</Application>
  <DocSecurity>0</DocSecurity>
  <Lines>218</Lines>
  <Paragraphs>105</Paragraphs>
  <ScaleCrop>false</ScaleCrop>
  <HeadingPairs>
    <vt:vector size="2" baseType="variant">
      <vt:variant>
        <vt:lpstr>Title</vt:lpstr>
      </vt:variant>
      <vt:variant>
        <vt:i4>1</vt:i4>
      </vt:variant>
    </vt:vector>
  </HeadingPairs>
  <TitlesOfParts>
    <vt:vector size="1" baseType="lpstr">
      <vt:lpstr>TC/60/7</vt:lpstr>
    </vt:vector>
  </TitlesOfParts>
  <Company>UPOV</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TC/61/7</dc:title>
  <dc:creator>MAY Jessica</dc:creator>
  <cp:keywords>, docId:16061921DE829AA526B2014892FCFCCC</cp:keywords>
  <cp:lastModifiedBy>MAY Jessica</cp:lastModifiedBy>
  <cp:revision>33</cp:revision>
  <cp:lastPrinted>2016-11-22T15:41:00Z</cp:lastPrinted>
  <dcterms:created xsi:type="dcterms:W3CDTF">2025-06-10T14:39:00Z</dcterms:created>
  <dcterms:modified xsi:type="dcterms:W3CDTF">2025-09-30T09:27:00Z</dcterms:modified>
</cp:coreProperties>
</file>