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Layout w:type="fixed"/>
        <w:tblCellMar>
          <w:left w:w="0" w:type="dxa"/>
          <w:right w:w="0" w:type="dxa"/>
        </w:tblCellMar>
        <w:tblLook w:val="0000" w:firstRow="0" w:lastRow="0" w:firstColumn="0" w:lastColumn="0" w:noHBand="0" w:noVBand="0"/>
      </w:tblPr>
      <w:tblGrid>
        <w:gridCol w:w="6522"/>
        <w:gridCol w:w="3117"/>
      </w:tblGrid>
      <w:tr w:rsidR="00421571" w:rsidRPr="005C6182" w14:paraId="3612A074" w14:textId="77777777" w:rsidTr="00F26786">
        <w:tc>
          <w:tcPr>
            <w:tcW w:w="6522" w:type="dxa"/>
          </w:tcPr>
          <w:p w14:paraId="334F9761" w14:textId="11EE6AAE" w:rsidR="00421571" w:rsidRPr="005C6182" w:rsidRDefault="00C16B87" w:rsidP="00F26786">
            <w:pPr>
              <w:rPr>
                <w:lang w:val="de-DE"/>
              </w:rPr>
            </w:pPr>
            <w:r w:rsidRPr="005C6182">
              <w:rPr>
                <w:lang w:val="de-DE"/>
              </w:rPr>
              <w:drawing>
                <wp:inline distT="0" distB="0" distL="0" distR="0" wp14:anchorId="027F4B9E" wp14:editId="68848B91">
                  <wp:extent cx="933450" cy="266408"/>
                  <wp:effectExtent l="0" t="0" r="0" b="635"/>
                  <wp:docPr id="45706048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7060481" name="Picture 1"/>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38200" cy="267764"/>
                          </a:xfrm>
                          <a:prstGeom prst="rect">
                            <a:avLst/>
                          </a:prstGeom>
                          <a:noFill/>
                          <a:ln>
                            <a:noFill/>
                          </a:ln>
                        </pic:spPr>
                      </pic:pic>
                    </a:graphicData>
                  </a:graphic>
                </wp:inline>
              </w:drawing>
            </w:r>
          </w:p>
        </w:tc>
        <w:tc>
          <w:tcPr>
            <w:tcW w:w="3117" w:type="dxa"/>
          </w:tcPr>
          <w:p w14:paraId="0F6F2607" w14:textId="54BD59EE" w:rsidR="00421571" w:rsidRPr="005C6182" w:rsidRDefault="005C6182" w:rsidP="00F26786">
            <w:pPr>
              <w:pStyle w:val="Lettrine"/>
              <w:rPr>
                <w:lang w:val="de-DE"/>
              </w:rPr>
            </w:pPr>
            <w:r>
              <w:rPr>
                <w:lang w:val="de-DE"/>
              </w:rPr>
              <w:t>G</w:t>
            </w:r>
          </w:p>
        </w:tc>
      </w:tr>
      <w:tr w:rsidR="00421571" w:rsidRPr="005C6182" w14:paraId="58F1FB94" w14:textId="77777777" w:rsidTr="00F26786">
        <w:trPr>
          <w:trHeight w:val="219"/>
        </w:trPr>
        <w:tc>
          <w:tcPr>
            <w:tcW w:w="6522" w:type="dxa"/>
          </w:tcPr>
          <w:p w14:paraId="03A247AE" w14:textId="77777777" w:rsidR="00421571" w:rsidRPr="005C6182" w:rsidRDefault="00421571" w:rsidP="00F26786">
            <w:pPr>
              <w:pStyle w:val="upove"/>
              <w:rPr>
                <w:lang w:val="de-DE"/>
              </w:rPr>
            </w:pPr>
            <w:r w:rsidRPr="005C6182">
              <w:rPr>
                <w:lang w:val="de-DE"/>
              </w:rPr>
              <w:t>Internationaler Verband zum Schutz von Pflanzenzüchtungen</w:t>
            </w:r>
          </w:p>
        </w:tc>
        <w:tc>
          <w:tcPr>
            <w:tcW w:w="3117" w:type="dxa"/>
          </w:tcPr>
          <w:p w14:paraId="03A480E8" w14:textId="77777777" w:rsidR="00421571" w:rsidRPr="005C6182" w:rsidRDefault="00421571" w:rsidP="00F26786">
            <w:pPr>
              <w:rPr>
                <w:lang w:val="de-DE"/>
              </w:rPr>
            </w:pPr>
          </w:p>
        </w:tc>
      </w:tr>
    </w:tbl>
    <w:p w14:paraId="564D388D" w14:textId="77777777" w:rsidR="00421571" w:rsidRPr="005C6182" w:rsidRDefault="00421571" w:rsidP="00421571">
      <w:pPr>
        <w:rPr>
          <w:lang w:val="de-DE"/>
        </w:rPr>
      </w:pPr>
    </w:p>
    <w:p w14:paraId="6B7F669E" w14:textId="77777777" w:rsidR="00F96C11" w:rsidRPr="005C6182" w:rsidRDefault="00F96C11" w:rsidP="00F96C11">
      <w:pPr>
        <w:rPr>
          <w:lang w:val="de-DE"/>
        </w:rPr>
      </w:pPr>
    </w:p>
    <w:tbl>
      <w:tblPr>
        <w:tblW w:w="5000" w:type="pct"/>
        <w:tblBorders>
          <w:bottom w:val="single" w:sz="4" w:space="0" w:color="auto"/>
        </w:tblBorders>
        <w:tblLayout w:type="fixed"/>
        <w:tblCellMar>
          <w:top w:w="113" w:type="dxa"/>
          <w:left w:w="0" w:type="dxa"/>
          <w:bottom w:w="113" w:type="dxa"/>
          <w:right w:w="0" w:type="dxa"/>
        </w:tblCellMar>
        <w:tblLook w:val="0000" w:firstRow="0" w:lastRow="0" w:firstColumn="0" w:lastColumn="0" w:noHBand="0" w:noVBand="0"/>
      </w:tblPr>
      <w:tblGrid>
        <w:gridCol w:w="6512"/>
        <w:gridCol w:w="3127"/>
      </w:tblGrid>
      <w:tr w:rsidR="00F96C11" w:rsidRPr="005C6182" w14:paraId="524487DA" w14:textId="77777777" w:rsidTr="00B314FB">
        <w:tc>
          <w:tcPr>
            <w:tcW w:w="6512" w:type="dxa"/>
          </w:tcPr>
          <w:p w14:paraId="11909CBC" w14:textId="77777777" w:rsidR="00F96C11" w:rsidRPr="005C6182" w:rsidRDefault="00F96C11" w:rsidP="00B314FB">
            <w:pPr>
              <w:pStyle w:val="Sessiontc"/>
              <w:spacing w:line="240" w:lineRule="auto"/>
              <w:rPr>
                <w:lang w:val="de-DE"/>
              </w:rPr>
            </w:pPr>
            <w:r w:rsidRPr="005C6182">
              <w:rPr>
                <w:lang w:val="de-DE"/>
              </w:rPr>
              <w:t>Technischer Ausschuss</w:t>
            </w:r>
          </w:p>
          <w:p w14:paraId="73D989F9" w14:textId="77777777" w:rsidR="00F96C11" w:rsidRPr="005C6182" w:rsidRDefault="00F96C11" w:rsidP="00B314FB">
            <w:pPr>
              <w:pStyle w:val="Sessiontcplacedate"/>
              <w:rPr>
                <w:lang w:val="de-DE"/>
              </w:rPr>
            </w:pPr>
            <w:r w:rsidRPr="005C6182">
              <w:rPr>
                <w:lang w:val="de-DE"/>
              </w:rPr>
              <w:t>Einundsechzigste Tagung</w:t>
            </w:r>
          </w:p>
          <w:p w14:paraId="7B8EFFB4" w14:textId="77777777" w:rsidR="00F96C11" w:rsidRPr="005C6182" w:rsidRDefault="00F96C11" w:rsidP="00B314FB">
            <w:pPr>
              <w:pStyle w:val="Sessiontcplacedate"/>
              <w:rPr>
                <w:sz w:val="22"/>
                <w:lang w:val="de-DE"/>
              </w:rPr>
            </w:pPr>
            <w:r w:rsidRPr="005C6182">
              <w:rPr>
                <w:lang w:val="de-DE"/>
              </w:rPr>
              <w:t>Genf, 20. und 21. Oktober 2025</w:t>
            </w:r>
          </w:p>
        </w:tc>
        <w:tc>
          <w:tcPr>
            <w:tcW w:w="3127" w:type="dxa"/>
          </w:tcPr>
          <w:p w14:paraId="37F48C1C" w14:textId="69E8D929" w:rsidR="00F96C11" w:rsidRPr="005C6182" w:rsidRDefault="00F54661" w:rsidP="00B314FB">
            <w:pPr>
              <w:pStyle w:val="Doccode"/>
              <w:rPr>
                <w:lang w:val="de-DE"/>
              </w:rPr>
            </w:pPr>
            <w:r w:rsidRPr="005C6182">
              <w:rPr>
                <w:lang w:val="de-DE"/>
              </w:rPr>
              <w:t>TC/61/3</w:t>
            </w:r>
          </w:p>
          <w:p w14:paraId="3BAFE16B" w14:textId="77777777" w:rsidR="00F96C11" w:rsidRPr="005C6182" w:rsidRDefault="00F96C11" w:rsidP="00B314FB">
            <w:pPr>
              <w:pStyle w:val="Docoriginal"/>
              <w:rPr>
                <w:lang w:val="de-DE"/>
              </w:rPr>
            </w:pPr>
            <w:r w:rsidRPr="005C6182">
              <w:rPr>
                <w:lang w:val="de-DE"/>
              </w:rPr>
              <w:t xml:space="preserve">Original: </w:t>
            </w:r>
            <w:r w:rsidRPr="005C6182">
              <w:rPr>
                <w:b w:val="0"/>
                <w:spacing w:val="0"/>
                <w:lang w:val="de-DE"/>
              </w:rPr>
              <w:t>Englisch</w:t>
            </w:r>
          </w:p>
          <w:p w14:paraId="65679824" w14:textId="48DC0766" w:rsidR="00F96C11" w:rsidRPr="005C6182" w:rsidRDefault="00F96C11" w:rsidP="00B314FB">
            <w:pPr>
              <w:pStyle w:val="Docoriginal"/>
              <w:rPr>
                <w:lang w:val="de-DE"/>
              </w:rPr>
            </w:pPr>
            <w:r w:rsidRPr="005C6182">
              <w:rPr>
                <w:lang w:val="de-DE"/>
              </w:rPr>
              <w:t>Datum:</w:t>
            </w:r>
            <w:r w:rsidRPr="005C6182">
              <w:rPr>
                <w:b w:val="0"/>
                <w:spacing w:val="0"/>
                <w:lang w:val="de-DE"/>
              </w:rPr>
              <w:t xml:space="preserve">  </w:t>
            </w:r>
            <w:r w:rsidR="00397554" w:rsidRPr="005C6182">
              <w:rPr>
                <w:b w:val="0"/>
                <w:spacing w:val="0"/>
                <w:lang w:val="de-DE"/>
              </w:rPr>
              <w:t xml:space="preserve"> 22</w:t>
            </w:r>
            <w:r w:rsidRPr="005C6182">
              <w:rPr>
                <w:b w:val="0"/>
                <w:spacing w:val="0"/>
                <w:lang w:val="de-DE"/>
              </w:rPr>
              <w:t xml:space="preserve">. </w:t>
            </w:r>
            <w:r w:rsidR="00F70CD4" w:rsidRPr="005C6182">
              <w:rPr>
                <w:b w:val="0"/>
                <w:spacing w:val="0"/>
                <w:lang w:val="de-DE"/>
              </w:rPr>
              <w:t>September</w:t>
            </w:r>
            <w:r w:rsidRPr="005C6182">
              <w:rPr>
                <w:b w:val="0"/>
                <w:spacing w:val="0"/>
                <w:lang w:val="de-DE"/>
              </w:rPr>
              <w:t xml:space="preserve"> 2025</w:t>
            </w:r>
          </w:p>
        </w:tc>
      </w:tr>
    </w:tbl>
    <w:p w14:paraId="2A1C89D1" w14:textId="111D215D" w:rsidR="00F96C11" w:rsidRPr="005C6182" w:rsidRDefault="009812C8" w:rsidP="00F96C11">
      <w:pPr>
        <w:pStyle w:val="Titleofdoc0"/>
        <w:rPr>
          <w:lang w:val="de-DE"/>
        </w:rPr>
      </w:pPr>
      <w:r w:rsidRPr="005C6182">
        <w:rPr>
          <w:lang w:val="de-DE"/>
        </w:rPr>
        <w:t>Fragen, die von den Technischen Arbeitsgruppen aufgeworfen wurden</w:t>
      </w:r>
    </w:p>
    <w:p w14:paraId="23DFE5AD" w14:textId="77777777" w:rsidR="003D0839" w:rsidRPr="005C6182" w:rsidRDefault="003D0839" w:rsidP="003D0839">
      <w:pPr>
        <w:pStyle w:val="preparedby1"/>
        <w:jc w:val="left"/>
        <w:rPr>
          <w:lang w:val="de-DE"/>
        </w:rPr>
      </w:pPr>
      <w:r w:rsidRPr="005C6182">
        <w:rPr>
          <w:lang w:val="de-DE"/>
        </w:rPr>
        <w:t>Vom Büro des Verbandes erstelltes Dokument</w:t>
      </w:r>
    </w:p>
    <w:p w14:paraId="4AD94CBB" w14:textId="77777777" w:rsidR="005C6182" w:rsidRPr="006365CE" w:rsidRDefault="005C6182" w:rsidP="005C6182">
      <w:pPr>
        <w:pStyle w:val="Disclaimer"/>
        <w:rPr>
          <w:lang w:val="de-DE"/>
        </w:rPr>
      </w:pPr>
      <w:bookmarkStart w:id="0" w:name="_Toc20505077"/>
      <w:r w:rsidRPr="006365CE">
        <w:rPr>
          <w:lang w:val="de-DE"/>
        </w:rPr>
        <w:t>Haftungsausschluss: Dieses Dokument gibt nicht die Grundsätze oder eine Anleitung der UPOV wieder</w:t>
      </w:r>
      <w:r>
        <w:rPr>
          <w:lang w:val="de-DE"/>
        </w:rPr>
        <w:t>.</w:t>
      </w:r>
      <w:r>
        <w:rPr>
          <w:lang w:val="de-DE"/>
        </w:rPr>
        <w:br/>
      </w:r>
      <w:r>
        <w:rPr>
          <w:lang w:val="de-DE"/>
        </w:rPr>
        <w:br/>
      </w:r>
      <w:r w:rsidRPr="006365CE">
        <w:rPr>
          <w:lang w:val="de-DE"/>
        </w:rPr>
        <w:t>Dieses Dokument wurde mit Hilfe einer maschinellen Übersetzung erstellt, und die Genauigkeit kann nicht garantiert werden. Daher ist der Text in der Originalsprache die einzige authentische Version.</w:t>
      </w:r>
    </w:p>
    <w:p w14:paraId="02679996" w14:textId="77777777" w:rsidR="00F21482" w:rsidRPr="005C6182" w:rsidRDefault="00F21482" w:rsidP="00F21482">
      <w:pPr>
        <w:keepNext/>
        <w:outlineLvl w:val="0"/>
        <w:rPr>
          <w:caps/>
          <w:lang w:val="de-DE"/>
        </w:rPr>
      </w:pPr>
      <w:bookmarkStart w:id="1" w:name="_Toc209516665"/>
      <w:r w:rsidRPr="005C6182">
        <w:rPr>
          <w:caps/>
          <w:lang w:val="de-DE"/>
        </w:rPr>
        <w:t>ZUSAMMENFASSUNG</w:t>
      </w:r>
      <w:bookmarkEnd w:id="0"/>
      <w:bookmarkEnd w:id="1"/>
    </w:p>
    <w:p w14:paraId="5B7BC1B1" w14:textId="77777777" w:rsidR="00F21482" w:rsidRPr="005C6182" w:rsidRDefault="00F21482" w:rsidP="00F21482">
      <w:pPr>
        <w:rPr>
          <w:color w:val="000000"/>
          <w:lang w:val="de-DE"/>
        </w:rPr>
      </w:pPr>
    </w:p>
    <w:p w14:paraId="35C297F8" w14:textId="4479D4D0" w:rsidR="00F21482" w:rsidRPr="005C6182" w:rsidRDefault="00F21482" w:rsidP="00F21482">
      <w:pPr>
        <w:rPr>
          <w:color w:val="000000"/>
          <w:lang w:val="de-DE"/>
        </w:rPr>
      </w:pPr>
      <w:r w:rsidRPr="005C6182">
        <w:rPr>
          <w:color w:val="000000"/>
          <w:lang w:val="de-DE"/>
        </w:rPr>
        <w:fldChar w:fldCharType="begin"/>
      </w:r>
      <w:r w:rsidRPr="005C6182">
        <w:rPr>
          <w:color w:val="000000"/>
          <w:lang w:val="de-DE"/>
        </w:rPr>
        <w:instrText xml:space="preserve"> AUTONUM  </w:instrText>
      </w:r>
      <w:r w:rsidRPr="005C6182">
        <w:rPr>
          <w:color w:val="000000"/>
          <w:lang w:val="de-DE"/>
        </w:rPr>
        <w:fldChar w:fldCharType="end"/>
      </w:r>
      <w:r w:rsidRPr="005C6182">
        <w:rPr>
          <w:color w:val="000000"/>
          <w:lang w:val="de-DE"/>
        </w:rPr>
        <w:tab/>
        <w:t xml:space="preserve">Dieses Dokument enthält eine Zusammenstellung von Angelegenheiten, die nicht ausdrücklich unter bestimmten Tagesordnungspunkten behandelt wurden und die sich aus den Tagungen 2025 der </w:t>
      </w:r>
      <w:r w:rsidRPr="005C6182">
        <w:rPr>
          <w:rFonts w:eastAsia="PMingLiU"/>
          <w:szCs w:val="24"/>
          <w:lang w:val="de-DE"/>
        </w:rPr>
        <w:t>Technischen Arbeitsgruppe für Zierpflanzen und forstliche Baumarten (TWO)</w:t>
      </w:r>
      <w:r w:rsidRPr="005C6182">
        <w:rPr>
          <w:rFonts w:eastAsia="PMingLiU"/>
          <w:szCs w:val="24"/>
          <w:vertAlign w:val="superscript"/>
          <w:lang w:val="de-DE"/>
        </w:rPr>
        <w:footnoteReference w:id="2"/>
      </w:r>
      <w:r w:rsidRPr="005C6182">
        <w:rPr>
          <w:rFonts w:eastAsia="PMingLiU"/>
          <w:szCs w:val="24"/>
          <w:lang w:val="de-DE"/>
        </w:rPr>
        <w:t xml:space="preserve"> , der Technischen Arbeitsgruppe für Gemüsearten (TWV)</w:t>
      </w:r>
      <w:r w:rsidRPr="005C6182">
        <w:rPr>
          <w:rFonts w:eastAsia="PMingLiU"/>
          <w:szCs w:val="24"/>
          <w:vertAlign w:val="superscript"/>
          <w:lang w:val="de-DE"/>
        </w:rPr>
        <w:footnoteReference w:id="3"/>
      </w:r>
      <w:r w:rsidRPr="005C6182">
        <w:rPr>
          <w:rFonts w:eastAsia="PMingLiU"/>
          <w:szCs w:val="24"/>
          <w:lang w:val="de-DE"/>
        </w:rPr>
        <w:t xml:space="preserve"> , </w:t>
      </w:r>
      <w:r w:rsidRPr="005C6182">
        <w:rPr>
          <w:color w:val="000000"/>
          <w:lang w:val="de-DE"/>
        </w:rPr>
        <w:t>der Technischen Arbeitsgruppe für Prüfungsmethoden und -</w:t>
      </w:r>
      <w:r w:rsidR="008606C6">
        <w:rPr>
          <w:color w:val="000000"/>
          <w:lang w:val="de-DE"/>
        </w:rPr>
        <w:t>techniken</w:t>
      </w:r>
      <w:r w:rsidRPr="005C6182">
        <w:rPr>
          <w:color w:val="000000"/>
          <w:lang w:val="de-DE"/>
        </w:rPr>
        <w:t xml:space="preserve"> (TWM)</w:t>
      </w:r>
      <w:r w:rsidRPr="005C6182">
        <w:rPr>
          <w:rFonts w:eastAsia="PMingLiU"/>
          <w:szCs w:val="24"/>
          <w:vertAlign w:val="superscript"/>
          <w:lang w:val="de-DE"/>
        </w:rPr>
        <w:footnoteReference w:id="4"/>
      </w:r>
      <w:r w:rsidRPr="005C6182">
        <w:rPr>
          <w:rFonts w:eastAsia="PMingLiU"/>
          <w:szCs w:val="24"/>
          <w:lang w:val="de-DE"/>
        </w:rPr>
        <w:t xml:space="preserve"> , der Technischen Arbeitsgruppe für landwirtschaftliche </w:t>
      </w:r>
      <w:r w:rsidR="008606C6">
        <w:rPr>
          <w:rFonts w:eastAsia="PMingLiU"/>
          <w:szCs w:val="24"/>
          <w:lang w:val="de-DE"/>
        </w:rPr>
        <w:t>Arten</w:t>
      </w:r>
      <w:r w:rsidRPr="005C6182">
        <w:rPr>
          <w:rFonts w:eastAsia="PMingLiU"/>
          <w:szCs w:val="24"/>
          <w:lang w:val="de-DE"/>
        </w:rPr>
        <w:t xml:space="preserve"> (TWA)</w:t>
      </w:r>
      <w:r w:rsidRPr="005C6182">
        <w:rPr>
          <w:rFonts w:eastAsia="PMingLiU"/>
          <w:szCs w:val="24"/>
          <w:vertAlign w:val="superscript"/>
          <w:lang w:val="de-DE"/>
        </w:rPr>
        <w:footnoteReference w:id="5"/>
      </w:r>
      <w:r w:rsidRPr="005C6182">
        <w:rPr>
          <w:rFonts w:eastAsia="PMingLiU"/>
          <w:szCs w:val="24"/>
          <w:lang w:val="de-DE"/>
        </w:rPr>
        <w:t xml:space="preserve"> und der Technischen Arbeitsgruppe für Obstarten </w:t>
      </w:r>
      <w:r w:rsidRPr="005C6182">
        <w:rPr>
          <w:color w:val="000000"/>
          <w:lang w:val="de-DE"/>
        </w:rPr>
        <w:t>(TWF)</w:t>
      </w:r>
      <w:r w:rsidRPr="005C6182">
        <w:rPr>
          <w:color w:val="000000"/>
          <w:vertAlign w:val="superscript"/>
          <w:lang w:val="de-DE"/>
        </w:rPr>
        <w:footnoteReference w:id="6"/>
      </w:r>
      <w:r w:rsidRPr="005C6182">
        <w:rPr>
          <w:color w:val="000000"/>
          <w:lang w:val="de-DE"/>
        </w:rPr>
        <w:t xml:space="preserve"> ergeben haben.  </w:t>
      </w:r>
    </w:p>
    <w:p w14:paraId="054CC875" w14:textId="77777777" w:rsidR="00F21482" w:rsidRPr="005C6182" w:rsidRDefault="00F21482" w:rsidP="00F21482">
      <w:pPr>
        <w:rPr>
          <w:color w:val="000000"/>
          <w:lang w:val="de-DE"/>
        </w:rPr>
      </w:pPr>
    </w:p>
    <w:p w14:paraId="6DB2EF4B" w14:textId="77777777" w:rsidR="00F21482" w:rsidRPr="005C6182" w:rsidRDefault="00F21482" w:rsidP="00F21482">
      <w:pPr>
        <w:rPr>
          <w:lang w:val="de-DE"/>
        </w:rPr>
      </w:pPr>
      <w:r w:rsidRPr="005C6182">
        <w:rPr>
          <w:color w:val="000000"/>
          <w:lang w:val="de-DE"/>
        </w:rPr>
        <w:fldChar w:fldCharType="begin"/>
      </w:r>
      <w:r w:rsidRPr="005C6182">
        <w:rPr>
          <w:color w:val="000000"/>
          <w:lang w:val="de-DE"/>
        </w:rPr>
        <w:instrText xml:space="preserve"> AUTONUM  </w:instrText>
      </w:r>
      <w:r w:rsidRPr="005C6182">
        <w:rPr>
          <w:color w:val="000000"/>
          <w:lang w:val="de-DE"/>
        </w:rPr>
        <w:fldChar w:fldCharType="end"/>
      </w:r>
      <w:r w:rsidRPr="005C6182">
        <w:rPr>
          <w:color w:val="000000"/>
          <w:lang w:val="de-DE"/>
        </w:rPr>
        <w:tab/>
        <w:t xml:space="preserve">Dieses Dokument ist </w:t>
      </w:r>
      <w:r w:rsidRPr="005C6182">
        <w:rPr>
          <w:lang w:val="de-DE"/>
        </w:rPr>
        <w:t>in zwei Abschnitte gegliedert.  Im ersten Abschnitt, „Informationen und mögliche Entscheidungen des Technischen Ausschusses (TC)</w:t>
      </w:r>
      <w:r w:rsidRPr="005C6182">
        <w:rPr>
          <w:caps/>
          <w:lang w:val="de-DE"/>
        </w:rPr>
        <w:t xml:space="preserve">“, </w:t>
      </w:r>
      <w:r w:rsidRPr="005C6182">
        <w:rPr>
          <w:lang w:val="de-DE"/>
        </w:rPr>
        <w:t>werden Angelegenheiten aufgeführt, die möglicherweise eine Entscheidung des TC erfordern.  Das Verbandsbüro (Büro) hat Aspekte hervorgehoben, zu denen der TC möglicherweise eine Entscheidung treffen möchte, indem es einen vorgeschlagenen Entscheidungsparagraphen eingefügt hat.  Der zweite Abschnitt, „Zur Information“, dient der Information des TC, erfordert jedoch zum gegenwärtigen Zeitpunkt keine Entscheidungen.</w:t>
      </w:r>
    </w:p>
    <w:p w14:paraId="0492F255" w14:textId="77777777" w:rsidR="00F21482" w:rsidRPr="005C6182" w:rsidRDefault="00F21482" w:rsidP="00F21482">
      <w:pPr>
        <w:tabs>
          <w:tab w:val="left" w:pos="567"/>
          <w:tab w:val="left" w:pos="1701"/>
        </w:tabs>
        <w:ind w:left="1695" w:hanging="1695"/>
        <w:rPr>
          <w:rFonts w:eastAsia="PMingLiU"/>
          <w:szCs w:val="24"/>
          <w:lang w:val="de-DE"/>
        </w:rPr>
      </w:pPr>
    </w:p>
    <w:p w14:paraId="14675184" w14:textId="77777777" w:rsidR="00F21482" w:rsidRPr="005C6182" w:rsidRDefault="00F21482" w:rsidP="00F21482">
      <w:pPr>
        <w:tabs>
          <w:tab w:val="left" w:pos="567"/>
        </w:tabs>
        <w:rPr>
          <w:lang w:val="de-DE"/>
        </w:rPr>
      </w:pPr>
      <w:r w:rsidRPr="005C6182">
        <w:rPr>
          <w:lang w:val="de-DE"/>
        </w:rPr>
        <w:fldChar w:fldCharType="begin"/>
      </w:r>
      <w:r w:rsidRPr="005C6182">
        <w:rPr>
          <w:lang w:val="de-DE"/>
        </w:rPr>
        <w:instrText xml:space="preserve"> AUTONUM  </w:instrText>
      </w:r>
      <w:r w:rsidRPr="005C6182">
        <w:rPr>
          <w:lang w:val="de-DE"/>
        </w:rPr>
        <w:fldChar w:fldCharType="end"/>
      </w:r>
      <w:r w:rsidRPr="005C6182">
        <w:rPr>
          <w:lang w:val="de-DE"/>
        </w:rPr>
        <w:tab/>
        <w:t xml:space="preserve">Der TC wird gebeten: </w:t>
      </w:r>
    </w:p>
    <w:p w14:paraId="5AAEF5FD" w14:textId="77777777" w:rsidR="00F21482" w:rsidRPr="005C6182" w:rsidRDefault="00F21482" w:rsidP="00F21482">
      <w:pPr>
        <w:tabs>
          <w:tab w:val="left" w:pos="567"/>
        </w:tabs>
        <w:rPr>
          <w:lang w:val="de-DE"/>
        </w:rPr>
      </w:pPr>
    </w:p>
    <w:p w14:paraId="051FDE3B" w14:textId="0829E20C" w:rsidR="00F21482" w:rsidRPr="005C6182" w:rsidRDefault="008872DC" w:rsidP="008872DC">
      <w:pPr>
        <w:pStyle w:val="ListParagraph"/>
        <w:keepNext/>
        <w:keepLines/>
        <w:numPr>
          <w:ilvl w:val="0"/>
          <w:numId w:val="5"/>
        </w:numPr>
        <w:tabs>
          <w:tab w:val="left" w:pos="5387"/>
        </w:tabs>
        <w:rPr>
          <w:iCs/>
          <w:lang w:val="de-DE" w:eastAsia="fr-FR"/>
        </w:rPr>
      </w:pPr>
      <w:r w:rsidRPr="005C6182">
        <w:rPr>
          <w:iCs/>
          <w:lang w:val="de-DE"/>
        </w:rPr>
        <w:t>den Vorschlag der TWV zu prüfen, eine Umfrage unter den UPOV-Mitgliedern durchzuführen, um festzustellen</w:t>
      </w:r>
      <w:r w:rsidRPr="005C6182">
        <w:rPr>
          <w:iCs/>
          <w:lang w:val="de-DE" w:eastAsia="fr-FR"/>
        </w:rPr>
        <w:t>,</w:t>
      </w:r>
      <w:r w:rsidRPr="005C6182">
        <w:rPr>
          <w:iCs/>
          <w:lang w:val="de-DE"/>
        </w:rPr>
        <w:t xml:space="preserve"> ob zusätzliche Merkmale, die nicht in den Prüfungsrichtlinien enthalten sind</w:t>
      </w:r>
      <w:r w:rsidRPr="005C6182">
        <w:rPr>
          <w:iCs/>
          <w:lang w:val="de-DE" w:eastAsia="fr-FR"/>
        </w:rPr>
        <w:t>,</w:t>
      </w:r>
      <w:r w:rsidRPr="005C6182">
        <w:rPr>
          <w:iCs/>
          <w:lang w:val="de-DE"/>
        </w:rPr>
        <w:t xml:space="preserve"> ein Hindernis für die Übernahme von Prüfungsberichten darstellen könnten</w:t>
      </w:r>
      <w:r w:rsidRPr="005C6182">
        <w:rPr>
          <w:iCs/>
          <w:lang w:val="de-DE" w:eastAsia="fr-FR"/>
        </w:rPr>
        <w:t>, wie in den Absätzen 10 und 11 dieses Dokuments dargelegt</w:t>
      </w:r>
      <w:r w:rsidR="00F21482" w:rsidRPr="005C6182">
        <w:rPr>
          <w:iCs/>
          <w:lang w:val="de-DE" w:eastAsia="fr-FR"/>
        </w:rPr>
        <w:t>; und</w:t>
      </w:r>
    </w:p>
    <w:p w14:paraId="329D1F74" w14:textId="77777777" w:rsidR="00F21482" w:rsidRPr="005C6182" w:rsidRDefault="00F21482" w:rsidP="00F21482">
      <w:pPr>
        <w:tabs>
          <w:tab w:val="left" w:pos="567"/>
          <w:tab w:val="left" w:pos="1134"/>
        </w:tabs>
        <w:contextualSpacing/>
        <w:rPr>
          <w:rFonts w:eastAsiaTheme="minorEastAsia"/>
          <w:lang w:val="de-DE" w:eastAsia="fr-FR"/>
        </w:rPr>
      </w:pPr>
    </w:p>
    <w:p w14:paraId="50CC6A73" w14:textId="77777777" w:rsidR="00F21482" w:rsidRPr="005C6182" w:rsidRDefault="00F21482" w:rsidP="00F21482">
      <w:pPr>
        <w:numPr>
          <w:ilvl w:val="0"/>
          <w:numId w:val="5"/>
        </w:numPr>
        <w:tabs>
          <w:tab w:val="left" w:pos="567"/>
          <w:tab w:val="left" w:pos="1134"/>
        </w:tabs>
        <w:contextualSpacing/>
        <w:rPr>
          <w:rFonts w:eastAsiaTheme="minorEastAsia"/>
          <w:lang w:val="de-DE" w:eastAsia="fr-FR"/>
        </w:rPr>
      </w:pPr>
      <w:r w:rsidRPr="005C6182">
        <w:rPr>
          <w:rFonts w:eastAsiaTheme="minorEastAsia"/>
          <w:lang w:val="de-DE"/>
        </w:rPr>
        <w:t>die Entwicklungen in den TWP zu folgenden Themen zur Kenntnis zu nehmen:</w:t>
      </w:r>
    </w:p>
    <w:p w14:paraId="4D1C984A" w14:textId="4EF0C46E" w:rsidR="00F21482" w:rsidRPr="005C6182" w:rsidRDefault="00F21482" w:rsidP="00563347">
      <w:pPr>
        <w:rPr>
          <w:lang w:val="de-DE"/>
        </w:rPr>
      </w:pPr>
    </w:p>
    <w:p w14:paraId="5D0B38E8" w14:textId="252C4C26" w:rsidR="00F21482" w:rsidRPr="005C6182" w:rsidRDefault="00365B2A" w:rsidP="00F21482">
      <w:pPr>
        <w:numPr>
          <w:ilvl w:val="0"/>
          <w:numId w:val="4"/>
        </w:numPr>
        <w:tabs>
          <w:tab w:val="left" w:pos="1701"/>
        </w:tabs>
        <w:ind w:left="1134" w:hanging="567"/>
        <w:contextualSpacing/>
        <w:rPr>
          <w:rFonts w:eastAsiaTheme="minorEastAsia"/>
          <w:lang w:val="de-DE"/>
        </w:rPr>
      </w:pPr>
      <w:r w:rsidRPr="005C6182">
        <w:rPr>
          <w:rFonts w:eastAsia="MS Mincho"/>
          <w:lang w:val="de-DE"/>
        </w:rPr>
        <w:t>Krankheitsresistenzmerkmale</w:t>
      </w:r>
      <w:r w:rsidR="00F21482" w:rsidRPr="005C6182">
        <w:rPr>
          <w:rFonts w:eastAsiaTheme="minorEastAsia"/>
          <w:lang w:val="de-DE"/>
        </w:rPr>
        <w:t>;</w:t>
      </w:r>
    </w:p>
    <w:p w14:paraId="1292F6F3" w14:textId="6223C2E4" w:rsidR="00F21482" w:rsidRPr="005C6182" w:rsidRDefault="00365B2A" w:rsidP="00F21482">
      <w:pPr>
        <w:numPr>
          <w:ilvl w:val="0"/>
          <w:numId w:val="4"/>
        </w:numPr>
        <w:tabs>
          <w:tab w:val="left" w:pos="1701"/>
        </w:tabs>
        <w:ind w:left="1134" w:hanging="567"/>
        <w:contextualSpacing/>
        <w:rPr>
          <w:rFonts w:eastAsiaTheme="minorEastAsia"/>
          <w:lang w:val="de-DE"/>
        </w:rPr>
      </w:pPr>
      <w:r w:rsidRPr="005C6182">
        <w:rPr>
          <w:rFonts w:eastAsia="MS Mincho"/>
          <w:lang w:val="de-DE"/>
        </w:rPr>
        <w:t>Merkmale, die in einem Vegetationszyklus bei der DUS-Prüfung beobachtet werden, wobei die Mindestdauer der Prüfungen normalerweise zwei unabhängige Vegetationszyklen betragen sollte</w:t>
      </w:r>
      <w:r w:rsidR="00F21482" w:rsidRPr="005C6182">
        <w:rPr>
          <w:rFonts w:eastAsiaTheme="minorEastAsia"/>
          <w:lang w:val="de-DE"/>
        </w:rPr>
        <w:t>;</w:t>
      </w:r>
    </w:p>
    <w:p w14:paraId="2B187383" w14:textId="25EE329C" w:rsidR="00F21482" w:rsidRPr="005C6182" w:rsidRDefault="00365B2A" w:rsidP="00F21482">
      <w:pPr>
        <w:numPr>
          <w:ilvl w:val="0"/>
          <w:numId w:val="4"/>
        </w:numPr>
        <w:tabs>
          <w:tab w:val="left" w:pos="1701"/>
        </w:tabs>
        <w:ind w:left="1134" w:hanging="567"/>
        <w:contextualSpacing/>
        <w:rPr>
          <w:rFonts w:eastAsiaTheme="minorEastAsia"/>
          <w:lang w:val="de-DE"/>
        </w:rPr>
      </w:pPr>
      <w:r w:rsidRPr="005C6182">
        <w:rPr>
          <w:rFonts w:eastAsiaTheme="minorEastAsia"/>
          <w:lang w:val="de-DE"/>
        </w:rPr>
        <w:t>die Bewertung der Einheitlichkeit von Merkmalen, die nicht in den Prüfungsrichtlinien aufgeführt sind</w:t>
      </w:r>
      <w:r w:rsidR="00F21482" w:rsidRPr="005C6182">
        <w:rPr>
          <w:rFonts w:eastAsiaTheme="minorEastAsia"/>
          <w:lang w:val="de-DE"/>
        </w:rPr>
        <w:t>;</w:t>
      </w:r>
    </w:p>
    <w:p w14:paraId="64143B02" w14:textId="15FC5D40" w:rsidR="00F21482" w:rsidRPr="005C6182" w:rsidRDefault="00365B2A" w:rsidP="00F21482">
      <w:pPr>
        <w:numPr>
          <w:ilvl w:val="0"/>
          <w:numId w:val="4"/>
        </w:numPr>
        <w:tabs>
          <w:tab w:val="left" w:pos="1701"/>
        </w:tabs>
        <w:ind w:left="1134" w:hanging="567"/>
        <w:contextualSpacing/>
        <w:rPr>
          <w:rFonts w:eastAsiaTheme="minorEastAsia"/>
          <w:lang w:val="de-DE"/>
        </w:rPr>
      </w:pPr>
      <w:r w:rsidRPr="005C6182">
        <w:rPr>
          <w:rFonts w:eastAsiaTheme="minorEastAsia"/>
          <w:lang w:val="de-DE"/>
        </w:rPr>
        <w:t>Bericht über Gerichtsverfahren zu technischen Fragen: Allium cepa L. „SK20“</w:t>
      </w:r>
      <w:r w:rsidR="00F21482" w:rsidRPr="005C6182">
        <w:rPr>
          <w:rFonts w:eastAsiaTheme="minorEastAsia"/>
          <w:lang w:val="de-DE"/>
        </w:rPr>
        <w:t>;</w:t>
      </w:r>
    </w:p>
    <w:p w14:paraId="7728B46F" w14:textId="123D3F85" w:rsidR="00F21482" w:rsidRPr="005C6182" w:rsidRDefault="00365B2A" w:rsidP="00F21482">
      <w:pPr>
        <w:numPr>
          <w:ilvl w:val="0"/>
          <w:numId w:val="4"/>
        </w:numPr>
        <w:tabs>
          <w:tab w:val="left" w:pos="1701"/>
        </w:tabs>
        <w:ind w:left="1134" w:hanging="567"/>
        <w:contextualSpacing/>
        <w:rPr>
          <w:rFonts w:eastAsiaTheme="minorEastAsia" w:cs="Arial"/>
          <w:lang w:val="de-DE"/>
        </w:rPr>
      </w:pPr>
      <w:r w:rsidRPr="005C6182">
        <w:rPr>
          <w:rFonts w:eastAsiaTheme="minorEastAsia"/>
          <w:lang w:val="de-DE"/>
        </w:rPr>
        <w:t>Informationsdatenbanken: Wert und Zuverlässigkeit botanischer Namen bei Zierpflanzen</w:t>
      </w:r>
      <w:r w:rsidR="00F21482" w:rsidRPr="005C6182">
        <w:rPr>
          <w:rFonts w:eastAsiaTheme="minorEastAsia"/>
          <w:lang w:val="de-DE"/>
        </w:rPr>
        <w:t>;</w:t>
      </w:r>
    </w:p>
    <w:p w14:paraId="6F9EF810" w14:textId="3385EFE9" w:rsidR="00F21482" w:rsidRPr="005C6182" w:rsidRDefault="00365B2A" w:rsidP="00F21482">
      <w:pPr>
        <w:numPr>
          <w:ilvl w:val="0"/>
          <w:numId w:val="4"/>
        </w:numPr>
        <w:tabs>
          <w:tab w:val="left" w:pos="1701"/>
        </w:tabs>
        <w:ind w:left="1134" w:hanging="567"/>
        <w:contextualSpacing/>
        <w:rPr>
          <w:rFonts w:eastAsiaTheme="minorEastAsia"/>
          <w:lang w:val="de-DE"/>
        </w:rPr>
      </w:pPr>
      <w:r w:rsidRPr="005C6182">
        <w:rPr>
          <w:rFonts w:eastAsiaTheme="minorEastAsia"/>
          <w:lang w:val="de-DE"/>
        </w:rPr>
        <w:t>Software und statistische Analysemethoden für die DUS-Prüfung</w:t>
      </w:r>
      <w:r w:rsidR="00F21482" w:rsidRPr="005C6182">
        <w:rPr>
          <w:rFonts w:eastAsiaTheme="minorEastAsia"/>
          <w:lang w:val="de-DE"/>
        </w:rPr>
        <w:t>;</w:t>
      </w:r>
    </w:p>
    <w:p w14:paraId="409F73D3" w14:textId="0BF11227" w:rsidR="00F21482" w:rsidRPr="005C6182" w:rsidRDefault="00365B2A" w:rsidP="00F21482">
      <w:pPr>
        <w:numPr>
          <w:ilvl w:val="0"/>
          <w:numId w:val="4"/>
        </w:numPr>
        <w:tabs>
          <w:tab w:val="left" w:pos="1701"/>
        </w:tabs>
        <w:ind w:left="1134" w:hanging="567"/>
        <w:contextualSpacing/>
        <w:rPr>
          <w:rFonts w:eastAsiaTheme="minorEastAsia"/>
          <w:lang w:val="de-DE"/>
        </w:rPr>
      </w:pPr>
      <w:r w:rsidRPr="005C6182">
        <w:rPr>
          <w:rFonts w:eastAsiaTheme="minorEastAsia"/>
          <w:lang w:val="de-DE"/>
        </w:rPr>
        <w:lastRenderedPageBreak/>
        <w:t>Phänotypisierung und Bildanalyse</w:t>
      </w:r>
      <w:r w:rsidR="00F21482" w:rsidRPr="005C6182">
        <w:rPr>
          <w:rFonts w:eastAsiaTheme="minorEastAsia"/>
          <w:lang w:val="de-DE"/>
        </w:rPr>
        <w:t>;</w:t>
      </w:r>
    </w:p>
    <w:p w14:paraId="402B42CA" w14:textId="7131BAF5" w:rsidR="00F21482" w:rsidRPr="005C6182" w:rsidRDefault="00365B2A" w:rsidP="00F21482">
      <w:pPr>
        <w:numPr>
          <w:ilvl w:val="0"/>
          <w:numId w:val="4"/>
        </w:numPr>
        <w:tabs>
          <w:tab w:val="left" w:pos="1701"/>
        </w:tabs>
        <w:ind w:left="1134" w:hanging="567"/>
        <w:contextualSpacing/>
        <w:rPr>
          <w:rFonts w:eastAsiaTheme="minorEastAsia"/>
          <w:lang w:val="de-DE"/>
        </w:rPr>
      </w:pPr>
      <w:r w:rsidRPr="005C6182">
        <w:rPr>
          <w:rFonts w:eastAsiaTheme="minorEastAsia"/>
          <w:lang w:val="de-DE"/>
        </w:rPr>
        <w:t>Sortensammlungen: Sortensammlung von Obstarten in Ukraine</w:t>
      </w:r>
      <w:r w:rsidR="00F21482" w:rsidRPr="005C6182">
        <w:rPr>
          <w:rFonts w:eastAsiaTheme="minorEastAsia"/>
          <w:lang w:val="de-DE"/>
        </w:rPr>
        <w:t>;</w:t>
      </w:r>
    </w:p>
    <w:p w14:paraId="0C93DACE" w14:textId="77777777" w:rsidR="00F21482" w:rsidRPr="005C6182" w:rsidRDefault="00F21482" w:rsidP="00F21482">
      <w:pPr>
        <w:tabs>
          <w:tab w:val="left" w:pos="1701"/>
        </w:tabs>
        <w:rPr>
          <w:rFonts w:cs="Arial"/>
          <w:lang w:val="de-DE"/>
        </w:rPr>
      </w:pPr>
    </w:p>
    <w:p w14:paraId="154C2C02" w14:textId="2DBED997" w:rsidR="00D30834" w:rsidRPr="005C6182" w:rsidRDefault="00D30834" w:rsidP="00D30834">
      <w:pPr>
        <w:rPr>
          <w:snapToGrid w:val="0"/>
          <w:lang w:val="de-DE"/>
        </w:rPr>
      </w:pPr>
      <w:r w:rsidRPr="005C6182">
        <w:rPr>
          <w:snapToGrid w:val="0"/>
          <w:lang w:val="de-DE"/>
        </w:rPr>
        <w:fldChar w:fldCharType="begin"/>
      </w:r>
      <w:r w:rsidRPr="005C6182">
        <w:rPr>
          <w:snapToGrid w:val="0"/>
          <w:lang w:val="de-DE"/>
        </w:rPr>
        <w:instrText xml:space="preserve"> AUTONUM  </w:instrText>
      </w:r>
      <w:r w:rsidRPr="005C6182">
        <w:rPr>
          <w:snapToGrid w:val="0"/>
          <w:lang w:val="de-DE"/>
        </w:rPr>
        <w:fldChar w:fldCharType="end"/>
      </w:r>
      <w:r w:rsidRPr="005C6182">
        <w:rPr>
          <w:snapToGrid w:val="0"/>
          <w:lang w:val="de-DE"/>
        </w:rPr>
        <w:tab/>
        <w:t xml:space="preserve">Diskussionen zum Thema „Anzahl der Wachstumszyklen und abschließende Prüfung von Obstarten“ (TWF) sind im Dokument SESSIONS/2025/2 „Entwicklung von Leitfäden und Informationsmaterialien“ enthalten. </w:t>
      </w:r>
    </w:p>
    <w:p w14:paraId="196AE87C" w14:textId="77777777" w:rsidR="00D30834" w:rsidRPr="005C6182" w:rsidRDefault="00D30834" w:rsidP="00F21482">
      <w:pPr>
        <w:tabs>
          <w:tab w:val="left" w:pos="1701"/>
        </w:tabs>
        <w:rPr>
          <w:rFonts w:cs="Arial"/>
          <w:lang w:val="de-DE"/>
        </w:rPr>
      </w:pPr>
    </w:p>
    <w:p w14:paraId="1F3DC48A" w14:textId="77777777" w:rsidR="00F21482" w:rsidRPr="005C6182" w:rsidRDefault="00F21482" w:rsidP="00F21482">
      <w:pPr>
        <w:keepNext/>
        <w:rPr>
          <w:color w:val="000000"/>
          <w:lang w:val="de-DE"/>
        </w:rPr>
      </w:pPr>
      <w:r w:rsidRPr="005C6182">
        <w:rPr>
          <w:color w:val="000000"/>
          <w:lang w:val="de-DE"/>
        </w:rPr>
        <w:fldChar w:fldCharType="begin"/>
      </w:r>
      <w:r w:rsidRPr="005C6182">
        <w:rPr>
          <w:color w:val="000000"/>
          <w:lang w:val="de-DE"/>
        </w:rPr>
        <w:instrText xml:space="preserve"> AUTONUM  </w:instrText>
      </w:r>
      <w:r w:rsidRPr="005C6182">
        <w:rPr>
          <w:color w:val="000000"/>
          <w:lang w:val="de-DE"/>
        </w:rPr>
        <w:fldChar w:fldCharType="end"/>
      </w:r>
      <w:r w:rsidRPr="005C6182">
        <w:rPr>
          <w:color w:val="000000"/>
          <w:lang w:val="de-DE"/>
        </w:rPr>
        <w:tab/>
        <w:t>In diesem Dokument werden folgende Abkürzungen verwendet:</w:t>
      </w:r>
    </w:p>
    <w:p w14:paraId="1FA9A259" w14:textId="77777777" w:rsidR="00F21482" w:rsidRPr="005C6182" w:rsidRDefault="00F21482" w:rsidP="00F21482">
      <w:pPr>
        <w:keepNext/>
        <w:ind w:left="1692" w:hanging="1125"/>
        <w:jc w:val="left"/>
        <w:rPr>
          <w:color w:val="000000"/>
          <w:lang w:val="de-DE"/>
        </w:rPr>
      </w:pPr>
    </w:p>
    <w:p w14:paraId="49C5FD5C" w14:textId="77777777" w:rsidR="00F21482" w:rsidRPr="005C6182" w:rsidRDefault="00F21482" w:rsidP="00F21482">
      <w:pPr>
        <w:keepNext/>
        <w:tabs>
          <w:tab w:val="left" w:pos="567"/>
          <w:tab w:val="left" w:pos="1701"/>
        </w:tabs>
        <w:rPr>
          <w:lang w:val="de-DE"/>
        </w:rPr>
      </w:pPr>
      <w:r w:rsidRPr="005C6182">
        <w:rPr>
          <w:lang w:val="de-DE"/>
        </w:rPr>
        <w:tab/>
        <w:t>TC:</w:t>
      </w:r>
      <w:r w:rsidRPr="005C6182">
        <w:rPr>
          <w:lang w:val="de-DE"/>
        </w:rPr>
        <w:tab/>
        <w:t>Technischer Ausschuss</w:t>
      </w:r>
    </w:p>
    <w:p w14:paraId="4B9581C5" w14:textId="442F0150" w:rsidR="00F21482" w:rsidRPr="005C6182" w:rsidRDefault="00F21482" w:rsidP="00F21482">
      <w:pPr>
        <w:keepNext/>
        <w:tabs>
          <w:tab w:val="left" w:pos="567"/>
          <w:tab w:val="left" w:pos="1701"/>
        </w:tabs>
        <w:rPr>
          <w:rFonts w:eastAsia="PMingLiU"/>
          <w:szCs w:val="24"/>
          <w:lang w:val="de-DE"/>
        </w:rPr>
      </w:pPr>
      <w:r w:rsidRPr="005C6182">
        <w:rPr>
          <w:rFonts w:eastAsia="PMingLiU"/>
          <w:szCs w:val="24"/>
          <w:lang w:val="de-DE"/>
        </w:rPr>
        <w:tab/>
        <w:t>TWA:</w:t>
      </w:r>
      <w:r w:rsidRPr="005C6182">
        <w:rPr>
          <w:rFonts w:eastAsia="PMingLiU"/>
          <w:szCs w:val="24"/>
          <w:lang w:val="de-DE"/>
        </w:rPr>
        <w:tab/>
        <w:t xml:space="preserve">Technische Arbeitsgruppe für landwirtschaftliche </w:t>
      </w:r>
      <w:r w:rsidR="008606C6">
        <w:rPr>
          <w:rFonts w:eastAsia="PMingLiU"/>
          <w:szCs w:val="24"/>
          <w:lang w:val="de-DE"/>
        </w:rPr>
        <w:t>Arten</w:t>
      </w:r>
    </w:p>
    <w:p w14:paraId="41A04A1E" w14:textId="598A7F38" w:rsidR="00F21482" w:rsidRPr="005C6182" w:rsidRDefault="00F21482" w:rsidP="00F21482">
      <w:pPr>
        <w:tabs>
          <w:tab w:val="left" w:pos="567"/>
          <w:tab w:val="left" w:pos="1701"/>
        </w:tabs>
        <w:rPr>
          <w:rFonts w:eastAsia="PMingLiU"/>
          <w:szCs w:val="24"/>
          <w:lang w:val="de-DE"/>
        </w:rPr>
      </w:pPr>
      <w:r w:rsidRPr="005C6182">
        <w:rPr>
          <w:rFonts w:eastAsia="PMingLiU"/>
          <w:szCs w:val="24"/>
          <w:lang w:val="de-DE"/>
        </w:rPr>
        <w:tab/>
        <w:t xml:space="preserve">TWF: </w:t>
      </w:r>
      <w:r w:rsidRPr="005C6182">
        <w:rPr>
          <w:rFonts w:eastAsia="PMingLiU"/>
          <w:szCs w:val="24"/>
          <w:lang w:val="de-DE"/>
        </w:rPr>
        <w:tab/>
        <w:t>Technische Arbeitsgruppe für Obst</w:t>
      </w:r>
      <w:r w:rsidR="00CE7AAB">
        <w:rPr>
          <w:rFonts w:eastAsia="PMingLiU"/>
          <w:szCs w:val="24"/>
          <w:lang w:val="de-DE"/>
        </w:rPr>
        <w:t>art</w:t>
      </w:r>
      <w:r w:rsidRPr="005C6182">
        <w:rPr>
          <w:rFonts w:eastAsia="PMingLiU"/>
          <w:szCs w:val="24"/>
          <w:lang w:val="de-DE"/>
        </w:rPr>
        <w:t>en</w:t>
      </w:r>
    </w:p>
    <w:p w14:paraId="3D483BC9" w14:textId="7E611C63" w:rsidR="00F21482" w:rsidRPr="005C6182" w:rsidRDefault="00F21482" w:rsidP="00F21482">
      <w:pPr>
        <w:tabs>
          <w:tab w:val="left" w:pos="567"/>
          <w:tab w:val="left" w:pos="1701"/>
        </w:tabs>
        <w:rPr>
          <w:rFonts w:eastAsia="PMingLiU"/>
          <w:szCs w:val="24"/>
          <w:lang w:val="de-DE"/>
        </w:rPr>
      </w:pPr>
      <w:r w:rsidRPr="005C6182">
        <w:rPr>
          <w:rFonts w:eastAsia="PMingLiU"/>
          <w:szCs w:val="24"/>
          <w:lang w:val="de-DE"/>
        </w:rPr>
        <w:tab/>
        <w:t xml:space="preserve">TWM: </w:t>
      </w:r>
      <w:r w:rsidRPr="005C6182">
        <w:rPr>
          <w:rFonts w:eastAsia="PMingLiU"/>
          <w:szCs w:val="24"/>
          <w:lang w:val="de-DE"/>
        </w:rPr>
        <w:tab/>
      </w:r>
      <w:r w:rsidRPr="005C6182">
        <w:rPr>
          <w:color w:val="000000"/>
          <w:lang w:val="de-DE"/>
        </w:rPr>
        <w:t>Technische Arbeitsgruppe für Prüf</w:t>
      </w:r>
      <w:r w:rsidR="00275D0B">
        <w:rPr>
          <w:color w:val="000000"/>
          <w:lang w:val="de-DE"/>
        </w:rPr>
        <w:t>methoden</w:t>
      </w:r>
      <w:r w:rsidRPr="005C6182">
        <w:rPr>
          <w:color w:val="000000"/>
          <w:lang w:val="de-DE"/>
        </w:rPr>
        <w:t xml:space="preserve"> und -techniken</w:t>
      </w:r>
    </w:p>
    <w:p w14:paraId="172A7486" w14:textId="5A3DB2FF" w:rsidR="00F21482" w:rsidRPr="005C6182" w:rsidRDefault="00F21482" w:rsidP="00F21482">
      <w:pPr>
        <w:tabs>
          <w:tab w:val="left" w:pos="567"/>
          <w:tab w:val="left" w:pos="1701"/>
        </w:tabs>
        <w:rPr>
          <w:rFonts w:eastAsia="PMingLiU"/>
          <w:szCs w:val="24"/>
          <w:lang w:val="de-DE"/>
        </w:rPr>
      </w:pPr>
      <w:r w:rsidRPr="005C6182">
        <w:rPr>
          <w:rFonts w:eastAsia="PMingLiU"/>
          <w:szCs w:val="24"/>
          <w:lang w:val="de-DE"/>
        </w:rPr>
        <w:tab/>
      </w:r>
      <w:r w:rsidR="008606C6">
        <w:rPr>
          <w:rFonts w:eastAsia="PMingLiU"/>
          <w:szCs w:val="24"/>
          <w:lang w:val="de-DE"/>
        </w:rPr>
        <w:t>TWO</w:t>
      </w:r>
      <w:r w:rsidRPr="005C6182">
        <w:rPr>
          <w:rFonts w:eastAsia="PMingLiU"/>
          <w:szCs w:val="24"/>
          <w:lang w:val="de-DE"/>
        </w:rPr>
        <w:t>:</w:t>
      </w:r>
      <w:r w:rsidRPr="005C6182">
        <w:rPr>
          <w:rFonts w:eastAsia="PMingLiU"/>
          <w:szCs w:val="24"/>
          <w:lang w:val="de-DE"/>
        </w:rPr>
        <w:tab/>
        <w:t xml:space="preserve">Technische </w:t>
      </w:r>
      <w:r w:rsidR="008606C6" w:rsidRPr="005C6182">
        <w:rPr>
          <w:rFonts w:eastAsia="PMingLiU"/>
          <w:szCs w:val="24"/>
          <w:lang w:val="de-DE"/>
        </w:rPr>
        <w:t>Arbeitsgruppe für Zierpflanzen und forstliche Baumarten</w:t>
      </w:r>
    </w:p>
    <w:p w14:paraId="52C4FEBD" w14:textId="77777777" w:rsidR="00F21482" w:rsidRPr="005C6182" w:rsidRDefault="00F21482" w:rsidP="00F21482">
      <w:pPr>
        <w:tabs>
          <w:tab w:val="left" w:pos="567"/>
          <w:tab w:val="left" w:pos="1701"/>
        </w:tabs>
        <w:rPr>
          <w:rFonts w:eastAsia="PMingLiU"/>
          <w:szCs w:val="24"/>
          <w:lang w:val="de-DE"/>
        </w:rPr>
      </w:pPr>
      <w:r w:rsidRPr="005C6182">
        <w:rPr>
          <w:rFonts w:eastAsia="PMingLiU"/>
          <w:szCs w:val="24"/>
          <w:lang w:val="de-DE"/>
        </w:rPr>
        <w:tab/>
        <w:t>TWPs:</w:t>
      </w:r>
      <w:r w:rsidRPr="005C6182">
        <w:rPr>
          <w:rFonts w:eastAsia="PMingLiU"/>
          <w:szCs w:val="24"/>
          <w:lang w:val="de-DE"/>
        </w:rPr>
        <w:tab/>
        <w:t>Technische Arbeitsgruppen</w:t>
      </w:r>
    </w:p>
    <w:p w14:paraId="6A6D6C21" w14:textId="0D6A7C65" w:rsidR="00F21482" w:rsidRPr="005C6182" w:rsidRDefault="00F21482" w:rsidP="00F21482">
      <w:pPr>
        <w:tabs>
          <w:tab w:val="left" w:pos="567"/>
          <w:tab w:val="left" w:pos="1701"/>
        </w:tabs>
        <w:rPr>
          <w:rFonts w:eastAsia="PMingLiU"/>
          <w:szCs w:val="24"/>
          <w:lang w:val="de-DE"/>
        </w:rPr>
      </w:pPr>
      <w:r w:rsidRPr="005C6182">
        <w:rPr>
          <w:rFonts w:eastAsia="PMingLiU"/>
          <w:szCs w:val="24"/>
          <w:lang w:val="de-DE"/>
        </w:rPr>
        <w:tab/>
        <w:t>TWV:</w:t>
      </w:r>
      <w:r w:rsidRPr="005C6182">
        <w:rPr>
          <w:rFonts w:eastAsia="PMingLiU"/>
          <w:szCs w:val="24"/>
          <w:lang w:val="de-DE"/>
        </w:rPr>
        <w:tab/>
        <w:t>Technische Arbeitsgruppe für Gemüse</w:t>
      </w:r>
      <w:r w:rsidR="008606C6">
        <w:rPr>
          <w:rFonts w:eastAsia="PMingLiU"/>
          <w:szCs w:val="24"/>
          <w:lang w:val="de-DE"/>
        </w:rPr>
        <w:t>arten</w:t>
      </w:r>
    </w:p>
    <w:p w14:paraId="02DA152B" w14:textId="77777777" w:rsidR="00F21482" w:rsidRPr="005C6182" w:rsidRDefault="00F21482" w:rsidP="00F21482">
      <w:pPr>
        <w:rPr>
          <w:highlight w:val="cyan"/>
          <w:lang w:val="de-DE"/>
        </w:rPr>
      </w:pPr>
    </w:p>
    <w:p w14:paraId="036ACAAC" w14:textId="77777777" w:rsidR="00F21482" w:rsidRPr="005C6182" w:rsidRDefault="00F21482" w:rsidP="00F21482">
      <w:pPr>
        <w:keepNext/>
        <w:rPr>
          <w:lang w:val="de-DE"/>
        </w:rPr>
      </w:pPr>
      <w:r w:rsidRPr="005C6182">
        <w:rPr>
          <w:color w:val="000000"/>
          <w:lang w:val="de-DE"/>
        </w:rPr>
        <w:fldChar w:fldCharType="begin"/>
      </w:r>
      <w:r w:rsidRPr="005C6182">
        <w:rPr>
          <w:color w:val="000000"/>
          <w:lang w:val="de-DE"/>
        </w:rPr>
        <w:instrText xml:space="preserve"> AUTONUM  </w:instrText>
      </w:r>
      <w:r w:rsidRPr="005C6182">
        <w:rPr>
          <w:color w:val="000000"/>
          <w:lang w:val="de-DE"/>
        </w:rPr>
        <w:fldChar w:fldCharType="end"/>
      </w:r>
      <w:r w:rsidRPr="005C6182">
        <w:rPr>
          <w:color w:val="000000"/>
          <w:lang w:val="de-DE"/>
        </w:rPr>
        <w:tab/>
      </w:r>
      <w:r w:rsidRPr="005C6182">
        <w:rPr>
          <w:lang w:val="de-DE"/>
        </w:rPr>
        <w:t>Dieses Dokument ist wie folgt aufgebaut:</w:t>
      </w:r>
    </w:p>
    <w:p w14:paraId="32EDD6DE" w14:textId="77777777" w:rsidR="00F21482" w:rsidRPr="005C6182" w:rsidRDefault="00F21482" w:rsidP="00F21482">
      <w:pPr>
        <w:keepNext/>
        <w:rPr>
          <w:lang w:val="de-DE"/>
        </w:rPr>
      </w:pPr>
    </w:p>
    <w:p w14:paraId="04D4B0FB" w14:textId="2F23A710" w:rsidR="00064895" w:rsidRPr="00064895" w:rsidRDefault="00F21482">
      <w:pPr>
        <w:pStyle w:val="TOC1"/>
        <w:rPr>
          <w:rFonts w:asciiTheme="minorHAnsi" w:eastAsiaTheme="minorEastAsia" w:hAnsiTheme="minorHAnsi" w:cstheme="minorBidi"/>
          <w:caps w:val="0"/>
          <w:noProof/>
          <w:kern w:val="2"/>
          <w:sz w:val="24"/>
          <w:szCs w:val="24"/>
          <w:lang w:val="de-DE"/>
          <w14:ligatures w14:val="standardContextual"/>
        </w:rPr>
      </w:pPr>
      <w:r w:rsidRPr="005C6182">
        <w:rPr>
          <w:rFonts w:eastAsia="MS Mincho" w:cs="Arial"/>
          <w:lang w:val="de-DE" w:eastAsia="ja-JP"/>
        </w:rPr>
        <w:fldChar w:fldCharType="begin"/>
      </w:r>
      <w:r w:rsidRPr="005C6182">
        <w:rPr>
          <w:rFonts w:eastAsia="MS Mincho" w:cs="Arial"/>
          <w:lang w:val="de-DE" w:eastAsia="ja-JP"/>
        </w:rPr>
        <w:instrText xml:space="preserve"> TOC \o "1-3" \u </w:instrText>
      </w:r>
      <w:r w:rsidRPr="005C6182">
        <w:rPr>
          <w:rFonts w:eastAsia="MS Mincho" w:cs="Arial"/>
          <w:lang w:val="de-DE" w:eastAsia="ja-JP"/>
        </w:rPr>
        <w:fldChar w:fldCharType="separate"/>
      </w:r>
      <w:r w:rsidR="00064895" w:rsidRPr="00B05FBE">
        <w:rPr>
          <w:noProof/>
          <w:lang w:val="de-DE"/>
        </w:rPr>
        <w:t>ZUSAMMENFASSUNG</w:t>
      </w:r>
      <w:r w:rsidR="00064895" w:rsidRPr="00064895">
        <w:rPr>
          <w:noProof/>
          <w:lang w:val="de-DE"/>
        </w:rPr>
        <w:tab/>
      </w:r>
      <w:r w:rsidR="00064895">
        <w:rPr>
          <w:noProof/>
        </w:rPr>
        <w:fldChar w:fldCharType="begin"/>
      </w:r>
      <w:r w:rsidR="00064895" w:rsidRPr="00064895">
        <w:rPr>
          <w:noProof/>
          <w:lang w:val="de-DE"/>
        </w:rPr>
        <w:instrText xml:space="preserve"> PAGEREF _Toc209516665 \h </w:instrText>
      </w:r>
      <w:r w:rsidR="00064895">
        <w:rPr>
          <w:noProof/>
        </w:rPr>
      </w:r>
      <w:r w:rsidR="00064895">
        <w:rPr>
          <w:noProof/>
        </w:rPr>
        <w:fldChar w:fldCharType="separate"/>
      </w:r>
      <w:r w:rsidR="00064895" w:rsidRPr="00064895">
        <w:rPr>
          <w:noProof/>
          <w:lang w:val="de-DE"/>
        </w:rPr>
        <w:t>1</w:t>
      </w:r>
      <w:r w:rsidR="00064895">
        <w:rPr>
          <w:noProof/>
        </w:rPr>
        <w:fldChar w:fldCharType="end"/>
      </w:r>
    </w:p>
    <w:p w14:paraId="6E963F02" w14:textId="21F992D7" w:rsidR="00064895" w:rsidRPr="00064895" w:rsidRDefault="00064895">
      <w:pPr>
        <w:pStyle w:val="TOC1"/>
        <w:rPr>
          <w:rFonts w:asciiTheme="minorHAnsi" w:eastAsiaTheme="minorEastAsia" w:hAnsiTheme="minorHAnsi" w:cstheme="minorBidi"/>
          <w:caps w:val="0"/>
          <w:noProof/>
          <w:kern w:val="2"/>
          <w:sz w:val="24"/>
          <w:szCs w:val="24"/>
          <w:lang w:val="de-DE"/>
          <w14:ligatures w14:val="standardContextual"/>
        </w:rPr>
      </w:pPr>
      <w:r w:rsidRPr="00B05FBE">
        <w:rPr>
          <w:noProof/>
          <w:lang w:val="de-DE"/>
        </w:rPr>
        <w:t>Angelegenheiten zur Information und zur möglichen Entscheidung durch den Technischen Ausschuss (TC)</w:t>
      </w:r>
      <w:r w:rsidRPr="00064895">
        <w:rPr>
          <w:noProof/>
          <w:lang w:val="de-DE"/>
        </w:rPr>
        <w:tab/>
      </w:r>
      <w:r>
        <w:rPr>
          <w:noProof/>
        </w:rPr>
        <w:fldChar w:fldCharType="begin"/>
      </w:r>
      <w:r w:rsidRPr="00064895">
        <w:rPr>
          <w:noProof/>
          <w:lang w:val="de-DE"/>
        </w:rPr>
        <w:instrText xml:space="preserve"> PAGEREF _Toc209516666 \h </w:instrText>
      </w:r>
      <w:r>
        <w:rPr>
          <w:noProof/>
        </w:rPr>
      </w:r>
      <w:r>
        <w:rPr>
          <w:noProof/>
        </w:rPr>
        <w:fldChar w:fldCharType="separate"/>
      </w:r>
      <w:r w:rsidRPr="00064895">
        <w:rPr>
          <w:noProof/>
          <w:lang w:val="de-DE"/>
        </w:rPr>
        <w:t>2</w:t>
      </w:r>
      <w:r>
        <w:rPr>
          <w:noProof/>
        </w:rPr>
        <w:fldChar w:fldCharType="end"/>
      </w:r>
    </w:p>
    <w:p w14:paraId="14FC27EA" w14:textId="056F74A0" w:rsidR="00064895" w:rsidRPr="00064895" w:rsidRDefault="00064895">
      <w:pPr>
        <w:pStyle w:val="TOC2"/>
        <w:rPr>
          <w:rFonts w:asciiTheme="minorHAnsi" w:eastAsiaTheme="minorEastAsia" w:hAnsiTheme="minorHAnsi" w:cstheme="minorBidi"/>
          <w:noProof/>
          <w:kern w:val="2"/>
          <w:sz w:val="24"/>
          <w:szCs w:val="24"/>
          <w:lang w:val="de-DE"/>
          <w14:ligatures w14:val="standardContextual"/>
        </w:rPr>
      </w:pPr>
      <w:r w:rsidRPr="00B05FBE">
        <w:rPr>
          <w:rFonts w:eastAsia="MS Mincho"/>
          <w:noProof/>
          <w:lang w:val="de-DE"/>
        </w:rPr>
        <w:t>Umfragevorschlag: Hindernisse für die Übernahme von Testberichten: zusätzliche Merkmale, die nicht in den Testrichtlinien enthalten sind</w:t>
      </w:r>
      <w:r w:rsidRPr="00064895">
        <w:rPr>
          <w:noProof/>
          <w:lang w:val="de-DE"/>
        </w:rPr>
        <w:tab/>
      </w:r>
      <w:r>
        <w:rPr>
          <w:noProof/>
        </w:rPr>
        <w:fldChar w:fldCharType="begin"/>
      </w:r>
      <w:r w:rsidRPr="00064895">
        <w:rPr>
          <w:noProof/>
          <w:lang w:val="de-DE"/>
        </w:rPr>
        <w:instrText xml:space="preserve"> PAGEREF _Toc209516667 \h </w:instrText>
      </w:r>
      <w:r>
        <w:rPr>
          <w:noProof/>
        </w:rPr>
      </w:r>
      <w:r>
        <w:rPr>
          <w:noProof/>
        </w:rPr>
        <w:fldChar w:fldCharType="separate"/>
      </w:r>
      <w:r w:rsidRPr="00064895">
        <w:rPr>
          <w:noProof/>
          <w:lang w:val="de-DE"/>
        </w:rPr>
        <w:t>2</w:t>
      </w:r>
      <w:r>
        <w:rPr>
          <w:noProof/>
        </w:rPr>
        <w:fldChar w:fldCharType="end"/>
      </w:r>
    </w:p>
    <w:p w14:paraId="2893FCF9" w14:textId="0416BDEE" w:rsidR="00064895" w:rsidRPr="00064895" w:rsidRDefault="00064895">
      <w:pPr>
        <w:pStyle w:val="TOC3"/>
        <w:rPr>
          <w:rFonts w:asciiTheme="minorHAnsi" w:eastAsiaTheme="minorEastAsia" w:hAnsiTheme="minorHAnsi" w:cstheme="minorBidi"/>
          <w:i w:val="0"/>
          <w:noProof/>
          <w:kern w:val="2"/>
          <w:sz w:val="24"/>
          <w:szCs w:val="24"/>
          <w:lang w:val="de-DE"/>
          <w14:ligatures w14:val="standardContextual"/>
        </w:rPr>
      </w:pPr>
      <w:r w:rsidRPr="00B05FBE">
        <w:rPr>
          <w:rFonts w:eastAsia="MS Mincho"/>
          <w:noProof/>
          <w:lang w:val="de-DE"/>
        </w:rPr>
        <w:t>Hintergrund</w:t>
      </w:r>
      <w:r w:rsidRPr="00064895">
        <w:rPr>
          <w:noProof/>
          <w:lang w:val="de-DE"/>
        </w:rPr>
        <w:tab/>
      </w:r>
      <w:r>
        <w:rPr>
          <w:noProof/>
        </w:rPr>
        <w:fldChar w:fldCharType="begin"/>
      </w:r>
      <w:r w:rsidRPr="00064895">
        <w:rPr>
          <w:noProof/>
          <w:lang w:val="de-DE"/>
        </w:rPr>
        <w:instrText xml:space="preserve"> PAGEREF _Toc209516668 \h </w:instrText>
      </w:r>
      <w:r>
        <w:rPr>
          <w:noProof/>
        </w:rPr>
      </w:r>
      <w:r>
        <w:rPr>
          <w:noProof/>
        </w:rPr>
        <w:fldChar w:fldCharType="separate"/>
      </w:r>
      <w:r w:rsidRPr="00064895">
        <w:rPr>
          <w:noProof/>
          <w:lang w:val="de-DE"/>
        </w:rPr>
        <w:t>2</w:t>
      </w:r>
      <w:r>
        <w:rPr>
          <w:noProof/>
        </w:rPr>
        <w:fldChar w:fldCharType="end"/>
      </w:r>
    </w:p>
    <w:p w14:paraId="505CA270" w14:textId="2ACEC40D" w:rsidR="00064895" w:rsidRPr="00064895" w:rsidRDefault="00064895">
      <w:pPr>
        <w:pStyle w:val="TOC3"/>
        <w:rPr>
          <w:rFonts w:asciiTheme="minorHAnsi" w:eastAsiaTheme="minorEastAsia" w:hAnsiTheme="minorHAnsi" w:cstheme="minorBidi"/>
          <w:i w:val="0"/>
          <w:noProof/>
          <w:kern w:val="2"/>
          <w:sz w:val="24"/>
          <w:szCs w:val="24"/>
          <w:lang w:val="de-DE"/>
          <w14:ligatures w14:val="standardContextual"/>
        </w:rPr>
      </w:pPr>
      <w:r w:rsidRPr="00B05FBE">
        <w:rPr>
          <w:noProof/>
          <w:lang w:val="de-DE"/>
        </w:rPr>
        <w:t>Vorschlag</w:t>
      </w:r>
      <w:r w:rsidRPr="00064895">
        <w:rPr>
          <w:noProof/>
          <w:lang w:val="de-DE"/>
        </w:rPr>
        <w:tab/>
      </w:r>
      <w:r>
        <w:rPr>
          <w:noProof/>
        </w:rPr>
        <w:fldChar w:fldCharType="begin"/>
      </w:r>
      <w:r w:rsidRPr="00064895">
        <w:rPr>
          <w:noProof/>
          <w:lang w:val="de-DE"/>
        </w:rPr>
        <w:instrText xml:space="preserve"> PAGEREF _Toc209516669 \h </w:instrText>
      </w:r>
      <w:r>
        <w:rPr>
          <w:noProof/>
        </w:rPr>
      </w:r>
      <w:r>
        <w:rPr>
          <w:noProof/>
        </w:rPr>
        <w:fldChar w:fldCharType="separate"/>
      </w:r>
      <w:r w:rsidRPr="00064895">
        <w:rPr>
          <w:noProof/>
          <w:lang w:val="de-DE"/>
        </w:rPr>
        <w:t>3</w:t>
      </w:r>
      <w:r>
        <w:rPr>
          <w:noProof/>
        </w:rPr>
        <w:fldChar w:fldCharType="end"/>
      </w:r>
    </w:p>
    <w:p w14:paraId="0CD0958E" w14:textId="2085E99C" w:rsidR="00064895" w:rsidRPr="00064895" w:rsidRDefault="00064895">
      <w:pPr>
        <w:pStyle w:val="TOC1"/>
        <w:rPr>
          <w:rFonts w:asciiTheme="minorHAnsi" w:eastAsiaTheme="minorEastAsia" w:hAnsiTheme="minorHAnsi" w:cstheme="minorBidi"/>
          <w:caps w:val="0"/>
          <w:noProof/>
          <w:kern w:val="2"/>
          <w:sz w:val="24"/>
          <w:szCs w:val="24"/>
          <w:lang w:val="de-DE"/>
          <w14:ligatures w14:val="standardContextual"/>
        </w:rPr>
      </w:pPr>
      <w:r w:rsidRPr="00B05FBE">
        <w:rPr>
          <w:noProof/>
          <w:lang w:val="de-DE"/>
        </w:rPr>
        <w:t>FRAGEN Zur Information</w:t>
      </w:r>
      <w:r w:rsidRPr="00064895">
        <w:rPr>
          <w:noProof/>
          <w:lang w:val="de-DE"/>
        </w:rPr>
        <w:tab/>
      </w:r>
      <w:r>
        <w:rPr>
          <w:noProof/>
        </w:rPr>
        <w:fldChar w:fldCharType="begin"/>
      </w:r>
      <w:r w:rsidRPr="00064895">
        <w:rPr>
          <w:noProof/>
          <w:lang w:val="de-DE"/>
        </w:rPr>
        <w:instrText xml:space="preserve"> PAGEREF _Toc209516670 \h </w:instrText>
      </w:r>
      <w:r>
        <w:rPr>
          <w:noProof/>
        </w:rPr>
      </w:r>
      <w:r>
        <w:rPr>
          <w:noProof/>
        </w:rPr>
        <w:fldChar w:fldCharType="separate"/>
      </w:r>
      <w:r w:rsidRPr="00064895">
        <w:rPr>
          <w:noProof/>
          <w:lang w:val="de-DE"/>
        </w:rPr>
        <w:t>3</w:t>
      </w:r>
      <w:r>
        <w:rPr>
          <w:noProof/>
        </w:rPr>
        <w:fldChar w:fldCharType="end"/>
      </w:r>
    </w:p>
    <w:p w14:paraId="39062D85" w14:textId="0F48F8BD" w:rsidR="00064895" w:rsidRPr="00064895" w:rsidRDefault="00064895">
      <w:pPr>
        <w:pStyle w:val="TOC2"/>
        <w:rPr>
          <w:rFonts w:asciiTheme="minorHAnsi" w:eastAsiaTheme="minorEastAsia" w:hAnsiTheme="minorHAnsi" w:cstheme="minorBidi"/>
          <w:noProof/>
          <w:kern w:val="2"/>
          <w:sz w:val="24"/>
          <w:szCs w:val="24"/>
          <w:lang w:val="de-DE"/>
          <w14:ligatures w14:val="standardContextual"/>
        </w:rPr>
      </w:pPr>
      <w:r w:rsidRPr="00B05FBE">
        <w:rPr>
          <w:rFonts w:eastAsia="MS Mincho"/>
          <w:noProof/>
          <w:lang w:val="de-DE"/>
        </w:rPr>
        <w:t>Krankheitsresistenzmerkmale</w:t>
      </w:r>
      <w:r w:rsidRPr="00064895">
        <w:rPr>
          <w:noProof/>
          <w:lang w:val="de-DE"/>
        </w:rPr>
        <w:tab/>
      </w:r>
      <w:r>
        <w:rPr>
          <w:noProof/>
        </w:rPr>
        <w:fldChar w:fldCharType="begin"/>
      </w:r>
      <w:r w:rsidRPr="00064895">
        <w:rPr>
          <w:noProof/>
          <w:lang w:val="de-DE"/>
        </w:rPr>
        <w:instrText xml:space="preserve"> PAGEREF _Toc209516671 \h </w:instrText>
      </w:r>
      <w:r>
        <w:rPr>
          <w:noProof/>
        </w:rPr>
      </w:r>
      <w:r>
        <w:rPr>
          <w:noProof/>
        </w:rPr>
        <w:fldChar w:fldCharType="separate"/>
      </w:r>
      <w:r w:rsidRPr="00064895">
        <w:rPr>
          <w:noProof/>
          <w:lang w:val="de-DE"/>
        </w:rPr>
        <w:t>3</w:t>
      </w:r>
      <w:r>
        <w:rPr>
          <w:noProof/>
        </w:rPr>
        <w:fldChar w:fldCharType="end"/>
      </w:r>
    </w:p>
    <w:p w14:paraId="3D0D255A" w14:textId="786AE8EF" w:rsidR="00064895" w:rsidRPr="00064895" w:rsidRDefault="00064895">
      <w:pPr>
        <w:pStyle w:val="TOC3"/>
        <w:rPr>
          <w:rFonts w:asciiTheme="minorHAnsi" w:eastAsiaTheme="minorEastAsia" w:hAnsiTheme="minorHAnsi" w:cstheme="minorBidi"/>
          <w:i w:val="0"/>
          <w:noProof/>
          <w:kern w:val="2"/>
          <w:sz w:val="24"/>
          <w:szCs w:val="24"/>
          <w:lang w:val="de-DE"/>
          <w14:ligatures w14:val="standardContextual"/>
        </w:rPr>
      </w:pPr>
      <w:r w:rsidRPr="00B05FBE">
        <w:rPr>
          <w:rFonts w:eastAsia="MS Mincho"/>
          <w:noProof/>
          <w:lang w:val="de-DE"/>
        </w:rPr>
        <w:t>Krankheitsresistenzmerkmale in den Prüfungsrichtlinien</w:t>
      </w:r>
      <w:r w:rsidRPr="00064895">
        <w:rPr>
          <w:noProof/>
          <w:lang w:val="de-DE"/>
        </w:rPr>
        <w:tab/>
      </w:r>
      <w:r>
        <w:rPr>
          <w:noProof/>
        </w:rPr>
        <w:fldChar w:fldCharType="begin"/>
      </w:r>
      <w:r w:rsidRPr="00064895">
        <w:rPr>
          <w:noProof/>
          <w:lang w:val="de-DE"/>
        </w:rPr>
        <w:instrText xml:space="preserve"> PAGEREF _Toc209516672 \h </w:instrText>
      </w:r>
      <w:r>
        <w:rPr>
          <w:noProof/>
        </w:rPr>
      </w:r>
      <w:r>
        <w:rPr>
          <w:noProof/>
        </w:rPr>
        <w:fldChar w:fldCharType="separate"/>
      </w:r>
      <w:r w:rsidRPr="00064895">
        <w:rPr>
          <w:noProof/>
          <w:lang w:val="de-DE"/>
        </w:rPr>
        <w:t>3</w:t>
      </w:r>
      <w:r>
        <w:rPr>
          <w:noProof/>
        </w:rPr>
        <w:fldChar w:fldCharType="end"/>
      </w:r>
    </w:p>
    <w:p w14:paraId="3C5EC5F6" w14:textId="4AFF7F30" w:rsidR="00064895" w:rsidRPr="00064895" w:rsidRDefault="00064895">
      <w:pPr>
        <w:pStyle w:val="TOC3"/>
        <w:rPr>
          <w:rFonts w:asciiTheme="minorHAnsi" w:eastAsiaTheme="minorEastAsia" w:hAnsiTheme="minorHAnsi" w:cstheme="minorBidi"/>
          <w:i w:val="0"/>
          <w:noProof/>
          <w:kern w:val="2"/>
          <w:sz w:val="24"/>
          <w:szCs w:val="24"/>
          <w:lang w:val="de-DE"/>
          <w14:ligatures w14:val="standardContextual"/>
        </w:rPr>
      </w:pPr>
      <w:r w:rsidRPr="00B05FBE">
        <w:rPr>
          <w:noProof/>
          <w:lang w:val="de-DE"/>
        </w:rPr>
        <w:t>Resistenz gegen das Gurkenmosaikvirus (CGMMV)</w:t>
      </w:r>
      <w:r w:rsidRPr="00064895">
        <w:rPr>
          <w:noProof/>
          <w:lang w:val="de-DE"/>
        </w:rPr>
        <w:tab/>
      </w:r>
      <w:r>
        <w:rPr>
          <w:noProof/>
        </w:rPr>
        <w:fldChar w:fldCharType="begin"/>
      </w:r>
      <w:r w:rsidRPr="00064895">
        <w:rPr>
          <w:noProof/>
          <w:lang w:val="de-DE"/>
        </w:rPr>
        <w:instrText xml:space="preserve"> PAGEREF _Toc209516673 \h </w:instrText>
      </w:r>
      <w:r>
        <w:rPr>
          <w:noProof/>
        </w:rPr>
      </w:r>
      <w:r>
        <w:rPr>
          <w:noProof/>
        </w:rPr>
        <w:fldChar w:fldCharType="separate"/>
      </w:r>
      <w:r w:rsidRPr="00064895">
        <w:rPr>
          <w:noProof/>
          <w:lang w:val="de-DE"/>
        </w:rPr>
        <w:t>4</w:t>
      </w:r>
      <w:r>
        <w:rPr>
          <w:noProof/>
        </w:rPr>
        <w:fldChar w:fldCharType="end"/>
      </w:r>
    </w:p>
    <w:p w14:paraId="1ADD4729" w14:textId="2FACC7F9" w:rsidR="00064895" w:rsidRPr="00064895" w:rsidRDefault="00064895">
      <w:pPr>
        <w:pStyle w:val="TOC2"/>
        <w:rPr>
          <w:rFonts w:asciiTheme="minorHAnsi" w:eastAsiaTheme="minorEastAsia" w:hAnsiTheme="minorHAnsi" w:cstheme="minorBidi"/>
          <w:noProof/>
          <w:kern w:val="2"/>
          <w:sz w:val="24"/>
          <w:szCs w:val="24"/>
          <w:lang w:val="de-DE"/>
          <w14:ligatures w14:val="standardContextual"/>
        </w:rPr>
      </w:pPr>
      <w:r w:rsidRPr="00B05FBE">
        <w:rPr>
          <w:rFonts w:eastAsia="MS Mincho"/>
          <w:noProof/>
          <w:lang w:val="de-DE"/>
        </w:rPr>
        <w:t>Merkmale, die in einem Vegetationszyklus bei der DUS-Prüfung beobachtet werden, bei der die Mindestdauer der Prüfungen normalerweise zwei unabhängige Vegetationszyklen betragen sollte</w:t>
      </w:r>
      <w:r w:rsidRPr="00064895">
        <w:rPr>
          <w:noProof/>
          <w:lang w:val="de-DE"/>
        </w:rPr>
        <w:tab/>
      </w:r>
      <w:r>
        <w:rPr>
          <w:noProof/>
        </w:rPr>
        <w:fldChar w:fldCharType="begin"/>
      </w:r>
      <w:r w:rsidRPr="00064895">
        <w:rPr>
          <w:noProof/>
          <w:lang w:val="de-DE"/>
        </w:rPr>
        <w:instrText xml:space="preserve"> PAGEREF _Toc209516674 \h </w:instrText>
      </w:r>
      <w:r>
        <w:rPr>
          <w:noProof/>
        </w:rPr>
      </w:r>
      <w:r>
        <w:rPr>
          <w:noProof/>
        </w:rPr>
        <w:fldChar w:fldCharType="separate"/>
      </w:r>
      <w:r w:rsidRPr="00064895">
        <w:rPr>
          <w:noProof/>
          <w:lang w:val="de-DE"/>
        </w:rPr>
        <w:t>5</w:t>
      </w:r>
      <w:r>
        <w:rPr>
          <w:noProof/>
        </w:rPr>
        <w:fldChar w:fldCharType="end"/>
      </w:r>
    </w:p>
    <w:p w14:paraId="35FFACBD" w14:textId="65A21076" w:rsidR="00064895" w:rsidRPr="00064895" w:rsidRDefault="00064895">
      <w:pPr>
        <w:pStyle w:val="TOC2"/>
        <w:rPr>
          <w:rFonts w:asciiTheme="minorHAnsi" w:eastAsiaTheme="minorEastAsia" w:hAnsiTheme="minorHAnsi" w:cstheme="minorBidi"/>
          <w:noProof/>
          <w:kern w:val="2"/>
          <w:sz w:val="24"/>
          <w:szCs w:val="24"/>
          <w:lang w:val="de-DE"/>
          <w14:ligatures w14:val="standardContextual"/>
        </w:rPr>
      </w:pPr>
      <w:r w:rsidRPr="00B05FBE">
        <w:rPr>
          <w:rFonts w:eastAsia="MS Mincho"/>
          <w:noProof/>
          <w:lang w:val="de-DE"/>
        </w:rPr>
        <w:t>Beurteilung der Homogenität von Merkmalen, die nicht in den Prüfungsrichtlinien aufgeführt sind</w:t>
      </w:r>
      <w:r w:rsidRPr="00064895">
        <w:rPr>
          <w:noProof/>
          <w:lang w:val="de-DE"/>
        </w:rPr>
        <w:tab/>
      </w:r>
      <w:r>
        <w:rPr>
          <w:noProof/>
        </w:rPr>
        <w:fldChar w:fldCharType="begin"/>
      </w:r>
      <w:r w:rsidRPr="00064895">
        <w:rPr>
          <w:noProof/>
          <w:lang w:val="de-DE"/>
        </w:rPr>
        <w:instrText xml:space="preserve"> PAGEREF _Toc209516675 \h </w:instrText>
      </w:r>
      <w:r>
        <w:rPr>
          <w:noProof/>
        </w:rPr>
      </w:r>
      <w:r>
        <w:rPr>
          <w:noProof/>
        </w:rPr>
        <w:fldChar w:fldCharType="separate"/>
      </w:r>
      <w:r w:rsidRPr="00064895">
        <w:rPr>
          <w:noProof/>
          <w:lang w:val="de-DE"/>
        </w:rPr>
        <w:t>5</w:t>
      </w:r>
      <w:r>
        <w:rPr>
          <w:noProof/>
        </w:rPr>
        <w:fldChar w:fldCharType="end"/>
      </w:r>
    </w:p>
    <w:p w14:paraId="2C929505" w14:textId="6060FF35" w:rsidR="00064895" w:rsidRPr="00064895" w:rsidRDefault="00064895">
      <w:pPr>
        <w:pStyle w:val="TOC2"/>
        <w:rPr>
          <w:rFonts w:asciiTheme="minorHAnsi" w:eastAsiaTheme="minorEastAsia" w:hAnsiTheme="minorHAnsi" w:cstheme="minorBidi"/>
          <w:noProof/>
          <w:kern w:val="2"/>
          <w:sz w:val="24"/>
          <w:szCs w:val="24"/>
          <w:lang w:val="de-DE"/>
          <w14:ligatures w14:val="standardContextual"/>
        </w:rPr>
      </w:pPr>
      <w:r w:rsidRPr="00B05FBE">
        <w:rPr>
          <w:rFonts w:eastAsia="MS Mincho"/>
          <w:noProof/>
          <w:lang w:val="de-DE"/>
        </w:rPr>
        <w:t xml:space="preserve">Bericht über Gerichtsverfahren zu technischen Fragen : </w:t>
      </w:r>
      <w:r w:rsidRPr="00B05FBE">
        <w:rPr>
          <w:rFonts w:eastAsia="MS Mincho"/>
          <w:i/>
          <w:iCs/>
          <w:noProof/>
          <w:lang w:val="de-DE"/>
        </w:rPr>
        <w:t xml:space="preserve">Allium cepa </w:t>
      </w:r>
      <w:r w:rsidRPr="00B05FBE">
        <w:rPr>
          <w:rFonts w:eastAsia="MS Mincho"/>
          <w:noProof/>
          <w:lang w:val="de-DE"/>
        </w:rPr>
        <w:t>L. „SK20“</w:t>
      </w:r>
      <w:r w:rsidRPr="00064895">
        <w:rPr>
          <w:noProof/>
          <w:lang w:val="de-DE"/>
        </w:rPr>
        <w:tab/>
      </w:r>
      <w:r>
        <w:rPr>
          <w:noProof/>
        </w:rPr>
        <w:fldChar w:fldCharType="begin"/>
      </w:r>
      <w:r w:rsidRPr="00064895">
        <w:rPr>
          <w:noProof/>
          <w:lang w:val="de-DE"/>
        </w:rPr>
        <w:instrText xml:space="preserve"> PAGEREF _Toc209516676 \h </w:instrText>
      </w:r>
      <w:r>
        <w:rPr>
          <w:noProof/>
        </w:rPr>
      </w:r>
      <w:r>
        <w:rPr>
          <w:noProof/>
        </w:rPr>
        <w:fldChar w:fldCharType="separate"/>
      </w:r>
      <w:r w:rsidRPr="00064895">
        <w:rPr>
          <w:noProof/>
          <w:lang w:val="de-DE"/>
        </w:rPr>
        <w:t>5</w:t>
      </w:r>
      <w:r>
        <w:rPr>
          <w:noProof/>
        </w:rPr>
        <w:fldChar w:fldCharType="end"/>
      </w:r>
    </w:p>
    <w:p w14:paraId="0E6BA9CD" w14:textId="140E1F28" w:rsidR="00064895" w:rsidRPr="00064895" w:rsidRDefault="00064895">
      <w:pPr>
        <w:pStyle w:val="TOC2"/>
        <w:rPr>
          <w:rFonts w:asciiTheme="minorHAnsi" w:eastAsiaTheme="minorEastAsia" w:hAnsiTheme="minorHAnsi" w:cstheme="minorBidi"/>
          <w:noProof/>
          <w:kern w:val="2"/>
          <w:sz w:val="24"/>
          <w:szCs w:val="24"/>
          <w:lang w:val="de-DE"/>
          <w14:ligatures w14:val="standardContextual"/>
        </w:rPr>
      </w:pPr>
      <w:r w:rsidRPr="00B05FBE">
        <w:rPr>
          <w:noProof/>
          <w:lang w:val="de-DE"/>
        </w:rPr>
        <w:t xml:space="preserve">Informationsdatenbanken: </w:t>
      </w:r>
      <w:r w:rsidRPr="00B05FBE">
        <w:rPr>
          <w:rFonts w:eastAsia="MS Mincho"/>
          <w:noProof/>
          <w:lang w:val="de-DE"/>
        </w:rPr>
        <w:t>Der Wert und die Zuverlässigkeit botanischer Namen bei Zierpflanzen</w:t>
      </w:r>
      <w:r w:rsidRPr="00064895">
        <w:rPr>
          <w:noProof/>
          <w:lang w:val="de-DE"/>
        </w:rPr>
        <w:tab/>
      </w:r>
      <w:r>
        <w:rPr>
          <w:noProof/>
        </w:rPr>
        <w:fldChar w:fldCharType="begin"/>
      </w:r>
      <w:r w:rsidRPr="00064895">
        <w:rPr>
          <w:noProof/>
          <w:lang w:val="de-DE"/>
        </w:rPr>
        <w:instrText xml:space="preserve"> PAGEREF _Toc209516677 \h </w:instrText>
      </w:r>
      <w:r>
        <w:rPr>
          <w:noProof/>
        </w:rPr>
      </w:r>
      <w:r>
        <w:rPr>
          <w:noProof/>
        </w:rPr>
        <w:fldChar w:fldCharType="separate"/>
      </w:r>
      <w:r w:rsidRPr="00064895">
        <w:rPr>
          <w:noProof/>
          <w:lang w:val="de-DE"/>
        </w:rPr>
        <w:t>6</w:t>
      </w:r>
      <w:r>
        <w:rPr>
          <w:noProof/>
        </w:rPr>
        <w:fldChar w:fldCharType="end"/>
      </w:r>
    </w:p>
    <w:p w14:paraId="535DCDCD" w14:textId="066DA62F" w:rsidR="00064895" w:rsidRPr="00064895" w:rsidRDefault="00064895">
      <w:pPr>
        <w:pStyle w:val="TOC2"/>
        <w:rPr>
          <w:rFonts w:asciiTheme="minorHAnsi" w:eastAsiaTheme="minorEastAsia" w:hAnsiTheme="minorHAnsi" w:cstheme="minorBidi"/>
          <w:noProof/>
          <w:kern w:val="2"/>
          <w:sz w:val="24"/>
          <w:szCs w:val="24"/>
          <w:lang w:val="de-DE"/>
          <w14:ligatures w14:val="standardContextual"/>
        </w:rPr>
      </w:pPr>
      <w:r w:rsidRPr="00B05FBE">
        <w:rPr>
          <w:rFonts w:eastAsiaTheme="minorEastAsia"/>
          <w:noProof/>
          <w:lang w:val="de-DE"/>
        </w:rPr>
        <w:t>Software und statistische Analysemethoden für die DUS-Prüfung</w:t>
      </w:r>
      <w:r w:rsidRPr="00064895">
        <w:rPr>
          <w:noProof/>
          <w:lang w:val="de-DE"/>
        </w:rPr>
        <w:tab/>
      </w:r>
      <w:r>
        <w:rPr>
          <w:noProof/>
        </w:rPr>
        <w:fldChar w:fldCharType="begin"/>
      </w:r>
      <w:r w:rsidRPr="00064895">
        <w:rPr>
          <w:noProof/>
          <w:lang w:val="de-DE"/>
        </w:rPr>
        <w:instrText xml:space="preserve"> PAGEREF _Toc209516678 \h </w:instrText>
      </w:r>
      <w:r>
        <w:rPr>
          <w:noProof/>
        </w:rPr>
      </w:r>
      <w:r>
        <w:rPr>
          <w:noProof/>
        </w:rPr>
        <w:fldChar w:fldCharType="separate"/>
      </w:r>
      <w:r w:rsidRPr="00064895">
        <w:rPr>
          <w:noProof/>
          <w:lang w:val="de-DE"/>
        </w:rPr>
        <w:t>6</w:t>
      </w:r>
      <w:r>
        <w:rPr>
          <w:noProof/>
        </w:rPr>
        <w:fldChar w:fldCharType="end"/>
      </w:r>
    </w:p>
    <w:p w14:paraId="50AD1161" w14:textId="39668C0D" w:rsidR="00064895" w:rsidRPr="00064895" w:rsidRDefault="00064895">
      <w:pPr>
        <w:pStyle w:val="TOC3"/>
        <w:rPr>
          <w:rFonts w:asciiTheme="minorHAnsi" w:eastAsiaTheme="minorEastAsia" w:hAnsiTheme="minorHAnsi" w:cstheme="minorBidi"/>
          <w:i w:val="0"/>
          <w:noProof/>
          <w:kern w:val="2"/>
          <w:sz w:val="24"/>
          <w:szCs w:val="24"/>
          <w:lang w:val="de-DE"/>
          <w14:ligatures w14:val="standardContextual"/>
        </w:rPr>
      </w:pPr>
      <w:r w:rsidRPr="00B05FBE">
        <w:rPr>
          <w:rFonts w:eastAsiaTheme="minorEastAsia"/>
          <w:noProof/>
          <w:lang w:val="de-DE"/>
        </w:rPr>
        <w:t>Entwicklung einer Big-Data-Plattform für die DUS-Prüfung</w:t>
      </w:r>
      <w:r w:rsidRPr="00064895">
        <w:rPr>
          <w:noProof/>
          <w:lang w:val="de-DE"/>
        </w:rPr>
        <w:tab/>
      </w:r>
      <w:r>
        <w:rPr>
          <w:noProof/>
        </w:rPr>
        <w:fldChar w:fldCharType="begin"/>
      </w:r>
      <w:r w:rsidRPr="00064895">
        <w:rPr>
          <w:noProof/>
          <w:lang w:val="de-DE"/>
        </w:rPr>
        <w:instrText xml:space="preserve"> PAGEREF _Toc209516679 \h </w:instrText>
      </w:r>
      <w:r>
        <w:rPr>
          <w:noProof/>
        </w:rPr>
      </w:r>
      <w:r>
        <w:rPr>
          <w:noProof/>
        </w:rPr>
        <w:fldChar w:fldCharType="separate"/>
      </w:r>
      <w:r w:rsidRPr="00064895">
        <w:rPr>
          <w:noProof/>
          <w:lang w:val="de-DE"/>
        </w:rPr>
        <w:t>6</w:t>
      </w:r>
      <w:r>
        <w:rPr>
          <w:noProof/>
        </w:rPr>
        <w:fldChar w:fldCharType="end"/>
      </w:r>
    </w:p>
    <w:p w14:paraId="1A80A343" w14:textId="5A8286D0" w:rsidR="00064895" w:rsidRPr="00064895" w:rsidRDefault="00064895">
      <w:pPr>
        <w:pStyle w:val="TOC3"/>
        <w:rPr>
          <w:rFonts w:asciiTheme="minorHAnsi" w:eastAsiaTheme="minorEastAsia" w:hAnsiTheme="minorHAnsi" w:cstheme="minorBidi"/>
          <w:i w:val="0"/>
          <w:noProof/>
          <w:kern w:val="2"/>
          <w:sz w:val="24"/>
          <w:szCs w:val="24"/>
          <w:lang w:val="de-DE"/>
          <w14:ligatures w14:val="standardContextual"/>
        </w:rPr>
      </w:pPr>
      <w:r w:rsidRPr="00B05FBE">
        <w:rPr>
          <w:rFonts w:eastAsiaTheme="minorEastAsia"/>
          <w:noProof/>
          <w:lang w:val="de-DE"/>
        </w:rPr>
        <w:t>Bewertungskriterien für quantitative Merkmale von Anthurium bei der DUS-Prüfung durch Mehrfachvergleich</w:t>
      </w:r>
      <w:r w:rsidRPr="00064895">
        <w:rPr>
          <w:noProof/>
          <w:lang w:val="de-DE"/>
        </w:rPr>
        <w:tab/>
      </w:r>
      <w:r>
        <w:rPr>
          <w:noProof/>
        </w:rPr>
        <w:fldChar w:fldCharType="begin"/>
      </w:r>
      <w:r w:rsidRPr="00064895">
        <w:rPr>
          <w:noProof/>
          <w:lang w:val="de-DE"/>
        </w:rPr>
        <w:instrText xml:space="preserve"> PAGEREF _Toc209516680 \h </w:instrText>
      </w:r>
      <w:r>
        <w:rPr>
          <w:noProof/>
        </w:rPr>
      </w:r>
      <w:r>
        <w:rPr>
          <w:noProof/>
        </w:rPr>
        <w:fldChar w:fldCharType="separate"/>
      </w:r>
      <w:r w:rsidRPr="00064895">
        <w:rPr>
          <w:noProof/>
          <w:lang w:val="de-DE"/>
        </w:rPr>
        <w:t>6</w:t>
      </w:r>
      <w:r>
        <w:rPr>
          <w:noProof/>
        </w:rPr>
        <w:fldChar w:fldCharType="end"/>
      </w:r>
    </w:p>
    <w:p w14:paraId="5403FFD4" w14:textId="6DC7DF7B" w:rsidR="00064895" w:rsidRPr="00064895" w:rsidRDefault="00064895">
      <w:pPr>
        <w:pStyle w:val="TOC3"/>
        <w:rPr>
          <w:rFonts w:asciiTheme="minorHAnsi" w:eastAsiaTheme="minorEastAsia" w:hAnsiTheme="minorHAnsi" w:cstheme="minorBidi"/>
          <w:i w:val="0"/>
          <w:noProof/>
          <w:kern w:val="2"/>
          <w:sz w:val="24"/>
          <w:szCs w:val="24"/>
          <w:lang w:val="de-DE"/>
          <w14:ligatures w14:val="standardContextual"/>
        </w:rPr>
      </w:pPr>
      <w:r w:rsidRPr="00B05FBE">
        <w:rPr>
          <w:rFonts w:eastAsiaTheme="minorEastAsia"/>
          <w:noProof/>
          <w:lang w:val="de-DE"/>
        </w:rPr>
        <w:t>Aktueller Stand der COYU-Entwicklung 2025</w:t>
      </w:r>
      <w:r w:rsidRPr="00064895">
        <w:rPr>
          <w:noProof/>
          <w:lang w:val="de-DE"/>
        </w:rPr>
        <w:tab/>
      </w:r>
      <w:r>
        <w:rPr>
          <w:noProof/>
        </w:rPr>
        <w:fldChar w:fldCharType="begin"/>
      </w:r>
      <w:r w:rsidRPr="00064895">
        <w:rPr>
          <w:noProof/>
          <w:lang w:val="de-DE"/>
        </w:rPr>
        <w:instrText xml:space="preserve"> PAGEREF _Toc209516681 \h </w:instrText>
      </w:r>
      <w:r>
        <w:rPr>
          <w:noProof/>
        </w:rPr>
      </w:r>
      <w:r>
        <w:rPr>
          <w:noProof/>
        </w:rPr>
        <w:fldChar w:fldCharType="separate"/>
      </w:r>
      <w:r w:rsidRPr="00064895">
        <w:rPr>
          <w:noProof/>
          <w:lang w:val="de-DE"/>
        </w:rPr>
        <w:t>6</w:t>
      </w:r>
      <w:r>
        <w:rPr>
          <w:noProof/>
        </w:rPr>
        <w:fldChar w:fldCharType="end"/>
      </w:r>
    </w:p>
    <w:p w14:paraId="387A5496" w14:textId="3E3A945B" w:rsidR="00064895" w:rsidRPr="00064895" w:rsidRDefault="00064895">
      <w:pPr>
        <w:pStyle w:val="TOC2"/>
        <w:rPr>
          <w:rFonts w:asciiTheme="minorHAnsi" w:eastAsiaTheme="minorEastAsia" w:hAnsiTheme="minorHAnsi" w:cstheme="minorBidi"/>
          <w:noProof/>
          <w:kern w:val="2"/>
          <w:sz w:val="24"/>
          <w:szCs w:val="24"/>
          <w:lang w:val="de-DE"/>
          <w14:ligatures w14:val="standardContextual"/>
        </w:rPr>
      </w:pPr>
      <w:r w:rsidRPr="00B05FBE">
        <w:rPr>
          <w:rFonts w:eastAsiaTheme="minorEastAsia"/>
          <w:noProof/>
          <w:lang w:val="de-DE"/>
        </w:rPr>
        <w:t>Phänotypisierung und Bildanalyse</w:t>
      </w:r>
      <w:r w:rsidRPr="00064895">
        <w:rPr>
          <w:noProof/>
          <w:lang w:val="de-DE"/>
        </w:rPr>
        <w:tab/>
      </w:r>
      <w:r>
        <w:rPr>
          <w:noProof/>
        </w:rPr>
        <w:fldChar w:fldCharType="begin"/>
      </w:r>
      <w:r w:rsidRPr="00064895">
        <w:rPr>
          <w:noProof/>
          <w:lang w:val="de-DE"/>
        </w:rPr>
        <w:instrText xml:space="preserve"> PAGEREF _Toc209516682 \h </w:instrText>
      </w:r>
      <w:r>
        <w:rPr>
          <w:noProof/>
        </w:rPr>
      </w:r>
      <w:r>
        <w:rPr>
          <w:noProof/>
        </w:rPr>
        <w:fldChar w:fldCharType="separate"/>
      </w:r>
      <w:r w:rsidRPr="00064895">
        <w:rPr>
          <w:noProof/>
          <w:lang w:val="de-DE"/>
        </w:rPr>
        <w:t>7</w:t>
      </w:r>
      <w:r>
        <w:rPr>
          <w:noProof/>
        </w:rPr>
        <w:fldChar w:fldCharType="end"/>
      </w:r>
    </w:p>
    <w:p w14:paraId="480BDFE6" w14:textId="696A29DF" w:rsidR="00064895" w:rsidRPr="00064895" w:rsidRDefault="00064895">
      <w:pPr>
        <w:pStyle w:val="TOC3"/>
        <w:rPr>
          <w:rFonts w:asciiTheme="minorHAnsi" w:eastAsiaTheme="minorEastAsia" w:hAnsiTheme="minorHAnsi" w:cstheme="minorBidi"/>
          <w:i w:val="0"/>
          <w:noProof/>
          <w:kern w:val="2"/>
          <w:sz w:val="24"/>
          <w:szCs w:val="24"/>
          <w:lang w:val="de-DE"/>
          <w14:ligatures w14:val="standardContextual"/>
        </w:rPr>
      </w:pPr>
      <w:r w:rsidRPr="00B05FBE">
        <w:rPr>
          <w:rFonts w:eastAsiaTheme="minorEastAsia"/>
          <w:noProof/>
          <w:lang w:val="de-DE"/>
        </w:rPr>
        <w:t>Eine neue Perspektive auf die DUS-Prüfung der Fruchtfarbe von Auberginen auf der Grundlage von Laborfarbparametern</w:t>
      </w:r>
      <w:r w:rsidRPr="00064895">
        <w:rPr>
          <w:noProof/>
          <w:lang w:val="de-DE"/>
        </w:rPr>
        <w:tab/>
      </w:r>
      <w:r>
        <w:rPr>
          <w:noProof/>
        </w:rPr>
        <w:fldChar w:fldCharType="begin"/>
      </w:r>
      <w:r w:rsidRPr="00064895">
        <w:rPr>
          <w:noProof/>
          <w:lang w:val="de-DE"/>
        </w:rPr>
        <w:instrText xml:space="preserve"> PAGEREF _Toc209516683 \h </w:instrText>
      </w:r>
      <w:r>
        <w:rPr>
          <w:noProof/>
        </w:rPr>
      </w:r>
      <w:r>
        <w:rPr>
          <w:noProof/>
        </w:rPr>
        <w:fldChar w:fldCharType="separate"/>
      </w:r>
      <w:r w:rsidRPr="00064895">
        <w:rPr>
          <w:noProof/>
          <w:lang w:val="de-DE"/>
        </w:rPr>
        <w:t>7</w:t>
      </w:r>
      <w:r>
        <w:rPr>
          <w:noProof/>
        </w:rPr>
        <w:fldChar w:fldCharType="end"/>
      </w:r>
    </w:p>
    <w:p w14:paraId="0A99597E" w14:textId="17B89F15" w:rsidR="00064895" w:rsidRPr="00064895" w:rsidRDefault="00064895">
      <w:pPr>
        <w:pStyle w:val="TOC3"/>
        <w:rPr>
          <w:rFonts w:asciiTheme="minorHAnsi" w:eastAsiaTheme="minorEastAsia" w:hAnsiTheme="minorHAnsi" w:cstheme="minorBidi"/>
          <w:i w:val="0"/>
          <w:noProof/>
          <w:kern w:val="2"/>
          <w:sz w:val="24"/>
          <w:szCs w:val="24"/>
          <w:lang w:val="de-DE"/>
          <w14:ligatures w14:val="standardContextual"/>
        </w:rPr>
      </w:pPr>
      <w:r w:rsidRPr="00B05FBE">
        <w:rPr>
          <w:rFonts w:eastAsiaTheme="minorEastAsia"/>
          <w:noProof/>
          <w:lang w:val="de-DE"/>
        </w:rPr>
        <w:t>Gerät zur Erfassung von Längendaten pro</w:t>
      </w:r>
      <w:r w:rsidRPr="00064895">
        <w:rPr>
          <w:noProof/>
          <w:lang w:val="de-DE"/>
        </w:rPr>
        <w:tab/>
      </w:r>
      <w:r>
        <w:rPr>
          <w:noProof/>
        </w:rPr>
        <w:fldChar w:fldCharType="begin"/>
      </w:r>
      <w:r w:rsidRPr="00064895">
        <w:rPr>
          <w:noProof/>
          <w:lang w:val="de-DE"/>
        </w:rPr>
        <w:instrText xml:space="preserve"> PAGEREF _Toc209516684 \h </w:instrText>
      </w:r>
      <w:r>
        <w:rPr>
          <w:noProof/>
        </w:rPr>
      </w:r>
      <w:r>
        <w:rPr>
          <w:noProof/>
        </w:rPr>
        <w:fldChar w:fldCharType="separate"/>
      </w:r>
      <w:r w:rsidRPr="00064895">
        <w:rPr>
          <w:noProof/>
          <w:lang w:val="de-DE"/>
        </w:rPr>
        <w:t>7</w:t>
      </w:r>
      <w:r>
        <w:rPr>
          <w:noProof/>
        </w:rPr>
        <w:fldChar w:fldCharType="end"/>
      </w:r>
    </w:p>
    <w:p w14:paraId="380AEF92" w14:textId="58E7A367" w:rsidR="00064895" w:rsidRPr="00064895" w:rsidRDefault="00064895">
      <w:pPr>
        <w:pStyle w:val="TOC2"/>
        <w:rPr>
          <w:rFonts w:asciiTheme="minorHAnsi" w:eastAsiaTheme="minorEastAsia" w:hAnsiTheme="minorHAnsi" w:cstheme="minorBidi"/>
          <w:noProof/>
          <w:kern w:val="2"/>
          <w:sz w:val="24"/>
          <w:szCs w:val="24"/>
          <w:lang w:val="de-DE"/>
          <w14:ligatures w14:val="standardContextual"/>
        </w:rPr>
      </w:pPr>
      <w:r w:rsidRPr="00B05FBE">
        <w:rPr>
          <w:noProof/>
          <w:lang w:val="de-DE"/>
        </w:rPr>
        <w:t>Sortensammlungen: Sortensammlung von Obstpflanzen in Ukraine</w:t>
      </w:r>
      <w:r w:rsidRPr="00064895">
        <w:rPr>
          <w:noProof/>
          <w:lang w:val="de-DE"/>
        </w:rPr>
        <w:tab/>
      </w:r>
      <w:r>
        <w:rPr>
          <w:noProof/>
        </w:rPr>
        <w:fldChar w:fldCharType="begin"/>
      </w:r>
      <w:r w:rsidRPr="00064895">
        <w:rPr>
          <w:noProof/>
          <w:lang w:val="de-DE"/>
        </w:rPr>
        <w:instrText xml:space="preserve"> PAGEREF _Toc209516685 \h </w:instrText>
      </w:r>
      <w:r>
        <w:rPr>
          <w:noProof/>
        </w:rPr>
      </w:r>
      <w:r>
        <w:rPr>
          <w:noProof/>
        </w:rPr>
        <w:fldChar w:fldCharType="separate"/>
      </w:r>
      <w:r w:rsidRPr="00064895">
        <w:rPr>
          <w:noProof/>
          <w:lang w:val="de-DE"/>
        </w:rPr>
        <w:t>7</w:t>
      </w:r>
      <w:r>
        <w:rPr>
          <w:noProof/>
        </w:rPr>
        <w:fldChar w:fldCharType="end"/>
      </w:r>
    </w:p>
    <w:p w14:paraId="72BEA969" w14:textId="169581BE" w:rsidR="00E84163" w:rsidRPr="005C6182" w:rsidRDefault="00F21482" w:rsidP="005639BE">
      <w:pPr>
        <w:rPr>
          <w:rFonts w:ascii="Calibri" w:hAnsi="Calibri"/>
          <w:lang w:val="de-DE"/>
        </w:rPr>
      </w:pPr>
      <w:r w:rsidRPr="005C6182">
        <w:rPr>
          <w:rFonts w:eastAsia="MS Mincho" w:cs="Arial"/>
          <w:caps/>
          <w:lang w:val="de-DE" w:eastAsia="ja-JP"/>
        </w:rPr>
        <w:fldChar w:fldCharType="end"/>
      </w:r>
      <w:r w:rsidR="00E84163" w:rsidRPr="005C6182">
        <w:rPr>
          <w:caps/>
          <w:lang w:val="de-DE"/>
        </w:rPr>
        <w:fldChar w:fldCharType="begin"/>
      </w:r>
      <w:r w:rsidR="00E84163" w:rsidRPr="005C6182">
        <w:rPr>
          <w:lang w:val="de-DE"/>
        </w:rPr>
        <w:instrText xml:space="preserve"> TOC \o "1-3" \h \z \u </w:instrText>
      </w:r>
      <w:r w:rsidR="00E84163" w:rsidRPr="005C6182">
        <w:rPr>
          <w:caps/>
          <w:lang w:val="de-DE"/>
        </w:rPr>
        <w:fldChar w:fldCharType="separate"/>
      </w:r>
    </w:p>
    <w:p w14:paraId="17760AA5" w14:textId="77777777" w:rsidR="00E84163" w:rsidRPr="005C6182" w:rsidRDefault="00E84163" w:rsidP="005639BE">
      <w:pPr>
        <w:rPr>
          <w:rFonts w:cs="Arial"/>
          <w:lang w:val="de-DE"/>
        </w:rPr>
      </w:pPr>
      <w:r w:rsidRPr="005C6182">
        <w:rPr>
          <w:lang w:val="de-DE"/>
        </w:rPr>
        <w:fldChar w:fldCharType="end"/>
      </w:r>
    </w:p>
    <w:p w14:paraId="26832C31" w14:textId="77777777" w:rsidR="00E84163" w:rsidRPr="005C6182" w:rsidRDefault="00E84163" w:rsidP="005639BE">
      <w:pPr>
        <w:pStyle w:val="Heading1"/>
        <w:rPr>
          <w:rFonts w:eastAsia="PMingLiU"/>
          <w:szCs w:val="24"/>
          <w:lang w:val="de-DE"/>
        </w:rPr>
      </w:pPr>
      <w:bookmarkStart w:id="2" w:name="_Toc441497828"/>
      <w:bookmarkStart w:id="3" w:name="_Toc527377892"/>
      <w:bookmarkStart w:id="4" w:name="_Toc20505078"/>
      <w:bookmarkStart w:id="5" w:name="_Toc209516666"/>
      <w:r w:rsidRPr="005C6182">
        <w:rPr>
          <w:lang w:val="de-DE"/>
        </w:rPr>
        <w:t>Angelegenheiten zur Information und zur möglichen Entscheidung durch den Technischen Ausschuss (TC)</w:t>
      </w:r>
      <w:bookmarkEnd w:id="2"/>
      <w:bookmarkEnd w:id="3"/>
      <w:bookmarkEnd w:id="4"/>
      <w:bookmarkEnd w:id="5"/>
    </w:p>
    <w:p w14:paraId="72CC17E7" w14:textId="77777777" w:rsidR="006F0A99" w:rsidRPr="005C6182" w:rsidRDefault="006F0A99" w:rsidP="006F0A99">
      <w:pPr>
        <w:rPr>
          <w:lang w:val="de-DE"/>
        </w:rPr>
      </w:pPr>
    </w:p>
    <w:p w14:paraId="31E5F03A" w14:textId="25858B00" w:rsidR="006F0A99" w:rsidRPr="005C6182" w:rsidRDefault="004A4BD7" w:rsidP="005639BE">
      <w:pPr>
        <w:pStyle w:val="Heading2"/>
        <w:rPr>
          <w:rFonts w:eastAsia="MS Mincho"/>
          <w:lang w:val="de-DE"/>
        </w:rPr>
      </w:pPr>
      <w:bookmarkStart w:id="6" w:name="_Toc209516667"/>
      <w:r w:rsidRPr="005C6182">
        <w:rPr>
          <w:rFonts w:eastAsia="MS Mincho"/>
          <w:lang w:val="de-DE"/>
        </w:rPr>
        <w:t>Umfragevorschlag: Hindernisse für die Übernahme von Testberichten: zusätzliche Merkmale, die nicht in den Testrichtlinien enthalten sind</w:t>
      </w:r>
      <w:bookmarkEnd w:id="6"/>
      <w:r w:rsidRPr="005C6182">
        <w:rPr>
          <w:rFonts w:eastAsia="MS Mincho"/>
          <w:lang w:val="de-DE"/>
        </w:rPr>
        <w:t xml:space="preserve"> </w:t>
      </w:r>
    </w:p>
    <w:p w14:paraId="72F2CC49" w14:textId="77777777" w:rsidR="004A4BD7" w:rsidRPr="005C6182" w:rsidRDefault="004A4BD7" w:rsidP="006F0A99">
      <w:pPr>
        <w:rPr>
          <w:rFonts w:eastAsia="MS Mincho"/>
          <w:lang w:val="de-DE"/>
        </w:rPr>
      </w:pPr>
    </w:p>
    <w:p w14:paraId="7D02C1B8" w14:textId="1FCB200D" w:rsidR="00D50DFB" w:rsidRPr="005C6182" w:rsidRDefault="00D50DFB" w:rsidP="00D50DFB">
      <w:pPr>
        <w:pStyle w:val="Heading3"/>
        <w:rPr>
          <w:rFonts w:eastAsia="MS Mincho"/>
          <w:lang w:val="de-DE"/>
        </w:rPr>
      </w:pPr>
      <w:bookmarkStart w:id="7" w:name="_Toc209516668"/>
      <w:r w:rsidRPr="005C6182">
        <w:rPr>
          <w:rFonts w:eastAsia="MS Mincho"/>
          <w:lang w:val="de-DE"/>
        </w:rPr>
        <w:t>Hintergrund</w:t>
      </w:r>
      <w:bookmarkEnd w:id="7"/>
    </w:p>
    <w:p w14:paraId="07FEBE2E" w14:textId="77777777" w:rsidR="00D50DFB" w:rsidRPr="005C6182" w:rsidRDefault="00D50DFB" w:rsidP="00D50DFB">
      <w:pPr>
        <w:rPr>
          <w:rFonts w:eastAsia="MS Mincho"/>
          <w:lang w:val="de-DE"/>
        </w:rPr>
      </w:pPr>
    </w:p>
    <w:p w14:paraId="5D3DB297" w14:textId="0C8F3164" w:rsidR="006F0A99" w:rsidRPr="005C6182" w:rsidRDefault="0062210A" w:rsidP="006F0A99">
      <w:pPr>
        <w:rPr>
          <w:lang w:val="de-DE"/>
        </w:rPr>
      </w:pPr>
      <w:r w:rsidRPr="005C6182">
        <w:rPr>
          <w:lang w:val="de-DE"/>
        </w:rPr>
        <w:fldChar w:fldCharType="begin"/>
      </w:r>
      <w:r w:rsidRPr="005C6182">
        <w:rPr>
          <w:lang w:val="de-DE"/>
        </w:rPr>
        <w:instrText xml:space="preserve"> AUTONUM  </w:instrText>
      </w:r>
      <w:r w:rsidRPr="005C6182">
        <w:rPr>
          <w:lang w:val="de-DE"/>
        </w:rPr>
        <w:fldChar w:fldCharType="end"/>
      </w:r>
      <w:r w:rsidRPr="005C6182">
        <w:rPr>
          <w:lang w:val="de-DE"/>
        </w:rPr>
        <w:tab/>
      </w:r>
      <w:r w:rsidR="006F0A99" w:rsidRPr="005C6182">
        <w:rPr>
          <w:lang w:val="de-DE"/>
        </w:rPr>
        <w:t>Die TWV</w:t>
      </w:r>
      <w:r w:rsidR="0018066F" w:rsidRPr="005C6182">
        <w:rPr>
          <w:rStyle w:val="FootnoteReference"/>
          <w:lang w:val="de-DE"/>
        </w:rPr>
        <w:footnoteReference w:id="7"/>
      </w:r>
      <w:r w:rsidR="006F0A99" w:rsidRPr="005C6182">
        <w:rPr>
          <w:lang w:val="de-DE"/>
        </w:rPr>
        <w:t xml:space="preserve"> hörte einen Vortrag eines Experten der Europäischen Union zum Thema „Überarbeitung der Krankheitsresistenzmerkmale in der EU“. Eine Kopie des Vortrags ist in Dokument </w:t>
      </w:r>
      <w:hyperlink r:id="rId9" w:history="1">
        <w:r w:rsidR="006F0A99" w:rsidRPr="005C6182">
          <w:rPr>
            <w:rStyle w:val="Hyperlink"/>
            <w:rFonts w:eastAsia="MS Mincho"/>
            <w:lang w:val="de-DE"/>
          </w:rPr>
          <w:t>TWV/59/10</w:t>
        </w:r>
      </w:hyperlink>
      <w:r w:rsidR="006F0A99" w:rsidRPr="005C6182">
        <w:rPr>
          <w:lang w:val="de-DE"/>
        </w:rPr>
        <w:t xml:space="preserve"> enthalten</w:t>
      </w:r>
      <w:r w:rsidR="006F0A99" w:rsidRPr="005C6182">
        <w:rPr>
          <w:rFonts w:eastAsia="MS Mincho"/>
          <w:lang w:val="de-DE"/>
        </w:rPr>
        <w:t>.</w:t>
      </w:r>
    </w:p>
    <w:p w14:paraId="22F93CAC" w14:textId="77777777" w:rsidR="006F0A99" w:rsidRPr="005C6182" w:rsidRDefault="006F0A99" w:rsidP="006F0A99">
      <w:pPr>
        <w:rPr>
          <w:lang w:val="de-DE"/>
        </w:rPr>
      </w:pPr>
    </w:p>
    <w:p w14:paraId="4E9968F3" w14:textId="19E9EFD4" w:rsidR="006F0A99" w:rsidRPr="005C6182" w:rsidRDefault="0062210A" w:rsidP="004915BA">
      <w:pPr>
        <w:keepLines/>
        <w:rPr>
          <w:lang w:val="de-DE"/>
        </w:rPr>
      </w:pPr>
      <w:r w:rsidRPr="005C6182">
        <w:rPr>
          <w:lang w:val="de-DE"/>
        </w:rPr>
        <w:lastRenderedPageBreak/>
        <w:fldChar w:fldCharType="begin"/>
      </w:r>
      <w:r w:rsidRPr="005C6182">
        <w:rPr>
          <w:lang w:val="de-DE"/>
        </w:rPr>
        <w:instrText xml:space="preserve"> AUTONUM  </w:instrText>
      </w:r>
      <w:r w:rsidRPr="005C6182">
        <w:rPr>
          <w:lang w:val="de-DE"/>
        </w:rPr>
        <w:fldChar w:fldCharType="end"/>
      </w:r>
      <w:r w:rsidRPr="005C6182">
        <w:rPr>
          <w:lang w:val="de-DE"/>
        </w:rPr>
        <w:tab/>
      </w:r>
      <w:r w:rsidR="006F0A99" w:rsidRPr="005C6182">
        <w:rPr>
          <w:lang w:val="de-DE"/>
        </w:rPr>
        <w:t>Die TWV nahm die Einladung der Europäischen Union an die UPOV-Mitglieder zur Kenntnis, sich den regionalen Arbeitsgruppen anzuschließen, die eingerichtet wurden, um die Krankheitsresistenzmerkmale von Buschbohnen, Gurken, Melonen, Paprika, Tomaten und Tomatenunterlagen zu erörtern. Die TWV wies darauf hin, dass interessierte Sachverständige sich für weitere Informationen an das Gemeinschaftliche Sortenamt der Europäischen Union (CPVO) wenden sollten.</w:t>
      </w:r>
    </w:p>
    <w:p w14:paraId="6E5C23A4" w14:textId="77777777" w:rsidR="006F0A99" w:rsidRPr="005C6182" w:rsidRDefault="006F0A99" w:rsidP="006F0A99">
      <w:pPr>
        <w:rPr>
          <w:lang w:val="de-DE"/>
        </w:rPr>
      </w:pPr>
    </w:p>
    <w:p w14:paraId="5FD043F6" w14:textId="77777777" w:rsidR="006F0A99" w:rsidRPr="005C6182" w:rsidRDefault="006F0A99" w:rsidP="006F0A99">
      <w:pPr>
        <w:rPr>
          <w:lang w:val="de-DE"/>
        </w:rPr>
      </w:pPr>
      <w:r w:rsidRPr="005C6182">
        <w:rPr>
          <w:lang w:val="de-DE"/>
        </w:rPr>
        <w:fldChar w:fldCharType="begin"/>
      </w:r>
      <w:r w:rsidRPr="005C6182">
        <w:rPr>
          <w:lang w:val="de-DE"/>
        </w:rPr>
        <w:instrText xml:space="preserve"> AUTONUM  </w:instrText>
      </w:r>
      <w:r w:rsidRPr="005C6182">
        <w:rPr>
          <w:lang w:val="de-DE"/>
        </w:rPr>
        <w:fldChar w:fldCharType="end"/>
      </w:r>
      <w:r w:rsidRPr="005C6182">
        <w:rPr>
          <w:lang w:val="de-DE"/>
        </w:rPr>
        <w:tab/>
        <w:t>Die TWV nahm die Bemerkungen des Vertreters der International Seed Federation (ISF) zur Kenntnis, dass Merkmale, die auf nationaler oder regionaler Ebene verwendet werden und nicht in den UPOV-Prüfungsrichtlinien enthalten sind („zusätzliche Merkmale“), ein Hindernis für die Übernahme von Prüfungsberichten darstellen könnten, obwohl bisher keine solchen Fälle gemeldet worden seien.</w:t>
      </w:r>
    </w:p>
    <w:p w14:paraId="53CC1819" w14:textId="77777777" w:rsidR="006F0A99" w:rsidRPr="005C6182" w:rsidRDefault="006F0A99" w:rsidP="006F0A99">
      <w:pPr>
        <w:rPr>
          <w:lang w:val="de-DE"/>
        </w:rPr>
      </w:pPr>
    </w:p>
    <w:p w14:paraId="57C547DB" w14:textId="2566AA77" w:rsidR="006F0A99" w:rsidRPr="005C6182" w:rsidRDefault="006F0A99" w:rsidP="006F0A99">
      <w:pPr>
        <w:rPr>
          <w:lang w:val="de-DE"/>
        </w:rPr>
      </w:pPr>
      <w:r w:rsidRPr="005C6182">
        <w:rPr>
          <w:lang w:val="de-DE"/>
        </w:rPr>
        <w:fldChar w:fldCharType="begin"/>
      </w:r>
      <w:r w:rsidRPr="005C6182">
        <w:rPr>
          <w:lang w:val="de-DE"/>
        </w:rPr>
        <w:instrText xml:space="preserve"> AUTONUM  </w:instrText>
      </w:r>
      <w:r w:rsidRPr="005C6182">
        <w:rPr>
          <w:lang w:val="de-DE"/>
        </w:rPr>
        <w:fldChar w:fldCharType="end"/>
      </w:r>
      <w:r w:rsidRPr="005C6182">
        <w:rPr>
          <w:lang w:val="de-DE"/>
        </w:rPr>
        <w:tab/>
        <w:t>Die TWV nahm den Bericht Deutschlands zur Kenntnis, wonach zusätzliche Merkmale, die nicht in den Prüfungsrichtlinien enthalten sind, bei der Entscheidung über die Übernahme von Prüfungsberichten von Fall zu Fall unter Verwendung ähnlicher Kriterien für alle Merkmale, einschließlich Krankheitsresistenzen, berücksichtigt werden.</w:t>
      </w:r>
    </w:p>
    <w:p w14:paraId="509C4B50" w14:textId="77777777" w:rsidR="00E566A0" w:rsidRPr="005C6182" w:rsidRDefault="00E566A0" w:rsidP="006F0A99">
      <w:pPr>
        <w:rPr>
          <w:lang w:val="de-DE"/>
        </w:rPr>
      </w:pPr>
    </w:p>
    <w:p w14:paraId="159BCEEA" w14:textId="0B262A31" w:rsidR="004A4BD7" w:rsidRPr="005C6182" w:rsidRDefault="00E566A0" w:rsidP="00E566A0">
      <w:pPr>
        <w:pStyle w:val="Heading3"/>
        <w:rPr>
          <w:lang w:val="de-DE"/>
        </w:rPr>
      </w:pPr>
      <w:bookmarkStart w:id="8" w:name="_Toc209516669"/>
      <w:r w:rsidRPr="005C6182">
        <w:rPr>
          <w:lang w:val="de-DE"/>
        </w:rPr>
        <w:t>Vorschlag</w:t>
      </w:r>
      <w:bookmarkEnd w:id="8"/>
    </w:p>
    <w:p w14:paraId="45BC9909" w14:textId="77777777" w:rsidR="004A4BD7" w:rsidRPr="005C6182" w:rsidRDefault="004A4BD7" w:rsidP="006F0A99">
      <w:pPr>
        <w:rPr>
          <w:lang w:val="de-DE"/>
        </w:rPr>
      </w:pPr>
    </w:p>
    <w:p w14:paraId="494B4566" w14:textId="77777777" w:rsidR="006F0A99" w:rsidRPr="005C6182" w:rsidRDefault="006F0A99" w:rsidP="006F0A99">
      <w:pPr>
        <w:rPr>
          <w:lang w:val="de-DE"/>
        </w:rPr>
      </w:pPr>
      <w:r w:rsidRPr="005C6182">
        <w:rPr>
          <w:lang w:val="de-DE"/>
        </w:rPr>
        <w:fldChar w:fldCharType="begin"/>
      </w:r>
      <w:r w:rsidRPr="005C6182">
        <w:rPr>
          <w:lang w:val="de-DE"/>
        </w:rPr>
        <w:instrText xml:space="preserve"> AUTONUM  </w:instrText>
      </w:r>
      <w:r w:rsidRPr="005C6182">
        <w:rPr>
          <w:lang w:val="de-DE"/>
        </w:rPr>
        <w:fldChar w:fldCharType="end"/>
      </w:r>
      <w:r w:rsidRPr="005C6182">
        <w:rPr>
          <w:lang w:val="de-DE"/>
        </w:rPr>
        <w:tab/>
        <w:t>Die TWV kam überein, eine Umfrage unter den UPOV-Mitgliedern durchzuführen, um zu ermitteln, ob zusätzliche Merkmale, die nicht in den UPOV-Prüfungsrichtlinien enthalten sind, ein Hindernis für die Übernahme von Prüfungsberichten darstellen könnten, beispielsweise Krankheitsresistenzmerkmale, insbesondere wenn sie die Grundlage für die Unterscheidbarkeit von der ähnlichsten Sorte bilden.</w:t>
      </w:r>
    </w:p>
    <w:p w14:paraId="67B247AC" w14:textId="77777777" w:rsidR="006F0A99" w:rsidRPr="005C6182" w:rsidRDefault="006F0A99" w:rsidP="006F0A99">
      <w:pPr>
        <w:rPr>
          <w:lang w:val="de-DE"/>
        </w:rPr>
      </w:pPr>
    </w:p>
    <w:p w14:paraId="3D7487B9" w14:textId="08B535BD" w:rsidR="006F0A99" w:rsidRPr="005C6182" w:rsidRDefault="0062210A" w:rsidP="006F0A99">
      <w:pPr>
        <w:rPr>
          <w:lang w:val="de-DE"/>
        </w:rPr>
      </w:pPr>
      <w:r w:rsidRPr="005C6182">
        <w:rPr>
          <w:lang w:val="de-DE"/>
        </w:rPr>
        <w:fldChar w:fldCharType="begin"/>
      </w:r>
      <w:r w:rsidRPr="005C6182">
        <w:rPr>
          <w:lang w:val="de-DE"/>
        </w:rPr>
        <w:instrText xml:space="preserve"> AUTONUM  </w:instrText>
      </w:r>
      <w:r w:rsidRPr="005C6182">
        <w:rPr>
          <w:lang w:val="de-DE"/>
        </w:rPr>
        <w:fldChar w:fldCharType="end"/>
      </w:r>
      <w:r w:rsidRPr="005C6182">
        <w:rPr>
          <w:lang w:val="de-DE"/>
        </w:rPr>
        <w:tab/>
      </w:r>
      <w:r w:rsidR="006F0A99" w:rsidRPr="005C6182">
        <w:rPr>
          <w:lang w:val="de-DE"/>
        </w:rPr>
        <w:t xml:space="preserve">Die TWV kam überein, dass die Umfrage den Kontext der Diskussionen liefern sollte, einschließlich der Tatsache, dass Krankheitsresistenzmerkmale in den UPOV-Prüfungsrichtlinien nicht von allen UPOV-Mitgliedern bewertet werden.  Die TWV kam überein, dass die Umfrage Fragen enthalten sollte wie: </w:t>
      </w:r>
    </w:p>
    <w:p w14:paraId="3A878FCF" w14:textId="77777777" w:rsidR="006F0A99" w:rsidRPr="005C6182" w:rsidRDefault="006F0A99" w:rsidP="006F0A99">
      <w:pPr>
        <w:rPr>
          <w:lang w:val="de-DE"/>
        </w:rPr>
      </w:pPr>
    </w:p>
    <w:p w14:paraId="7DA4DC9A" w14:textId="77777777" w:rsidR="006F0A99" w:rsidRPr="005C6182" w:rsidRDefault="006F0A99" w:rsidP="006F0A99">
      <w:pPr>
        <w:pStyle w:val="ListParagraph"/>
        <w:numPr>
          <w:ilvl w:val="0"/>
          <w:numId w:val="2"/>
        </w:numPr>
        <w:rPr>
          <w:lang w:val="de-DE"/>
        </w:rPr>
      </w:pPr>
      <w:r w:rsidRPr="005C6182">
        <w:rPr>
          <w:lang w:val="de-DE"/>
        </w:rPr>
        <w:t>Würden die UPOV-Mitglieder Prüfungsberichte übernehmen, wenn die Unterscheidbarkeit auf der Grundlage eines zusätzlichen Merkmals festgestellt worden wäre, das nicht in den UPOV-Prüfungsrichtlinien enthalten ist?</w:t>
      </w:r>
    </w:p>
    <w:p w14:paraId="38AFE912" w14:textId="77777777" w:rsidR="006F0A99" w:rsidRPr="005C6182" w:rsidRDefault="006F0A99" w:rsidP="006F0A99">
      <w:pPr>
        <w:rPr>
          <w:lang w:val="de-DE"/>
        </w:rPr>
      </w:pPr>
    </w:p>
    <w:p w14:paraId="4F8D2B62" w14:textId="77777777" w:rsidR="006F0A99" w:rsidRPr="005C6182" w:rsidRDefault="006F0A99" w:rsidP="006F0A99">
      <w:pPr>
        <w:pStyle w:val="ListParagraph"/>
        <w:numPr>
          <w:ilvl w:val="0"/>
          <w:numId w:val="2"/>
        </w:numPr>
        <w:rPr>
          <w:lang w:val="de-DE"/>
        </w:rPr>
      </w:pPr>
      <w:r w:rsidRPr="005C6182">
        <w:rPr>
          <w:lang w:val="de-DE"/>
        </w:rPr>
        <w:t>Gibt es einen Unterschied bei der Entscheidung über die Übernahme von Prüfungsberichten, je nachdem, ob es sich bei dem zusätzlichen Merkmal um ein Krankheitsresistenzmerkmal handelt?</w:t>
      </w:r>
    </w:p>
    <w:p w14:paraId="7DB3B67E" w14:textId="77777777" w:rsidR="00364964" w:rsidRPr="005C6182" w:rsidRDefault="00364964" w:rsidP="00364964">
      <w:pPr>
        <w:rPr>
          <w:lang w:val="de-DE"/>
        </w:rPr>
      </w:pPr>
    </w:p>
    <w:p w14:paraId="726D0511" w14:textId="65FC22BB" w:rsidR="00364964" w:rsidRPr="005C6182" w:rsidRDefault="00364964" w:rsidP="00364964">
      <w:pPr>
        <w:keepNext/>
        <w:keepLines/>
        <w:tabs>
          <w:tab w:val="left" w:pos="5387"/>
        </w:tabs>
        <w:ind w:left="4536"/>
        <w:rPr>
          <w:i/>
          <w:lang w:val="de-DE" w:eastAsia="fr-FR"/>
        </w:rPr>
      </w:pPr>
      <w:r w:rsidRPr="005C6182">
        <w:rPr>
          <w:i/>
          <w:lang w:val="de-DE"/>
        </w:rPr>
        <w:fldChar w:fldCharType="begin"/>
      </w:r>
      <w:r w:rsidRPr="005C6182">
        <w:rPr>
          <w:i/>
          <w:lang w:val="de-DE"/>
        </w:rPr>
        <w:instrText xml:space="preserve"> AUTONUM  </w:instrText>
      </w:r>
      <w:r w:rsidRPr="005C6182">
        <w:rPr>
          <w:i/>
          <w:lang w:val="de-DE"/>
        </w:rPr>
        <w:fldChar w:fldCharType="end"/>
      </w:r>
      <w:r w:rsidRPr="005C6182">
        <w:rPr>
          <w:i/>
          <w:lang w:val="de-DE"/>
        </w:rPr>
        <w:tab/>
        <w:t xml:space="preserve">Der TC wird gebeten, den </w:t>
      </w:r>
      <w:r w:rsidR="00CF497D" w:rsidRPr="005C6182">
        <w:rPr>
          <w:i/>
          <w:lang w:val="de-DE"/>
        </w:rPr>
        <w:t xml:space="preserve">Vorschlag </w:t>
      </w:r>
      <w:r w:rsidRPr="005C6182">
        <w:rPr>
          <w:i/>
          <w:lang w:val="de-DE"/>
        </w:rPr>
        <w:t xml:space="preserve">der TWV zu prüfen, </w:t>
      </w:r>
      <w:r w:rsidR="00CF497D" w:rsidRPr="005C6182">
        <w:rPr>
          <w:i/>
          <w:lang w:val="de-DE"/>
        </w:rPr>
        <w:t xml:space="preserve">eine Umfrage unter den UPOV-Mitgliedern </w:t>
      </w:r>
      <w:r w:rsidRPr="005C6182">
        <w:rPr>
          <w:i/>
          <w:lang w:val="de-DE"/>
        </w:rPr>
        <w:t>durchzuführen</w:t>
      </w:r>
      <w:r w:rsidR="00CF497D" w:rsidRPr="005C6182">
        <w:rPr>
          <w:i/>
          <w:lang w:val="de-DE"/>
        </w:rPr>
        <w:t>, um festzustellen</w:t>
      </w:r>
      <w:r w:rsidRPr="005C6182">
        <w:rPr>
          <w:i/>
          <w:lang w:val="de-DE" w:eastAsia="fr-FR"/>
        </w:rPr>
        <w:t>,</w:t>
      </w:r>
      <w:r w:rsidR="00CF497D" w:rsidRPr="005C6182">
        <w:rPr>
          <w:i/>
          <w:lang w:val="de-DE"/>
        </w:rPr>
        <w:t xml:space="preserve"> ob zusätzliche Merkmale, die nicht in den Prüfungsrichtlinien enthalten sind</w:t>
      </w:r>
      <w:r w:rsidRPr="005C6182">
        <w:rPr>
          <w:i/>
          <w:lang w:val="de-DE" w:eastAsia="fr-FR"/>
        </w:rPr>
        <w:t xml:space="preserve">, </w:t>
      </w:r>
      <w:r w:rsidR="00CF497D" w:rsidRPr="005C6182">
        <w:rPr>
          <w:i/>
          <w:lang w:val="de-DE"/>
        </w:rPr>
        <w:t>ein Hindernis für die Übernahme von Prüfungsberichten darstellen könnten</w:t>
      </w:r>
      <w:r w:rsidRPr="005C6182">
        <w:rPr>
          <w:i/>
          <w:lang w:val="de-DE" w:eastAsia="fr-FR"/>
        </w:rPr>
        <w:t xml:space="preserve">, wie in </w:t>
      </w:r>
      <w:r w:rsidR="00CF497D" w:rsidRPr="005C6182">
        <w:rPr>
          <w:i/>
          <w:lang w:val="de-DE" w:eastAsia="fr-FR"/>
        </w:rPr>
        <w:t xml:space="preserve">den Absätzen 10 und 11 </w:t>
      </w:r>
      <w:r w:rsidRPr="005C6182">
        <w:rPr>
          <w:i/>
          <w:lang w:val="de-DE" w:eastAsia="fr-FR"/>
        </w:rPr>
        <w:t>dieses Dokuments dargelegt.</w:t>
      </w:r>
    </w:p>
    <w:p w14:paraId="4EA21AAC" w14:textId="77777777" w:rsidR="00364964" w:rsidRPr="005C6182" w:rsidRDefault="00364964" w:rsidP="00364964">
      <w:pPr>
        <w:rPr>
          <w:lang w:val="de-DE"/>
        </w:rPr>
      </w:pPr>
    </w:p>
    <w:p w14:paraId="471812AA" w14:textId="77777777" w:rsidR="00AC0937" w:rsidRPr="005C6182" w:rsidRDefault="00AC0937" w:rsidP="00AC0937">
      <w:pPr>
        <w:rPr>
          <w:lang w:val="de-DE"/>
        </w:rPr>
      </w:pPr>
    </w:p>
    <w:p w14:paraId="0190D835" w14:textId="3C54230C" w:rsidR="00AC0937" w:rsidRPr="005C6182" w:rsidRDefault="00D8451B" w:rsidP="005639BE">
      <w:pPr>
        <w:pStyle w:val="Heading1"/>
        <w:rPr>
          <w:lang w:val="de-DE"/>
        </w:rPr>
      </w:pPr>
      <w:bookmarkStart w:id="9" w:name="_Toc441497830"/>
      <w:bookmarkStart w:id="10" w:name="_Toc527377899"/>
      <w:bookmarkStart w:id="11" w:name="_Toc20505079"/>
      <w:bookmarkStart w:id="12" w:name="_Toc141461052"/>
      <w:bookmarkStart w:id="13" w:name="_Toc141461212"/>
      <w:bookmarkStart w:id="14" w:name="_Toc209516670"/>
      <w:r>
        <w:rPr>
          <w:lang w:val="de-DE"/>
        </w:rPr>
        <w:t xml:space="preserve">FRAGEN </w:t>
      </w:r>
      <w:r w:rsidR="00AC0937" w:rsidRPr="005C6182">
        <w:rPr>
          <w:lang w:val="de-DE"/>
        </w:rPr>
        <w:t>Zur Information</w:t>
      </w:r>
      <w:bookmarkEnd w:id="9"/>
      <w:bookmarkEnd w:id="10"/>
      <w:bookmarkEnd w:id="11"/>
      <w:bookmarkEnd w:id="12"/>
      <w:bookmarkEnd w:id="13"/>
      <w:bookmarkEnd w:id="14"/>
    </w:p>
    <w:p w14:paraId="4D0B51CF" w14:textId="77777777" w:rsidR="00AC0937" w:rsidRPr="005C6182" w:rsidRDefault="00AC0937" w:rsidP="003602B2">
      <w:pPr>
        <w:rPr>
          <w:rFonts w:eastAsia="MS Mincho"/>
          <w:lang w:val="de-DE"/>
        </w:rPr>
      </w:pPr>
    </w:p>
    <w:p w14:paraId="32AF6066" w14:textId="0D11FC01" w:rsidR="00D97966" w:rsidRPr="005C6182" w:rsidRDefault="00D97966" w:rsidP="00365B2A">
      <w:pPr>
        <w:pStyle w:val="Heading2"/>
        <w:rPr>
          <w:rFonts w:eastAsia="MS Mincho"/>
          <w:lang w:val="de-DE"/>
        </w:rPr>
      </w:pPr>
      <w:bookmarkStart w:id="15" w:name="_Toc209516671"/>
      <w:r w:rsidRPr="005C6182">
        <w:rPr>
          <w:rFonts w:eastAsia="MS Mincho"/>
          <w:lang w:val="de-DE"/>
        </w:rPr>
        <w:t>Krankheitsresistenzmerkmale</w:t>
      </w:r>
      <w:bookmarkEnd w:id="15"/>
      <w:r w:rsidRPr="005C6182">
        <w:rPr>
          <w:rFonts w:eastAsia="MS Mincho"/>
          <w:lang w:val="de-DE"/>
        </w:rPr>
        <w:t xml:space="preserve"> </w:t>
      </w:r>
    </w:p>
    <w:p w14:paraId="4489526F" w14:textId="77777777" w:rsidR="00D97966" w:rsidRPr="005C6182" w:rsidRDefault="00D97966" w:rsidP="003602B2">
      <w:pPr>
        <w:rPr>
          <w:rFonts w:eastAsia="MS Mincho"/>
          <w:lang w:val="de-DE"/>
        </w:rPr>
      </w:pPr>
    </w:p>
    <w:p w14:paraId="7E78D36F" w14:textId="77777777" w:rsidR="003602B2" w:rsidRPr="005C6182" w:rsidRDefault="003602B2" w:rsidP="00D97966">
      <w:pPr>
        <w:pStyle w:val="Heading3"/>
        <w:rPr>
          <w:rFonts w:eastAsia="MS Mincho"/>
          <w:lang w:val="de-DE"/>
        </w:rPr>
      </w:pPr>
      <w:bookmarkStart w:id="16" w:name="_Toc209516672"/>
      <w:r w:rsidRPr="005C6182">
        <w:rPr>
          <w:rFonts w:eastAsia="MS Mincho"/>
          <w:lang w:val="de-DE"/>
        </w:rPr>
        <w:t>Krankheitsresistenzmerkmale in den Prüfungsrichtlinien</w:t>
      </w:r>
      <w:bookmarkEnd w:id="16"/>
      <w:r w:rsidRPr="005C6182">
        <w:rPr>
          <w:rFonts w:eastAsia="MS Mincho"/>
          <w:lang w:val="de-DE"/>
        </w:rPr>
        <w:t xml:space="preserve"> </w:t>
      </w:r>
    </w:p>
    <w:p w14:paraId="7C544481" w14:textId="77777777" w:rsidR="003602B2" w:rsidRPr="005C6182" w:rsidRDefault="003602B2" w:rsidP="003602B2">
      <w:pPr>
        <w:rPr>
          <w:rFonts w:eastAsia="MS Mincho"/>
          <w:lang w:val="de-DE"/>
        </w:rPr>
      </w:pPr>
    </w:p>
    <w:p w14:paraId="47D4FA61" w14:textId="77777777" w:rsidR="003602B2" w:rsidRPr="005C6182" w:rsidRDefault="003602B2" w:rsidP="003602B2">
      <w:pPr>
        <w:rPr>
          <w:rFonts w:eastAsia="MS Mincho"/>
          <w:lang w:val="de-DE"/>
        </w:rPr>
      </w:pPr>
      <w:r w:rsidRPr="005C6182">
        <w:rPr>
          <w:rFonts w:eastAsia="MS Mincho"/>
          <w:lang w:val="de-DE"/>
        </w:rPr>
        <w:fldChar w:fldCharType="begin"/>
      </w:r>
      <w:r w:rsidRPr="005C6182">
        <w:rPr>
          <w:rFonts w:eastAsia="MS Mincho"/>
          <w:lang w:val="de-DE"/>
        </w:rPr>
        <w:instrText xml:space="preserve"> AUTONUM  </w:instrText>
      </w:r>
      <w:r w:rsidRPr="005C6182">
        <w:rPr>
          <w:rFonts w:eastAsia="MS Mincho"/>
          <w:lang w:val="de-DE"/>
        </w:rPr>
        <w:fldChar w:fldCharType="end"/>
      </w:r>
      <w:r w:rsidRPr="005C6182">
        <w:rPr>
          <w:rFonts w:eastAsia="MS Mincho"/>
          <w:lang w:val="de-DE"/>
        </w:rPr>
        <w:tab/>
        <w:t xml:space="preserve">Die TWV prüfte das Dokument </w:t>
      </w:r>
      <w:hyperlink r:id="rId10" w:history="1">
        <w:r w:rsidRPr="005C6182">
          <w:rPr>
            <w:rStyle w:val="Hyperlink"/>
            <w:rFonts w:eastAsia="MS Mincho"/>
            <w:lang w:val="de-DE"/>
          </w:rPr>
          <w:t>TWV/59/11</w:t>
        </w:r>
      </w:hyperlink>
      <w:r w:rsidRPr="005C6182">
        <w:rPr>
          <w:rFonts w:eastAsia="MS Mincho"/>
          <w:lang w:val="de-DE"/>
        </w:rPr>
        <w:t xml:space="preserve"> „Krankheitsresistenzmerkmale in den Prüfungsrichtlinien“</w:t>
      </w:r>
      <w:r w:rsidRPr="005C6182">
        <w:rPr>
          <w:rStyle w:val="FootnoteReference"/>
          <w:rFonts w:eastAsia="MS Mincho"/>
          <w:lang w:val="de-DE"/>
        </w:rPr>
        <w:footnoteReference w:id="8"/>
      </w:r>
      <w:r w:rsidRPr="005C6182">
        <w:rPr>
          <w:rFonts w:eastAsia="MS Mincho"/>
          <w:lang w:val="de-DE"/>
        </w:rPr>
        <w:t xml:space="preserve"> .</w:t>
      </w:r>
    </w:p>
    <w:p w14:paraId="50963C45" w14:textId="77777777" w:rsidR="003602B2" w:rsidRPr="005C6182" w:rsidRDefault="003602B2" w:rsidP="003602B2">
      <w:pPr>
        <w:rPr>
          <w:rFonts w:eastAsia="MS Mincho"/>
          <w:lang w:val="de-DE"/>
        </w:rPr>
      </w:pPr>
    </w:p>
    <w:p w14:paraId="2E930586" w14:textId="77777777" w:rsidR="003602B2" w:rsidRPr="005C6182" w:rsidRDefault="003602B2" w:rsidP="003602B2">
      <w:pPr>
        <w:rPr>
          <w:rFonts w:eastAsia="MS Mincho"/>
          <w:lang w:val="de-DE"/>
        </w:rPr>
      </w:pPr>
      <w:r w:rsidRPr="005C6182">
        <w:rPr>
          <w:rFonts w:eastAsia="MS Mincho"/>
          <w:lang w:val="de-DE"/>
        </w:rPr>
        <w:fldChar w:fldCharType="begin"/>
      </w:r>
      <w:r w:rsidRPr="005C6182">
        <w:rPr>
          <w:rFonts w:eastAsia="MS Mincho"/>
          <w:lang w:val="de-DE"/>
        </w:rPr>
        <w:instrText xml:space="preserve"> AUTONUM  </w:instrText>
      </w:r>
      <w:r w:rsidRPr="005C6182">
        <w:rPr>
          <w:rFonts w:eastAsia="MS Mincho"/>
          <w:lang w:val="de-DE"/>
        </w:rPr>
        <w:fldChar w:fldCharType="end"/>
      </w:r>
      <w:r w:rsidRPr="005C6182">
        <w:rPr>
          <w:rFonts w:eastAsia="MS Mincho"/>
          <w:lang w:val="de-DE"/>
        </w:rPr>
        <w:tab/>
        <w:t xml:space="preserve">Die TWV kam überein, </w:t>
      </w:r>
      <w:r w:rsidRPr="005C6182">
        <w:rPr>
          <w:lang w:val="de-DE"/>
        </w:rPr>
        <w:t xml:space="preserve">die UPOV-Mitglieder um Berichte über zusätzliche Merkmale bei der DUS-Prüfung, einschließlich Krankheitsresistenzmerkmale, </w:t>
      </w:r>
      <w:r w:rsidRPr="005C6182">
        <w:rPr>
          <w:rFonts w:eastAsia="MS Mincho"/>
          <w:lang w:val="de-DE"/>
        </w:rPr>
        <w:t>zu bitten</w:t>
      </w:r>
      <w:r w:rsidRPr="005C6182">
        <w:rPr>
          <w:lang w:val="de-DE"/>
        </w:rPr>
        <w:t xml:space="preserve">.  Die TWV kam überein, führende Sachverständige zu bitten, zwischen den Tagungen Sitzungen der Untergruppen interessierter Sachverständiger zu organisieren, um die Beratungen über Teilrevisionen der Prüfungsrichtlinien voranzubringen. </w:t>
      </w:r>
    </w:p>
    <w:p w14:paraId="5947B314" w14:textId="77777777" w:rsidR="003602B2" w:rsidRPr="005C6182" w:rsidRDefault="003602B2" w:rsidP="003602B2">
      <w:pPr>
        <w:rPr>
          <w:lang w:val="de-DE"/>
        </w:rPr>
      </w:pPr>
    </w:p>
    <w:p w14:paraId="2EADF875" w14:textId="77777777" w:rsidR="003602B2" w:rsidRPr="005C6182" w:rsidRDefault="003602B2" w:rsidP="003602B2">
      <w:pPr>
        <w:rPr>
          <w:lang w:val="de-DE"/>
        </w:rPr>
      </w:pPr>
      <w:r w:rsidRPr="005C6182">
        <w:rPr>
          <w:lang w:val="de-DE"/>
        </w:rPr>
        <w:fldChar w:fldCharType="begin"/>
      </w:r>
      <w:r w:rsidRPr="005C6182">
        <w:rPr>
          <w:lang w:val="de-DE"/>
        </w:rPr>
        <w:instrText xml:space="preserve"> AUTONUM  </w:instrText>
      </w:r>
      <w:r w:rsidRPr="005C6182">
        <w:rPr>
          <w:lang w:val="de-DE"/>
        </w:rPr>
        <w:fldChar w:fldCharType="end"/>
      </w:r>
      <w:r w:rsidRPr="005C6182">
        <w:rPr>
          <w:lang w:val="de-DE"/>
        </w:rPr>
        <w:tab/>
        <w:t xml:space="preserve">Die TWV stellte fest, dass die UPOV-Mitglieder über unterschiedliche Fähigkeiten zur Bewertung von Krankheitsresistenzmerkmalen verfügen, und kam überein, dass dies Herausforderungen für deren Verwendung in der DUS-Prüfung und die internationale Harmonisierung mit sich bringt. </w:t>
      </w:r>
    </w:p>
    <w:p w14:paraId="6E8A6A9D" w14:textId="77777777" w:rsidR="00D97966" w:rsidRPr="005C6182" w:rsidRDefault="00D97966" w:rsidP="00E33353">
      <w:pPr>
        <w:rPr>
          <w:lang w:val="de-DE"/>
        </w:rPr>
      </w:pPr>
    </w:p>
    <w:p w14:paraId="464136BA" w14:textId="1892F3E3" w:rsidR="00E33353" w:rsidRPr="005C6182" w:rsidRDefault="003602B2" w:rsidP="00A63DB9">
      <w:pPr>
        <w:pStyle w:val="Heading3"/>
        <w:keepLines/>
        <w:rPr>
          <w:lang w:val="de-DE"/>
        </w:rPr>
      </w:pPr>
      <w:bookmarkStart w:id="17" w:name="_Toc209516673"/>
      <w:r w:rsidRPr="005C6182">
        <w:rPr>
          <w:lang w:val="de-DE"/>
        </w:rPr>
        <w:t>Resistenz gegen das Gurkenmosaikvirus (CGMMV)</w:t>
      </w:r>
      <w:bookmarkEnd w:id="17"/>
      <w:r w:rsidRPr="005C6182">
        <w:rPr>
          <w:lang w:val="de-DE"/>
        </w:rPr>
        <w:t xml:space="preserve"> </w:t>
      </w:r>
    </w:p>
    <w:p w14:paraId="4EDD535D" w14:textId="77777777" w:rsidR="00E33353" w:rsidRPr="005C6182" w:rsidRDefault="00E33353" w:rsidP="00A63DB9">
      <w:pPr>
        <w:keepNext/>
        <w:keepLines/>
        <w:jc w:val="left"/>
        <w:rPr>
          <w:lang w:val="de-DE"/>
        </w:rPr>
      </w:pPr>
    </w:p>
    <w:p w14:paraId="2CA35D39" w14:textId="59DD53D3" w:rsidR="00E33353" w:rsidRPr="005C6182" w:rsidRDefault="0062210A" w:rsidP="00A63DB9">
      <w:pPr>
        <w:keepNext/>
        <w:keepLines/>
        <w:rPr>
          <w:lang w:val="de-DE"/>
        </w:rPr>
      </w:pPr>
      <w:r w:rsidRPr="005C6182">
        <w:rPr>
          <w:lang w:val="de-DE"/>
        </w:rPr>
        <w:fldChar w:fldCharType="begin"/>
      </w:r>
      <w:r w:rsidRPr="005C6182">
        <w:rPr>
          <w:lang w:val="de-DE"/>
        </w:rPr>
        <w:instrText xml:space="preserve"> AUTONUM  </w:instrText>
      </w:r>
      <w:r w:rsidRPr="005C6182">
        <w:rPr>
          <w:lang w:val="de-DE"/>
        </w:rPr>
        <w:fldChar w:fldCharType="end"/>
      </w:r>
      <w:r w:rsidRPr="005C6182">
        <w:rPr>
          <w:lang w:val="de-DE"/>
        </w:rPr>
        <w:tab/>
      </w:r>
      <w:r w:rsidR="00E33353" w:rsidRPr="005C6182">
        <w:rPr>
          <w:lang w:val="de-DE"/>
        </w:rPr>
        <w:t>Die TWV</w:t>
      </w:r>
      <w:r w:rsidRPr="005C6182">
        <w:rPr>
          <w:rStyle w:val="FootnoteReference"/>
          <w:lang w:val="de-DE"/>
        </w:rPr>
        <w:footnoteReference w:id="9"/>
      </w:r>
      <w:r w:rsidR="00E33353" w:rsidRPr="005C6182">
        <w:rPr>
          <w:lang w:val="de-DE"/>
        </w:rPr>
        <w:t xml:space="preserve"> prüfte die Teilrevision der Prüfungsrichtlinien für Gurken zur Aufnahme des Merkmals „Resistenz gegen das Gurkenmosaikvirus (CGMMV)”, das 2024 vom Technischen Ausschuss zur Annahme vorgeschlagen (Dokument </w:t>
      </w:r>
      <w:hyperlink r:id="rId11" w:history="1">
        <w:r w:rsidR="00E33353" w:rsidRPr="005C6182">
          <w:rPr>
            <w:rStyle w:val="Hyperlink"/>
            <w:lang w:val="de-DE"/>
          </w:rPr>
          <w:t>TWV/58/6</w:t>
        </w:r>
      </w:hyperlink>
      <w:r w:rsidR="00E33353" w:rsidRPr="005C6182">
        <w:rPr>
          <w:lang w:val="de-DE"/>
        </w:rPr>
        <w:t>) und an die TWV zurückverwiesen worden war.  Die TWV stellte fest, dass das Merkmal 2025 in die Prüfungsrichtlinien für die</w:t>
      </w:r>
      <w:bookmarkStart w:id="18" w:name="_Hlk197533073"/>
      <w:r w:rsidR="00E33353" w:rsidRPr="005C6182">
        <w:rPr>
          <w:lang w:val="de-DE"/>
        </w:rPr>
        <w:t xml:space="preserve"> der Europäischen Union aufgenommen worden war (</w:t>
      </w:r>
      <w:r w:rsidR="003602B2" w:rsidRPr="005C6182">
        <w:rPr>
          <w:lang w:val="de-DE"/>
        </w:rPr>
        <w:t xml:space="preserve">Dokumente TG/61/7 Rev. 3 und </w:t>
      </w:r>
      <w:hyperlink r:id="rId12" w:history="1">
        <w:r w:rsidR="003602B2" w:rsidRPr="005C6182">
          <w:rPr>
            <w:rStyle w:val="Hyperlink"/>
            <w:lang w:val="de-DE"/>
          </w:rPr>
          <w:t>TWV/59/12).</w:t>
        </w:r>
      </w:hyperlink>
    </w:p>
    <w:p w14:paraId="76C28F54" w14:textId="77777777" w:rsidR="003602B2" w:rsidRPr="005C6182" w:rsidRDefault="003602B2" w:rsidP="00E33353">
      <w:pPr>
        <w:rPr>
          <w:lang w:val="de-DE"/>
        </w:rPr>
      </w:pPr>
    </w:p>
    <w:p w14:paraId="123C0DB4" w14:textId="5E4C6523" w:rsidR="00E33353" w:rsidRPr="005C6182" w:rsidRDefault="00E33353" w:rsidP="00E33353">
      <w:pPr>
        <w:rPr>
          <w:lang w:val="de-DE"/>
        </w:rPr>
      </w:pPr>
      <w:r w:rsidRPr="005C6182">
        <w:rPr>
          <w:lang w:val="de-DE"/>
        </w:rPr>
        <w:fldChar w:fldCharType="begin"/>
      </w:r>
      <w:r w:rsidRPr="005C6182">
        <w:rPr>
          <w:lang w:val="de-DE"/>
        </w:rPr>
        <w:instrText xml:space="preserve"> AUTONUM  </w:instrText>
      </w:r>
      <w:r w:rsidRPr="005C6182">
        <w:rPr>
          <w:lang w:val="de-DE"/>
        </w:rPr>
        <w:fldChar w:fldCharType="end"/>
      </w:r>
      <w:r w:rsidRPr="005C6182">
        <w:rPr>
          <w:lang w:val="de-DE"/>
        </w:rPr>
        <w:tab/>
        <w:t xml:space="preserve">Die TWV kam überein, dass das Merkmal unter Verwendung einer Skala mit drei Noten (QN) </w:t>
      </w:r>
      <w:r w:rsidR="00C1785B" w:rsidRPr="005C6182">
        <w:rPr>
          <w:lang w:val="de-DE"/>
        </w:rPr>
        <w:t xml:space="preserve">[anstelle von QL: „nicht vorhanden“/„vorhanden“] </w:t>
      </w:r>
      <w:r w:rsidRPr="005C6182">
        <w:rPr>
          <w:lang w:val="de-DE"/>
        </w:rPr>
        <w:t xml:space="preserve">überarbeitet werden sollte.  </w:t>
      </w:r>
    </w:p>
    <w:p w14:paraId="24E67C7F" w14:textId="77777777" w:rsidR="00E33353" w:rsidRPr="005C6182" w:rsidRDefault="00E33353" w:rsidP="00E33353">
      <w:pPr>
        <w:rPr>
          <w:lang w:val="de-DE"/>
        </w:rPr>
      </w:pPr>
    </w:p>
    <w:p w14:paraId="3942E044" w14:textId="77777777" w:rsidR="00E33353" w:rsidRPr="005C6182" w:rsidRDefault="00E33353" w:rsidP="00E33353">
      <w:pPr>
        <w:rPr>
          <w:lang w:val="de-DE"/>
        </w:rPr>
      </w:pPr>
      <w:r w:rsidRPr="005C6182">
        <w:rPr>
          <w:lang w:val="de-DE"/>
        </w:rPr>
        <w:fldChar w:fldCharType="begin"/>
      </w:r>
      <w:r w:rsidRPr="005C6182">
        <w:rPr>
          <w:lang w:val="de-DE"/>
        </w:rPr>
        <w:instrText xml:space="preserve"> AUTONUM  </w:instrText>
      </w:r>
      <w:r w:rsidRPr="005C6182">
        <w:rPr>
          <w:lang w:val="de-DE"/>
        </w:rPr>
        <w:fldChar w:fldCharType="end"/>
      </w:r>
      <w:r w:rsidRPr="005C6182">
        <w:rPr>
          <w:lang w:val="de-DE"/>
        </w:rPr>
        <w:tab/>
        <w:t xml:space="preserve">Die TWV erwog die Verwendung einer qualitativen (QL) Notenskala für das Merkmal CGMMV, das durch ein kontinuierliches Spektrum von Symptomen ausgedrückt wurde.  Die TWV kam überein, dass es keine klare Lücke zwischen den Ausprägungsstufen „nicht vorhanden/vorhanden“ gab.  </w:t>
      </w:r>
    </w:p>
    <w:p w14:paraId="55A25928" w14:textId="77777777" w:rsidR="00E33353" w:rsidRPr="005C6182" w:rsidRDefault="00E33353" w:rsidP="00E33353">
      <w:pPr>
        <w:rPr>
          <w:lang w:val="de-DE"/>
        </w:rPr>
      </w:pPr>
    </w:p>
    <w:p w14:paraId="5043462C" w14:textId="77777777" w:rsidR="00E33353" w:rsidRPr="005C6182" w:rsidRDefault="00E33353" w:rsidP="00E33353">
      <w:pPr>
        <w:rPr>
          <w:lang w:val="de-DE"/>
        </w:rPr>
      </w:pPr>
      <w:r w:rsidRPr="005C6182">
        <w:rPr>
          <w:lang w:val="de-DE"/>
        </w:rPr>
        <w:fldChar w:fldCharType="begin"/>
      </w:r>
      <w:r w:rsidRPr="005C6182">
        <w:rPr>
          <w:lang w:val="de-DE"/>
        </w:rPr>
        <w:instrText xml:space="preserve"> AUTONUM  </w:instrText>
      </w:r>
      <w:r w:rsidRPr="005C6182">
        <w:rPr>
          <w:lang w:val="de-DE"/>
        </w:rPr>
        <w:fldChar w:fldCharType="end"/>
      </w:r>
      <w:r w:rsidRPr="005C6182">
        <w:rPr>
          <w:lang w:val="de-DE"/>
        </w:rPr>
        <w:tab/>
        <w:t>Die TWV prüfte die Empfehlung des Erweiterten Redaktionsausschusses (TC-EDC), für das Merkmal eine quantitative Skala (QN) zu verwenden (z. B. drei Noten).  Die TWV nahm die Erklärung Frankreichs und der Niederlande (Königreich) zur Kenntnis, dass keine robuste Kontrollsorte identifiziert worden sei, um den Grenzwert für einen dritten Ausprägungszustand außer „nicht vorhanden“/„vorhanden“ zu definieren.</w:t>
      </w:r>
    </w:p>
    <w:p w14:paraId="3FE7DC61" w14:textId="77777777" w:rsidR="00E33353" w:rsidRPr="005C6182" w:rsidRDefault="00E33353" w:rsidP="00E33353">
      <w:pPr>
        <w:rPr>
          <w:lang w:val="de-DE"/>
        </w:rPr>
      </w:pPr>
    </w:p>
    <w:p w14:paraId="3CFE3946" w14:textId="77777777" w:rsidR="00E33353" w:rsidRPr="005C6182" w:rsidRDefault="00E33353" w:rsidP="00E33353">
      <w:pPr>
        <w:rPr>
          <w:lang w:val="de-DE"/>
        </w:rPr>
      </w:pPr>
      <w:r w:rsidRPr="005C6182">
        <w:rPr>
          <w:lang w:val="de-DE"/>
        </w:rPr>
        <w:fldChar w:fldCharType="begin"/>
      </w:r>
      <w:r w:rsidRPr="005C6182">
        <w:rPr>
          <w:lang w:val="de-DE"/>
        </w:rPr>
        <w:instrText xml:space="preserve"> AUTONUM  </w:instrText>
      </w:r>
      <w:r w:rsidRPr="005C6182">
        <w:rPr>
          <w:lang w:val="de-DE"/>
        </w:rPr>
        <w:fldChar w:fldCharType="end"/>
      </w:r>
      <w:r w:rsidRPr="005C6182">
        <w:rPr>
          <w:lang w:val="de-DE"/>
        </w:rPr>
        <w:tab/>
        <w:t xml:space="preserve">Die TWV stellte fest, dass die Anforderung für Beispielssorten im Falle von QN-Merkmalen mit Skalen von „1-5“ / „1-3“ darin bestand, Beispielssorten für mindestens </w:t>
      </w:r>
      <w:r w:rsidRPr="005C6182">
        <w:rPr>
          <w:u w:val="single"/>
          <w:lang w:val="de-DE"/>
        </w:rPr>
        <w:t xml:space="preserve">zwei </w:t>
      </w:r>
      <w:r w:rsidRPr="005C6182">
        <w:rPr>
          <w:lang w:val="de-DE"/>
        </w:rPr>
        <w:t xml:space="preserve">Ausprägungsstufen anzugeben (siehe: Dokument TGP/7 „Entwicklung von Prüfungsrichtlinien“, GN 28, Abschnitt 2.4).  Die TWV kam überein, dass für Krankheitsresistenzmerkmale mit drei Ausprägungsstufen nur zwei Beispielssorten erforderlich wären. </w:t>
      </w:r>
    </w:p>
    <w:p w14:paraId="7FE80991" w14:textId="77777777" w:rsidR="00E33353" w:rsidRPr="005C6182" w:rsidRDefault="00E33353" w:rsidP="00E33353">
      <w:pPr>
        <w:rPr>
          <w:lang w:val="de-DE"/>
        </w:rPr>
      </w:pPr>
    </w:p>
    <w:p w14:paraId="03C40966" w14:textId="72E6BB02" w:rsidR="00E33353" w:rsidRPr="005C6182" w:rsidRDefault="00E33353" w:rsidP="00E33353">
      <w:pPr>
        <w:rPr>
          <w:rFonts w:eastAsiaTheme="minorEastAsia" w:cs="Arial"/>
          <w:color w:val="333333"/>
          <w:shd w:val="clear" w:color="auto" w:fill="FFFFFF"/>
          <w:lang w:val="de-DE"/>
        </w:rPr>
      </w:pPr>
      <w:r w:rsidRPr="005C6182">
        <w:rPr>
          <w:rFonts w:eastAsiaTheme="minorEastAsia" w:cs="Arial"/>
          <w:color w:val="333333"/>
          <w:shd w:val="clear" w:color="auto" w:fill="FFFFFF"/>
          <w:lang w:val="de-DE"/>
        </w:rPr>
        <w:fldChar w:fldCharType="begin"/>
      </w:r>
      <w:r w:rsidRPr="005C6182">
        <w:rPr>
          <w:rFonts w:eastAsiaTheme="minorEastAsia" w:cs="Arial"/>
          <w:color w:val="333333"/>
          <w:shd w:val="clear" w:color="auto" w:fill="FFFFFF"/>
          <w:lang w:val="de-DE"/>
        </w:rPr>
        <w:instrText xml:space="preserve"> AUTONUM  </w:instrText>
      </w:r>
      <w:r w:rsidRPr="005C6182">
        <w:rPr>
          <w:rFonts w:eastAsiaTheme="minorEastAsia" w:cs="Arial"/>
          <w:color w:val="333333"/>
          <w:shd w:val="clear" w:color="auto" w:fill="FFFFFF"/>
          <w:lang w:val="de-DE"/>
        </w:rPr>
        <w:fldChar w:fldCharType="end"/>
      </w:r>
      <w:r w:rsidRPr="005C6182">
        <w:rPr>
          <w:rFonts w:eastAsiaTheme="minorEastAsia" w:cs="Arial"/>
          <w:color w:val="333333"/>
          <w:shd w:val="clear" w:color="auto" w:fill="FFFFFF"/>
          <w:lang w:val="de-DE"/>
        </w:rPr>
        <w:tab/>
        <w:t xml:space="preserve">Die TWV erörterte die Grenze zwischen zwei Ausprägungsstufen um die Schwellenwertkontrolle herum und den erforderlichen Unterschied, um einen klaren Unterschied zwischen zwei Sorten nahe der Grenze (z. B. oberes Ende von </w:t>
      </w:r>
      <w:r w:rsidR="004D4458" w:rsidRPr="005C6182">
        <w:rPr>
          <w:rFonts w:eastAsiaTheme="minorEastAsia" w:cs="Arial"/>
          <w:color w:val="333333"/>
          <w:shd w:val="clear" w:color="auto" w:fill="FFFFFF"/>
          <w:lang w:val="de-DE"/>
        </w:rPr>
        <w:t xml:space="preserve">„nicht vorhanden“ </w:t>
      </w:r>
      <w:r w:rsidRPr="005C6182">
        <w:rPr>
          <w:rFonts w:eastAsiaTheme="minorEastAsia" w:cs="Arial"/>
          <w:color w:val="333333"/>
          <w:shd w:val="clear" w:color="auto" w:fill="FFFFFF"/>
          <w:lang w:val="de-DE"/>
        </w:rPr>
        <w:t xml:space="preserve">und unteres Ende von </w:t>
      </w:r>
      <w:r w:rsidR="004D4458" w:rsidRPr="005C6182">
        <w:rPr>
          <w:rFonts w:eastAsiaTheme="minorEastAsia" w:cs="Arial"/>
          <w:color w:val="333333"/>
          <w:shd w:val="clear" w:color="auto" w:fill="FFFFFF"/>
          <w:lang w:val="de-DE"/>
        </w:rPr>
        <w:t>„vorhanden“</w:t>
      </w:r>
      <w:r w:rsidRPr="005C6182">
        <w:rPr>
          <w:rFonts w:eastAsiaTheme="minorEastAsia" w:cs="Arial"/>
          <w:color w:val="333333"/>
          <w:shd w:val="clear" w:color="auto" w:fill="FFFFFF"/>
          <w:lang w:val="de-DE"/>
        </w:rPr>
        <w:t xml:space="preserve">) nachzuweisen. Die TWV nahm die Erfahrungen Frankreichs mit der Verwendung statistischer Analysen zur Feststellung der Unterscheidbarkeit zwischen Sorten in dieser Situation zur Kenntnis. </w:t>
      </w:r>
    </w:p>
    <w:p w14:paraId="12A93C24" w14:textId="77777777" w:rsidR="00E33353" w:rsidRPr="005C6182" w:rsidRDefault="00E33353" w:rsidP="00E33353">
      <w:pPr>
        <w:rPr>
          <w:lang w:val="de-DE"/>
        </w:rPr>
      </w:pPr>
    </w:p>
    <w:p w14:paraId="0174D965" w14:textId="18A14167" w:rsidR="00E33353" w:rsidRPr="005C6182" w:rsidRDefault="00E33353" w:rsidP="00E33353">
      <w:pPr>
        <w:rPr>
          <w:lang w:val="de-DE"/>
        </w:rPr>
      </w:pPr>
      <w:r w:rsidRPr="005C6182">
        <w:rPr>
          <w:lang w:val="de-DE"/>
        </w:rPr>
        <w:fldChar w:fldCharType="begin"/>
      </w:r>
      <w:r w:rsidRPr="005C6182">
        <w:rPr>
          <w:lang w:val="de-DE"/>
        </w:rPr>
        <w:instrText xml:space="preserve"> AUTONUM  </w:instrText>
      </w:r>
      <w:r w:rsidRPr="005C6182">
        <w:rPr>
          <w:lang w:val="de-DE"/>
        </w:rPr>
        <w:fldChar w:fldCharType="end"/>
      </w:r>
      <w:r w:rsidRPr="005C6182">
        <w:rPr>
          <w:lang w:val="de-DE"/>
        </w:rPr>
        <w:tab/>
        <w:t>Die TWV kam überein, dass der Ansatz für QN-Krankheitsresistenzmerkmale unter Verwendung von Schwellenwertkontrollen für die Beurteilung der Unterscheidbarkeit bei Nebeneinandervergleichen geeignet sei, wobei bei Bedarf statistische Analysen verwendet werden sollten. Die TWV kam überein, dass der Ansatz für die Gruppierung von Sorten auf der Grundlage von Sortenbeschreibungen nicht geeignet sei.</w:t>
      </w:r>
    </w:p>
    <w:p w14:paraId="7AC4A086" w14:textId="77777777" w:rsidR="00E33353" w:rsidRPr="005C6182" w:rsidRDefault="00E33353" w:rsidP="00E33353">
      <w:pPr>
        <w:rPr>
          <w:lang w:val="de-DE"/>
        </w:rPr>
      </w:pPr>
    </w:p>
    <w:p w14:paraId="644F34A8" w14:textId="77777777" w:rsidR="00E33353" w:rsidRPr="005C6182" w:rsidRDefault="00E33353" w:rsidP="00E33353">
      <w:pPr>
        <w:rPr>
          <w:lang w:val="de-DE"/>
        </w:rPr>
      </w:pPr>
      <w:r w:rsidRPr="005C6182">
        <w:rPr>
          <w:lang w:val="de-DE"/>
        </w:rPr>
        <w:fldChar w:fldCharType="begin"/>
      </w:r>
      <w:r w:rsidRPr="005C6182">
        <w:rPr>
          <w:lang w:val="de-DE"/>
        </w:rPr>
        <w:instrText xml:space="preserve"> AUTONUM  </w:instrText>
      </w:r>
      <w:r w:rsidRPr="005C6182">
        <w:rPr>
          <w:lang w:val="de-DE"/>
        </w:rPr>
        <w:fldChar w:fldCharType="end"/>
      </w:r>
      <w:r w:rsidRPr="005C6182">
        <w:rPr>
          <w:lang w:val="de-DE"/>
        </w:rPr>
        <w:tab/>
        <w:t xml:space="preserve">Die TWV nahm die Verwendung von Krankheitsresistenzmerkmalen für die Gruppierung von Sorten zur Kenntnis und kam überein, dass die Verwendung einer qualitativen Skala (QL) für ein quantitatives Merkmal (QN) Grenzfälle ebenso behandelt wie aufeinanderfolgende Noten in QN-Skalen (z. B. Noten 1/9 = 1/2 oder 2/3).  </w:t>
      </w:r>
    </w:p>
    <w:p w14:paraId="4DA3FFB3" w14:textId="77777777" w:rsidR="00E33353" w:rsidRPr="005C6182" w:rsidRDefault="00E33353" w:rsidP="00E33353">
      <w:pPr>
        <w:rPr>
          <w:lang w:val="de-DE"/>
        </w:rPr>
      </w:pPr>
    </w:p>
    <w:p w14:paraId="27955ABC" w14:textId="77777777" w:rsidR="00E33353" w:rsidRPr="005C6182" w:rsidRDefault="00E33353" w:rsidP="00E33353">
      <w:pPr>
        <w:rPr>
          <w:lang w:val="de-DE"/>
        </w:rPr>
      </w:pPr>
      <w:r w:rsidRPr="005C6182">
        <w:rPr>
          <w:lang w:val="de-DE"/>
        </w:rPr>
        <w:fldChar w:fldCharType="begin"/>
      </w:r>
      <w:r w:rsidRPr="005C6182">
        <w:rPr>
          <w:lang w:val="de-DE"/>
        </w:rPr>
        <w:instrText xml:space="preserve"> AUTONUM  </w:instrText>
      </w:r>
      <w:r w:rsidRPr="005C6182">
        <w:rPr>
          <w:lang w:val="de-DE"/>
        </w:rPr>
        <w:fldChar w:fldCharType="end"/>
      </w:r>
      <w:r w:rsidRPr="005C6182">
        <w:rPr>
          <w:lang w:val="de-DE"/>
        </w:rPr>
        <w:tab/>
        <w:t>Die TWV erörterte die Bewertung der Homogenität von QN-Krankheitsresistenzmerkmalen, die als QL beschrieben werden, und die Möglichkeit, dass Pflanzen derselben Sorte in Klassen mit unterschiedlichen Ausprägungsgraden vorkommen. Die TWV nahm die Erklärung Frankreichs zur Kenntnis, dass bei der Homogenitätsprüfung die Verteilung der Pflanzen über die Klassen hinweg und die Ausreißerpflanzen außerhalb des erwarteten Verteilungsbereichs berücksichtigt werden.</w:t>
      </w:r>
    </w:p>
    <w:p w14:paraId="27C69692" w14:textId="77777777" w:rsidR="00E33353" w:rsidRPr="005C6182" w:rsidRDefault="00E33353" w:rsidP="00E33353">
      <w:pPr>
        <w:rPr>
          <w:lang w:val="de-DE"/>
        </w:rPr>
      </w:pPr>
    </w:p>
    <w:p w14:paraId="088B2254" w14:textId="77777777" w:rsidR="00E33353" w:rsidRPr="005C6182" w:rsidRDefault="00E33353" w:rsidP="00E33353">
      <w:pPr>
        <w:rPr>
          <w:lang w:val="de-DE"/>
        </w:rPr>
      </w:pPr>
      <w:r w:rsidRPr="005C6182">
        <w:rPr>
          <w:lang w:val="de-DE"/>
        </w:rPr>
        <w:fldChar w:fldCharType="begin"/>
      </w:r>
      <w:r w:rsidRPr="005C6182">
        <w:rPr>
          <w:lang w:val="de-DE"/>
        </w:rPr>
        <w:instrText xml:space="preserve"> AUTONUM  </w:instrText>
      </w:r>
      <w:r w:rsidRPr="005C6182">
        <w:rPr>
          <w:lang w:val="de-DE"/>
        </w:rPr>
        <w:fldChar w:fldCharType="end"/>
      </w:r>
      <w:r w:rsidRPr="005C6182">
        <w:rPr>
          <w:lang w:val="de-DE"/>
        </w:rPr>
        <w:tab/>
        <w:t xml:space="preserve">Die TWV erörterte allgemeine Fragen im Zusammenhang mit quantitativen Krankheitsresistenzmerkmalen und kam überein, die Niederlande (Königreich) zu ersuchen, Aspekte der UPOV-Leitlinien zu ermitteln, die geändert werden könnten, um den besonderen Merkmalen quantitativer Krankheitsresistenzmerkmale  Rechnung zu tragen, wie beispielsweise Verfahren für die Behandlung von Grenzfällen.  </w:t>
      </w:r>
    </w:p>
    <w:p w14:paraId="5CB0A856" w14:textId="77777777" w:rsidR="00E33353" w:rsidRPr="005C6182" w:rsidRDefault="00E33353" w:rsidP="00E33353">
      <w:pPr>
        <w:rPr>
          <w:lang w:val="de-DE"/>
        </w:rPr>
      </w:pPr>
    </w:p>
    <w:bookmarkEnd w:id="18"/>
    <w:p w14:paraId="0036D173" w14:textId="3A3216E3" w:rsidR="00E33353" w:rsidRPr="005C6182" w:rsidRDefault="00C1785B" w:rsidP="00E33353">
      <w:pPr>
        <w:rPr>
          <w:lang w:val="de-DE"/>
        </w:rPr>
      </w:pPr>
      <w:r w:rsidRPr="005C6182">
        <w:rPr>
          <w:lang w:val="de-DE"/>
        </w:rPr>
        <w:fldChar w:fldCharType="begin"/>
      </w:r>
      <w:r w:rsidRPr="005C6182">
        <w:rPr>
          <w:lang w:val="de-DE"/>
        </w:rPr>
        <w:instrText xml:space="preserve"> AUTONUM  </w:instrText>
      </w:r>
      <w:r w:rsidRPr="005C6182">
        <w:rPr>
          <w:lang w:val="de-DE"/>
        </w:rPr>
        <w:fldChar w:fldCharType="end"/>
      </w:r>
      <w:r w:rsidRPr="005C6182">
        <w:rPr>
          <w:lang w:val="de-DE"/>
        </w:rPr>
        <w:tab/>
      </w:r>
      <w:r w:rsidR="00E33353" w:rsidRPr="005C6182">
        <w:rPr>
          <w:lang w:val="de-DE"/>
        </w:rPr>
        <w:t xml:space="preserve">Die TWV nahm die Bemerkung Japans zur Kenntnis, dass künftige Diskussionen über Krankheitsresistenzmerkmale von der Teilnahme von Rechtsexperten, wie z. B. Vertretern der UPOV-Mitglieder im Verwaltungs- und Rechtsausschuss (CAJ), profitieren würden. </w:t>
      </w:r>
    </w:p>
    <w:p w14:paraId="6A05074D" w14:textId="77777777" w:rsidR="00302A22" w:rsidRPr="005C6182" w:rsidRDefault="00302A22" w:rsidP="003D0839">
      <w:pPr>
        <w:rPr>
          <w:snapToGrid w:val="0"/>
          <w:lang w:val="de-DE"/>
        </w:rPr>
      </w:pPr>
    </w:p>
    <w:p w14:paraId="017A4C92" w14:textId="77777777" w:rsidR="00FC0F25" w:rsidRPr="005C6182" w:rsidRDefault="00FC0F25" w:rsidP="003D0839">
      <w:pPr>
        <w:rPr>
          <w:snapToGrid w:val="0"/>
          <w:lang w:val="de-DE"/>
        </w:rPr>
      </w:pPr>
    </w:p>
    <w:p w14:paraId="506EE2B3" w14:textId="77777777" w:rsidR="00FC0F25" w:rsidRPr="005C6182" w:rsidRDefault="00FC0F25" w:rsidP="00365B2A">
      <w:pPr>
        <w:pStyle w:val="Heading2"/>
        <w:rPr>
          <w:lang w:val="de-DE"/>
        </w:rPr>
      </w:pPr>
      <w:bookmarkStart w:id="19" w:name="_Toc207646166"/>
      <w:bookmarkStart w:id="20" w:name="_Toc191917557"/>
      <w:bookmarkStart w:id="21" w:name="_Toc209516674"/>
      <w:r w:rsidRPr="005C6182">
        <w:rPr>
          <w:rFonts w:eastAsia="MS Mincho"/>
          <w:lang w:val="de-DE"/>
        </w:rPr>
        <w:lastRenderedPageBreak/>
        <w:t>Merkmale, die in einem Vegetationszyklus bei der DUS-Prüfung beobachtet werden, bei der die Mindestdauer der Prüfungen normalerweise zwei unabhängige Vegetationszyklen betragen sollte</w:t>
      </w:r>
      <w:bookmarkEnd w:id="19"/>
      <w:bookmarkEnd w:id="21"/>
    </w:p>
    <w:p w14:paraId="48FBBD0D" w14:textId="77777777" w:rsidR="00FC0F25" w:rsidRPr="005C6182" w:rsidRDefault="00FC0F25" w:rsidP="00FC0F25">
      <w:pPr>
        <w:rPr>
          <w:lang w:val="de-DE"/>
        </w:rPr>
      </w:pPr>
    </w:p>
    <w:p w14:paraId="7C907542" w14:textId="77777777" w:rsidR="00FC0F25" w:rsidRPr="005C6182" w:rsidRDefault="00FC0F25" w:rsidP="00FC0F25">
      <w:pPr>
        <w:rPr>
          <w:lang w:val="de-DE"/>
        </w:rPr>
      </w:pPr>
      <w:r w:rsidRPr="005C6182">
        <w:rPr>
          <w:lang w:val="de-DE"/>
        </w:rPr>
        <w:fldChar w:fldCharType="begin"/>
      </w:r>
      <w:r w:rsidRPr="005C6182">
        <w:rPr>
          <w:lang w:val="de-DE"/>
        </w:rPr>
        <w:instrText xml:space="preserve"> AUTONUM  </w:instrText>
      </w:r>
      <w:r w:rsidRPr="005C6182">
        <w:rPr>
          <w:lang w:val="de-DE"/>
        </w:rPr>
        <w:fldChar w:fldCharType="end"/>
      </w:r>
      <w:r w:rsidRPr="005C6182">
        <w:rPr>
          <w:lang w:val="de-DE"/>
        </w:rPr>
        <w:tab/>
        <w:t xml:space="preserve">Auf ihren Tagungen im Jahr 2025 hörten die TWV und die TWA einen Vortrag eines Sachverständigen der Europäischen Union  zum Thema „Merkmale, die in einem Vegetationszyklus bei der DUS-Prüfung beobachtet werden, wobei die Mindestdauer der Prüfungen normalerweise zwei unabhängige Vegetationszyklen betragen sollte“.  Der Vortrag ist in den Dokumenten </w:t>
      </w:r>
      <w:hyperlink r:id="rId13" w:history="1">
        <w:r w:rsidRPr="005C6182">
          <w:rPr>
            <w:rStyle w:val="Hyperlink"/>
            <w:lang w:val="de-DE"/>
          </w:rPr>
          <w:t>TWV/59/9</w:t>
        </w:r>
      </w:hyperlink>
      <w:r w:rsidRPr="005C6182">
        <w:rPr>
          <w:lang w:val="de-DE"/>
        </w:rPr>
        <w:t xml:space="preserve"> und </w:t>
      </w:r>
      <w:hyperlink r:id="rId14" w:history="1">
        <w:r w:rsidRPr="005C6182">
          <w:rPr>
            <w:rStyle w:val="Hyperlink"/>
            <w:lang w:val="de-DE"/>
          </w:rPr>
          <w:t>TWA/54/3</w:t>
        </w:r>
      </w:hyperlink>
      <w:r w:rsidRPr="005C6182">
        <w:rPr>
          <w:lang w:val="de-DE"/>
        </w:rPr>
        <w:t xml:space="preserve"> enthalten.</w:t>
      </w:r>
    </w:p>
    <w:p w14:paraId="4CEF6780" w14:textId="77777777" w:rsidR="00FC0F25" w:rsidRPr="005C6182" w:rsidRDefault="00FC0F25" w:rsidP="00FC0F25">
      <w:pPr>
        <w:rPr>
          <w:lang w:val="de-DE"/>
        </w:rPr>
      </w:pPr>
    </w:p>
    <w:p w14:paraId="17628387" w14:textId="77777777" w:rsidR="00FC0F25" w:rsidRPr="005C6182" w:rsidRDefault="00FC0F25" w:rsidP="00FC0F25">
      <w:pPr>
        <w:keepLines/>
        <w:rPr>
          <w:lang w:val="de-DE"/>
        </w:rPr>
      </w:pPr>
      <w:r w:rsidRPr="005C6182">
        <w:rPr>
          <w:lang w:val="de-DE"/>
        </w:rPr>
        <w:fldChar w:fldCharType="begin"/>
      </w:r>
      <w:r w:rsidRPr="005C6182">
        <w:rPr>
          <w:lang w:val="de-DE"/>
        </w:rPr>
        <w:instrText xml:space="preserve"> AUTONUM  </w:instrText>
      </w:r>
      <w:r w:rsidRPr="005C6182">
        <w:rPr>
          <w:lang w:val="de-DE"/>
        </w:rPr>
        <w:fldChar w:fldCharType="end"/>
      </w:r>
      <w:r w:rsidRPr="005C6182">
        <w:rPr>
          <w:lang w:val="de-DE"/>
        </w:rPr>
        <w:tab/>
        <w:t>Der TWV prüfte, ob der Standardwortlaut in den UPOV-Prüfungsrichtlinien geändert werden sollte, um klarzustellen, dass bestimmte Merkmale nur in einem Vegetationszyklus bewertet werden können. Der TWV nahm die Berichte Japans und Kenias zur Kenntnis, in denen dargelegt wurde, wie die Leitlinien in diesen Ländern ausgelegt wurden. Der TWV kam überein, dass die Leitlinien Flexibilität bieten, um die Prüfung nach einem Vegetationszyklus abzuschließen, wenn ein zuverlässiges Ergebnis erzielt werden kann, oder um bei Bedarf zusätzliche Vegetationszyklen durchzuführen.</w:t>
      </w:r>
    </w:p>
    <w:p w14:paraId="395C8658" w14:textId="77777777" w:rsidR="00FC0F25" w:rsidRPr="005C6182" w:rsidRDefault="00FC0F25" w:rsidP="00FC0F25">
      <w:pPr>
        <w:rPr>
          <w:rFonts w:cs="Arial"/>
          <w:color w:val="39394D"/>
          <w:lang w:val="de-DE"/>
        </w:rPr>
      </w:pPr>
    </w:p>
    <w:p w14:paraId="2D9AAF91" w14:textId="77777777" w:rsidR="00FC0F25" w:rsidRPr="005C6182" w:rsidRDefault="00FC0F25" w:rsidP="00FC0F25">
      <w:pPr>
        <w:rPr>
          <w:lang w:val="de-DE"/>
        </w:rPr>
      </w:pPr>
      <w:r w:rsidRPr="005C6182">
        <w:rPr>
          <w:lang w:val="de-DE"/>
        </w:rPr>
        <w:fldChar w:fldCharType="begin"/>
      </w:r>
      <w:r w:rsidRPr="005C6182">
        <w:rPr>
          <w:lang w:val="de-DE"/>
        </w:rPr>
        <w:instrText xml:space="preserve"> AUTONUM  </w:instrText>
      </w:r>
      <w:r w:rsidRPr="005C6182">
        <w:rPr>
          <w:lang w:val="de-DE"/>
        </w:rPr>
        <w:fldChar w:fldCharType="end"/>
      </w:r>
      <w:r w:rsidRPr="005C6182">
        <w:rPr>
          <w:lang w:val="de-DE"/>
        </w:rPr>
        <w:tab/>
        <w:t xml:space="preserve">Die TWA kam überein, dass die Leitlinien in Dokument TG/1/3 („Allgemeine Einführung in die Prüfung der Unterscheidbarkeit, Homogenität und Beständigkeit und die Entwicklung harmonisierter Beschreibungen neuer Pflanzensorten“) und in den Prüfungsrichtlinien den Behörden ausreichende Flexibilität bieten, um zu entscheiden, wann zwei Vegetationsperioden erforderlich sind, damit die Ausprägung der Merkmale in einer bestimmten Umgebung als ausreichend konsistent und wiederholbar angesehen werden kann. </w:t>
      </w:r>
    </w:p>
    <w:p w14:paraId="224E2019" w14:textId="77777777" w:rsidR="00FC0F25" w:rsidRPr="005C6182" w:rsidRDefault="00FC0F25" w:rsidP="00FC0F25">
      <w:pPr>
        <w:rPr>
          <w:lang w:val="de-DE"/>
        </w:rPr>
      </w:pPr>
    </w:p>
    <w:p w14:paraId="57D3EA4F" w14:textId="77777777" w:rsidR="00A44D2D" w:rsidRPr="005C6182" w:rsidRDefault="00A44D2D" w:rsidP="00A44D2D">
      <w:pPr>
        <w:rPr>
          <w:lang w:val="de-DE"/>
        </w:rPr>
      </w:pPr>
    </w:p>
    <w:p w14:paraId="77D0CB90" w14:textId="62B130AD" w:rsidR="00A44D2D" w:rsidRPr="005C6182" w:rsidRDefault="00A44D2D" w:rsidP="005639BE">
      <w:pPr>
        <w:pStyle w:val="Heading2"/>
        <w:keepLines/>
        <w:rPr>
          <w:rFonts w:eastAsia="MS Mincho"/>
          <w:lang w:val="de-DE"/>
        </w:rPr>
      </w:pPr>
      <w:bookmarkStart w:id="22" w:name="_Toc207212888"/>
      <w:bookmarkStart w:id="23" w:name="_Hlk208828547"/>
      <w:bookmarkStart w:id="24" w:name="_Toc209516675"/>
      <w:r w:rsidRPr="005C6182">
        <w:rPr>
          <w:rFonts w:eastAsia="MS Mincho"/>
          <w:lang w:val="de-DE"/>
        </w:rPr>
        <w:t>Beurteilung der Homogenität von Merkmalen, die nicht in den Prüfungsrichtlinien aufgeführt sind</w:t>
      </w:r>
      <w:bookmarkEnd w:id="22"/>
      <w:bookmarkEnd w:id="24"/>
      <w:r w:rsidRPr="005C6182">
        <w:rPr>
          <w:rFonts w:eastAsia="MS Mincho"/>
          <w:lang w:val="de-DE"/>
        </w:rPr>
        <w:t xml:space="preserve"> </w:t>
      </w:r>
    </w:p>
    <w:bookmarkEnd w:id="23"/>
    <w:p w14:paraId="201E3E9D" w14:textId="77777777" w:rsidR="00A44D2D" w:rsidRPr="005C6182" w:rsidRDefault="00A44D2D" w:rsidP="005639BE">
      <w:pPr>
        <w:keepNext/>
        <w:keepLines/>
        <w:rPr>
          <w:rFonts w:eastAsia="MS Mincho"/>
          <w:lang w:val="de-DE"/>
        </w:rPr>
      </w:pPr>
    </w:p>
    <w:p w14:paraId="4354C4B5" w14:textId="77777777" w:rsidR="00A44D2D" w:rsidRPr="005C6182" w:rsidRDefault="00A44D2D" w:rsidP="005639BE">
      <w:pPr>
        <w:keepNext/>
        <w:keepLines/>
        <w:rPr>
          <w:rFonts w:eastAsia="MS Mincho"/>
          <w:lang w:val="de-DE"/>
        </w:rPr>
      </w:pPr>
      <w:r w:rsidRPr="005C6182">
        <w:rPr>
          <w:lang w:val="de-DE"/>
        </w:rPr>
        <w:fldChar w:fldCharType="begin"/>
      </w:r>
      <w:r w:rsidRPr="005C6182">
        <w:rPr>
          <w:lang w:val="de-DE"/>
        </w:rPr>
        <w:instrText xml:space="preserve"> AUTONUM  </w:instrText>
      </w:r>
      <w:r w:rsidRPr="005C6182">
        <w:rPr>
          <w:lang w:val="de-DE"/>
        </w:rPr>
        <w:fldChar w:fldCharType="end"/>
      </w:r>
      <w:r w:rsidRPr="005C6182">
        <w:rPr>
          <w:lang w:val="de-DE"/>
        </w:rPr>
        <w:tab/>
      </w:r>
      <w:r w:rsidRPr="005C6182">
        <w:rPr>
          <w:rFonts w:eastAsia="MS Mincho"/>
          <w:lang w:val="de-DE"/>
        </w:rPr>
        <w:t xml:space="preserve">Die TWO prüfte das Dokument TWO/57/7 „Vorschlag zur Überarbeitung der Dokumente TGP/9/2 (Prüfung der Unterscheidbarkeit) und TGP/10/2 (Prüfung der Homogenität)“ und kam überein, dass es nicht erforderlich sei, die Leitlinien in den Dokumenten TGP/9 und TGP/10 zu ändern, um die Möglichkeit zu präzisieren, zusätzlich zu den Merkmalen in den UPOV-Prüfungsrichtlinien weitere Merkmale für die DUS-Prüfung heranzuziehen.  Die TWO verwies auf die Anleitung in Dokument TG/1/3 „Allgemeine Einführung in die Prüfung der Unterscheidbarkeit, der Homogenität und der Beständigkeit und die Entwicklung harmonisierter Beschreibungen neuer Pflanzensorten“ (die „Allgemeine Einführung“), Absatz 4.2.3, in dem es heißt: </w:t>
      </w:r>
    </w:p>
    <w:p w14:paraId="260B2C05" w14:textId="77777777" w:rsidR="00A44D2D" w:rsidRPr="005C6182" w:rsidRDefault="00A44D2D" w:rsidP="00A44D2D">
      <w:pPr>
        <w:rPr>
          <w:rFonts w:eastAsia="MS Mincho"/>
          <w:lang w:val="de-DE"/>
        </w:rPr>
      </w:pPr>
    </w:p>
    <w:p w14:paraId="15A4949C" w14:textId="77777777" w:rsidR="00A44D2D" w:rsidRPr="005C6182" w:rsidRDefault="00A44D2D" w:rsidP="00A44D2D">
      <w:pPr>
        <w:tabs>
          <w:tab w:val="left" w:pos="1276"/>
        </w:tabs>
        <w:ind w:left="567" w:right="567"/>
        <w:rPr>
          <w:rFonts w:eastAsia="MS Mincho"/>
          <w:sz w:val="18"/>
          <w:szCs w:val="18"/>
          <w:lang w:val="de-DE"/>
        </w:rPr>
      </w:pPr>
      <w:r w:rsidRPr="005C6182">
        <w:rPr>
          <w:rFonts w:eastAsia="MS Mincho"/>
          <w:sz w:val="18"/>
          <w:szCs w:val="18"/>
          <w:lang w:val="de-DE"/>
        </w:rPr>
        <w:t>„4.2.3</w:t>
      </w:r>
      <w:r w:rsidRPr="005C6182">
        <w:rPr>
          <w:rFonts w:eastAsia="MS Mincho"/>
          <w:sz w:val="18"/>
          <w:szCs w:val="18"/>
          <w:lang w:val="de-DE"/>
        </w:rPr>
        <w:tab/>
        <w:t>[…] Die in den einzelnen Prüfungsrichtlinien aufgeführten Merkmale sind nicht unbedingt erschöpfend und können um zusätzliche Merkmale erweitert werden, wenn sich dies als sinnvoll erweist und die Merkmale die oben genannten Bedingungen erfüllen.“ [Grundlegende Anforderungen, die ein Merkmal erfüllen muss, bevor es für die DUS-Prüfung verwendet werden kann]</w:t>
      </w:r>
    </w:p>
    <w:p w14:paraId="65E5E183" w14:textId="77777777" w:rsidR="00A44D2D" w:rsidRPr="005C6182" w:rsidRDefault="00A44D2D" w:rsidP="00A44D2D">
      <w:pPr>
        <w:rPr>
          <w:lang w:val="de-DE"/>
        </w:rPr>
      </w:pPr>
    </w:p>
    <w:p w14:paraId="3F094B50" w14:textId="77777777" w:rsidR="00A44D2D" w:rsidRPr="005C6182" w:rsidRDefault="00A44D2D" w:rsidP="00A44D2D">
      <w:pPr>
        <w:rPr>
          <w:lang w:val="de-DE"/>
        </w:rPr>
      </w:pPr>
      <w:r w:rsidRPr="005C6182">
        <w:rPr>
          <w:lang w:val="de-DE"/>
        </w:rPr>
        <w:fldChar w:fldCharType="begin"/>
      </w:r>
      <w:r w:rsidRPr="005C6182">
        <w:rPr>
          <w:lang w:val="de-DE"/>
        </w:rPr>
        <w:instrText xml:space="preserve"> AUTONUM  </w:instrText>
      </w:r>
      <w:r w:rsidRPr="005C6182">
        <w:rPr>
          <w:lang w:val="de-DE"/>
        </w:rPr>
        <w:fldChar w:fldCharType="end"/>
      </w:r>
      <w:r w:rsidRPr="005C6182">
        <w:rPr>
          <w:lang w:val="de-DE"/>
        </w:rPr>
        <w:tab/>
      </w:r>
      <w:bookmarkStart w:id="25" w:name="_Hlk207308398"/>
      <w:r w:rsidRPr="005C6182">
        <w:rPr>
          <w:lang w:val="de-DE"/>
        </w:rPr>
        <w:t>Die TWO befasste sich mit der Bewertung zusätzlicher Merkmale, die nicht in den UPOV-Prüfungsrichtlinien enthalten sind, wie in Dokument TWO/57/7 dargelegt, und mit der Frage, ob es angemessen wäre, solche Merkmale nur auf Einheitlichkeit und nicht auf Unterscheidbarkeit zu prüfen</w:t>
      </w:r>
      <w:bookmarkEnd w:id="25"/>
      <w:r w:rsidRPr="005C6182">
        <w:rPr>
          <w:lang w:val="de-DE"/>
        </w:rPr>
        <w:t xml:space="preserve"> . Die TWO erinnerte daran, dass das UPOV-Übereinkommen vorschreibt, dass eine Sorte auf die Erfüllung der Bedingungen der Unterscheidbarkeit, Einheitlichkeit und Beständigkeit geprüft werden muss, und kam überein, dass jedes zusätzliche Merkmal derselben Rechtsgrundlage unterliegen würde. </w:t>
      </w:r>
    </w:p>
    <w:p w14:paraId="629B050A" w14:textId="77777777" w:rsidR="00A44D2D" w:rsidRPr="005C6182" w:rsidRDefault="00A44D2D" w:rsidP="00A44D2D">
      <w:pPr>
        <w:rPr>
          <w:lang w:val="de-DE"/>
        </w:rPr>
      </w:pPr>
    </w:p>
    <w:p w14:paraId="21E5C25C" w14:textId="77777777" w:rsidR="00A44D2D" w:rsidRPr="005C6182" w:rsidRDefault="00A44D2D" w:rsidP="00A44D2D">
      <w:pPr>
        <w:rPr>
          <w:lang w:val="de-DE"/>
        </w:rPr>
      </w:pPr>
    </w:p>
    <w:p w14:paraId="4FCFD53B" w14:textId="124B1860" w:rsidR="00BA470A" w:rsidRPr="005C6182" w:rsidRDefault="00302A22" w:rsidP="00365B2A">
      <w:pPr>
        <w:pStyle w:val="Heading2"/>
        <w:rPr>
          <w:rFonts w:eastAsia="MS Mincho"/>
          <w:lang w:val="de-DE"/>
        </w:rPr>
      </w:pPr>
      <w:bookmarkStart w:id="26" w:name="_Toc209516676"/>
      <w:r w:rsidRPr="005C6182">
        <w:rPr>
          <w:rFonts w:eastAsia="MS Mincho"/>
          <w:lang w:val="de-DE"/>
        </w:rPr>
        <w:t>Bericht über Gerichtsverfahren zu technischen Fragen</w:t>
      </w:r>
      <w:bookmarkStart w:id="27" w:name="_Hlk205555062"/>
      <w:r w:rsidR="00AC0937" w:rsidRPr="005C6182">
        <w:rPr>
          <w:rFonts w:eastAsia="MS Mincho"/>
          <w:lang w:val="de-DE"/>
        </w:rPr>
        <w:t xml:space="preserve"> : </w:t>
      </w:r>
      <w:r w:rsidR="00BA470A" w:rsidRPr="005C6182">
        <w:rPr>
          <w:rFonts w:eastAsia="MS Mincho"/>
          <w:i/>
          <w:iCs/>
          <w:lang w:val="de-DE"/>
        </w:rPr>
        <w:t xml:space="preserve">Allium cepa </w:t>
      </w:r>
      <w:r w:rsidR="00BA470A" w:rsidRPr="005C6182">
        <w:rPr>
          <w:rFonts w:eastAsia="MS Mincho"/>
          <w:lang w:val="de-DE"/>
        </w:rPr>
        <w:t>L. „SK20“</w:t>
      </w:r>
      <w:bookmarkEnd w:id="26"/>
    </w:p>
    <w:bookmarkEnd w:id="27"/>
    <w:p w14:paraId="58EED9CC" w14:textId="77777777" w:rsidR="00BA470A" w:rsidRPr="005C6182" w:rsidRDefault="00BA470A" w:rsidP="00302A22">
      <w:pPr>
        <w:rPr>
          <w:rFonts w:eastAsia="MS Mincho"/>
          <w:lang w:val="de-DE"/>
        </w:rPr>
      </w:pPr>
    </w:p>
    <w:p w14:paraId="5966E818" w14:textId="7E1750B8" w:rsidR="00BA470A" w:rsidRPr="005C6182" w:rsidRDefault="001E6406" w:rsidP="00BA470A">
      <w:pPr>
        <w:rPr>
          <w:lang w:val="de-DE"/>
        </w:rPr>
      </w:pPr>
      <w:r w:rsidRPr="005C6182">
        <w:rPr>
          <w:rFonts w:eastAsia="MS Mincho"/>
          <w:lang w:val="de-DE"/>
        </w:rPr>
        <w:fldChar w:fldCharType="begin"/>
      </w:r>
      <w:r w:rsidRPr="005C6182">
        <w:rPr>
          <w:rFonts w:eastAsia="MS Mincho"/>
          <w:lang w:val="de-DE"/>
        </w:rPr>
        <w:instrText xml:space="preserve"> AUTONUM  </w:instrText>
      </w:r>
      <w:r w:rsidRPr="005C6182">
        <w:rPr>
          <w:rFonts w:eastAsia="MS Mincho"/>
          <w:lang w:val="de-DE"/>
        </w:rPr>
        <w:fldChar w:fldCharType="end"/>
      </w:r>
      <w:r w:rsidRPr="005C6182">
        <w:rPr>
          <w:rFonts w:eastAsia="MS Mincho"/>
          <w:lang w:val="de-DE"/>
        </w:rPr>
        <w:tab/>
      </w:r>
      <w:r w:rsidR="00302A22" w:rsidRPr="005C6182">
        <w:rPr>
          <w:rFonts w:eastAsia="MS Mincho"/>
          <w:lang w:val="de-DE"/>
        </w:rPr>
        <w:t>Die TWO</w:t>
      </w:r>
      <w:r w:rsidR="001B6C83" w:rsidRPr="005C6182">
        <w:rPr>
          <w:rFonts w:eastAsia="MS Mincho"/>
          <w:lang w:val="de-DE"/>
        </w:rPr>
        <w:t xml:space="preserve">, TWV und TWF </w:t>
      </w:r>
      <w:r w:rsidR="00302A22" w:rsidRPr="005C6182">
        <w:rPr>
          <w:rFonts w:eastAsia="MS Mincho"/>
          <w:lang w:val="de-DE"/>
        </w:rPr>
        <w:t xml:space="preserve">hörten eine Präsentation </w:t>
      </w:r>
      <w:r w:rsidR="001B6C83" w:rsidRPr="005C6182">
        <w:rPr>
          <w:rFonts w:eastAsia="MS Mincho"/>
          <w:lang w:val="de-DE"/>
        </w:rPr>
        <w:t xml:space="preserve">der Europäischen Union zum Gerichtsverfahren </w:t>
      </w:r>
      <w:r w:rsidR="001B6C83" w:rsidRPr="005C6182">
        <w:rPr>
          <w:rFonts w:eastAsia="MS Mincho"/>
          <w:i/>
          <w:iCs/>
          <w:lang w:val="de-DE"/>
        </w:rPr>
        <w:t xml:space="preserve">„Allium cepa </w:t>
      </w:r>
      <w:r w:rsidR="001B6C83" w:rsidRPr="005C6182">
        <w:rPr>
          <w:rFonts w:eastAsia="MS Mincho"/>
          <w:lang w:val="de-DE"/>
        </w:rPr>
        <w:t xml:space="preserve">L. ‚SK20‘“, wie in den Dokumenten </w:t>
      </w:r>
      <w:hyperlink r:id="rId15" w:history="1">
        <w:r w:rsidR="001B6C83" w:rsidRPr="005C6182">
          <w:rPr>
            <w:rStyle w:val="Hyperlink"/>
            <w:rFonts w:eastAsia="MS Mincho"/>
            <w:lang w:val="de-DE"/>
          </w:rPr>
          <w:t>TWO/57/4</w:t>
        </w:r>
      </w:hyperlink>
      <w:r w:rsidR="001B6C83" w:rsidRPr="005C6182">
        <w:rPr>
          <w:rFonts w:eastAsia="MS Mincho"/>
          <w:lang w:val="de-DE"/>
        </w:rPr>
        <w:t xml:space="preserve">, </w:t>
      </w:r>
      <w:hyperlink r:id="rId16" w:history="1">
        <w:r w:rsidR="00BA470A" w:rsidRPr="005C6182">
          <w:rPr>
            <w:rStyle w:val="Hyperlink"/>
            <w:lang w:val="de-DE"/>
          </w:rPr>
          <w:t>TWV/59/8</w:t>
        </w:r>
      </w:hyperlink>
      <w:r w:rsidR="001B6C83" w:rsidRPr="005C6182">
        <w:rPr>
          <w:lang w:val="de-DE"/>
        </w:rPr>
        <w:t xml:space="preserve"> und </w:t>
      </w:r>
      <w:hyperlink r:id="rId17" w:history="1">
        <w:r w:rsidR="00BA470A" w:rsidRPr="005C6182">
          <w:rPr>
            <w:rStyle w:val="Hyperlink"/>
            <w:lang w:val="de-DE"/>
          </w:rPr>
          <w:t>TWF/56/4</w:t>
        </w:r>
      </w:hyperlink>
      <w:r w:rsidR="001B6C83" w:rsidRPr="005C6182">
        <w:rPr>
          <w:rFonts w:eastAsia="MS Mincho"/>
          <w:lang w:val="de-DE"/>
        </w:rPr>
        <w:t xml:space="preserve"> dargelegt</w:t>
      </w:r>
      <w:r w:rsidR="001B6C83" w:rsidRPr="005C6182">
        <w:rPr>
          <w:rStyle w:val="FootnoteReference"/>
          <w:lang w:val="de-DE"/>
        </w:rPr>
        <w:footnoteReference w:id="10"/>
      </w:r>
      <w:r w:rsidR="00BA470A" w:rsidRPr="005C6182">
        <w:rPr>
          <w:lang w:val="de-DE"/>
        </w:rPr>
        <w:t xml:space="preserve"> .</w:t>
      </w:r>
    </w:p>
    <w:p w14:paraId="4951999C" w14:textId="77777777" w:rsidR="00302A22" w:rsidRPr="005C6182" w:rsidRDefault="00302A22" w:rsidP="00302A22">
      <w:pPr>
        <w:rPr>
          <w:rFonts w:eastAsia="MS Mincho"/>
          <w:lang w:val="de-DE"/>
        </w:rPr>
      </w:pPr>
    </w:p>
    <w:p w14:paraId="5A7ECF23" w14:textId="1C8FEFED" w:rsidR="00302A22" w:rsidRPr="005C6182" w:rsidRDefault="001E6406" w:rsidP="00302A22">
      <w:pPr>
        <w:rPr>
          <w:rFonts w:eastAsia="MS Mincho"/>
          <w:lang w:val="de-DE"/>
        </w:rPr>
      </w:pPr>
      <w:r w:rsidRPr="005C6182">
        <w:rPr>
          <w:rFonts w:eastAsia="MS Mincho"/>
          <w:lang w:val="de-DE"/>
        </w:rPr>
        <w:fldChar w:fldCharType="begin"/>
      </w:r>
      <w:r w:rsidRPr="005C6182">
        <w:rPr>
          <w:rFonts w:eastAsia="MS Mincho"/>
          <w:lang w:val="de-DE"/>
        </w:rPr>
        <w:instrText xml:space="preserve"> AUTONUM  </w:instrText>
      </w:r>
      <w:r w:rsidRPr="005C6182">
        <w:rPr>
          <w:rFonts w:eastAsia="MS Mincho"/>
          <w:lang w:val="de-DE"/>
        </w:rPr>
        <w:fldChar w:fldCharType="end"/>
      </w:r>
      <w:r w:rsidRPr="005C6182">
        <w:rPr>
          <w:rFonts w:eastAsia="MS Mincho"/>
          <w:lang w:val="de-DE"/>
        </w:rPr>
        <w:tab/>
      </w:r>
      <w:r w:rsidR="00302A22" w:rsidRPr="005C6182">
        <w:rPr>
          <w:rFonts w:eastAsia="MS Mincho"/>
          <w:lang w:val="de-DE"/>
        </w:rPr>
        <w:t xml:space="preserve">Die TWO prüfte den Vorschlag in Dokument TWO/57/4 für Sortenbeschreibungen, die Angaben zu Merkmalen zu reduzieren, in denen sich der Kandidat von der ähnlichen Sorte unterscheidet, und kam überein, dass Angaben zu den relevantesten Merkmalen </w:t>
      </w:r>
      <w:r w:rsidR="00302A22" w:rsidRPr="005C6182">
        <w:rPr>
          <w:lang w:val="de-DE"/>
        </w:rPr>
        <w:t xml:space="preserve">im Bericht über die technische Prüfung </w:t>
      </w:r>
      <w:r w:rsidR="00302A22" w:rsidRPr="005C6182">
        <w:rPr>
          <w:rFonts w:eastAsia="MS Mincho"/>
          <w:lang w:val="de-DE"/>
        </w:rPr>
        <w:t xml:space="preserve">enthalten sein sollten. </w:t>
      </w:r>
    </w:p>
    <w:bookmarkEnd w:id="20"/>
    <w:p w14:paraId="0B558C0D" w14:textId="77777777" w:rsidR="006F0A99" w:rsidRPr="005C6182" w:rsidRDefault="006F0A99" w:rsidP="006F0A99">
      <w:pPr>
        <w:rPr>
          <w:lang w:val="de-DE"/>
        </w:rPr>
      </w:pPr>
    </w:p>
    <w:p w14:paraId="6BEA7C47" w14:textId="249B0C1D" w:rsidR="006F0A99" w:rsidRPr="005C6182" w:rsidRDefault="001E6406" w:rsidP="006F0A99">
      <w:pPr>
        <w:rPr>
          <w:lang w:val="de-DE"/>
        </w:rPr>
      </w:pPr>
      <w:r w:rsidRPr="005C6182">
        <w:rPr>
          <w:lang w:val="de-DE"/>
        </w:rPr>
        <w:fldChar w:fldCharType="begin"/>
      </w:r>
      <w:r w:rsidRPr="005C6182">
        <w:rPr>
          <w:lang w:val="de-DE"/>
        </w:rPr>
        <w:instrText xml:space="preserve"> AUTONUM  </w:instrText>
      </w:r>
      <w:r w:rsidRPr="005C6182">
        <w:rPr>
          <w:lang w:val="de-DE"/>
        </w:rPr>
        <w:fldChar w:fldCharType="end"/>
      </w:r>
      <w:r w:rsidRPr="005C6182">
        <w:rPr>
          <w:lang w:val="de-DE"/>
        </w:rPr>
        <w:tab/>
      </w:r>
      <w:r w:rsidR="006F0A99" w:rsidRPr="005C6182">
        <w:rPr>
          <w:lang w:val="de-DE"/>
        </w:rPr>
        <w:t xml:space="preserve">Die TWV erörterte die Verwendung zusätzlicher Merkmale, die nicht in den Prüfungsrichtlinien enthalten sind, und nahm einen der vom Gericht angeführten Gründe zur Kenntnis, wonach die Merkmale in der Sortenbeschreibung „nicht dazu bestimmt sind, alle Merkmale widerzuspiegeln, die sich aus dem Genotyp der Sorte ergeben, sondern nur bestimmte Merkmale, die ausreichen, um die Erfüllung der Unterscheidbarkeitsanforderung nachzuweisen”.  </w:t>
      </w:r>
    </w:p>
    <w:p w14:paraId="1DAE9A6B" w14:textId="77777777" w:rsidR="006F0A99" w:rsidRPr="005C6182" w:rsidRDefault="006F0A99" w:rsidP="006F0A99">
      <w:pPr>
        <w:rPr>
          <w:lang w:val="de-DE"/>
        </w:rPr>
      </w:pPr>
    </w:p>
    <w:p w14:paraId="4E66C0A1" w14:textId="6ECD7D9C" w:rsidR="006F0A99" w:rsidRPr="005C6182" w:rsidRDefault="001E6406" w:rsidP="006F0A99">
      <w:pPr>
        <w:rPr>
          <w:lang w:val="de-DE"/>
        </w:rPr>
      </w:pPr>
      <w:r w:rsidRPr="005C6182">
        <w:rPr>
          <w:lang w:val="de-DE"/>
        </w:rPr>
        <w:fldChar w:fldCharType="begin"/>
      </w:r>
      <w:r w:rsidRPr="005C6182">
        <w:rPr>
          <w:lang w:val="de-DE"/>
        </w:rPr>
        <w:instrText xml:space="preserve"> AUTONUM  </w:instrText>
      </w:r>
      <w:r w:rsidRPr="005C6182">
        <w:rPr>
          <w:lang w:val="de-DE"/>
        </w:rPr>
        <w:fldChar w:fldCharType="end"/>
      </w:r>
      <w:r w:rsidRPr="005C6182">
        <w:rPr>
          <w:lang w:val="de-DE"/>
        </w:rPr>
        <w:tab/>
      </w:r>
      <w:r w:rsidR="006F0A99" w:rsidRPr="005C6182">
        <w:rPr>
          <w:lang w:val="de-DE"/>
        </w:rPr>
        <w:t>Die TWV prüfte den Vorschlag in Dokument TWV/59/8 für Sortenbeschreibungen, die Angaben zu Merkmalen, durch die sich die Kandidatensorte von der vergleichbaren Sorte unterscheidet, zu reduzieren, und stellte fest, dass es in den verschiedenen Technischen Arbeitsgruppen (TWP) unterschiedliche Ansichten zu dieser Frage gibt.</w:t>
      </w:r>
    </w:p>
    <w:p w14:paraId="34FA8E9A" w14:textId="77777777" w:rsidR="009357CF" w:rsidRPr="005C6182" w:rsidRDefault="009357CF" w:rsidP="009357CF">
      <w:pPr>
        <w:rPr>
          <w:lang w:val="de-DE"/>
        </w:rPr>
      </w:pPr>
    </w:p>
    <w:p w14:paraId="0B3D8CDB" w14:textId="77777777" w:rsidR="009357CF" w:rsidRPr="005C6182" w:rsidRDefault="009357CF" w:rsidP="009357CF">
      <w:pPr>
        <w:rPr>
          <w:lang w:val="de-DE"/>
        </w:rPr>
      </w:pPr>
      <w:r w:rsidRPr="005C6182">
        <w:rPr>
          <w:lang w:val="de-DE"/>
        </w:rPr>
        <w:fldChar w:fldCharType="begin"/>
      </w:r>
      <w:r w:rsidRPr="005C6182">
        <w:rPr>
          <w:lang w:val="de-DE"/>
        </w:rPr>
        <w:instrText xml:space="preserve"> AUTONUM  </w:instrText>
      </w:r>
      <w:r w:rsidRPr="005C6182">
        <w:rPr>
          <w:lang w:val="de-DE"/>
        </w:rPr>
        <w:fldChar w:fldCharType="end"/>
      </w:r>
      <w:r w:rsidRPr="005C6182">
        <w:rPr>
          <w:lang w:val="de-DE"/>
        </w:rPr>
        <w:tab/>
        <w:t xml:space="preserve">Die TWF erörterte die Anzahl der Merkmale in den Prüfungsrichtlinien und kam überein, dass ein Gleichgewicht zwischen einer ausreichenden Anzahl von Merkmalen, die eine Beschreibung der Sorte ermöglichen, und einer Konzentration auf die für die Unterscheidbarkeit nützlichsten Merkmale bestehen sollte. </w:t>
      </w:r>
    </w:p>
    <w:p w14:paraId="5351580B" w14:textId="77777777" w:rsidR="009357CF" w:rsidRPr="005C6182" w:rsidRDefault="009357CF" w:rsidP="009357CF">
      <w:pPr>
        <w:rPr>
          <w:lang w:val="de-DE"/>
        </w:rPr>
      </w:pPr>
    </w:p>
    <w:p w14:paraId="72AB7775" w14:textId="7A147BC8" w:rsidR="009357CF" w:rsidRPr="005C6182" w:rsidRDefault="006B68C2" w:rsidP="009357CF">
      <w:pPr>
        <w:rPr>
          <w:lang w:val="de-DE"/>
        </w:rPr>
      </w:pPr>
      <w:r w:rsidRPr="005C6182">
        <w:rPr>
          <w:lang w:val="de-DE"/>
        </w:rPr>
        <w:fldChar w:fldCharType="begin"/>
      </w:r>
      <w:r w:rsidRPr="005C6182">
        <w:rPr>
          <w:lang w:val="de-DE"/>
        </w:rPr>
        <w:instrText xml:space="preserve"> AUTONUM  </w:instrText>
      </w:r>
      <w:r w:rsidRPr="005C6182">
        <w:rPr>
          <w:lang w:val="de-DE"/>
        </w:rPr>
        <w:fldChar w:fldCharType="end"/>
      </w:r>
      <w:r w:rsidRPr="005C6182">
        <w:rPr>
          <w:lang w:val="de-DE"/>
        </w:rPr>
        <w:tab/>
      </w:r>
      <w:r w:rsidR="009357CF" w:rsidRPr="005C6182">
        <w:rPr>
          <w:lang w:val="de-DE"/>
        </w:rPr>
        <w:t xml:space="preserve">Die TWF begrüßte die Initiative, einen Gerichtsfall zu technischen Fragen vorzustellen, und kam überein, in Zukunft ähnliche Präsentationen einzuladen. </w:t>
      </w:r>
    </w:p>
    <w:p w14:paraId="3CF62047" w14:textId="77777777" w:rsidR="00302A22" w:rsidRPr="005C6182" w:rsidRDefault="00302A22" w:rsidP="00302A22">
      <w:pPr>
        <w:jc w:val="left"/>
        <w:rPr>
          <w:rFonts w:eastAsia="MS Mincho"/>
          <w:lang w:val="de-DE"/>
        </w:rPr>
      </w:pPr>
    </w:p>
    <w:p w14:paraId="07521527" w14:textId="77777777" w:rsidR="004675E5" w:rsidRPr="005C6182" w:rsidRDefault="004675E5" w:rsidP="00302A22">
      <w:pPr>
        <w:jc w:val="left"/>
        <w:rPr>
          <w:rFonts w:eastAsia="MS Mincho"/>
          <w:lang w:val="de-DE"/>
        </w:rPr>
      </w:pPr>
    </w:p>
    <w:p w14:paraId="1C3F74F5" w14:textId="2DBFAD48" w:rsidR="009C0E22" w:rsidRPr="005C6182" w:rsidRDefault="003B4826" w:rsidP="00365B2A">
      <w:pPr>
        <w:pStyle w:val="Heading2"/>
        <w:rPr>
          <w:rFonts w:eastAsia="MS Mincho"/>
          <w:lang w:val="de-DE"/>
        </w:rPr>
      </w:pPr>
      <w:bookmarkStart w:id="28" w:name="_Toc209516677"/>
      <w:r w:rsidRPr="005C6182">
        <w:rPr>
          <w:lang w:val="de-DE"/>
        </w:rPr>
        <w:t>Informationsdatenbanken</w:t>
      </w:r>
      <w:r w:rsidR="00AC0937" w:rsidRPr="005C6182">
        <w:rPr>
          <w:lang w:val="de-DE"/>
        </w:rPr>
        <w:t xml:space="preserve">: </w:t>
      </w:r>
      <w:r w:rsidR="009C0E22" w:rsidRPr="005C6182">
        <w:rPr>
          <w:rFonts w:eastAsia="MS Mincho"/>
          <w:lang w:val="de-DE"/>
        </w:rPr>
        <w:t>Der Wert und die Zuverlässigkeit botanischer Namen bei Zierpflanzen</w:t>
      </w:r>
      <w:bookmarkEnd w:id="28"/>
    </w:p>
    <w:p w14:paraId="4976911A" w14:textId="77777777" w:rsidR="009C0E22" w:rsidRPr="005C6182" w:rsidRDefault="009C0E22" w:rsidP="009C0E22">
      <w:pPr>
        <w:jc w:val="left"/>
        <w:rPr>
          <w:rFonts w:eastAsia="MS Mincho"/>
          <w:lang w:val="de-DE"/>
        </w:rPr>
      </w:pPr>
    </w:p>
    <w:p w14:paraId="64A971D4" w14:textId="5A670E78" w:rsidR="009C0E22" w:rsidRPr="005C6182" w:rsidRDefault="00092C1C" w:rsidP="009C0E22">
      <w:pPr>
        <w:rPr>
          <w:rFonts w:eastAsia="MS Mincho"/>
          <w:lang w:val="de-DE"/>
        </w:rPr>
      </w:pPr>
      <w:r w:rsidRPr="005C6182">
        <w:rPr>
          <w:rFonts w:eastAsia="MS Mincho"/>
          <w:lang w:val="de-DE"/>
        </w:rPr>
        <w:fldChar w:fldCharType="begin"/>
      </w:r>
      <w:r w:rsidRPr="005C6182">
        <w:rPr>
          <w:rFonts w:eastAsia="MS Mincho"/>
          <w:lang w:val="de-DE"/>
        </w:rPr>
        <w:instrText xml:space="preserve"> AUTONUM  </w:instrText>
      </w:r>
      <w:r w:rsidRPr="005C6182">
        <w:rPr>
          <w:rFonts w:eastAsia="MS Mincho"/>
          <w:lang w:val="de-DE"/>
        </w:rPr>
        <w:fldChar w:fldCharType="end"/>
      </w:r>
      <w:r w:rsidRPr="005C6182">
        <w:rPr>
          <w:rFonts w:eastAsia="MS Mincho"/>
          <w:lang w:val="de-DE"/>
        </w:rPr>
        <w:tab/>
      </w:r>
      <w:r w:rsidR="009C0E22" w:rsidRPr="005C6182">
        <w:rPr>
          <w:rFonts w:eastAsia="MS Mincho"/>
          <w:lang w:val="de-DE"/>
        </w:rPr>
        <w:t>Die TWO</w:t>
      </w:r>
      <w:r w:rsidR="003B4826" w:rsidRPr="005C6182">
        <w:rPr>
          <w:rStyle w:val="FootnoteReference"/>
          <w:rFonts w:eastAsia="MS Mincho"/>
          <w:lang w:val="de-DE"/>
        </w:rPr>
        <w:footnoteReference w:id="11"/>
      </w:r>
      <w:r w:rsidR="009C0E22" w:rsidRPr="005C6182">
        <w:rPr>
          <w:rFonts w:eastAsia="MS Mincho"/>
          <w:lang w:val="de-DE"/>
        </w:rPr>
        <w:t xml:space="preserve"> hörte einen Vortrag zum Thema „Der Wert und die Zuverlässigkeit botanischer Namen bei Zierpflanzen” von einem Experten aus den Niederlande (Königreich). Der Vortrag ist in Dokument </w:t>
      </w:r>
      <w:r w:rsidR="009C0E22" w:rsidRPr="005C6182">
        <w:rPr>
          <w:rStyle w:val="Hyperlink"/>
          <w:rFonts w:eastAsia="MS Mincho"/>
          <w:lang w:val="de-DE"/>
        </w:rPr>
        <w:t>TWO/57/8</w:t>
      </w:r>
      <w:bookmarkStart w:id="29" w:name="OLE_LINK1"/>
      <w:r w:rsidR="003B4826" w:rsidRPr="005C6182">
        <w:rPr>
          <w:rFonts w:eastAsia="MS Mincho"/>
          <w:lang w:val="de-DE"/>
        </w:rPr>
        <w:fldChar w:fldCharType="begin"/>
      </w:r>
      <w:r w:rsidR="003B4826" w:rsidRPr="005C6182">
        <w:rPr>
          <w:rFonts w:eastAsia="MS Mincho"/>
          <w:lang w:val="de-DE"/>
        </w:rPr>
        <w:instrText>HYPERLINK "https://www.upov.int/edocs/mdocs/upov/en/two_57/two_57_8.pdf"</w:instrText>
      </w:r>
      <w:r w:rsidR="003B4826" w:rsidRPr="005C6182">
        <w:rPr>
          <w:rFonts w:eastAsia="MS Mincho"/>
          <w:lang w:val="de-DE"/>
        </w:rPr>
      </w:r>
      <w:r w:rsidR="003B4826" w:rsidRPr="005C6182">
        <w:rPr>
          <w:rFonts w:eastAsia="MS Mincho"/>
          <w:lang w:val="de-DE"/>
        </w:rPr>
        <w:fldChar w:fldCharType="separate"/>
      </w:r>
      <w:bookmarkEnd w:id="29"/>
      <w:r w:rsidR="003B4826" w:rsidRPr="005C6182">
        <w:rPr>
          <w:rFonts w:eastAsia="MS Mincho"/>
          <w:lang w:val="de-DE"/>
        </w:rPr>
        <w:fldChar w:fldCharType="end"/>
      </w:r>
      <w:r w:rsidR="009C0E22" w:rsidRPr="005C6182">
        <w:rPr>
          <w:rFonts w:eastAsia="MS Mincho"/>
          <w:lang w:val="de-DE"/>
        </w:rPr>
        <w:t xml:space="preserve"> enthalten.</w:t>
      </w:r>
    </w:p>
    <w:p w14:paraId="5380B49F" w14:textId="77777777" w:rsidR="009C0E22" w:rsidRPr="005C6182" w:rsidRDefault="009C0E22" w:rsidP="009C0E22">
      <w:pPr>
        <w:rPr>
          <w:rFonts w:eastAsia="MS Mincho"/>
          <w:lang w:val="de-DE"/>
        </w:rPr>
      </w:pPr>
    </w:p>
    <w:p w14:paraId="0B9E131A" w14:textId="75F2AFA1" w:rsidR="009C0E22" w:rsidRPr="005C6182" w:rsidRDefault="00092C1C" w:rsidP="009C0E22">
      <w:pPr>
        <w:rPr>
          <w:rFonts w:eastAsia="MS Mincho"/>
          <w:lang w:val="de-DE"/>
        </w:rPr>
      </w:pPr>
      <w:r w:rsidRPr="005C6182">
        <w:rPr>
          <w:rFonts w:eastAsia="MS Mincho"/>
          <w:lang w:val="de-DE"/>
        </w:rPr>
        <w:fldChar w:fldCharType="begin"/>
      </w:r>
      <w:r w:rsidRPr="005C6182">
        <w:rPr>
          <w:rFonts w:eastAsia="MS Mincho"/>
          <w:lang w:val="de-DE"/>
        </w:rPr>
        <w:instrText xml:space="preserve"> AUTONUM  </w:instrText>
      </w:r>
      <w:r w:rsidRPr="005C6182">
        <w:rPr>
          <w:rFonts w:eastAsia="MS Mincho"/>
          <w:lang w:val="de-DE"/>
        </w:rPr>
        <w:fldChar w:fldCharType="end"/>
      </w:r>
      <w:r w:rsidRPr="005C6182">
        <w:rPr>
          <w:rFonts w:eastAsia="MS Mincho"/>
          <w:lang w:val="de-DE"/>
        </w:rPr>
        <w:tab/>
      </w:r>
      <w:r w:rsidR="009C0E22" w:rsidRPr="005C6182">
        <w:rPr>
          <w:rFonts w:eastAsia="MS Mincho"/>
          <w:lang w:val="de-DE"/>
        </w:rPr>
        <w:t>Die TWO nahm den Bericht in Dokument TWO/57/8 zur Kenntnis, wonach ungenaue taxonomische Angaben von Antragstellern administrative Konsequenzen für die internationale Zusammenarbeit und die Erteilung von Züchterrechten haben könnten.</w:t>
      </w:r>
    </w:p>
    <w:p w14:paraId="4A4F9008" w14:textId="77777777" w:rsidR="009C0E22" w:rsidRPr="005C6182" w:rsidRDefault="009C0E22" w:rsidP="009C0E22">
      <w:pPr>
        <w:rPr>
          <w:rFonts w:eastAsia="MS Mincho"/>
          <w:lang w:val="de-DE"/>
        </w:rPr>
      </w:pPr>
    </w:p>
    <w:p w14:paraId="69555699" w14:textId="71AE2CE6" w:rsidR="009C0E22" w:rsidRPr="005C6182" w:rsidRDefault="00092C1C" w:rsidP="009C0E22">
      <w:pPr>
        <w:rPr>
          <w:rFonts w:eastAsia="MS Mincho"/>
          <w:lang w:val="de-DE"/>
        </w:rPr>
      </w:pPr>
      <w:r w:rsidRPr="005C6182">
        <w:rPr>
          <w:rFonts w:eastAsia="MS Mincho"/>
          <w:lang w:val="de-DE"/>
        </w:rPr>
        <w:fldChar w:fldCharType="begin"/>
      </w:r>
      <w:r w:rsidRPr="005C6182">
        <w:rPr>
          <w:rFonts w:eastAsia="MS Mincho"/>
          <w:lang w:val="de-DE"/>
        </w:rPr>
        <w:instrText xml:space="preserve"> AUTONUM  </w:instrText>
      </w:r>
      <w:r w:rsidRPr="005C6182">
        <w:rPr>
          <w:rFonts w:eastAsia="MS Mincho"/>
          <w:lang w:val="de-DE"/>
        </w:rPr>
        <w:fldChar w:fldCharType="end"/>
      </w:r>
      <w:r w:rsidRPr="005C6182">
        <w:rPr>
          <w:rFonts w:eastAsia="MS Mincho"/>
          <w:lang w:val="de-DE"/>
        </w:rPr>
        <w:tab/>
      </w:r>
      <w:r w:rsidR="009C0E22" w:rsidRPr="005C6182">
        <w:rPr>
          <w:rFonts w:eastAsia="MS Mincho"/>
          <w:lang w:val="de-DE"/>
        </w:rPr>
        <w:t xml:space="preserve">Die TWO war sich einig, dass es für Züchter schwierig sein könnte, präzise taxonomische Informationen für bestimmte Zierpflanzen, insbesondere solche mit komplexer Taxonomie,  bereitzustellen.  Die TWO kam überein, dass in solchen Fällen bei der Auswahl ähnlicher Sorten die gesamte Gattung berücksichtigt werden sollte, um zu vermeiden, dass Sorten für den Vergleich im Anbauversuch übersehen werden.  </w:t>
      </w:r>
    </w:p>
    <w:p w14:paraId="09E827AB" w14:textId="77777777" w:rsidR="009C0E22" w:rsidRPr="005C6182" w:rsidRDefault="009C0E22" w:rsidP="009C0E22">
      <w:pPr>
        <w:rPr>
          <w:rFonts w:eastAsia="MS Mincho"/>
          <w:lang w:val="de-DE"/>
        </w:rPr>
      </w:pPr>
    </w:p>
    <w:p w14:paraId="2A4676CE" w14:textId="54E28589" w:rsidR="009C0E22" w:rsidRPr="005C6182" w:rsidRDefault="00092C1C" w:rsidP="009C0E22">
      <w:pPr>
        <w:rPr>
          <w:rFonts w:eastAsia="MS Mincho"/>
          <w:lang w:val="de-DE"/>
        </w:rPr>
      </w:pPr>
      <w:r w:rsidRPr="005C6182">
        <w:rPr>
          <w:rFonts w:eastAsia="MS Mincho"/>
          <w:lang w:val="de-DE"/>
        </w:rPr>
        <w:fldChar w:fldCharType="begin"/>
      </w:r>
      <w:r w:rsidRPr="005C6182">
        <w:rPr>
          <w:rFonts w:eastAsia="MS Mincho"/>
          <w:lang w:val="de-DE"/>
        </w:rPr>
        <w:instrText xml:space="preserve"> AUTONUM  </w:instrText>
      </w:r>
      <w:r w:rsidRPr="005C6182">
        <w:rPr>
          <w:rFonts w:eastAsia="MS Mincho"/>
          <w:lang w:val="de-DE"/>
        </w:rPr>
        <w:fldChar w:fldCharType="end"/>
      </w:r>
      <w:r w:rsidRPr="005C6182">
        <w:rPr>
          <w:rFonts w:eastAsia="MS Mincho"/>
          <w:lang w:val="de-DE"/>
        </w:rPr>
        <w:tab/>
      </w:r>
      <w:r w:rsidR="009C0E22" w:rsidRPr="005C6182">
        <w:rPr>
          <w:rFonts w:eastAsia="MS Mincho"/>
          <w:lang w:val="de-DE"/>
        </w:rPr>
        <w:t xml:space="preserve">Die TWO prüfte den Vorschlag in Dokument TWO/57/8 zur Verwendung einer Gruppenklassifizierung bei Zierpflanzen mit komplexer Taxonomie und kam überein, dass dieser Ansatz von Fall zu Fall geprüft werden sollte.  </w:t>
      </w:r>
    </w:p>
    <w:p w14:paraId="098A381B" w14:textId="77777777" w:rsidR="00445B73" w:rsidRPr="005C6182" w:rsidRDefault="00445B73" w:rsidP="00445B73">
      <w:pPr>
        <w:rPr>
          <w:lang w:val="de-DE"/>
        </w:rPr>
      </w:pPr>
    </w:p>
    <w:p w14:paraId="7BE71397" w14:textId="77777777" w:rsidR="00852529" w:rsidRPr="005C6182" w:rsidRDefault="00852529" w:rsidP="00852529">
      <w:pPr>
        <w:rPr>
          <w:rFonts w:eastAsiaTheme="minorEastAsia" w:cs="Calibri"/>
          <w:szCs w:val="22"/>
          <w:lang w:val="de-DE"/>
          <w14:ligatures w14:val="standardContextual"/>
        </w:rPr>
      </w:pPr>
    </w:p>
    <w:p w14:paraId="6AE791DF" w14:textId="77777777" w:rsidR="00852529" w:rsidRPr="005C6182" w:rsidRDefault="00852529" w:rsidP="00365B2A">
      <w:pPr>
        <w:pStyle w:val="Heading2"/>
        <w:rPr>
          <w:rFonts w:eastAsiaTheme="minorEastAsia"/>
          <w:lang w:val="de-DE"/>
        </w:rPr>
      </w:pPr>
      <w:bookmarkStart w:id="30" w:name="_Toc209516678"/>
      <w:r w:rsidRPr="005C6182">
        <w:rPr>
          <w:rFonts w:eastAsiaTheme="minorEastAsia"/>
          <w:lang w:val="de-DE"/>
        </w:rPr>
        <w:t>Software und statistische Analysemethoden für die DUS-Prüfung</w:t>
      </w:r>
      <w:bookmarkEnd w:id="30"/>
    </w:p>
    <w:p w14:paraId="50D40854" w14:textId="77777777" w:rsidR="00852529" w:rsidRPr="005C6182" w:rsidRDefault="00852529" w:rsidP="00852529">
      <w:pPr>
        <w:jc w:val="left"/>
        <w:rPr>
          <w:rFonts w:eastAsiaTheme="minorEastAsia" w:cs="Calibri"/>
          <w:lang w:val="de-DE"/>
          <w14:ligatures w14:val="standardContextual"/>
        </w:rPr>
      </w:pPr>
    </w:p>
    <w:p w14:paraId="71506324" w14:textId="77777777" w:rsidR="00852529" w:rsidRPr="005C6182" w:rsidRDefault="00852529" w:rsidP="00642D69">
      <w:pPr>
        <w:pStyle w:val="Heading3"/>
        <w:rPr>
          <w:rFonts w:eastAsiaTheme="minorEastAsia"/>
          <w:lang w:val="de-DE"/>
        </w:rPr>
      </w:pPr>
      <w:bookmarkStart w:id="31" w:name="_Hlk193879452"/>
      <w:bookmarkStart w:id="32" w:name="_Toc209516679"/>
      <w:r w:rsidRPr="005C6182">
        <w:rPr>
          <w:rFonts w:eastAsiaTheme="minorEastAsia"/>
          <w:lang w:val="de-DE"/>
        </w:rPr>
        <w:t>Entwicklung einer Big-Data-Plattform für die DUS-Prüfung</w:t>
      </w:r>
      <w:bookmarkEnd w:id="31"/>
      <w:bookmarkEnd w:id="32"/>
    </w:p>
    <w:p w14:paraId="33F85A1C" w14:textId="77777777" w:rsidR="00852529" w:rsidRPr="005C6182" w:rsidRDefault="00852529" w:rsidP="00852529">
      <w:pPr>
        <w:jc w:val="left"/>
        <w:rPr>
          <w:rFonts w:eastAsiaTheme="minorEastAsia" w:cs="Calibri"/>
          <w:szCs w:val="22"/>
          <w:lang w:val="de-DE"/>
          <w14:ligatures w14:val="standardContextual"/>
        </w:rPr>
      </w:pPr>
    </w:p>
    <w:p w14:paraId="59A5ABBA" w14:textId="44DDA8D6" w:rsidR="00852529" w:rsidRPr="005C6182" w:rsidRDefault="00092C1C" w:rsidP="00852529">
      <w:pPr>
        <w:contextualSpacing/>
        <w:jc w:val="left"/>
        <w:rPr>
          <w:rFonts w:eastAsiaTheme="minorEastAsia" w:cs="Calibri"/>
          <w:szCs w:val="22"/>
          <w:lang w:val="de-DE"/>
          <w14:ligatures w14:val="standardContextual"/>
        </w:rPr>
      </w:pPr>
      <w:r w:rsidRPr="005C6182">
        <w:rPr>
          <w:rFonts w:eastAsiaTheme="minorEastAsia" w:cs="Calibri"/>
          <w:szCs w:val="22"/>
          <w:lang w:val="de-DE"/>
          <w14:ligatures w14:val="standardContextual"/>
        </w:rPr>
        <w:fldChar w:fldCharType="begin"/>
      </w:r>
      <w:r w:rsidRPr="005C6182">
        <w:rPr>
          <w:rFonts w:eastAsiaTheme="minorEastAsia" w:cs="Calibri"/>
          <w:szCs w:val="22"/>
          <w:lang w:val="de-DE"/>
          <w14:ligatures w14:val="standardContextual"/>
        </w:rPr>
        <w:instrText xml:space="preserve"> AUTONUM  </w:instrText>
      </w:r>
      <w:r w:rsidRPr="005C6182">
        <w:rPr>
          <w:rFonts w:eastAsiaTheme="minorEastAsia" w:cs="Calibri"/>
          <w:szCs w:val="22"/>
          <w:lang w:val="de-DE"/>
          <w14:ligatures w14:val="standardContextual"/>
        </w:rPr>
        <w:fldChar w:fldCharType="end"/>
      </w:r>
      <w:r w:rsidRPr="005C6182">
        <w:rPr>
          <w:rFonts w:eastAsiaTheme="minorEastAsia" w:cs="Calibri"/>
          <w:szCs w:val="22"/>
          <w:lang w:val="de-DE"/>
          <w14:ligatures w14:val="standardContextual"/>
        </w:rPr>
        <w:tab/>
      </w:r>
      <w:r w:rsidR="00852529" w:rsidRPr="005C6182">
        <w:rPr>
          <w:rFonts w:eastAsiaTheme="minorEastAsia" w:cs="Calibri"/>
          <w:szCs w:val="22"/>
          <w:lang w:val="de-DE"/>
          <w14:ligatures w14:val="standardContextual"/>
        </w:rPr>
        <w:t>Der TWM</w:t>
      </w:r>
      <w:r w:rsidR="00693F23" w:rsidRPr="005C6182">
        <w:rPr>
          <w:rStyle w:val="FootnoteReference"/>
          <w:rFonts w:eastAsiaTheme="minorEastAsia" w:cs="Calibri"/>
          <w:szCs w:val="22"/>
          <w:lang w:val="de-DE"/>
          <w14:ligatures w14:val="standardContextual"/>
        </w:rPr>
        <w:footnoteReference w:id="12"/>
      </w:r>
      <w:r w:rsidR="00852529" w:rsidRPr="005C6182">
        <w:rPr>
          <w:rFonts w:eastAsiaTheme="minorEastAsia" w:cs="Calibri"/>
          <w:szCs w:val="22"/>
          <w:lang w:val="de-DE"/>
          <w14:ligatures w14:val="standardContextual"/>
        </w:rPr>
        <w:t xml:space="preserve"> hörte einen Vortrag von Herrn Kun Yang </w:t>
      </w:r>
      <w:r w:rsidR="00852529" w:rsidRPr="005C6182">
        <w:rPr>
          <w:rFonts w:eastAsiaTheme="minorEastAsia" w:cs="Calibri"/>
          <w:szCs w:val="22"/>
          <w:lang w:val="de-DE" w:eastAsia="ja-JP"/>
          <w14:ligatures w14:val="standardContextual"/>
        </w:rPr>
        <w:t xml:space="preserve">(China) </w:t>
      </w:r>
      <w:r w:rsidR="00852529" w:rsidRPr="005C6182">
        <w:rPr>
          <w:rFonts w:eastAsiaTheme="minorEastAsia" w:cs="Calibri"/>
          <w:szCs w:val="22"/>
          <w:lang w:val="de-DE"/>
          <w14:ligatures w14:val="standardContextual"/>
        </w:rPr>
        <w:t xml:space="preserve">zum Thema „Entwicklung einer Big-Data-Plattform für die DUS-Prüfung”, </w:t>
      </w:r>
      <w:r w:rsidR="00852529" w:rsidRPr="005C6182">
        <w:rPr>
          <w:rFonts w:eastAsiaTheme="minorEastAsia" w:cs="Arial"/>
          <w:iCs/>
          <w:szCs w:val="22"/>
          <w:lang w:val="de-DE"/>
          <w14:ligatures w14:val="standardContextual"/>
        </w:rPr>
        <w:t xml:space="preserve">dessen Kopie in Dokument </w:t>
      </w:r>
      <w:hyperlink r:id="rId18" w:history="1">
        <w:r w:rsidR="00852529" w:rsidRPr="005C6182">
          <w:rPr>
            <w:rStyle w:val="Hyperlink"/>
            <w:rFonts w:eastAsiaTheme="minorEastAsia" w:cs="Calibri"/>
            <w:szCs w:val="22"/>
            <w:lang w:val="de-DE" w:eastAsia="ja-JP"/>
            <w14:ligatures w14:val="standardContextual"/>
          </w:rPr>
          <w:t>TWM/3/19</w:t>
        </w:r>
      </w:hyperlink>
      <w:r w:rsidR="00852529" w:rsidRPr="005C6182">
        <w:rPr>
          <w:rFonts w:eastAsiaTheme="minorEastAsia" w:cs="Arial"/>
          <w:iCs/>
          <w:szCs w:val="22"/>
          <w:lang w:val="de-DE"/>
          <w14:ligatures w14:val="standardContextual"/>
        </w:rPr>
        <w:t xml:space="preserve"> wiedergegeben ist</w:t>
      </w:r>
      <w:r w:rsidR="00852529" w:rsidRPr="005C6182">
        <w:rPr>
          <w:rFonts w:eastAsiaTheme="minorEastAsia" w:cs="Calibri"/>
          <w:szCs w:val="22"/>
          <w:lang w:val="de-DE"/>
          <w14:ligatures w14:val="standardContextual"/>
        </w:rPr>
        <w:t xml:space="preserve">.  </w:t>
      </w:r>
    </w:p>
    <w:p w14:paraId="43B9EA51" w14:textId="77777777" w:rsidR="00852529" w:rsidRPr="005C6182" w:rsidRDefault="00852529" w:rsidP="00852529">
      <w:pPr>
        <w:contextualSpacing/>
        <w:rPr>
          <w:rFonts w:eastAsiaTheme="minorEastAsia" w:cs="Calibri"/>
          <w:szCs w:val="22"/>
          <w:lang w:val="de-DE"/>
          <w14:ligatures w14:val="standardContextual"/>
        </w:rPr>
      </w:pPr>
    </w:p>
    <w:p w14:paraId="4E5F06E8" w14:textId="3AEFEB31" w:rsidR="00852529" w:rsidRPr="005C6182" w:rsidRDefault="00092C1C" w:rsidP="00092C1C">
      <w:pPr>
        <w:contextualSpacing/>
        <w:jc w:val="left"/>
        <w:rPr>
          <w:rFonts w:eastAsiaTheme="minorEastAsia" w:cs="Calibri"/>
          <w:szCs w:val="22"/>
          <w:lang w:val="de-DE"/>
          <w14:ligatures w14:val="standardContextual"/>
        </w:rPr>
      </w:pPr>
      <w:r w:rsidRPr="005C6182">
        <w:rPr>
          <w:rFonts w:eastAsiaTheme="minorEastAsia" w:cs="Calibri"/>
          <w:szCs w:val="22"/>
          <w:lang w:val="de-DE"/>
          <w14:ligatures w14:val="standardContextual"/>
        </w:rPr>
        <w:fldChar w:fldCharType="begin"/>
      </w:r>
      <w:r w:rsidRPr="005C6182">
        <w:rPr>
          <w:rFonts w:eastAsiaTheme="minorEastAsia" w:cs="Calibri"/>
          <w:szCs w:val="22"/>
          <w:lang w:val="de-DE"/>
          <w14:ligatures w14:val="standardContextual"/>
        </w:rPr>
        <w:instrText xml:space="preserve"> AUTONUM  </w:instrText>
      </w:r>
      <w:r w:rsidRPr="005C6182">
        <w:rPr>
          <w:rFonts w:eastAsiaTheme="minorEastAsia" w:cs="Calibri"/>
          <w:szCs w:val="22"/>
          <w:lang w:val="de-DE"/>
          <w14:ligatures w14:val="standardContextual"/>
        </w:rPr>
        <w:fldChar w:fldCharType="end"/>
      </w:r>
      <w:r w:rsidRPr="005C6182">
        <w:rPr>
          <w:rFonts w:eastAsiaTheme="minorEastAsia" w:cs="Calibri"/>
          <w:szCs w:val="22"/>
          <w:lang w:val="de-DE"/>
          <w14:ligatures w14:val="standardContextual"/>
        </w:rPr>
        <w:tab/>
      </w:r>
      <w:r w:rsidR="00852529" w:rsidRPr="005C6182">
        <w:rPr>
          <w:rFonts w:eastAsiaTheme="minorEastAsia" w:cs="Calibri"/>
          <w:szCs w:val="22"/>
          <w:lang w:val="de-DE"/>
          <w14:ligatures w14:val="standardContextual"/>
        </w:rPr>
        <w:t xml:space="preserve">Der TWM nahm </w:t>
      </w:r>
      <w:r w:rsidR="00852529" w:rsidRPr="005C6182">
        <w:rPr>
          <w:rFonts w:eastAsiaTheme="minorEastAsia" w:cs="Calibri"/>
          <w:szCs w:val="22"/>
          <w:lang w:val="de-DE" w:eastAsia="ja-JP"/>
          <w14:ligatures w14:val="standardContextual"/>
        </w:rPr>
        <w:t xml:space="preserve">die für die Verwaltung der DUS-Versuchsdaten verwendete Software </w:t>
      </w:r>
      <w:r w:rsidR="00852529" w:rsidRPr="005C6182">
        <w:rPr>
          <w:rFonts w:eastAsiaTheme="minorEastAsia" w:cs="Calibri"/>
          <w:szCs w:val="22"/>
          <w:lang w:val="de-DE"/>
          <w14:ligatures w14:val="standardContextual"/>
        </w:rPr>
        <w:t>zur Kenntnis</w:t>
      </w:r>
      <w:r w:rsidR="00852529" w:rsidRPr="005C6182">
        <w:rPr>
          <w:rFonts w:eastAsiaTheme="minorEastAsia" w:cs="Calibri"/>
          <w:szCs w:val="22"/>
          <w:lang w:val="de-DE" w:eastAsia="ja-JP"/>
          <w14:ligatures w14:val="standardContextual"/>
        </w:rPr>
        <w:t>, einschließlich Datenverwaltung, statistischer Analyse und Bildanalyse. Der TWM nahm die Pläne zur Weiterentwicklung der Plattform zur Kenntnis und bat den Experten aus China, auf der vierten Tagung über die Entwicklungen zu berichten.</w:t>
      </w:r>
    </w:p>
    <w:p w14:paraId="7444AA8D" w14:textId="77777777" w:rsidR="00AC0937" w:rsidRPr="005C6182" w:rsidRDefault="00AC0937" w:rsidP="00852529">
      <w:pPr>
        <w:jc w:val="left"/>
        <w:rPr>
          <w:rFonts w:eastAsiaTheme="minorEastAsia" w:cs="Calibri"/>
          <w:szCs w:val="22"/>
          <w:lang w:val="de-DE"/>
          <w14:ligatures w14:val="standardContextual"/>
        </w:rPr>
      </w:pPr>
    </w:p>
    <w:p w14:paraId="38AA5E1D" w14:textId="77777777" w:rsidR="00852529" w:rsidRPr="005C6182" w:rsidRDefault="00852529" w:rsidP="00642D69">
      <w:pPr>
        <w:pStyle w:val="Heading3"/>
        <w:rPr>
          <w:rFonts w:eastAsiaTheme="minorEastAsia"/>
          <w:lang w:val="de-DE"/>
        </w:rPr>
      </w:pPr>
      <w:bookmarkStart w:id="33" w:name="_Toc209516680"/>
      <w:r w:rsidRPr="005C6182">
        <w:rPr>
          <w:rFonts w:eastAsiaTheme="minorEastAsia"/>
          <w:lang w:val="de-DE"/>
        </w:rPr>
        <w:t>Bewertungskriterien für quantitative Merkmale von Anthurium bei der DUS-Prüfung durch Mehrfachvergleich</w:t>
      </w:r>
      <w:bookmarkEnd w:id="33"/>
    </w:p>
    <w:p w14:paraId="7AE94C9B" w14:textId="77777777" w:rsidR="00852529" w:rsidRPr="005C6182" w:rsidRDefault="00852529" w:rsidP="00852529">
      <w:pPr>
        <w:jc w:val="left"/>
        <w:rPr>
          <w:rFonts w:eastAsiaTheme="minorEastAsia" w:cs="Calibri"/>
          <w:szCs w:val="22"/>
          <w:lang w:val="de-DE"/>
          <w14:ligatures w14:val="standardContextual"/>
        </w:rPr>
      </w:pPr>
    </w:p>
    <w:p w14:paraId="632CE0D9" w14:textId="59FE8D74" w:rsidR="00852529" w:rsidRPr="005C6182" w:rsidRDefault="00092C1C" w:rsidP="00092C1C">
      <w:pPr>
        <w:contextualSpacing/>
        <w:jc w:val="left"/>
        <w:rPr>
          <w:rFonts w:eastAsiaTheme="minorEastAsia" w:cs="Calibri"/>
          <w:szCs w:val="22"/>
          <w:lang w:val="de-DE"/>
          <w14:ligatures w14:val="standardContextual"/>
        </w:rPr>
      </w:pPr>
      <w:r w:rsidRPr="005C6182">
        <w:rPr>
          <w:rFonts w:eastAsiaTheme="minorEastAsia" w:cs="Calibri"/>
          <w:szCs w:val="22"/>
          <w:lang w:val="de-DE"/>
          <w14:ligatures w14:val="standardContextual"/>
        </w:rPr>
        <w:fldChar w:fldCharType="begin"/>
      </w:r>
      <w:r w:rsidRPr="005C6182">
        <w:rPr>
          <w:rFonts w:eastAsiaTheme="minorEastAsia" w:cs="Calibri"/>
          <w:szCs w:val="22"/>
          <w:lang w:val="de-DE"/>
          <w14:ligatures w14:val="standardContextual"/>
        </w:rPr>
        <w:instrText xml:space="preserve"> AUTONUM  </w:instrText>
      </w:r>
      <w:r w:rsidRPr="005C6182">
        <w:rPr>
          <w:rFonts w:eastAsiaTheme="minorEastAsia" w:cs="Calibri"/>
          <w:szCs w:val="22"/>
          <w:lang w:val="de-DE"/>
          <w14:ligatures w14:val="standardContextual"/>
        </w:rPr>
        <w:fldChar w:fldCharType="end"/>
      </w:r>
      <w:r w:rsidRPr="005C6182">
        <w:rPr>
          <w:rFonts w:eastAsiaTheme="minorEastAsia" w:cs="Calibri"/>
          <w:szCs w:val="22"/>
          <w:lang w:val="de-DE"/>
          <w14:ligatures w14:val="standardContextual"/>
        </w:rPr>
        <w:tab/>
      </w:r>
      <w:r w:rsidR="00852529" w:rsidRPr="005C6182">
        <w:rPr>
          <w:rFonts w:eastAsiaTheme="minorEastAsia" w:cs="Calibri"/>
          <w:szCs w:val="22"/>
          <w:lang w:val="de-DE"/>
          <w14:ligatures w14:val="standardContextual"/>
        </w:rPr>
        <w:t>Der TWM</w:t>
      </w:r>
      <w:r w:rsidR="00693F23" w:rsidRPr="005C6182">
        <w:rPr>
          <w:rStyle w:val="FootnoteReference"/>
          <w:rFonts w:eastAsiaTheme="minorEastAsia" w:cs="Calibri"/>
          <w:szCs w:val="22"/>
          <w:lang w:val="de-DE"/>
          <w14:ligatures w14:val="standardContextual"/>
        </w:rPr>
        <w:footnoteReference w:id="13"/>
      </w:r>
      <w:r w:rsidR="00852529" w:rsidRPr="005C6182">
        <w:rPr>
          <w:rFonts w:eastAsiaTheme="minorEastAsia" w:cs="Calibri"/>
          <w:szCs w:val="22"/>
          <w:lang w:val="de-DE"/>
          <w14:ligatures w14:val="standardContextual"/>
        </w:rPr>
        <w:t xml:space="preserve"> hörte einen Vortrag von Frau Yunxia Chu </w:t>
      </w:r>
      <w:r w:rsidR="00852529" w:rsidRPr="005C6182">
        <w:rPr>
          <w:rFonts w:eastAsiaTheme="minorEastAsia" w:cs="Calibri"/>
          <w:szCs w:val="22"/>
          <w:lang w:val="de-DE" w:eastAsia="ja-JP"/>
          <w14:ligatures w14:val="standardContextual"/>
        </w:rPr>
        <w:t xml:space="preserve">(China) </w:t>
      </w:r>
      <w:r w:rsidR="00852529" w:rsidRPr="005C6182">
        <w:rPr>
          <w:rFonts w:eastAsiaTheme="minorEastAsia" w:cs="Calibri"/>
          <w:szCs w:val="22"/>
          <w:lang w:val="de-DE"/>
          <w14:ligatures w14:val="standardContextual"/>
        </w:rPr>
        <w:t xml:space="preserve">zum Thema „Bewertungskriterien für quantitative Merkmale von Anthurium bei der DUS-Prüfung durch Mehrfachvergleich”, </w:t>
      </w:r>
      <w:r w:rsidR="00852529" w:rsidRPr="005C6182">
        <w:rPr>
          <w:rFonts w:eastAsiaTheme="minorEastAsia" w:cs="Arial"/>
          <w:iCs/>
          <w:szCs w:val="22"/>
          <w:lang w:val="de-DE"/>
          <w14:ligatures w14:val="standardContextual"/>
        </w:rPr>
        <w:t xml:space="preserve">der in Dokument </w:t>
      </w:r>
      <w:hyperlink r:id="rId19" w:history="1">
        <w:r w:rsidR="00852529" w:rsidRPr="005C6182">
          <w:rPr>
            <w:rStyle w:val="Hyperlink"/>
            <w:rFonts w:eastAsiaTheme="minorEastAsia" w:cs="Calibri"/>
            <w:szCs w:val="22"/>
            <w:lang w:val="de-DE" w:eastAsia="ja-JP"/>
            <w14:ligatures w14:val="standardContextual"/>
          </w:rPr>
          <w:t>TWM/3/12</w:t>
        </w:r>
      </w:hyperlink>
      <w:r w:rsidR="00852529" w:rsidRPr="005C6182">
        <w:rPr>
          <w:rFonts w:eastAsiaTheme="minorEastAsia" w:cs="Arial"/>
          <w:iCs/>
          <w:szCs w:val="22"/>
          <w:lang w:val="de-DE"/>
          <w14:ligatures w14:val="standardContextual"/>
        </w:rPr>
        <w:t xml:space="preserve"> wiedergegeben ist</w:t>
      </w:r>
      <w:r w:rsidR="00852529" w:rsidRPr="005C6182">
        <w:rPr>
          <w:rFonts w:eastAsiaTheme="minorEastAsia" w:cs="Calibri"/>
          <w:szCs w:val="22"/>
          <w:lang w:val="de-DE"/>
          <w14:ligatures w14:val="standardContextual"/>
        </w:rPr>
        <w:t xml:space="preserve">.  </w:t>
      </w:r>
    </w:p>
    <w:p w14:paraId="4BBADF7D" w14:textId="77777777" w:rsidR="00852529" w:rsidRPr="005C6182" w:rsidRDefault="00852529" w:rsidP="00852529">
      <w:pPr>
        <w:contextualSpacing/>
        <w:rPr>
          <w:rFonts w:eastAsiaTheme="minorEastAsia" w:cs="Calibri"/>
          <w:szCs w:val="22"/>
          <w:lang w:val="de-DE"/>
          <w14:ligatures w14:val="standardContextual"/>
        </w:rPr>
      </w:pPr>
    </w:p>
    <w:bookmarkStart w:id="34" w:name="_Hlk196746844"/>
    <w:p w14:paraId="5B1CA583" w14:textId="6CBE73FA" w:rsidR="00852529" w:rsidRPr="005C6182" w:rsidRDefault="00092C1C" w:rsidP="00092C1C">
      <w:pPr>
        <w:contextualSpacing/>
        <w:jc w:val="left"/>
        <w:rPr>
          <w:rFonts w:eastAsiaTheme="minorEastAsia" w:cs="Calibri"/>
          <w:szCs w:val="22"/>
          <w:lang w:val="de-DE"/>
          <w14:ligatures w14:val="standardContextual"/>
        </w:rPr>
      </w:pPr>
      <w:r w:rsidRPr="005C6182">
        <w:rPr>
          <w:rFonts w:eastAsiaTheme="minorEastAsia" w:cs="Calibri"/>
          <w:szCs w:val="22"/>
          <w:lang w:val="de-DE"/>
          <w14:ligatures w14:val="standardContextual"/>
        </w:rPr>
        <w:fldChar w:fldCharType="begin"/>
      </w:r>
      <w:r w:rsidRPr="005C6182">
        <w:rPr>
          <w:rFonts w:eastAsiaTheme="minorEastAsia" w:cs="Calibri"/>
          <w:szCs w:val="22"/>
          <w:lang w:val="de-DE"/>
          <w14:ligatures w14:val="standardContextual"/>
        </w:rPr>
        <w:instrText xml:space="preserve"> AUTONUM  </w:instrText>
      </w:r>
      <w:r w:rsidRPr="005C6182">
        <w:rPr>
          <w:rFonts w:eastAsiaTheme="minorEastAsia" w:cs="Calibri"/>
          <w:szCs w:val="22"/>
          <w:lang w:val="de-DE"/>
          <w14:ligatures w14:val="standardContextual"/>
        </w:rPr>
        <w:fldChar w:fldCharType="end"/>
      </w:r>
      <w:r w:rsidRPr="005C6182">
        <w:rPr>
          <w:rFonts w:eastAsiaTheme="minorEastAsia" w:cs="Calibri"/>
          <w:szCs w:val="22"/>
          <w:lang w:val="de-DE"/>
          <w14:ligatures w14:val="standardContextual"/>
        </w:rPr>
        <w:tab/>
      </w:r>
      <w:r w:rsidR="00852529" w:rsidRPr="005C6182">
        <w:rPr>
          <w:rFonts w:eastAsiaTheme="minorEastAsia" w:cs="Calibri"/>
          <w:szCs w:val="22"/>
          <w:lang w:val="de-DE"/>
          <w14:ligatures w14:val="standardContextual"/>
        </w:rPr>
        <w:t xml:space="preserve">Die TWM nahm </w:t>
      </w:r>
      <w:r w:rsidR="00852529" w:rsidRPr="005C6182">
        <w:rPr>
          <w:rFonts w:eastAsiaTheme="minorEastAsia" w:cs="Calibri"/>
          <w:szCs w:val="22"/>
          <w:lang w:val="de-DE" w:eastAsia="ja-JP"/>
          <w14:ligatures w14:val="standardContextual"/>
        </w:rPr>
        <w:t>zur Kenntnis, dass die Fehlerquote bei der Analyse gemessener quantitativer Merkmale bei Anthurium durch die Methode der Mehrfachvergleiche verringert werden könnte.</w:t>
      </w:r>
    </w:p>
    <w:bookmarkEnd w:id="34"/>
    <w:p w14:paraId="55C101C7" w14:textId="77777777" w:rsidR="00AC0937" w:rsidRPr="005C6182" w:rsidRDefault="00AC0937" w:rsidP="00852529">
      <w:pPr>
        <w:contextualSpacing/>
        <w:rPr>
          <w:rFonts w:eastAsiaTheme="minorEastAsia" w:cs="Calibri"/>
          <w:szCs w:val="22"/>
          <w:lang w:val="de-DE"/>
          <w14:ligatures w14:val="standardContextual"/>
        </w:rPr>
      </w:pPr>
    </w:p>
    <w:p w14:paraId="121E8DC6" w14:textId="77777777" w:rsidR="00852529" w:rsidRPr="005C6182" w:rsidRDefault="00852529" w:rsidP="00064895">
      <w:pPr>
        <w:pStyle w:val="Heading3"/>
        <w:keepLines/>
        <w:rPr>
          <w:rFonts w:eastAsiaTheme="minorEastAsia"/>
          <w:lang w:val="de-DE"/>
        </w:rPr>
      </w:pPr>
      <w:bookmarkStart w:id="35" w:name="_Toc209516681"/>
      <w:r w:rsidRPr="005C6182">
        <w:rPr>
          <w:rFonts w:eastAsiaTheme="minorEastAsia"/>
          <w:lang w:val="de-DE"/>
        </w:rPr>
        <w:lastRenderedPageBreak/>
        <w:t>Aktueller Stand der COYU-Entwicklung 2025</w:t>
      </w:r>
      <w:bookmarkEnd w:id="35"/>
    </w:p>
    <w:p w14:paraId="3931A8E4" w14:textId="77777777" w:rsidR="00852529" w:rsidRPr="005C6182" w:rsidRDefault="00852529" w:rsidP="00064895">
      <w:pPr>
        <w:keepNext/>
        <w:keepLines/>
        <w:jc w:val="left"/>
        <w:rPr>
          <w:rFonts w:eastAsiaTheme="minorEastAsia" w:cs="Calibri"/>
          <w:szCs w:val="22"/>
          <w:lang w:val="de-DE"/>
          <w14:ligatures w14:val="standardContextual"/>
        </w:rPr>
      </w:pPr>
    </w:p>
    <w:p w14:paraId="41290300" w14:textId="1C2577B2" w:rsidR="00852529" w:rsidRPr="005C6182" w:rsidRDefault="00092C1C" w:rsidP="00064895">
      <w:pPr>
        <w:keepNext/>
        <w:keepLines/>
        <w:contextualSpacing/>
        <w:jc w:val="left"/>
        <w:rPr>
          <w:rFonts w:eastAsiaTheme="minorEastAsia" w:cs="Calibri"/>
          <w:szCs w:val="22"/>
          <w:lang w:val="de-DE"/>
          <w14:ligatures w14:val="standardContextual"/>
        </w:rPr>
      </w:pPr>
      <w:r w:rsidRPr="005C6182">
        <w:rPr>
          <w:rFonts w:eastAsiaTheme="minorEastAsia" w:cs="Calibri"/>
          <w:szCs w:val="22"/>
          <w:lang w:val="de-DE"/>
          <w14:ligatures w14:val="standardContextual"/>
        </w:rPr>
        <w:fldChar w:fldCharType="begin"/>
      </w:r>
      <w:r w:rsidRPr="005C6182">
        <w:rPr>
          <w:rFonts w:eastAsiaTheme="minorEastAsia" w:cs="Calibri"/>
          <w:szCs w:val="22"/>
          <w:lang w:val="de-DE"/>
          <w14:ligatures w14:val="standardContextual"/>
        </w:rPr>
        <w:instrText xml:space="preserve"> AUTONUM  </w:instrText>
      </w:r>
      <w:r w:rsidRPr="005C6182">
        <w:rPr>
          <w:rFonts w:eastAsiaTheme="minorEastAsia" w:cs="Calibri"/>
          <w:szCs w:val="22"/>
          <w:lang w:val="de-DE"/>
          <w14:ligatures w14:val="standardContextual"/>
        </w:rPr>
        <w:fldChar w:fldCharType="end"/>
      </w:r>
      <w:r w:rsidRPr="005C6182">
        <w:rPr>
          <w:rFonts w:eastAsiaTheme="minorEastAsia" w:cs="Calibri"/>
          <w:szCs w:val="22"/>
          <w:lang w:val="de-DE"/>
          <w14:ligatures w14:val="standardContextual"/>
        </w:rPr>
        <w:tab/>
      </w:r>
      <w:bookmarkStart w:id="36" w:name="_Hlk195532654"/>
      <w:r w:rsidR="00852529" w:rsidRPr="005C6182">
        <w:rPr>
          <w:rFonts w:eastAsiaTheme="minorEastAsia" w:cs="Calibri"/>
          <w:szCs w:val="22"/>
          <w:lang w:val="de-DE"/>
          <w14:ligatures w14:val="standardContextual"/>
        </w:rPr>
        <w:t>Der TWM</w:t>
      </w:r>
      <w:r w:rsidR="00693F23" w:rsidRPr="005C6182">
        <w:rPr>
          <w:rStyle w:val="FootnoteReference"/>
          <w:rFonts w:eastAsiaTheme="minorEastAsia" w:cs="Calibri"/>
          <w:szCs w:val="22"/>
          <w:lang w:val="de-DE"/>
          <w14:ligatures w14:val="standardContextual"/>
        </w:rPr>
        <w:footnoteReference w:id="14"/>
      </w:r>
      <w:r w:rsidR="00852529" w:rsidRPr="005C6182">
        <w:rPr>
          <w:rFonts w:eastAsiaTheme="minorEastAsia" w:cs="Calibri"/>
          <w:szCs w:val="22"/>
          <w:lang w:val="de-DE"/>
          <w14:ligatures w14:val="standardContextual"/>
        </w:rPr>
        <w:t xml:space="preserve"> hörte einen Vortrag von Frau </w:t>
      </w:r>
      <w:r w:rsidR="00852529" w:rsidRPr="005C6182">
        <w:rPr>
          <w:rFonts w:eastAsiaTheme="minorEastAsia" w:cs="Calibri"/>
          <w:szCs w:val="22"/>
          <w:lang w:val="de-DE" w:eastAsia="ja-JP"/>
          <w14:ligatures w14:val="standardContextual"/>
        </w:rPr>
        <w:t xml:space="preserve">Trudyann Kelly </w:t>
      </w:r>
      <w:r w:rsidR="00852529" w:rsidRPr="005C6182">
        <w:rPr>
          <w:rFonts w:eastAsiaTheme="minorEastAsia" w:cs="Calibri"/>
          <w:szCs w:val="22"/>
          <w:lang w:val="de-DE"/>
          <w14:ligatures w14:val="standardContextual"/>
        </w:rPr>
        <w:t>(Vereinigtes Königreich)</w:t>
      </w:r>
      <w:bookmarkEnd w:id="36"/>
      <w:r w:rsidR="00852529" w:rsidRPr="005C6182">
        <w:rPr>
          <w:rFonts w:eastAsiaTheme="minorEastAsia" w:cs="Calibri"/>
          <w:szCs w:val="22"/>
          <w:lang w:val="de-DE"/>
          <w14:ligatures w14:val="standardContextual"/>
        </w:rPr>
        <w:t xml:space="preserve"> zum Thema „Aktueller Stand der Entwicklung von COYU 2025”, </w:t>
      </w:r>
      <w:r w:rsidR="00852529" w:rsidRPr="005C6182">
        <w:rPr>
          <w:rFonts w:eastAsiaTheme="minorEastAsia" w:cs="Arial"/>
          <w:iCs/>
          <w:szCs w:val="22"/>
          <w:lang w:val="de-DE"/>
          <w14:ligatures w14:val="standardContextual"/>
        </w:rPr>
        <w:t xml:space="preserve">der in Dokument </w:t>
      </w:r>
      <w:hyperlink r:id="rId20" w:history="1">
        <w:r w:rsidR="00852529" w:rsidRPr="005C6182">
          <w:rPr>
            <w:rStyle w:val="Hyperlink"/>
            <w:rFonts w:eastAsiaTheme="minorEastAsia" w:cs="Calibri"/>
            <w:szCs w:val="22"/>
            <w:lang w:val="de-DE" w:eastAsia="ja-JP"/>
            <w14:ligatures w14:val="standardContextual"/>
          </w:rPr>
          <w:t>TWM/3/5</w:t>
        </w:r>
      </w:hyperlink>
      <w:r w:rsidR="00852529" w:rsidRPr="005C6182">
        <w:rPr>
          <w:rFonts w:eastAsiaTheme="minorEastAsia" w:cs="Arial"/>
          <w:iCs/>
          <w:szCs w:val="22"/>
          <w:lang w:val="de-DE"/>
          <w14:ligatures w14:val="standardContextual"/>
        </w:rPr>
        <w:t xml:space="preserve"> wiedergegeben ist</w:t>
      </w:r>
      <w:r w:rsidR="00852529" w:rsidRPr="005C6182">
        <w:rPr>
          <w:rFonts w:eastAsiaTheme="minorEastAsia" w:cs="Calibri"/>
          <w:szCs w:val="22"/>
          <w:lang w:val="de-DE"/>
          <w14:ligatures w14:val="standardContextual"/>
        </w:rPr>
        <w:t xml:space="preserve">.  </w:t>
      </w:r>
    </w:p>
    <w:p w14:paraId="5D64FE79" w14:textId="77777777" w:rsidR="00852529" w:rsidRPr="005C6182" w:rsidRDefault="00852529" w:rsidP="00852529">
      <w:pPr>
        <w:contextualSpacing/>
        <w:rPr>
          <w:rFonts w:eastAsiaTheme="minorEastAsia" w:cs="Calibri"/>
          <w:szCs w:val="22"/>
          <w:lang w:val="de-DE"/>
          <w14:ligatures w14:val="standardContextual"/>
        </w:rPr>
      </w:pPr>
    </w:p>
    <w:p w14:paraId="0683623E" w14:textId="34BBAE63" w:rsidR="00852529" w:rsidRPr="005C6182" w:rsidRDefault="00092C1C" w:rsidP="00092C1C">
      <w:pPr>
        <w:contextualSpacing/>
        <w:rPr>
          <w:rFonts w:eastAsiaTheme="minorEastAsia" w:cs="Calibri"/>
          <w:szCs w:val="22"/>
          <w:lang w:val="de-DE"/>
          <w14:ligatures w14:val="standardContextual"/>
        </w:rPr>
      </w:pPr>
      <w:r w:rsidRPr="005C6182">
        <w:rPr>
          <w:rFonts w:eastAsiaTheme="minorEastAsia" w:cs="Calibri"/>
          <w:szCs w:val="22"/>
          <w:lang w:val="de-DE"/>
          <w14:ligatures w14:val="standardContextual"/>
        </w:rPr>
        <w:fldChar w:fldCharType="begin"/>
      </w:r>
      <w:r w:rsidRPr="005C6182">
        <w:rPr>
          <w:rFonts w:eastAsiaTheme="minorEastAsia" w:cs="Calibri"/>
          <w:szCs w:val="22"/>
          <w:lang w:val="de-DE"/>
          <w14:ligatures w14:val="standardContextual"/>
        </w:rPr>
        <w:instrText xml:space="preserve"> AUTONUM  </w:instrText>
      </w:r>
      <w:r w:rsidRPr="005C6182">
        <w:rPr>
          <w:rFonts w:eastAsiaTheme="minorEastAsia" w:cs="Calibri"/>
          <w:szCs w:val="22"/>
          <w:lang w:val="de-DE"/>
          <w14:ligatures w14:val="standardContextual"/>
        </w:rPr>
        <w:fldChar w:fldCharType="end"/>
      </w:r>
      <w:r w:rsidRPr="005C6182">
        <w:rPr>
          <w:rFonts w:eastAsiaTheme="minorEastAsia" w:cs="Calibri"/>
          <w:szCs w:val="22"/>
          <w:lang w:val="de-DE"/>
          <w14:ligatures w14:val="standardContextual"/>
        </w:rPr>
        <w:tab/>
      </w:r>
      <w:r w:rsidR="00852529" w:rsidRPr="005C6182">
        <w:rPr>
          <w:rFonts w:eastAsiaTheme="minorEastAsia" w:cs="Calibri"/>
          <w:szCs w:val="22"/>
          <w:lang w:val="de-DE"/>
          <w14:ligatures w14:val="standardContextual"/>
        </w:rPr>
        <w:t xml:space="preserve">Der TWM erhielt ein Update zur Umsetzung </w:t>
      </w:r>
      <w:r w:rsidR="00852529" w:rsidRPr="005C6182">
        <w:rPr>
          <w:rFonts w:eastAsiaTheme="minorEastAsia" w:cs="Calibri"/>
          <w:szCs w:val="22"/>
          <w:lang w:val="de-DE" w:eastAsia="ja-JP"/>
          <w14:ligatures w14:val="standardContextual"/>
        </w:rPr>
        <w:t xml:space="preserve">des </w:t>
      </w:r>
      <w:r w:rsidR="00852529" w:rsidRPr="005C6182">
        <w:rPr>
          <w:rFonts w:eastAsiaTheme="minorEastAsia" w:cs="Calibri"/>
          <w:szCs w:val="22"/>
          <w:lang w:val="de-DE"/>
          <w14:ligatures w14:val="standardContextual"/>
        </w:rPr>
        <w:t xml:space="preserve">kombinierten über mehrere Jahre hinweg geltenden Einheitlichkeitskriteriums mit Splines (COYUs). Der TWM nahm zur Kenntnis, dass die Analyse in der Software DUSTNT und R entwickelt und getestet worden war und dass die Software nach Rückmeldungen von Testanwendern </w:t>
      </w:r>
      <w:r w:rsidR="00852529" w:rsidRPr="005C6182">
        <w:rPr>
          <w:rFonts w:eastAsiaTheme="minorEastAsia" w:cs="Calibri"/>
          <w:szCs w:val="22"/>
          <w:lang w:val="de-DE" w:eastAsia="ja-JP"/>
          <w14:ligatures w14:val="standardContextual"/>
        </w:rPr>
        <w:t>(</w:t>
      </w:r>
      <w:r w:rsidR="00852529" w:rsidRPr="005C6182">
        <w:rPr>
          <w:rFonts w:eastAsiaTheme="minorEastAsia" w:cs="Calibri"/>
          <w:szCs w:val="22"/>
          <w:lang w:val="de-DE"/>
          <w14:ligatures w14:val="standardContextual"/>
        </w:rPr>
        <w:t>Finnland</w:t>
      </w:r>
      <w:r w:rsidR="00852529" w:rsidRPr="005C6182">
        <w:rPr>
          <w:rFonts w:eastAsiaTheme="minorEastAsia" w:cs="Calibri"/>
          <w:szCs w:val="22"/>
          <w:lang w:val="de-DE" w:eastAsia="ja-JP"/>
          <w14:ligatures w14:val="standardContextual"/>
        </w:rPr>
        <w:t xml:space="preserve">, </w:t>
      </w:r>
      <w:r w:rsidR="00852529" w:rsidRPr="005C6182">
        <w:rPr>
          <w:rFonts w:eastAsiaTheme="minorEastAsia" w:cs="Calibri"/>
          <w:szCs w:val="22"/>
          <w:lang w:val="de-DE"/>
          <w14:ligatures w14:val="standardContextual"/>
        </w:rPr>
        <w:t xml:space="preserve">Niederlande </w:t>
      </w:r>
      <w:r w:rsidR="00852529" w:rsidRPr="005C6182">
        <w:rPr>
          <w:rFonts w:eastAsiaTheme="minorEastAsia" w:cs="Calibri"/>
          <w:szCs w:val="22"/>
          <w:lang w:val="de-DE" w:eastAsia="ja-JP"/>
          <w14:ligatures w14:val="standardContextual"/>
        </w:rPr>
        <w:t xml:space="preserve">(Königreich der) </w:t>
      </w:r>
      <w:r w:rsidR="00852529" w:rsidRPr="005C6182">
        <w:rPr>
          <w:rFonts w:eastAsiaTheme="minorEastAsia" w:cs="Calibri"/>
          <w:szCs w:val="22"/>
          <w:lang w:val="de-DE"/>
          <w14:ligatures w14:val="standardContextual"/>
        </w:rPr>
        <w:t xml:space="preserve">und </w:t>
      </w:r>
      <w:r w:rsidR="00852529" w:rsidRPr="005C6182">
        <w:rPr>
          <w:rFonts w:eastAsiaTheme="minorEastAsia" w:cs="Calibri"/>
          <w:szCs w:val="22"/>
          <w:lang w:val="de-DE" w:eastAsia="ja-JP"/>
          <w14:ligatures w14:val="standardContextual"/>
        </w:rPr>
        <w:t>Vereinigtes Königreich</w:t>
      </w:r>
      <w:r w:rsidR="00852529" w:rsidRPr="005C6182">
        <w:rPr>
          <w:rFonts w:eastAsiaTheme="minorEastAsia" w:cs="Calibri"/>
          <w:szCs w:val="22"/>
          <w:lang w:val="de-DE"/>
          <w14:ligatures w14:val="standardContextual"/>
        </w:rPr>
        <w:t xml:space="preserve">) aktualisiert werden würde.  Der TWM nahm zur Kenntnis, dass die Software den UPOV-Mitgliedern zur Verfügung gestellt werden würde, und ersuchte </w:t>
      </w:r>
      <w:r w:rsidR="00852529" w:rsidRPr="005C6182">
        <w:rPr>
          <w:rFonts w:eastAsiaTheme="minorEastAsia" w:cs="Calibri"/>
          <w:szCs w:val="22"/>
          <w:lang w:val="de-DE" w:eastAsia="ja-JP"/>
          <w14:ligatures w14:val="standardContextual"/>
        </w:rPr>
        <w:t xml:space="preserve">das </w:t>
      </w:r>
      <w:r w:rsidR="00852529" w:rsidRPr="005C6182">
        <w:rPr>
          <w:rFonts w:eastAsiaTheme="minorEastAsia" w:cs="Calibri"/>
          <w:szCs w:val="22"/>
          <w:lang w:val="de-DE"/>
          <w14:ligatures w14:val="standardContextual"/>
        </w:rPr>
        <w:t xml:space="preserve">Vereinigte Königreich, auf seiner nächsten Tagung einen aktuellen Bericht über </w:t>
      </w:r>
      <w:r w:rsidR="00852529" w:rsidRPr="005C6182">
        <w:rPr>
          <w:rFonts w:eastAsiaTheme="minorEastAsia" w:cs="Calibri"/>
          <w:szCs w:val="22"/>
          <w:lang w:val="de-DE" w:eastAsia="ja-JP"/>
          <w14:ligatures w14:val="standardContextual"/>
        </w:rPr>
        <w:t xml:space="preserve">die Software, die Erfahrungen mit der Umsetzung im Vereinigten Königreich und Leitlinien für die Handhabung </w:t>
      </w:r>
      <w:r w:rsidR="00852529" w:rsidRPr="005C6182">
        <w:rPr>
          <w:rFonts w:eastAsiaTheme="minorEastAsia" w:cs="Calibri"/>
          <w:szCs w:val="22"/>
          <w:lang w:val="de-DE"/>
          <w14:ligatures w14:val="standardContextual"/>
        </w:rPr>
        <w:t>der Extrapolation innerhalb von COYU vorzulegen.</w:t>
      </w:r>
    </w:p>
    <w:p w14:paraId="795CA8C8" w14:textId="77777777" w:rsidR="00852529" w:rsidRPr="005C6182" w:rsidRDefault="00852529" w:rsidP="00092C1C">
      <w:pPr>
        <w:rPr>
          <w:rFonts w:eastAsiaTheme="minorEastAsia" w:cs="Calibri"/>
          <w:szCs w:val="22"/>
          <w:lang w:val="de-DE"/>
          <w14:ligatures w14:val="standardContextual"/>
        </w:rPr>
      </w:pPr>
    </w:p>
    <w:p w14:paraId="0E6C930D" w14:textId="77777777" w:rsidR="00D97966" w:rsidRPr="005C6182" w:rsidRDefault="00D97966" w:rsidP="00092C1C">
      <w:pPr>
        <w:rPr>
          <w:rFonts w:eastAsiaTheme="minorEastAsia" w:cs="Calibri"/>
          <w:szCs w:val="22"/>
          <w:lang w:val="de-DE"/>
          <w14:ligatures w14:val="standardContextual"/>
        </w:rPr>
      </w:pPr>
    </w:p>
    <w:p w14:paraId="72C3ECB3" w14:textId="77777777" w:rsidR="00852529" w:rsidRPr="005C6182" w:rsidRDefault="00852529" w:rsidP="00365B2A">
      <w:pPr>
        <w:pStyle w:val="Heading2"/>
        <w:rPr>
          <w:rFonts w:eastAsiaTheme="minorEastAsia"/>
          <w:lang w:val="de-DE"/>
        </w:rPr>
      </w:pPr>
      <w:bookmarkStart w:id="37" w:name="_Toc209516682"/>
      <w:r w:rsidRPr="005C6182">
        <w:rPr>
          <w:rFonts w:eastAsiaTheme="minorEastAsia"/>
          <w:lang w:val="de-DE"/>
        </w:rPr>
        <w:t>Phänotypisierung und Bildanalyse</w:t>
      </w:r>
      <w:bookmarkEnd w:id="37"/>
    </w:p>
    <w:p w14:paraId="615C8C88" w14:textId="77777777" w:rsidR="00852529" w:rsidRPr="005C6182" w:rsidRDefault="00852529" w:rsidP="00092C1C">
      <w:pPr>
        <w:rPr>
          <w:rFonts w:eastAsiaTheme="minorEastAsia" w:cs="Calibri"/>
          <w:szCs w:val="22"/>
          <w:lang w:val="de-DE"/>
          <w14:ligatures w14:val="standardContextual"/>
        </w:rPr>
      </w:pPr>
    </w:p>
    <w:p w14:paraId="368820D6" w14:textId="77777777" w:rsidR="00852529" w:rsidRPr="005C6182" w:rsidRDefault="00852529" w:rsidP="00092C1C">
      <w:pPr>
        <w:pStyle w:val="Heading3"/>
        <w:rPr>
          <w:rFonts w:eastAsiaTheme="minorEastAsia"/>
          <w:lang w:val="de-DE"/>
        </w:rPr>
      </w:pPr>
      <w:bookmarkStart w:id="38" w:name="_Toc209516683"/>
      <w:r w:rsidRPr="005C6182">
        <w:rPr>
          <w:rFonts w:eastAsiaTheme="minorEastAsia"/>
          <w:lang w:val="de-DE"/>
        </w:rPr>
        <w:t>Eine neue Perspektive auf die DUS-Prüfung der Fruchtfarbe von Auberginen auf der Grundlage von Laborfarbparametern</w:t>
      </w:r>
      <w:bookmarkEnd w:id="38"/>
    </w:p>
    <w:p w14:paraId="1F608D02" w14:textId="77777777" w:rsidR="00852529" w:rsidRPr="005C6182" w:rsidRDefault="00852529" w:rsidP="00092C1C">
      <w:pPr>
        <w:rPr>
          <w:rFonts w:eastAsiaTheme="minorEastAsia" w:cs="Calibri"/>
          <w:szCs w:val="22"/>
          <w:lang w:val="de-DE"/>
          <w14:ligatures w14:val="standardContextual"/>
        </w:rPr>
      </w:pPr>
    </w:p>
    <w:p w14:paraId="560E4258" w14:textId="1825E39A" w:rsidR="00852529" w:rsidRPr="005C6182" w:rsidRDefault="00092C1C" w:rsidP="00092C1C">
      <w:pPr>
        <w:contextualSpacing/>
        <w:rPr>
          <w:rFonts w:eastAsiaTheme="minorEastAsia" w:cs="Calibri"/>
          <w:szCs w:val="22"/>
          <w:lang w:val="de-DE"/>
          <w14:ligatures w14:val="standardContextual"/>
        </w:rPr>
      </w:pPr>
      <w:r w:rsidRPr="005C6182">
        <w:rPr>
          <w:rFonts w:eastAsiaTheme="minorEastAsia" w:cs="Calibri"/>
          <w:szCs w:val="22"/>
          <w:lang w:val="de-DE"/>
          <w14:ligatures w14:val="standardContextual"/>
        </w:rPr>
        <w:fldChar w:fldCharType="begin"/>
      </w:r>
      <w:r w:rsidRPr="005C6182">
        <w:rPr>
          <w:rFonts w:eastAsiaTheme="minorEastAsia" w:cs="Calibri"/>
          <w:szCs w:val="22"/>
          <w:lang w:val="de-DE"/>
          <w14:ligatures w14:val="standardContextual"/>
        </w:rPr>
        <w:instrText xml:space="preserve"> AUTONUM  </w:instrText>
      </w:r>
      <w:r w:rsidRPr="005C6182">
        <w:rPr>
          <w:rFonts w:eastAsiaTheme="minorEastAsia" w:cs="Calibri"/>
          <w:szCs w:val="22"/>
          <w:lang w:val="de-DE"/>
          <w14:ligatures w14:val="standardContextual"/>
        </w:rPr>
        <w:fldChar w:fldCharType="end"/>
      </w:r>
      <w:r w:rsidRPr="005C6182">
        <w:rPr>
          <w:rFonts w:eastAsiaTheme="minorEastAsia" w:cs="Calibri"/>
          <w:szCs w:val="22"/>
          <w:lang w:val="de-DE"/>
          <w14:ligatures w14:val="standardContextual"/>
        </w:rPr>
        <w:tab/>
      </w:r>
      <w:r w:rsidR="00852529" w:rsidRPr="005C6182">
        <w:rPr>
          <w:rFonts w:eastAsiaTheme="minorEastAsia" w:cs="Calibri"/>
          <w:szCs w:val="22"/>
          <w:lang w:val="de-DE"/>
          <w14:ligatures w14:val="standardContextual"/>
        </w:rPr>
        <w:t>Die TWM</w:t>
      </w:r>
      <w:r w:rsidR="00693F23" w:rsidRPr="005C6182">
        <w:rPr>
          <w:rStyle w:val="FootnoteReference"/>
          <w:rFonts w:eastAsiaTheme="minorEastAsia" w:cs="Calibri"/>
          <w:szCs w:val="22"/>
          <w:lang w:val="de-DE"/>
          <w14:ligatures w14:val="standardContextual"/>
        </w:rPr>
        <w:footnoteReference w:id="15"/>
      </w:r>
      <w:r w:rsidR="00064895">
        <w:rPr>
          <w:rFonts w:eastAsiaTheme="minorEastAsia" w:cs="Calibri"/>
          <w:szCs w:val="22"/>
          <w:lang w:val="de-DE"/>
          <w14:ligatures w14:val="standardContextual"/>
        </w:rPr>
        <w:t xml:space="preserve"> </w:t>
      </w:r>
      <w:r w:rsidR="00852529" w:rsidRPr="005C6182">
        <w:rPr>
          <w:rFonts w:eastAsiaTheme="minorEastAsia" w:cs="Calibri"/>
          <w:szCs w:val="22"/>
          <w:lang w:val="de-DE"/>
          <w14:ligatures w14:val="standardContextual"/>
        </w:rPr>
        <w:t xml:space="preserve">hörte einen Vortrag von Frau Yiying Zhang </w:t>
      </w:r>
      <w:r w:rsidR="00852529" w:rsidRPr="005C6182">
        <w:rPr>
          <w:rFonts w:eastAsiaTheme="minorEastAsia" w:cs="Calibri"/>
          <w:szCs w:val="22"/>
          <w:lang w:val="de-DE" w:eastAsia="ja-JP"/>
          <w14:ligatures w14:val="standardContextual"/>
        </w:rPr>
        <w:t xml:space="preserve">(China) </w:t>
      </w:r>
      <w:r w:rsidR="00852529" w:rsidRPr="005C6182">
        <w:rPr>
          <w:rFonts w:eastAsiaTheme="minorEastAsia" w:cs="Calibri"/>
          <w:szCs w:val="22"/>
          <w:lang w:val="de-DE"/>
          <w14:ligatures w14:val="standardContextual"/>
        </w:rPr>
        <w:t xml:space="preserve">zum Thema „Eine neue Perspektive auf die DUS-Prüfung der Fruchtfarbe von Auberginen auf der Grundlage von Laborfarbparametern”, </w:t>
      </w:r>
      <w:r w:rsidR="00852529" w:rsidRPr="005C6182">
        <w:rPr>
          <w:rFonts w:eastAsiaTheme="minorEastAsia" w:cs="Arial"/>
          <w:iCs/>
          <w:szCs w:val="22"/>
          <w:lang w:val="de-DE"/>
          <w14:ligatures w14:val="standardContextual"/>
        </w:rPr>
        <w:t xml:space="preserve">dessen Kopie in Dokument </w:t>
      </w:r>
      <w:hyperlink r:id="rId21" w:history="1">
        <w:r w:rsidR="00852529" w:rsidRPr="005C6182">
          <w:rPr>
            <w:rStyle w:val="Hyperlink"/>
            <w:rFonts w:eastAsiaTheme="minorEastAsia" w:cs="Calibri"/>
            <w:szCs w:val="22"/>
            <w:lang w:val="de-DE" w:eastAsia="ja-JP"/>
            <w14:ligatures w14:val="standardContextual"/>
          </w:rPr>
          <w:t>TWM/3/13</w:t>
        </w:r>
      </w:hyperlink>
      <w:r w:rsidR="00852529" w:rsidRPr="005C6182">
        <w:rPr>
          <w:rFonts w:eastAsiaTheme="minorEastAsia" w:cs="Arial"/>
          <w:iCs/>
          <w:szCs w:val="22"/>
          <w:lang w:val="de-DE"/>
          <w14:ligatures w14:val="standardContextual"/>
        </w:rPr>
        <w:t xml:space="preserve"> enthalten ist</w:t>
      </w:r>
      <w:r w:rsidR="00852529" w:rsidRPr="005C6182">
        <w:rPr>
          <w:rFonts w:eastAsiaTheme="minorEastAsia" w:cs="Calibri"/>
          <w:szCs w:val="22"/>
          <w:lang w:val="de-DE"/>
          <w14:ligatures w14:val="standardContextual"/>
        </w:rPr>
        <w:t xml:space="preserve">.  </w:t>
      </w:r>
    </w:p>
    <w:p w14:paraId="7C1401C8" w14:textId="77777777" w:rsidR="00852529" w:rsidRPr="005C6182" w:rsidRDefault="00852529" w:rsidP="00092C1C">
      <w:pPr>
        <w:contextualSpacing/>
        <w:rPr>
          <w:rFonts w:eastAsiaTheme="minorEastAsia" w:cs="Calibri"/>
          <w:szCs w:val="22"/>
          <w:lang w:val="de-DE"/>
          <w14:ligatures w14:val="standardContextual"/>
        </w:rPr>
      </w:pPr>
    </w:p>
    <w:p w14:paraId="2695515D" w14:textId="5887F520" w:rsidR="00852529" w:rsidRPr="005C6182" w:rsidRDefault="00092C1C" w:rsidP="00092C1C">
      <w:pPr>
        <w:contextualSpacing/>
        <w:rPr>
          <w:rFonts w:eastAsiaTheme="minorEastAsia" w:cs="Calibri"/>
          <w:szCs w:val="22"/>
          <w:lang w:val="de-DE"/>
          <w14:ligatures w14:val="standardContextual"/>
        </w:rPr>
      </w:pPr>
      <w:r w:rsidRPr="005C6182">
        <w:rPr>
          <w:rFonts w:eastAsiaTheme="minorEastAsia" w:cs="Calibri"/>
          <w:szCs w:val="22"/>
          <w:lang w:val="de-DE"/>
          <w14:ligatures w14:val="standardContextual"/>
        </w:rPr>
        <w:fldChar w:fldCharType="begin"/>
      </w:r>
      <w:r w:rsidRPr="005C6182">
        <w:rPr>
          <w:rFonts w:eastAsiaTheme="minorEastAsia" w:cs="Calibri"/>
          <w:szCs w:val="22"/>
          <w:lang w:val="de-DE"/>
          <w14:ligatures w14:val="standardContextual"/>
        </w:rPr>
        <w:instrText xml:space="preserve"> AUTONUM  </w:instrText>
      </w:r>
      <w:r w:rsidRPr="005C6182">
        <w:rPr>
          <w:rFonts w:eastAsiaTheme="minorEastAsia" w:cs="Calibri"/>
          <w:szCs w:val="22"/>
          <w:lang w:val="de-DE"/>
          <w14:ligatures w14:val="standardContextual"/>
        </w:rPr>
        <w:fldChar w:fldCharType="end"/>
      </w:r>
      <w:r w:rsidRPr="005C6182">
        <w:rPr>
          <w:rFonts w:eastAsiaTheme="minorEastAsia" w:cs="Calibri"/>
          <w:szCs w:val="22"/>
          <w:lang w:val="de-DE"/>
          <w14:ligatures w14:val="standardContextual"/>
        </w:rPr>
        <w:tab/>
      </w:r>
      <w:r w:rsidR="00852529" w:rsidRPr="005C6182">
        <w:rPr>
          <w:rFonts w:eastAsiaTheme="minorEastAsia" w:cs="Calibri"/>
          <w:szCs w:val="22"/>
          <w:lang w:val="de-DE"/>
          <w14:ligatures w14:val="standardContextual"/>
        </w:rPr>
        <w:t xml:space="preserve">Die TWM </w:t>
      </w:r>
      <w:r w:rsidR="00852529" w:rsidRPr="005C6182">
        <w:rPr>
          <w:rFonts w:eastAsiaTheme="minorEastAsia" w:cs="Calibri"/>
          <w:szCs w:val="22"/>
          <w:lang w:val="de-DE" w:eastAsia="ja-JP"/>
          <w14:ligatures w14:val="standardContextual"/>
        </w:rPr>
        <w:t xml:space="preserve">nahm zur Kenntnis, dass die Prüfungsrichtlinien für Auberginen derzeit überarbeitet werden, und bat Frau Zhang, die Analyse der Fruchtschalenfarbe auf der nächsten Tagung der TWV der Untergruppe von Sachverständigen vorzustellen. </w:t>
      </w:r>
    </w:p>
    <w:p w14:paraId="495F326E" w14:textId="77777777" w:rsidR="00852529" w:rsidRPr="005C6182" w:rsidRDefault="00852529" w:rsidP="00092C1C">
      <w:pPr>
        <w:rPr>
          <w:rFonts w:eastAsiaTheme="minorEastAsia" w:cs="Calibri"/>
          <w:szCs w:val="22"/>
          <w:lang w:val="de-DE"/>
          <w14:ligatures w14:val="standardContextual"/>
        </w:rPr>
      </w:pPr>
    </w:p>
    <w:p w14:paraId="641E710A" w14:textId="77777777" w:rsidR="00852529" w:rsidRPr="005C6182" w:rsidRDefault="00852529" w:rsidP="00092C1C">
      <w:pPr>
        <w:pStyle w:val="Heading3"/>
        <w:rPr>
          <w:rFonts w:eastAsiaTheme="minorEastAsia"/>
          <w:lang w:val="de-DE"/>
        </w:rPr>
      </w:pPr>
      <w:bookmarkStart w:id="39" w:name="_Toc209516684"/>
      <w:r w:rsidRPr="005C6182">
        <w:rPr>
          <w:rFonts w:eastAsiaTheme="minorEastAsia"/>
          <w:lang w:val="de-DE"/>
        </w:rPr>
        <w:t>Gerät zur Erfassung von Längendaten pro</w:t>
      </w:r>
      <w:bookmarkEnd w:id="39"/>
    </w:p>
    <w:p w14:paraId="7EE3669E" w14:textId="77777777" w:rsidR="00852529" w:rsidRPr="005C6182" w:rsidRDefault="00852529" w:rsidP="00092C1C">
      <w:pPr>
        <w:rPr>
          <w:rFonts w:eastAsiaTheme="minorEastAsia" w:cs="Calibri"/>
          <w:szCs w:val="22"/>
          <w:lang w:val="de-DE"/>
          <w14:ligatures w14:val="standardContextual"/>
        </w:rPr>
      </w:pPr>
    </w:p>
    <w:p w14:paraId="74E4C15E" w14:textId="640C9794" w:rsidR="00852529" w:rsidRPr="005C6182" w:rsidRDefault="00092C1C" w:rsidP="00092C1C">
      <w:pPr>
        <w:contextualSpacing/>
        <w:rPr>
          <w:rFonts w:eastAsiaTheme="minorEastAsia" w:cs="Calibri"/>
          <w:szCs w:val="22"/>
          <w:lang w:val="de-DE"/>
          <w14:ligatures w14:val="standardContextual"/>
        </w:rPr>
      </w:pPr>
      <w:r w:rsidRPr="005C6182">
        <w:rPr>
          <w:rFonts w:eastAsiaTheme="minorEastAsia" w:cs="Calibri"/>
          <w:szCs w:val="22"/>
          <w:lang w:val="de-DE"/>
          <w14:ligatures w14:val="standardContextual"/>
        </w:rPr>
        <w:fldChar w:fldCharType="begin"/>
      </w:r>
      <w:r w:rsidRPr="005C6182">
        <w:rPr>
          <w:rFonts w:eastAsiaTheme="minorEastAsia" w:cs="Calibri"/>
          <w:szCs w:val="22"/>
          <w:lang w:val="de-DE"/>
          <w14:ligatures w14:val="standardContextual"/>
        </w:rPr>
        <w:instrText xml:space="preserve"> AUTONUM  </w:instrText>
      </w:r>
      <w:r w:rsidRPr="005C6182">
        <w:rPr>
          <w:rFonts w:eastAsiaTheme="minorEastAsia" w:cs="Calibri"/>
          <w:szCs w:val="22"/>
          <w:lang w:val="de-DE"/>
          <w14:ligatures w14:val="standardContextual"/>
        </w:rPr>
        <w:fldChar w:fldCharType="end"/>
      </w:r>
      <w:r w:rsidRPr="005C6182">
        <w:rPr>
          <w:rFonts w:eastAsiaTheme="minorEastAsia" w:cs="Calibri"/>
          <w:szCs w:val="22"/>
          <w:lang w:val="de-DE"/>
          <w14:ligatures w14:val="standardContextual"/>
        </w:rPr>
        <w:tab/>
      </w:r>
      <w:r w:rsidR="00852529" w:rsidRPr="005C6182">
        <w:rPr>
          <w:rFonts w:eastAsiaTheme="minorEastAsia" w:cs="Calibri"/>
          <w:szCs w:val="22"/>
          <w:lang w:val="de-DE"/>
          <w14:ligatures w14:val="standardContextual"/>
        </w:rPr>
        <w:t>Der TWM</w:t>
      </w:r>
      <w:r w:rsidR="00693F23" w:rsidRPr="005C6182">
        <w:rPr>
          <w:rStyle w:val="FootnoteReference"/>
          <w:rFonts w:eastAsiaTheme="minorEastAsia" w:cs="Calibri"/>
          <w:szCs w:val="22"/>
          <w:lang w:val="de-DE"/>
          <w14:ligatures w14:val="standardContextual"/>
        </w:rPr>
        <w:footnoteReference w:id="16"/>
      </w:r>
      <w:r w:rsidR="00852529" w:rsidRPr="005C6182">
        <w:rPr>
          <w:rFonts w:eastAsiaTheme="minorEastAsia" w:cs="Calibri"/>
          <w:szCs w:val="22"/>
          <w:lang w:val="de-DE"/>
          <w14:ligatures w14:val="standardContextual"/>
        </w:rPr>
        <w:t xml:space="preserve"> , hörte einen Vortrag von Frau Shan Lu </w:t>
      </w:r>
      <w:r w:rsidR="00852529" w:rsidRPr="005C6182">
        <w:rPr>
          <w:rFonts w:eastAsiaTheme="minorEastAsia" w:cs="Calibri"/>
          <w:szCs w:val="22"/>
          <w:lang w:val="de-DE" w:eastAsia="ja-JP"/>
          <w14:ligatures w14:val="standardContextual"/>
        </w:rPr>
        <w:t xml:space="preserve">(China) </w:t>
      </w:r>
      <w:r w:rsidR="00852529" w:rsidRPr="005C6182">
        <w:rPr>
          <w:rFonts w:eastAsiaTheme="minorEastAsia" w:cs="Calibri"/>
          <w:szCs w:val="22"/>
          <w:lang w:val="de-DE"/>
          <w14:ligatures w14:val="standardContextual"/>
        </w:rPr>
        <w:t xml:space="preserve">zum Thema „Gerät zur Erfassung von Längendaten”, </w:t>
      </w:r>
      <w:r w:rsidR="00852529" w:rsidRPr="005C6182">
        <w:rPr>
          <w:rFonts w:eastAsiaTheme="minorEastAsia" w:cs="Arial"/>
          <w:iCs/>
          <w:szCs w:val="22"/>
          <w:lang w:val="de-DE"/>
          <w14:ligatures w14:val="standardContextual"/>
        </w:rPr>
        <w:t xml:space="preserve">dessen Kopie in Dokument </w:t>
      </w:r>
      <w:hyperlink r:id="rId22" w:history="1">
        <w:r w:rsidR="00852529" w:rsidRPr="005C6182">
          <w:rPr>
            <w:rStyle w:val="Hyperlink"/>
            <w:rFonts w:eastAsiaTheme="minorEastAsia" w:cs="Calibri"/>
            <w:szCs w:val="22"/>
            <w:lang w:val="de-DE" w:eastAsia="ja-JP"/>
            <w14:ligatures w14:val="standardContextual"/>
          </w:rPr>
          <w:t>TWM/3/14</w:t>
        </w:r>
      </w:hyperlink>
      <w:r w:rsidR="00852529" w:rsidRPr="005C6182">
        <w:rPr>
          <w:rFonts w:eastAsiaTheme="minorEastAsia" w:cs="Arial"/>
          <w:iCs/>
          <w:szCs w:val="22"/>
          <w:lang w:val="de-DE"/>
          <w14:ligatures w14:val="standardContextual"/>
        </w:rPr>
        <w:t xml:space="preserve"> enthalten ist</w:t>
      </w:r>
      <w:r w:rsidR="00852529" w:rsidRPr="005C6182">
        <w:rPr>
          <w:rFonts w:eastAsiaTheme="minorEastAsia" w:cs="Calibri"/>
          <w:szCs w:val="22"/>
          <w:lang w:val="de-DE"/>
          <w14:ligatures w14:val="standardContextual"/>
        </w:rPr>
        <w:t xml:space="preserve">.  </w:t>
      </w:r>
    </w:p>
    <w:p w14:paraId="06DB2AAA" w14:textId="77777777" w:rsidR="00852529" w:rsidRPr="005C6182" w:rsidRDefault="00852529" w:rsidP="00092C1C">
      <w:pPr>
        <w:contextualSpacing/>
        <w:rPr>
          <w:rFonts w:eastAsiaTheme="minorEastAsia" w:cs="Calibri"/>
          <w:szCs w:val="22"/>
          <w:lang w:val="de-DE"/>
          <w14:ligatures w14:val="standardContextual"/>
        </w:rPr>
      </w:pPr>
    </w:p>
    <w:p w14:paraId="21006472" w14:textId="0F0245B1" w:rsidR="00852529" w:rsidRPr="005C6182" w:rsidRDefault="00092C1C" w:rsidP="00092C1C">
      <w:pPr>
        <w:contextualSpacing/>
        <w:rPr>
          <w:rFonts w:eastAsiaTheme="minorEastAsia" w:cs="Calibri"/>
          <w:szCs w:val="22"/>
          <w:lang w:val="de-DE"/>
          <w14:ligatures w14:val="standardContextual"/>
        </w:rPr>
      </w:pPr>
      <w:r w:rsidRPr="005C6182">
        <w:rPr>
          <w:rFonts w:eastAsiaTheme="minorEastAsia" w:cs="Calibri"/>
          <w:szCs w:val="22"/>
          <w:lang w:val="de-DE"/>
          <w14:ligatures w14:val="standardContextual"/>
        </w:rPr>
        <w:fldChar w:fldCharType="begin"/>
      </w:r>
      <w:r w:rsidRPr="005C6182">
        <w:rPr>
          <w:rFonts w:eastAsiaTheme="minorEastAsia" w:cs="Calibri"/>
          <w:szCs w:val="22"/>
          <w:lang w:val="de-DE"/>
          <w14:ligatures w14:val="standardContextual"/>
        </w:rPr>
        <w:instrText xml:space="preserve"> AUTONUM  </w:instrText>
      </w:r>
      <w:r w:rsidRPr="005C6182">
        <w:rPr>
          <w:rFonts w:eastAsiaTheme="minorEastAsia" w:cs="Calibri"/>
          <w:szCs w:val="22"/>
          <w:lang w:val="de-DE"/>
          <w14:ligatures w14:val="standardContextual"/>
        </w:rPr>
        <w:fldChar w:fldCharType="end"/>
      </w:r>
      <w:r w:rsidRPr="005C6182">
        <w:rPr>
          <w:rFonts w:eastAsiaTheme="minorEastAsia" w:cs="Calibri"/>
          <w:szCs w:val="22"/>
          <w:lang w:val="de-DE"/>
          <w14:ligatures w14:val="standardContextual"/>
        </w:rPr>
        <w:tab/>
      </w:r>
      <w:r w:rsidR="00852529" w:rsidRPr="005C6182">
        <w:rPr>
          <w:rFonts w:eastAsiaTheme="minorEastAsia" w:cs="Calibri"/>
          <w:szCs w:val="22"/>
          <w:lang w:val="de-DE"/>
          <w14:ligatures w14:val="standardContextual"/>
        </w:rPr>
        <w:t xml:space="preserve">Die TWM nahm </w:t>
      </w:r>
      <w:r w:rsidR="00852529" w:rsidRPr="005C6182">
        <w:rPr>
          <w:rFonts w:eastAsiaTheme="minorEastAsia" w:cs="Calibri"/>
          <w:szCs w:val="22"/>
          <w:lang w:val="de-DE" w:eastAsia="ja-JP"/>
          <w14:ligatures w14:val="standardContextual"/>
        </w:rPr>
        <w:t>zur Kenntnis, dass Mitglieder und Beobachter, die an dem Datenerfassungsgerät interessiert sind, sich für weitere Informationen und eine Zusammenarbeit an die Expertin aus China wenden können.</w:t>
      </w:r>
    </w:p>
    <w:p w14:paraId="16971C4F" w14:textId="77777777" w:rsidR="00445B73" w:rsidRPr="005C6182" w:rsidRDefault="00445B73" w:rsidP="00092C1C">
      <w:pPr>
        <w:rPr>
          <w:lang w:val="de-DE"/>
        </w:rPr>
      </w:pPr>
    </w:p>
    <w:p w14:paraId="432FFB51" w14:textId="77777777" w:rsidR="00163DB6" w:rsidRPr="005C6182" w:rsidRDefault="00163DB6" w:rsidP="00092C1C">
      <w:pPr>
        <w:keepNext/>
        <w:rPr>
          <w:lang w:val="de-DE"/>
        </w:rPr>
      </w:pPr>
    </w:p>
    <w:p w14:paraId="22C92D51" w14:textId="12163858" w:rsidR="00163DB6" w:rsidRPr="005C6182" w:rsidRDefault="00AC0937" w:rsidP="00365B2A">
      <w:pPr>
        <w:pStyle w:val="Heading2"/>
        <w:rPr>
          <w:lang w:val="de-DE"/>
        </w:rPr>
      </w:pPr>
      <w:bookmarkStart w:id="40" w:name="_Toc209516685"/>
      <w:r w:rsidRPr="005C6182">
        <w:rPr>
          <w:lang w:val="de-DE"/>
        </w:rPr>
        <w:t xml:space="preserve">Sortensammlungen: </w:t>
      </w:r>
      <w:r w:rsidR="00163DB6" w:rsidRPr="005C6182">
        <w:rPr>
          <w:lang w:val="de-DE"/>
        </w:rPr>
        <w:t>Sortensammlung von Obstpflanzen in Ukraine</w:t>
      </w:r>
      <w:bookmarkEnd w:id="40"/>
    </w:p>
    <w:p w14:paraId="1ADC3C91" w14:textId="77777777" w:rsidR="00163DB6" w:rsidRPr="005C6182" w:rsidRDefault="00163DB6" w:rsidP="00092C1C">
      <w:pPr>
        <w:rPr>
          <w:lang w:val="de-DE"/>
        </w:rPr>
      </w:pPr>
    </w:p>
    <w:p w14:paraId="0E0C4CBD" w14:textId="1E53C7E0" w:rsidR="00163DB6" w:rsidRPr="005C6182" w:rsidRDefault="00163DB6" w:rsidP="00092C1C">
      <w:pPr>
        <w:rPr>
          <w:lang w:val="de-DE"/>
        </w:rPr>
      </w:pPr>
      <w:r w:rsidRPr="005C6182">
        <w:rPr>
          <w:lang w:val="de-DE"/>
        </w:rPr>
        <w:fldChar w:fldCharType="begin"/>
      </w:r>
      <w:r w:rsidRPr="005C6182">
        <w:rPr>
          <w:lang w:val="de-DE"/>
        </w:rPr>
        <w:instrText xml:space="preserve"> AUTONUM  </w:instrText>
      </w:r>
      <w:r w:rsidRPr="005C6182">
        <w:rPr>
          <w:lang w:val="de-DE"/>
        </w:rPr>
        <w:fldChar w:fldCharType="end"/>
      </w:r>
      <w:r w:rsidRPr="005C6182">
        <w:rPr>
          <w:lang w:val="de-DE"/>
        </w:rPr>
        <w:tab/>
        <w:t>Die TWF</w:t>
      </w:r>
      <w:r w:rsidR="00B270F3" w:rsidRPr="005C6182">
        <w:rPr>
          <w:rStyle w:val="FootnoteReference"/>
          <w:lang w:val="de-DE"/>
        </w:rPr>
        <w:footnoteReference w:id="17"/>
      </w:r>
      <w:r w:rsidRPr="005C6182">
        <w:rPr>
          <w:lang w:val="de-DE"/>
        </w:rPr>
        <w:t xml:space="preserve"> hörte einen Vortrag eines Experten aus Ukraine zum Thema „Sortensammlung von Obstarten in der Ukraine”. Eine Kopie des Vortrags ist in Dokument </w:t>
      </w:r>
      <w:hyperlink r:id="rId23" w:history="1">
        <w:r w:rsidRPr="005C6182">
          <w:rPr>
            <w:rStyle w:val="Hyperlink"/>
            <w:lang w:val="de-DE"/>
          </w:rPr>
          <w:t>TWF/56/5</w:t>
        </w:r>
      </w:hyperlink>
      <w:r w:rsidRPr="005C6182">
        <w:rPr>
          <w:lang w:val="de-DE"/>
        </w:rPr>
        <w:t xml:space="preserve"> enthalten.</w:t>
      </w:r>
    </w:p>
    <w:p w14:paraId="08E89BC5" w14:textId="77777777" w:rsidR="00163DB6" w:rsidRPr="005C6182" w:rsidRDefault="00163DB6" w:rsidP="00092C1C">
      <w:pPr>
        <w:rPr>
          <w:lang w:val="de-DE"/>
        </w:rPr>
      </w:pPr>
    </w:p>
    <w:p w14:paraId="5EAC9561" w14:textId="77777777" w:rsidR="00163DB6" w:rsidRPr="005C6182" w:rsidRDefault="00163DB6" w:rsidP="00092C1C">
      <w:pPr>
        <w:rPr>
          <w:lang w:val="de-DE"/>
        </w:rPr>
      </w:pPr>
      <w:r w:rsidRPr="005C6182">
        <w:rPr>
          <w:lang w:val="de-DE"/>
        </w:rPr>
        <w:fldChar w:fldCharType="begin"/>
      </w:r>
      <w:r w:rsidRPr="005C6182">
        <w:rPr>
          <w:lang w:val="de-DE"/>
        </w:rPr>
        <w:instrText xml:space="preserve"> AUTONUM  </w:instrText>
      </w:r>
      <w:r w:rsidRPr="005C6182">
        <w:rPr>
          <w:lang w:val="de-DE"/>
        </w:rPr>
        <w:fldChar w:fldCharType="end"/>
      </w:r>
      <w:r w:rsidRPr="005C6182">
        <w:rPr>
          <w:lang w:val="de-DE"/>
        </w:rPr>
        <w:tab/>
        <w:t>Die TWF nahm die Verfahren für die DUS-Prüfung, einschließlich der Zusammenarbeit mit Züchtern, zur Kenntnis. Die TWF nahm den Bericht von Ukraine über die Herausforderungen für Züchter bei der Beschreibung von Sorten zur Kenntnis, die in Zukunft durch weitere Unterstützung bei der Zusammenarbeit bei der DUS-Prüfung angegangen werden sollen.</w:t>
      </w:r>
    </w:p>
    <w:p w14:paraId="1DEB88A6" w14:textId="77777777" w:rsidR="00163DB6" w:rsidRPr="005C6182" w:rsidRDefault="00163DB6" w:rsidP="00092C1C">
      <w:pPr>
        <w:rPr>
          <w:lang w:val="de-DE"/>
        </w:rPr>
      </w:pPr>
    </w:p>
    <w:p w14:paraId="6FE61D0C" w14:textId="77777777" w:rsidR="00163DB6" w:rsidRPr="005C6182" w:rsidRDefault="00163DB6" w:rsidP="00092C1C">
      <w:pPr>
        <w:rPr>
          <w:lang w:val="de-DE"/>
        </w:rPr>
      </w:pPr>
      <w:r w:rsidRPr="005C6182">
        <w:rPr>
          <w:lang w:val="de-DE"/>
        </w:rPr>
        <w:fldChar w:fldCharType="begin"/>
      </w:r>
      <w:r w:rsidRPr="005C6182">
        <w:rPr>
          <w:lang w:val="de-DE"/>
        </w:rPr>
        <w:instrText xml:space="preserve"> AUTONUM  </w:instrText>
      </w:r>
      <w:r w:rsidRPr="005C6182">
        <w:rPr>
          <w:lang w:val="de-DE"/>
        </w:rPr>
        <w:fldChar w:fldCharType="end"/>
      </w:r>
      <w:r w:rsidRPr="005C6182">
        <w:rPr>
          <w:lang w:val="de-DE"/>
        </w:rPr>
        <w:tab/>
        <w:t xml:space="preserve">Die TWF nahm zur Kenntnis, dass Ukraine Zugang zur nationalen Pflanzensorten-Datenbank gewährt, die Sortenbeschreibungen enthält (verfügbar unter: </w:t>
      </w:r>
      <w:hyperlink r:id="rId24" w:history="1">
        <w:r w:rsidRPr="005C6182">
          <w:rPr>
            <w:rStyle w:val="Hyperlink"/>
            <w:lang w:val="de-DE"/>
          </w:rPr>
          <w:t xml:space="preserve"> http://sort.sops.gov.ua/search/search</w:t>
        </w:r>
      </w:hyperlink>
      <w:r w:rsidRPr="005C6182">
        <w:rPr>
          <w:lang w:val="de-DE"/>
        </w:rPr>
        <w:t>).</w:t>
      </w:r>
    </w:p>
    <w:p w14:paraId="69F53FE8" w14:textId="77777777" w:rsidR="00163DB6" w:rsidRPr="005C6182" w:rsidRDefault="00163DB6" w:rsidP="00092C1C">
      <w:pPr>
        <w:rPr>
          <w:lang w:val="de-DE"/>
        </w:rPr>
      </w:pPr>
    </w:p>
    <w:p w14:paraId="20FA0CB4" w14:textId="77777777" w:rsidR="00693F23" w:rsidRPr="005C6182" w:rsidRDefault="00693F23" w:rsidP="00163DB6">
      <w:pPr>
        <w:rPr>
          <w:lang w:val="de-DE"/>
        </w:rPr>
      </w:pPr>
    </w:p>
    <w:p w14:paraId="3E25B487" w14:textId="77777777" w:rsidR="00445B73" w:rsidRPr="005C6182" w:rsidRDefault="00445B73" w:rsidP="00445B73">
      <w:pPr>
        <w:rPr>
          <w:lang w:val="de-DE"/>
        </w:rPr>
      </w:pPr>
    </w:p>
    <w:p w14:paraId="478B70DD" w14:textId="77777777" w:rsidR="00445B73" w:rsidRPr="005C6182" w:rsidRDefault="00445B73" w:rsidP="00445B73">
      <w:pPr>
        <w:jc w:val="right"/>
        <w:rPr>
          <w:lang w:val="de-DE"/>
        </w:rPr>
      </w:pPr>
      <w:r w:rsidRPr="005C6182">
        <w:rPr>
          <w:lang w:val="de-DE"/>
        </w:rPr>
        <w:t xml:space="preserve"> [Ende des Dokuments]</w:t>
      </w:r>
    </w:p>
    <w:p w14:paraId="4B75B59C" w14:textId="77777777" w:rsidR="00445B73" w:rsidRPr="005C6182" w:rsidRDefault="00445B73" w:rsidP="00445B73">
      <w:pPr>
        <w:jc w:val="left"/>
        <w:rPr>
          <w:lang w:val="de-DE"/>
        </w:rPr>
      </w:pPr>
    </w:p>
    <w:p w14:paraId="6236C102" w14:textId="33C6123C" w:rsidR="00B270F3" w:rsidRPr="005C6182" w:rsidRDefault="00B270F3" w:rsidP="00B270F3">
      <w:pPr>
        <w:tabs>
          <w:tab w:val="left" w:pos="4308"/>
        </w:tabs>
        <w:rPr>
          <w:lang w:val="de-DE"/>
        </w:rPr>
      </w:pPr>
    </w:p>
    <w:sectPr w:rsidR="00B270F3" w:rsidRPr="005C6182" w:rsidSect="0004198B">
      <w:headerReference w:type="default" r:id="rId25"/>
      <w:headerReference w:type="first" r:id="rId26"/>
      <w:pgSz w:w="11907" w:h="16840" w:code="9"/>
      <w:pgMar w:top="510" w:right="1134" w:bottom="1134" w:left="1134" w:header="510" w:footer="68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DB92E2" w14:textId="77777777" w:rsidR="00474A16" w:rsidRDefault="00474A16" w:rsidP="006655D3">
      <w:r>
        <w:separator/>
      </w:r>
    </w:p>
    <w:p w14:paraId="4C9EB820" w14:textId="77777777" w:rsidR="00474A16" w:rsidRDefault="00474A16" w:rsidP="006655D3"/>
    <w:p w14:paraId="000A7D2B" w14:textId="77777777" w:rsidR="00474A16" w:rsidRDefault="00474A16" w:rsidP="006655D3"/>
  </w:endnote>
  <w:endnote w:type="continuationSeparator" w:id="0">
    <w:p w14:paraId="526142BF" w14:textId="77777777" w:rsidR="00474A16" w:rsidRDefault="00474A16" w:rsidP="006655D3">
      <w:r>
        <w:separator/>
      </w:r>
    </w:p>
    <w:p w14:paraId="784A73BF" w14:textId="77777777" w:rsidR="00474A16" w:rsidRPr="009812C8" w:rsidRDefault="00474A16">
      <w:pPr>
        <w:pStyle w:val="Footer"/>
        <w:spacing w:after="60"/>
        <w:rPr>
          <w:sz w:val="18"/>
          <w:lang w:val="de-DE"/>
        </w:rPr>
      </w:pPr>
      <w:r w:rsidRPr="009812C8">
        <w:rPr>
          <w:sz w:val="18"/>
          <w:lang w:val="de-DE"/>
        </w:rPr>
        <w:t>[Fortsetzung der Anmerkung von der vorherigen Seite]</w:t>
      </w:r>
    </w:p>
    <w:p w14:paraId="5B4768D6" w14:textId="77777777" w:rsidR="00474A16" w:rsidRPr="009812C8" w:rsidRDefault="00474A16" w:rsidP="006655D3">
      <w:pPr>
        <w:rPr>
          <w:lang w:val="de-DE"/>
        </w:rPr>
      </w:pPr>
    </w:p>
    <w:p w14:paraId="5D8DBCB9" w14:textId="77777777" w:rsidR="00474A16" w:rsidRPr="009812C8" w:rsidRDefault="00474A16" w:rsidP="006655D3">
      <w:pPr>
        <w:rPr>
          <w:lang w:val="de-DE"/>
        </w:rPr>
      </w:pPr>
    </w:p>
  </w:endnote>
  <w:endnote w:type="continuationNotice" w:id="1">
    <w:p w14:paraId="5A650486" w14:textId="77777777" w:rsidR="00474A16" w:rsidRPr="009812C8" w:rsidRDefault="00474A16" w:rsidP="006655D3">
      <w:pPr>
        <w:rPr>
          <w:lang w:val="de-DE"/>
        </w:rPr>
      </w:pPr>
      <w:r w:rsidRPr="009812C8">
        <w:rPr>
          <w:lang w:val="de-DE"/>
        </w:rPr>
        <w:t>[Fortsetzung der Anmerkung auf der nächsten Seite]</w:t>
      </w:r>
    </w:p>
    <w:p w14:paraId="706B5E3F" w14:textId="77777777" w:rsidR="00474A16" w:rsidRPr="009812C8" w:rsidRDefault="00474A16" w:rsidP="006655D3">
      <w:pPr>
        <w:rPr>
          <w:lang w:val="de-DE"/>
        </w:rPr>
      </w:pPr>
    </w:p>
    <w:p w14:paraId="620B815C" w14:textId="77777777" w:rsidR="00474A16" w:rsidRPr="009812C8" w:rsidRDefault="00474A16" w:rsidP="006655D3">
      <w:pPr>
        <w:rPr>
          <w:lang w:val="de-DE"/>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AD8FAE" w14:textId="77777777" w:rsidR="00474A16" w:rsidRDefault="00474A16" w:rsidP="006655D3">
      <w:r>
        <w:separator/>
      </w:r>
    </w:p>
  </w:footnote>
  <w:footnote w:type="continuationSeparator" w:id="0">
    <w:p w14:paraId="571F458F" w14:textId="77777777" w:rsidR="00474A16" w:rsidRDefault="00474A16" w:rsidP="006655D3">
      <w:r>
        <w:separator/>
      </w:r>
    </w:p>
  </w:footnote>
  <w:footnote w:type="continuationNotice" w:id="1">
    <w:p w14:paraId="0564F208" w14:textId="77777777" w:rsidR="00474A16" w:rsidRPr="00AB530F" w:rsidRDefault="00474A16" w:rsidP="00AB530F">
      <w:pPr>
        <w:pStyle w:val="Footer"/>
      </w:pPr>
    </w:p>
  </w:footnote>
  <w:footnote w:id="2">
    <w:p w14:paraId="4D43872F" w14:textId="67E9D218" w:rsidR="00F21482" w:rsidRPr="009812C8" w:rsidRDefault="00F21482" w:rsidP="00F21482">
      <w:pPr>
        <w:pStyle w:val="FootnoteText"/>
        <w:rPr>
          <w:lang w:val="de-DE"/>
        </w:rPr>
      </w:pPr>
      <w:r>
        <w:rPr>
          <w:rStyle w:val="FootnoteReference"/>
        </w:rPr>
        <w:footnoteRef/>
      </w:r>
      <w:r w:rsidRPr="009812C8">
        <w:rPr>
          <w:lang w:val="de-DE"/>
        </w:rPr>
        <w:t xml:space="preserve"> TWO, auf seiner siebenundfünfzigsten Tagung, die vom 31. März bis 3. April 2025 in Roelofarendsveen, Niederlande (Königreich der Niederlande), stattfand.</w:t>
      </w:r>
    </w:p>
  </w:footnote>
  <w:footnote w:id="3">
    <w:p w14:paraId="4AEB2409" w14:textId="0C933320" w:rsidR="00F21482" w:rsidRPr="009812C8" w:rsidRDefault="00F21482" w:rsidP="00F21482">
      <w:pPr>
        <w:pStyle w:val="FootnoteText"/>
        <w:rPr>
          <w:lang w:val="de-DE"/>
        </w:rPr>
      </w:pPr>
      <w:r>
        <w:rPr>
          <w:rStyle w:val="FootnoteReference"/>
        </w:rPr>
        <w:footnoteRef/>
      </w:r>
      <w:r w:rsidRPr="009812C8">
        <w:rPr>
          <w:lang w:val="de-DE"/>
        </w:rPr>
        <w:t xml:space="preserve"> TWV, auf seiner neunundfünfzigsten Tagung, die vom 5. bis 8. Mai 2025 auf elektronischem Wege abgehalten wurde.</w:t>
      </w:r>
    </w:p>
  </w:footnote>
  <w:footnote w:id="4">
    <w:p w14:paraId="3841BD0A" w14:textId="184F1994" w:rsidR="00F21482" w:rsidRPr="009812C8" w:rsidRDefault="00F21482" w:rsidP="00F21482">
      <w:pPr>
        <w:pStyle w:val="FootnoteText"/>
        <w:rPr>
          <w:lang w:val="de-DE"/>
        </w:rPr>
      </w:pPr>
      <w:r>
        <w:rPr>
          <w:rStyle w:val="FootnoteReference"/>
        </w:rPr>
        <w:footnoteRef/>
      </w:r>
      <w:r w:rsidRPr="009812C8">
        <w:rPr>
          <w:lang w:val="de-DE"/>
        </w:rPr>
        <w:t xml:space="preserve"> TWM auf seiner dritten Tagung vom</w:t>
      </w:r>
      <w:r w:rsidR="004300F4" w:rsidRPr="009812C8">
        <w:rPr>
          <w:lang w:val="de-DE"/>
        </w:rPr>
        <w:t xml:space="preserve"> 28. April bis 1. Mai</w:t>
      </w:r>
      <w:r w:rsidRPr="009812C8">
        <w:rPr>
          <w:lang w:val="de-DE"/>
        </w:rPr>
        <w:t xml:space="preserve"> 2025 in Peking, China.</w:t>
      </w:r>
    </w:p>
  </w:footnote>
  <w:footnote w:id="5">
    <w:p w14:paraId="52D3B0C8" w14:textId="1258E53D" w:rsidR="00F21482" w:rsidRPr="009812C8" w:rsidRDefault="00F21482" w:rsidP="00F21482">
      <w:pPr>
        <w:pStyle w:val="FootnoteText"/>
        <w:rPr>
          <w:lang w:val="de-DE"/>
        </w:rPr>
      </w:pPr>
      <w:r>
        <w:rPr>
          <w:rStyle w:val="FootnoteReference"/>
        </w:rPr>
        <w:footnoteRef/>
      </w:r>
      <w:r w:rsidRPr="009812C8">
        <w:rPr>
          <w:lang w:val="de-DE"/>
        </w:rPr>
        <w:t xml:space="preserve"> TWA, auf seiner </w:t>
      </w:r>
      <w:r w:rsidR="004300F4" w:rsidRPr="009812C8">
        <w:rPr>
          <w:lang w:val="de-DE"/>
        </w:rPr>
        <w:t xml:space="preserve">vierundfünfzigsten </w:t>
      </w:r>
      <w:r w:rsidRPr="009812C8">
        <w:rPr>
          <w:lang w:val="de-DE"/>
        </w:rPr>
        <w:t>Tagung vom</w:t>
      </w:r>
      <w:r w:rsidR="004300F4" w:rsidRPr="009812C8">
        <w:rPr>
          <w:lang w:val="de-DE"/>
        </w:rPr>
        <w:t xml:space="preserve"> 19. </w:t>
      </w:r>
      <w:r w:rsidRPr="009812C8">
        <w:rPr>
          <w:lang w:val="de-DE"/>
        </w:rPr>
        <w:t>bis</w:t>
      </w:r>
      <w:r w:rsidR="004300F4" w:rsidRPr="009812C8">
        <w:rPr>
          <w:lang w:val="de-DE"/>
        </w:rPr>
        <w:t xml:space="preserve"> 22. </w:t>
      </w:r>
      <w:r w:rsidRPr="009812C8">
        <w:rPr>
          <w:lang w:val="de-DE"/>
        </w:rPr>
        <w:t xml:space="preserve">Mai 2025 </w:t>
      </w:r>
      <w:r w:rsidR="004300F4" w:rsidRPr="009812C8">
        <w:rPr>
          <w:lang w:val="de-DE"/>
        </w:rPr>
        <w:t>in Arusha, Vereinigte Republik Tansania.</w:t>
      </w:r>
    </w:p>
  </w:footnote>
  <w:footnote w:id="6">
    <w:p w14:paraId="1E31D980" w14:textId="45469F1A" w:rsidR="00F21482" w:rsidRPr="009812C8" w:rsidRDefault="00F21482" w:rsidP="00F21482">
      <w:pPr>
        <w:pStyle w:val="FootnoteText"/>
        <w:rPr>
          <w:lang w:val="de-DE"/>
        </w:rPr>
      </w:pPr>
      <w:r>
        <w:rPr>
          <w:rStyle w:val="FootnoteReference"/>
        </w:rPr>
        <w:footnoteRef/>
      </w:r>
      <w:r w:rsidRPr="009812C8">
        <w:rPr>
          <w:lang w:val="de-DE"/>
        </w:rPr>
        <w:t xml:space="preserve"> TWF, auf seiner </w:t>
      </w:r>
      <w:r w:rsidR="004300F4" w:rsidRPr="009812C8">
        <w:rPr>
          <w:lang w:val="de-DE"/>
        </w:rPr>
        <w:t xml:space="preserve">sechsundfünfzigsten </w:t>
      </w:r>
      <w:r w:rsidRPr="009812C8">
        <w:rPr>
          <w:lang w:val="de-DE"/>
        </w:rPr>
        <w:t>Tagung, die vom</w:t>
      </w:r>
      <w:r w:rsidR="004300F4" w:rsidRPr="009812C8">
        <w:rPr>
          <w:lang w:val="de-DE"/>
        </w:rPr>
        <w:t xml:space="preserve"> 23. </w:t>
      </w:r>
      <w:r w:rsidRPr="009812C8">
        <w:rPr>
          <w:lang w:val="de-DE"/>
        </w:rPr>
        <w:t>bis</w:t>
      </w:r>
      <w:r w:rsidR="004300F4" w:rsidRPr="009812C8">
        <w:rPr>
          <w:lang w:val="de-DE"/>
        </w:rPr>
        <w:t xml:space="preserve"> 26</w:t>
      </w:r>
      <w:r w:rsidRPr="009812C8">
        <w:rPr>
          <w:lang w:val="de-DE"/>
        </w:rPr>
        <w:t xml:space="preserve">. Juni 2025 </w:t>
      </w:r>
      <w:r w:rsidR="004300F4" w:rsidRPr="009812C8">
        <w:rPr>
          <w:lang w:val="de-DE"/>
        </w:rPr>
        <w:t xml:space="preserve">in Bursa, Türkiye, </w:t>
      </w:r>
      <w:r w:rsidRPr="009812C8">
        <w:rPr>
          <w:lang w:val="de-DE"/>
        </w:rPr>
        <w:t>stattfand</w:t>
      </w:r>
      <w:r w:rsidR="004300F4" w:rsidRPr="009812C8">
        <w:rPr>
          <w:lang w:val="de-DE"/>
        </w:rPr>
        <w:t>.</w:t>
      </w:r>
    </w:p>
  </w:footnote>
  <w:footnote w:id="7">
    <w:p w14:paraId="769DC14B" w14:textId="7E765A72" w:rsidR="0018066F" w:rsidRPr="009812C8" w:rsidRDefault="0018066F" w:rsidP="0018066F">
      <w:pPr>
        <w:pStyle w:val="FootnoteText"/>
        <w:rPr>
          <w:lang w:val="de-DE"/>
        </w:rPr>
      </w:pPr>
      <w:r>
        <w:rPr>
          <w:rStyle w:val="FootnoteReference"/>
        </w:rPr>
        <w:footnoteRef/>
      </w:r>
      <w:r w:rsidRPr="009812C8">
        <w:rPr>
          <w:lang w:val="de-DE"/>
        </w:rPr>
        <w:t xml:space="preserve"> TWV, neunundfünfzigste Tagung, siehe Dokument TWV/59/19 „Bericht“, Absätze 16 bis 21</w:t>
      </w:r>
    </w:p>
    <w:p w14:paraId="5A12E953" w14:textId="1D0D41CD" w:rsidR="0018066F" w:rsidRPr="009812C8" w:rsidRDefault="0018066F">
      <w:pPr>
        <w:pStyle w:val="FootnoteText"/>
        <w:rPr>
          <w:lang w:val="de-DE"/>
        </w:rPr>
      </w:pPr>
    </w:p>
  </w:footnote>
  <w:footnote w:id="8">
    <w:p w14:paraId="1556DF8B" w14:textId="5C153298" w:rsidR="003602B2" w:rsidRPr="009812C8" w:rsidRDefault="003602B2" w:rsidP="003602B2">
      <w:pPr>
        <w:pStyle w:val="FootnoteText"/>
        <w:rPr>
          <w:lang w:val="de-DE"/>
        </w:rPr>
      </w:pPr>
      <w:r>
        <w:rPr>
          <w:rStyle w:val="FootnoteReference"/>
        </w:rPr>
        <w:footnoteRef/>
      </w:r>
      <w:r w:rsidRPr="009812C8">
        <w:rPr>
          <w:lang w:val="de-DE"/>
        </w:rPr>
        <w:t xml:space="preserve"> TWV, neunundfünfzigste Tagung, siehe Dokument TWV/59/19 „Bericht“, Absätze 13 bis 15</w:t>
      </w:r>
    </w:p>
  </w:footnote>
  <w:footnote w:id="9">
    <w:p w14:paraId="151552D7" w14:textId="01C26CA2" w:rsidR="0062210A" w:rsidRPr="009812C8" w:rsidRDefault="0062210A">
      <w:pPr>
        <w:pStyle w:val="FootnoteText"/>
        <w:rPr>
          <w:lang w:val="de-DE"/>
        </w:rPr>
      </w:pPr>
      <w:r>
        <w:rPr>
          <w:rStyle w:val="FootnoteReference"/>
        </w:rPr>
        <w:footnoteRef/>
      </w:r>
      <w:r w:rsidRPr="009812C8">
        <w:rPr>
          <w:lang w:val="de-DE"/>
        </w:rPr>
        <w:t xml:space="preserve"> TWV, neunundfünfzigste Tagung, siehe Dokument TWV/59/19 „Bericht”, Absätze 47 bis 57</w:t>
      </w:r>
    </w:p>
  </w:footnote>
  <w:footnote w:id="10">
    <w:p w14:paraId="1395F27C" w14:textId="2543DE5D" w:rsidR="001B6C83" w:rsidRPr="009812C8" w:rsidRDefault="001B6C83">
      <w:pPr>
        <w:pStyle w:val="FootnoteText"/>
        <w:rPr>
          <w:lang w:val="de-DE"/>
        </w:rPr>
      </w:pPr>
      <w:r>
        <w:rPr>
          <w:rStyle w:val="FootnoteReference"/>
        </w:rPr>
        <w:footnoteRef/>
      </w:r>
      <w:r w:rsidRPr="009812C8">
        <w:rPr>
          <w:i/>
          <w:iCs/>
          <w:lang w:val="de-DE"/>
        </w:rPr>
        <w:t xml:space="preserve"> Allium cepa </w:t>
      </w:r>
      <w:r w:rsidRPr="009812C8">
        <w:rPr>
          <w:lang w:val="de-DE"/>
        </w:rPr>
        <w:t xml:space="preserve">L. „SK20“: siehe Dokumente </w:t>
      </w:r>
      <w:r w:rsidR="001E6406" w:rsidRPr="009812C8">
        <w:rPr>
          <w:lang w:val="de-DE"/>
        </w:rPr>
        <w:t>TWO/57/10 „Bericht“, Absätze 16 und 17; TWV/59/19 „Bericht“, Absätze 10 bis 12; und TWF/56/7 „Bericht“, Absätze 8 bis 10</w:t>
      </w:r>
    </w:p>
  </w:footnote>
  <w:footnote w:id="11">
    <w:p w14:paraId="373DF61C" w14:textId="150B72AD" w:rsidR="003B4826" w:rsidRPr="009812C8" w:rsidRDefault="003B4826">
      <w:pPr>
        <w:pStyle w:val="FootnoteText"/>
        <w:rPr>
          <w:lang w:val="de-DE"/>
        </w:rPr>
      </w:pPr>
      <w:r>
        <w:rPr>
          <w:rStyle w:val="FootnoteReference"/>
        </w:rPr>
        <w:footnoteRef/>
      </w:r>
      <w:r w:rsidRPr="009812C8">
        <w:rPr>
          <w:lang w:val="de-DE"/>
        </w:rPr>
        <w:t xml:space="preserve"> Siehe Dokument TWO/57/10 „Bericht“, Absätze 30 bis 33</w:t>
      </w:r>
    </w:p>
  </w:footnote>
  <w:footnote w:id="12">
    <w:p w14:paraId="68C1A62F" w14:textId="42302418" w:rsidR="00693F23" w:rsidRPr="009812C8" w:rsidRDefault="00693F23">
      <w:pPr>
        <w:pStyle w:val="FootnoteText"/>
        <w:rPr>
          <w:lang w:val="de-DE"/>
        </w:rPr>
      </w:pPr>
      <w:r>
        <w:rPr>
          <w:rStyle w:val="FootnoteReference"/>
        </w:rPr>
        <w:footnoteRef/>
      </w:r>
      <w:r w:rsidRPr="009812C8">
        <w:rPr>
          <w:lang w:val="de-DE"/>
        </w:rPr>
        <w:t xml:space="preserve"> TWM, dritte Sitzung, siehe Dokument TWM/3/29 „Bericht”, Absätze 8 und 9</w:t>
      </w:r>
    </w:p>
  </w:footnote>
  <w:footnote w:id="13">
    <w:p w14:paraId="0B5F19F7" w14:textId="42A0A130" w:rsidR="00693F23" w:rsidRPr="009812C8" w:rsidRDefault="00693F23">
      <w:pPr>
        <w:pStyle w:val="FootnoteText"/>
        <w:rPr>
          <w:lang w:val="de-DE"/>
        </w:rPr>
      </w:pPr>
      <w:r>
        <w:rPr>
          <w:rStyle w:val="FootnoteReference"/>
        </w:rPr>
        <w:footnoteRef/>
      </w:r>
      <w:r w:rsidRPr="009812C8">
        <w:rPr>
          <w:lang w:val="de-DE"/>
        </w:rPr>
        <w:t xml:space="preserve"> TWM, dritte Sitzung, siehe Dokument TWM/3/29 „Bericht“, Absätze 10 und 11</w:t>
      </w:r>
    </w:p>
  </w:footnote>
  <w:footnote w:id="14">
    <w:p w14:paraId="70A0E19A" w14:textId="4B7721AF" w:rsidR="00693F23" w:rsidRPr="009812C8" w:rsidRDefault="00693F23">
      <w:pPr>
        <w:pStyle w:val="FootnoteText"/>
        <w:rPr>
          <w:lang w:val="de-DE"/>
        </w:rPr>
      </w:pPr>
      <w:r>
        <w:rPr>
          <w:rStyle w:val="FootnoteReference"/>
        </w:rPr>
        <w:footnoteRef/>
      </w:r>
      <w:r w:rsidRPr="009812C8">
        <w:rPr>
          <w:lang w:val="de-DE"/>
        </w:rPr>
        <w:t xml:space="preserve"> TWM, dritte Sitzung, siehe Dokument TWM/3/29 „Bericht“, Absätze 12 und 13</w:t>
      </w:r>
    </w:p>
  </w:footnote>
  <w:footnote w:id="15">
    <w:p w14:paraId="18EC79D6" w14:textId="70F0238A" w:rsidR="00693F23" w:rsidRPr="009812C8" w:rsidRDefault="00693F23">
      <w:pPr>
        <w:pStyle w:val="FootnoteText"/>
        <w:rPr>
          <w:lang w:val="de-DE"/>
        </w:rPr>
      </w:pPr>
      <w:r>
        <w:rPr>
          <w:rStyle w:val="FootnoteReference"/>
        </w:rPr>
        <w:footnoteRef/>
      </w:r>
      <w:r w:rsidRPr="009812C8">
        <w:rPr>
          <w:lang w:val="de-DE"/>
        </w:rPr>
        <w:t xml:space="preserve"> TWM, dritte Sitzung, siehe Dokument TWM/3/29 „Bericht“, Absätze 14 und 15</w:t>
      </w:r>
    </w:p>
  </w:footnote>
  <w:footnote w:id="16">
    <w:p w14:paraId="08BD6F4E" w14:textId="09884126" w:rsidR="00693F23" w:rsidRPr="009812C8" w:rsidRDefault="00693F23">
      <w:pPr>
        <w:pStyle w:val="FootnoteText"/>
        <w:rPr>
          <w:lang w:val="de-DE"/>
        </w:rPr>
      </w:pPr>
      <w:r>
        <w:rPr>
          <w:rStyle w:val="FootnoteReference"/>
        </w:rPr>
        <w:footnoteRef/>
      </w:r>
      <w:r w:rsidRPr="009812C8">
        <w:rPr>
          <w:lang w:val="de-DE"/>
        </w:rPr>
        <w:t xml:space="preserve"> TWM, dritte Sitzung, siehe Dokument TWM/3/29 „Bericht“, Absätze 16 und 17</w:t>
      </w:r>
    </w:p>
  </w:footnote>
  <w:footnote w:id="17">
    <w:p w14:paraId="6DDE9305" w14:textId="4EBB3429" w:rsidR="00B270F3" w:rsidRPr="009812C8" w:rsidRDefault="00B270F3">
      <w:pPr>
        <w:pStyle w:val="FootnoteText"/>
        <w:rPr>
          <w:lang w:val="de-DE"/>
        </w:rPr>
      </w:pPr>
      <w:r>
        <w:rPr>
          <w:rStyle w:val="FootnoteReference"/>
        </w:rPr>
        <w:footnoteRef/>
      </w:r>
      <w:r w:rsidRPr="009812C8">
        <w:rPr>
          <w:lang w:val="de-DE"/>
        </w:rPr>
        <w:t xml:space="preserve"> TWF, sechsundfünfzigste Sitzung, siehe Dokument TWF/56/7 „Bericht“, Absätze 20 bis 22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8F0FAE" w14:textId="1E6CD5DC" w:rsidR="0004198B" w:rsidRPr="00C5280D" w:rsidRDefault="00C80836" w:rsidP="00EB048E">
    <w:pPr>
      <w:pStyle w:val="Header"/>
      <w:rPr>
        <w:rStyle w:val="PageNumber"/>
        <w:lang w:val="en-US"/>
      </w:rPr>
    </w:pPr>
    <w:r>
      <w:rPr>
        <w:rStyle w:val="PageNumber"/>
        <w:lang w:val="en-US"/>
      </w:rPr>
      <w:t>TC/61/3</w:t>
    </w:r>
  </w:p>
  <w:p w14:paraId="2659679F" w14:textId="77777777" w:rsidR="0004198B" w:rsidRPr="00C5280D" w:rsidRDefault="0004198B" w:rsidP="00EB048E">
    <w:pPr>
      <w:pStyle w:val="Header"/>
      <w:rPr>
        <w:lang w:val="en-US"/>
      </w:rPr>
    </w:pPr>
    <w:proofErr w:type="spellStart"/>
    <w:r w:rsidRPr="00C5280D">
      <w:rPr>
        <w:lang w:val="en-US"/>
      </w:rPr>
      <w:t>Seite</w:t>
    </w:r>
    <w:proofErr w:type="spellEnd"/>
    <w:r w:rsidRPr="00C5280D">
      <w:rPr>
        <w:lang w:val="en-US"/>
      </w:rPr>
      <w:t xml:space="preserve"> </w:t>
    </w:r>
    <w:r w:rsidRPr="00C5280D">
      <w:rPr>
        <w:rStyle w:val="PageNumber"/>
        <w:lang w:val="en-US"/>
      </w:rPr>
      <w:fldChar w:fldCharType="begin"/>
    </w:r>
    <w:r w:rsidRPr="00C5280D">
      <w:rPr>
        <w:rStyle w:val="PageNumber"/>
        <w:lang w:val="en-US"/>
      </w:rPr>
      <w:instrText xml:space="preserve"> PAGE </w:instrText>
    </w:r>
    <w:r w:rsidRPr="00C5280D">
      <w:rPr>
        <w:rStyle w:val="PageNumber"/>
        <w:lang w:val="en-US"/>
      </w:rPr>
      <w:fldChar w:fldCharType="separate"/>
    </w:r>
    <w:r w:rsidR="006245ED">
      <w:rPr>
        <w:rStyle w:val="PageNumber"/>
        <w:noProof/>
        <w:lang w:val="en-US"/>
      </w:rPr>
      <w:t>2</w:t>
    </w:r>
    <w:r w:rsidRPr="00C5280D">
      <w:rPr>
        <w:rStyle w:val="PageNumber"/>
        <w:lang w:val="en-US"/>
      </w:rPr>
      <w:fldChar w:fldCharType="end"/>
    </w:r>
  </w:p>
  <w:p w14:paraId="4EE8F755" w14:textId="77777777" w:rsidR="0004198B" w:rsidRPr="00C5280D" w:rsidRDefault="0004198B" w:rsidP="006655D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C8E854" w14:textId="77777777" w:rsidR="0004198B" w:rsidRPr="0004198B" w:rsidRDefault="0004198B" w:rsidP="0004198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DE2E4B"/>
    <w:multiLevelType w:val="hybridMultilevel"/>
    <w:tmpl w:val="574A35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1DC4B7A"/>
    <w:multiLevelType w:val="hybridMultilevel"/>
    <w:tmpl w:val="FC94616E"/>
    <w:lvl w:ilvl="0" w:tplc="CC94EB50">
      <w:start w:val="1"/>
      <w:numFmt w:val="lowerLetter"/>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4DB4B56"/>
    <w:multiLevelType w:val="hybridMultilevel"/>
    <w:tmpl w:val="4F8C24BC"/>
    <w:lvl w:ilvl="0" w:tplc="64F0AAC8">
      <w:start w:val="1"/>
      <w:numFmt w:val="lowerRoman"/>
      <w:lvlText w:val="(%1)"/>
      <w:lvlJc w:val="left"/>
      <w:pPr>
        <w:ind w:left="1287" w:hanging="720"/>
      </w:pPr>
      <w:rPr>
        <w:rFonts w:hint="default"/>
      </w:rPr>
    </w:lvl>
    <w:lvl w:ilvl="1" w:tplc="20000019" w:tentative="1">
      <w:start w:val="1"/>
      <w:numFmt w:val="lowerLetter"/>
      <w:lvlText w:val="%2."/>
      <w:lvlJc w:val="left"/>
      <w:pPr>
        <w:ind w:left="1647" w:hanging="360"/>
      </w:pPr>
    </w:lvl>
    <w:lvl w:ilvl="2" w:tplc="2000001B" w:tentative="1">
      <w:start w:val="1"/>
      <w:numFmt w:val="lowerRoman"/>
      <w:lvlText w:val="%3."/>
      <w:lvlJc w:val="right"/>
      <w:pPr>
        <w:ind w:left="2367" w:hanging="180"/>
      </w:pPr>
    </w:lvl>
    <w:lvl w:ilvl="3" w:tplc="2000000F" w:tentative="1">
      <w:start w:val="1"/>
      <w:numFmt w:val="decimal"/>
      <w:lvlText w:val="%4."/>
      <w:lvlJc w:val="left"/>
      <w:pPr>
        <w:ind w:left="3087" w:hanging="360"/>
      </w:pPr>
    </w:lvl>
    <w:lvl w:ilvl="4" w:tplc="20000019" w:tentative="1">
      <w:start w:val="1"/>
      <w:numFmt w:val="lowerLetter"/>
      <w:lvlText w:val="%5."/>
      <w:lvlJc w:val="left"/>
      <w:pPr>
        <w:ind w:left="3807" w:hanging="360"/>
      </w:pPr>
    </w:lvl>
    <w:lvl w:ilvl="5" w:tplc="2000001B" w:tentative="1">
      <w:start w:val="1"/>
      <w:numFmt w:val="lowerRoman"/>
      <w:lvlText w:val="%6."/>
      <w:lvlJc w:val="right"/>
      <w:pPr>
        <w:ind w:left="4527" w:hanging="180"/>
      </w:pPr>
    </w:lvl>
    <w:lvl w:ilvl="6" w:tplc="2000000F" w:tentative="1">
      <w:start w:val="1"/>
      <w:numFmt w:val="decimal"/>
      <w:lvlText w:val="%7."/>
      <w:lvlJc w:val="left"/>
      <w:pPr>
        <w:ind w:left="5247" w:hanging="360"/>
      </w:pPr>
    </w:lvl>
    <w:lvl w:ilvl="7" w:tplc="20000019" w:tentative="1">
      <w:start w:val="1"/>
      <w:numFmt w:val="lowerLetter"/>
      <w:lvlText w:val="%8."/>
      <w:lvlJc w:val="left"/>
      <w:pPr>
        <w:ind w:left="5967" w:hanging="360"/>
      </w:pPr>
    </w:lvl>
    <w:lvl w:ilvl="8" w:tplc="2000001B" w:tentative="1">
      <w:start w:val="1"/>
      <w:numFmt w:val="lowerRoman"/>
      <w:lvlText w:val="%9."/>
      <w:lvlJc w:val="right"/>
      <w:pPr>
        <w:ind w:left="6687" w:hanging="180"/>
      </w:pPr>
    </w:lvl>
  </w:abstractNum>
  <w:abstractNum w:abstractNumId="3" w15:restartNumberingAfterBreak="0">
    <w:nsid w:val="487D356A"/>
    <w:multiLevelType w:val="hybridMultilevel"/>
    <w:tmpl w:val="D1C02E6C"/>
    <w:lvl w:ilvl="0" w:tplc="01C2BD9E">
      <w:start w:val="1"/>
      <w:numFmt w:val="bullet"/>
      <w:lvlText w:val=""/>
      <w:lvlJc w:val="left"/>
      <w:pPr>
        <w:ind w:left="2628" w:hanging="360"/>
      </w:pPr>
      <w:rPr>
        <w:rFonts w:ascii="Symbol" w:hAnsi="Symbol" w:hint="default"/>
      </w:rPr>
    </w:lvl>
    <w:lvl w:ilvl="1" w:tplc="04090003" w:tentative="1">
      <w:start w:val="1"/>
      <w:numFmt w:val="bullet"/>
      <w:lvlText w:val="o"/>
      <w:lvlJc w:val="left"/>
      <w:pPr>
        <w:ind w:left="3348" w:hanging="360"/>
      </w:pPr>
      <w:rPr>
        <w:rFonts w:ascii="Courier New" w:hAnsi="Courier New" w:cs="Courier New" w:hint="default"/>
      </w:rPr>
    </w:lvl>
    <w:lvl w:ilvl="2" w:tplc="04090005" w:tentative="1">
      <w:start w:val="1"/>
      <w:numFmt w:val="bullet"/>
      <w:lvlText w:val=""/>
      <w:lvlJc w:val="left"/>
      <w:pPr>
        <w:ind w:left="4068" w:hanging="360"/>
      </w:pPr>
      <w:rPr>
        <w:rFonts w:ascii="Wingdings" w:hAnsi="Wingdings" w:hint="default"/>
      </w:rPr>
    </w:lvl>
    <w:lvl w:ilvl="3" w:tplc="04090001" w:tentative="1">
      <w:start w:val="1"/>
      <w:numFmt w:val="bullet"/>
      <w:lvlText w:val=""/>
      <w:lvlJc w:val="left"/>
      <w:pPr>
        <w:ind w:left="4788" w:hanging="360"/>
      </w:pPr>
      <w:rPr>
        <w:rFonts w:ascii="Symbol" w:hAnsi="Symbol" w:hint="default"/>
      </w:rPr>
    </w:lvl>
    <w:lvl w:ilvl="4" w:tplc="04090003" w:tentative="1">
      <w:start w:val="1"/>
      <w:numFmt w:val="bullet"/>
      <w:lvlText w:val="o"/>
      <w:lvlJc w:val="left"/>
      <w:pPr>
        <w:ind w:left="5508" w:hanging="360"/>
      </w:pPr>
      <w:rPr>
        <w:rFonts w:ascii="Courier New" w:hAnsi="Courier New" w:cs="Courier New" w:hint="default"/>
      </w:rPr>
    </w:lvl>
    <w:lvl w:ilvl="5" w:tplc="04090005" w:tentative="1">
      <w:start w:val="1"/>
      <w:numFmt w:val="bullet"/>
      <w:lvlText w:val=""/>
      <w:lvlJc w:val="left"/>
      <w:pPr>
        <w:ind w:left="6228" w:hanging="360"/>
      </w:pPr>
      <w:rPr>
        <w:rFonts w:ascii="Wingdings" w:hAnsi="Wingdings" w:hint="default"/>
      </w:rPr>
    </w:lvl>
    <w:lvl w:ilvl="6" w:tplc="04090001" w:tentative="1">
      <w:start w:val="1"/>
      <w:numFmt w:val="bullet"/>
      <w:lvlText w:val=""/>
      <w:lvlJc w:val="left"/>
      <w:pPr>
        <w:ind w:left="6948" w:hanging="360"/>
      </w:pPr>
      <w:rPr>
        <w:rFonts w:ascii="Symbol" w:hAnsi="Symbol" w:hint="default"/>
      </w:rPr>
    </w:lvl>
    <w:lvl w:ilvl="7" w:tplc="04090003" w:tentative="1">
      <w:start w:val="1"/>
      <w:numFmt w:val="bullet"/>
      <w:lvlText w:val="o"/>
      <w:lvlJc w:val="left"/>
      <w:pPr>
        <w:ind w:left="7668" w:hanging="360"/>
      </w:pPr>
      <w:rPr>
        <w:rFonts w:ascii="Courier New" w:hAnsi="Courier New" w:cs="Courier New" w:hint="default"/>
      </w:rPr>
    </w:lvl>
    <w:lvl w:ilvl="8" w:tplc="04090005" w:tentative="1">
      <w:start w:val="1"/>
      <w:numFmt w:val="bullet"/>
      <w:lvlText w:val=""/>
      <w:lvlJc w:val="left"/>
      <w:pPr>
        <w:ind w:left="8388" w:hanging="360"/>
      </w:pPr>
      <w:rPr>
        <w:rFonts w:ascii="Wingdings" w:hAnsi="Wingdings" w:hint="default"/>
      </w:rPr>
    </w:lvl>
  </w:abstractNum>
  <w:abstractNum w:abstractNumId="4" w15:restartNumberingAfterBreak="0">
    <w:nsid w:val="61E264F1"/>
    <w:multiLevelType w:val="hybridMultilevel"/>
    <w:tmpl w:val="5C86174C"/>
    <w:lvl w:ilvl="0" w:tplc="75AA9FE4">
      <w:start w:val="1"/>
      <w:numFmt w:val="decimal"/>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72008266">
    <w:abstractNumId w:val="3"/>
  </w:num>
  <w:num w:numId="2" w16cid:durableId="1701930538">
    <w:abstractNumId w:val="0"/>
  </w:num>
  <w:num w:numId="3" w16cid:durableId="381710990">
    <w:abstractNumId w:val="4"/>
  </w:num>
  <w:num w:numId="4" w16cid:durableId="1812792951">
    <w:abstractNumId w:val="2"/>
  </w:num>
  <w:num w:numId="5" w16cid:durableId="7772183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4A16"/>
    <w:rsid w:val="00010CF3"/>
    <w:rsid w:val="00011E27"/>
    <w:rsid w:val="000148BC"/>
    <w:rsid w:val="00024AB8"/>
    <w:rsid w:val="00030854"/>
    <w:rsid w:val="00036028"/>
    <w:rsid w:val="0004198B"/>
    <w:rsid w:val="00044642"/>
    <w:rsid w:val="000446B9"/>
    <w:rsid w:val="00047E21"/>
    <w:rsid w:val="00050E16"/>
    <w:rsid w:val="00064895"/>
    <w:rsid w:val="00085505"/>
    <w:rsid w:val="00092C1C"/>
    <w:rsid w:val="000C4E25"/>
    <w:rsid w:val="000C7021"/>
    <w:rsid w:val="000D6BBC"/>
    <w:rsid w:val="000D7780"/>
    <w:rsid w:val="000E636A"/>
    <w:rsid w:val="000F1412"/>
    <w:rsid w:val="000F2F11"/>
    <w:rsid w:val="00100A5F"/>
    <w:rsid w:val="00105929"/>
    <w:rsid w:val="00110BED"/>
    <w:rsid w:val="00110C36"/>
    <w:rsid w:val="001131D5"/>
    <w:rsid w:val="00114547"/>
    <w:rsid w:val="00141DB8"/>
    <w:rsid w:val="00163DB6"/>
    <w:rsid w:val="00172084"/>
    <w:rsid w:val="0017474A"/>
    <w:rsid w:val="001758C6"/>
    <w:rsid w:val="0018066F"/>
    <w:rsid w:val="00182B99"/>
    <w:rsid w:val="001A02ED"/>
    <w:rsid w:val="001B6C83"/>
    <w:rsid w:val="001C1525"/>
    <w:rsid w:val="001E6406"/>
    <w:rsid w:val="0021332C"/>
    <w:rsid w:val="00213982"/>
    <w:rsid w:val="0023752D"/>
    <w:rsid w:val="0024416D"/>
    <w:rsid w:val="00247B0E"/>
    <w:rsid w:val="00271911"/>
    <w:rsid w:val="00273187"/>
    <w:rsid w:val="00275D0B"/>
    <w:rsid w:val="002800A0"/>
    <w:rsid w:val="002801B3"/>
    <w:rsid w:val="00281060"/>
    <w:rsid w:val="00284050"/>
    <w:rsid w:val="00285BD0"/>
    <w:rsid w:val="002940E8"/>
    <w:rsid w:val="00294751"/>
    <w:rsid w:val="002A6E50"/>
    <w:rsid w:val="002B4298"/>
    <w:rsid w:val="002B7A36"/>
    <w:rsid w:val="002C256A"/>
    <w:rsid w:val="002D5226"/>
    <w:rsid w:val="00302A22"/>
    <w:rsid w:val="00305A7F"/>
    <w:rsid w:val="003152FE"/>
    <w:rsid w:val="00327436"/>
    <w:rsid w:val="003328E1"/>
    <w:rsid w:val="00344BD6"/>
    <w:rsid w:val="0035528D"/>
    <w:rsid w:val="003602B2"/>
    <w:rsid w:val="00361821"/>
    <w:rsid w:val="00361E9E"/>
    <w:rsid w:val="00364964"/>
    <w:rsid w:val="00365B2A"/>
    <w:rsid w:val="003753EE"/>
    <w:rsid w:val="00387426"/>
    <w:rsid w:val="00397554"/>
    <w:rsid w:val="003A0835"/>
    <w:rsid w:val="003A5AAF"/>
    <w:rsid w:val="003B4826"/>
    <w:rsid w:val="003B700A"/>
    <w:rsid w:val="003C7FBE"/>
    <w:rsid w:val="003D0839"/>
    <w:rsid w:val="003D227C"/>
    <w:rsid w:val="003D2B4D"/>
    <w:rsid w:val="003F37F5"/>
    <w:rsid w:val="00421571"/>
    <w:rsid w:val="004300F4"/>
    <w:rsid w:val="00444A88"/>
    <w:rsid w:val="00445B73"/>
    <w:rsid w:val="004675E5"/>
    <w:rsid w:val="00474A16"/>
    <w:rsid w:val="00474DA4"/>
    <w:rsid w:val="00476B4D"/>
    <w:rsid w:val="004805FA"/>
    <w:rsid w:val="004915BA"/>
    <w:rsid w:val="004935D2"/>
    <w:rsid w:val="004A4BD7"/>
    <w:rsid w:val="004B1215"/>
    <w:rsid w:val="004D047D"/>
    <w:rsid w:val="004D4458"/>
    <w:rsid w:val="004F1E9E"/>
    <w:rsid w:val="004F305A"/>
    <w:rsid w:val="00512164"/>
    <w:rsid w:val="00520297"/>
    <w:rsid w:val="005338F9"/>
    <w:rsid w:val="0054281C"/>
    <w:rsid w:val="00544581"/>
    <w:rsid w:val="0055268D"/>
    <w:rsid w:val="00563347"/>
    <w:rsid w:val="005639BE"/>
    <w:rsid w:val="00575DE2"/>
    <w:rsid w:val="00576BE4"/>
    <w:rsid w:val="005779DB"/>
    <w:rsid w:val="005848DE"/>
    <w:rsid w:val="005A2A67"/>
    <w:rsid w:val="005A400A"/>
    <w:rsid w:val="005B269D"/>
    <w:rsid w:val="005C6182"/>
    <w:rsid w:val="005F7B92"/>
    <w:rsid w:val="00612379"/>
    <w:rsid w:val="006153B6"/>
    <w:rsid w:val="0061555F"/>
    <w:rsid w:val="0062210A"/>
    <w:rsid w:val="006245ED"/>
    <w:rsid w:val="00636CA6"/>
    <w:rsid w:val="00641200"/>
    <w:rsid w:val="00642D69"/>
    <w:rsid w:val="00645CA8"/>
    <w:rsid w:val="006655D3"/>
    <w:rsid w:val="00667404"/>
    <w:rsid w:val="006739C4"/>
    <w:rsid w:val="00687EB4"/>
    <w:rsid w:val="00693F23"/>
    <w:rsid w:val="00694058"/>
    <w:rsid w:val="00695C56"/>
    <w:rsid w:val="006A5CDE"/>
    <w:rsid w:val="006A644A"/>
    <w:rsid w:val="006B17D2"/>
    <w:rsid w:val="006B68C2"/>
    <w:rsid w:val="006C224E"/>
    <w:rsid w:val="006D780A"/>
    <w:rsid w:val="006F0A99"/>
    <w:rsid w:val="0071271E"/>
    <w:rsid w:val="00732DEC"/>
    <w:rsid w:val="00735BD5"/>
    <w:rsid w:val="007451EC"/>
    <w:rsid w:val="00751613"/>
    <w:rsid w:val="00753EE9"/>
    <w:rsid w:val="007556F6"/>
    <w:rsid w:val="00760EEF"/>
    <w:rsid w:val="00764C5C"/>
    <w:rsid w:val="00777EE5"/>
    <w:rsid w:val="00784836"/>
    <w:rsid w:val="0079023E"/>
    <w:rsid w:val="007A2854"/>
    <w:rsid w:val="007C1D92"/>
    <w:rsid w:val="007C4CB9"/>
    <w:rsid w:val="007D0B9D"/>
    <w:rsid w:val="007D19B0"/>
    <w:rsid w:val="007F498F"/>
    <w:rsid w:val="0080679D"/>
    <w:rsid w:val="008108B0"/>
    <w:rsid w:val="00811B20"/>
    <w:rsid w:val="00812609"/>
    <w:rsid w:val="008211B5"/>
    <w:rsid w:val="0082202C"/>
    <w:rsid w:val="0082296E"/>
    <w:rsid w:val="00824099"/>
    <w:rsid w:val="00846D7C"/>
    <w:rsid w:val="00852529"/>
    <w:rsid w:val="00854B12"/>
    <w:rsid w:val="008606C6"/>
    <w:rsid w:val="00867AC1"/>
    <w:rsid w:val="008751DE"/>
    <w:rsid w:val="008872DC"/>
    <w:rsid w:val="00890DF8"/>
    <w:rsid w:val="008A0ADE"/>
    <w:rsid w:val="008A743F"/>
    <w:rsid w:val="008C0970"/>
    <w:rsid w:val="008D0BC5"/>
    <w:rsid w:val="008D2CF7"/>
    <w:rsid w:val="00900C26"/>
    <w:rsid w:val="0090197F"/>
    <w:rsid w:val="00902190"/>
    <w:rsid w:val="00903264"/>
    <w:rsid w:val="00906DDC"/>
    <w:rsid w:val="00934E09"/>
    <w:rsid w:val="009357CF"/>
    <w:rsid w:val="00936253"/>
    <w:rsid w:val="00940D46"/>
    <w:rsid w:val="009413F1"/>
    <w:rsid w:val="00952DD4"/>
    <w:rsid w:val="009561F4"/>
    <w:rsid w:val="00965AE7"/>
    <w:rsid w:val="00970FED"/>
    <w:rsid w:val="009812C8"/>
    <w:rsid w:val="00985E41"/>
    <w:rsid w:val="00992D82"/>
    <w:rsid w:val="00997029"/>
    <w:rsid w:val="009A7339"/>
    <w:rsid w:val="009B440E"/>
    <w:rsid w:val="009C0E22"/>
    <w:rsid w:val="009D690D"/>
    <w:rsid w:val="009E65B6"/>
    <w:rsid w:val="009F0A51"/>
    <w:rsid w:val="009F0B7F"/>
    <w:rsid w:val="009F77CF"/>
    <w:rsid w:val="00A12795"/>
    <w:rsid w:val="00A24C10"/>
    <w:rsid w:val="00A42AC3"/>
    <w:rsid w:val="00A430CF"/>
    <w:rsid w:val="00A44D2D"/>
    <w:rsid w:val="00A54309"/>
    <w:rsid w:val="00A55168"/>
    <w:rsid w:val="00A610A9"/>
    <w:rsid w:val="00A63DB9"/>
    <w:rsid w:val="00A766EF"/>
    <w:rsid w:val="00A80F2A"/>
    <w:rsid w:val="00A92701"/>
    <w:rsid w:val="00A96C33"/>
    <w:rsid w:val="00AA2342"/>
    <w:rsid w:val="00AA35F9"/>
    <w:rsid w:val="00AB2B93"/>
    <w:rsid w:val="00AB530F"/>
    <w:rsid w:val="00AB7E5B"/>
    <w:rsid w:val="00AC0937"/>
    <w:rsid w:val="00AC2883"/>
    <w:rsid w:val="00AE0EF1"/>
    <w:rsid w:val="00AE2937"/>
    <w:rsid w:val="00AE4EE7"/>
    <w:rsid w:val="00AF09FC"/>
    <w:rsid w:val="00B07301"/>
    <w:rsid w:val="00B11F3E"/>
    <w:rsid w:val="00B224DE"/>
    <w:rsid w:val="00B270F3"/>
    <w:rsid w:val="00B324D4"/>
    <w:rsid w:val="00B46575"/>
    <w:rsid w:val="00B57D2B"/>
    <w:rsid w:val="00B61777"/>
    <w:rsid w:val="00B622E6"/>
    <w:rsid w:val="00B83E82"/>
    <w:rsid w:val="00B84BBD"/>
    <w:rsid w:val="00BA43FB"/>
    <w:rsid w:val="00BA470A"/>
    <w:rsid w:val="00BC127D"/>
    <w:rsid w:val="00BC1FE6"/>
    <w:rsid w:val="00C061B6"/>
    <w:rsid w:val="00C16B87"/>
    <w:rsid w:val="00C1785B"/>
    <w:rsid w:val="00C2446C"/>
    <w:rsid w:val="00C36AE5"/>
    <w:rsid w:val="00C41F17"/>
    <w:rsid w:val="00C527FA"/>
    <w:rsid w:val="00C5280D"/>
    <w:rsid w:val="00C53EB3"/>
    <w:rsid w:val="00C5791C"/>
    <w:rsid w:val="00C66290"/>
    <w:rsid w:val="00C72B7A"/>
    <w:rsid w:val="00C75A58"/>
    <w:rsid w:val="00C80836"/>
    <w:rsid w:val="00C973F2"/>
    <w:rsid w:val="00CA304C"/>
    <w:rsid w:val="00CA774A"/>
    <w:rsid w:val="00CB4921"/>
    <w:rsid w:val="00CC11B0"/>
    <w:rsid w:val="00CC2841"/>
    <w:rsid w:val="00CE7AAB"/>
    <w:rsid w:val="00CF1330"/>
    <w:rsid w:val="00CF497D"/>
    <w:rsid w:val="00CF7E36"/>
    <w:rsid w:val="00D30834"/>
    <w:rsid w:val="00D3708D"/>
    <w:rsid w:val="00D40426"/>
    <w:rsid w:val="00D50DFB"/>
    <w:rsid w:val="00D57C96"/>
    <w:rsid w:val="00D57D18"/>
    <w:rsid w:val="00D70E65"/>
    <w:rsid w:val="00D8451B"/>
    <w:rsid w:val="00D90661"/>
    <w:rsid w:val="00D91203"/>
    <w:rsid w:val="00D95174"/>
    <w:rsid w:val="00D97966"/>
    <w:rsid w:val="00DA4973"/>
    <w:rsid w:val="00DA6F36"/>
    <w:rsid w:val="00DA7979"/>
    <w:rsid w:val="00DB46F4"/>
    <w:rsid w:val="00DB596E"/>
    <w:rsid w:val="00DB7773"/>
    <w:rsid w:val="00DC00EA"/>
    <w:rsid w:val="00DC3802"/>
    <w:rsid w:val="00DD3EDF"/>
    <w:rsid w:val="00DD6208"/>
    <w:rsid w:val="00DF7E99"/>
    <w:rsid w:val="00E07D87"/>
    <w:rsid w:val="00E249C8"/>
    <w:rsid w:val="00E32F7E"/>
    <w:rsid w:val="00E33353"/>
    <w:rsid w:val="00E5267B"/>
    <w:rsid w:val="00E559F0"/>
    <w:rsid w:val="00E566A0"/>
    <w:rsid w:val="00E63C0E"/>
    <w:rsid w:val="00E72D49"/>
    <w:rsid w:val="00E7593C"/>
    <w:rsid w:val="00E7678A"/>
    <w:rsid w:val="00E81BE2"/>
    <w:rsid w:val="00E84163"/>
    <w:rsid w:val="00E935F1"/>
    <w:rsid w:val="00E94A81"/>
    <w:rsid w:val="00EA1FFB"/>
    <w:rsid w:val="00EA28EE"/>
    <w:rsid w:val="00EB048E"/>
    <w:rsid w:val="00EB4E9C"/>
    <w:rsid w:val="00EB7080"/>
    <w:rsid w:val="00EC634B"/>
    <w:rsid w:val="00EE34DF"/>
    <w:rsid w:val="00EF2F89"/>
    <w:rsid w:val="00F03E98"/>
    <w:rsid w:val="00F1237A"/>
    <w:rsid w:val="00F21482"/>
    <w:rsid w:val="00F22CBD"/>
    <w:rsid w:val="00F272F1"/>
    <w:rsid w:val="00F31412"/>
    <w:rsid w:val="00F45372"/>
    <w:rsid w:val="00F54661"/>
    <w:rsid w:val="00F560F7"/>
    <w:rsid w:val="00F6334D"/>
    <w:rsid w:val="00F63599"/>
    <w:rsid w:val="00F70CD4"/>
    <w:rsid w:val="00F71781"/>
    <w:rsid w:val="00F96C11"/>
    <w:rsid w:val="00FA49AB"/>
    <w:rsid w:val="00FC0F25"/>
    <w:rsid w:val="00FC5FD0"/>
    <w:rsid w:val="00FE39C7"/>
    <w:rsid w:val="00FF4D07"/>
    <w:rsid w:val="00FF59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D09F0B"/>
  <w15:docId w15:val="{23DE11C2-5ECE-41B2-B5C7-4236A0FE0F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46575"/>
    <w:pPr>
      <w:jc w:val="both"/>
    </w:pPr>
    <w:rPr>
      <w:rFonts w:ascii="Arial" w:hAnsi="Arial"/>
    </w:rPr>
  </w:style>
  <w:style w:type="paragraph" w:styleId="Heading1">
    <w:name w:val="heading 1"/>
    <w:next w:val="Normal"/>
    <w:link w:val="Heading1Char"/>
    <w:autoRedefine/>
    <w:qFormat/>
    <w:rsid w:val="004805FA"/>
    <w:pPr>
      <w:keepNext/>
      <w:jc w:val="both"/>
      <w:outlineLvl w:val="0"/>
    </w:pPr>
    <w:rPr>
      <w:rFonts w:ascii="Arial" w:hAnsi="Arial"/>
      <w:caps/>
    </w:rPr>
  </w:style>
  <w:style w:type="paragraph" w:styleId="Heading2">
    <w:name w:val="heading 2"/>
    <w:aliases w:val="VARIETY,variety"/>
    <w:next w:val="Normal"/>
    <w:link w:val="Heading2Char"/>
    <w:autoRedefine/>
    <w:qFormat/>
    <w:rsid w:val="00365B2A"/>
    <w:pPr>
      <w:keepNext/>
      <w:jc w:val="both"/>
      <w:outlineLvl w:val="1"/>
    </w:pPr>
    <w:rPr>
      <w:rFonts w:ascii="Arial" w:hAnsi="Arial"/>
      <w:u w:val="single"/>
    </w:rPr>
  </w:style>
  <w:style w:type="paragraph" w:styleId="Heading3">
    <w:name w:val="heading 3"/>
    <w:next w:val="Normal"/>
    <w:link w:val="Heading3Char"/>
    <w:autoRedefine/>
    <w:qFormat/>
    <w:rsid w:val="004805FA"/>
    <w:pPr>
      <w:keepNext/>
      <w:jc w:val="both"/>
      <w:outlineLvl w:val="2"/>
    </w:pPr>
    <w:rPr>
      <w:rFonts w:ascii="Arial" w:hAnsi="Arial"/>
      <w:i/>
    </w:rPr>
  </w:style>
  <w:style w:type="paragraph" w:styleId="Heading4">
    <w:name w:val="heading 4"/>
    <w:next w:val="Normal"/>
    <w:autoRedefine/>
    <w:qFormat/>
    <w:rsid w:val="004805FA"/>
    <w:pPr>
      <w:keepNext/>
      <w:ind w:left="567"/>
      <w:jc w:val="both"/>
      <w:outlineLvl w:val="3"/>
    </w:pPr>
    <w:rPr>
      <w:rFonts w:ascii="Arial" w:hAnsi="Arial"/>
      <w:u w:val="single"/>
      <w:lang w:val="fr-FR"/>
    </w:rPr>
  </w:style>
  <w:style w:type="paragraph" w:styleId="Heading5">
    <w:name w:val="heading 5"/>
    <w:next w:val="Normal"/>
    <w:autoRedefine/>
    <w:qFormat/>
    <w:rsid w:val="004805FA"/>
    <w:pPr>
      <w:keepNext/>
      <w:ind w:left="1134" w:hanging="567"/>
      <w:jc w:val="both"/>
      <w:outlineLvl w:val="4"/>
    </w:pPr>
    <w:rPr>
      <w:rFonts w:ascii="Arial" w:hAnsi="Arial"/>
      <w:i/>
    </w:rPr>
  </w:style>
  <w:style w:type="paragraph" w:styleId="Heading9">
    <w:name w:val="heading 9"/>
    <w:basedOn w:val="Normal"/>
    <w:next w:val="Normal"/>
    <w:qFormat/>
    <w:rsid w:val="00D3708D"/>
    <w:pPr>
      <w:spacing w:before="240" w:after="60"/>
      <w:outlineLvl w:val="8"/>
    </w:pPr>
    <w:rPr>
      <w:i/>
      <w:sz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rsid w:val="00AE2937"/>
    <w:pPr>
      <w:jc w:val="center"/>
    </w:pPr>
    <w:rPr>
      <w:rFonts w:ascii="Arial" w:hAnsi="Arial"/>
      <w:lang w:val="fr-FR"/>
    </w:rPr>
  </w:style>
  <w:style w:type="paragraph" w:styleId="Footer">
    <w:name w:val="footer"/>
    <w:aliases w:val="doc_path_name"/>
    <w:autoRedefine/>
    <w:rsid w:val="009D690D"/>
    <w:pPr>
      <w:jc w:val="both"/>
    </w:pPr>
    <w:rPr>
      <w:rFonts w:ascii="Arial" w:hAnsi="Arial"/>
      <w:sz w:val="14"/>
    </w:rPr>
  </w:style>
  <w:style w:type="character" w:styleId="PageNumber">
    <w:name w:val="page number"/>
    <w:basedOn w:val="DefaultParagraphFont"/>
    <w:rsid w:val="00D3708D"/>
    <w:rPr>
      <w:rFonts w:ascii="Arial" w:hAnsi="Arial"/>
      <w:sz w:val="20"/>
    </w:rPr>
  </w:style>
  <w:style w:type="paragraph" w:styleId="Title">
    <w:name w:val="Title"/>
    <w:basedOn w:val="Normal"/>
    <w:qFormat/>
    <w:rsid w:val="00D3708D"/>
    <w:pPr>
      <w:spacing w:after="300"/>
      <w:jc w:val="center"/>
    </w:pPr>
    <w:rPr>
      <w:b/>
      <w:caps/>
      <w:kern w:val="28"/>
      <w:sz w:val="30"/>
    </w:rPr>
  </w:style>
  <w:style w:type="paragraph" w:customStyle="1" w:styleId="preparedby">
    <w:name w:val="preparedby"/>
    <w:basedOn w:val="Normal"/>
    <w:next w:val="Normal"/>
    <w:semiHidden/>
    <w:rsid w:val="00D3708D"/>
    <w:pPr>
      <w:spacing w:after="600"/>
      <w:jc w:val="center"/>
    </w:pPr>
    <w:rPr>
      <w:i/>
    </w:rPr>
  </w:style>
  <w:style w:type="paragraph" w:customStyle="1" w:styleId="Docoriginal">
    <w:name w:val="Doc_original"/>
    <w:basedOn w:val="Code"/>
    <w:link w:val="DocoriginalChar"/>
    <w:rsid w:val="003C7FBE"/>
    <w:pPr>
      <w:spacing w:before="240" w:line="240" w:lineRule="exact"/>
      <w:ind w:left="0"/>
      <w:contextualSpacing/>
      <w:jc w:val="left"/>
    </w:pPr>
    <w:rPr>
      <w:sz w:val="18"/>
    </w:rPr>
  </w:style>
  <w:style w:type="paragraph" w:customStyle="1" w:styleId="DecisionParagraphs">
    <w:name w:val="DecisionParagraphs"/>
    <w:basedOn w:val="Normal"/>
    <w:rsid w:val="005779DB"/>
    <w:pPr>
      <w:tabs>
        <w:tab w:val="left" w:pos="5387"/>
        <w:tab w:val="left" w:pos="5954"/>
      </w:tabs>
      <w:ind w:left="4820"/>
    </w:pPr>
    <w:rPr>
      <w:i/>
    </w:rPr>
  </w:style>
  <w:style w:type="paragraph" w:styleId="FootnoteText">
    <w:name w:val="footnote text"/>
    <w:link w:val="FootnoteTextChar"/>
    <w:autoRedefine/>
    <w:rsid w:val="009D690D"/>
    <w:pPr>
      <w:spacing w:before="60"/>
      <w:ind w:left="567" w:hanging="567"/>
      <w:jc w:val="both"/>
    </w:pPr>
    <w:rPr>
      <w:rFonts w:ascii="Arial" w:hAnsi="Arial"/>
      <w:sz w:val="16"/>
    </w:rPr>
  </w:style>
  <w:style w:type="character" w:styleId="FootnoteReference">
    <w:name w:val="footnote reference"/>
    <w:basedOn w:val="DefaultParagraphFont"/>
    <w:rsid w:val="00D3708D"/>
    <w:rPr>
      <w:vertAlign w:val="superscript"/>
    </w:rPr>
  </w:style>
  <w:style w:type="paragraph" w:styleId="Closing">
    <w:name w:val="Closing"/>
    <w:basedOn w:val="Normal"/>
    <w:rsid w:val="00D3708D"/>
    <w:pPr>
      <w:ind w:left="4536"/>
      <w:jc w:val="center"/>
    </w:pPr>
  </w:style>
  <w:style w:type="paragraph" w:styleId="Index1">
    <w:name w:val="index 1"/>
    <w:basedOn w:val="Normal"/>
    <w:next w:val="Normal"/>
    <w:semiHidden/>
    <w:rsid w:val="00D3708D"/>
    <w:pPr>
      <w:tabs>
        <w:tab w:val="right" w:leader="dot" w:pos="9071"/>
      </w:tabs>
      <w:ind w:left="284" w:hanging="284"/>
    </w:pPr>
    <w:rPr>
      <w:sz w:val="24"/>
    </w:rPr>
  </w:style>
  <w:style w:type="paragraph" w:styleId="Index2">
    <w:name w:val="index 2"/>
    <w:basedOn w:val="Normal"/>
    <w:next w:val="Normal"/>
    <w:semiHidden/>
    <w:rsid w:val="00D3708D"/>
    <w:pPr>
      <w:tabs>
        <w:tab w:val="right" w:leader="dot" w:pos="9071"/>
      </w:tabs>
      <w:ind w:left="568" w:hanging="284"/>
    </w:pPr>
    <w:rPr>
      <w:sz w:val="24"/>
    </w:rPr>
  </w:style>
  <w:style w:type="paragraph" w:styleId="Index3">
    <w:name w:val="index 3"/>
    <w:basedOn w:val="Normal"/>
    <w:next w:val="Normal"/>
    <w:semiHidden/>
    <w:rsid w:val="00D3708D"/>
    <w:pPr>
      <w:tabs>
        <w:tab w:val="right" w:leader="dot" w:pos="9071"/>
      </w:tabs>
      <w:ind w:left="851" w:hanging="284"/>
    </w:pPr>
    <w:rPr>
      <w:sz w:val="24"/>
    </w:rPr>
  </w:style>
  <w:style w:type="paragraph" w:styleId="MacroText">
    <w:name w:val="macro"/>
    <w:semiHidden/>
    <w:rsid w:val="00D3708D"/>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16"/>
    </w:rPr>
  </w:style>
  <w:style w:type="paragraph" w:styleId="Signature">
    <w:name w:val="Signature"/>
    <w:basedOn w:val="Normal"/>
    <w:rsid w:val="00D3708D"/>
    <w:pPr>
      <w:ind w:left="4536"/>
      <w:jc w:val="center"/>
    </w:pPr>
  </w:style>
  <w:style w:type="character" w:customStyle="1" w:styleId="Doclang">
    <w:name w:val="Doc_lang"/>
    <w:basedOn w:val="DefaultParagraphFont"/>
    <w:rsid w:val="00D3708D"/>
    <w:rPr>
      <w:rFonts w:ascii="Arial" w:hAnsi="Arial"/>
      <w:sz w:val="20"/>
      <w:lang w:val="en-US"/>
    </w:rPr>
  </w:style>
  <w:style w:type="paragraph" w:customStyle="1" w:styleId="Session">
    <w:name w:val="Session"/>
    <w:basedOn w:val="Normal"/>
    <w:semiHidden/>
    <w:rsid w:val="00D3708D"/>
    <w:pPr>
      <w:spacing w:before="60"/>
      <w:jc w:val="center"/>
    </w:pPr>
    <w:rPr>
      <w:b/>
    </w:rPr>
  </w:style>
  <w:style w:type="paragraph" w:customStyle="1" w:styleId="Organizer">
    <w:name w:val="Organizer"/>
    <w:basedOn w:val="Normal"/>
    <w:semiHidden/>
    <w:rsid w:val="00D3708D"/>
    <w:pPr>
      <w:spacing w:after="600"/>
      <w:ind w:left="-993" w:right="-994"/>
      <w:jc w:val="center"/>
    </w:pPr>
    <w:rPr>
      <w:b/>
      <w:caps/>
      <w:kern w:val="26"/>
      <w:sz w:val="26"/>
    </w:rPr>
  </w:style>
  <w:style w:type="paragraph" w:styleId="BodyText">
    <w:name w:val="Body Text"/>
    <w:basedOn w:val="Normal"/>
    <w:rsid w:val="00D3708D"/>
  </w:style>
  <w:style w:type="paragraph" w:customStyle="1" w:styleId="Disclaimer">
    <w:name w:val="Disclaimer"/>
    <w:next w:val="Normal"/>
    <w:qFormat/>
    <w:rsid w:val="007451EC"/>
    <w:pPr>
      <w:spacing w:after="600"/>
    </w:pPr>
    <w:rPr>
      <w:rFonts w:ascii="Arial" w:hAnsi="Arial"/>
      <w:i/>
      <w:iCs/>
      <w:color w:val="A6A6A6" w:themeColor="background1" w:themeShade="A6"/>
    </w:rPr>
  </w:style>
  <w:style w:type="paragraph" w:customStyle="1" w:styleId="upove">
    <w:name w:val="upov_e"/>
    <w:basedOn w:val="Normal"/>
    <w:rsid w:val="00AC2883"/>
    <w:pPr>
      <w:spacing w:before="120"/>
    </w:pPr>
    <w:rPr>
      <w:sz w:val="16"/>
    </w:rPr>
  </w:style>
  <w:style w:type="paragraph" w:customStyle="1" w:styleId="TitleofDoc">
    <w:name w:val="Title of Doc"/>
    <w:basedOn w:val="Normal"/>
    <w:semiHidden/>
    <w:rsid w:val="00D3708D"/>
    <w:pPr>
      <w:spacing w:before="1200"/>
      <w:jc w:val="center"/>
    </w:pPr>
    <w:rPr>
      <w:caps/>
    </w:rPr>
  </w:style>
  <w:style w:type="paragraph" w:customStyle="1" w:styleId="preparedby0">
    <w:name w:val="prepared by"/>
    <w:basedOn w:val="Normal"/>
    <w:semiHidden/>
    <w:rsid w:val="00D3708D"/>
    <w:pPr>
      <w:spacing w:before="600" w:after="600"/>
      <w:jc w:val="center"/>
    </w:pPr>
    <w:rPr>
      <w:i/>
    </w:rPr>
  </w:style>
  <w:style w:type="paragraph" w:customStyle="1" w:styleId="PlaceAndDate">
    <w:name w:val="PlaceAndDate"/>
    <w:basedOn w:val="Session"/>
    <w:semiHidden/>
    <w:rsid w:val="00D3708D"/>
  </w:style>
  <w:style w:type="paragraph" w:styleId="EndnoteText">
    <w:name w:val="endnote text"/>
    <w:basedOn w:val="Normal"/>
    <w:semiHidden/>
    <w:rsid w:val="00D3708D"/>
  </w:style>
  <w:style w:type="character" w:styleId="EndnoteReference">
    <w:name w:val="endnote reference"/>
    <w:basedOn w:val="DefaultParagraphFont"/>
    <w:semiHidden/>
    <w:rsid w:val="00D3708D"/>
    <w:rPr>
      <w:vertAlign w:val="superscript"/>
    </w:rPr>
  </w:style>
  <w:style w:type="paragraph" w:customStyle="1" w:styleId="SessionMeetingPlace">
    <w:name w:val="Session_MeetingPlace"/>
    <w:basedOn w:val="Normal"/>
    <w:semiHidden/>
    <w:rsid w:val="00D3708D"/>
    <w:pPr>
      <w:spacing w:before="480"/>
      <w:jc w:val="center"/>
    </w:pPr>
    <w:rPr>
      <w:b/>
      <w:bCs/>
      <w:kern w:val="28"/>
      <w:sz w:val="24"/>
    </w:rPr>
  </w:style>
  <w:style w:type="paragraph" w:customStyle="1" w:styleId="Original">
    <w:name w:val="Original"/>
    <w:basedOn w:val="Normal"/>
    <w:semiHidden/>
    <w:rsid w:val="00D3708D"/>
    <w:pPr>
      <w:spacing w:before="60"/>
      <w:ind w:left="1276"/>
    </w:pPr>
    <w:rPr>
      <w:b/>
      <w:sz w:val="22"/>
    </w:rPr>
  </w:style>
  <w:style w:type="paragraph" w:styleId="Date">
    <w:name w:val="Date"/>
    <w:basedOn w:val="Normal"/>
    <w:semiHidden/>
    <w:rsid w:val="00D3708D"/>
    <w:pPr>
      <w:spacing w:line="340" w:lineRule="exact"/>
      <w:ind w:left="1276"/>
    </w:pPr>
    <w:rPr>
      <w:b/>
      <w:sz w:val="22"/>
    </w:rPr>
  </w:style>
  <w:style w:type="paragraph" w:customStyle="1" w:styleId="Code">
    <w:name w:val="Code"/>
    <w:basedOn w:val="Normal"/>
    <w:link w:val="CodeChar"/>
    <w:semiHidden/>
    <w:rsid w:val="00D3708D"/>
    <w:pPr>
      <w:spacing w:line="340" w:lineRule="atLeast"/>
      <w:ind w:left="1276"/>
    </w:pPr>
    <w:rPr>
      <w:b/>
      <w:bCs/>
      <w:spacing w:val="10"/>
    </w:rPr>
  </w:style>
  <w:style w:type="paragraph" w:customStyle="1" w:styleId="Country">
    <w:name w:val="Country"/>
    <w:basedOn w:val="Normal"/>
    <w:semiHidden/>
    <w:rsid w:val="00D3708D"/>
    <w:pPr>
      <w:spacing w:before="60" w:after="480"/>
      <w:jc w:val="center"/>
    </w:pPr>
  </w:style>
  <w:style w:type="paragraph" w:customStyle="1" w:styleId="Lettrine">
    <w:name w:val="Lettrine"/>
    <w:basedOn w:val="Normal"/>
    <w:rsid w:val="00AC2883"/>
    <w:pPr>
      <w:spacing w:line="340" w:lineRule="atLeast"/>
      <w:jc w:val="right"/>
    </w:pPr>
    <w:rPr>
      <w:b/>
      <w:bCs/>
      <w:sz w:val="36"/>
    </w:rPr>
  </w:style>
  <w:style w:type="paragraph" w:customStyle="1" w:styleId="LogoUPOV">
    <w:name w:val="LogoUPOV"/>
    <w:basedOn w:val="Normal"/>
    <w:rsid w:val="00CF1330"/>
    <w:pPr>
      <w:spacing w:before="600" w:after="80"/>
      <w:jc w:val="center"/>
    </w:pPr>
    <w:rPr>
      <w:snapToGrid w:val="0"/>
    </w:rPr>
  </w:style>
  <w:style w:type="paragraph" w:customStyle="1" w:styleId="Sessiontc">
    <w:name w:val="Session_tc"/>
    <w:basedOn w:val="StyleSessionAllcaps"/>
    <w:rsid w:val="00AC2883"/>
    <w:pPr>
      <w:spacing w:before="0" w:line="280" w:lineRule="exact"/>
      <w:jc w:val="left"/>
    </w:pPr>
    <w:rPr>
      <w:caps w:val="0"/>
      <w:sz w:val="20"/>
    </w:rPr>
  </w:style>
  <w:style w:type="paragraph" w:customStyle="1" w:styleId="TitreUpov">
    <w:name w:val="TitreUpov"/>
    <w:basedOn w:val="Normal"/>
    <w:semiHidden/>
    <w:rsid w:val="00D3708D"/>
    <w:pPr>
      <w:spacing w:before="60"/>
      <w:jc w:val="center"/>
    </w:pPr>
    <w:rPr>
      <w:b/>
      <w:sz w:val="24"/>
    </w:rPr>
  </w:style>
  <w:style w:type="paragraph" w:customStyle="1" w:styleId="StyleSessionAllcaps">
    <w:name w:val="Style Session + All caps"/>
    <w:basedOn w:val="Session"/>
    <w:semiHidden/>
    <w:rsid w:val="00D3708D"/>
    <w:pPr>
      <w:spacing w:before="480"/>
    </w:pPr>
    <w:rPr>
      <w:bCs/>
      <w:caps/>
      <w:kern w:val="28"/>
      <w:sz w:val="24"/>
    </w:rPr>
  </w:style>
  <w:style w:type="paragraph" w:customStyle="1" w:styleId="plcountry">
    <w:name w:val="plcountry"/>
    <w:basedOn w:val="Normal"/>
    <w:rsid w:val="00AB530F"/>
    <w:pPr>
      <w:keepNext/>
      <w:keepLines/>
      <w:spacing w:before="180" w:after="120"/>
      <w:jc w:val="left"/>
    </w:pPr>
    <w:rPr>
      <w:caps/>
      <w:noProof/>
      <w:snapToGrid w:val="0"/>
      <w:u w:val="single"/>
    </w:rPr>
  </w:style>
  <w:style w:type="paragraph" w:customStyle="1" w:styleId="pldetails">
    <w:name w:val="pldetails"/>
    <w:basedOn w:val="Normal"/>
    <w:rsid w:val="00AB530F"/>
    <w:pPr>
      <w:keepLines/>
      <w:spacing w:before="60" w:after="60"/>
      <w:jc w:val="left"/>
    </w:pPr>
    <w:rPr>
      <w:noProof/>
      <w:snapToGrid w:val="0"/>
    </w:rPr>
  </w:style>
  <w:style w:type="paragraph" w:customStyle="1" w:styleId="plheading">
    <w:name w:val="plheading"/>
    <w:basedOn w:val="Normal"/>
    <w:rsid w:val="00AB530F"/>
    <w:pPr>
      <w:keepNext/>
      <w:spacing w:before="480" w:after="120"/>
      <w:jc w:val="center"/>
    </w:pPr>
    <w:rPr>
      <w:caps/>
      <w:snapToGrid w:val="0"/>
      <w:u w:val="single"/>
    </w:rPr>
  </w:style>
  <w:style w:type="paragraph" w:customStyle="1" w:styleId="Sessiontcplacedate">
    <w:name w:val="Session_tc_place_date"/>
    <w:basedOn w:val="SessionMeetingPlace"/>
    <w:rsid w:val="00AC2883"/>
    <w:pPr>
      <w:spacing w:before="240"/>
      <w:contextualSpacing/>
      <w:jc w:val="left"/>
    </w:pPr>
    <w:rPr>
      <w:sz w:val="20"/>
    </w:rPr>
  </w:style>
  <w:style w:type="paragraph" w:customStyle="1" w:styleId="Titleofdoc0">
    <w:name w:val="Title_of_doc"/>
    <w:basedOn w:val="TitleofDoc"/>
    <w:rsid w:val="007451EC"/>
    <w:pPr>
      <w:spacing w:before="600" w:after="240"/>
      <w:jc w:val="left"/>
    </w:pPr>
    <w:rPr>
      <w:b/>
    </w:rPr>
  </w:style>
  <w:style w:type="paragraph" w:customStyle="1" w:styleId="preparedby1">
    <w:name w:val="prepared_by"/>
    <w:basedOn w:val="preparedby0"/>
    <w:rsid w:val="006A644A"/>
    <w:pPr>
      <w:spacing w:before="0" w:after="240"/>
    </w:pPr>
    <w:rPr>
      <w:iCs/>
    </w:rPr>
  </w:style>
  <w:style w:type="character" w:customStyle="1" w:styleId="CodeChar">
    <w:name w:val="Code Char"/>
    <w:basedOn w:val="DefaultParagraphFont"/>
    <w:link w:val="Code"/>
    <w:rsid w:val="00D3708D"/>
    <w:rPr>
      <w:rFonts w:ascii="Arial" w:hAnsi="Arial"/>
      <w:b/>
      <w:bCs/>
      <w:spacing w:val="10"/>
      <w:lang w:val="fr-FR" w:eastAsia="en-US" w:bidi="ar-SA"/>
    </w:rPr>
  </w:style>
  <w:style w:type="paragraph" w:customStyle="1" w:styleId="endofdoc">
    <w:name w:val="end_of_doc"/>
    <w:next w:val="Header"/>
    <w:autoRedefine/>
    <w:rsid w:val="00E32F7E"/>
    <w:pPr>
      <w:spacing w:before="480"/>
      <w:ind w:left="567" w:hanging="567"/>
      <w:jc w:val="right"/>
    </w:pPr>
    <w:rPr>
      <w:rFonts w:ascii="Arial" w:hAnsi="Arial"/>
    </w:rPr>
  </w:style>
  <w:style w:type="character" w:customStyle="1" w:styleId="DocoriginalChar">
    <w:name w:val="Doc_original Char"/>
    <w:basedOn w:val="CodeChar"/>
    <w:link w:val="Docoriginal"/>
    <w:rsid w:val="003C7FBE"/>
    <w:rPr>
      <w:rFonts w:ascii="Arial" w:hAnsi="Arial"/>
      <w:b/>
      <w:bCs/>
      <w:spacing w:val="10"/>
      <w:sz w:val="18"/>
      <w:lang w:val="fr-FR" w:eastAsia="en-US" w:bidi="ar-SA"/>
    </w:rPr>
  </w:style>
  <w:style w:type="paragraph" w:styleId="TOC2">
    <w:name w:val="toc 2"/>
    <w:basedOn w:val="Normal"/>
    <w:next w:val="Normal"/>
    <w:autoRedefine/>
    <w:uiPriority w:val="39"/>
    <w:rsid w:val="00365B2A"/>
    <w:pPr>
      <w:tabs>
        <w:tab w:val="right" w:leader="dot" w:pos="9639"/>
      </w:tabs>
      <w:ind w:left="568" w:right="851" w:hanging="284"/>
      <w:contextualSpacing/>
      <w:jc w:val="left"/>
    </w:pPr>
    <w:rPr>
      <w:sz w:val="18"/>
    </w:rPr>
  </w:style>
  <w:style w:type="paragraph" w:styleId="TOC3">
    <w:name w:val="toc 3"/>
    <w:next w:val="Normal"/>
    <w:autoRedefine/>
    <w:uiPriority w:val="39"/>
    <w:rsid w:val="00365B2A"/>
    <w:pPr>
      <w:tabs>
        <w:tab w:val="right" w:leader="dot" w:pos="9639"/>
      </w:tabs>
      <w:spacing w:after="60"/>
      <w:ind w:left="851" w:right="1418" w:hanging="284"/>
    </w:pPr>
    <w:rPr>
      <w:rFonts w:ascii="Arial" w:hAnsi="Arial"/>
      <w:i/>
      <w:sz w:val="18"/>
      <w:lang w:val="fr-FR"/>
    </w:rPr>
  </w:style>
  <w:style w:type="character" w:styleId="Hyperlink">
    <w:name w:val="Hyperlink"/>
    <w:basedOn w:val="DefaultParagraphFont"/>
    <w:uiPriority w:val="99"/>
    <w:rsid w:val="00AB530F"/>
    <w:rPr>
      <w:rFonts w:ascii="Arial" w:hAnsi="Arial"/>
      <w:color w:val="0000FF"/>
      <w:u w:val="single"/>
    </w:rPr>
  </w:style>
  <w:style w:type="paragraph" w:styleId="TOC4">
    <w:name w:val="toc 4"/>
    <w:next w:val="Normal"/>
    <w:autoRedefine/>
    <w:rsid w:val="00753EE9"/>
    <w:pPr>
      <w:tabs>
        <w:tab w:val="right" w:leader="dot" w:pos="9639"/>
      </w:tabs>
      <w:spacing w:after="120"/>
      <w:ind w:left="738" w:right="851" w:hanging="284"/>
    </w:pPr>
    <w:rPr>
      <w:rFonts w:ascii="Arial" w:hAnsi="Arial"/>
      <w:i/>
      <w:sz w:val="18"/>
      <w:lang w:val="fr-FR"/>
    </w:rPr>
  </w:style>
  <w:style w:type="paragraph" w:styleId="TOC1">
    <w:name w:val="toc 1"/>
    <w:basedOn w:val="Normal"/>
    <w:next w:val="Normal"/>
    <w:autoRedefine/>
    <w:uiPriority w:val="39"/>
    <w:rsid w:val="00365B2A"/>
    <w:pPr>
      <w:tabs>
        <w:tab w:val="right" w:leader="dot" w:pos="9639"/>
      </w:tabs>
      <w:spacing w:before="60"/>
      <w:ind w:right="1418"/>
      <w:jc w:val="left"/>
    </w:pPr>
    <w:rPr>
      <w:caps/>
      <w:sz w:val="18"/>
    </w:rPr>
  </w:style>
  <w:style w:type="paragraph" w:styleId="TOC5">
    <w:name w:val="toc 5"/>
    <w:next w:val="Normal"/>
    <w:autoRedefine/>
    <w:rsid w:val="00753EE9"/>
    <w:pPr>
      <w:tabs>
        <w:tab w:val="right" w:leader="dot" w:pos="9639"/>
      </w:tabs>
      <w:spacing w:after="120"/>
      <w:ind w:left="567" w:right="851" w:firstLine="284"/>
      <w:jc w:val="both"/>
    </w:pPr>
    <w:rPr>
      <w:rFonts w:ascii="Arial" w:hAnsi="Arial"/>
      <w:sz w:val="16"/>
      <w:lang w:val="fr-FR"/>
    </w:rPr>
  </w:style>
  <w:style w:type="paragraph" w:styleId="BalloonText">
    <w:name w:val="Balloon Text"/>
    <w:basedOn w:val="Normal"/>
    <w:link w:val="BalloonTextChar"/>
    <w:rsid w:val="00271911"/>
    <w:rPr>
      <w:rFonts w:ascii="Tahoma" w:hAnsi="Tahoma" w:cs="Tahoma"/>
      <w:sz w:val="16"/>
      <w:szCs w:val="16"/>
    </w:rPr>
  </w:style>
  <w:style w:type="character" w:customStyle="1" w:styleId="BalloonTextChar">
    <w:name w:val="Balloon Text Char"/>
    <w:basedOn w:val="DefaultParagraphFont"/>
    <w:link w:val="BalloonText"/>
    <w:rsid w:val="00271911"/>
    <w:rPr>
      <w:rFonts w:ascii="Tahoma" w:hAnsi="Tahoma" w:cs="Tahoma"/>
      <w:sz w:val="16"/>
      <w:szCs w:val="16"/>
    </w:rPr>
  </w:style>
  <w:style w:type="paragraph" w:customStyle="1" w:styleId="Doccode">
    <w:name w:val="Doc_code"/>
    <w:qFormat/>
    <w:rsid w:val="003C7FBE"/>
    <w:rPr>
      <w:rFonts w:ascii="Arial" w:hAnsi="Arial"/>
      <w:b/>
      <w:bCs/>
      <w:spacing w:val="10"/>
      <w:sz w:val="18"/>
    </w:rPr>
  </w:style>
  <w:style w:type="character" w:customStyle="1" w:styleId="Heading2Char">
    <w:name w:val="Heading 2 Char"/>
    <w:aliases w:val="VARIETY Char,variety Char"/>
    <w:basedOn w:val="DefaultParagraphFont"/>
    <w:link w:val="Heading2"/>
    <w:rsid w:val="00365B2A"/>
    <w:rPr>
      <w:rFonts w:ascii="Arial" w:hAnsi="Arial"/>
      <w:u w:val="single"/>
    </w:rPr>
  </w:style>
  <w:style w:type="character" w:customStyle="1" w:styleId="Heading3Char">
    <w:name w:val="Heading 3 Char"/>
    <w:basedOn w:val="DefaultParagraphFont"/>
    <w:link w:val="Heading3"/>
    <w:rsid w:val="00302A22"/>
    <w:rPr>
      <w:rFonts w:ascii="Arial" w:hAnsi="Arial"/>
      <w:i/>
    </w:rPr>
  </w:style>
  <w:style w:type="character" w:customStyle="1" w:styleId="Heading1Char">
    <w:name w:val="Heading 1 Char"/>
    <w:basedOn w:val="DefaultParagraphFont"/>
    <w:link w:val="Heading1"/>
    <w:rsid w:val="00302A22"/>
    <w:rPr>
      <w:rFonts w:ascii="Arial" w:hAnsi="Arial"/>
      <w:caps/>
    </w:rPr>
  </w:style>
  <w:style w:type="paragraph" w:styleId="ListParagraph">
    <w:name w:val="List Paragraph"/>
    <w:aliases w:val="auto_list_(i),List Paragraph1"/>
    <w:basedOn w:val="Normal"/>
    <w:link w:val="ListParagraphChar"/>
    <w:uiPriority w:val="34"/>
    <w:qFormat/>
    <w:rsid w:val="006F0A99"/>
    <w:pPr>
      <w:ind w:left="720"/>
      <w:contextualSpacing/>
    </w:pPr>
    <w:rPr>
      <w:rFonts w:eastAsiaTheme="minorEastAsia"/>
    </w:rPr>
  </w:style>
  <w:style w:type="character" w:customStyle="1" w:styleId="ListParagraphChar">
    <w:name w:val="List Paragraph Char"/>
    <w:aliases w:val="auto_list_(i) Char,List Paragraph1 Char"/>
    <w:basedOn w:val="DefaultParagraphFont"/>
    <w:link w:val="ListParagraph"/>
    <w:uiPriority w:val="34"/>
    <w:locked/>
    <w:rsid w:val="006F0A99"/>
    <w:rPr>
      <w:rFonts w:ascii="Arial" w:eastAsiaTheme="minorEastAsia" w:hAnsi="Arial"/>
    </w:rPr>
  </w:style>
  <w:style w:type="character" w:customStyle="1" w:styleId="FootnoteTextChar">
    <w:name w:val="Footnote Text Char"/>
    <w:basedOn w:val="DefaultParagraphFont"/>
    <w:link w:val="FootnoteText"/>
    <w:rsid w:val="00F21482"/>
    <w:rPr>
      <w:rFonts w:ascii="Arial" w:hAnsi="Arial"/>
      <w:sz w:val="16"/>
    </w:rPr>
  </w:style>
  <w:style w:type="character" w:styleId="UnresolvedMention">
    <w:name w:val="Unresolved Mention"/>
    <w:basedOn w:val="DefaultParagraphFont"/>
    <w:uiPriority w:val="99"/>
    <w:semiHidden/>
    <w:unhideWhenUsed/>
    <w:rsid w:val="00364964"/>
    <w:rPr>
      <w:color w:val="605E5C"/>
      <w:shd w:val="clear" w:color="auto" w:fill="E1DFDD"/>
    </w:rPr>
  </w:style>
  <w:style w:type="character" w:styleId="FollowedHyperlink">
    <w:name w:val="FollowedHyperlink"/>
    <w:basedOn w:val="DefaultParagraphFont"/>
    <w:semiHidden/>
    <w:unhideWhenUsed/>
    <w:rsid w:val="00364964"/>
    <w:rPr>
      <w:color w:val="800080" w:themeColor="followedHyperlink"/>
      <w:u w:val="single"/>
    </w:rPr>
  </w:style>
  <w:style w:type="character" w:styleId="CommentReference">
    <w:name w:val="annotation reference"/>
    <w:basedOn w:val="DefaultParagraphFont"/>
    <w:semiHidden/>
    <w:unhideWhenUsed/>
    <w:rsid w:val="00FC0F25"/>
    <w:rPr>
      <w:sz w:val="16"/>
      <w:szCs w:val="16"/>
    </w:rPr>
  </w:style>
  <w:style w:type="paragraph" w:styleId="CommentText">
    <w:name w:val="annotation text"/>
    <w:basedOn w:val="Normal"/>
    <w:link w:val="CommentTextChar"/>
    <w:unhideWhenUsed/>
    <w:rsid w:val="00FC0F25"/>
  </w:style>
  <w:style w:type="character" w:customStyle="1" w:styleId="CommentTextChar">
    <w:name w:val="Comment Text Char"/>
    <w:basedOn w:val="DefaultParagraphFont"/>
    <w:link w:val="CommentText"/>
    <w:rsid w:val="00FC0F25"/>
    <w:rPr>
      <w:rFonts w:ascii="Arial" w:hAnsi="Arial"/>
    </w:rPr>
  </w:style>
  <w:style w:type="paragraph" w:styleId="CommentSubject">
    <w:name w:val="annotation subject"/>
    <w:basedOn w:val="CommentText"/>
    <w:next w:val="CommentText"/>
    <w:link w:val="CommentSubjectChar"/>
    <w:semiHidden/>
    <w:unhideWhenUsed/>
    <w:rsid w:val="00D90661"/>
    <w:rPr>
      <w:b/>
      <w:bCs/>
    </w:rPr>
  </w:style>
  <w:style w:type="character" w:customStyle="1" w:styleId="CommentSubjectChar">
    <w:name w:val="Comment Subject Char"/>
    <w:basedOn w:val="CommentTextChar"/>
    <w:link w:val="CommentSubject"/>
    <w:semiHidden/>
    <w:rsid w:val="00D90661"/>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8916497">
      <w:bodyDiv w:val="1"/>
      <w:marLeft w:val="0"/>
      <w:marRight w:val="0"/>
      <w:marTop w:val="0"/>
      <w:marBottom w:val="0"/>
      <w:divBdr>
        <w:top w:val="none" w:sz="0" w:space="0" w:color="auto"/>
        <w:left w:val="none" w:sz="0" w:space="0" w:color="auto"/>
        <w:bottom w:val="none" w:sz="0" w:space="0" w:color="auto"/>
        <w:right w:val="none" w:sz="0" w:space="0" w:color="auto"/>
      </w:divBdr>
    </w:div>
    <w:div w:id="1456174827">
      <w:bodyDiv w:val="1"/>
      <w:marLeft w:val="0"/>
      <w:marRight w:val="0"/>
      <w:marTop w:val="0"/>
      <w:marBottom w:val="0"/>
      <w:divBdr>
        <w:top w:val="none" w:sz="0" w:space="0" w:color="auto"/>
        <w:left w:val="none" w:sz="0" w:space="0" w:color="auto"/>
        <w:bottom w:val="none" w:sz="0" w:space="0" w:color="auto"/>
        <w:right w:val="none" w:sz="0" w:space="0" w:color="auto"/>
      </w:divBdr>
    </w:div>
    <w:div w:id="16661315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upov.int/edocs/mdocs/upov/en/twv_59/twv_59_9.pdf" TargetMode="External"/><Relationship Id="rId18" Type="http://schemas.openxmlformats.org/officeDocument/2006/relationships/hyperlink" Target="https://www.upov.int/edocs/mdocs/upov/en/twm_3/twm_3_19.pdf" TargetMode="External"/><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https://www.upov.int/edocs/mdocs/upov/en/twm_3/twm_3_13.pdf" TargetMode="External"/><Relationship Id="rId7" Type="http://schemas.openxmlformats.org/officeDocument/2006/relationships/endnotes" Target="endnotes.xml"/><Relationship Id="rId12" Type="http://schemas.openxmlformats.org/officeDocument/2006/relationships/hyperlink" Target="https://www.upov.int/edocs/mdocs/upov/en/twv_59/twv_59_12.pdf" TargetMode="External"/><Relationship Id="rId17" Type="http://schemas.openxmlformats.org/officeDocument/2006/relationships/hyperlink" Target="https://www.upov.int/edocs/mdocs/upov/en/twf_56/twf_56_4.pdf"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upov.int/edocs/mdocs/upov/en/twv_59/twv_59_8.pdf" TargetMode="External"/><Relationship Id="rId20" Type="http://schemas.openxmlformats.org/officeDocument/2006/relationships/hyperlink" Target="https://www.upov.int/edocs/mdocs/upov/en/twm_3/twm_3_5.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pov.int/edocs/mdocs/upov/en/twv_58/twv_58_6.pdf" TargetMode="External"/><Relationship Id="rId24" Type="http://schemas.openxmlformats.org/officeDocument/2006/relationships/hyperlink" Target="http://sort.sops.gov.ua/search/search" TargetMode="External"/><Relationship Id="rId5" Type="http://schemas.openxmlformats.org/officeDocument/2006/relationships/webSettings" Target="webSettings.xml"/><Relationship Id="rId15" Type="http://schemas.openxmlformats.org/officeDocument/2006/relationships/hyperlink" Target="https://www.upov.int/edocs/mdocs/upov/en/two_57/two_57_4.pdf" TargetMode="External"/><Relationship Id="rId23" Type="http://schemas.openxmlformats.org/officeDocument/2006/relationships/hyperlink" Target="https://www.upov.int/edocs/mdocs/upov/en/twf_56/twf_56_5.pdf" TargetMode="External"/><Relationship Id="rId28" Type="http://schemas.openxmlformats.org/officeDocument/2006/relationships/theme" Target="theme/theme1.xml"/><Relationship Id="rId10" Type="http://schemas.openxmlformats.org/officeDocument/2006/relationships/hyperlink" Target="https://www.upov.int/edocs/mdocs/upov/en/twv_59/twv_59_11.pdf" TargetMode="External"/><Relationship Id="rId19" Type="http://schemas.openxmlformats.org/officeDocument/2006/relationships/hyperlink" Target="https://www.upov.int/edocs/mdocs/upov/en/twm_3/twm_3_12.pdf" TargetMode="External"/><Relationship Id="rId4" Type="http://schemas.openxmlformats.org/officeDocument/2006/relationships/settings" Target="settings.xml"/><Relationship Id="rId9" Type="http://schemas.openxmlformats.org/officeDocument/2006/relationships/hyperlink" Target="https://www.upov.int/edocs/mdocs/upov/en/twv_59/twv_59_10.pdf" TargetMode="External"/><Relationship Id="rId14" Type="http://schemas.openxmlformats.org/officeDocument/2006/relationships/hyperlink" Target="https://www.upov.int/edocs/mdocs/upov/en/twa_54/twa_54_3.pdf" TargetMode="External"/><Relationship Id="rId22" Type="http://schemas.openxmlformats.org/officeDocument/2006/relationships/hyperlink" Target="https://www.upov.int/edocs/mdocs/upov/en/twm_3/twm_3_14.pdf" TargetMode="Externa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N:\OrgUPOV\Shared\Document\TC\TC61%20(2025)\templates\routing_slip_with_doc_tc_61.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4C2F6E-CF08-49CD-A37A-11446C2B22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routing_slip_with_doc_tc_61</Template>
  <TotalTime>22</TotalTime>
  <Pages>7</Pages>
  <Words>3018</Words>
  <Characters>22783</Characters>
  <Application>Microsoft Office Word</Application>
  <DocSecurity>0</DocSecurity>
  <Lines>455</Lines>
  <Paragraphs>167</Paragraphs>
  <ScaleCrop>false</ScaleCrop>
  <HeadingPairs>
    <vt:vector size="2" baseType="variant">
      <vt:variant>
        <vt:lpstr>Title</vt:lpstr>
      </vt:variant>
      <vt:variant>
        <vt:i4>1</vt:i4>
      </vt:variant>
    </vt:vector>
  </HeadingPairs>
  <TitlesOfParts>
    <vt:vector size="1" baseType="lpstr">
      <vt:lpstr>TC/60</vt:lpstr>
    </vt:vector>
  </TitlesOfParts>
  <Company>UPOV</Company>
  <LinksUpToDate>false</LinksUpToDate>
  <CharactersWithSpaces>25634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TC/61/3</dc:title>
  <dc:creator>MAY Jessica</dc:creator>
  <cp:keywords>, docId:02766DCCDA3943E29420DB98E3893403</cp:keywords>
  <cp:lastModifiedBy>MAY Jessica</cp:lastModifiedBy>
  <cp:revision>16</cp:revision>
  <cp:lastPrinted>2016-11-22T15:41:00Z</cp:lastPrinted>
  <dcterms:created xsi:type="dcterms:W3CDTF">2025-09-15T09:42:00Z</dcterms:created>
  <dcterms:modified xsi:type="dcterms:W3CDTF">2025-09-23T08:52:00Z</dcterms:modified>
</cp:coreProperties>
</file>